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B20B3A" w14:textId="77777777" w:rsidR="009B57ED" w:rsidRPr="00307897" w:rsidRDefault="009B57ED" w:rsidP="0091773C">
      <w:pPr>
        <w:pStyle w:val="Header"/>
        <w:widowControl w:val="0"/>
        <w:tabs>
          <w:tab w:val="left" w:pos="7513"/>
        </w:tabs>
        <w:rPr>
          <w:rFonts w:ascii="Times New Roman" w:hAnsi="Times New Roman"/>
          <w:color w:val="000000"/>
          <w:sz w:val="22"/>
          <w:szCs w:val="22"/>
          <w:lang w:val="hr-HR"/>
        </w:rPr>
      </w:pPr>
      <w:bookmarkStart w:id="0" w:name="_GoBack"/>
      <w:bookmarkEnd w:id="0"/>
    </w:p>
    <w:p w14:paraId="486555FC" w14:textId="77777777" w:rsidR="009B57ED" w:rsidRPr="00307897" w:rsidRDefault="009B57ED" w:rsidP="0091773C">
      <w:pPr>
        <w:widowControl w:val="0"/>
        <w:tabs>
          <w:tab w:val="clear" w:pos="567"/>
        </w:tabs>
        <w:spacing w:line="240" w:lineRule="auto"/>
        <w:rPr>
          <w:color w:val="000000"/>
          <w:szCs w:val="22"/>
          <w:lang w:val="hr-HR"/>
        </w:rPr>
      </w:pPr>
    </w:p>
    <w:p w14:paraId="72A07AF0" w14:textId="77777777" w:rsidR="009B57ED" w:rsidRPr="00307897" w:rsidRDefault="009B57ED" w:rsidP="0091773C">
      <w:pPr>
        <w:pStyle w:val="EndnoteText"/>
        <w:widowControl w:val="0"/>
        <w:tabs>
          <w:tab w:val="clear" w:pos="567"/>
        </w:tabs>
        <w:rPr>
          <w:color w:val="000000"/>
          <w:szCs w:val="22"/>
          <w:lang w:val="hr-HR"/>
        </w:rPr>
      </w:pPr>
    </w:p>
    <w:p w14:paraId="11993397" w14:textId="77777777" w:rsidR="009B57ED" w:rsidRPr="00307897" w:rsidRDefault="009B57ED" w:rsidP="0091773C">
      <w:pPr>
        <w:widowControl w:val="0"/>
        <w:tabs>
          <w:tab w:val="clear" w:pos="567"/>
        </w:tabs>
        <w:spacing w:line="240" w:lineRule="auto"/>
        <w:rPr>
          <w:color w:val="000000"/>
          <w:szCs w:val="22"/>
          <w:lang w:val="hr-HR"/>
        </w:rPr>
      </w:pPr>
    </w:p>
    <w:p w14:paraId="3D5CD8A2" w14:textId="77777777" w:rsidR="009B57ED" w:rsidRPr="00307897" w:rsidRDefault="009B57ED" w:rsidP="0091773C">
      <w:pPr>
        <w:widowControl w:val="0"/>
        <w:tabs>
          <w:tab w:val="clear" w:pos="567"/>
        </w:tabs>
        <w:spacing w:line="240" w:lineRule="auto"/>
        <w:rPr>
          <w:color w:val="000000"/>
          <w:szCs w:val="22"/>
          <w:lang w:val="hr-HR"/>
        </w:rPr>
      </w:pPr>
    </w:p>
    <w:p w14:paraId="2DEFA235" w14:textId="77777777" w:rsidR="009B57ED" w:rsidRPr="00307897" w:rsidRDefault="009B57ED" w:rsidP="0091773C">
      <w:pPr>
        <w:widowControl w:val="0"/>
        <w:tabs>
          <w:tab w:val="clear" w:pos="567"/>
        </w:tabs>
        <w:spacing w:line="240" w:lineRule="auto"/>
        <w:rPr>
          <w:color w:val="000000"/>
          <w:szCs w:val="22"/>
          <w:lang w:val="hr-HR"/>
        </w:rPr>
      </w:pPr>
    </w:p>
    <w:p w14:paraId="5D2E9F8C" w14:textId="77777777" w:rsidR="009B57ED" w:rsidRPr="00307897" w:rsidRDefault="009B57ED" w:rsidP="0091773C">
      <w:pPr>
        <w:widowControl w:val="0"/>
        <w:tabs>
          <w:tab w:val="clear" w:pos="567"/>
        </w:tabs>
        <w:spacing w:line="240" w:lineRule="auto"/>
        <w:rPr>
          <w:color w:val="000000"/>
          <w:szCs w:val="22"/>
          <w:lang w:val="hr-HR"/>
        </w:rPr>
      </w:pPr>
    </w:p>
    <w:p w14:paraId="60ABA4F6" w14:textId="77777777" w:rsidR="009B57ED" w:rsidRPr="00307897" w:rsidRDefault="009B57ED" w:rsidP="0091773C">
      <w:pPr>
        <w:widowControl w:val="0"/>
        <w:tabs>
          <w:tab w:val="clear" w:pos="567"/>
        </w:tabs>
        <w:spacing w:line="240" w:lineRule="auto"/>
        <w:rPr>
          <w:color w:val="000000"/>
          <w:szCs w:val="22"/>
          <w:lang w:val="hr-HR"/>
        </w:rPr>
      </w:pPr>
    </w:p>
    <w:p w14:paraId="33E448CF" w14:textId="77777777" w:rsidR="009B57ED" w:rsidRPr="00307897" w:rsidRDefault="009B57ED" w:rsidP="0091773C">
      <w:pPr>
        <w:widowControl w:val="0"/>
        <w:tabs>
          <w:tab w:val="clear" w:pos="567"/>
        </w:tabs>
        <w:spacing w:line="240" w:lineRule="auto"/>
        <w:rPr>
          <w:color w:val="000000"/>
          <w:szCs w:val="22"/>
          <w:lang w:val="hr-HR"/>
        </w:rPr>
      </w:pPr>
    </w:p>
    <w:p w14:paraId="57CA0610" w14:textId="77777777" w:rsidR="009B57ED" w:rsidRPr="00307897" w:rsidRDefault="009B57ED" w:rsidP="0091773C">
      <w:pPr>
        <w:widowControl w:val="0"/>
        <w:tabs>
          <w:tab w:val="clear" w:pos="567"/>
        </w:tabs>
        <w:spacing w:line="240" w:lineRule="auto"/>
        <w:rPr>
          <w:color w:val="000000"/>
          <w:szCs w:val="22"/>
          <w:lang w:val="hr-HR"/>
        </w:rPr>
      </w:pPr>
    </w:p>
    <w:p w14:paraId="7C577DFC" w14:textId="77777777" w:rsidR="009B57ED" w:rsidRPr="00307897" w:rsidRDefault="009B57ED" w:rsidP="0091773C">
      <w:pPr>
        <w:pStyle w:val="EndnoteText"/>
        <w:widowControl w:val="0"/>
        <w:tabs>
          <w:tab w:val="clear" w:pos="567"/>
        </w:tabs>
        <w:rPr>
          <w:color w:val="000000"/>
          <w:szCs w:val="22"/>
          <w:lang w:val="hr-HR"/>
        </w:rPr>
      </w:pPr>
    </w:p>
    <w:p w14:paraId="43891526" w14:textId="77777777" w:rsidR="009B57ED" w:rsidRPr="00307897" w:rsidRDefault="009B57ED" w:rsidP="0091773C">
      <w:pPr>
        <w:widowControl w:val="0"/>
        <w:tabs>
          <w:tab w:val="clear" w:pos="567"/>
        </w:tabs>
        <w:spacing w:line="240" w:lineRule="auto"/>
        <w:rPr>
          <w:color w:val="000000"/>
          <w:szCs w:val="22"/>
          <w:lang w:val="hr-HR"/>
        </w:rPr>
      </w:pPr>
    </w:p>
    <w:p w14:paraId="7CFD1C28" w14:textId="77777777" w:rsidR="009B57ED" w:rsidRPr="00307897" w:rsidRDefault="009B57ED" w:rsidP="0091773C">
      <w:pPr>
        <w:widowControl w:val="0"/>
        <w:tabs>
          <w:tab w:val="clear" w:pos="567"/>
        </w:tabs>
        <w:spacing w:line="240" w:lineRule="auto"/>
        <w:rPr>
          <w:color w:val="000000"/>
          <w:szCs w:val="22"/>
          <w:lang w:val="hr-HR"/>
        </w:rPr>
      </w:pPr>
    </w:p>
    <w:p w14:paraId="152E2411" w14:textId="77777777" w:rsidR="009B57ED" w:rsidRPr="00307897" w:rsidRDefault="009B57ED" w:rsidP="0091773C">
      <w:pPr>
        <w:widowControl w:val="0"/>
        <w:tabs>
          <w:tab w:val="clear" w:pos="567"/>
        </w:tabs>
        <w:spacing w:line="240" w:lineRule="auto"/>
        <w:rPr>
          <w:color w:val="000000"/>
          <w:szCs w:val="22"/>
          <w:lang w:val="hr-HR"/>
        </w:rPr>
      </w:pPr>
    </w:p>
    <w:p w14:paraId="262A6BA1" w14:textId="77777777" w:rsidR="009B57ED" w:rsidRPr="00307897" w:rsidRDefault="009B57ED" w:rsidP="0091773C">
      <w:pPr>
        <w:widowControl w:val="0"/>
        <w:tabs>
          <w:tab w:val="clear" w:pos="567"/>
        </w:tabs>
        <w:spacing w:line="240" w:lineRule="auto"/>
        <w:rPr>
          <w:color w:val="000000"/>
          <w:szCs w:val="22"/>
          <w:lang w:val="hr-HR"/>
        </w:rPr>
      </w:pPr>
    </w:p>
    <w:p w14:paraId="446FD5F5" w14:textId="77777777" w:rsidR="009B57ED" w:rsidRPr="00307897" w:rsidRDefault="009B57ED" w:rsidP="0091773C">
      <w:pPr>
        <w:widowControl w:val="0"/>
        <w:tabs>
          <w:tab w:val="clear" w:pos="567"/>
        </w:tabs>
        <w:spacing w:line="240" w:lineRule="auto"/>
        <w:rPr>
          <w:color w:val="000000"/>
          <w:szCs w:val="22"/>
          <w:lang w:val="hr-HR"/>
        </w:rPr>
      </w:pPr>
    </w:p>
    <w:p w14:paraId="116FE303" w14:textId="77777777" w:rsidR="009B57ED" w:rsidRPr="00307897" w:rsidRDefault="009B57ED" w:rsidP="0091773C">
      <w:pPr>
        <w:widowControl w:val="0"/>
        <w:tabs>
          <w:tab w:val="clear" w:pos="567"/>
        </w:tabs>
        <w:spacing w:line="240" w:lineRule="auto"/>
        <w:rPr>
          <w:color w:val="000000"/>
          <w:szCs w:val="22"/>
          <w:lang w:val="hr-HR"/>
        </w:rPr>
      </w:pPr>
    </w:p>
    <w:p w14:paraId="0C6496C0" w14:textId="77777777" w:rsidR="009B57ED" w:rsidRPr="00307897" w:rsidRDefault="009B57ED" w:rsidP="0091773C">
      <w:pPr>
        <w:widowControl w:val="0"/>
        <w:tabs>
          <w:tab w:val="clear" w:pos="567"/>
        </w:tabs>
        <w:spacing w:line="240" w:lineRule="auto"/>
        <w:rPr>
          <w:color w:val="000000"/>
          <w:szCs w:val="22"/>
          <w:lang w:val="hr-HR"/>
        </w:rPr>
      </w:pPr>
    </w:p>
    <w:p w14:paraId="09F8011F" w14:textId="77777777" w:rsidR="009B57ED" w:rsidRPr="00307897" w:rsidRDefault="009B57ED" w:rsidP="0091773C">
      <w:pPr>
        <w:widowControl w:val="0"/>
        <w:tabs>
          <w:tab w:val="clear" w:pos="567"/>
        </w:tabs>
        <w:spacing w:line="240" w:lineRule="auto"/>
        <w:rPr>
          <w:color w:val="000000"/>
          <w:szCs w:val="22"/>
          <w:lang w:val="hr-HR"/>
        </w:rPr>
      </w:pPr>
    </w:p>
    <w:p w14:paraId="0A4FACAD" w14:textId="77777777" w:rsidR="009B57ED" w:rsidRPr="00307897" w:rsidRDefault="009B57ED" w:rsidP="0091773C">
      <w:pPr>
        <w:widowControl w:val="0"/>
        <w:tabs>
          <w:tab w:val="clear" w:pos="567"/>
        </w:tabs>
        <w:spacing w:line="240" w:lineRule="auto"/>
        <w:rPr>
          <w:color w:val="000000"/>
          <w:szCs w:val="22"/>
          <w:lang w:val="hr-HR"/>
        </w:rPr>
      </w:pPr>
    </w:p>
    <w:p w14:paraId="2DA014FB" w14:textId="77777777" w:rsidR="009B57ED" w:rsidRPr="00307897" w:rsidRDefault="009B57ED" w:rsidP="0091773C">
      <w:pPr>
        <w:widowControl w:val="0"/>
        <w:tabs>
          <w:tab w:val="clear" w:pos="567"/>
        </w:tabs>
        <w:spacing w:line="240" w:lineRule="auto"/>
        <w:rPr>
          <w:color w:val="000000"/>
          <w:szCs w:val="22"/>
          <w:lang w:val="hr-HR"/>
        </w:rPr>
      </w:pPr>
    </w:p>
    <w:p w14:paraId="7151BA7F" w14:textId="77777777" w:rsidR="009B57ED" w:rsidRPr="00307897" w:rsidRDefault="009B57ED" w:rsidP="0091773C">
      <w:pPr>
        <w:pStyle w:val="EndnoteText"/>
        <w:widowControl w:val="0"/>
        <w:tabs>
          <w:tab w:val="clear" w:pos="567"/>
        </w:tabs>
        <w:rPr>
          <w:color w:val="000000"/>
          <w:szCs w:val="22"/>
          <w:lang w:val="hr-HR"/>
        </w:rPr>
      </w:pPr>
    </w:p>
    <w:p w14:paraId="676C87C1" w14:textId="77777777" w:rsidR="009B57ED" w:rsidRPr="00307897" w:rsidRDefault="009B57ED" w:rsidP="0091773C">
      <w:pPr>
        <w:widowControl w:val="0"/>
        <w:tabs>
          <w:tab w:val="clear" w:pos="567"/>
        </w:tabs>
        <w:spacing w:line="240" w:lineRule="auto"/>
        <w:rPr>
          <w:color w:val="000000"/>
          <w:szCs w:val="22"/>
          <w:lang w:val="hr-HR"/>
        </w:rPr>
      </w:pPr>
    </w:p>
    <w:p w14:paraId="49A0ED6D" w14:textId="77777777" w:rsidR="009B57ED" w:rsidRPr="00510442" w:rsidRDefault="00622C00" w:rsidP="0091773C">
      <w:pPr>
        <w:widowControl w:val="0"/>
        <w:tabs>
          <w:tab w:val="clear" w:pos="567"/>
        </w:tabs>
        <w:spacing w:line="240" w:lineRule="auto"/>
        <w:jc w:val="center"/>
        <w:rPr>
          <w:b/>
          <w:color w:val="000000"/>
          <w:szCs w:val="22"/>
          <w:lang w:val="hr-HR"/>
        </w:rPr>
      </w:pPr>
      <w:r w:rsidRPr="00510442">
        <w:rPr>
          <w:b/>
          <w:szCs w:val="22"/>
          <w:lang w:val="hr-HR"/>
        </w:rPr>
        <w:t xml:space="preserve">PRILOG </w:t>
      </w:r>
      <w:r w:rsidR="00742D63" w:rsidRPr="00510442">
        <w:rPr>
          <w:b/>
          <w:szCs w:val="22"/>
          <w:lang w:val="hr-HR"/>
        </w:rPr>
        <w:t>I</w:t>
      </w:r>
      <w:r w:rsidRPr="00510442">
        <w:rPr>
          <w:b/>
          <w:szCs w:val="22"/>
          <w:lang w:val="hr-HR"/>
        </w:rPr>
        <w:t>.</w:t>
      </w:r>
    </w:p>
    <w:p w14:paraId="3DC1412B" w14:textId="77777777" w:rsidR="009B57ED" w:rsidRPr="00510442" w:rsidRDefault="009B57ED" w:rsidP="0091773C">
      <w:pPr>
        <w:widowControl w:val="0"/>
        <w:tabs>
          <w:tab w:val="clear" w:pos="567"/>
        </w:tabs>
        <w:spacing w:line="240" w:lineRule="auto"/>
        <w:jc w:val="center"/>
        <w:rPr>
          <w:color w:val="000000"/>
          <w:szCs w:val="22"/>
          <w:lang w:val="hr-HR"/>
        </w:rPr>
      </w:pPr>
    </w:p>
    <w:p w14:paraId="39EDEEE8" w14:textId="77777777" w:rsidR="009B57ED" w:rsidRPr="00510442" w:rsidRDefault="00742D63" w:rsidP="0091773C">
      <w:pPr>
        <w:widowControl w:val="0"/>
        <w:tabs>
          <w:tab w:val="clear" w:pos="567"/>
        </w:tabs>
        <w:spacing w:line="240" w:lineRule="auto"/>
        <w:jc w:val="center"/>
        <w:rPr>
          <w:b/>
          <w:color w:val="000000"/>
          <w:szCs w:val="22"/>
          <w:lang w:val="hr-HR"/>
        </w:rPr>
      </w:pPr>
      <w:r w:rsidRPr="00510442">
        <w:rPr>
          <w:b/>
          <w:szCs w:val="22"/>
          <w:lang w:val="hr-HR"/>
        </w:rPr>
        <w:t>SAŽETAK OPISA SVOJSTAVA LIJEKA</w:t>
      </w:r>
    </w:p>
    <w:p w14:paraId="77F2FD6A" w14:textId="77777777" w:rsidR="00181F8F" w:rsidRPr="00510442" w:rsidRDefault="009B57ED" w:rsidP="00181F8F">
      <w:pPr>
        <w:tabs>
          <w:tab w:val="clear" w:pos="567"/>
        </w:tabs>
        <w:spacing w:line="240" w:lineRule="auto"/>
        <w:rPr>
          <w:szCs w:val="22"/>
          <w:lang w:val="hr-HR"/>
        </w:rPr>
      </w:pPr>
      <w:r w:rsidRPr="00510442">
        <w:rPr>
          <w:b/>
          <w:color w:val="000000"/>
          <w:szCs w:val="22"/>
          <w:lang w:val="hr-HR"/>
        </w:rPr>
        <w:br w:type="page"/>
      </w:r>
      <w:r w:rsidR="00C712C6" w:rsidRPr="00510442">
        <w:rPr>
          <w:noProof/>
          <w:lang w:eastAsia="en-GB"/>
        </w:rPr>
        <w:lastRenderedPageBreak/>
        <w:drawing>
          <wp:inline distT="0" distB="0" distL="0" distR="0" wp14:anchorId="34C86F5E" wp14:editId="08652C5D">
            <wp:extent cx="198755" cy="174625"/>
            <wp:effectExtent l="0" t="0" r="0" b="0"/>
            <wp:docPr id="1" name="Picture 1" descr="C:\Users\horemansk\AppData\Local\Microsoft\Windows\Temporary Internet Files\Content.Word\BT_1000x858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remansk\AppData\Local\Microsoft\Windows\Temporary Internet Files\Content.Word\BT_1000x858px.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8755" cy="174625"/>
                    </a:xfrm>
                    <a:prstGeom prst="rect">
                      <a:avLst/>
                    </a:prstGeom>
                    <a:noFill/>
                    <a:ln>
                      <a:noFill/>
                    </a:ln>
                  </pic:spPr>
                </pic:pic>
              </a:graphicData>
            </a:graphic>
          </wp:inline>
        </w:drawing>
      </w:r>
      <w:r w:rsidR="00181F8F" w:rsidRPr="00510442">
        <w:rPr>
          <w:szCs w:val="22"/>
          <w:lang w:val="hr-HR"/>
        </w:rPr>
        <w:t xml:space="preserve">Ovaj je lijek pod dodatnim praćenjem. Time se omogućuje brzo otkrivanje novih sigurnosnih informacija. Od zdravstvenih </w:t>
      </w:r>
      <w:r w:rsidR="00622C00" w:rsidRPr="00510442">
        <w:rPr>
          <w:szCs w:val="22"/>
          <w:lang w:val="hr-HR"/>
        </w:rPr>
        <w:t xml:space="preserve">radnika </w:t>
      </w:r>
      <w:r w:rsidR="00181F8F" w:rsidRPr="00510442">
        <w:rPr>
          <w:szCs w:val="22"/>
          <w:lang w:val="hr-HR"/>
        </w:rPr>
        <w:t>se traži da prijave svaku sumnju na nuspojavu za ovaj lijek. Za postupak prijavljivanja nuspojava vidjeti dio 4.8.</w:t>
      </w:r>
    </w:p>
    <w:p w14:paraId="3FF0C21F" w14:textId="77777777" w:rsidR="00181F8F" w:rsidRPr="00510442" w:rsidRDefault="00181F8F" w:rsidP="00181F8F">
      <w:pPr>
        <w:tabs>
          <w:tab w:val="clear" w:pos="567"/>
        </w:tabs>
        <w:spacing w:line="240" w:lineRule="auto"/>
        <w:rPr>
          <w:szCs w:val="22"/>
          <w:lang w:val="hr-HR"/>
        </w:rPr>
      </w:pPr>
    </w:p>
    <w:p w14:paraId="1253E76C" w14:textId="77777777" w:rsidR="00181F8F" w:rsidRPr="00510442" w:rsidRDefault="00181F8F" w:rsidP="00181F8F">
      <w:pPr>
        <w:tabs>
          <w:tab w:val="clear" w:pos="567"/>
        </w:tabs>
        <w:spacing w:line="240" w:lineRule="auto"/>
        <w:rPr>
          <w:szCs w:val="22"/>
          <w:lang w:val="hr-HR"/>
        </w:rPr>
      </w:pPr>
    </w:p>
    <w:p w14:paraId="37E1CAA4" w14:textId="77777777" w:rsidR="009B57ED" w:rsidRPr="00510442" w:rsidRDefault="009B57ED" w:rsidP="0091773C">
      <w:pPr>
        <w:widowControl w:val="0"/>
        <w:tabs>
          <w:tab w:val="clear" w:pos="567"/>
        </w:tabs>
        <w:spacing w:line="240" w:lineRule="auto"/>
        <w:ind w:left="567" w:hanging="567"/>
        <w:rPr>
          <w:color w:val="000000"/>
          <w:szCs w:val="22"/>
          <w:lang w:val="hr-HR"/>
        </w:rPr>
      </w:pPr>
      <w:r w:rsidRPr="00510442">
        <w:rPr>
          <w:b/>
          <w:color w:val="000000"/>
          <w:szCs w:val="22"/>
          <w:lang w:val="hr-HR"/>
        </w:rPr>
        <w:t>1.</w:t>
      </w:r>
      <w:r w:rsidRPr="00510442">
        <w:rPr>
          <w:b/>
          <w:color w:val="000000"/>
          <w:szCs w:val="22"/>
          <w:lang w:val="hr-HR"/>
        </w:rPr>
        <w:tab/>
      </w:r>
      <w:r w:rsidR="00742D63" w:rsidRPr="00510442">
        <w:rPr>
          <w:b/>
          <w:szCs w:val="22"/>
          <w:lang w:val="hr-HR"/>
        </w:rPr>
        <w:t>NAZIV LIJEKA</w:t>
      </w:r>
    </w:p>
    <w:p w14:paraId="6C27B617" w14:textId="77777777" w:rsidR="009B57ED" w:rsidRPr="00510442" w:rsidRDefault="009B57ED" w:rsidP="0091773C">
      <w:pPr>
        <w:pStyle w:val="EndnoteText"/>
        <w:widowControl w:val="0"/>
        <w:tabs>
          <w:tab w:val="clear" w:pos="567"/>
        </w:tabs>
        <w:rPr>
          <w:color w:val="000000"/>
          <w:szCs w:val="22"/>
          <w:lang w:val="hr-HR"/>
        </w:rPr>
      </w:pPr>
    </w:p>
    <w:p w14:paraId="641597D7" w14:textId="77777777" w:rsidR="008F0219" w:rsidRPr="00510442" w:rsidRDefault="008F0219" w:rsidP="008F0219">
      <w:pPr>
        <w:pStyle w:val="EndnoteText"/>
        <w:widowControl w:val="0"/>
        <w:tabs>
          <w:tab w:val="clear" w:pos="567"/>
        </w:tabs>
        <w:rPr>
          <w:color w:val="000000"/>
          <w:szCs w:val="22"/>
          <w:lang w:val="hr-HR"/>
        </w:rPr>
      </w:pPr>
      <w:r w:rsidRPr="00510442">
        <w:rPr>
          <w:color w:val="000000"/>
          <w:szCs w:val="22"/>
          <w:lang w:val="hr-HR"/>
        </w:rPr>
        <w:t>Glivec 100 mg tvrde kapsule</w:t>
      </w:r>
    </w:p>
    <w:p w14:paraId="2B6EFC28" w14:textId="77777777" w:rsidR="009B57ED" w:rsidRPr="00510442" w:rsidRDefault="009B57ED" w:rsidP="0091773C">
      <w:pPr>
        <w:pStyle w:val="EndnoteText"/>
        <w:widowControl w:val="0"/>
        <w:tabs>
          <w:tab w:val="clear" w:pos="567"/>
        </w:tabs>
        <w:rPr>
          <w:color w:val="000000"/>
          <w:szCs w:val="22"/>
          <w:lang w:val="hr-HR"/>
        </w:rPr>
      </w:pPr>
    </w:p>
    <w:p w14:paraId="5BCC5755" w14:textId="77777777" w:rsidR="009B57ED" w:rsidRPr="00510442" w:rsidRDefault="009B57ED" w:rsidP="0091773C">
      <w:pPr>
        <w:pStyle w:val="EndnoteText"/>
        <w:widowControl w:val="0"/>
        <w:tabs>
          <w:tab w:val="clear" w:pos="567"/>
        </w:tabs>
        <w:rPr>
          <w:color w:val="000000"/>
          <w:szCs w:val="22"/>
          <w:lang w:val="hr-HR"/>
        </w:rPr>
      </w:pPr>
    </w:p>
    <w:p w14:paraId="493F38B0" w14:textId="77777777" w:rsidR="00742D63" w:rsidRPr="00510442" w:rsidRDefault="00742D63" w:rsidP="00D44559">
      <w:pPr>
        <w:keepNext/>
        <w:widowControl w:val="0"/>
        <w:tabs>
          <w:tab w:val="clear" w:pos="567"/>
        </w:tabs>
        <w:spacing w:line="240" w:lineRule="auto"/>
        <w:rPr>
          <w:szCs w:val="22"/>
          <w:lang w:val="hr-HR"/>
        </w:rPr>
      </w:pPr>
      <w:r w:rsidRPr="00510442">
        <w:rPr>
          <w:b/>
          <w:szCs w:val="22"/>
          <w:lang w:val="hr-HR"/>
        </w:rPr>
        <w:t>2.</w:t>
      </w:r>
      <w:r w:rsidRPr="00510442">
        <w:rPr>
          <w:b/>
          <w:szCs w:val="22"/>
          <w:lang w:val="hr-HR"/>
        </w:rPr>
        <w:tab/>
        <w:t>KVALITATIVNI I KVANTITATIVNI SASTAV</w:t>
      </w:r>
    </w:p>
    <w:p w14:paraId="196E857E" w14:textId="77777777" w:rsidR="009B57ED" w:rsidRPr="00510442" w:rsidRDefault="009B57ED" w:rsidP="00D44559">
      <w:pPr>
        <w:keepNext/>
        <w:widowControl w:val="0"/>
        <w:tabs>
          <w:tab w:val="clear" w:pos="567"/>
        </w:tabs>
        <w:spacing w:line="240" w:lineRule="auto"/>
        <w:rPr>
          <w:color w:val="000000"/>
          <w:szCs w:val="22"/>
          <w:lang w:val="hr-HR"/>
        </w:rPr>
      </w:pPr>
    </w:p>
    <w:p w14:paraId="56863194" w14:textId="77777777" w:rsidR="00182293" w:rsidRPr="00510442" w:rsidRDefault="00182293" w:rsidP="00182293">
      <w:pPr>
        <w:widowControl w:val="0"/>
        <w:tabs>
          <w:tab w:val="clear" w:pos="567"/>
        </w:tabs>
        <w:spacing w:line="240" w:lineRule="auto"/>
        <w:rPr>
          <w:color w:val="000000"/>
          <w:szCs w:val="22"/>
          <w:lang w:val="hr-HR"/>
        </w:rPr>
      </w:pPr>
      <w:r w:rsidRPr="00510442">
        <w:rPr>
          <w:color w:val="000000"/>
          <w:szCs w:val="22"/>
          <w:lang w:val="hr-HR"/>
        </w:rPr>
        <w:t>Svaka kapsula sadrži 100 mg imatiniba (</w:t>
      </w:r>
      <w:r w:rsidRPr="00510442">
        <w:rPr>
          <w:szCs w:val="22"/>
          <w:lang w:val="hr-HR"/>
        </w:rPr>
        <w:t>u obliku imatinibmesilata</w:t>
      </w:r>
      <w:r w:rsidRPr="00510442">
        <w:rPr>
          <w:color w:val="000000"/>
          <w:szCs w:val="22"/>
          <w:lang w:val="hr-HR"/>
        </w:rPr>
        <w:t>).</w:t>
      </w:r>
    </w:p>
    <w:p w14:paraId="7528DB58" w14:textId="77777777" w:rsidR="00182293" w:rsidRPr="00510442" w:rsidRDefault="00182293" w:rsidP="0091773C">
      <w:pPr>
        <w:widowControl w:val="0"/>
        <w:tabs>
          <w:tab w:val="clear" w:pos="567"/>
        </w:tabs>
        <w:spacing w:line="240" w:lineRule="auto"/>
        <w:rPr>
          <w:szCs w:val="22"/>
          <w:lang w:val="hr-HR"/>
        </w:rPr>
      </w:pPr>
    </w:p>
    <w:p w14:paraId="3B73C457" w14:textId="77777777" w:rsidR="009B57ED" w:rsidRPr="00510442" w:rsidRDefault="00742D63" w:rsidP="0091773C">
      <w:pPr>
        <w:widowControl w:val="0"/>
        <w:tabs>
          <w:tab w:val="clear" w:pos="567"/>
        </w:tabs>
        <w:spacing w:line="240" w:lineRule="auto"/>
        <w:rPr>
          <w:color w:val="000000"/>
          <w:szCs w:val="22"/>
          <w:lang w:val="hr-HR"/>
        </w:rPr>
      </w:pPr>
      <w:r w:rsidRPr="00510442">
        <w:rPr>
          <w:szCs w:val="22"/>
          <w:lang w:val="hr-HR"/>
        </w:rPr>
        <w:t>Za cjeloviti popis pomoćnih tvari vidjeti dio 6.1.</w:t>
      </w:r>
    </w:p>
    <w:p w14:paraId="634023BB" w14:textId="77777777" w:rsidR="009B57ED" w:rsidRPr="00510442" w:rsidRDefault="009B57ED" w:rsidP="0091773C">
      <w:pPr>
        <w:widowControl w:val="0"/>
        <w:tabs>
          <w:tab w:val="clear" w:pos="567"/>
        </w:tabs>
        <w:spacing w:line="240" w:lineRule="auto"/>
        <w:rPr>
          <w:color w:val="000000"/>
          <w:szCs w:val="22"/>
          <w:lang w:val="hr-HR"/>
        </w:rPr>
      </w:pPr>
    </w:p>
    <w:p w14:paraId="2EA7ACE1" w14:textId="77777777" w:rsidR="009B57ED" w:rsidRPr="00510442" w:rsidRDefault="009B57ED" w:rsidP="0091773C">
      <w:pPr>
        <w:widowControl w:val="0"/>
        <w:tabs>
          <w:tab w:val="clear" w:pos="567"/>
        </w:tabs>
        <w:spacing w:line="240" w:lineRule="auto"/>
        <w:rPr>
          <w:color w:val="000000"/>
          <w:szCs w:val="22"/>
          <w:lang w:val="hr-HR"/>
        </w:rPr>
      </w:pPr>
    </w:p>
    <w:p w14:paraId="719FF573" w14:textId="77777777" w:rsidR="00742D63" w:rsidRPr="00510442" w:rsidRDefault="00742D63" w:rsidP="00D44559">
      <w:pPr>
        <w:keepNext/>
        <w:tabs>
          <w:tab w:val="clear" w:pos="567"/>
        </w:tabs>
        <w:spacing w:line="240" w:lineRule="auto"/>
        <w:ind w:left="567" w:hanging="567"/>
        <w:rPr>
          <w:caps/>
          <w:szCs w:val="22"/>
          <w:lang w:val="hr-HR"/>
        </w:rPr>
      </w:pPr>
      <w:r w:rsidRPr="00510442">
        <w:rPr>
          <w:b/>
          <w:szCs w:val="22"/>
          <w:lang w:val="hr-HR"/>
        </w:rPr>
        <w:t>3.</w:t>
      </w:r>
      <w:r w:rsidRPr="00510442">
        <w:rPr>
          <w:b/>
          <w:szCs w:val="22"/>
          <w:lang w:val="hr-HR"/>
        </w:rPr>
        <w:tab/>
        <w:t>FARMACEUTSKI OBLIK</w:t>
      </w:r>
    </w:p>
    <w:p w14:paraId="20982215" w14:textId="77777777" w:rsidR="009B57ED" w:rsidRPr="00510442" w:rsidRDefault="009B57ED" w:rsidP="00D44559">
      <w:pPr>
        <w:pStyle w:val="EndnoteText"/>
        <w:keepNext/>
        <w:widowControl w:val="0"/>
        <w:tabs>
          <w:tab w:val="clear" w:pos="567"/>
        </w:tabs>
        <w:rPr>
          <w:color w:val="000000"/>
          <w:szCs w:val="22"/>
          <w:lang w:val="hr-HR"/>
        </w:rPr>
      </w:pPr>
    </w:p>
    <w:p w14:paraId="0760494A" w14:textId="77777777" w:rsidR="009B57ED" w:rsidRPr="00510442" w:rsidRDefault="00DA0566" w:rsidP="0091773C">
      <w:pPr>
        <w:widowControl w:val="0"/>
        <w:tabs>
          <w:tab w:val="clear" w:pos="567"/>
        </w:tabs>
        <w:spacing w:line="240" w:lineRule="auto"/>
        <w:rPr>
          <w:color w:val="000000"/>
          <w:szCs w:val="22"/>
          <w:lang w:val="hr-HR"/>
        </w:rPr>
      </w:pPr>
      <w:r w:rsidRPr="00510442">
        <w:rPr>
          <w:color w:val="000000"/>
          <w:szCs w:val="22"/>
          <w:lang w:val="hr-HR"/>
        </w:rPr>
        <w:t>Tvrda kapsula</w:t>
      </w:r>
    </w:p>
    <w:p w14:paraId="13E83E34" w14:textId="77777777" w:rsidR="009B57ED" w:rsidRPr="00510442" w:rsidRDefault="009B57ED" w:rsidP="0091773C">
      <w:pPr>
        <w:widowControl w:val="0"/>
        <w:tabs>
          <w:tab w:val="clear" w:pos="567"/>
        </w:tabs>
        <w:spacing w:line="240" w:lineRule="auto"/>
        <w:rPr>
          <w:color w:val="000000"/>
          <w:szCs w:val="22"/>
          <w:lang w:val="hr-HR"/>
        </w:rPr>
      </w:pPr>
    </w:p>
    <w:p w14:paraId="6EC323C0" w14:textId="77777777" w:rsidR="009B57ED" w:rsidRPr="00510442" w:rsidRDefault="006532C8" w:rsidP="0091773C">
      <w:pPr>
        <w:widowControl w:val="0"/>
        <w:tabs>
          <w:tab w:val="clear" w:pos="567"/>
        </w:tabs>
        <w:spacing w:line="240" w:lineRule="auto"/>
        <w:rPr>
          <w:color w:val="000000"/>
          <w:szCs w:val="22"/>
          <w:lang w:val="hr-HR"/>
        </w:rPr>
      </w:pPr>
      <w:r w:rsidRPr="00510442">
        <w:rPr>
          <w:color w:val="000000"/>
          <w:szCs w:val="22"/>
          <w:lang w:val="hr-HR"/>
        </w:rPr>
        <w:t xml:space="preserve">Bijeli do žuti prašak u narančastoj do sivkastonarančastoj neprozirnoj kapsuli, s oznakom </w:t>
      </w:r>
      <w:r w:rsidRPr="00510442">
        <w:rPr>
          <w:lang w:val="hr-HR"/>
        </w:rPr>
        <w:t>„</w:t>
      </w:r>
      <w:r w:rsidRPr="00510442">
        <w:rPr>
          <w:color w:val="000000"/>
          <w:szCs w:val="22"/>
          <w:lang w:val="hr-HR"/>
        </w:rPr>
        <w:t>NVR SI</w:t>
      </w:r>
      <w:r w:rsidRPr="00510442">
        <w:rPr>
          <w:lang w:val="hr-HR"/>
        </w:rPr>
        <w:t>“</w:t>
      </w:r>
      <w:r w:rsidRPr="00510442">
        <w:rPr>
          <w:color w:val="000000"/>
          <w:szCs w:val="22"/>
          <w:lang w:val="hr-HR"/>
        </w:rPr>
        <w:t>.</w:t>
      </w:r>
    </w:p>
    <w:p w14:paraId="4F3F649A" w14:textId="77777777" w:rsidR="00640815" w:rsidRPr="00510442" w:rsidRDefault="00640815" w:rsidP="0091773C">
      <w:pPr>
        <w:widowControl w:val="0"/>
        <w:tabs>
          <w:tab w:val="clear" w:pos="567"/>
        </w:tabs>
        <w:spacing w:line="240" w:lineRule="auto"/>
        <w:rPr>
          <w:color w:val="000000"/>
          <w:szCs w:val="22"/>
          <w:lang w:val="hr-HR"/>
        </w:rPr>
      </w:pPr>
    </w:p>
    <w:p w14:paraId="4E03387E" w14:textId="77777777" w:rsidR="006532C8" w:rsidRPr="00510442" w:rsidRDefault="006532C8" w:rsidP="0091773C">
      <w:pPr>
        <w:widowControl w:val="0"/>
        <w:tabs>
          <w:tab w:val="clear" w:pos="567"/>
        </w:tabs>
        <w:spacing w:line="240" w:lineRule="auto"/>
        <w:rPr>
          <w:color w:val="000000"/>
          <w:szCs w:val="22"/>
          <w:lang w:val="hr-HR"/>
        </w:rPr>
      </w:pPr>
    </w:p>
    <w:p w14:paraId="6C9B1DBA" w14:textId="77777777" w:rsidR="00742D63" w:rsidRPr="00510442" w:rsidRDefault="00742D63" w:rsidP="00D44559">
      <w:pPr>
        <w:keepNext/>
        <w:tabs>
          <w:tab w:val="clear" w:pos="567"/>
        </w:tabs>
        <w:spacing w:line="240" w:lineRule="auto"/>
        <w:ind w:left="567" w:hanging="567"/>
        <w:rPr>
          <w:caps/>
          <w:szCs w:val="22"/>
          <w:lang w:val="hr-HR"/>
        </w:rPr>
      </w:pPr>
      <w:r w:rsidRPr="00510442">
        <w:rPr>
          <w:b/>
          <w:caps/>
          <w:szCs w:val="22"/>
          <w:lang w:val="hr-HR"/>
        </w:rPr>
        <w:t>4.</w:t>
      </w:r>
      <w:r w:rsidRPr="00510442">
        <w:rPr>
          <w:b/>
          <w:caps/>
          <w:szCs w:val="22"/>
          <w:lang w:val="hr-HR"/>
        </w:rPr>
        <w:tab/>
        <w:t>KLINIČKI PODACI</w:t>
      </w:r>
    </w:p>
    <w:p w14:paraId="15D04E40" w14:textId="77777777" w:rsidR="009B57ED" w:rsidRPr="00510442" w:rsidRDefault="009B57ED" w:rsidP="00D44559">
      <w:pPr>
        <w:pStyle w:val="EndnoteText"/>
        <w:keepNext/>
        <w:widowControl w:val="0"/>
        <w:tabs>
          <w:tab w:val="clear" w:pos="567"/>
        </w:tabs>
        <w:rPr>
          <w:color w:val="000000"/>
          <w:szCs w:val="22"/>
          <w:lang w:val="hr-HR"/>
        </w:rPr>
      </w:pPr>
    </w:p>
    <w:p w14:paraId="7356B374" w14:textId="77777777" w:rsidR="00742D63" w:rsidRPr="00510442" w:rsidRDefault="00742D63" w:rsidP="00D44559">
      <w:pPr>
        <w:keepNext/>
        <w:tabs>
          <w:tab w:val="clear" w:pos="567"/>
        </w:tabs>
        <w:spacing w:line="240" w:lineRule="auto"/>
        <w:ind w:left="567" w:hanging="567"/>
        <w:outlineLvl w:val="0"/>
        <w:rPr>
          <w:szCs w:val="22"/>
          <w:lang w:val="hr-HR"/>
        </w:rPr>
      </w:pPr>
      <w:r w:rsidRPr="00510442">
        <w:rPr>
          <w:b/>
          <w:szCs w:val="22"/>
          <w:lang w:val="hr-HR"/>
        </w:rPr>
        <w:t>4.1</w:t>
      </w:r>
      <w:r w:rsidRPr="00510442">
        <w:rPr>
          <w:b/>
          <w:szCs w:val="22"/>
          <w:lang w:val="hr-HR"/>
        </w:rPr>
        <w:tab/>
        <w:t>Terapijske indikacije</w:t>
      </w:r>
    </w:p>
    <w:p w14:paraId="602F70E9" w14:textId="77777777" w:rsidR="009B57ED" w:rsidRPr="00510442" w:rsidRDefault="009B57ED" w:rsidP="00D44559">
      <w:pPr>
        <w:pStyle w:val="EndnoteText"/>
        <w:keepNext/>
        <w:widowControl w:val="0"/>
        <w:tabs>
          <w:tab w:val="clear" w:pos="567"/>
        </w:tabs>
        <w:rPr>
          <w:color w:val="000000"/>
          <w:szCs w:val="22"/>
          <w:lang w:val="hr-HR"/>
        </w:rPr>
      </w:pPr>
    </w:p>
    <w:p w14:paraId="170B7995" w14:textId="77777777" w:rsidR="008F1C56" w:rsidRPr="00510442" w:rsidRDefault="00B7409C" w:rsidP="00D44559">
      <w:pPr>
        <w:pStyle w:val="EndnoteText"/>
        <w:keepNext/>
        <w:widowControl w:val="0"/>
        <w:tabs>
          <w:tab w:val="clear" w:pos="567"/>
        </w:tabs>
        <w:rPr>
          <w:snapToGrid w:val="0"/>
          <w:color w:val="000000"/>
          <w:szCs w:val="22"/>
          <w:lang w:val="hr-HR" w:eastAsia="de-DE"/>
        </w:rPr>
      </w:pPr>
      <w:r w:rsidRPr="00510442">
        <w:rPr>
          <w:szCs w:val="22"/>
          <w:lang w:val="hr-HR"/>
        </w:rPr>
        <w:t>Glivec je indiciran za liječenje</w:t>
      </w:r>
    </w:p>
    <w:p w14:paraId="2E4401ED" w14:textId="77777777" w:rsidR="008F1C56" w:rsidRPr="00510442" w:rsidRDefault="00B7409C" w:rsidP="0091773C">
      <w:pPr>
        <w:pStyle w:val="EndnoteText"/>
        <w:widowControl w:val="0"/>
        <w:numPr>
          <w:ilvl w:val="0"/>
          <w:numId w:val="8"/>
        </w:numPr>
        <w:rPr>
          <w:snapToGrid w:val="0"/>
          <w:color w:val="000000"/>
          <w:szCs w:val="22"/>
          <w:lang w:val="hr-HR" w:eastAsia="de-DE"/>
        </w:rPr>
      </w:pPr>
      <w:r w:rsidRPr="00510442">
        <w:rPr>
          <w:szCs w:val="22"/>
          <w:lang w:val="hr-HR"/>
        </w:rPr>
        <w:t>odraslih i pedijatrijskih bolesnika s novodijagnosticiranom kroničnom mijeloičnom leukemijom (</w:t>
      </w:r>
      <w:r w:rsidR="00155FBC" w:rsidRPr="00510442">
        <w:rPr>
          <w:szCs w:val="22"/>
          <w:lang w:val="hr-HR"/>
        </w:rPr>
        <w:t>K</w:t>
      </w:r>
      <w:r w:rsidRPr="00510442">
        <w:rPr>
          <w:szCs w:val="22"/>
          <w:lang w:val="hr-HR"/>
        </w:rPr>
        <w:t>ML) s pozitivnim Philadelphia (Ph+) kromosomom (bcr-abl), u kojih se transplantacija koštane srži ne smatra prvom linijom liječenja.</w:t>
      </w:r>
    </w:p>
    <w:p w14:paraId="020AAECD" w14:textId="77777777" w:rsidR="008F1C56" w:rsidRPr="00510442" w:rsidRDefault="00B7409C" w:rsidP="0091773C">
      <w:pPr>
        <w:pStyle w:val="EndnoteText"/>
        <w:widowControl w:val="0"/>
        <w:numPr>
          <w:ilvl w:val="0"/>
          <w:numId w:val="8"/>
        </w:numPr>
        <w:rPr>
          <w:snapToGrid w:val="0"/>
          <w:color w:val="000000"/>
          <w:szCs w:val="22"/>
          <w:lang w:val="hr-HR" w:eastAsia="de-DE"/>
        </w:rPr>
      </w:pPr>
      <w:r w:rsidRPr="00510442">
        <w:rPr>
          <w:szCs w:val="22"/>
          <w:lang w:val="hr-HR"/>
        </w:rPr>
        <w:t xml:space="preserve">odraslih i pedijatrijskih bolesnika s Ph+ </w:t>
      </w:r>
      <w:r w:rsidR="00155FBC" w:rsidRPr="00510442">
        <w:rPr>
          <w:szCs w:val="22"/>
          <w:lang w:val="hr-HR"/>
        </w:rPr>
        <w:t>K</w:t>
      </w:r>
      <w:r w:rsidRPr="00510442">
        <w:rPr>
          <w:szCs w:val="22"/>
          <w:lang w:val="hr-HR"/>
        </w:rPr>
        <w:t>ML-om u kroničnoj fazi nakon neuspjeha terapije interferonom-alfa, ili u ubrzanoj fazi ili u blastičnoj krizi</w:t>
      </w:r>
      <w:r w:rsidR="008F1C56" w:rsidRPr="00510442">
        <w:rPr>
          <w:snapToGrid w:val="0"/>
          <w:color w:val="000000"/>
          <w:szCs w:val="22"/>
          <w:lang w:val="hr-HR" w:eastAsia="de-DE"/>
        </w:rPr>
        <w:t>.</w:t>
      </w:r>
    </w:p>
    <w:p w14:paraId="6EE0AFCF" w14:textId="77777777" w:rsidR="00613FFC" w:rsidRPr="00510442" w:rsidRDefault="002C5CC7" w:rsidP="0091773C">
      <w:pPr>
        <w:pStyle w:val="EndnoteText"/>
        <w:widowControl w:val="0"/>
        <w:numPr>
          <w:ilvl w:val="0"/>
          <w:numId w:val="8"/>
        </w:numPr>
        <w:rPr>
          <w:snapToGrid w:val="0"/>
          <w:color w:val="000000"/>
          <w:szCs w:val="22"/>
          <w:lang w:val="hr-HR" w:eastAsia="de-DE"/>
        </w:rPr>
      </w:pPr>
      <w:r w:rsidRPr="00510442">
        <w:rPr>
          <w:szCs w:val="22"/>
          <w:lang w:val="hr-HR"/>
        </w:rPr>
        <w:t>o</w:t>
      </w:r>
      <w:r w:rsidR="00B7409C" w:rsidRPr="00510442">
        <w:rPr>
          <w:szCs w:val="22"/>
          <w:lang w:val="hr-HR"/>
        </w:rPr>
        <w:t>draslih</w:t>
      </w:r>
      <w:r w:rsidR="00137A3C" w:rsidRPr="00510442">
        <w:rPr>
          <w:szCs w:val="22"/>
          <w:lang w:val="hr-HR"/>
        </w:rPr>
        <w:t xml:space="preserve"> i pedijatrijskih</w:t>
      </w:r>
      <w:r w:rsidR="00B7409C" w:rsidRPr="00510442">
        <w:rPr>
          <w:szCs w:val="22"/>
          <w:lang w:val="hr-HR"/>
        </w:rPr>
        <w:t xml:space="preserve"> bolesnika s novodijagnosticiranom akutnom limfoblastičnom leukemijom s pozitivnim Philadelphia kromosomom (Ph+ ALL) uz kemoterapiju</w:t>
      </w:r>
      <w:r w:rsidR="00613FFC" w:rsidRPr="00510442">
        <w:rPr>
          <w:color w:val="000000"/>
          <w:szCs w:val="22"/>
          <w:lang w:val="hr-HR"/>
        </w:rPr>
        <w:t>.</w:t>
      </w:r>
    </w:p>
    <w:p w14:paraId="3CC58107" w14:textId="77777777" w:rsidR="00613FFC" w:rsidRPr="00510442" w:rsidRDefault="00F25BEC" w:rsidP="0091773C">
      <w:pPr>
        <w:pStyle w:val="EndnoteText"/>
        <w:widowControl w:val="0"/>
        <w:numPr>
          <w:ilvl w:val="0"/>
          <w:numId w:val="8"/>
        </w:numPr>
        <w:rPr>
          <w:snapToGrid w:val="0"/>
          <w:color w:val="000000"/>
          <w:szCs w:val="22"/>
          <w:lang w:val="hr-HR" w:eastAsia="de-DE"/>
        </w:rPr>
      </w:pPr>
      <w:r w:rsidRPr="00510442">
        <w:rPr>
          <w:szCs w:val="22"/>
          <w:lang w:val="hr-HR"/>
        </w:rPr>
        <w:t>odraslih bolesnika s recidivirajućim ili refraktornim Ph+ ALL-om u obliku monoterapije</w:t>
      </w:r>
      <w:r w:rsidR="00613FFC" w:rsidRPr="00510442">
        <w:rPr>
          <w:rFonts w:eastAsia="MS Mincho"/>
          <w:color w:val="000000"/>
          <w:szCs w:val="22"/>
          <w:lang w:val="hr-HR" w:eastAsia="ja-JP"/>
        </w:rPr>
        <w:t>.</w:t>
      </w:r>
    </w:p>
    <w:p w14:paraId="7FF3B870" w14:textId="77777777" w:rsidR="00632833" w:rsidRPr="00510442" w:rsidRDefault="003F46A8" w:rsidP="0091773C">
      <w:pPr>
        <w:pStyle w:val="EndnoteText"/>
        <w:widowControl w:val="0"/>
        <w:numPr>
          <w:ilvl w:val="0"/>
          <w:numId w:val="8"/>
        </w:numPr>
        <w:rPr>
          <w:snapToGrid w:val="0"/>
          <w:color w:val="000000"/>
          <w:szCs w:val="22"/>
          <w:lang w:val="hr-HR" w:eastAsia="de-DE"/>
        </w:rPr>
      </w:pPr>
      <w:r w:rsidRPr="00510442">
        <w:rPr>
          <w:szCs w:val="22"/>
          <w:lang w:val="hr-HR"/>
        </w:rPr>
        <w:t>odraslih bolesnika s mijelodisplastičnim/mijeloproliferativnim bolestima (MDS/MPD) povezanim s preraspodjelom gena za receptor za faktor rasta koji potječe od trombocita (PDGFR)</w:t>
      </w:r>
      <w:r w:rsidR="00632833" w:rsidRPr="00510442">
        <w:rPr>
          <w:snapToGrid w:val="0"/>
          <w:color w:val="000000"/>
          <w:szCs w:val="22"/>
          <w:lang w:val="hr-HR"/>
        </w:rPr>
        <w:t>.</w:t>
      </w:r>
    </w:p>
    <w:p w14:paraId="43F7AB28" w14:textId="77777777" w:rsidR="002B5150" w:rsidRPr="00307897" w:rsidRDefault="003F46A8" w:rsidP="0091773C">
      <w:pPr>
        <w:pStyle w:val="EndnoteText"/>
        <w:widowControl w:val="0"/>
        <w:numPr>
          <w:ilvl w:val="0"/>
          <w:numId w:val="8"/>
        </w:numPr>
        <w:rPr>
          <w:snapToGrid w:val="0"/>
          <w:color w:val="000000"/>
          <w:szCs w:val="22"/>
          <w:lang w:val="hr-HR" w:eastAsia="de-DE"/>
        </w:rPr>
      </w:pPr>
      <w:r w:rsidRPr="00510442">
        <w:rPr>
          <w:szCs w:val="22"/>
          <w:lang w:val="hr-HR"/>
        </w:rPr>
        <w:t>odraslih bolesnika s uznapredovalim hipereozinofilnim sindromom (HES) i/ili kroničnom eozinofilnom leukemijom (</w:t>
      </w:r>
      <w:r w:rsidR="00D46E4E" w:rsidRPr="00510442">
        <w:rPr>
          <w:szCs w:val="22"/>
          <w:lang w:val="hr-HR"/>
        </w:rPr>
        <w:t>K</w:t>
      </w:r>
      <w:r w:rsidRPr="00510442">
        <w:rPr>
          <w:szCs w:val="22"/>
          <w:lang w:val="hr-HR"/>
        </w:rPr>
        <w:t xml:space="preserve">EL) s </w:t>
      </w:r>
      <w:r w:rsidR="002B5150" w:rsidRPr="00510442">
        <w:rPr>
          <w:color w:val="000000"/>
          <w:szCs w:val="22"/>
          <w:lang w:val="hr-HR"/>
        </w:rPr>
        <w:t>FIP1L1-PDGFR</w:t>
      </w:r>
      <w:r w:rsidR="002B5150" w:rsidRPr="00307897">
        <w:rPr>
          <w:color w:val="000000"/>
          <w:szCs w:val="22"/>
          <w:lang w:val="hr-HR"/>
        </w:rPr>
        <w:sym w:font="Symbol" w:char="F061"/>
      </w:r>
      <w:r w:rsidR="002B5150" w:rsidRPr="00307897">
        <w:rPr>
          <w:color w:val="000000"/>
          <w:szCs w:val="22"/>
          <w:lang w:val="hr-HR"/>
        </w:rPr>
        <w:t xml:space="preserve"> </w:t>
      </w:r>
      <w:r w:rsidRPr="00307897">
        <w:rPr>
          <w:szCs w:val="22"/>
          <w:lang w:val="hr-HR"/>
        </w:rPr>
        <w:t>preraspodjelom</w:t>
      </w:r>
      <w:r w:rsidR="002B5150" w:rsidRPr="00307897">
        <w:rPr>
          <w:color w:val="000000"/>
          <w:szCs w:val="22"/>
          <w:lang w:val="hr-HR"/>
        </w:rPr>
        <w:t>.</w:t>
      </w:r>
    </w:p>
    <w:p w14:paraId="0F6DEAC9" w14:textId="77777777" w:rsidR="008F1C56" w:rsidRPr="00A00164" w:rsidRDefault="008F1C56" w:rsidP="0091773C">
      <w:pPr>
        <w:pStyle w:val="EndnoteText"/>
        <w:widowControl w:val="0"/>
        <w:tabs>
          <w:tab w:val="clear" w:pos="567"/>
        </w:tabs>
        <w:rPr>
          <w:snapToGrid w:val="0"/>
          <w:color w:val="000000"/>
          <w:szCs w:val="22"/>
          <w:lang w:val="hr-HR" w:eastAsia="de-DE"/>
        </w:rPr>
      </w:pPr>
    </w:p>
    <w:p w14:paraId="06D4DEEA" w14:textId="404D9D9B" w:rsidR="008F1C56" w:rsidRPr="00510442" w:rsidRDefault="003F46A8" w:rsidP="0091773C">
      <w:pPr>
        <w:pStyle w:val="EndnoteText"/>
        <w:widowControl w:val="0"/>
        <w:tabs>
          <w:tab w:val="clear" w:pos="567"/>
        </w:tabs>
        <w:rPr>
          <w:color w:val="000000"/>
          <w:szCs w:val="22"/>
          <w:lang w:val="hr-HR"/>
        </w:rPr>
      </w:pPr>
      <w:r w:rsidRPr="00973BDD">
        <w:rPr>
          <w:szCs w:val="22"/>
          <w:lang w:val="hr-HR"/>
        </w:rPr>
        <w:t>Učinak</w:t>
      </w:r>
      <w:r w:rsidR="00512481">
        <w:rPr>
          <w:szCs w:val="22"/>
          <w:lang w:val="hr-HR"/>
        </w:rPr>
        <w:t xml:space="preserve"> lijeka</w:t>
      </w:r>
      <w:r w:rsidRPr="00973BDD">
        <w:rPr>
          <w:szCs w:val="22"/>
          <w:lang w:val="hr-HR"/>
        </w:rPr>
        <w:t xml:space="preserve"> Glivec na ishod transplantacije koštane s</w:t>
      </w:r>
      <w:r w:rsidRPr="000B51EB">
        <w:rPr>
          <w:szCs w:val="22"/>
          <w:lang w:val="hr-HR"/>
        </w:rPr>
        <w:t>rži nije utvrđen</w:t>
      </w:r>
      <w:r w:rsidR="008F1C56" w:rsidRPr="00510442">
        <w:rPr>
          <w:snapToGrid w:val="0"/>
          <w:color w:val="000000"/>
          <w:szCs w:val="22"/>
          <w:lang w:val="hr-HR" w:eastAsia="de-DE"/>
        </w:rPr>
        <w:t>.</w:t>
      </w:r>
    </w:p>
    <w:p w14:paraId="2F786BD5" w14:textId="77777777" w:rsidR="008F1C56" w:rsidRPr="00510442" w:rsidRDefault="008F1C56" w:rsidP="0091773C">
      <w:pPr>
        <w:widowControl w:val="0"/>
        <w:tabs>
          <w:tab w:val="clear" w:pos="567"/>
        </w:tabs>
        <w:spacing w:line="240" w:lineRule="auto"/>
        <w:rPr>
          <w:color w:val="000000"/>
          <w:szCs w:val="22"/>
          <w:lang w:val="hr-HR"/>
        </w:rPr>
      </w:pPr>
    </w:p>
    <w:p w14:paraId="39CDA664" w14:textId="77777777" w:rsidR="00936EF9" w:rsidRPr="00510442" w:rsidRDefault="003F46A8" w:rsidP="00D44559">
      <w:pPr>
        <w:keepNext/>
        <w:widowControl w:val="0"/>
        <w:tabs>
          <w:tab w:val="clear" w:pos="567"/>
        </w:tabs>
        <w:spacing w:line="240" w:lineRule="auto"/>
        <w:rPr>
          <w:color w:val="000000"/>
          <w:szCs w:val="22"/>
          <w:lang w:val="hr-HR"/>
        </w:rPr>
      </w:pPr>
      <w:r w:rsidRPr="00510442">
        <w:rPr>
          <w:szCs w:val="22"/>
          <w:lang w:val="hr-HR"/>
        </w:rPr>
        <w:t>Glivec je indiciran za</w:t>
      </w:r>
    </w:p>
    <w:p w14:paraId="21752644" w14:textId="77777777" w:rsidR="00936EF9" w:rsidRPr="00510442" w:rsidRDefault="003F46A8" w:rsidP="00D44559">
      <w:pPr>
        <w:keepLines/>
        <w:widowControl w:val="0"/>
        <w:numPr>
          <w:ilvl w:val="0"/>
          <w:numId w:val="11"/>
        </w:numPr>
        <w:tabs>
          <w:tab w:val="clear" w:pos="227"/>
          <w:tab w:val="clear" w:pos="567"/>
        </w:tabs>
        <w:spacing w:line="240" w:lineRule="auto"/>
        <w:ind w:left="567" w:hanging="567"/>
        <w:rPr>
          <w:color w:val="000000"/>
          <w:szCs w:val="22"/>
          <w:lang w:val="hr-HR"/>
        </w:rPr>
      </w:pPr>
      <w:r w:rsidRPr="00510442">
        <w:rPr>
          <w:szCs w:val="22"/>
          <w:lang w:val="hr-HR"/>
        </w:rPr>
        <w:t>liječenje odraslih bolesnika s Kit (CD 117) pozitivnim inoperabilnim i/ili metastazirajućim malignim gastrointestinalnim stromalnim tumorima (GIST)</w:t>
      </w:r>
      <w:r w:rsidR="00936EF9" w:rsidRPr="00510442">
        <w:rPr>
          <w:color w:val="000000"/>
          <w:szCs w:val="22"/>
          <w:lang w:val="hr-HR"/>
        </w:rPr>
        <w:t>.</w:t>
      </w:r>
    </w:p>
    <w:p w14:paraId="2649D3AC" w14:textId="77777777" w:rsidR="00936EF9" w:rsidRPr="00510442" w:rsidRDefault="003F46A8" w:rsidP="0091773C">
      <w:pPr>
        <w:numPr>
          <w:ilvl w:val="0"/>
          <w:numId w:val="11"/>
        </w:numPr>
        <w:tabs>
          <w:tab w:val="clear" w:pos="227"/>
          <w:tab w:val="num" w:pos="567"/>
        </w:tabs>
        <w:autoSpaceDE w:val="0"/>
        <w:autoSpaceDN w:val="0"/>
        <w:adjustRightInd w:val="0"/>
        <w:spacing w:line="240" w:lineRule="auto"/>
        <w:ind w:left="567" w:hanging="567"/>
        <w:rPr>
          <w:color w:val="000000"/>
          <w:szCs w:val="22"/>
          <w:lang w:val="hr-HR"/>
        </w:rPr>
      </w:pPr>
      <w:r w:rsidRPr="00510442">
        <w:rPr>
          <w:szCs w:val="22"/>
          <w:lang w:val="hr-HR"/>
        </w:rPr>
        <w:t xml:space="preserve">adjuvantno liječenje odraslih bolesnika s visokim rizikom od recidiva bolesti nakon resekcije </w:t>
      </w:r>
      <w:r w:rsidR="00936EF9" w:rsidRPr="00510442">
        <w:rPr>
          <w:color w:val="000000"/>
          <w:szCs w:val="22"/>
          <w:lang w:val="hr-HR"/>
        </w:rPr>
        <w:t>Kit (CD117)-</w:t>
      </w:r>
      <w:r w:rsidRPr="00510442">
        <w:rPr>
          <w:szCs w:val="22"/>
          <w:lang w:val="hr-HR"/>
        </w:rPr>
        <w:t xml:space="preserve">pozitivnog GIST-a. Bolesnici s niskim ili vrlo niskim rizikom od recidiva ne </w:t>
      </w:r>
      <w:r w:rsidR="004A3191" w:rsidRPr="00510442">
        <w:rPr>
          <w:szCs w:val="22"/>
          <w:lang w:val="hr-HR"/>
        </w:rPr>
        <w:t>bi trebali</w:t>
      </w:r>
      <w:r w:rsidRPr="00510442">
        <w:rPr>
          <w:szCs w:val="22"/>
          <w:lang w:val="hr-HR"/>
        </w:rPr>
        <w:t xml:space="preserve"> primati adjuvantno liječenje</w:t>
      </w:r>
      <w:r w:rsidR="00936EF9" w:rsidRPr="00510442">
        <w:rPr>
          <w:color w:val="000000"/>
          <w:szCs w:val="22"/>
          <w:lang w:val="hr-HR"/>
        </w:rPr>
        <w:t>.</w:t>
      </w:r>
    </w:p>
    <w:p w14:paraId="794A4692" w14:textId="77777777" w:rsidR="00936EF9" w:rsidRPr="00510442" w:rsidRDefault="00F34803" w:rsidP="0091773C">
      <w:pPr>
        <w:widowControl w:val="0"/>
        <w:numPr>
          <w:ilvl w:val="0"/>
          <w:numId w:val="10"/>
        </w:numPr>
        <w:tabs>
          <w:tab w:val="clear" w:pos="227"/>
          <w:tab w:val="clear" w:pos="567"/>
        </w:tabs>
        <w:spacing w:line="240" w:lineRule="auto"/>
        <w:ind w:left="567" w:hanging="567"/>
        <w:rPr>
          <w:color w:val="000000"/>
          <w:szCs w:val="22"/>
          <w:lang w:val="hr-HR"/>
        </w:rPr>
      </w:pPr>
      <w:r w:rsidRPr="00510442">
        <w:rPr>
          <w:szCs w:val="22"/>
          <w:lang w:val="hr-HR"/>
        </w:rPr>
        <w:t>liječenje odraslih bolesnika s inoperabilnim dermatofibrosarkomom protuberans (DFSP) i odraslih bolesnika s rekurentnim i/ili metastazirajućim DFSP-om koji nisu podobni za kirurški zahvat</w:t>
      </w:r>
      <w:r w:rsidR="00936EF9" w:rsidRPr="00510442">
        <w:rPr>
          <w:color w:val="000000"/>
          <w:szCs w:val="22"/>
          <w:lang w:val="hr-HR"/>
        </w:rPr>
        <w:t>.</w:t>
      </w:r>
    </w:p>
    <w:p w14:paraId="31824E1E" w14:textId="77777777" w:rsidR="00936EF9" w:rsidRPr="00510442" w:rsidRDefault="00936EF9" w:rsidP="0091773C">
      <w:pPr>
        <w:widowControl w:val="0"/>
        <w:tabs>
          <w:tab w:val="clear" w:pos="567"/>
        </w:tabs>
        <w:spacing w:line="240" w:lineRule="auto"/>
        <w:rPr>
          <w:color w:val="000000"/>
          <w:szCs w:val="22"/>
          <w:lang w:val="hr-HR"/>
        </w:rPr>
      </w:pPr>
    </w:p>
    <w:p w14:paraId="6EFBB122" w14:textId="40E4D69F" w:rsidR="008F1C56" w:rsidRPr="00510442" w:rsidRDefault="00C26911" w:rsidP="0091773C">
      <w:pPr>
        <w:pStyle w:val="Text"/>
        <w:widowControl w:val="0"/>
        <w:spacing w:before="0"/>
        <w:jc w:val="left"/>
        <w:rPr>
          <w:sz w:val="22"/>
          <w:szCs w:val="22"/>
          <w:lang w:val="hr-HR"/>
        </w:rPr>
      </w:pPr>
      <w:r w:rsidRPr="00510442">
        <w:rPr>
          <w:sz w:val="22"/>
          <w:szCs w:val="22"/>
          <w:lang w:val="hr-HR"/>
        </w:rPr>
        <w:t xml:space="preserve">Učinkovitost </w:t>
      </w:r>
      <w:r w:rsidR="00512481">
        <w:rPr>
          <w:sz w:val="22"/>
          <w:szCs w:val="22"/>
          <w:lang w:val="hr-HR"/>
        </w:rPr>
        <w:t xml:space="preserve">lijeka </w:t>
      </w:r>
      <w:r w:rsidR="00162ACF" w:rsidRPr="00510442">
        <w:rPr>
          <w:sz w:val="22"/>
          <w:szCs w:val="22"/>
          <w:lang w:val="hr-HR"/>
        </w:rPr>
        <w:t xml:space="preserve">Glivec u odraslih i pedijatrijskih bolesnika temelji se na ukupnim hematološkim i </w:t>
      </w:r>
      <w:r w:rsidR="00162ACF" w:rsidRPr="00510442">
        <w:rPr>
          <w:sz w:val="22"/>
          <w:szCs w:val="22"/>
          <w:lang w:val="hr-HR"/>
        </w:rPr>
        <w:lastRenderedPageBreak/>
        <w:t>citogenetskim stopama odgovora i preživlj</w:t>
      </w:r>
      <w:r w:rsidR="007E2D86" w:rsidRPr="00510442">
        <w:rPr>
          <w:sz w:val="22"/>
          <w:szCs w:val="22"/>
          <w:lang w:val="hr-HR"/>
        </w:rPr>
        <w:t>e</w:t>
      </w:r>
      <w:r w:rsidR="00162ACF" w:rsidRPr="00510442">
        <w:rPr>
          <w:sz w:val="22"/>
          <w:szCs w:val="22"/>
          <w:lang w:val="hr-HR"/>
        </w:rPr>
        <w:t xml:space="preserve">nju bez napredovanja bolesti u bolesnika sa </w:t>
      </w:r>
      <w:r w:rsidR="00CA0085" w:rsidRPr="00510442">
        <w:rPr>
          <w:sz w:val="22"/>
          <w:szCs w:val="22"/>
          <w:lang w:val="hr-HR"/>
        </w:rPr>
        <w:t>K</w:t>
      </w:r>
      <w:r w:rsidR="00162ACF" w:rsidRPr="00510442">
        <w:rPr>
          <w:sz w:val="22"/>
          <w:szCs w:val="22"/>
          <w:lang w:val="hr-HR"/>
        </w:rPr>
        <w:t>ML-om, na hematološkim i citogenetskim stopama odgovor</w:t>
      </w:r>
      <w:r w:rsidR="004A3191" w:rsidRPr="00510442">
        <w:rPr>
          <w:sz w:val="22"/>
          <w:szCs w:val="22"/>
          <w:lang w:val="hr-HR"/>
        </w:rPr>
        <w:t>a</w:t>
      </w:r>
      <w:r w:rsidR="00162ACF" w:rsidRPr="00510442">
        <w:rPr>
          <w:sz w:val="22"/>
          <w:szCs w:val="22"/>
          <w:lang w:val="hr-HR"/>
        </w:rPr>
        <w:t xml:space="preserve"> u bolesnika s Ph+ </w:t>
      </w:r>
      <w:smartTag w:uri="urn:schemas-microsoft-com:office:smarttags" w:element="stockticker">
        <w:r w:rsidR="00162ACF" w:rsidRPr="00510442">
          <w:rPr>
            <w:sz w:val="22"/>
            <w:szCs w:val="22"/>
            <w:lang w:val="hr-HR"/>
          </w:rPr>
          <w:t>ALL</w:t>
        </w:r>
      </w:smartTag>
      <w:r w:rsidR="00162ACF" w:rsidRPr="00510442">
        <w:rPr>
          <w:sz w:val="22"/>
          <w:szCs w:val="22"/>
          <w:lang w:val="hr-HR"/>
        </w:rPr>
        <w:t xml:space="preserve">-om i </w:t>
      </w:r>
      <w:smartTag w:uri="urn:schemas-microsoft-com:office:smarttags" w:element="stockticker">
        <w:r w:rsidR="00162ACF" w:rsidRPr="00510442">
          <w:rPr>
            <w:sz w:val="22"/>
            <w:szCs w:val="22"/>
            <w:lang w:val="hr-HR"/>
          </w:rPr>
          <w:t>MDS</w:t>
        </w:r>
      </w:smartTag>
      <w:r w:rsidR="00162ACF" w:rsidRPr="00510442">
        <w:rPr>
          <w:sz w:val="22"/>
          <w:szCs w:val="22"/>
          <w:lang w:val="hr-HR"/>
        </w:rPr>
        <w:t>/MPD-om, na hematološkim stopama odgovora u bolesnika s HES/</w:t>
      </w:r>
      <w:r w:rsidR="00D46E4E" w:rsidRPr="00510442">
        <w:rPr>
          <w:sz w:val="22"/>
          <w:szCs w:val="22"/>
          <w:lang w:val="hr-HR"/>
        </w:rPr>
        <w:t>K</w:t>
      </w:r>
      <w:r w:rsidR="00162ACF" w:rsidRPr="00510442">
        <w:rPr>
          <w:sz w:val="22"/>
          <w:szCs w:val="22"/>
          <w:lang w:val="hr-HR"/>
        </w:rPr>
        <w:t>EL-om, na objektivnim stopama odgovora u odraslih bolesnika s inoperabilnim i/ili metastazirajućim GIST-om i DFSP-om te na preživlj</w:t>
      </w:r>
      <w:r w:rsidR="007E2D86" w:rsidRPr="00510442">
        <w:rPr>
          <w:sz w:val="22"/>
          <w:szCs w:val="22"/>
          <w:lang w:val="hr-HR"/>
        </w:rPr>
        <w:t>e</w:t>
      </w:r>
      <w:r w:rsidR="00162ACF" w:rsidRPr="00510442">
        <w:rPr>
          <w:sz w:val="22"/>
          <w:szCs w:val="22"/>
          <w:lang w:val="hr-HR"/>
        </w:rPr>
        <w:t xml:space="preserve">nju bez recidiva bolesti kod adjuvantnog liječenja GIST-a. Iskustvo s </w:t>
      </w:r>
      <w:r w:rsidR="00960218">
        <w:rPr>
          <w:sz w:val="22"/>
          <w:szCs w:val="22"/>
          <w:lang w:val="hr-HR"/>
        </w:rPr>
        <w:t xml:space="preserve">lijekom </w:t>
      </w:r>
      <w:r w:rsidR="00162ACF" w:rsidRPr="00510442">
        <w:rPr>
          <w:sz w:val="22"/>
          <w:szCs w:val="22"/>
          <w:lang w:val="hr-HR"/>
        </w:rPr>
        <w:t xml:space="preserve">Glivec u bolesnika s </w:t>
      </w:r>
      <w:smartTag w:uri="urn:schemas-microsoft-com:office:smarttags" w:element="stockticker">
        <w:r w:rsidR="00162ACF" w:rsidRPr="00510442">
          <w:rPr>
            <w:sz w:val="22"/>
            <w:szCs w:val="22"/>
            <w:lang w:val="hr-HR"/>
          </w:rPr>
          <w:t>MDS</w:t>
        </w:r>
      </w:smartTag>
      <w:r w:rsidR="00162ACF" w:rsidRPr="00510442">
        <w:rPr>
          <w:sz w:val="22"/>
          <w:szCs w:val="22"/>
          <w:lang w:val="hr-HR"/>
        </w:rPr>
        <w:t>/MPD</w:t>
      </w:r>
      <w:r w:rsidR="009C46A4" w:rsidRPr="00510442">
        <w:rPr>
          <w:sz w:val="22"/>
          <w:szCs w:val="22"/>
          <w:lang w:val="hr-HR"/>
        </w:rPr>
        <w:noBreakHyphen/>
      </w:r>
      <w:r w:rsidR="00162ACF" w:rsidRPr="00510442">
        <w:rPr>
          <w:sz w:val="22"/>
          <w:szCs w:val="22"/>
          <w:lang w:val="hr-HR"/>
        </w:rPr>
        <w:t xml:space="preserve">om povezanim s preraspodjelom gena za PDGFR je vrlo ograničeno (vidjeti dio 5.1). Osim za novodijagnosticirani </w:t>
      </w:r>
      <w:r w:rsidR="007F5760" w:rsidRPr="00510442">
        <w:rPr>
          <w:sz w:val="22"/>
          <w:szCs w:val="22"/>
          <w:lang w:val="hr-HR"/>
        </w:rPr>
        <w:t>K</w:t>
      </w:r>
      <w:r w:rsidR="00162ACF" w:rsidRPr="00510442">
        <w:rPr>
          <w:sz w:val="22"/>
          <w:szCs w:val="22"/>
          <w:lang w:val="hr-HR"/>
        </w:rPr>
        <w:t>ML u kroničnoj fazi, ne postoje kontrolirana ispitivanja koja bi demonstrirala kliničku korist ili povećano preživlj</w:t>
      </w:r>
      <w:r w:rsidR="007E2D86" w:rsidRPr="00510442">
        <w:rPr>
          <w:sz w:val="22"/>
          <w:szCs w:val="22"/>
          <w:lang w:val="hr-HR"/>
        </w:rPr>
        <w:t>e</w:t>
      </w:r>
      <w:r w:rsidR="00162ACF" w:rsidRPr="00510442">
        <w:rPr>
          <w:sz w:val="22"/>
          <w:szCs w:val="22"/>
          <w:lang w:val="hr-HR"/>
        </w:rPr>
        <w:t>nje za ove bolesti.</w:t>
      </w:r>
    </w:p>
    <w:p w14:paraId="48C75632" w14:textId="77777777" w:rsidR="009B57ED" w:rsidRPr="00510442" w:rsidRDefault="009B57ED" w:rsidP="0091773C">
      <w:pPr>
        <w:pStyle w:val="Text"/>
        <w:widowControl w:val="0"/>
        <w:spacing w:before="0"/>
        <w:jc w:val="left"/>
        <w:rPr>
          <w:color w:val="000000"/>
          <w:sz w:val="22"/>
          <w:szCs w:val="22"/>
          <w:lang w:val="hr-HR"/>
        </w:rPr>
      </w:pPr>
    </w:p>
    <w:p w14:paraId="224284EC" w14:textId="77777777" w:rsidR="00742D63" w:rsidRPr="00510442" w:rsidRDefault="0091773C" w:rsidP="00D44559">
      <w:pPr>
        <w:keepNext/>
        <w:tabs>
          <w:tab w:val="clear" w:pos="567"/>
        </w:tabs>
        <w:spacing w:line="240" w:lineRule="auto"/>
        <w:ind w:left="567" w:hanging="567"/>
        <w:outlineLvl w:val="0"/>
        <w:rPr>
          <w:b/>
          <w:szCs w:val="22"/>
          <w:lang w:val="hr-HR"/>
        </w:rPr>
      </w:pPr>
      <w:r w:rsidRPr="00510442">
        <w:rPr>
          <w:b/>
          <w:szCs w:val="22"/>
          <w:lang w:val="hr-HR"/>
        </w:rPr>
        <w:t>4.2</w:t>
      </w:r>
      <w:r w:rsidRPr="00510442">
        <w:rPr>
          <w:b/>
          <w:szCs w:val="22"/>
          <w:lang w:val="hr-HR"/>
        </w:rPr>
        <w:tab/>
      </w:r>
      <w:r w:rsidR="00742D63" w:rsidRPr="00510442">
        <w:rPr>
          <w:b/>
          <w:szCs w:val="22"/>
          <w:lang w:val="hr-HR"/>
        </w:rPr>
        <w:t>Doziranje i način primjene</w:t>
      </w:r>
    </w:p>
    <w:p w14:paraId="6CF21385" w14:textId="77777777" w:rsidR="009B57ED" w:rsidRPr="00510442" w:rsidRDefault="009B57ED" w:rsidP="00D44559">
      <w:pPr>
        <w:pStyle w:val="EndnoteText"/>
        <w:keepNext/>
        <w:widowControl w:val="0"/>
        <w:tabs>
          <w:tab w:val="clear" w:pos="567"/>
        </w:tabs>
        <w:rPr>
          <w:color w:val="000000"/>
          <w:szCs w:val="22"/>
          <w:lang w:val="hr-HR"/>
        </w:rPr>
      </w:pPr>
    </w:p>
    <w:p w14:paraId="1DE3C197" w14:textId="77777777" w:rsidR="009B57ED" w:rsidRPr="00510442" w:rsidRDefault="005B41AE" w:rsidP="0091773C">
      <w:pPr>
        <w:pStyle w:val="EndnoteText"/>
        <w:widowControl w:val="0"/>
        <w:tabs>
          <w:tab w:val="clear" w:pos="567"/>
        </w:tabs>
        <w:rPr>
          <w:color w:val="000000"/>
          <w:szCs w:val="22"/>
          <w:lang w:val="hr-HR"/>
        </w:rPr>
      </w:pPr>
      <w:r w:rsidRPr="00510442">
        <w:rPr>
          <w:szCs w:val="22"/>
          <w:lang w:val="hr-HR"/>
        </w:rPr>
        <w:t>Terapiju treba započeti liječnik s iskustvom u liječenju bolesnika s hematološkim zloćudnim bolestima, odnosno malignim sarkomima</w:t>
      </w:r>
      <w:r w:rsidR="0078783A" w:rsidRPr="00510442">
        <w:rPr>
          <w:color w:val="000000"/>
          <w:szCs w:val="22"/>
          <w:lang w:val="hr-HR"/>
        </w:rPr>
        <w:t>.</w:t>
      </w:r>
    </w:p>
    <w:p w14:paraId="45868377" w14:textId="77777777" w:rsidR="00267D64" w:rsidRPr="00510442" w:rsidRDefault="00267D64" w:rsidP="0091773C">
      <w:pPr>
        <w:pStyle w:val="EndnoteText"/>
        <w:widowControl w:val="0"/>
        <w:tabs>
          <w:tab w:val="clear" w:pos="567"/>
        </w:tabs>
        <w:rPr>
          <w:color w:val="000000"/>
          <w:szCs w:val="22"/>
          <w:lang w:val="hr-HR"/>
        </w:rPr>
      </w:pPr>
    </w:p>
    <w:p w14:paraId="546E3C41" w14:textId="77777777" w:rsidR="009B57ED" w:rsidRPr="00510442" w:rsidRDefault="00AD3117" w:rsidP="007F1BD0">
      <w:pPr>
        <w:pStyle w:val="EndnoteText"/>
        <w:widowControl w:val="0"/>
        <w:tabs>
          <w:tab w:val="clear" w:pos="567"/>
        </w:tabs>
        <w:rPr>
          <w:szCs w:val="22"/>
          <w:lang w:val="hr-HR"/>
        </w:rPr>
      </w:pPr>
      <w:r w:rsidRPr="00510442">
        <w:rPr>
          <w:szCs w:val="22"/>
          <w:lang w:val="hr-HR"/>
        </w:rPr>
        <w:t xml:space="preserve">Preporučenu dozu treba primjenjivati </w:t>
      </w:r>
      <w:r w:rsidR="009B0F54" w:rsidRPr="00510442">
        <w:rPr>
          <w:szCs w:val="22"/>
          <w:lang w:val="hr-HR"/>
        </w:rPr>
        <w:t>per</w:t>
      </w:r>
      <w:r w:rsidRPr="00510442">
        <w:rPr>
          <w:szCs w:val="22"/>
          <w:lang w:val="hr-HR"/>
        </w:rPr>
        <w:t>oralno, uz obrok i veliku čašu vode, da bi se rizik od gastrointestinalnih iritacija sveo na najmanju moguću mjeru. Doze od</w:t>
      </w:r>
      <w:r w:rsidR="009B57ED" w:rsidRPr="00510442">
        <w:rPr>
          <w:color w:val="000000"/>
          <w:szCs w:val="22"/>
          <w:lang w:val="hr-HR"/>
        </w:rPr>
        <w:t xml:space="preserve"> 400 mg </w:t>
      </w:r>
      <w:r w:rsidRPr="00510442">
        <w:rPr>
          <w:color w:val="000000"/>
          <w:szCs w:val="22"/>
          <w:lang w:val="hr-HR"/>
        </w:rPr>
        <w:t>ili</w:t>
      </w:r>
      <w:r w:rsidR="009B57ED" w:rsidRPr="00510442">
        <w:rPr>
          <w:color w:val="000000"/>
          <w:szCs w:val="22"/>
          <w:lang w:val="hr-HR"/>
        </w:rPr>
        <w:t xml:space="preserve"> 600 mg </w:t>
      </w:r>
      <w:r w:rsidRPr="00510442">
        <w:rPr>
          <w:szCs w:val="22"/>
          <w:lang w:val="hr-HR"/>
        </w:rPr>
        <w:t xml:space="preserve">trebaju se primijeniti jednom </w:t>
      </w:r>
      <w:r w:rsidR="00ED5658" w:rsidRPr="00510442">
        <w:rPr>
          <w:szCs w:val="22"/>
          <w:lang w:val="hr-HR"/>
        </w:rPr>
        <w:t>na dan</w:t>
      </w:r>
      <w:r w:rsidRPr="00510442">
        <w:rPr>
          <w:szCs w:val="22"/>
          <w:lang w:val="hr-HR"/>
        </w:rPr>
        <w:t xml:space="preserve">, dok se dnevna doza od </w:t>
      </w:r>
      <w:r w:rsidR="009B57ED" w:rsidRPr="00510442">
        <w:rPr>
          <w:color w:val="000000"/>
          <w:szCs w:val="22"/>
          <w:lang w:val="hr-HR"/>
        </w:rPr>
        <w:t xml:space="preserve">800 mg </w:t>
      </w:r>
      <w:r w:rsidRPr="00510442">
        <w:rPr>
          <w:szCs w:val="22"/>
          <w:lang w:val="hr-HR"/>
        </w:rPr>
        <w:t xml:space="preserve">treba primijeniti kao </w:t>
      </w:r>
      <w:r w:rsidR="009B57ED" w:rsidRPr="00510442">
        <w:rPr>
          <w:color w:val="000000"/>
          <w:szCs w:val="22"/>
          <w:lang w:val="hr-HR"/>
        </w:rPr>
        <w:t xml:space="preserve">400 mg </w:t>
      </w:r>
      <w:r w:rsidRPr="00510442">
        <w:rPr>
          <w:szCs w:val="22"/>
          <w:lang w:val="hr-HR"/>
        </w:rPr>
        <w:t xml:space="preserve">dvaput </w:t>
      </w:r>
      <w:r w:rsidR="00F73A79" w:rsidRPr="00510442">
        <w:rPr>
          <w:szCs w:val="22"/>
          <w:lang w:val="hr-HR"/>
        </w:rPr>
        <w:t>na dan</w:t>
      </w:r>
      <w:r w:rsidRPr="00510442">
        <w:rPr>
          <w:szCs w:val="22"/>
          <w:lang w:val="hr-HR"/>
        </w:rPr>
        <w:t>, ujutro i navečer</w:t>
      </w:r>
      <w:r w:rsidR="009B57ED" w:rsidRPr="00510442">
        <w:rPr>
          <w:color w:val="000000"/>
          <w:szCs w:val="22"/>
          <w:lang w:val="hr-HR"/>
        </w:rPr>
        <w:t xml:space="preserve">. </w:t>
      </w:r>
      <w:r w:rsidR="00A92246" w:rsidRPr="00510442">
        <w:rPr>
          <w:szCs w:val="22"/>
          <w:lang w:val="hr-HR"/>
        </w:rPr>
        <w:t xml:space="preserve">Bolesnicima (djeci) koji ne mogu progutati kapsule, njihov sadržaj se može otopiti u čaši negazirane vode ili soka od jabuke. </w:t>
      </w:r>
      <w:r w:rsidR="00CB35B3" w:rsidRPr="00510442">
        <w:rPr>
          <w:szCs w:val="22"/>
          <w:lang w:val="hr-HR"/>
        </w:rPr>
        <w:t xml:space="preserve">Budući da su ispitivanja kod životinja pokazala reproduktivnu toksičnost, a potencijalni rizik za ljudski plod nije poznat, žene u </w:t>
      </w:r>
      <w:r w:rsidR="00126302" w:rsidRPr="00510442">
        <w:rPr>
          <w:szCs w:val="22"/>
          <w:lang w:val="hr-HR"/>
        </w:rPr>
        <w:t xml:space="preserve">reproduktivnoj </w:t>
      </w:r>
      <w:r w:rsidR="00CB35B3" w:rsidRPr="00510442">
        <w:rPr>
          <w:szCs w:val="22"/>
          <w:lang w:val="hr-HR"/>
        </w:rPr>
        <w:t>dobi koj</w:t>
      </w:r>
      <w:r w:rsidR="00ED5658" w:rsidRPr="00510442">
        <w:rPr>
          <w:szCs w:val="22"/>
          <w:lang w:val="hr-HR"/>
        </w:rPr>
        <w:t>e</w:t>
      </w:r>
      <w:r w:rsidR="00CB35B3" w:rsidRPr="00510442">
        <w:rPr>
          <w:szCs w:val="22"/>
          <w:lang w:val="hr-HR"/>
        </w:rPr>
        <w:t xml:space="preserve"> otvaraju kapsule treba savjetovati da pažljivo rukuju sa sadržajem te da izbjegavaju kontakt s kožom i očima ili inhaliranje (vidjeti dio 4.6). Ruke se trebaju oprati odmah nakon rukovanja s otvorenim kapsulama.</w:t>
      </w:r>
    </w:p>
    <w:p w14:paraId="240A6328" w14:textId="77777777" w:rsidR="004136C9" w:rsidRPr="00510442" w:rsidRDefault="004136C9" w:rsidP="007F1BD0">
      <w:pPr>
        <w:pStyle w:val="EndnoteText"/>
        <w:widowControl w:val="0"/>
        <w:tabs>
          <w:tab w:val="clear" w:pos="567"/>
        </w:tabs>
        <w:rPr>
          <w:color w:val="000000"/>
          <w:szCs w:val="22"/>
          <w:lang w:val="hr-HR"/>
        </w:rPr>
      </w:pPr>
    </w:p>
    <w:p w14:paraId="3D8AAB55" w14:textId="77777777" w:rsidR="009B57ED" w:rsidRPr="00510442" w:rsidRDefault="00742D63" w:rsidP="00D44559">
      <w:pPr>
        <w:pStyle w:val="BodyText"/>
        <w:keepNext/>
        <w:widowControl w:val="0"/>
        <w:spacing w:line="240" w:lineRule="auto"/>
        <w:rPr>
          <w:b w:val="0"/>
          <w:i w:val="0"/>
          <w:color w:val="000000"/>
          <w:szCs w:val="22"/>
          <w:u w:val="single"/>
          <w:lang w:val="hr-HR"/>
        </w:rPr>
      </w:pPr>
      <w:r w:rsidRPr="00510442">
        <w:rPr>
          <w:b w:val="0"/>
          <w:i w:val="0"/>
          <w:color w:val="000000"/>
          <w:szCs w:val="22"/>
          <w:u w:val="single"/>
          <w:lang w:val="hr-HR"/>
        </w:rPr>
        <w:t>Doziranje</w:t>
      </w:r>
      <w:r w:rsidR="009B57ED" w:rsidRPr="00510442">
        <w:rPr>
          <w:b w:val="0"/>
          <w:i w:val="0"/>
          <w:color w:val="000000"/>
          <w:szCs w:val="22"/>
          <w:u w:val="single"/>
          <w:lang w:val="hr-HR"/>
        </w:rPr>
        <w:t xml:space="preserve"> </w:t>
      </w:r>
      <w:r w:rsidR="00F73A79" w:rsidRPr="00510442">
        <w:rPr>
          <w:b w:val="0"/>
          <w:i w:val="0"/>
          <w:color w:val="000000"/>
          <w:szCs w:val="22"/>
          <w:u w:val="single"/>
          <w:lang w:val="hr-HR"/>
        </w:rPr>
        <w:t>za</w:t>
      </w:r>
      <w:r w:rsidR="009B57ED" w:rsidRPr="00510442">
        <w:rPr>
          <w:b w:val="0"/>
          <w:i w:val="0"/>
          <w:color w:val="000000"/>
          <w:szCs w:val="22"/>
          <w:u w:val="single"/>
          <w:lang w:val="hr-HR"/>
        </w:rPr>
        <w:t xml:space="preserve"> </w:t>
      </w:r>
      <w:r w:rsidR="00617A17" w:rsidRPr="00510442">
        <w:rPr>
          <w:b w:val="0"/>
          <w:i w:val="0"/>
          <w:color w:val="000000"/>
          <w:szCs w:val="22"/>
          <w:u w:val="single"/>
          <w:lang w:val="hr-HR"/>
        </w:rPr>
        <w:t>K</w:t>
      </w:r>
      <w:r w:rsidR="009B57ED" w:rsidRPr="00510442">
        <w:rPr>
          <w:b w:val="0"/>
          <w:i w:val="0"/>
          <w:color w:val="000000"/>
          <w:szCs w:val="22"/>
          <w:u w:val="single"/>
          <w:lang w:val="hr-HR"/>
        </w:rPr>
        <w:t>ML</w:t>
      </w:r>
      <w:r w:rsidR="008F1C56" w:rsidRPr="00510442">
        <w:rPr>
          <w:b w:val="0"/>
          <w:i w:val="0"/>
          <w:color w:val="000000"/>
          <w:szCs w:val="22"/>
          <w:u w:val="single"/>
          <w:lang w:val="hr-HR"/>
        </w:rPr>
        <w:t xml:space="preserve"> </w:t>
      </w:r>
      <w:r w:rsidR="00F73A79" w:rsidRPr="00510442">
        <w:rPr>
          <w:b w:val="0"/>
          <w:i w:val="0"/>
          <w:color w:val="000000"/>
          <w:szCs w:val="22"/>
          <w:u w:val="single"/>
          <w:lang w:val="hr-HR"/>
        </w:rPr>
        <w:t>u odraslih bolesnika</w:t>
      </w:r>
    </w:p>
    <w:p w14:paraId="0BDB9F65" w14:textId="260A654F" w:rsidR="009B57ED" w:rsidRPr="00510442" w:rsidRDefault="004F11E4" w:rsidP="00457295">
      <w:pPr>
        <w:pStyle w:val="BodyText"/>
        <w:widowControl w:val="0"/>
        <w:spacing w:line="240" w:lineRule="auto"/>
        <w:rPr>
          <w:b w:val="0"/>
          <w:i w:val="0"/>
          <w:snapToGrid w:val="0"/>
          <w:color w:val="000000"/>
          <w:szCs w:val="22"/>
          <w:lang w:val="hr-HR"/>
        </w:rPr>
      </w:pPr>
      <w:r w:rsidRPr="00510442">
        <w:rPr>
          <w:b w:val="0"/>
          <w:i w:val="0"/>
          <w:szCs w:val="22"/>
          <w:lang w:val="hr-HR"/>
        </w:rPr>
        <w:t xml:space="preserve">Za odrasle bolesnike u kroničnoj fazi </w:t>
      </w:r>
      <w:r w:rsidR="00617A17" w:rsidRPr="00510442">
        <w:rPr>
          <w:b w:val="0"/>
          <w:i w:val="0"/>
          <w:szCs w:val="22"/>
          <w:lang w:val="hr-HR"/>
        </w:rPr>
        <w:t>K</w:t>
      </w:r>
      <w:r w:rsidRPr="00510442">
        <w:rPr>
          <w:b w:val="0"/>
          <w:i w:val="0"/>
          <w:szCs w:val="22"/>
          <w:lang w:val="hr-HR"/>
        </w:rPr>
        <w:t xml:space="preserve">ML-a preporučena doza </w:t>
      </w:r>
      <w:r w:rsidR="00512481">
        <w:rPr>
          <w:b w:val="0"/>
          <w:i w:val="0"/>
          <w:szCs w:val="22"/>
          <w:lang w:val="hr-HR"/>
        </w:rPr>
        <w:t xml:space="preserve">lijeka </w:t>
      </w:r>
      <w:r w:rsidRPr="00510442">
        <w:rPr>
          <w:b w:val="0"/>
          <w:i w:val="0"/>
          <w:szCs w:val="22"/>
          <w:lang w:val="hr-HR"/>
        </w:rPr>
        <w:t xml:space="preserve">Glivec iznosi </w:t>
      </w:r>
      <w:r w:rsidR="009B57ED" w:rsidRPr="00510442">
        <w:rPr>
          <w:b w:val="0"/>
          <w:i w:val="0"/>
          <w:color w:val="000000"/>
          <w:szCs w:val="22"/>
          <w:lang w:val="hr-HR"/>
        </w:rPr>
        <w:t>400 mg/da</w:t>
      </w:r>
      <w:r w:rsidRPr="00510442">
        <w:rPr>
          <w:b w:val="0"/>
          <w:i w:val="0"/>
          <w:color w:val="000000"/>
          <w:szCs w:val="22"/>
          <w:lang w:val="hr-HR"/>
        </w:rPr>
        <w:t>n</w:t>
      </w:r>
      <w:r w:rsidR="009B57ED" w:rsidRPr="00510442">
        <w:rPr>
          <w:b w:val="0"/>
          <w:i w:val="0"/>
          <w:color w:val="000000"/>
          <w:szCs w:val="22"/>
          <w:lang w:val="hr-HR"/>
        </w:rPr>
        <w:t xml:space="preserve">. </w:t>
      </w:r>
      <w:r w:rsidRPr="00510442">
        <w:rPr>
          <w:b w:val="0"/>
          <w:i w:val="0"/>
          <w:szCs w:val="22"/>
          <w:lang w:val="hr-HR"/>
        </w:rPr>
        <w:t xml:space="preserve">Kronična faza </w:t>
      </w:r>
      <w:r w:rsidR="00617A17" w:rsidRPr="00510442">
        <w:rPr>
          <w:b w:val="0"/>
          <w:i w:val="0"/>
          <w:szCs w:val="22"/>
          <w:lang w:val="hr-HR"/>
        </w:rPr>
        <w:t>K</w:t>
      </w:r>
      <w:r w:rsidRPr="00510442">
        <w:rPr>
          <w:b w:val="0"/>
          <w:i w:val="0"/>
          <w:szCs w:val="22"/>
          <w:lang w:val="hr-HR"/>
        </w:rPr>
        <w:t>ML-a se definira kada su ispunjeni svi navedeni kriteriji: blasti</w:t>
      </w:r>
      <w:r w:rsidR="009B57ED" w:rsidRPr="00510442">
        <w:rPr>
          <w:b w:val="0"/>
          <w:i w:val="0"/>
          <w:snapToGrid w:val="0"/>
          <w:color w:val="000000"/>
          <w:szCs w:val="22"/>
          <w:lang w:val="hr-HR"/>
        </w:rPr>
        <w:t xml:space="preserve"> &lt;15% </w:t>
      </w:r>
      <w:r w:rsidRPr="00510442">
        <w:rPr>
          <w:b w:val="0"/>
          <w:i w:val="0"/>
          <w:szCs w:val="22"/>
          <w:lang w:val="hr-HR"/>
        </w:rPr>
        <w:t>u krvi i koštanoj srži, bazofili u perifernoj krvi</w:t>
      </w:r>
      <w:r w:rsidR="009B57ED" w:rsidRPr="00510442">
        <w:rPr>
          <w:b w:val="0"/>
          <w:i w:val="0"/>
          <w:snapToGrid w:val="0"/>
          <w:color w:val="000000"/>
          <w:szCs w:val="22"/>
          <w:lang w:val="hr-HR"/>
        </w:rPr>
        <w:t xml:space="preserve"> &lt;20%, </w:t>
      </w:r>
      <w:r w:rsidRPr="00510442">
        <w:rPr>
          <w:b w:val="0"/>
          <w:i w:val="0"/>
          <w:snapToGrid w:val="0"/>
          <w:color w:val="000000"/>
          <w:szCs w:val="22"/>
          <w:lang w:val="hr-HR"/>
        </w:rPr>
        <w:t>trombociti</w:t>
      </w:r>
      <w:r w:rsidR="009B57ED" w:rsidRPr="00510442">
        <w:rPr>
          <w:b w:val="0"/>
          <w:i w:val="0"/>
          <w:snapToGrid w:val="0"/>
          <w:color w:val="000000"/>
          <w:szCs w:val="22"/>
          <w:lang w:val="hr-HR"/>
        </w:rPr>
        <w:t xml:space="preserve"> &gt;100 x 10</w:t>
      </w:r>
      <w:r w:rsidR="009B57ED" w:rsidRPr="00510442">
        <w:rPr>
          <w:b w:val="0"/>
          <w:i w:val="0"/>
          <w:snapToGrid w:val="0"/>
          <w:color w:val="000000"/>
          <w:szCs w:val="22"/>
          <w:vertAlign w:val="superscript"/>
          <w:lang w:val="hr-HR"/>
        </w:rPr>
        <w:t>9</w:t>
      </w:r>
      <w:r w:rsidR="009B57ED" w:rsidRPr="00510442">
        <w:rPr>
          <w:b w:val="0"/>
          <w:i w:val="0"/>
          <w:snapToGrid w:val="0"/>
          <w:color w:val="000000"/>
          <w:szCs w:val="22"/>
          <w:lang w:val="hr-HR"/>
        </w:rPr>
        <w:t>/l.</w:t>
      </w:r>
    </w:p>
    <w:p w14:paraId="037E8C0F" w14:textId="77777777" w:rsidR="009B57ED" w:rsidRPr="00510442" w:rsidRDefault="009B57ED" w:rsidP="00E74D30">
      <w:pPr>
        <w:pStyle w:val="BodyText"/>
        <w:widowControl w:val="0"/>
        <w:spacing w:line="240" w:lineRule="auto"/>
        <w:rPr>
          <w:b w:val="0"/>
          <w:i w:val="0"/>
          <w:color w:val="000000"/>
          <w:szCs w:val="22"/>
          <w:lang w:val="hr-HR"/>
        </w:rPr>
      </w:pPr>
    </w:p>
    <w:p w14:paraId="28CFCEED" w14:textId="77DD4F7A" w:rsidR="009B57ED" w:rsidRPr="00510442" w:rsidRDefault="007A3456" w:rsidP="009F6FC2">
      <w:pPr>
        <w:pStyle w:val="BodyText"/>
        <w:widowControl w:val="0"/>
        <w:spacing w:line="240" w:lineRule="auto"/>
        <w:rPr>
          <w:b w:val="0"/>
          <w:i w:val="0"/>
          <w:snapToGrid w:val="0"/>
          <w:color w:val="000000"/>
          <w:szCs w:val="22"/>
          <w:lang w:val="hr-HR"/>
        </w:rPr>
      </w:pPr>
      <w:r w:rsidRPr="00510442">
        <w:rPr>
          <w:b w:val="0"/>
          <w:i w:val="0"/>
          <w:szCs w:val="22"/>
          <w:lang w:val="hr-HR"/>
        </w:rPr>
        <w:t xml:space="preserve">Za odrasle bolesnike u ubrzanoj fazi preporučena doza </w:t>
      </w:r>
      <w:r w:rsidR="00512481">
        <w:rPr>
          <w:b w:val="0"/>
          <w:i w:val="0"/>
          <w:szCs w:val="22"/>
          <w:lang w:val="hr-HR"/>
        </w:rPr>
        <w:t xml:space="preserve">lijeka </w:t>
      </w:r>
      <w:r w:rsidRPr="00510442">
        <w:rPr>
          <w:b w:val="0"/>
          <w:i w:val="0"/>
          <w:szCs w:val="22"/>
          <w:lang w:val="hr-HR"/>
        </w:rPr>
        <w:t xml:space="preserve">Glivec iznosi </w:t>
      </w:r>
      <w:r w:rsidR="009B57ED" w:rsidRPr="00510442">
        <w:rPr>
          <w:b w:val="0"/>
          <w:i w:val="0"/>
          <w:color w:val="000000"/>
          <w:szCs w:val="22"/>
          <w:lang w:val="hr-HR"/>
        </w:rPr>
        <w:t>600 mg/da</w:t>
      </w:r>
      <w:r w:rsidRPr="00510442">
        <w:rPr>
          <w:b w:val="0"/>
          <w:i w:val="0"/>
          <w:color w:val="000000"/>
          <w:szCs w:val="22"/>
          <w:lang w:val="hr-HR"/>
        </w:rPr>
        <w:t>n</w:t>
      </w:r>
      <w:r w:rsidR="009B57ED" w:rsidRPr="00510442">
        <w:rPr>
          <w:b w:val="0"/>
          <w:i w:val="0"/>
          <w:color w:val="000000"/>
          <w:szCs w:val="22"/>
          <w:lang w:val="hr-HR"/>
        </w:rPr>
        <w:t xml:space="preserve">. </w:t>
      </w:r>
      <w:r w:rsidRPr="00510442">
        <w:rPr>
          <w:b w:val="0"/>
          <w:i w:val="0"/>
          <w:szCs w:val="22"/>
          <w:lang w:val="hr-HR"/>
        </w:rPr>
        <w:t>Ubrzana faza se definira prisutnošću bilo kojeg od sljedećih kriterija: blasti</w:t>
      </w:r>
      <w:r w:rsidR="009B57ED" w:rsidRPr="00510442">
        <w:rPr>
          <w:b w:val="0"/>
          <w:i w:val="0"/>
          <w:snapToGrid w:val="0"/>
          <w:color w:val="000000"/>
          <w:szCs w:val="22"/>
          <w:lang w:val="hr-HR"/>
        </w:rPr>
        <w:t xml:space="preserve"> </w:t>
      </w:r>
      <w:r w:rsidR="009B57ED" w:rsidRPr="00307897">
        <w:rPr>
          <w:b w:val="0"/>
          <w:i w:val="0"/>
          <w:snapToGrid w:val="0"/>
          <w:color w:val="000000"/>
          <w:szCs w:val="22"/>
          <w:lang w:val="hr-HR"/>
        </w:rPr>
        <w:sym w:font="Symbol" w:char="F0B3"/>
      </w:r>
      <w:r w:rsidR="009B57ED" w:rsidRPr="00307897">
        <w:rPr>
          <w:b w:val="0"/>
          <w:i w:val="0"/>
          <w:snapToGrid w:val="0"/>
          <w:color w:val="000000"/>
          <w:szCs w:val="22"/>
          <w:lang w:val="hr-HR"/>
        </w:rPr>
        <w:t xml:space="preserve">15% </w:t>
      </w:r>
      <w:r w:rsidRPr="00307897">
        <w:rPr>
          <w:b w:val="0"/>
          <w:i w:val="0"/>
          <w:snapToGrid w:val="0"/>
          <w:color w:val="000000"/>
          <w:szCs w:val="22"/>
          <w:lang w:val="hr-HR"/>
        </w:rPr>
        <w:t>ali</w:t>
      </w:r>
      <w:r w:rsidR="009B57ED" w:rsidRPr="00307897">
        <w:rPr>
          <w:b w:val="0"/>
          <w:i w:val="0"/>
          <w:snapToGrid w:val="0"/>
          <w:color w:val="000000"/>
          <w:szCs w:val="22"/>
          <w:lang w:val="hr-HR"/>
        </w:rPr>
        <w:t xml:space="preserve"> &lt;30% </w:t>
      </w:r>
      <w:r w:rsidRPr="00A00164">
        <w:rPr>
          <w:b w:val="0"/>
          <w:i w:val="0"/>
          <w:szCs w:val="22"/>
          <w:lang w:val="hr-HR"/>
        </w:rPr>
        <w:t>u krvi ili koštanoj srži, blasti plus promijelociti</w:t>
      </w:r>
      <w:r w:rsidR="009B57ED" w:rsidRPr="00973BDD">
        <w:rPr>
          <w:b w:val="0"/>
          <w:i w:val="0"/>
          <w:snapToGrid w:val="0"/>
          <w:color w:val="000000"/>
          <w:szCs w:val="22"/>
          <w:lang w:val="hr-HR"/>
        </w:rPr>
        <w:t xml:space="preserve"> </w:t>
      </w:r>
      <w:r w:rsidR="009B57ED" w:rsidRPr="00307897">
        <w:rPr>
          <w:b w:val="0"/>
          <w:i w:val="0"/>
          <w:snapToGrid w:val="0"/>
          <w:color w:val="000000"/>
          <w:szCs w:val="22"/>
          <w:lang w:val="hr-HR"/>
        </w:rPr>
        <w:sym w:font="Symbol" w:char="F0B3"/>
      </w:r>
      <w:r w:rsidR="009B57ED" w:rsidRPr="00307897">
        <w:rPr>
          <w:b w:val="0"/>
          <w:i w:val="0"/>
          <w:snapToGrid w:val="0"/>
          <w:color w:val="000000"/>
          <w:szCs w:val="22"/>
          <w:lang w:val="hr-HR"/>
        </w:rPr>
        <w:t xml:space="preserve">30% </w:t>
      </w:r>
      <w:r w:rsidRPr="00307897">
        <w:rPr>
          <w:b w:val="0"/>
          <w:i w:val="0"/>
          <w:szCs w:val="22"/>
          <w:lang w:val="hr-HR"/>
        </w:rPr>
        <w:t>u krvi ili koštanoj srži (što daje</w:t>
      </w:r>
      <w:r w:rsidRPr="00307897">
        <w:rPr>
          <w:b w:val="0"/>
          <w:i w:val="0"/>
          <w:snapToGrid w:val="0"/>
          <w:color w:val="000000"/>
          <w:szCs w:val="22"/>
          <w:lang w:val="hr-HR"/>
        </w:rPr>
        <w:t xml:space="preserve"> </w:t>
      </w:r>
      <w:r w:rsidR="009B57ED" w:rsidRPr="00A00164">
        <w:rPr>
          <w:b w:val="0"/>
          <w:i w:val="0"/>
          <w:snapToGrid w:val="0"/>
          <w:color w:val="000000"/>
          <w:szCs w:val="22"/>
          <w:lang w:val="hr-HR"/>
        </w:rPr>
        <w:t>&lt;30% blast</w:t>
      </w:r>
      <w:r w:rsidRPr="00973BDD">
        <w:rPr>
          <w:b w:val="0"/>
          <w:i w:val="0"/>
          <w:snapToGrid w:val="0"/>
          <w:color w:val="000000"/>
          <w:szCs w:val="22"/>
          <w:lang w:val="hr-HR"/>
        </w:rPr>
        <w:t>a</w:t>
      </w:r>
      <w:r w:rsidR="009B57ED" w:rsidRPr="000B51EB">
        <w:rPr>
          <w:b w:val="0"/>
          <w:i w:val="0"/>
          <w:snapToGrid w:val="0"/>
          <w:color w:val="000000"/>
          <w:szCs w:val="22"/>
          <w:lang w:val="hr-HR"/>
        </w:rPr>
        <w:t xml:space="preserve">), </w:t>
      </w:r>
      <w:r w:rsidRPr="00510442">
        <w:rPr>
          <w:b w:val="0"/>
          <w:i w:val="0"/>
          <w:szCs w:val="22"/>
          <w:lang w:val="hr-HR"/>
        </w:rPr>
        <w:t>bazofili u perifernoj krvi</w:t>
      </w:r>
      <w:r w:rsidR="009B57ED" w:rsidRPr="00510442">
        <w:rPr>
          <w:b w:val="0"/>
          <w:i w:val="0"/>
          <w:snapToGrid w:val="0"/>
          <w:color w:val="000000"/>
          <w:szCs w:val="22"/>
          <w:lang w:val="hr-HR"/>
        </w:rPr>
        <w:t xml:space="preserve"> </w:t>
      </w:r>
      <w:r w:rsidR="009B57ED" w:rsidRPr="00307897">
        <w:rPr>
          <w:b w:val="0"/>
          <w:i w:val="0"/>
          <w:snapToGrid w:val="0"/>
          <w:color w:val="000000"/>
          <w:szCs w:val="22"/>
          <w:lang w:val="hr-HR"/>
        </w:rPr>
        <w:sym w:font="Symbol" w:char="F0B3"/>
      </w:r>
      <w:r w:rsidR="009B57ED" w:rsidRPr="00307897">
        <w:rPr>
          <w:b w:val="0"/>
          <w:i w:val="0"/>
          <w:snapToGrid w:val="0"/>
          <w:color w:val="000000"/>
          <w:szCs w:val="22"/>
          <w:lang w:val="hr-HR"/>
        </w:rPr>
        <w:t xml:space="preserve">20%, </w:t>
      </w:r>
      <w:r w:rsidRPr="00307897">
        <w:rPr>
          <w:b w:val="0"/>
          <w:i w:val="0"/>
          <w:snapToGrid w:val="0"/>
          <w:color w:val="000000"/>
          <w:szCs w:val="22"/>
          <w:lang w:val="hr-HR"/>
        </w:rPr>
        <w:t>trombociti</w:t>
      </w:r>
      <w:r w:rsidR="009B57ED" w:rsidRPr="00307897">
        <w:rPr>
          <w:b w:val="0"/>
          <w:i w:val="0"/>
          <w:snapToGrid w:val="0"/>
          <w:color w:val="000000"/>
          <w:szCs w:val="22"/>
          <w:lang w:val="hr-HR"/>
        </w:rPr>
        <w:t xml:space="preserve"> &lt;100 x 10</w:t>
      </w:r>
      <w:r w:rsidR="009B57ED" w:rsidRPr="00A00164">
        <w:rPr>
          <w:b w:val="0"/>
          <w:i w:val="0"/>
          <w:snapToGrid w:val="0"/>
          <w:color w:val="000000"/>
          <w:szCs w:val="22"/>
          <w:vertAlign w:val="superscript"/>
          <w:lang w:val="hr-HR"/>
        </w:rPr>
        <w:t>9</w:t>
      </w:r>
      <w:r w:rsidR="009B57ED" w:rsidRPr="00973BDD">
        <w:rPr>
          <w:b w:val="0"/>
          <w:i w:val="0"/>
          <w:snapToGrid w:val="0"/>
          <w:color w:val="000000"/>
          <w:szCs w:val="22"/>
          <w:lang w:val="hr-HR"/>
        </w:rPr>
        <w:t xml:space="preserve">/l </w:t>
      </w:r>
      <w:r w:rsidRPr="000B51EB">
        <w:rPr>
          <w:b w:val="0"/>
          <w:i w:val="0"/>
          <w:szCs w:val="22"/>
          <w:lang w:val="hr-HR"/>
        </w:rPr>
        <w:t>nevezano uz terapiju</w:t>
      </w:r>
      <w:r w:rsidR="009B57ED" w:rsidRPr="00510442">
        <w:rPr>
          <w:b w:val="0"/>
          <w:i w:val="0"/>
          <w:snapToGrid w:val="0"/>
          <w:color w:val="000000"/>
          <w:szCs w:val="22"/>
          <w:lang w:val="hr-HR"/>
        </w:rPr>
        <w:t>.</w:t>
      </w:r>
    </w:p>
    <w:p w14:paraId="47422BC5" w14:textId="77777777" w:rsidR="009B57ED" w:rsidRPr="00510442" w:rsidRDefault="009B57ED" w:rsidP="009F6FC2">
      <w:pPr>
        <w:pStyle w:val="BodyText"/>
        <w:widowControl w:val="0"/>
        <w:spacing w:line="240" w:lineRule="auto"/>
        <w:rPr>
          <w:b w:val="0"/>
          <w:i w:val="0"/>
          <w:color w:val="000000"/>
          <w:szCs w:val="22"/>
          <w:lang w:val="hr-HR"/>
        </w:rPr>
      </w:pPr>
    </w:p>
    <w:p w14:paraId="5095FDF5" w14:textId="003EFBFA" w:rsidR="009B57ED" w:rsidRPr="00A00164" w:rsidRDefault="00C47B01" w:rsidP="00EB15D1">
      <w:pPr>
        <w:pStyle w:val="BodyText"/>
        <w:widowControl w:val="0"/>
        <w:spacing w:line="240" w:lineRule="auto"/>
        <w:rPr>
          <w:b w:val="0"/>
          <w:i w:val="0"/>
          <w:color w:val="000000"/>
          <w:szCs w:val="22"/>
          <w:lang w:val="hr-HR"/>
        </w:rPr>
      </w:pPr>
      <w:r w:rsidRPr="00510442">
        <w:rPr>
          <w:b w:val="0"/>
          <w:i w:val="0"/>
          <w:szCs w:val="22"/>
          <w:lang w:val="hr-HR"/>
        </w:rPr>
        <w:t xml:space="preserve">Za odrasle bolesnike u blastičnoj krizi preporučena doza </w:t>
      </w:r>
      <w:r w:rsidR="00512481">
        <w:rPr>
          <w:b w:val="0"/>
          <w:i w:val="0"/>
          <w:szCs w:val="22"/>
          <w:lang w:val="hr-HR"/>
        </w:rPr>
        <w:t xml:space="preserve">lijeka </w:t>
      </w:r>
      <w:r w:rsidRPr="00510442">
        <w:rPr>
          <w:b w:val="0"/>
          <w:i w:val="0"/>
          <w:szCs w:val="22"/>
          <w:lang w:val="hr-HR"/>
        </w:rPr>
        <w:t xml:space="preserve">Glivec iznosi </w:t>
      </w:r>
      <w:r w:rsidR="009B57ED" w:rsidRPr="00510442">
        <w:rPr>
          <w:b w:val="0"/>
          <w:i w:val="0"/>
          <w:color w:val="000000"/>
          <w:szCs w:val="22"/>
          <w:lang w:val="hr-HR"/>
        </w:rPr>
        <w:t>600 mg/da</w:t>
      </w:r>
      <w:r w:rsidRPr="00510442">
        <w:rPr>
          <w:b w:val="0"/>
          <w:i w:val="0"/>
          <w:color w:val="000000"/>
          <w:szCs w:val="22"/>
          <w:lang w:val="hr-HR"/>
        </w:rPr>
        <w:t>n</w:t>
      </w:r>
      <w:r w:rsidR="009B57ED" w:rsidRPr="00510442">
        <w:rPr>
          <w:b w:val="0"/>
          <w:i w:val="0"/>
          <w:color w:val="000000"/>
          <w:szCs w:val="22"/>
          <w:lang w:val="hr-HR"/>
        </w:rPr>
        <w:t xml:space="preserve">. </w:t>
      </w:r>
      <w:r w:rsidRPr="00510442">
        <w:rPr>
          <w:b w:val="0"/>
          <w:i w:val="0"/>
          <w:szCs w:val="22"/>
          <w:lang w:val="hr-HR"/>
        </w:rPr>
        <w:t>Blastična se kriza definira kao blasti</w:t>
      </w:r>
      <w:r w:rsidR="009B57ED" w:rsidRPr="00510442">
        <w:rPr>
          <w:b w:val="0"/>
          <w:i w:val="0"/>
          <w:snapToGrid w:val="0"/>
          <w:color w:val="000000"/>
          <w:szCs w:val="22"/>
          <w:lang w:val="hr-HR"/>
        </w:rPr>
        <w:t xml:space="preserve"> </w:t>
      </w:r>
      <w:r w:rsidR="009B57ED" w:rsidRPr="00307897">
        <w:rPr>
          <w:b w:val="0"/>
          <w:i w:val="0"/>
          <w:snapToGrid w:val="0"/>
          <w:color w:val="000000"/>
          <w:szCs w:val="22"/>
          <w:lang w:val="hr-HR"/>
        </w:rPr>
        <w:sym w:font="Symbol" w:char="F0B3"/>
      </w:r>
      <w:r w:rsidR="009B57ED" w:rsidRPr="00307897">
        <w:rPr>
          <w:b w:val="0"/>
          <w:i w:val="0"/>
          <w:snapToGrid w:val="0"/>
          <w:color w:val="000000"/>
          <w:szCs w:val="22"/>
          <w:lang w:val="hr-HR"/>
        </w:rPr>
        <w:t xml:space="preserve">30% </w:t>
      </w:r>
      <w:r w:rsidRPr="00307897">
        <w:rPr>
          <w:b w:val="0"/>
          <w:i w:val="0"/>
          <w:szCs w:val="22"/>
          <w:lang w:val="hr-HR"/>
        </w:rPr>
        <w:t>u krvi ili koštanoj srži ili postojanje ekstramedularne bolesti osim hepatosplenomegalije</w:t>
      </w:r>
      <w:r w:rsidR="009B57ED" w:rsidRPr="00307897">
        <w:rPr>
          <w:b w:val="0"/>
          <w:i w:val="0"/>
          <w:snapToGrid w:val="0"/>
          <w:color w:val="000000"/>
          <w:szCs w:val="22"/>
          <w:lang w:val="hr-HR"/>
        </w:rPr>
        <w:t>.</w:t>
      </w:r>
    </w:p>
    <w:p w14:paraId="253C6E3B" w14:textId="77777777" w:rsidR="009B57ED" w:rsidRPr="00973BDD" w:rsidRDefault="009B57ED" w:rsidP="00A742FC">
      <w:pPr>
        <w:pStyle w:val="EndnoteText"/>
        <w:widowControl w:val="0"/>
        <w:tabs>
          <w:tab w:val="clear" w:pos="567"/>
        </w:tabs>
        <w:rPr>
          <w:color w:val="000000"/>
          <w:szCs w:val="22"/>
          <w:lang w:val="hr-HR"/>
        </w:rPr>
      </w:pPr>
    </w:p>
    <w:p w14:paraId="1A5D9930" w14:textId="0B5554A7" w:rsidR="009B57ED" w:rsidRPr="00510442" w:rsidRDefault="00C47B01" w:rsidP="00D57A17">
      <w:pPr>
        <w:pStyle w:val="EndnoteText"/>
        <w:widowControl w:val="0"/>
        <w:tabs>
          <w:tab w:val="clear" w:pos="567"/>
        </w:tabs>
        <w:rPr>
          <w:color w:val="000000"/>
          <w:szCs w:val="22"/>
          <w:lang w:val="hr-HR"/>
        </w:rPr>
      </w:pPr>
      <w:r w:rsidRPr="000B51EB">
        <w:rPr>
          <w:szCs w:val="22"/>
          <w:lang w:val="hr-HR"/>
        </w:rPr>
        <w:t>Trajanje liječenja</w:t>
      </w:r>
      <w:r w:rsidR="009B57ED" w:rsidRPr="00510442">
        <w:rPr>
          <w:color w:val="000000"/>
          <w:szCs w:val="22"/>
          <w:lang w:val="hr-HR"/>
        </w:rPr>
        <w:t xml:space="preserve">: </w:t>
      </w:r>
      <w:r w:rsidRPr="00510442">
        <w:rPr>
          <w:szCs w:val="22"/>
          <w:lang w:val="hr-HR"/>
        </w:rPr>
        <w:t xml:space="preserve">u kliničkim ispitivanjima se liječenje </w:t>
      </w:r>
      <w:r w:rsidR="00951360">
        <w:rPr>
          <w:szCs w:val="22"/>
          <w:lang w:val="hr-HR"/>
        </w:rPr>
        <w:t xml:space="preserve">lijekom </w:t>
      </w:r>
      <w:r w:rsidRPr="00510442">
        <w:rPr>
          <w:szCs w:val="22"/>
          <w:lang w:val="hr-HR"/>
        </w:rPr>
        <w:t xml:space="preserve">Glivec nastavljalo sve do progresije bolesti. Učinak prekida liječenja nakon postizanja </w:t>
      </w:r>
      <w:r w:rsidR="00FD37F6" w:rsidRPr="00510442">
        <w:rPr>
          <w:szCs w:val="22"/>
          <w:lang w:val="hr-HR"/>
        </w:rPr>
        <w:t xml:space="preserve">potpunog </w:t>
      </w:r>
      <w:r w:rsidRPr="00510442">
        <w:rPr>
          <w:szCs w:val="22"/>
          <w:lang w:val="hr-HR"/>
        </w:rPr>
        <w:t>citogenetskog odgovora nije ispitivan</w:t>
      </w:r>
      <w:r w:rsidR="009B57ED" w:rsidRPr="00510442">
        <w:rPr>
          <w:color w:val="000000"/>
          <w:szCs w:val="22"/>
          <w:lang w:val="hr-HR"/>
        </w:rPr>
        <w:t>.</w:t>
      </w:r>
    </w:p>
    <w:p w14:paraId="13CA926B" w14:textId="77777777" w:rsidR="009B57ED" w:rsidRPr="00510442" w:rsidRDefault="009B57ED" w:rsidP="00FA16F5">
      <w:pPr>
        <w:pStyle w:val="EndnoteText"/>
        <w:widowControl w:val="0"/>
        <w:tabs>
          <w:tab w:val="clear" w:pos="567"/>
        </w:tabs>
        <w:rPr>
          <w:color w:val="000000"/>
          <w:szCs w:val="22"/>
          <w:lang w:val="hr-HR"/>
        </w:rPr>
      </w:pPr>
    </w:p>
    <w:p w14:paraId="5D5FCD63" w14:textId="77777777" w:rsidR="009B57ED" w:rsidRPr="00510442" w:rsidRDefault="00C47B01" w:rsidP="00C51EC7">
      <w:pPr>
        <w:pStyle w:val="EndnoteText"/>
        <w:widowControl w:val="0"/>
        <w:tabs>
          <w:tab w:val="clear" w:pos="567"/>
        </w:tabs>
        <w:rPr>
          <w:color w:val="000000"/>
          <w:szCs w:val="22"/>
          <w:lang w:val="hr-HR"/>
        </w:rPr>
      </w:pPr>
      <w:r w:rsidRPr="00510442">
        <w:rPr>
          <w:szCs w:val="22"/>
          <w:lang w:val="hr-HR"/>
        </w:rPr>
        <w:t xml:space="preserve">Povećanja doze od </w:t>
      </w:r>
      <w:r w:rsidR="009B57ED" w:rsidRPr="00510442">
        <w:rPr>
          <w:color w:val="000000"/>
          <w:szCs w:val="22"/>
          <w:lang w:val="hr-HR"/>
        </w:rPr>
        <w:t xml:space="preserve">400 mg </w:t>
      </w:r>
      <w:r w:rsidRPr="00510442">
        <w:rPr>
          <w:color w:val="000000"/>
          <w:szCs w:val="22"/>
          <w:lang w:val="hr-HR"/>
        </w:rPr>
        <w:t>do</w:t>
      </w:r>
      <w:r w:rsidR="009B57ED" w:rsidRPr="00510442">
        <w:rPr>
          <w:color w:val="000000"/>
          <w:szCs w:val="22"/>
          <w:lang w:val="hr-HR"/>
        </w:rPr>
        <w:t xml:space="preserve"> 600 mg </w:t>
      </w:r>
      <w:r w:rsidRPr="00510442">
        <w:rPr>
          <w:color w:val="000000"/>
          <w:szCs w:val="22"/>
          <w:lang w:val="hr-HR"/>
        </w:rPr>
        <w:t>ili</w:t>
      </w:r>
      <w:r w:rsidR="009B57ED" w:rsidRPr="00510442">
        <w:rPr>
          <w:color w:val="000000"/>
          <w:szCs w:val="22"/>
          <w:lang w:val="hr-HR"/>
        </w:rPr>
        <w:t xml:space="preserve"> 800 mg </w:t>
      </w:r>
      <w:r w:rsidRPr="00510442">
        <w:rPr>
          <w:szCs w:val="22"/>
          <w:lang w:val="hr-HR"/>
        </w:rPr>
        <w:t xml:space="preserve">u bolesnika s kroničnom fazom bolesti, ili od </w:t>
      </w:r>
      <w:r w:rsidR="009B57ED" w:rsidRPr="00510442">
        <w:rPr>
          <w:color w:val="000000"/>
          <w:szCs w:val="22"/>
          <w:lang w:val="hr-HR"/>
        </w:rPr>
        <w:t xml:space="preserve">600 mg </w:t>
      </w:r>
      <w:r w:rsidRPr="00510442">
        <w:rPr>
          <w:szCs w:val="22"/>
          <w:lang w:val="hr-HR"/>
        </w:rPr>
        <w:t xml:space="preserve">do maksimalno </w:t>
      </w:r>
      <w:r w:rsidR="009B57ED" w:rsidRPr="00510442">
        <w:rPr>
          <w:color w:val="000000"/>
          <w:szCs w:val="22"/>
          <w:lang w:val="hr-HR"/>
        </w:rPr>
        <w:t>800 mg (</w:t>
      </w:r>
      <w:r w:rsidRPr="00510442">
        <w:rPr>
          <w:szCs w:val="22"/>
          <w:lang w:val="hr-HR"/>
        </w:rPr>
        <w:t xml:space="preserve">dano kao </w:t>
      </w:r>
      <w:r w:rsidR="009B57ED" w:rsidRPr="00510442">
        <w:rPr>
          <w:color w:val="000000"/>
          <w:szCs w:val="22"/>
          <w:lang w:val="hr-HR"/>
        </w:rPr>
        <w:t xml:space="preserve">400 mg </w:t>
      </w:r>
      <w:r w:rsidRPr="00510442">
        <w:rPr>
          <w:szCs w:val="22"/>
          <w:lang w:val="hr-HR"/>
        </w:rPr>
        <w:t xml:space="preserve">dvaput </w:t>
      </w:r>
      <w:r w:rsidR="00C00697" w:rsidRPr="00510442">
        <w:rPr>
          <w:szCs w:val="22"/>
          <w:lang w:val="hr-HR"/>
        </w:rPr>
        <w:t>na dan</w:t>
      </w:r>
      <w:r w:rsidR="009B57ED" w:rsidRPr="00510442">
        <w:rPr>
          <w:color w:val="000000"/>
          <w:szCs w:val="22"/>
          <w:lang w:val="hr-HR"/>
        </w:rPr>
        <w:t xml:space="preserve">) </w:t>
      </w:r>
      <w:r w:rsidRPr="00510442">
        <w:rPr>
          <w:szCs w:val="22"/>
          <w:lang w:val="hr-HR"/>
        </w:rPr>
        <w:t>u bolesnika s ubrzanom fazom ili blastičnom krizom može se razmotriti u odsustvu teške nuspojave i teške neutropenije ili trombocitopenije nepovezanih s leukemijom u sljedećim situacijama: progresija bolesti (u bilo kojem trenutku)</w:t>
      </w:r>
      <w:r w:rsidR="009B57ED" w:rsidRPr="00510442">
        <w:rPr>
          <w:color w:val="000000"/>
          <w:szCs w:val="22"/>
          <w:lang w:val="hr-HR"/>
        </w:rPr>
        <w:t xml:space="preserve">; </w:t>
      </w:r>
      <w:r w:rsidRPr="00510442">
        <w:rPr>
          <w:szCs w:val="22"/>
          <w:lang w:val="hr-HR"/>
        </w:rPr>
        <w:t xml:space="preserve">neuspjeh u postizanju zadovoljavajućeg hematološkog odgovora nakon liječenja u trajanju od najmanje </w:t>
      </w:r>
      <w:r w:rsidR="009B57ED" w:rsidRPr="00510442">
        <w:rPr>
          <w:color w:val="000000"/>
          <w:szCs w:val="22"/>
          <w:lang w:val="hr-HR"/>
        </w:rPr>
        <w:t>3 m</w:t>
      </w:r>
      <w:r w:rsidRPr="00510442">
        <w:rPr>
          <w:color w:val="000000"/>
          <w:szCs w:val="22"/>
          <w:lang w:val="hr-HR"/>
        </w:rPr>
        <w:t>jeseca</w:t>
      </w:r>
      <w:r w:rsidR="009B57ED" w:rsidRPr="00510442">
        <w:rPr>
          <w:color w:val="000000"/>
          <w:szCs w:val="22"/>
          <w:lang w:val="hr-HR"/>
        </w:rPr>
        <w:t xml:space="preserve">; </w:t>
      </w:r>
      <w:r w:rsidRPr="00510442">
        <w:rPr>
          <w:szCs w:val="22"/>
          <w:lang w:val="hr-HR"/>
        </w:rPr>
        <w:t xml:space="preserve">neuspjeh u postizanju citogenetskog odgovora nakon </w:t>
      </w:r>
      <w:r w:rsidR="009B57ED" w:rsidRPr="00510442">
        <w:rPr>
          <w:color w:val="000000"/>
          <w:szCs w:val="22"/>
          <w:lang w:val="hr-HR"/>
        </w:rPr>
        <w:t>12 </w:t>
      </w:r>
      <w:r w:rsidRPr="00510442">
        <w:rPr>
          <w:color w:val="000000"/>
          <w:szCs w:val="22"/>
          <w:lang w:val="hr-HR"/>
        </w:rPr>
        <w:t>mjeseci liječenja</w:t>
      </w:r>
      <w:r w:rsidR="009B57ED" w:rsidRPr="00510442">
        <w:rPr>
          <w:color w:val="000000"/>
          <w:szCs w:val="22"/>
          <w:lang w:val="hr-HR"/>
        </w:rPr>
        <w:t xml:space="preserve">; </w:t>
      </w:r>
      <w:r w:rsidR="00030569" w:rsidRPr="00510442">
        <w:rPr>
          <w:szCs w:val="22"/>
          <w:lang w:val="hr-HR"/>
        </w:rPr>
        <w:t>ili gubitak ranije postignutoga hematološkog i/ili citogenetskog odgovora</w:t>
      </w:r>
      <w:r w:rsidR="009B57ED" w:rsidRPr="00510442">
        <w:rPr>
          <w:color w:val="000000"/>
          <w:szCs w:val="22"/>
          <w:lang w:val="hr-HR"/>
        </w:rPr>
        <w:t xml:space="preserve">. </w:t>
      </w:r>
      <w:r w:rsidR="00030569" w:rsidRPr="00510442">
        <w:rPr>
          <w:szCs w:val="22"/>
          <w:lang w:val="hr-HR"/>
        </w:rPr>
        <w:t xml:space="preserve">Nakon povećanja doze bolesnike treba pozorno pratiti, jer uz više doze postoji mogućnost za povećanu </w:t>
      </w:r>
      <w:r w:rsidR="000E0362" w:rsidRPr="00510442">
        <w:rPr>
          <w:szCs w:val="22"/>
          <w:lang w:val="hr-HR"/>
        </w:rPr>
        <w:t xml:space="preserve">incidenciju </w:t>
      </w:r>
      <w:r w:rsidR="00030569" w:rsidRPr="00510442">
        <w:rPr>
          <w:szCs w:val="22"/>
          <w:lang w:val="hr-HR"/>
        </w:rPr>
        <w:t>nuspojava</w:t>
      </w:r>
      <w:r w:rsidR="009B57ED" w:rsidRPr="00510442">
        <w:rPr>
          <w:color w:val="000000"/>
          <w:szCs w:val="22"/>
          <w:lang w:val="hr-HR"/>
        </w:rPr>
        <w:t>.</w:t>
      </w:r>
    </w:p>
    <w:p w14:paraId="3F5749D9" w14:textId="77777777" w:rsidR="008F1C56" w:rsidRPr="00510442" w:rsidRDefault="008F1C56" w:rsidP="00CB66CC">
      <w:pPr>
        <w:pStyle w:val="EndnoteText"/>
        <w:widowControl w:val="0"/>
        <w:tabs>
          <w:tab w:val="clear" w:pos="567"/>
        </w:tabs>
        <w:rPr>
          <w:color w:val="000000"/>
          <w:szCs w:val="22"/>
          <w:lang w:val="hr-HR"/>
        </w:rPr>
      </w:pPr>
    </w:p>
    <w:p w14:paraId="12B8DF7A" w14:textId="77777777" w:rsidR="008F1C56" w:rsidRPr="00510442" w:rsidRDefault="00647EA1" w:rsidP="00D44559">
      <w:pPr>
        <w:pStyle w:val="EndnoteText"/>
        <w:keepNext/>
        <w:widowControl w:val="0"/>
        <w:tabs>
          <w:tab w:val="clear" w:pos="567"/>
        </w:tabs>
        <w:rPr>
          <w:color w:val="000000"/>
          <w:szCs w:val="22"/>
          <w:lang w:val="hr-HR"/>
        </w:rPr>
      </w:pPr>
      <w:r w:rsidRPr="00510442">
        <w:rPr>
          <w:szCs w:val="22"/>
          <w:u w:val="single"/>
          <w:lang w:val="hr-HR"/>
        </w:rPr>
        <w:t xml:space="preserve">Doziranje za </w:t>
      </w:r>
      <w:r w:rsidR="00617A17" w:rsidRPr="00510442">
        <w:rPr>
          <w:szCs w:val="22"/>
          <w:u w:val="single"/>
          <w:lang w:val="hr-HR"/>
        </w:rPr>
        <w:t>K</w:t>
      </w:r>
      <w:r w:rsidRPr="00510442">
        <w:rPr>
          <w:szCs w:val="22"/>
          <w:u w:val="single"/>
          <w:lang w:val="hr-HR"/>
        </w:rPr>
        <w:t>ML u djece</w:t>
      </w:r>
    </w:p>
    <w:p w14:paraId="59621666" w14:textId="77777777" w:rsidR="008F1C56" w:rsidRPr="00510442" w:rsidRDefault="00647EA1" w:rsidP="00112AD1">
      <w:pPr>
        <w:pStyle w:val="EndnoteText"/>
        <w:widowControl w:val="0"/>
        <w:tabs>
          <w:tab w:val="clear" w:pos="567"/>
        </w:tabs>
        <w:rPr>
          <w:color w:val="000000"/>
          <w:szCs w:val="22"/>
          <w:lang w:val="hr-HR"/>
        </w:rPr>
      </w:pPr>
      <w:r w:rsidRPr="00510442">
        <w:rPr>
          <w:szCs w:val="22"/>
          <w:lang w:val="hr-HR"/>
        </w:rPr>
        <w:t xml:space="preserve">U djece se doziranje treba temeljiti na veličini površine tijela </w:t>
      </w:r>
      <w:r w:rsidR="008F1C56" w:rsidRPr="00510442">
        <w:rPr>
          <w:color w:val="000000"/>
          <w:szCs w:val="22"/>
          <w:lang w:val="hr-HR"/>
        </w:rPr>
        <w:t>(mg/m</w:t>
      </w:r>
      <w:r w:rsidR="008F1C56" w:rsidRPr="00510442">
        <w:rPr>
          <w:color w:val="000000"/>
          <w:szCs w:val="22"/>
          <w:vertAlign w:val="superscript"/>
          <w:lang w:val="hr-HR"/>
        </w:rPr>
        <w:t>2</w:t>
      </w:r>
      <w:r w:rsidR="008F1C56" w:rsidRPr="00510442">
        <w:rPr>
          <w:color w:val="000000"/>
          <w:szCs w:val="22"/>
          <w:lang w:val="hr-HR"/>
        </w:rPr>
        <w:t xml:space="preserve">). </w:t>
      </w:r>
      <w:r w:rsidRPr="00510442">
        <w:rPr>
          <w:szCs w:val="22"/>
          <w:lang w:val="hr-HR"/>
        </w:rPr>
        <w:t xml:space="preserve">Doza od </w:t>
      </w:r>
      <w:r w:rsidR="008F1C56" w:rsidRPr="00510442">
        <w:rPr>
          <w:color w:val="000000"/>
          <w:szCs w:val="22"/>
          <w:lang w:val="hr-HR"/>
        </w:rPr>
        <w:t>340 mg/m</w:t>
      </w:r>
      <w:r w:rsidR="008F1C56" w:rsidRPr="00510442">
        <w:rPr>
          <w:color w:val="000000"/>
          <w:szCs w:val="22"/>
          <w:vertAlign w:val="superscript"/>
          <w:lang w:val="hr-HR"/>
        </w:rPr>
        <w:t>2</w:t>
      </w:r>
      <w:r w:rsidR="008F1C56" w:rsidRPr="00510442">
        <w:rPr>
          <w:color w:val="000000"/>
          <w:szCs w:val="22"/>
          <w:lang w:val="hr-HR"/>
        </w:rPr>
        <w:t xml:space="preserve"> </w:t>
      </w:r>
      <w:r w:rsidR="00C00697" w:rsidRPr="00510442">
        <w:rPr>
          <w:szCs w:val="22"/>
          <w:lang w:val="hr-HR"/>
        </w:rPr>
        <w:t xml:space="preserve">na dan </w:t>
      </w:r>
      <w:r w:rsidRPr="00510442">
        <w:rPr>
          <w:szCs w:val="22"/>
          <w:lang w:val="hr-HR"/>
        </w:rPr>
        <w:t xml:space="preserve">preporučuju se za djecu s kroničnom fazom </w:t>
      </w:r>
      <w:r w:rsidR="00617A17" w:rsidRPr="00510442">
        <w:rPr>
          <w:szCs w:val="22"/>
          <w:lang w:val="hr-HR"/>
        </w:rPr>
        <w:t>K</w:t>
      </w:r>
      <w:r w:rsidRPr="00510442">
        <w:rPr>
          <w:szCs w:val="22"/>
          <w:lang w:val="hr-HR"/>
        </w:rPr>
        <w:t xml:space="preserve">ML-a i s uznapredovalom fazom </w:t>
      </w:r>
      <w:r w:rsidR="00617A17" w:rsidRPr="00510442">
        <w:rPr>
          <w:szCs w:val="22"/>
          <w:lang w:val="hr-HR"/>
        </w:rPr>
        <w:t>K</w:t>
      </w:r>
      <w:r w:rsidRPr="00510442">
        <w:rPr>
          <w:szCs w:val="22"/>
          <w:lang w:val="hr-HR"/>
        </w:rPr>
        <w:t>ML-a (ne smije se prekoračiti ukupna doza od</w:t>
      </w:r>
      <w:r w:rsidRPr="00510442">
        <w:rPr>
          <w:color w:val="000000"/>
          <w:szCs w:val="22"/>
          <w:lang w:val="hr-HR"/>
        </w:rPr>
        <w:t xml:space="preserve"> </w:t>
      </w:r>
      <w:r w:rsidR="008F1C56" w:rsidRPr="00510442">
        <w:rPr>
          <w:color w:val="000000"/>
          <w:szCs w:val="22"/>
          <w:lang w:val="hr-HR"/>
        </w:rPr>
        <w:t xml:space="preserve">800 mg). </w:t>
      </w:r>
      <w:r w:rsidRPr="00510442">
        <w:rPr>
          <w:szCs w:val="22"/>
          <w:lang w:val="hr-HR"/>
        </w:rPr>
        <w:t xml:space="preserve">Terapija se može primjenjivati kao doza koja se daje jednom </w:t>
      </w:r>
      <w:r w:rsidR="00273FDB" w:rsidRPr="00510442">
        <w:rPr>
          <w:szCs w:val="22"/>
          <w:lang w:val="hr-HR"/>
        </w:rPr>
        <w:t>na dan</w:t>
      </w:r>
      <w:r w:rsidRPr="00510442">
        <w:rPr>
          <w:szCs w:val="22"/>
          <w:lang w:val="hr-HR"/>
        </w:rPr>
        <w:t xml:space="preserve">, ili se dnevna doza može podijeliti u dvije primjene – jedna ujutro, a jedna navečer. Postojeća preporuka doziranja temeljena je na malenom broju pedijatrijskih bolesnika (vidjeti dijelove </w:t>
      </w:r>
      <w:r w:rsidR="008F1C56" w:rsidRPr="00510442">
        <w:rPr>
          <w:color w:val="000000"/>
          <w:szCs w:val="22"/>
          <w:lang w:val="hr-HR"/>
        </w:rPr>
        <w:t xml:space="preserve">5.1 </w:t>
      </w:r>
      <w:r w:rsidRPr="00510442">
        <w:rPr>
          <w:color w:val="000000"/>
          <w:szCs w:val="22"/>
          <w:lang w:val="hr-HR"/>
        </w:rPr>
        <w:t>i</w:t>
      </w:r>
      <w:r w:rsidR="008F1C56" w:rsidRPr="00510442">
        <w:rPr>
          <w:color w:val="000000"/>
          <w:szCs w:val="22"/>
          <w:lang w:val="hr-HR"/>
        </w:rPr>
        <w:t xml:space="preserve"> 5.2). </w:t>
      </w:r>
      <w:r w:rsidRPr="00510442">
        <w:rPr>
          <w:szCs w:val="22"/>
          <w:lang w:val="hr-HR"/>
        </w:rPr>
        <w:t xml:space="preserve">Ne postoji iskustvo s liječenjem djece mlađe od </w:t>
      </w:r>
      <w:r w:rsidR="008F1C56" w:rsidRPr="00510442">
        <w:rPr>
          <w:color w:val="000000"/>
          <w:szCs w:val="22"/>
          <w:lang w:val="hr-HR"/>
        </w:rPr>
        <w:t>2 </w:t>
      </w:r>
      <w:r w:rsidRPr="00510442">
        <w:rPr>
          <w:color w:val="000000"/>
          <w:szCs w:val="22"/>
          <w:lang w:val="hr-HR"/>
        </w:rPr>
        <w:t>godine</w:t>
      </w:r>
      <w:r w:rsidR="008F1C56" w:rsidRPr="00510442">
        <w:rPr>
          <w:color w:val="000000"/>
          <w:szCs w:val="22"/>
          <w:lang w:val="hr-HR"/>
        </w:rPr>
        <w:t>.</w:t>
      </w:r>
    </w:p>
    <w:p w14:paraId="2302210C" w14:textId="77777777" w:rsidR="008F1C56" w:rsidRPr="00510442" w:rsidRDefault="008F1C56" w:rsidP="00AC2C24">
      <w:pPr>
        <w:pStyle w:val="EndnoteText"/>
        <w:widowControl w:val="0"/>
        <w:tabs>
          <w:tab w:val="clear" w:pos="567"/>
        </w:tabs>
        <w:rPr>
          <w:color w:val="000000"/>
          <w:szCs w:val="22"/>
          <w:lang w:val="hr-HR"/>
        </w:rPr>
      </w:pPr>
    </w:p>
    <w:p w14:paraId="23BA829B" w14:textId="77777777" w:rsidR="008F1C56" w:rsidRPr="00510442" w:rsidRDefault="007F3FBA" w:rsidP="00C1291A">
      <w:pPr>
        <w:pStyle w:val="EndnoteText"/>
        <w:widowControl w:val="0"/>
        <w:tabs>
          <w:tab w:val="clear" w:pos="567"/>
        </w:tabs>
        <w:rPr>
          <w:color w:val="000000"/>
          <w:szCs w:val="22"/>
          <w:lang w:val="hr-HR"/>
        </w:rPr>
      </w:pPr>
      <w:r w:rsidRPr="00510442">
        <w:rPr>
          <w:szCs w:val="22"/>
          <w:lang w:val="hr-HR"/>
        </w:rPr>
        <w:lastRenderedPageBreak/>
        <w:t xml:space="preserve">U djece se mogu razmotriti povećanja doze od </w:t>
      </w:r>
      <w:r w:rsidR="008F1C56" w:rsidRPr="00510442">
        <w:rPr>
          <w:color w:val="000000"/>
          <w:szCs w:val="22"/>
          <w:lang w:val="hr-HR"/>
        </w:rPr>
        <w:t>340 mg/m</w:t>
      </w:r>
      <w:r w:rsidR="008F1C56" w:rsidRPr="00510442">
        <w:rPr>
          <w:color w:val="000000"/>
          <w:szCs w:val="22"/>
          <w:vertAlign w:val="superscript"/>
          <w:lang w:val="hr-HR"/>
        </w:rPr>
        <w:t>2</w:t>
      </w:r>
      <w:r w:rsidR="008F1C56" w:rsidRPr="00510442">
        <w:rPr>
          <w:color w:val="000000"/>
          <w:szCs w:val="22"/>
          <w:lang w:val="hr-HR"/>
        </w:rPr>
        <w:t xml:space="preserve"> </w:t>
      </w:r>
      <w:r w:rsidR="00C00697" w:rsidRPr="00510442">
        <w:rPr>
          <w:szCs w:val="22"/>
          <w:lang w:val="hr-HR"/>
        </w:rPr>
        <w:t xml:space="preserve">na dan </w:t>
      </w:r>
      <w:r w:rsidRPr="00510442">
        <w:rPr>
          <w:szCs w:val="22"/>
          <w:lang w:val="hr-HR"/>
        </w:rPr>
        <w:t xml:space="preserve">do </w:t>
      </w:r>
      <w:r w:rsidR="008F1C56" w:rsidRPr="00510442">
        <w:rPr>
          <w:color w:val="000000"/>
          <w:szCs w:val="22"/>
          <w:lang w:val="hr-HR"/>
        </w:rPr>
        <w:t>570 mg/m</w:t>
      </w:r>
      <w:r w:rsidR="008F1C56" w:rsidRPr="00510442">
        <w:rPr>
          <w:color w:val="000000"/>
          <w:szCs w:val="22"/>
          <w:vertAlign w:val="superscript"/>
          <w:lang w:val="hr-HR"/>
        </w:rPr>
        <w:t>2</w:t>
      </w:r>
      <w:r w:rsidR="008F1C56" w:rsidRPr="00510442">
        <w:rPr>
          <w:color w:val="000000"/>
          <w:szCs w:val="22"/>
          <w:lang w:val="hr-HR"/>
        </w:rPr>
        <w:t xml:space="preserve"> </w:t>
      </w:r>
      <w:r w:rsidR="00C00697" w:rsidRPr="00510442">
        <w:rPr>
          <w:szCs w:val="22"/>
          <w:lang w:val="hr-HR"/>
        </w:rPr>
        <w:t xml:space="preserve">na dan </w:t>
      </w:r>
      <w:r w:rsidRPr="00510442">
        <w:rPr>
          <w:szCs w:val="22"/>
          <w:lang w:val="hr-HR"/>
        </w:rPr>
        <w:t>(ne smije se prekoračiti ukupna doza od</w:t>
      </w:r>
      <w:r w:rsidR="008F1C56" w:rsidRPr="00510442">
        <w:rPr>
          <w:color w:val="000000"/>
          <w:szCs w:val="22"/>
          <w:lang w:val="hr-HR"/>
        </w:rPr>
        <w:t xml:space="preserve"> 800 mg) </w:t>
      </w:r>
      <w:r w:rsidRPr="00510442">
        <w:rPr>
          <w:szCs w:val="22"/>
          <w:lang w:val="hr-HR"/>
        </w:rPr>
        <w:t>u odsustvu teške nuspojave i teške neutropenije ili trombocitopenije nepovezanih s leukemijom u sljedećim situacijama: progresija bolesti (u bilo kojem trenutku)</w:t>
      </w:r>
      <w:r w:rsidR="008F1C56" w:rsidRPr="00510442">
        <w:rPr>
          <w:color w:val="000000"/>
          <w:szCs w:val="22"/>
          <w:lang w:val="hr-HR"/>
        </w:rPr>
        <w:t xml:space="preserve">; </w:t>
      </w:r>
      <w:r w:rsidRPr="00510442">
        <w:rPr>
          <w:szCs w:val="22"/>
          <w:lang w:val="hr-HR"/>
        </w:rPr>
        <w:t xml:space="preserve">neuspjeh u postizanju zadovoljavajućeg hematološkog odgovora nakon liječenja u trajanju od najmanje </w:t>
      </w:r>
      <w:r w:rsidR="008F1C56" w:rsidRPr="00510442">
        <w:rPr>
          <w:color w:val="000000"/>
          <w:szCs w:val="22"/>
          <w:lang w:val="hr-HR"/>
        </w:rPr>
        <w:t>3 m</w:t>
      </w:r>
      <w:r w:rsidRPr="00510442">
        <w:rPr>
          <w:color w:val="000000"/>
          <w:szCs w:val="22"/>
          <w:lang w:val="hr-HR"/>
        </w:rPr>
        <w:t>jeseca</w:t>
      </w:r>
      <w:r w:rsidR="008F1C56" w:rsidRPr="00510442">
        <w:rPr>
          <w:color w:val="000000"/>
          <w:szCs w:val="22"/>
          <w:lang w:val="hr-HR"/>
        </w:rPr>
        <w:t xml:space="preserve">; </w:t>
      </w:r>
      <w:r w:rsidRPr="00510442">
        <w:rPr>
          <w:szCs w:val="22"/>
          <w:lang w:val="hr-HR"/>
        </w:rPr>
        <w:t xml:space="preserve">neuspjeh u postizanju citogenetskog odgovora nakon </w:t>
      </w:r>
      <w:r w:rsidR="008F1C56" w:rsidRPr="00510442">
        <w:rPr>
          <w:color w:val="000000"/>
          <w:szCs w:val="22"/>
          <w:lang w:val="hr-HR"/>
        </w:rPr>
        <w:t>12 </w:t>
      </w:r>
      <w:r w:rsidRPr="00510442">
        <w:rPr>
          <w:szCs w:val="22"/>
          <w:lang w:val="hr-HR"/>
        </w:rPr>
        <w:t>mjeseci liječenja</w:t>
      </w:r>
      <w:r w:rsidR="008F1C56" w:rsidRPr="00510442">
        <w:rPr>
          <w:color w:val="000000"/>
          <w:szCs w:val="22"/>
          <w:lang w:val="hr-HR"/>
        </w:rPr>
        <w:t xml:space="preserve">; </w:t>
      </w:r>
      <w:r w:rsidRPr="00510442">
        <w:rPr>
          <w:szCs w:val="22"/>
          <w:lang w:val="hr-HR"/>
        </w:rPr>
        <w:t>ili gubitak ranije postignutoga hematološkog i/ili citogenetskog odgovora</w:t>
      </w:r>
      <w:r w:rsidR="008F1C56" w:rsidRPr="00510442">
        <w:rPr>
          <w:color w:val="000000"/>
          <w:szCs w:val="22"/>
          <w:lang w:val="hr-HR"/>
        </w:rPr>
        <w:t xml:space="preserve">. </w:t>
      </w:r>
      <w:r w:rsidRPr="00510442">
        <w:rPr>
          <w:szCs w:val="22"/>
          <w:lang w:val="hr-HR"/>
        </w:rPr>
        <w:t xml:space="preserve">Nakon povećanja doze bolesnike treba pozorno pratiti, jer uz više doze postoji mogućnost za povećanu </w:t>
      </w:r>
      <w:r w:rsidR="001E4371" w:rsidRPr="00510442">
        <w:rPr>
          <w:szCs w:val="22"/>
          <w:lang w:val="hr-HR"/>
        </w:rPr>
        <w:t xml:space="preserve">incidenciju </w:t>
      </w:r>
      <w:r w:rsidRPr="00510442">
        <w:rPr>
          <w:szCs w:val="22"/>
          <w:lang w:val="hr-HR"/>
        </w:rPr>
        <w:t>nuspojava</w:t>
      </w:r>
      <w:r w:rsidR="008F1C56" w:rsidRPr="00510442">
        <w:rPr>
          <w:color w:val="000000"/>
          <w:szCs w:val="22"/>
          <w:lang w:val="hr-HR"/>
        </w:rPr>
        <w:t>.</w:t>
      </w:r>
    </w:p>
    <w:p w14:paraId="45314575" w14:textId="77777777" w:rsidR="0078783A" w:rsidRPr="00510442" w:rsidRDefault="0078783A" w:rsidP="0091773C">
      <w:pPr>
        <w:pStyle w:val="EndnoteText"/>
        <w:widowControl w:val="0"/>
        <w:tabs>
          <w:tab w:val="clear" w:pos="567"/>
        </w:tabs>
        <w:rPr>
          <w:color w:val="000000"/>
          <w:szCs w:val="22"/>
          <w:lang w:val="hr-HR"/>
        </w:rPr>
      </w:pPr>
    </w:p>
    <w:p w14:paraId="0E42687B" w14:textId="77777777" w:rsidR="0078783A" w:rsidRPr="00510442" w:rsidRDefault="008765FD" w:rsidP="00D44559">
      <w:pPr>
        <w:pStyle w:val="EndnoteText"/>
        <w:keepNext/>
        <w:widowControl w:val="0"/>
        <w:tabs>
          <w:tab w:val="clear" w:pos="567"/>
        </w:tabs>
        <w:rPr>
          <w:color w:val="000000"/>
          <w:szCs w:val="22"/>
          <w:u w:val="single"/>
          <w:lang w:val="hr-HR"/>
        </w:rPr>
      </w:pPr>
      <w:r w:rsidRPr="00510442">
        <w:rPr>
          <w:szCs w:val="22"/>
          <w:u w:val="single"/>
          <w:lang w:val="hr-HR"/>
        </w:rPr>
        <w:t>Doziranje za Ph+ ALL</w:t>
      </w:r>
      <w:r w:rsidR="00D81D1F" w:rsidRPr="00510442">
        <w:rPr>
          <w:szCs w:val="22"/>
          <w:u w:val="single"/>
          <w:lang w:val="hr-HR"/>
        </w:rPr>
        <w:t xml:space="preserve"> u odraslih bolesnika</w:t>
      </w:r>
    </w:p>
    <w:p w14:paraId="24AEFB65" w14:textId="7D4F715C" w:rsidR="0078783A" w:rsidRPr="00510442" w:rsidRDefault="008765FD" w:rsidP="0091773C">
      <w:pPr>
        <w:pStyle w:val="EndnoteText"/>
        <w:widowControl w:val="0"/>
        <w:tabs>
          <w:tab w:val="clear" w:pos="567"/>
        </w:tabs>
        <w:rPr>
          <w:color w:val="000000"/>
          <w:szCs w:val="22"/>
          <w:lang w:val="hr-HR"/>
        </w:rPr>
      </w:pPr>
      <w:r w:rsidRPr="00510442">
        <w:rPr>
          <w:szCs w:val="22"/>
          <w:lang w:val="hr-HR"/>
        </w:rPr>
        <w:t xml:space="preserve">Za odrasle bolesnike s Ph+ ALL-om preporučena doza </w:t>
      </w:r>
      <w:r w:rsidR="00512481" w:rsidRPr="00512481">
        <w:rPr>
          <w:szCs w:val="22"/>
          <w:lang w:val="hr-HR"/>
        </w:rPr>
        <w:t xml:space="preserve">lijeka </w:t>
      </w:r>
      <w:r w:rsidRPr="00510442">
        <w:rPr>
          <w:szCs w:val="22"/>
          <w:lang w:val="hr-HR"/>
        </w:rPr>
        <w:t>Glivec iznosi</w:t>
      </w:r>
      <w:r w:rsidR="0078783A" w:rsidRPr="00510442">
        <w:rPr>
          <w:color w:val="000000"/>
          <w:szCs w:val="22"/>
          <w:lang w:val="hr-HR"/>
        </w:rPr>
        <w:t xml:space="preserve"> 600 mg/da</w:t>
      </w:r>
      <w:r w:rsidRPr="00510442">
        <w:rPr>
          <w:color w:val="000000"/>
          <w:szCs w:val="22"/>
          <w:lang w:val="hr-HR"/>
        </w:rPr>
        <w:t>n</w:t>
      </w:r>
      <w:r w:rsidR="0078783A" w:rsidRPr="00510442">
        <w:rPr>
          <w:color w:val="000000"/>
          <w:szCs w:val="22"/>
          <w:lang w:val="hr-HR"/>
        </w:rPr>
        <w:t>.</w:t>
      </w:r>
      <w:r w:rsidR="0078783A" w:rsidRPr="00510442">
        <w:rPr>
          <w:rFonts w:eastAsia="MS Mincho"/>
          <w:color w:val="000000"/>
          <w:szCs w:val="22"/>
          <w:lang w:val="hr-HR" w:eastAsia="ja-JP"/>
        </w:rPr>
        <w:t xml:space="preserve"> </w:t>
      </w:r>
      <w:r w:rsidR="00776450" w:rsidRPr="00510442">
        <w:rPr>
          <w:rFonts w:eastAsia="MS Mincho"/>
          <w:color w:val="000000"/>
          <w:szCs w:val="22"/>
          <w:lang w:val="hr-HR" w:eastAsia="ja-JP"/>
        </w:rPr>
        <w:t xml:space="preserve">Specijalisti </w:t>
      </w:r>
      <w:r w:rsidR="00776450" w:rsidRPr="00510442">
        <w:rPr>
          <w:szCs w:val="22"/>
          <w:lang w:val="hr-HR"/>
        </w:rPr>
        <w:t>h</w:t>
      </w:r>
      <w:r w:rsidRPr="00510442">
        <w:rPr>
          <w:szCs w:val="22"/>
          <w:lang w:val="hr-HR"/>
        </w:rPr>
        <w:t>ematolozi uključeni u liječenje ove bolesti trebaju nadzirati terapiju kroz sve faze liječenja</w:t>
      </w:r>
      <w:r w:rsidR="0078783A" w:rsidRPr="00510442">
        <w:rPr>
          <w:rFonts w:eastAsia="MS Mincho"/>
          <w:color w:val="000000"/>
          <w:szCs w:val="22"/>
          <w:lang w:val="hr-HR" w:eastAsia="ja-JP"/>
        </w:rPr>
        <w:t>.</w:t>
      </w:r>
    </w:p>
    <w:p w14:paraId="67EF1AD2" w14:textId="77777777" w:rsidR="0078783A" w:rsidRPr="00510442" w:rsidRDefault="0078783A" w:rsidP="009B5630">
      <w:pPr>
        <w:spacing w:line="240" w:lineRule="auto"/>
        <w:rPr>
          <w:color w:val="000000"/>
          <w:szCs w:val="22"/>
          <w:lang w:val="hr-HR"/>
        </w:rPr>
      </w:pPr>
    </w:p>
    <w:p w14:paraId="5AE4CEEB" w14:textId="43DC2865" w:rsidR="0078783A" w:rsidRPr="00510442" w:rsidRDefault="00335AFC" w:rsidP="009B5630">
      <w:pPr>
        <w:spacing w:line="240" w:lineRule="auto"/>
        <w:rPr>
          <w:rFonts w:eastAsia="MS Mincho"/>
          <w:color w:val="000000"/>
          <w:szCs w:val="22"/>
          <w:lang w:val="hr-HR" w:eastAsia="ja-JP"/>
        </w:rPr>
      </w:pPr>
      <w:r w:rsidRPr="00510442">
        <w:rPr>
          <w:szCs w:val="22"/>
          <w:lang w:val="hr-HR"/>
        </w:rPr>
        <w:t xml:space="preserve">Plan liječenja: na temelju postojećih podataka, Glivec se pokazao </w:t>
      </w:r>
      <w:r w:rsidR="00641477" w:rsidRPr="00510442">
        <w:rPr>
          <w:szCs w:val="22"/>
          <w:lang w:val="hr-HR"/>
        </w:rPr>
        <w:t xml:space="preserve">učinkovitim </w:t>
      </w:r>
      <w:r w:rsidRPr="00510442">
        <w:rPr>
          <w:szCs w:val="22"/>
          <w:lang w:val="hr-HR"/>
        </w:rPr>
        <w:t>i sigurnim u dozi od</w:t>
      </w:r>
      <w:r w:rsidRPr="00510442">
        <w:rPr>
          <w:rFonts w:eastAsia="MS Mincho"/>
          <w:color w:val="000000"/>
          <w:szCs w:val="22"/>
          <w:lang w:val="hr-HR" w:eastAsia="ja-JP"/>
        </w:rPr>
        <w:t xml:space="preserve"> </w:t>
      </w:r>
      <w:r w:rsidR="0078783A" w:rsidRPr="00510442">
        <w:rPr>
          <w:rFonts w:eastAsia="MS Mincho"/>
          <w:color w:val="000000"/>
          <w:szCs w:val="22"/>
          <w:lang w:val="hr-HR" w:eastAsia="ja-JP"/>
        </w:rPr>
        <w:t>600 mg/</w:t>
      </w:r>
      <w:r w:rsidRPr="00510442">
        <w:rPr>
          <w:szCs w:val="22"/>
          <w:lang w:val="hr-HR"/>
        </w:rPr>
        <w:t xml:space="preserve"> dan u kombinaciji s kemoterapijom u indukcijskoj fazi te u konsolidacijskoj fazi i fazi održavanja kemoterapije (vidjeti dio </w:t>
      </w:r>
      <w:r w:rsidR="0078783A" w:rsidRPr="00510442">
        <w:rPr>
          <w:rFonts w:eastAsia="MS Mincho"/>
          <w:color w:val="000000"/>
          <w:szCs w:val="22"/>
          <w:lang w:val="hr-HR" w:eastAsia="ja-JP"/>
        </w:rPr>
        <w:t xml:space="preserve">5.1) </w:t>
      </w:r>
      <w:r w:rsidR="007D51A2" w:rsidRPr="00510442">
        <w:rPr>
          <w:szCs w:val="22"/>
          <w:lang w:val="hr-HR"/>
        </w:rPr>
        <w:t xml:space="preserve">u odraslih bolesnika s novodijagnosticiranim Ph+ ALL-om. Trajanje terapije </w:t>
      </w:r>
      <w:r w:rsidR="00951360">
        <w:rPr>
          <w:szCs w:val="22"/>
          <w:lang w:val="hr-HR"/>
        </w:rPr>
        <w:t xml:space="preserve">lijekom </w:t>
      </w:r>
      <w:r w:rsidR="007D51A2" w:rsidRPr="00510442">
        <w:rPr>
          <w:szCs w:val="22"/>
          <w:lang w:val="hr-HR"/>
        </w:rPr>
        <w:t xml:space="preserve">Glivec može se razlikovati s obzirom na odabrani program liječenja, no općenito se može reći da su se dužom izloženošću </w:t>
      </w:r>
      <w:r w:rsidR="00561038">
        <w:rPr>
          <w:szCs w:val="22"/>
          <w:lang w:val="hr-HR"/>
        </w:rPr>
        <w:t xml:space="preserve">lijeku </w:t>
      </w:r>
      <w:r w:rsidR="007D51A2" w:rsidRPr="00510442">
        <w:rPr>
          <w:szCs w:val="22"/>
          <w:lang w:val="hr-HR"/>
        </w:rPr>
        <w:t>Glivec dobivali bolji rezultati</w:t>
      </w:r>
      <w:r w:rsidR="0078783A" w:rsidRPr="00510442">
        <w:rPr>
          <w:rFonts w:eastAsia="MS Mincho"/>
          <w:color w:val="000000"/>
          <w:szCs w:val="22"/>
          <w:lang w:val="hr-HR" w:eastAsia="ja-JP"/>
        </w:rPr>
        <w:t>.</w:t>
      </w:r>
    </w:p>
    <w:p w14:paraId="16E2E50A" w14:textId="77777777" w:rsidR="0078783A" w:rsidRPr="00510442" w:rsidRDefault="0078783A" w:rsidP="009B5630">
      <w:pPr>
        <w:spacing w:line="240" w:lineRule="auto"/>
        <w:rPr>
          <w:rFonts w:eastAsia="MS Mincho"/>
          <w:color w:val="000000"/>
          <w:szCs w:val="22"/>
          <w:lang w:val="hr-HR" w:eastAsia="ja-JP"/>
        </w:rPr>
      </w:pPr>
    </w:p>
    <w:p w14:paraId="1979780B" w14:textId="7006723F" w:rsidR="0078783A" w:rsidRPr="00510442" w:rsidRDefault="00CB70C1" w:rsidP="009B5630">
      <w:pPr>
        <w:spacing w:line="240" w:lineRule="auto"/>
        <w:rPr>
          <w:rFonts w:eastAsia="MS Mincho"/>
          <w:color w:val="000000"/>
          <w:szCs w:val="22"/>
          <w:lang w:val="hr-HR" w:eastAsia="ja-JP"/>
        </w:rPr>
      </w:pPr>
      <w:r w:rsidRPr="00510442">
        <w:rPr>
          <w:szCs w:val="22"/>
          <w:lang w:val="hr-HR"/>
        </w:rPr>
        <w:t xml:space="preserve">Za odrasle bolesnike s recidivirajućim ili refraktornim Ph+ ALL-om, monoterapija </w:t>
      </w:r>
      <w:r w:rsidR="00951360">
        <w:rPr>
          <w:szCs w:val="22"/>
          <w:lang w:val="hr-HR"/>
        </w:rPr>
        <w:t xml:space="preserve">lijekom </w:t>
      </w:r>
      <w:r w:rsidRPr="00510442">
        <w:rPr>
          <w:szCs w:val="22"/>
          <w:lang w:val="hr-HR"/>
        </w:rPr>
        <w:t xml:space="preserve">Glivec u dozi od </w:t>
      </w:r>
      <w:r w:rsidR="0078783A" w:rsidRPr="00510442">
        <w:rPr>
          <w:rFonts w:eastAsia="MS Mincho"/>
          <w:color w:val="000000"/>
          <w:szCs w:val="22"/>
          <w:lang w:val="hr-HR" w:eastAsia="ja-JP"/>
        </w:rPr>
        <w:t>600 mg/da</w:t>
      </w:r>
      <w:r w:rsidR="003B443C" w:rsidRPr="00510442">
        <w:rPr>
          <w:rFonts w:eastAsia="MS Mincho"/>
          <w:color w:val="000000"/>
          <w:szCs w:val="22"/>
          <w:lang w:val="hr-HR" w:eastAsia="ja-JP"/>
        </w:rPr>
        <w:t>n</w:t>
      </w:r>
      <w:r w:rsidR="0078783A" w:rsidRPr="00510442">
        <w:rPr>
          <w:rFonts w:eastAsia="MS Mincho"/>
          <w:color w:val="000000"/>
          <w:szCs w:val="22"/>
          <w:lang w:val="hr-HR" w:eastAsia="ja-JP"/>
        </w:rPr>
        <w:t xml:space="preserve"> </w:t>
      </w:r>
      <w:r w:rsidRPr="00510442">
        <w:rPr>
          <w:szCs w:val="22"/>
          <w:lang w:val="hr-HR"/>
        </w:rPr>
        <w:t xml:space="preserve">je sigurna, </w:t>
      </w:r>
      <w:r w:rsidR="00641477" w:rsidRPr="00510442">
        <w:rPr>
          <w:szCs w:val="22"/>
          <w:lang w:val="hr-HR"/>
        </w:rPr>
        <w:t>učinkovita</w:t>
      </w:r>
      <w:r w:rsidRPr="00510442">
        <w:rPr>
          <w:szCs w:val="22"/>
          <w:lang w:val="hr-HR"/>
        </w:rPr>
        <w:t xml:space="preserve"> te se može davati do pojave progresije bolesti</w:t>
      </w:r>
      <w:r w:rsidR="0078783A" w:rsidRPr="00510442">
        <w:rPr>
          <w:rFonts w:eastAsia="MS Mincho"/>
          <w:color w:val="000000"/>
          <w:szCs w:val="22"/>
          <w:lang w:val="hr-HR" w:eastAsia="ja-JP"/>
        </w:rPr>
        <w:t>.</w:t>
      </w:r>
    </w:p>
    <w:p w14:paraId="63FEF571" w14:textId="77777777" w:rsidR="00417EC6" w:rsidRPr="00510442" w:rsidRDefault="00417EC6" w:rsidP="009B5630">
      <w:pPr>
        <w:spacing w:line="240" w:lineRule="auto"/>
        <w:rPr>
          <w:rFonts w:eastAsia="MS Mincho"/>
          <w:color w:val="000000"/>
          <w:szCs w:val="22"/>
          <w:lang w:val="hr-HR" w:eastAsia="ja-JP"/>
        </w:rPr>
      </w:pPr>
    </w:p>
    <w:p w14:paraId="471AD9C6" w14:textId="77777777" w:rsidR="00417EC6" w:rsidRPr="00510442" w:rsidRDefault="00417EC6" w:rsidP="00D44559">
      <w:pPr>
        <w:keepNext/>
        <w:spacing w:line="240" w:lineRule="auto"/>
        <w:rPr>
          <w:rFonts w:eastAsia="MS Mincho"/>
          <w:color w:val="000000"/>
          <w:szCs w:val="22"/>
          <w:u w:val="single"/>
          <w:lang w:val="hr-HR" w:eastAsia="ja-JP"/>
        </w:rPr>
      </w:pPr>
      <w:r w:rsidRPr="00510442">
        <w:rPr>
          <w:rFonts w:eastAsia="MS Mincho"/>
          <w:color w:val="000000"/>
          <w:szCs w:val="22"/>
          <w:u w:val="single"/>
          <w:lang w:val="hr-HR" w:eastAsia="ja-JP"/>
        </w:rPr>
        <w:t>Doziranje za Ph+ ALL u djece</w:t>
      </w:r>
    </w:p>
    <w:p w14:paraId="6C216615" w14:textId="77777777" w:rsidR="00632833" w:rsidRPr="00510442" w:rsidRDefault="00417EC6" w:rsidP="00DD7AAD">
      <w:pPr>
        <w:spacing w:line="240" w:lineRule="auto"/>
        <w:rPr>
          <w:color w:val="000000"/>
          <w:szCs w:val="22"/>
          <w:lang w:val="hr-HR"/>
        </w:rPr>
      </w:pPr>
      <w:r w:rsidRPr="00510442">
        <w:rPr>
          <w:szCs w:val="22"/>
          <w:lang w:val="hr-HR"/>
        </w:rPr>
        <w:t xml:space="preserve">U djece se doziranje treba temeljiti na veličini površine tijela </w:t>
      </w:r>
      <w:r w:rsidRPr="00510442">
        <w:rPr>
          <w:color w:val="000000"/>
          <w:szCs w:val="22"/>
          <w:lang w:val="hr-HR"/>
        </w:rPr>
        <w:t>(mg/m</w:t>
      </w:r>
      <w:r w:rsidRPr="00510442">
        <w:rPr>
          <w:color w:val="000000"/>
          <w:szCs w:val="22"/>
          <w:vertAlign w:val="superscript"/>
          <w:lang w:val="hr-HR"/>
        </w:rPr>
        <w:t>2</w:t>
      </w:r>
      <w:r w:rsidRPr="00510442">
        <w:rPr>
          <w:color w:val="000000"/>
          <w:szCs w:val="22"/>
          <w:lang w:val="hr-HR"/>
        </w:rPr>
        <w:t xml:space="preserve">). </w:t>
      </w:r>
      <w:r w:rsidRPr="00510442">
        <w:rPr>
          <w:szCs w:val="22"/>
          <w:lang w:val="hr-HR"/>
        </w:rPr>
        <w:t xml:space="preserve">Doza od </w:t>
      </w:r>
      <w:r w:rsidRPr="00510442">
        <w:rPr>
          <w:color w:val="000000"/>
          <w:szCs w:val="22"/>
          <w:lang w:val="hr-HR"/>
        </w:rPr>
        <w:t>340 mg/m</w:t>
      </w:r>
      <w:r w:rsidRPr="00510442">
        <w:rPr>
          <w:color w:val="000000"/>
          <w:szCs w:val="22"/>
          <w:vertAlign w:val="superscript"/>
          <w:lang w:val="hr-HR"/>
        </w:rPr>
        <w:t>2</w:t>
      </w:r>
      <w:r w:rsidRPr="00510442">
        <w:rPr>
          <w:color w:val="000000"/>
          <w:szCs w:val="22"/>
          <w:lang w:val="hr-HR"/>
        </w:rPr>
        <w:t xml:space="preserve"> </w:t>
      </w:r>
      <w:r w:rsidRPr="00510442">
        <w:rPr>
          <w:szCs w:val="22"/>
          <w:lang w:val="hr-HR"/>
        </w:rPr>
        <w:t>na dan preporučuj</w:t>
      </w:r>
      <w:r w:rsidR="00D0208A" w:rsidRPr="00510442">
        <w:rPr>
          <w:szCs w:val="22"/>
          <w:lang w:val="hr-HR"/>
        </w:rPr>
        <w:t>e</w:t>
      </w:r>
      <w:r w:rsidRPr="00510442">
        <w:rPr>
          <w:szCs w:val="22"/>
          <w:lang w:val="hr-HR"/>
        </w:rPr>
        <w:t xml:space="preserve"> se za djecu s</w:t>
      </w:r>
      <w:r w:rsidRPr="00510442">
        <w:rPr>
          <w:color w:val="000000"/>
          <w:lang w:val="hr-HR"/>
        </w:rPr>
        <w:t xml:space="preserve"> Ph+ ALL (</w:t>
      </w:r>
      <w:r w:rsidRPr="00510442">
        <w:rPr>
          <w:szCs w:val="22"/>
          <w:lang w:val="hr-HR"/>
        </w:rPr>
        <w:t>ne smije se prekoračiti ukupna doza od</w:t>
      </w:r>
      <w:r w:rsidRPr="00510442">
        <w:rPr>
          <w:color w:val="000000"/>
          <w:lang w:val="hr-HR"/>
        </w:rPr>
        <w:t xml:space="preserve"> 600 mg).</w:t>
      </w:r>
    </w:p>
    <w:p w14:paraId="585615B5" w14:textId="77777777" w:rsidR="00983E9B" w:rsidRPr="00510442" w:rsidRDefault="00983E9B" w:rsidP="00DD7AAD">
      <w:pPr>
        <w:spacing w:line="240" w:lineRule="auto"/>
        <w:rPr>
          <w:color w:val="000000"/>
          <w:szCs w:val="22"/>
          <w:lang w:val="hr-HR"/>
        </w:rPr>
      </w:pPr>
    </w:p>
    <w:p w14:paraId="798BB81D" w14:textId="77777777" w:rsidR="00632833" w:rsidRPr="00510442" w:rsidRDefault="00CB70C1" w:rsidP="00D44559">
      <w:pPr>
        <w:pStyle w:val="EndnoteText"/>
        <w:keepNext/>
        <w:widowControl w:val="0"/>
        <w:tabs>
          <w:tab w:val="clear" w:pos="567"/>
        </w:tabs>
        <w:rPr>
          <w:color w:val="000000"/>
          <w:szCs w:val="22"/>
          <w:u w:val="single"/>
          <w:lang w:val="hr-HR"/>
        </w:rPr>
      </w:pPr>
      <w:r w:rsidRPr="00510442">
        <w:rPr>
          <w:szCs w:val="22"/>
          <w:u w:val="single"/>
          <w:lang w:val="hr-HR"/>
        </w:rPr>
        <w:t>Doziranje za MDS/MPD</w:t>
      </w:r>
    </w:p>
    <w:p w14:paraId="002317F1" w14:textId="4259C6A2" w:rsidR="00632833" w:rsidRPr="00510442" w:rsidRDefault="00CB70C1" w:rsidP="00A74D02">
      <w:pPr>
        <w:pStyle w:val="EndnoteText"/>
        <w:widowControl w:val="0"/>
        <w:tabs>
          <w:tab w:val="clear" w:pos="567"/>
        </w:tabs>
        <w:rPr>
          <w:color w:val="000000"/>
          <w:szCs w:val="22"/>
          <w:lang w:val="hr-HR"/>
        </w:rPr>
      </w:pPr>
      <w:r w:rsidRPr="00510442">
        <w:rPr>
          <w:szCs w:val="22"/>
          <w:lang w:val="hr-HR"/>
        </w:rPr>
        <w:t xml:space="preserve">Za odrasle bolesnike s MDS/MPD-om preporučena doza </w:t>
      </w:r>
      <w:r w:rsidR="00512481" w:rsidRPr="00512481">
        <w:rPr>
          <w:szCs w:val="22"/>
          <w:lang w:val="hr-HR"/>
        </w:rPr>
        <w:t xml:space="preserve">lijeka </w:t>
      </w:r>
      <w:r w:rsidRPr="00510442">
        <w:rPr>
          <w:szCs w:val="22"/>
          <w:lang w:val="hr-HR"/>
        </w:rPr>
        <w:t xml:space="preserve">Glivec iznosi </w:t>
      </w:r>
      <w:r w:rsidR="00632833" w:rsidRPr="00510442">
        <w:rPr>
          <w:color w:val="000000"/>
          <w:szCs w:val="22"/>
          <w:lang w:val="hr-HR"/>
        </w:rPr>
        <w:t>400 mg/da</w:t>
      </w:r>
      <w:r w:rsidRPr="00510442">
        <w:rPr>
          <w:color w:val="000000"/>
          <w:szCs w:val="22"/>
          <w:lang w:val="hr-HR"/>
        </w:rPr>
        <w:t>n</w:t>
      </w:r>
      <w:r w:rsidR="00632833" w:rsidRPr="00510442">
        <w:rPr>
          <w:color w:val="000000"/>
          <w:szCs w:val="22"/>
          <w:lang w:val="hr-HR"/>
        </w:rPr>
        <w:t>.</w:t>
      </w:r>
    </w:p>
    <w:p w14:paraId="5D5A1F23" w14:textId="77777777" w:rsidR="00254208" w:rsidRPr="00510442" w:rsidRDefault="00254208" w:rsidP="007F1BD0">
      <w:pPr>
        <w:pStyle w:val="EndnoteText"/>
        <w:widowControl w:val="0"/>
        <w:tabs>
          <w:tab w:val="clear" w:pos="567"/>
        </w:tabs>
        <w:rPr>
          <w:color w:val="000000"/>
          <w:szCs w:val="22"/>
          <w:lang w:val="hr-HR"/>
        </w:rPr>
      </w:pPr>
    </w:p>
    <w:p w14:paraId="65697075" w14:textId="0926167D" w:rsidR="00254208" w:rsidRPr="00510442" w:rsidRDefault="00CB70C1" w:rsidP="00954FF7">
      <w:pPr>
        <w:pStyle w:val="EndnoteText"/>
        <w:widowControl w:val="0"/>
        <w:tabs>
          <w:tab w:val="clear" w:pos="567"/>
        </w:tabs>
        <w:rPr>
          <w:color w:val="000000"/>
          <w:szCs w:val="22"/>
          <w:lang w:val="hr-HR"/>
        </w:rPr>
      </w:pPr>
      <w:r w:rsidRPr="00510442">
        <w:rPr>
          <w:szCs w:val="22"/>
          <w:lang w:val="hr-HR"/>
        </w:rPr>
        <w:t xml:space="preserve">Trajanje liječenja: u jedinom kliničkom ispitivanju provedenom do sada, liječenje </w:t>
      </w:r>
      <w:r w:rsidR="00951360">
        <w:rPr>
          <w:szCs w:val="22"/>
          <w:lang w:val="hr-HR"/>
        </w:rPr>
        <w:t xml:space="preserve">lijekom </w:t>
      </w:r>
      <w:r w:rsidRPr="00510442">
        <w:rPr>
          <w:szCs w:val="22"/>
          <w:lang w:val="hr-HR"/>
        </w:rPr>
        <w:t xml:space="preserve">Glivec je nastavljeno do progresije bolesti (vidjeti dio </w:t>
      </w:r>
      <w:r w:rsidR="003914B4" w:rsidRPr="00510442">
        <w:rPr>
          <w:color w:val="000000"/>
          <w:szCs w:val="22"/>
          <w:lang w:val="hr-HR"/>
        </w:rPr>
        <w:t>5.1)</w:t>
      </w:r>
      <w:r w:rsidR="00254208" w:rsidRPr="00510442">
        <w:rPr>
          <w:color w:val="000000"/>
          <w:szCs w:val="22"/>
          <w:lang w:val="hr-HR"/>
        </w:rPr>
        <w:t>.</w:t>
      </w:r>
      <w:r w:rsidR="00740EEE" w:rsidRPr="00510442">
        <w:rPr>
          <w:color w:val="000000"/>
          <w:szCs w:val="22"/>
          <w:lang w:val="hr-HR"/>
        </w:rPr>
        <w:t xml:space="preserve"> </w:t>
      </w:r>
      <w:r w:rsidRPr="00510442">
        <w:rPr>
          <w:szCs w:val="22"/>
          <w:lang w:val="hr-HR"/>
        </w:rPr>
        <w:t>U vrijeme analize, medijan trajanja liječenja bio je</w:t>
      </w:r>
      <w:r w:rsidR="00740EEE" w:rsidRPr="00510442">
        <w:rPr>
          <w:color w:val="000000"/>
          <w:szCs w:val="22"/>
          <w:lang w:val="hr-HR"/>
        </w:rPr>
        <w:t xml:space="preserve"> 47 </w:t>
      </w:r>
      <w:r w:rsidRPr="00510442">
        <w:rPr>
          <w:color w:val="000000"/>
          <w:szCs w:val="22"/>
          <w:lang w:val="hr-HR"/>
        </w:rPr>
        <w:t>mjeseci</w:t>
      </w:r>
      <w:r w:rsidR="00740EEE" w:rsidRPr="00510442">
        <w:rPr>
          <w:color w:val="000000"/>
          <w:szCs w:val="22"/>
          <w:lang w:val="hr-HR"/>
        </w:rPr>
        <w:t xml:space="preserve"> (24 da</w:t>
      </w:r>
      <w:r w:rsidRPr="00510442">
        <w:rPr>
          <w:color w:val="000000"/>
          <w:szCs w:val="22"/>
          <w:lang w:val="hr-HR"/>
        </w:rPr>
        <w:t>na</w:t>
      </w:r>
      <w:r w:rsidR="003914B4" w:rsidRPr="00510442">
        <w:rPr>
          <w:color w:val="000000"/>
          <w:szCs w:val="22"/>
          <w:lang w:val="hr-HR"/>
        </w:rPr>
        <w:t xml:space="preserve"> </w:t>
      </w:r>
      <w:r w:rsidR="00740EEE" w:rsidRPr="00510442">
        <w:rPr>
          <w:color w:val="000000"/>
          <w:szCs w:val="22"/>
          <w:lang w:val="hr-HR"/>
        </w:rPr>
        <w:t>-</w:t>
      </w:r>
      <w:r w:rsidR="003914B4" w:rsidRPr="00510442">
        <w:rPr>
          <w:color w:val="000000"/>
          <w:szCs w:val="22"/>
          <w:lang w:val="hr-HR"/>
        </w:rPr>
        <w:t xml:space="preserve"> </w:t>
      </w:r>
      <w:r w:rsidR="00740EEE" w:rsidRPr="00510442">
        <w:rPr>
          <w:color w:val="000000"/>
          <w:szCs w:val="22"/>
          <w:lang w:val="hr-HR"/>
        </w:rPr>
        <w:t>60 m</w:t>
      </w:r>
      <w:r w:rsidRPr="00510442">
        <w:rPr>
          <w:color w:val="000000"/>
          <w:szCs w:val="22"/>
          <w:lang w:val="hr-HR"/>
        </w:rPr>
        <w:t>jeseci</w:t>
      </w:r>
      <w:r w:rsidR="00740EEE" w:rsidRPr="00510442">
        <w:rPr>
          <w:color w:val="000000"/>
          <w:szCs w:val="22"/>
          <w:lang w:val="hr-HR"/>
        </w:rPr>
        <w:t>).</w:t>
      </w:r>
    </w:p>
    <w:p w14:paraId="190C3291" w14:textId="77777777" w:rsidR="00AF1D36" w:rsidRPr="00510442" w:rsidRDefault="00AF1D36" w:rsidP="00954FF7">
      <w:pPr>
        <w:pStyle w:val="EndnoteText"/>
        <w:widowControl w:val="0"/>
        <w:tabs>
          <w:tab w:val="clear" w:pos="567"/>
        </w:tabs>
        <w:rPr>
          <w:color w:val="000000"/>
          <w:szCs w:val="22"/>
          <w:lang w:val="hr-HR"/>
        </w:rPr>
      </w:pPr>
    </w:p>
    <w:p w14:paraId="03FC9409" w14:textId="77777777" w:rsidR="00AF1D36" w:rsidRPr="00510442" w:rsidRDefault="00C2471E" w:rsidP="00D44559">
      <w:pPr>
        <w:pStyle w:val="EndnoteText"/>
        <w:keepNext/>
        <w:widowControl w:val="0"/>
        <w:tabs>
          <w:tab w:val="clear" w:pos="567"/>
        </w:tabs>
        <w:rPr>
          <w:color w:val="000000"/>
          <w:szCs w:val="22"/>
          <w:u w:val="single"/>
          <w:lang w:val="hr-HR"/>
        </w:rPr>
      </w:pPr>
      <w:r w:rsidRPr="00510442">
        <w:rPr>
          <w:szCs w:val="22"/>
          <w:u w:val="single"/>
          <w:lang w:val="hr-HR"/>
        </w:rPr>
        <w:t>Doziranje za HES/</w:t>
      </w:r>
      <w:r w:rsidR="00D46E4E" w:rsidRPr="00510442">
        <w:rPr>
          <w:szCs w:val="22"/>
          <w:u w:val="single"/>
          <w:lang w:val="hr-HR"/>
        </w:rPr>
        <w:t>K</w:t>
      </w:r>
      <w:r w:rsidRPr="00510442">
        <w:rPr>
          <w:szCs w:val="22"/>
          <w:u w:val="single"/>
          <w:lang w:val="hr-HR"/>
        </w:rPr>
        <w:t>EL</w:t>
      </w:r>
    </w:p>
    <w:p w14:paraId="0BC7C8F5" w14:textId="15396087" w:rsidR="00AF1D36" w:rsidRPr="00510442" w:rsidRDefault="00C2471E" w:rsidP="00236E0E">
      <w:pPr>
        <w:pStyle w:val="Text"/>
        <w:spacing w:before="0"/>
        <w:jc w:val="left"/>
        <w:rPr>
          <w:color w:val="000000"/>
          <w:sz w:val="22"/>
          <w:szCs w:val="22"/>
          <w:lang w:val="hr-HR"/>
        </w:rPr>
      </w:pPr>
      <w:r w:rsidRPr="00510442">
        <w:rPr>
          <w:sz w:val="22"/>
          <w:szCs w:val="22"/>
          <w:lang w:val="hr-HR"/>
        </w:rPr>
        <w:t>Za odrasle bolesnike s HES/</w:t>
      </w:r>
      <w:r w:rsidR="00D46E4E" w:rsidRPr="00510442">
        <w:rPr>
          <w:sz w:val="22"/>
          <w:szCs w:val="22"/>
          <w:lang w:val="hr-HR"/>
        </w:rPr>
        <w:t>K</w:t>
      </w:r>
      <w:r w:rsidRPr="00510442">
        <w:rPr>
          <w:sz w:val="22"/>
          <w:szCs w:val="22"/>
          <w:lang w:val="hr-HR"/>
        </w:rPr>
        <w:t xml:space="preserve">EL-om preporučena doza </w:t>
      </w:r>
      <w:r w:rsidR="00512481" w:rsidRPr="00512481">
        <w:rPr>
          <w:sz w:val="22"/>
          <w:szCs w:val="22"/>
          <w:lang w:val="hr-HR"/>
        </w:rPr>
        <w:t xml:space="preserve">lijeka </w:t>
      </w:r>
      <w:r w:rsidRPr="00510442">
        <w:rPr>
          <w:sz w:val="22"/>
          <w:szCs w:val="22"/>
          <w:lang w:val="hr-HR"/>
        </w:rPr>
        <w:t xml:space="preserve">Glivec iznosi </w:t>
      </w:r>
      <w:r w:rsidR="00AF1D36" w:rsidRPr="00510442">
        <w:rPr>
          <w:color w:val="000000"/>
          <w:sz w:val="22"/>
          <w:szCs w:val="22"/>
          <w:lang w:val="hr-HR"/>
        </w:rPr>
        <w:t>100 mg/da</w:t>
      </w:r>
      <w:r w:rsidRPr="00510442">
        <w:rPr>
          <w:color w:val="000000"/>
          <w:sz w:val="22"/>
          <w:szCs w:val="22"/>
          <w:lang w:val="hr-HR"/>
        </w:rPr>
        <w:t>n</w:t>
      </w:r>
      <w:r w:rsidR="00AF1D36" w:rsidRPr="00510442">
        <w:rPr>
          <w:color w:val="000000"/>
          <w:sz w:val="22"/>
          <w:szCs w:val="22"/>
          <w:lang w:val="hr-HR"/>
        </w:rPr>
        <w:t>.</w:t>
      </w:r>
    </w:p>
    <w:p w14:paraId="0A750E83" w14:textId="77777777" w:rsidR="00AF1D36" w:rsidRPr="00510442" w:rsidRDefault="00AF1D36" w:rsidP="003C0A50">
      <w:pPr>
        <w:pStyle w:val="Text"/>
        <w:spacing w:before="0"/>
        <w:jc w:val="left"/>
        <w:rPr>
          <w:color w:val="000000"/>
          <w:sz w:val="22"/>
          <w:szCs w:val="22"/>
          <w:lang w:val="hr-HR"/>
        </w:rPr>
      </w:pPr>
    </w:p>
    <w:p w14:paraId="47BA7136" w14:textId="77777777" w:rsidR="00AF1D36" w:rsidRPr="00510442" w:rsidRDefault="00C2471E" w:rsidP="003B190A">
      <w:pPr>
        <w:pStyle w:val="Text"/>
        <w:spacing w:before="0"/>
        <w:jc w:val="left"/>
        <w:rPr>
          <w:color w:val="000000"/>
          <w:sz w:val="22"/>
          <w:szCs w:val="22"/>
          <w:lang w:val="hr-HR"/>
        </w:rPr>
      </w:pPr>
      <w:r w:rsidRPr="00510442">
        <w:rPr>
          <w:sz w:val="22"/>
          <w:szCs w:val="22"/>
          <w:lang w:val="hr-HR"/>
        </w:rPr>
        <w:t xml:space="preserve">Povećanje doze od </w:t>
      </w:r>
      <w:r w:rsidR="004D0E4C" w:rsidRPr="00510442">
        <w:rPr>
          <w:color w:val="000000"/>
          <w:sz w:val="22"/>
          <w:szCs w:val="22"/>
          <w:lang w:val="hr-HR"/>
        </w:rPr>
        <w:t xml:space="preserve">100 mg </w:t>
      </w:r>
      <w:r w:rsidRPr="00510442">
        <w:rPr>
          <w:color w:val="000000"/>
          <w:sz w:val="22"/>
          <w:szCs w:val="22"/>
          <w:lang w:val="hr-HR"/>
        </w:rPr>
        <w:t>do</w:t>
      </w:r>
      <w:r w:rsidR="004D0E4C" w:rsidRPr="00510442">
        <w:rPr>
          <w:color w:val="000000"/>
          <w:sz w:val="22"/>
          <w:szCs w:val="22"/>
          <w:lang w:val="hr-HR"/>
        </w:rPr>
        <w:t xml:space="preserve"> 400 mg</w:t>
      </w:r>
      <w:r w:rsidR="00AF1D36" w:rsidRPr="00510442">
        <w:rPr>
          <w:color w:val="000000"/>
          <w:sz w:val="22"/>
          <w:szCs w:val="22"/>
          <w:lang w:val="hr-HR"/>
        </w:rPr>
        <w:t xml:space="preserve"> </w:t>
      </w:r>
      <w:r w:rsidRPr="00510442">
        <w:rPr>
          <w:sz w:val="22"/>
          <w:szCs w:val="22"/>
          <w:lang w:val="hr-HR"/>
        </w:rPr>
        <w:t>može se razmotriti u odsustvu nuspojav</w:t>
      </w:r>
      <w:r w:rsidR="00641477" w:rsidRPr="00510442">
        <w:rPr>
          <w:sz w:val="22"/>
          <w:szCs w:val="22"/>
          <w:lang w:val="hr-HR"/>
        </w:rPr>
        <w:t>a</w:t>
      </w:r>
      <w:r w:rsidRPr="00510442">
        <w:rPr>
          <w:sz w:val="22"/>
          <w:szCs w:val="22"/>
          <w:lang w:val="hr-HR"/>
        </w:rPr>
        <w:t>, ako se pregledom utvrdi nedovoljan odgovor na terapiju</w:t>
      </w:r>
      <w:r w:rsidR="00AF1D36" w:rsidRPr="00510442">
        <w:rPr>
          <w:color w:val="000000"/>
          <w:sz w:val="22"/>
          <w:szCs w:val="22"/>
          <w:lang w:val="hr-HR"/>
        </w:rPr>
        <w:t>.</w:t>
      </w:r>
    </w:p>
    <w:p w14:paraId="5695F23E" w14:textId="77777777" w:rsidR="00241B33" w:rsidRPr="00510442" w:rsidRDefault="00241B33" w:rsidP="004D775F">
      <w:pPr>
        <w:pStyle w:val="Text"/>
        <w:spacing w:before="0"/>
        <w:jc w:val="left"/>
        <w:rPr>
          <w:color w:val="000000"/>
          <w:sz w:val="22"/>
          <w:szCs w:val="22"/>
          <w:lang w:val="hr-HR"/>
        </w:rPr>
      </w:pPr>
    </w:p>
    <w:p w14:paraId="517B1541" w14:textId="77777777" w:rsidR="00241B33" w:rsidRPr="00510442" w:rsidRDefault="00C2471E" w:rsidP="00457295">
      <w:pPr>
        <w:pStyle w:val="Text"/>
        <w:spacing w:before="0"/>
        <w:jc w:val="left"/>
        <w:rPr>
          <w:color w:val="000000"/>
          <w:sz w:val="22"/>
          <w:szCs w:val="22"/>
          <w:lang w:val="hr-HR"/>
        </w:rPr>
      </w:pPr>
      <w:r w:rsidRPr="00510442">
        <w:rPr>
          <w:sz w:val="22"/>
          <w:szCs w:val="22"/>
          <w:lang w:val="hr-HR"/>
        </w:rPr>
        <w:t>Liječenje treba nastaviti dokle god bolesnik ima korist od liječenja</w:t>
      </w:r>
      <w:r w:rsidR="00241B33" w:rsidRPr="00510442">
        <w:rPr>
          <w:color w:val="000000"/>
          <w:sz w:val="22"/>
          <w:szCs w:val="22"/>
          <w:lang w:val="hr-HR"/>
        </w:rPr>
        <w:t>.</w:t>
      </w:r>
    </w:p>
    <w:p w14:paraId="79EB4B8E" w14:textId="77777777" w:rsidR="009B57ED" w:rsidRPr="00510442" w:rsidRDefault="009B57ED" w:rsidP="00E74D30">
      <w:pPr>
        <w:pStyle w:val="EndnoteText"/>
        <w:widowControl w:val="0"/>
        <w:tabs>
          <w:tab w:val="clear" w:pos="567"/>
        </w:tabs>
        <w:rPr>
          <w:color w:val="000000"/>
          <w:szCs w:val="22"/>
          <w:lang w:val="hr-HR"/>
        </w:rPr>
      </w:pPr>
    </w:p>
    <w:p w14:paraId="52BE8AD5" w14:textId="77777777" w:rsidR="000D2060" w:rsidRPr="00510442" w:rsidRDefault="00D60F7D" w:rsidP="00D44559">
      <w:pPr>
        <w:pStyle w:val="EndnoteText"/>
        <w:keepNext/>
        <w:widowControl w:val="0"/>
        <w:tabs>
          <w:tab w:val="clear" w:pos="567"/>
        </w:tabs>
        <w:rPr>
          <w:color w:val="000000"/>
          <w:szCs w:val="22"/>
          <w:u w:val="single"/>
          <w:lang w:val="hr-HR"/>
        </w:rPr>
      </w:pPr>
      <w:r w:rsidRPr="00510442">
        <w:rPr>
          <w:szCs w:val="22"/>
          <w:u w:val="single"/>
          <w:lang w:val="hr-HR"/>
        </w:rPr>
        <w:t>Doziranje za GIST</w:t>
      </w:r>
    </w:p>
    <w:p w14:paraId="72E0FE25" w14:textId="5538C779" w:rsidR="000D2060" w:rsidRPr="00510442" w:rsidRDefault="00D60F7D" w:rsidP="00EB15D1">
      <w:pPr>
        <w:pStyle w:val="EndnoteText"/>
        <w:widowControl w:val="0"/>
        <w:tabs>
          <w:tab w:val="clear" w:pos="567"/>
        </w:tabs>
        <w:rPr>
          <w:color w:val="000000"/>
          <w:szCs w:val="22"/>
          <w:lang w:val="hr-HR"/>
        </w:rPr>
      </w:pPr>
      <w:r w:rsidRPr="00510442">
        <w:rPr>
          <w:szCs w:val="22"/>
          <w:lang w:val="hr-HR"/>
        </w:rPr>
        <w:t xml:space="preserve">Za bolesnike s inoperabilnim i/ili metastazirajućim malignim GIST-om preporučena doza </w:t>
      </w:r>
      <w:r w:rsidR="00512481" w:rsidRPr="00512481">
        <w:rPr>
          <w:szCs w:val="22"/>
          <w:lang w:val="hr-HR"/>
        </w:rPr>
        <w:t xml:space="preserve">lijeka </w:t>
      </w:r>
      <w:r w:rsidRPr="00510442">
        <w:rPr>
          <w:szCs w:val="22"/>
          <w:lang w:val="hr-HR"/>
        </w:rPr>
        <w:t xml:space="preserve">Glivec iznosi </w:t>
      </w:r>
      <w:r w:rsidR="000D2060" w:rsidRPr="00510442">
        <w:rPr>
          <w:color w:val="000000"/>
          <w:szCs w:val="22"/>
          <w:lang w:val="hr-HR"/>
        </w:rPr>
        <w:t>400 mg/da</w:t>
      </w:r>
      <w:r w:rsidRPr="00510442">
        <w:rPr>
          <w:color w:val="000000"/>
          <w:szCs w:val="22"/>
          <w:lang w:val="hr-HR"/>
        </w:rPr>
        <w:t>n</w:t>
      </w:r>
      <w:r w:rsidR="000D2060" w:rsidRPr="00510442">
        <w:rPr>
          <w:color w:val="000000"/>
          <w:szCs w:val="22"/>
          <w:lang w:val="hr-HR"/>
        </w:rPr>
        <w:t>.</w:t>
      </w:r>
    </w:p>
    <w:p w14:paraId="3C82B971" w14:textId="77777777" w:rsidR="000D2060" w:rsidRPr="00510442" w:rsidRDefault="000D2060" w:rsidP="00A742FC">
      <w:pPr>
        <w:pStyle w:val="EndnoteText"/>
        <w:widowControl w:val="0"/>
        <w:tabs>
          <w:tab w:val="clear" w:pos="567"/>
        </w:tabs>
        <w:rPr>
          <w:color w:val="000000"/>
          <w:szCs w:val="22"/>
          <w:lang w:val="hr-HR"/>
        </w:rPr>
      </w:pPr>
    </w:p>
    <w:p w14:paraId="7E110262" w14:textId="77777777" w:rsidR="000D2060" w:rsidRPr="00510442" w:rsidRDefault="00D60F7D" w:rsidP="00D57A17">
      <w:pPr>
        <w:pStyle w:val="EndnoteText"/>
        <w:widowControl w:val="0"/>
        <w:tabs>
          <w:tab w:val="clear" w:pos="567"/>
        </w:tabs>
        <w:rPr>
          <w:color w:val="000000"/>
          <w:szCs w:val="22"/>
          <w:lang w:val="hr-HR"/>
        </w:rPr>
      </w:pPr>
      <w:r w:rsidRPr="00510442">
        <w:rPr>
          <w:szCs w:val="22"/>
          <w:lang w:val="hr-HR"/>
        </w:rPr>
        <w:t xml:space="preserve">Postoje ograničeni podaci o učinku povećanja doze s </w:t>
      </w:r>
      <w:r w:rsidR="000D2060" w:rsidRPr="00510442">
        <w:rPr>
          <w:color w:val="000000"/>
          <w:szCs w:val="22"/>
          <w:lang w:val="hr-HR"/>
        </w:rPr>
        <w:t xml:space="preserve">400 mg </w:t>
      </w:r>
      <w:r w:rsidRPr="00510442">
        <w:rPr>
          <w:color w:val="000000"/>
          <w:szCs w:val="22"/>
          <w:lang w:val="hr-HR"/>
        </w:rPr>
        <w:t>na</w:t>
      </w:r>
      <w:r w:rsidR="000D2060" w:rsidRPr="00510442">
        <w:rPr>
          <w:color w:val="000000"/>
          <w:szCs w:val="22"/>
          <w:lang w:val="hr-HR"/>
        </w:rPr>
        <w:t xml:space="preserve"> 600 mg </w:t>
      </w:r>
      <w:r w:rsidRPr="00510442">
        <w:rPr>
          <w:color w:val="000000"/>
          <w:szCs w:val="22"/>
          <w:lang w:val="hr-HR"/>
        </w:rPr>
        <w:t>ili</w:t>
      </w:r>
      <w:r w:rsidR="000D2060" w:rsidRPr="00510442">
        <w:rPr>
          <w:color w:val="000000"/>
          <w:szCs w:val="22"/>
          <w:lang w:val="hr-HR"/>
        </w:rPr>
        <w:t xml:space="preserve"> 800 mg </w:t>
      </w:r>
      <w:r w:rsidRPr="00510442">
        <w:rPr>
          <w:szCs w:val="22"/>
          <w:lang w:val="hr-HR"/>
        </w:rPr>
        <w:t>u bolesnika u kojih do progresije dolazi uz nižu dozu (vidjeti dio</w:t>
      </w:r>
      <w:r w:rsidR="000D2060" w:rsidRPr="00510442">
        <w:rPr>
          <w:color w:val="000000"/>
          <w:szCs w:val="22"/>
          <w:lang w:val="hr-HR"/>
        </w:rPr>
        <w:t xml:space="preserve"> 5.1).</w:t>
      </w:r>
    </w:p>
    <w:p w14:paraId="6D955DBD" w14:textId="77777777" w:rsidR="000D2060" w:rsidRPr="00510442" w:rsidRDefault="000D2060" w:rsidP="00FA16F5">
      <w:pPr>
        <w:pStyle w:val="EndnoteText"/>
        <w:widowControl w:val="0"/>
        <w:tabs>
          <w:tab w:val="clear" w:pos="567"/>
        </w:tabs>
        <w:rPr>
          <w:color w:val="000000"/>
          <w:szCs w:val="22"/>
          <w:lang w:val="hr-HR"/>
        </w:rPr>
      </w:pPr>
    </w:p>
    <w:p w14:paraId="163A0A7B" w14:textId="7E496224" w:rsidR="000D2060" w:rsidRPr="00510442" w:rsidRDefault="002B0A90" w:rsidP="00C51EC7">
      <w:pPr>
        <w:pStyle w:val="EndnoteText"/>
        <w:widowControl w:val="0"/>
        <w:tabs>
          <w:tab w:val="clear" w:pos="567"/>
        </w:tabs>
        <w:rPr>
          <w:color w:val="000000"/>
          <w:szCs w:val="22"/>
          <w:lang w:val="hr-HR"/>
        </w:rPr>
      </w:pPr>
      <w:r w:rsidRPr="00510442">
        <w:rPr>
          <w:szCs w:val="22"/>
          <w:lang w:val="hr-HR"/>
        </w:rPr>
        <w:t xml:space="preserve">Trajanje liječenja: u kliničkim ispitivanjima na bolesnicima s GIST-om, liječenje </w:t>
      </w:r>
      <w:r w:rsidR="00951360">
        <w:rPr>
          <w:szCs w:val="22"/>
          <w:lang w:val="hr-HR"/>
        </w:rPr>
        <w:t xml:space="preserve">lijekom </w:t>
      </w:r>
      <w:r w:rsidRPr="00510442">
        <w:rPr>
          <w:szCs w:val="22"/>
          <w:lang w:val="hr-HR"/>
        </w:rPr>
        <w:t xml:space="preserve">Glivec nastavljeno je sve do progresije bolesti. U vrijeme provođenja analize, medijan trajanja liječenja iznosio je </w:t>
      </w:r>
      <w:r w:rsidR="000D2060" w:rsidRPr="00510442">
        <w:rPr>
          <w:color w:val="000000"/>
          <w:szCs w:val="22"/>
          <w:lang w:val="hr-HR"/>
        </w:rPr>
        <w:t>7 </w:t>
      </w:r>
      <w:r w:rsidRPr="00510442">
        <w:rPr>
          <w:color w:val="000000"/>
          <w:szCs w:val="22"/>
          <w:lang w:val="hr-HR"/>
        </w:rPr>
        <w:t>mjeseci</w:t>
      </w:r>
      <w:r w:rsidR="000D2060" w:rsidRPr="00510442">
        <w:rPr>
          <w:color w:val="000000"/>
          <w:szCs w:val="22"/>
          <w:lang w:val="hr-HR"/>
        </w:rPr>
        <w:t xml:space="preserve"> (7 da</w:t>
      </w:r>
      <w:r w:rsidRPr="00510442">
        <w:rPr>
          <w:color w:val="000000"/>
          <w:szCs w:val="22"/>
          <w:lang w:val="hr-HR"/>
        </w:rPr>
        <w:t>na do</w:t>
      </w:r>
      <w:r w:rsidR="000D2060" w:rsidRPr="00510442">
        <w:rPr>
          <w:color w:val="000000"/>
          <w:szCs w:val="22"/>
          <w:lang w:val="hr-HR"/>
        </w:rPr>
        <w:t xml:space="preserve"> 13 </w:t>
      </w:r>
      <w:r w:rsidRPr="00510442">
        <w:rPr>
          <w:color w:val="000000"/>
          <w:szCs w:val="22"/>
          <w:lang w:val="hr-HR"/>
        </w:rPr>
        <w:t>mjeseci</w:t>
      </w:r>
      <w:r w:rsidR="000D2060" w:rsidRPr="00510442">
        <w:rPr>
          <w:color w:val="000000"/>
          <w:szCs w:val="22"/>
          <w:lang w:val="hr-HR"/>
        </w:rPr>
        <w:t xml:space="preserve">). </w:t>
      </w:r>
      <w:r w:rsidRPr="00510442">
        <w:rPr>
          <w:szCs w:val="22"/>
          <w:lang w:val="hr-HR"/>
        </w:rPr>
        <w:t>Učinak prekida liječenja nakon postizanja odgovora nije ispitivan</w:t>
      </w:r>
      <w:r w:rsidR="000D2060" w:rsidRPr="00510442">
        <w:rPr>
          <w:color w:val="000000"/>
          <w:szCs w:val="22"/>
          <w:lang w:val="hr-HR"/>
        </w:rPr>
        <w:t>.</w:t>
      </w:r>
    </w:p>
    <w:p w14:paraId="4BB0DD09" w14:textId="77777777" w:rsidR="000D2060" w:rsidRPr="00510442" w:rsidRDefault="000D2060" w:rsidP="00CB66CC">
      <w:pPr>
        <w:pStyle w:val="EndnoteText"/>
        <w:widowControl w:val="0"/>
        <w:tabs>
          <w:tab w:val="clear" w:pos="567"/>
        </w:tabs>
        <w:rPr>
          <w:color w:val="000000"/>
          <w:szCs w:val="22"/>
          <w:lang w:val="hr-HR"/>
        </w:rPr>
      </w:pPr>
    </w:p>
    <w:p w14:paraId="5B1C7FA1" w14:textId="60470293" w:rsidR="000D2060" w:rsidRPr="00510442" w:rsidRDefault="002B0A90" w:rsidP="00B602CC">
      <w:pPr>
        <w:pStyle w:val="Text"/>
        <w:spacing w:before="0"/>
        <w:jc w:val="left"/>
        <w:rPr>
          <w:color w:val="000000"/>
          <w:sz w:val="22"/>
          <w:szCs w:val="22"/>
          <w:lang w:val="hr-HR"/>
        </w:rPr>
      </w:pPr>
      <w:r w:rsidRPr="00510442">
        <w:rPr>
          <w:sz w:val="22"/>
          <w:szCs w:val="22"/>
          <w:lang w:val="hr-HR"/>
        </w:rPr>
        <w:t xml:space="preserve">Za adjuvantno liječenje odraslih bolesnika nakon resekcije GIST-a preporučena doza </w:t>
      </w:r>
      <w:r w:rsidR="00512481" w:rsidRPr="00512481">
        <w:rPr>
          <w:sz w:val="22"/>
          <w:szCs w:val="22"/>
          <w:lang w:val="hr-HR"/>
        </w:rPr>
        <w:t xml:space="preserve">lijeka </w:t>
      </w:r>
      <w:r w:rsidRPr="00510442">
        <w:rPr>
          <w:sz w:val="22"/>
          <w:szCs w:val="22"/>
          <w:lang w:val="hr-HR"/>
        </w:rPr>
        <w:t xml:space="preserve">Glivec iznosi </w:t>
      </w:r>
      <w:r w:rsidR="00936EF9" w:rsidRPr="00510442">
        <w:rPr>
          <w:color w:val="000000"/>
          <w:sz w:val="22"/>
          <w:szCs w:val="22"/>
          <w:lang w:val="hr-HR"/>
        </w:rPr>
        <w:t>400 mg/da</w:t>
      </w:r>
      <w:r w:rsidRPr="00510442">
        <w:rPr>
          <w:color w:val="000000"/>
          <w:sz w:val="22"/>
          <w:szCs w:val="22"/>
          <w:lang w:val="hr-HR"/>
        </w:rPr>
        <w:t>n</w:t>
      </w:r>
      <w:r w:rsidR="00936EF9" w:rsidRPr="00510442">
        <w:rPr>
          <w:color w:val="000000"/>
          <w:sz w:val="22"/>
          <w:szCs w:val="22"/>
          <w:lang w:val="hr-HR"/>
        </w:rPr>
        <w:t xml:space="preserve">. </w:t>
      </w:r>
      <w:r w:rsidRPr="00510442">
        <w:rPr>
          <w:sz w:val="22"/>
          <w:szCs w:val="22"/>
          <w:lang w:val="hr-HR"/>
        </w:rPr>
        <w:t xml:space="preserve">Do sada nije </w:t>
      </w:r>
      <w:r w:rsidR="00A478EA" w:rsidRPr="00510442">
        <w:rPr>
          <w:sz w:val="22"/>
          <w:szCs w:val="22"/>
          <w:lang w:val="hr-HR"/>
        </w:rPr>
        <w:t xml:space="preserve">ustanovljeno </w:t>
      </w:r>
      <w:r w:rsidRPr="00510442">
        <w:rPr>
          <w:sz w:val="22"/>
          <w:szCs w:val="22"/>
          <w:lang w:val="hr-HR"/>
        </w:rPr>
        <w:t xml:space="preserve">optimalno trajanje liječenja. Duljina liječenja u kliničkom ispitivanju vezanom uz ovu indikaciju bila je </w:t>
      </w:r>
      <w:r w:rsidR="00362732" w:rsidRPr="00510442">
        <w:rPr>
          <w:color w:val="000000"/>
          <w:sz w:val="22"/>
          <w:szCs w:val="22"/>
          <w:lang w:val="hr-HR"/>
        </w:rPr>
        <w:t>36 </w:t>
      </w:r>
      <w:r w:rsidRPr="00510442">
        <w:rPr>
          <w:color w:val="000000"/>
          <w:sz w:val="22"/>
          <w:szCs w:val="22"/>
          <w:lang w:val="hr-HR"/>
        </w:rPr>
        <w:t>mjeseci</w:t>
      </w:r>
      <w:r w:rsidR="00A40BA1" w:rsidRPr="00510442">
        <w:rPr>
          <w:color w:val="000000"/>
          <w:sz w:val="22"/>
          <w:szCs w:val="22"/>
          <w:lang w:val="hr-HR"/>
        </w:rPr>
        <w:t xml:space="preserve"> (</w:t>
      </w:r>
      <w:r w:rsidRPr="00510442">
        <w:rPr>
          <w:color w:val="000000"/>
          <w:sz w:val="22"/>
          <w:szCs w:val="22"/>
          <w:lang w:val="hr-HR"/>
        </w:rPr>
        <w:t>vidjeti dio</w:t>
      </w:r>
      <w:r w:rsidR="00A40BA1" w:rsidRPr="00510442">
        <w:rPr>
          <w:color w:val="000000"/>
          <w:sz w:val="22"/>
          <w:szCs w:val="22"/>
          <w:lang w:val="hr-HR"/>
        </w:rPr>
        <w:t xml:space="preserve"> 5.1)</w:t>
      </w:r>
      <w:r w:rsidR="000D2060" w:rsidRPr="00510442">
        <w:rPr>
          <w:color w:val="000000"/>
          <w:sz w:val="22"/>
          <w:szCs w:val="22"/>
          <w:lang w:val="hr-HR"/>
        </w:rPr>
        <w:t>.</w:t>
      </w:r>
    </w:p>
    <w:p w14:paraId="6F5929C3" w14:textId="77777777" w:rsidR="000D2060" w:rsidRPr="00510442" w:rsidRDefault="000D2060" w:rsidP="00112AD1">
      <w:pPr>
        <w:pStyle w:val="EndnoteText"/>
        <w:widowControl w:val="0"/>
        <w:tabs>
          <w:tab w:val="clear" w:pos="567"/>
        </w:tabs>
        <w:rPr>
          <w:color w:val="000000"/>
          <w:szCs w:val="22"/>
          <w:lang w:val="hr-HR"/>
        </w:rPr>
      </w:pPr>
    </w:p>
    <w:p w14:paraId="4AA41BB8" w14:textId="77777777" w:rsidR="0078783A" w:rsidRPr="00510442" w:rsidRDefault="006D2962" w:rsidP="00D44559">
      <w:pPr>
        <w:pStyle w:val="EndnoteText"/>
        <w:keepNext/>
        <w:widowControl w:val="0"/>
        <w:tabs>
          <w:tab w:val="clear" w:pos="567"/>
        </w:tabs>
        <w:rPr>
          <w:color w:val="000000"/>
          <w:szCs w:val="22"/>
          <w:u w:val="single"/>
          <w:lang w:val="hr-HR"/>
        </w:rPr>
      </w:pPr>
      <w:r w:rsidRPr="00510442">
        <w:rPr>
          <w:color w:val="000000"/>
          <w:szCs w:val="22"/>
          <w:u w:val="single"/>
          <w:lang w:val="hr-HR"/>
        </w:rPr>
        <w:lastRenderedPageBreak/>
        <w:t>Doziranje za</w:t>
      </w:r>
      <w:r w:rsidR="0078783A" w:rsidRPr="00510442">
        <w:rPr>
          <w:color w:val="000000"/>
          <w:szCs w:val="22"/>
          <w:u w:val="single"/>
          <w:lang w:val="hr-HR"/>
        </w:rPr>
        <w:t xml:space="preserve"> DFSP</w:t>
      </w:r>
    </w:p>
    <w:p w14:paraId="14C841AE" w14:textId="1F3AB937" w:rsidR="0078783A" w:rsidRPr="00510442" w:rsidRDefault="006D2962" w:rsidP="00C1291A">
      <w:pPr>
        <w:pStyle w:val="EndnoteText"/>
        <w:widowControl w:val="0"/>
        <w:tabs>
          <w:tab w:val="clear" w:pos="567"/>
        </w:tabs>
        <w:rPr>
          <w:color w:val="000000"/>
          <w:szCs w:val="22"/>
          <w:lang w:val="hr-HR"/>
        </w:rPr>
      </w:pPr>
      <w:r w:rsidRPr="00510442">
        <w:rPr>
          <w:szCs w:val="22"/>
          <w:lang w:val="hr-HR"/>
        </w:rPr>
        <w:t xml:space="preserve">Za odrasle bolesnike s DFSP-om preporučena doza </w:t>
      </w:r>
      <w:r w:rsidR="00512481" w:rsidRPr="00512481">
        <w:rPr>
          <w:szCs w:val="22"/>
          <w:lang w:val="hr-HR"/>
        </w:rPr>
        <w:t xml:space="preserve">lijeka </w:t>
      </w:r>
      <w:r w:rsidRPr="00510442">
        <w:rPr>
          <w:szCs w:val="22"/>
          <w:lang w:val="hr-HR"/>
        </w:rPr>
        <w:t xml:space="preserve">Glivec iznosi </w:t>
      </w:r>
      <w:r w:rsidR="0078783A" w:rsidRPr="00510442">
        <w:rPr>
          <w:color w:val="000000"/>
          <w:szCs w:val="22"/>
          <w:lang w:val="hr-HR"/>
        </w:rPr>
        <w:t>800 mg/</w:t>
      </w:r>
      <w:r w:rsidRPr="00510442">
        <w:rPr>
          <w:color w:val="000000"/>
          <w:szCs w:val="22"/>
          <w:lang w:val="hr-HR"/>
        </w:rPr>
        <w:t>dan</w:t>
      </w:r>
      <w:r w:rsidR="0078783A" w:rsidRPr="00510442">
        <w:rPr>
          <w:color w:val="000000"/>
          <w:szCs w:val="22"/>
          <w:lang w:val="hr-HR"/>
        </w:rPr>
        <w:t>.</w:t>
      </w:r>
    </w:p>
    <w:p w14:paraId="618C6FE6" w14:textId="77777777" w:rsidR="009B57ED" w:rsidRPr="00510442" w:rsidRDefault="009B57ED" w:rsidP="0091773C">
      <w:pPr>
        <w:pStyle w:val="EndnoteText"/>
        <w:widowControl w:val="0"/>
        <w:tabs>
          <w:tab w:val="clear" w:pos="567"/>
        </w:tabs>
        <w:rPr>
          <w:color w:val="000000"/>
          <w:szCs w:val="22"/>
          <w:lang w:val="hr-HR"/>
        </w:rPr>
      </w:pPr>
    </w:p>
    <w:p w14:paraId="63ADB387" w14:textId="77777777" w:rsidR="009B57ED" w:rsidRPr="00510442" w:rsidRDefault="0083164E" w:rsidP="00D44559">
      <w:pPr>
        <w:pStyle w:val="EndnoteText"/>
        <w:keepNext/>
        <w:widowControl w:val="0"/>
        <w:tabs>
          <w:tab w:val="clear" w:pos="567"/>
        </w:tabs>
        <w:rPr>
          <w:color w:val="000000"/>
          <w:szCs w:val="22"/>
          <w:u w:val="single"/>
          <w:lang w:val="hr-HR"/>
        </w:rPr>
      </w:pPr>
      <w:r w:rsidRPr="00510442">
        <w:rPr>
          <w:szCs w:val="22"/>
          <w:u w:val="single"/>
          <w:lang w:val="hr-HR"/>
        </w:rPr>
        <w:t>Prilagođavanje doze zbog nuspojava</w:t>
      </w:r>
    </w:p>
    <w:p w14:paraId="19CD2E3E" w14:textId="77777777" w:rsidR="009B57ED" w:rsidRPr="00510442" w:rsidRDefault="0083164E" w:rsidP="00D44559">
      <w:pPr>
        <w:pStyle w:val="EndnoteText"/>
        <w:keepNext/>
        <w:widowControl w:val="0"/>
        <w:tabs>
          <w:tab w:val="clear" w:pos="567"/>
        </w:tabs>
        <w:rPr>
          <w:i/>
          <w:color w:val="000000"/>
          <w:szCs w:val="22"/>
          <w:lang w:val="hr-HR"/>
        </w:rPr>
      </w:pPr>
      <w:r w:rsidRPr="00510442">
        <w:rPr>
          <w:i/>
          <w:szCs w:val="22"/>
          <w:lang w:val="hr-HR"/>
        </w:rPr>
        <w:t>Nehematološke nuspojave</w:t>
      </w:r>
    </w:p>
    <w:p w14:paraId="6F73BF16" w14:textId="2AE03777" w:rsidR="009B57ED" w:rsidRPr="00510442" w:rsidRDefault="00C43206" w:rsidP="003B339C">
      <w:pPr>
        <w:pStyle w:val="EndnoteText"/>
        <w:widowControl w:val="0"/>
        <w:tabs>
          <w:tab w:val="clear" w:pos="567"/>
        </w:tabs>
        <w:rPr>
          <w:color w:val="000000"/>
          <w:szCs w:val="22"/>
          <w:lang w:val="hr-HR"/>
        </w:rPr>
      </w:pPr>
      <w:r w:rsidRPr="00510442">
        <w:rPr>
          <w:szCs w:val="22"/>
          <w:lang w:val="hr-HR"/>
        </w:rPr>
        <w:t xml:space="preserve">Ako se tijekom primjene </w:t>
      </w:r>
      <w:r w:rsidR="00512481" w:rsidRPr="00512481">
        <w:rPr>
          <w:szCs w:val="22"/>
          <w:lang w:val="hr-HR"/>
        </w:rPr>
        <w:t xml:space="preserve">lijeka </w:t>
      </w:r>
      <w:r w:rsidRPr="00510442">
        <w:rPr>
          <w:szCs w:val="22"/>
          <w:lang w:val="hr-HR"/>
        </w:rPr>
        <w:t>Glivec razvije teška nehematološka nuspojava, liječenje se mora prekinuti sve dok se događaj ne razriješi. Nakon toga se liječenje može nastaviti ovisno o početnoj težini događaja</w:t>
      </w:r>
      <w:r w:rsidR="009B57ED" w:rsidRPr="00510442">
        <w:rPr>
          <w:color w:val="000000"/>
          <w:szCs w:val="22"/>
          <w:lang w:val="hr-HR"/>
        </w:rPr>
        <w:t>.</w:t>
      </w:r>
    </w:p>
    <w:p w14:paraId="4676A288" w14:textId="77777777" w:rsidR="009B57ED" w:rsidRPr="00510442" w:rsidRDefault="009B57ED" w:rsidP="00204719">
      <w:pPr>
        <w:pStyle w:val="EndnoteText"/>
        <w:widowControl w:val="0"/>
        <w:tabs>
          <w:tab w:val="clear" w:pos="567"/>
        </w:tabs>
        <w:rPr>
          <w:color w:val="000000"/>
          <w:szCs w:val="22"/>
          <w:lang w:val="hr-HR"/>
        </w:rPr>
      </w:pPr>
    </w:p>
    <w:p w14:paraId="504618D7" w14:textId="3EF204EB" w:rsidR="009B57ED" w:rsidRPr="00510442" w:rsidRDefault="00C43206" w:rsidP="00204719">
      <w:pPr>
        <w:pStyle w:val="EndnoteText"/>
        <w:widowControl w:val="0"/>
        <w:tabs>
          <w:tab w:val="clear" w:pos="567"/>
        </w:tabs>
        <w:rPr>
          <w:color w:val="000000"/>
          <w:szCs w:val="22"/>
          <w:lang w:val="hr-HR"/>
        </w:rPr>
      </w:pPr>
      <w:r w:rsidRPr="00510442">
        <w:rPr>
          <w:szCs w:val="22"/>
          <w:lang w:val="hr-HR"/>
        </w:rPr>
        <w:t xml:space="preserve">Ako </w:t>
      </w:r>
      <w:r w:rsidR="00380DB6" w:rsidRPr="00510442">
        <w:rPr>
          <w:szCs w:val="22"/>
          <w:lang w:val="hr-HR"/>
        </w:rPr>
        <w:t xml:space="preserve">je </w:t>
      </w:r>
      <w:r w:rsidRPr="00510442">
        <w:rPr>
          <w:szCs w:val="22"/>
          <w:lang w:val="hr-HR"/>
        </w:rPr>
        <w:t>povećanje bilirubina</w:t>
      </w:r>
      <w:r w:rsidRPr="00510442">
        <w:rPr>
          <w:color w:val="000000"/>
          <w:szCs w:val="22"/>
          <w:lang w:val="hr-HR"/>
        </w:rPr>
        <w:t xml:space="preserve"> </w:t>
      </w:r>
      <w:r w:rsidR="00380DB6" w:rsidRPr="00510442">
        <w:rPr>
          <w:szCs w:val="22"/>
          <w:lang w:val="hr-HR"/>
        </w:rPr>
        <w:t>&gt;</w:t>
      </w:r>
      <w:r w:rsidR="009B57ED" w:rsidRPr="00510442">
        <w:rPr>
          <w:color w:val="000000"/>
          <w:szCs w:val="22"/>
          <w:lang w:val="hr-HR"/>
        </w:rPr>
        <w:t xml:space="preserve">3 x </w:t>
      </w:r>
      <w:r w:rsidRPr="00510442">
        <w:rPr>
          <w:szCs w:val="22"/>
          <w:lang w:val="hr-HR"/>
        </w:rPr>
        <w:t>institucionaln</w:t>
      </w:r>
      <w:r w:rsidR="00380DB6" w:rsidRPr="00510442">
        <w:rPr>
          <w:szCs w:val="22"/>
          <w:lang w:val="hr-HR"/>
        </w:rPr>
        <w:t>e</w:t>
      </w:r>
      <w:r w:rsidRPr="00510442">
        <w:rPr>
          <w:szCs w:val="22"/>
          <w:lang w:val="hr-HR"/>
        </w:rPr>
        <w:t xml:space="preserve"> gornj</w:t>
      </w:r>
      <w:r w:rsidR="00380DB6" w:rsidRPr="00510442">
        <w:rPr>
          <w:szCs w:val="22"/>
          <w:lang w:val="hr-HR"/>
        </w:rPr>
        <w:t>e</w:t>
      </w:r>
      <w:r w:rsidRPr="00510442">
        <w:rPr>
          <w:szCs w:val="22"/>
          <w:lang w:val="hr-HR"/>
        </w:rPr>
        <w:t xml:space="preserve"> granic</w:t>
      </w:r>
      <w:r w:rsidR="00380DB6" w:rsidRPr="00510442">
        <w:rPr>
          <w:szCs w:val="22"/>
          <w:lang w:val="hr-HR"/>
        </w:rPr>
        <w:t>e</w:t>
      </w:r>
      <w:r w:rsidRPr="00510442">
        <w:rPr>
          <w:szCs w:val="22"/>
          <w:lang w:val="hr-HR"/>
        </w:rPr>
        <w:t xml:space="preserve"> normale (I</w:t>
      </w:r>
      <w:r w:rsidR="00841E54" w:rsidRPr="00510442">
        <w:rPr>
          <w:szCs w:val="22"/>
          <w:lang w:val="hr-HR"/>
        </w:rPr>
        <w:t>GG</w:t>
      </w:r>
      <w:r w:rsidRPr="00510442">
        <w:rPr>
          <w:szCs w:val="22"/>
          <w:lang w:val="hr-HR"/>
        </w:rPr>
        <w:t>N), ili jetren</w:t>
      </w:r>
      <w:r w:rsidR="00380DB6" w:rsidRPr="00510442">
        <w:rPr>
          <w:szCs w:val="22"/>
          <w:lang w:val="hr-HR"/>
        </w:rPr>
        <w:t>ih</w:t>
      </w:r>
      <w:r w:rsidRPr="00510442">
        <w:rPr>
          <w:szCs w:val="22"/>
          <w:lang w:val="hr-HR"/>
        </w:rPr>
        <w:t xml:space="preserve"> transaminaz</w:t>
      </w:r>
      <w:r w:rsidR="00380DB6" w:rsidRPr="00510442">
        <w:rPr>
          <w:szCs w:val="22"/>
          <w:lang w:val="hr-HR"/>
        </w:rPr>
        <w:t>a</w:t>
      </w:r>
      <w:r w:rsidRPr="00510442">
        <w:rPr>
          <w:szCs w:val="22"/>
          <w:lang w:val="hr-HR"/>
        </w:rPr>
        <w:t xml:space="preserve"> </w:t>
      </w:r>
      <w:r w:rsidR="00380DB6" w:rsidRPr="00510442">
        <w:rPr>
          <w:szCs w:val="22"/>
          <w:lang w:val="hr-HR"/>
        </w:rPr>
        <w:t>&gt;</w:t>
      </w:r>
      <w:r w:rsidR="009B57ED" w:rsidRPr="00510442">
        <w:rPr>
          <w:color w:val="000000"/>
          <w:szCs w:val="22"/>
          <w:lang w:val="hr-HR"/>
        </w:rPr>
        <w:t>5 x I</w:t>
      </w:r>
      <w:r w:rsidR="00841E54" w:rsidRPr="00510442">
        <w:rPr>
          <w:color w:val="000000"/>
          <w:szCs w:val="22"/>
          <w:lang w:val="hr-HR"/>
        </w:rPr>
        <w:t>GG</w:t>
      </w:r>
      <w:r w:rsidR="009B57ED" w:rsidRPr="00510442">
        <w:rPr>
          <w:color w:val="000000"/>
          <w:szCs w:val="22"/>
          <w:lang w:val="hr-HR"/>
        </w:rPr>
        <w:t xml:space="preserve">N </w:t>
      </w:r>
      <w:r w:rsidRPr="00510442">
        <w:rPr>
          <w:szCs w:val="22"/>
          <w:lang w:val="hr-HR"/>
        </w:rPr>
        <w:t>vrijednost</w:t>
      </w:r>
      <w:r w:rsidR="00DE144A" w:rsidRPr="00510442">
        <w:rPr>
          <w:szCs w:val="22"/>
          <w:lang w:val="hr-HR"/>
        </w:rPr>
        <w:t>i</w:t>
      </w:r>
      <w:r w:rsidR="009B57ED" w:rsidRPr="00510442">
        <w:rPr>
          <w:color w:val="000000"/>
          <w:szCs w:val="22"/>
          <w:lang w:val="hr-HR"/>
        </w:rPr>
        <w:t xml:space="preserve">, </w:t>
      </w:r>
      <w:r w:rsidRPr="00510442">
        <w:rPr>
          <w:szCs w:val="22"/>
          <w:lang w:val="hr-HR"/>
        </w:rPr>
        <w:t xml:space="preserve">primjenu </w:t>
      </w:r>
      <w:r w:rsidR="00512481" w:rsidRPr="00512481">
        <w:rPr>
          <w:szCs w:val="22"/>
          <w:lang w:val="hr-HR"/>
        </w:rPr>
        <w:t xml:space="preserve">lijeka </w:t>
      </w:r>
      <w:r w:rsidRPr="00510442">
        <w:rPr>
          <w:szCs w:val="22"/>
          <w:lang w:val="hr-HR"/>
        </w:rPr>
        <w:t xml:space="preserve">Glivec treba ukinuti sve dok se razine bilirubina ne vrate na vrijednost </w:t>
      </w:r>
      <w:r w:rsidR="00380DB6" w:rsidRPr="00510442">
        <w:rPr>
          <w:color w:val="000000"/>
          <w:szCs w:val="22"/>
          <w:lang w:val="hr-HR"/>
        </w:rPr>
        <w:t>&lt;</w:t>
      </w:r>
      <w:r w:rsidR="009B57ED" w:rsidRPr="00510442">
        <w:rPr>
          <w:color w:val="000000"/>
          <w:szCs w:val="22"/>
          <w:lang w:val="hr-HR"/>
        </w:rPr>
        <w:t>1</w:t>
      </w:r>
      <w:r w:rsidRPr="00510442">
        <w:rPr>
          <w:color w:val="000000"/>
          <w:szCs w:val="22"/>
          <w:lang w:val="hr-HR"/>
        </w:rPr>
        <w:t>,</w:t>
      </w:r>
      <w:r w:rsidR="009B57ED" w:rsidRPr="00510442">
        <w:rPr>
          <w:color w:val="000000"/>
          <w:szCs w:val="22"/>
          <w:lang w:val="hr-HR"/>
        </w:rPr>
        <w:t>5 x I</w:t>
      </w:r>
      <w:r w:rsidR="00841E54" w:rsidRPr="00510442">
        <w:rPr>
          <w:color w:val="000000"/>
          <w:szCs w:val="22"/>
          <w:lang w:val="hr-HR"/>
        </w:rPr>
        <w:t>GG</w:t>
      </w:r>
      <w:r w:rsidR="009B57ED" w:rsidRPr="00510442">
        <w:rPr>
          <w:color w:val="000000"/>
          <w:szCs w:val="22"/>
          <w:lang w:val="hr-HR"/>
        </w:rPr>
        <w:t>N</w:t>
      </w:r>
      <w:r w:rsidRPr="00510442">
        <w:rPr>
          <w:color w:val="000000"/>
          <w:szCs w:val="22"/>
          <w:lang w:val="hr-HR"/>
        </w:rPr>
        <w:t xml:space="preserve"> </w:t>
      </w:r>
      <w:r w:rsidRPr="00510442">
        <w:rPr>
          <w:szCs w:val="22"/>
          <w:lang w:val="hr-HR"/>
        </w:rPr>
        <w:t xml:space="preserve">vrijednosti, a razine transaminaze na vrijednost </w:t>
      </w:r>
      <w:r w:rsidR="00380DB6" w:rsidRPr="00510442">
        <w:rPr>
          <w:color w:val="000000"/>
          <w:szCs w:val="22"/>
          <w:lang w:val="hr-HR"/>
        </w:rPr>
        <w:t>&lt;</w:t>
      </w:r>
      <w:r w:rsidR="009B57ED" w:rsidRPr="00510442">
        <w:rPr>
          <w:color w:val="000000"/>
          <w:szCs w:val="22"/>
          <w:lang w:val="hr-HR"/>
        </w:rPr>
        <w:t>2</w:t>
      </w:r>
      <w:r w:rsidRPr="00510442">
        <w:rPr>
          <w:color w:val="000000"/>
          <w:szCs w:val="22"/>
          <w:lang w:val="hr-HR"/>
        </w:rPr>
        <w:t>,</w:t>
      </w:r>
      <w:r w:rsidR="009B57ED" w:rsidRPr="00510442">
        <w:rPr>
          <w:color w:val="000000"/>
          <w:szCs w:val="22"/>
          <w:lang w:val="hr-HR"/>
        </w:rPr>
        <w:t>5 x I</w:t>
      </w:r>
      <w:r w:rsidR="00841E54" w:rsidRPr="00510442">
        <w:rPr>
          <w:color w:val="000000"/>
          <w:szCs w:val="22"/>
          <w:lang w:val="hr-HR"/>
        </w:rPr>
        <w:t>GG</w:t>
      </w:r>
      <w:r w:rsidR="009B57ED" w:rsidRPr="00510442">
        <w:rPr>
          <w:color w:val="000000"/>
          <w:szCs w:val="22"/>
          <w:lang w:val="hr-HR"/>
        </w:rPr>
        <w:t>N</w:t>
      </w:r>
      <w:r w:rsidRPr="00510442">
        <w:rPr>
          <w:color w:val="000000"/>
          <w:szCs w:val="22"/>
          <w:lang w:val="hr-HR"/>
        </w:rPr>
        <w:t xml:space="preserve"> </w:t>
      </w:r>
      <w:r w:rsidRPr="00510442">
        <w:rPr>
          <w:szCs w:val="22"/>
          <w:lang w:val="hr-HR"/>
        </w:rPr>
        <w:t>vrijednosti</w:t>
      </w:r>
      <w:r w:rsidR="009B57ED" w:rsidRPr="00510442">
        <w:rPr>
          <w:color w:val="000000"/>
          <w:szCs w:val="22"/>
          <w:lang w:val="hr-HR"/>
        </w:rPr>
        <w:t xml:space="preserve">. </w:t>
      </w:r>
      <w:r w:rsidR="00F324E4" w:rsidRPr="00510442">
        <w:rPr>
          <w:szCs w:val="22"/>
          <w:lang w:val="hr-HR"/>
        </w:rPr>
        <w:t xml:space="preserve">Tada se liječenje </w:t>
      </w:r>
      <w:r w:rsidR="00951360">
        <w:rPr>
          <w:szCs w:val="22"/>
          <w:lang w:val="hr-HR"/>
        </w:rPr>
        <w:t xml:space="preserve">lijekom </w:t>
      </w:r>
      <w:r w:rsidR="00F324E4" w:rsidRPr="00510442">
        <w:rPr>
          <w:szCs w:val="22"/>
          <w:lang w:val="hr-HR"/>
        </w:rPr>
        <w:t>Glivec može nastaviti uz sniženu dnevnu dozu. Dozu u odraslih treba sniziti s</w:t>
      </w:r>
      <w:r w:rsidR="00F324E4" w:rsidRPr="00510442">
        <w:rPr>
          <w:color w:val="000000"/>
          <w:szCs w:val="22"/>
          <w:lang w:val="hr-HR"/>
        </w:rPr>
        <w:t xml:space="preserve"> </w:t>
      </w:r>
      <w:r w:rsidR="009B57ED" w:rsidRPr="00510442">
        <w:rPr>
          <w:color w:val="000000"/>
          <w:szCs w:val="22"/>
          <w:lang w:val="hr-HR"/>
        </w:rPr>
        <w:t xml:space="preserve">400 </w:t>
      </w:r>
      <w:r w:rsidR="00F324E4" w:rsidRPr="00510442">
        <w:rPr>
          <w:color w:val="000000"/>
          <w:szCs w:val="22"/>
          <w:lang w:val="hr-HR"/>
        </w:rPr>
        <w:t>na</w:t>
      </w:r>
      <w:r w:rsidR="009B57ED" w:rsidRPr="00510442">
        <w:rPr>
          <w:color w:val="000000"/>
          <w:szCs w:val="22"/>
          <w:lang w:val="hr-HR"/>
        </w:rPr>
        <w:t xml:space="preserve"> 300 mg </w:t>
      </w:r>
      <w:r w:rsidR="00F324E4" w:rsidRPr="00510442">
        <w:rPr>
          <w:color w:val="000000"/>
          <w:szCs w:val="22"/>
          <w:lang w:val="hr-HR"/>
        </w:rPr>
        <w:t>ili s</w:t>
      </w:r>
      <w:r w:rsidR="009B57ED" w:rsidRPr="00510442">
        <w:rPr>
          <w:color w:val="000000"/>
          <w:szCs w:val="22"/>
          <w:lang w:val="hr-HR"/>
        </w:rPr>
        <w:t xml:space="preserve"> 600 </w:t>
      </w:r>
      <w:r w:rsidR="00F324E4" w:rsidRPr="00510442">
        <w:rPr>
          <w:color w:val="000000"/>
          <w:szCs w:val="22"/>
          <w:lang w:val="hr-HR"/>
        </w:rPr>
        <w:t>na</w:t>
      </w:r>
      <w:r w:rsidR="009B57ED" w:rsidRPr="00510442">
        <w:rPr>
          <w:color w:val="000000"/>
          <w:szCs w:val="22"/>
          <w:lang w:val="hr-HR"/>
        </w:rPr>
        <w:t xml:space="preserve"> 400 mg</w:t>
      </w:r>
      <w:r w:rsidR="0078783A" w:rsidRPr="00510442">
        <w:rPr>
          <w:color w:val="000000"/>
          <w:szCs w:val="22"/>
          <w:lang w:val="hr-HR"/>
        </w:rPr>
        <w:t xml:space="preserve">, </w:t>
      </w:r>
      <w:r w:rsidR="00F324E4" w:rsidRPr="00510442">
        <w:rPr>
          <w:color w:val="000000"/>
          <w:szCs w:val="22"/>
          <w:lang w:val="hr-HR"/>
        </w:rPr>
        <w:t>ili s</w:t>
      </w:r>
      <w:r w:rsidR="0078783A" w:rsidRPr="00510442">
        <w:rPr>
          <w:color w:val="000000"/>
          <w:szCs w:val="22"/>
          <w:lang w:val="hr-HR"/>
        </w:rPr>
        <w:t xml:space="preserve"> 800 mg </w:t>
      </w:r>
      <w:r w:rsidR="00F324E4" w:rsidRPr="00510442">
        <w:rPr>
          <w:color w:val="000000"/>
          <w:szCs w:val="22"/>
          <w:lang w:val="hr-HR"/>
        </w:rPr>
        <w:t>na</w:t>
      </w:r>
      <w:r w:rsidR="0078783A" w:rsidRPr="00510442">
        <w:rPr>
          <w:color w:val="000000"/>
          <w:szCs w:val="22"/>
          <w:lang w:val="hr-HR"/>
        </w:rPr>
        <w:t xml:space="preserve"> 600 mg,</w:t>
      </w:r>
      <w:r w:rsidR="009B57ED" w:rsidRPr="00510442">
        <w:rPr>
          <w:color w:val="000000"/>
          <w:szCs w:val="22"/>
          <w:lang w:val="hr-HR"/>
        </w:rPr>
        <w:t xml:space="preserve"> </w:t>
      </w:r>
      <w:r w:rsidR="00F324E4" w:rsidRPr="00510442">
        <w:rPr>
          <w:szCs w:val="22"/>
          <w:lang w:val="hr-HR"/>
        </w:rPr>
        <w:t>a u djece s</w:t>
      </w:r>
      <w:r w:rsidR="009B57ED" w:rsidRPr="00510442">
        <w:rPr>
          <w:color w:val="000000"/>
          <w:szCs w:val="22"/>
          <w:lang w:val="hr-HR"/>
        </w:rPr>
        <w:t xml:space="preserve"> 340 </w:t>
      </w:r>
      <w:r w:rsidR="00F324E4" w:rsidRPr="00510442">
        <w:rPr>
          <w:color w:val="000000"/>
          <w:szCs w:val="22"/>
          <w:lang w:val="hr-HR"/>
        </w:rPr>
        <w:t>na</w:t>
      </w:r>
      <w:r w:rsidR="009B57ED" w:rsidRPr="00510442">
        <w:rPr>
          <w:color w:val="000000"/>
          <w:szCs w:val="22"/>
          <w:lang w:val="hr-HR"/>
        </w:rPr>
        <w:t xml:space="preserve"> 260 mg/m</w:t>
      </w:r>
      <w:r w:rsidR="009B57ED" w:rsidRPr="00510442">
        <w:rPr>
          <w:color w:val="000000"/>
          <w:szCs w:val="22"/>
          <w:vertAlign w:val="superscript"/>
          <w:lang w:val="hr-HR"/>
        </w:rPr>
        <w:t>2</w:t>
      </w:r>
      <w:r w:rsidR="009B57ED" w:rsidRPr="00510442">
        <w:rPr>
          <w:color w:val="000000"/>
          <w:szCs w:val="22"/>
          <w:lang w:val="hr-HR"/>
        </w:rPr>
        <w:t>/da</w:t>
      </w:r>
      <w:r w:rsidR="00F324E4" w:rsidRPr="00510442">
        <w:rPr>
          <w:color w:val="000000"/>
          <w:szCs w:val="22"/>
          <w:lang w:val="hr-HR"/>
        </w:rPr>
        <w:t>n</w:t>
      </w:r>
      <w:r w:rsidR="009B57ED" w:rsidRPr="00510442">
        <w:rPr>
          <w:color w:val="000000"/>
          <w:szCs w:val="22"/>
          <w:lang w:val="hr-HR"/>
        </w:rPr>
        <w:t>.</w:t>
      </w:r>
    </w:p>
    <w:p w14:paraId="2C33DD5A" w14:textId="77777777" w:rsidR="009B57ED" w:rsidRPr="00510442" w:rsidRDefault="009B57ED" w:rsidP="00204719">
      <w:pPr>
        <w:pStyle w:val="EndnoteText"/>
        <w:widowControl w:val="0"/>
        <w:tabs>
          <w:tab w:val="clear" w:pos="567"/>
        </w:tabs>
        <w:rPr>
          <w:color w:val="000000"/>
          <w:szCs w:val="22"/>
          <w:lang w:val="hr-HR"/>
        </w:rPr>
      </w:pPr>
    </w:p>
    <w:p w14:paraId="5CBF9917" w14:textId="77777777" w:rsidR="009B57ED" w:rsidRPr="00510442" w:rsidRDefault="00847932" w:rsidP="00D44559">
      <w:pPr>
        <w:pStyle w:val="EndnoteText"/>
        <w:keepNext/>
        <w:widowControl w:val="0"/>
        <w:tabs>
          <w:tab w:val="clear" w:pos="567"/>
        </w:tabs>
        <w:rPr>
          <w:i/>
          <w:color w:val="000000"/>
          <w:szCs w:val="22"/>
          <w:lang w:val="hr-HR"/>
        </w:rPr>
      </w:pPr>
      <w:r w:rsidRPr="00510442">
        <w:rPr>
          <w:i/>
          <w:szCs w:val="22"/>
          <w:lang w:val="hr-HR"/>
        </w:rPr>
        <w:t>Hematološke nuspojave</w:t>
      </w:r>
    </w:p>
    <w:p w14:paraId="3D60E790" w14:textId="77777777" w:rsidR="009B57ED" w:rsidRPr="00510442" w:rsidRDefault="00847932" w:rsidP="00204719">
      <w:pPr>
        <w:pStyle w:val="EndnoteText"/>
        <w:widowControl w:val="0"/>
        <w:tabs>
          <w:tab w:val="clear" w:pos="567"/>
        </w:tabs>
        <w:rPr>
          <w:color w:val="000000"/>
          <w:szCs w:val="22"/>
          <w:lang w:val="hr-HR"/>
        </w:rPr>
      </w:pPr>
      <w:r w:rsidRPr="00510442">
        <w:rPr>
          <w:szCs w:val="22"/>
          <w:lang w:val="hr-HR"/>
        </w:rPr>
        <w:t>Preporučuje se dozu smanjiti ili liječenje prekinuti zbog teške neutropenije i trombocitopenije, kao što je prikazano u donjoj tablici</w:t>
      </w:r>
      <w:r w:rsidR="009B57ED" w:rsidRPr="00510442">
        <w:rPr>
          <w:color w:val="000000"/>
          <w:szCs w:val="22"/>
          <w:lang w:val="hr-HR"/>
        </w:rPr>
        <w:t>.</w:t>
      </w:r>
    </w:p>
    <w:p w14:paraId="49A061D8" w14:textId="77777777" w:rsidR="009B57ED" w:rsidRPr="00510442" w:rsidRDefault="009B57ED" w:rsidP="00204719">
      <w:pPr>
        <w:pStyle w:val="EndnoteText"/>
        <w:widowControl w:val="0"/>
        <w:tabs>
          <w:tab w:val="clear" w:pos="567"/>
        </w:tabs>
        <w:rPr>
          <w:color w:val="000000"/>
          <w:szCs w:val="22"/>
          <w:lang w:val="hr-HR"/>
        </w:rPr>
      </w:pPr>
    </w:p>
    <w:p w14:paraId="28D66FD7" w14:textId="77777777" w:rsidR="009B57ED" w:rsidRPr="00510442" w:rsidRDefault="00847932" w:rsidP="00D44559">
      <w:pPr>
        <w:pStyle w:val="EndnoteText"/>
        <w:keepNext/>
        <w:widowControl w:val="0"/>
        <w:tabs>
          <w:tab w:val="clear" w:pos="567"/>
        </w:tabs>
        <w:rPr>
          <w:color w:val="000000"/>
          <w:szCs w:val="22"/>
          <w:lang w:val="hr-HR"/>
        </w:rPr>
      </w:pPr>
      <w:r w:rsidRPr="00510442">
        <w:rPr>
          <w:szCs w:val="22"/>
          <w:lang w:val="hr-HR"/>
        </w:rPr>
        <w:t>Prilagođavanje doze zbog neutropenije i trombocitopenije</w:t>
      </w:r>
      <w:r w:rsidR="009B57ED" w:rsidRPr="00510442">
        <w:rPr>
          <w:color w:val="000000"/>
          <w:szCs w:val="22"/>
          <w:lang w:val="hr-HR"/>
        </w:rPr>
        <w:t>:</w:t>
      </w:r>
    </w:p>
    <w:p w14:paraId="458D52D0" w14:textId="77777777" w:rsidR="008F1C56" w:rsidRPr="00510442" w:rsidRDefault="008F1C56" w:rsidP="00D44559">
      <w:pPr>
        <w:pStyle w:val="EndnoteText"/>
        <w:keepNext/>
        <w:widowControl w:val="0"/>
        <w:tabs>
          <w:tab w:val="clear" w:pos="567"/>
        </w:tabs>
        <w:rPr>
          <w:color w:val="000000"/>
          <w:szCs w:val="22"/>
          <w:lang w:val="hr-HR"/>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2268"/>
        <w:gridCol w:w="4678"/>
      </w:tblGrid>
      <w:tr w:rsidR="00AF1D36" w:rsidRPr="00F410C8" w14:paraId="76DEABDD" w14:textId="77777777" w:rsidTr="00D44559">
        <w:trPr>
          <w:cantSplit/>
        </w:trPr>
        <w:tc>
          <w:tcPr>
            <w:tcW w:w="2376" w:type="dxa"/>
          </w:tcPr>
          <w:p w14:paraId="59AEC8E2" w14:textId="77777777" w:rsidR="00AF1D36" w:rsidRPr="00510442" w:rsidRDefault="00AF1D36" w:rsidP="00204719">
            <w:pPr>
              <w:pStyle w:val="EndnoteText"/>
              <w:widowControl w:val="0"/>
              <w:tabs>
                <w:tab w:val="clear" w:pos="567"/>
              </w:tabs>
              <w:rPr>
                <w:color w:val="000000"/>
                <w:szCs w:val="22"/>
                <w:lang w:val="hr-HR"/>
              </w:rPr>
            </w:pPr>
            <w:r w:rsidRPr="00510442">
              <w:rPr>
                <w:color w:val="000000"/>
                <w:szCs w:val="22"/>
                <w:lang w:val="hr-HR"/>
              </w:rPr>
              <w:t>HES/</w:t>
            </w:r>
            <w:r w:rsidR="006866BD" w:rsidRPr="00510442">
              <w:rPr>
                <w:color w:val="000000"/>
                <w:szCs w:val="22"/>
                <w:lang w:val="hr-HR"/>
              </w:rPr>
              <w:t>K</w:t>
            </w:r>
            <w:r w:rsidRPr="00510442">
              <w:rPr>
                <w:color w:val="000000"/>
                <w:szCs w:val="22"/>
                <w:lang w:val="hr-HR"/>
              </w:rPr>
              <w:t>EL (</w:t>
            </w:r>
            <w:r w:rsidR="00847932" w:rsidRPr="00510442">
              <w:rPr>
                <w:color w:val="000000"/>
                <w:szCs w:val="22"/>
                <w:lang w:val="hr-HR"/>
              </w:rPr>
              <w:t>početna doza</w:t>
            </w:r>
            <w:r w:rsidRPr="00510442">
              <w:rPr>
                <w:color w:val="000000"/>
                <w:szCs w:val="22"/>
                <w:lang w:val="hr-HR"/>
              </w:rPr>
              <w:t xml:space="preserve"> 100 mg)</w:t>
            </w:r>
          </w:p>
        </w:tc>
        <w:tc>
          <w:tcPr>
            <w:tcW w:w="2268" w:type="dxa"/>
          </w:tcPr>
          <w:p w14:paraId="215D5F58" w14:textId="77777777" w:rsidR="00AF1D36" w:rsidRPr="00510442" w:rsidRDefault="00AF1D36" w:rsidP="00204719">
            <w:pPr>
              <w:pStyle w:val="Table"/>
              <w:keepNext w:val="0"/>
              <w:keepLines w:val="0"/>
              <w:widowControl w:val="0"/>
              <w:suppressLineNumbers/>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A</w:t>
            </w:r>
            <w:r w:rsidR="00347055" w:rsidRPr="00510442">
              <w:rPr>
                <w:rFonts w:ascii="Times New Roman" w:hAnsi="Times New Roman"/>
                <w:color w:val="000000"/>
                <w:sz w:val="22"/>
                <w:szCs w:val="22"/>
                <w:lang w:val="hr-HR"/>
              </w:rPr>
              <w:t>B</w:t>
            </w:r>
            <w:r w:rsidRPr="00510442">
              <w:rPr>
                <w:rFonts w:ascii="Times New Roman" w:hAnsi="Times New Roman"/>
                <w:color w:val="000000"/>
                <w:sz w:val="22"/>
                <w:szCs w:val="22"/>
                <w:lang w:val="hr-HR"/>
              </w:rPr>
              <w:t>N &lt; 1</w:t>
            </w:r>
            <w:r w:rsidR="008F726D" w:rsidRPr="00510442">
              <w:rPr>
                <w:rFonts w:ascii="Times New Roman" w:hAnsi="Times New Roman"/>
                <w:color w:val="000000"/>
                <w:sz w:val="22"/>
                <w:szCs w:val="22"/>
                <w:lang w:val="hr-HR"/>
              </w:rPr>
              <w:t>,</w:t>
            </w:r>
            <w:r w:rsidRPr="00510442">
              <w:rPr>
                <w:rFonts w:ascii="Times New Roman" w:hAnsi="Times New Roman"/>
                <w:color w:val="000000"/>
                <w:sz w:val="22"/>
                <w:szCs w:val="22"/>
                <w:lang w:val="hr-HR"/>
              </w:rPr>
              <w:t>0 x 10</w:t>
            </w:r>
            <w:r w:rsidRPr="00510442">
              <w:rPr>
                <w:rFonts w:ascii="Times New Roman" w:hAnsi="Times New Roman"/>
                <w:color w:val="000000"/>
                <w:sz w:val="22"/>
                <w:szCs w:val="22"/>
                <w:vertAlign w:val="superscript"/>
                <w:lang w:val="hr-HR"/>
              </w:rPr>
              <w:t>9</w:t>
            </w:r>
            <w:r w:rsidRPr="00510442">
              <w:rPr>
                <w:rFonts w:ascii="Times New Roman" w:hAnsi="Times New Roman"/>
                <w:color w:val="000000"/>
                <w:sz w:val="22"/>
                <w:szCs w:val="22"/>
                <w:lang w:val="hr-HR"/>
              </w:rPr>
              <w:t>/l</w:t>
            </w:r>
          </w:p>
          <w:p w14:paraId="161F7343" w14:textId="77777777" w:rsidR="00AF1D36" w:rsidRPr="00510442" w:rsidRDefault="00847932" w:rsidP="00204719">
            <w:pPr>
              <w:pStyle w:val="Table"/>
              <w:keepNext w:val="0"/>
              <w:keepLines w:val="0"/>
              <w:widowControl w:val="0"/>
              <w:suppressLineNumbers/>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i/ili</w:t>
            </w:r>
          </w:p>
          <w:p w14:paraId="4F957EF8" w14:textId="77777777" w:rsidR="00AF1D36" w:rsidRPr="00510442" w:rsidRDefault="00847932" w:rsidP="00204719">
            <w:pPr>
              <w:pStyle w:val="Table"/>
              <w:keepNext w:val="0"/>
              <w:keepLines w:val="0"/>
              <w:widowControl w:val="0"/>
              <w:suppressLineNumbers/>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trombociti</w:t>
            </w:r>
            <w:r w:rsidR="00AF1D36" w:rsidRPr="00510442">
              <w:rPr>
                <w:rFonts w:ascii="Times New Roman" w:hAnsi="Times New Roman"/>
                <w:color w:val="000000"/>
                <w:sz w:val="22"/>
                <w:szCs w:val="22"/>
                <w:lang w:val="hr-HR"/>
              </w:rPr>
              <w:t xml:space="preserve"> &lt; 50 x 10</w:t>
            </w:r>
            <w:r w:rsidR="00AF1D36" w:rsidRPr="00510442">
              <w:rPr>
                <w:rFonts w:ascii="Times New Roman" w:hAnsi="Times New Roman"/>
                <w:color w:val="000000"/>
                <w:sz w:val="22"/>
                <w:szCs w:val="22"/>
                <w:vertAlign w:val="superscript"/>
                <w:lang w:val="hr-HR"/>
              </w:rPr>
              <w:t>9</w:t>
            </w:r>
            <w:r w:rsidR="00AF1D36" w:rsidRPr="00510442">
              <w:rPr>
                <w:rFonts w:ascii="Times New Roman" w:hAnsi="Times New Roman"/>
                <w:color w:val="000000"/>
                <w:sz w:val="22"/>
                <w:szCs w:val="22"/>
                <w:lang w:val="hr-HR"/>
              </w:rPr>
              <w:t>/l</w:t>
            </w:r>
          </w:p>
        </w:tc>
        <w:tc>
          <w:tcPr>
            <w:tcW w:w="4678" w:type="dxa"/>
          </w:tcPr>
          <w:p w14:paraId="3534E1B0" w14:textId="77777777" w:rsidR="00AF1D36" w:rsidRPr="00A00164" w:rsidRDefault="008A1B05" w:rsidP="00204719">
            <w:pPr>
              <w:pStyle w:val="Table"/>
              <w:keepNext w:val="0"/>
              <w:keepLines w:val="0"/>
              <w:widowControl w:val="0"/>
              <w:suppressLineNumbers/>
              <w:tabs>
                <w:tab w:val="clear" w:pos="284"/>
              </w:tabs>
              <w:spacing w:before="0" w:after="0"/>
              <w:ind w:left="469" w:hanging="469"/>
              <w:rPr>
                <w:rFonts w:ascii="Times New Roman" w:hAnsi="Times New Roman"/>
                <w:color w:val="000000"/>
                <w:sz w:val="22"/>
                <w:szCs w:val="22"/>
                <w:lang w:val="hr-HR"/>
              </w:rPr>
            </w:pPr>
            <w:r w:rsidRPr="00510442">
              <w:rPr>
                <w:rFonts w:ascii="Times New Roman" w:hAnsi="Times New Roman"/>
                <w:color w:val="000000"/>
                <w:sz w:val="22"/>
                <w:szCs w:val="22"/>
                <w:lang w:val="hr-HR"/>
              </w:rPr>
              <w:t>1.</w:t>
            </w:r>
            <w:r w:rsidRPr="00510442">
              <w:rPr>
                <w:rFonts w:ascii="Times New Roman" w:hAnsi="Times New Roman"/>
                <w:color w:val="000000"/>
                <w:sz w:val="22"/>
                <w:szCs w:val="22"/>
                <w:lang w:val="hr-HR"/>
              </w:rPr>
              <w:tab/>
            </w:r>
            <w:r w:rsidR="00847932" w:rsidRPr="00510442">
              <w:rPr>
                <w:rFonts w:ascii="Times New Roman" w:hAnsi="Times New Roman"/>
                <w:sz w:val="22"/>
                <w:szCs w:val="22"/>
                <w:lang w:val="hr-HR"/>
              </w:rPr>
              <w:t>Ukinuti Glivec sve dok A</w:t>
            </w:r>
            <w:r w:rsidR="0034145F" w:rsidRPr="00510442">
              <w:rPr>
                <w:rFonts w:ascii="Times New Roman" w:hAnsi="Times New Roman"/>
                <w:sz w:val="22"/>
                <w:szCs w:val="22"/>
                <w:lang w:val="hr-HR"/>
              </w:rPr>
              <w:t>B</w:t>
            </w:r>
            <w:r w:rsidR="00847932" w:rsidRPr="00510442">
              <w:rPr>
                <w:rFonts w:ascii="Times New Roman" w:hAnsi="Times New Roman"/>
                <w:sz w:val="22"/>
                <w:szCs w:val="22"/>
                <w:lang w:val="hr-HR"/>
              </w:rPr>
              <w:t xml:space="preserve">N ne bude </w:t>
            </w:r>
            <w:r w:rsidR="00AF1D36" w:rsidRPr="00307897">
              <w:rPr>
                <w:rFonts w:ascii="Times New Roman" w:hAnsi="Times New Roman"/>
                <w:color w:val="000000"/>
                <w:sz w:val="22"/>
                <w:szCs w:val="22"/>
                <w:lang w:val="hr-HR"/>
              </w:rPr>
              <w:sym w:font="Symbol" w:char="F0B3"/>
            </w:r>
            <w:r w:rsidR="00AF1D36" w:rsidRPr="00307897">
              <w:rPr>
                <w:rFonts w:ascii="Times New Roman" w:hAnsi="Times New Roman"/>
                <w:color w:val="000000"/>
                <w:sz w:val="22"/>
                <w:szCs w:val="22"/>
                <w:lang w:val="hr-HR"/>
              </w:rPr>
              <w:t>1</w:t>
            </w:r>
            <w:r w:rsidR="008F726D" w:rsidRPr="00307897">
              <w:rPr>
                <w:rFonts w:ascii="Times New Roman" w:hAnsi="Times New Roman"/>
                <w:color w:val="000000"/>
                <w:sz w:val="22"/>
                <w:szCs w:val="22"/>
                <w:lang w:val="hr-HR"/>
              </w:rPr>
              <w:t>,</w:t>
            </w:r>
            <w:r w:rsidR="00AF1D36" w:rsidRPr="00A00164">
              <w:rPr>
                <w:rFonts w:ascii="Times New Roman" w:hAnsi="Times New Roman"/>
                <w:color w:val="000000"/>
                <w:sz w:val="22"/>
                <w:szCs w:val="22"/>
                <w:lang w:val="hr-HR"/>
              </w:rPr>
              <w:t>5 x 10</w:t>
            </w:r>
            <w:r w:rsidR="00AF1D36" w:rsidRPr="00973BDD">
              <w:rPr>
                <w:rFonts w:ascii="Times New Roman" w:hAnsi="Times New Roman"/>
                <w:color w:val="000000"/>
                <w:sz w:val="22"/>
                <w:szCs w:val="22"/>
                <w:vertAlign w:val="superscript"/>
                <w:lang w:val="hr-HR"/>
              </w:rPr>
              <w:t>9</w:t>
            </w:r>
            <w:r w:rsidR="00AF1D36" w:rsidRPr="000B51EB">
              <w:rPr>
                <w:rFonts w:ascii="Times New Roman" w:hAnsi="Times New Roman"/>
                <w:color w:val="000000"/>
                <w:sz w:val="22"/>
                <w:szCs w:val="22"/>
                <w:lang w:val="hr-HR"/>
              </w:rPr>
              <w:t>/l</w:t>
            </w:r>
            <w:r w:rsidR="000979CD" w:rsidRPr="00510442">
              <w:rPr>
                <w:rFonts w:ascii="Times New Roman" w:hAnsi="Times New Roman"/>
                <w:color w:val="000000"/>
                <w:sz w:val="22"/>
                <w:szCs w:val="22"/>
                <w:lang w:val="hr-HR"/>
              </w:rPr>
              <w:t xml:space="preserve"> i</w:t>
            </w:r>
            <w:r w:rsidR="00847932" w:rsidRPr="00510442">
              <w:rPr>
                <w:rFonts w:ascii="Times New Roman" w:hAnsi="Times New Roman"/>
                <w:color w:val="000000"/>
                <w:sz w:val="22"/>
                <w:szCs w:val="22"/>
                <w:lang w:val="hr-HR"/>
              </w:rPr>
              <w:t xml:space="preserve"> trombociti</w:t>
            </w:r>
            <w:r w:rsidR="00AF1D36" w:rsidRPr="00510442">
              <w:rPr>
                <w:rFonts w:ascii="Times New Roman" w:hAnsi="Times New Roman"/>
                <w:color w:val="000000"/>
                <w:sz w:val="22"/>
                <w:szCs w:val="22"/>
                <w:lang w:val="hr-HR"/>
              </w:rPr>
              <w:t xml:space="preserve"> </w:t>
            </w:r>
            <w:r w:rsidR="00AF1D36" w:rsidRPr="00307897">
              <w:rPr>
                <w:rFonts w:ascii="Times New Roman" w:hAnsi="Times New Roman"/>
                <w:color w:val="000000"/>
                <w:sz w:val="22"/>
                <w:szCs w:val="22"/>
                <w:lang w:val="hr-HR"/>
              </w:rPr>
              <w:sym w:font="Symbol" w:char="F0B3"/>
            </w:r>
            <w:r w:rsidR="00AF1D36" w:rsidRPr="00307897">
              <w:rPr>
                <w:rFonts w:ascii="Times New Roman" w:hAnsi="Times New Roman"/>
                <w:color w:val="000000"/>
                <w:sz w:val="22"/>
                <w:szCs w:val="22"/>
                <w:lang w:val="hr-HR"/>
              </w:rPr>
              <w:t>75 x 10</w:t>
            </w:r>
            <w:r w:rsidR="00AF1D36" w:rsidRPr="00307897">
              <w:rPr>
                <w:rFonts w:ascii="Times New Roman" w:hAnsi="Times New Roman"/>
                <w:color w:val="000000"/>
                <w:sz w:val="22"/>
                <w:szCs w:val="22"/>
                <w:vertAlign w:val="superscript"/>
                <w:lang w:val="hr-HR"/>
              </w:rPr>
              <w:t>9</w:t>
            </w:r>
            <w:r w:rsidR="00AF1D36" w:rsidRPr="00A00164">
              <w:rPr>
                <w:rFonts w:ascii="Times New Roman" w:hAnsi="Times New Roman"/>
                <w:color w:val="000000"/>
                <w:sz w:val="22"/>
                <w:szCs w:val="22"/>
                <w:lang w:val="hr-HR"/>
              </w:rPr>
              <w:t>/l.</w:t>
            </w:r>
          </w:p>
          <w:p w14:paraId="48C2DE80" w14:textId="65B381E9" w:rsidR="00AF1D36" w:rsidRPr="00510442" w:rsidRDefault="008A1B05" w:rsidP="00951360">
            <w:pPr>
              <w:pStyle w:val="Table"/>
              <w:keepNext w:val="0"/>
              <w:keepLines w:val="0"/>
              <w:widowControl w:val="0"/>
              <w:suppressLineNumbers/>
              <w:tabs>
                <w:tab w:val="clear" w:pos="284"/>
              </w:tabs>
              <w:spacing w:before="0" w:after="0"/>
              <w:ind w:left="469" w:hanging="469"/>
              <w:rPr>
                <w:rFonts w:ascii="Times New Roman" w:hAnsi="Times New Roman"/>
                <w:color w:val="000000"/>
                <w:sz w:val="22"/>
                <w:szCs w:val="22"/>
                <w:lang w:val="hr-HR"/>
              </w:rPr>
            </w:pPr>
            <w:r w:rsidRPr="00973BDD">
              <w:rPr>
                <w:rFonts w:ascii="Times New Roman" w:hAnsi="Times New Roman"/>
                <w:color w:val="000000"/>
                <w:sz w:val="22"/>
                <w:szCs w:val="22"/>
                <w:lang w:val="hr-HR"/>
              </w:rPr>
              <w:t>2.</w:t>
            </w:r>
            <w:r w:rsidRPr="00973BDD">
              <w:rPr>
                <w:rFonts w:ascii="Times New Roman" w:hAnsi="Times New Roman"/>
                <w:color w:val="000000"/>
                <w:sz w:val="22"/>
                <w:szCs w:val="22"/>
                <w:lang w:val="hr-HR"/>
              </w:rPr>
              <w:tab/>
            </w:r>
            <w:r w:rsidR="00847932" w:rsidRPr="000B51EB">
              <w:rPr>
                <w:rFonts w:ascii="Times New Roman" w:hAnsi="Times New Roman"/>
                <w:sz w:val="22"/>
                <w:szCs w:val="22"/>
                <w:lang w:val="hr-HR"/>
              </w:rPr>
              <w:t xml:space="preserve">Ponovno uvesti liječenje </w:t>
            </w:r>
            <w:r w:rsidR="00951360" w:rsidRPr="00951360">
              <w:rPr>
                <w:rFonts w:ascii="Times New Roman" w:hAnsi="Times New Roman"/>
                <w:sz w:val="22"/>
                <w:szCs w:val="22"/>
                <w:lang w:val="hr-HR"/>
              </w:rPr>
              <w:t xml:space="preserve">lijekom </w:t>
            </w:r>
            <w:r w:rsidR="00847932" w:rsidRPr="000B51EB">
              <w:rPr>
                <w:rFonts w:ascii="Times New Roman" w:hAnsi="Times New Roman"/>
                <w:sz w:val="22"/>
                <w:szCs w:val="22"/>
                <w:lang w:val="hr-HR"/>
              </w:rPr>
              <w:t>Glivec u prijašnjoj dozi (tj. prije teške nuspojave)</w:t>
            </w:r>
            <w:r w:rsidR="00AF1D36" w:rsidRPr="00510442">
              <w:rPr>
                <w:rFonts w:ascii="Times New Roman" w:hAnsi="Times New Roman"/>
                <w:color w:val="000000"/>
                <w:sz w:val="22"/>
                <w:szCs w:val="22"/>
                <w:lang w:val="hr-HR"/>
              </w:rPr>
              <w:t>.</w:t>
            </w:r>
          </w:p>
        </w:tc>
      </w:tr>
      <w:tr w:rsidR="008F1C56" w:rsidRPr="00F410C8" w14:paraId="0BE5C844" w14:textId="77777777" w:rsidTr="00D44559">
        <w:trPr>
          <w:cantSplit/>
        </w:trPr>
        <w:tc>
          <w:tcPr>
            <w:tcW w:w="2376" w:type="dxa"/>
          </w:tcPr>
          <w:p w14:paraId="5774358B" w14:textId="77777777" w:rsidR="008F1C56" w:rsidRPr="00510442" w:rsidRDefault="000979CD" w:rsidP="0091773C">
            <w:pPr>
              <w:pStyle w:val="EndnoteText"/>
              <w:widowControl w:val="0"/>
              <w:tabs>
                <w:tab w:val="clear" w:pos="567"/>
              </w:tabs>
              <w:rPr>
                <w:color w:val="000000"/>
                <w:szCs w:val="22"/>
                <w:lang w:val="hr-HR"/>
              </w:rPr>
            </w:pPr>
            <w:r w:rsidRPr="00510442">
              <w:rPr>
                <w:szCs w:val="22"/>
                <w:lang w:val="hr-HR"/>
              </w:rPr>
              <w:t xml:space="preserve">Kronična faza </w:t>
            </w:r>
            <w:r w:rsidR="008D00F3" w:rsidRPr="00510442">
              <w:rPr>
                <w:szCs w:val="22"/>
                <w:lang w:val="hr-HR"/>
              </w:rPr>
              <w:t>K</w:t>
            </w:r>
            <w:r w:rsidRPr="00510442">
              <w:rPr>
                <w:szCs w:val="22"/>
                <w:lang w:val="hr-HR"/>
              </w:rPr>
              <w:t xml:space="preserve">ML-a, MDS/MPD-a i GIST-a (početna doza </w:t>
            </w:r>
            <w:r w:rsidR="008F1C56" w:rsidRPr="00510442">
              <w:rPr>
                <w:color w:val="000000"/>
                <w:szCs w:val="22"/>
                <w:lang w:val="hr-HR"/>
              </w:rPr>
              <w:t>400 mg)</w:t>
            </w:r>
          </w:p>
          <w:p w14:paraId="203703DE" w14:textId="77777777" w:rsidR="00AF1D36" w:rsidRPr="00510442" w:rsidRDefault="00AF1D36" w:rsidP="00422F71">
            <w:pPr>
              <w:pStyle w:val="EndnoteText"/>
              <w:widowControl w:val="0"/>
              <w:tabs>
                <w:tab w:val="clear" w:pos="567"/>
              </w:tabs>
              <w:rPr>
                <w:color w:val="000000"/>
                <w:szCs w:val="22"/>
                <w:lang w:val="hr-HR"/>
              </w:rPr>
            </w:pPr>
            <w:r w:rsidRPr="00510442">
              <w:rPr>
                <w:color w:val="000000"/>
                <w:szCs w:val="22"/>
                <w:lang w:val="hr-HR"/>
              </w:rPr>
              <w:t>HES/</w:t>
            </w:r>
            <w:r w:rsidR="008D00F3" w:rsidRPr="00510442">
              <w:rPr>
                <w:color w:val="000000"/>
                <w:szCs w:val="22"/>
                <w:lang w:val="hr-HR"/>
              </w:rPr>
              <w:t>K</w:t>
            </w:r>
            <w:r w:rsidRPr="00510442">
              <w:rPr>
                <w:color w:val="000000"/>
                <w:szCs w:val="22"/>
                <w:lang w:val="hr-HR"/>
              </w:rPr>
              <w:t>EL</w:t>
            </w:r>
          </w:p>
          <w:p w14:paraId="799C247A" w14:textId="77777777" w:rsidR="00AF1D36" w:rsidRPr="00510442" w:rsidRDefault="00AF1D36" w:rsidP="00A74D02">
            <w:pPr>
              <w:pStyle w:val="EndnoteText"/>
              <w:widowControl w:val="0"/>
              <w:tabs>
                <w:tab w:val="clear" w:pos="567"/>
              </w:tabs>
              <w:rPr>
                <w:color w:val="000000"/>
                <w:szCs w:val="22"/>
                <w:lang w:val="hr-HR"/>
              </w:rPr>
            </w:pPr>
            <w:r w:rsidRPr="00510442">
              <w:rPr>
                <w:color w:val="000000"/>
                <w:szCs w:val="22"/>
                <w:lang w:val="hr-HR"/>
              </w:rPr>
              <w:t>(</w:t>
            </w:r>
            <w:r w:rsidR="000979CD" w:rsidRPr="00510442">
              <w:rPr>
                <w:color w:val="000000"/>
                <w:szCs w:val="22"/>
                <w:lang w:val="hr-HR"/>
              </w:rPr>
              <w:t>doza od</w:t>
            </w:r>
            <w:r w:rsidRPr="00510442">
              <w:rPr>
                <w:color w:val="000000"/>
                <w:szCs w:val="22"/>
                <w:lang w:val="hr-HR"/>
              </w:rPr>
              <w:t xml:space="preserve"> 400 mg)</w:t>
            </w:r>
          </w:p>
        </w:tc>
        <w:tc>
          <w:tcPr>
            <w:tcW w:w="2268" w:type="dxa"/>
          </w:tcPr>
          <w:p w14:paraId="76304B70" w14:textId="77777777" w:rsidR="008F1C56" w:rsidRPr="00510442" w:rsidRDefault="008F1C56" w:rsidP="007F1BD0">
            <w:pPr>
              <w:pStyle w:val="Table"/>
              <w:keepNext w:val="0"/>
              <w:keepLines w:val="0"/>
              <w:widowControl w:val="0"/>
              <w:suppressLineNumbers/>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A</w:t>
            </w:r>
            <w:r w:rsidR="00347055" w:rsidRPr="00510442">
              <w:rPr>
                <w:rFonts w:ascii="Times New Roman" w:hAnsi="Times New Roman"/>
                <w:color w:val="000000"/>
                <w:sz w:val="22"/>
                <w:szCs w:val="22"/>
                <w:lang w:val="hr-HR"/>
              </w:rPr>
              <w:t>B</w:t>
            </w:r>
            <w:r w:rsidRPr="00510442">
              <w:rPr>
                <w:rFonts w:ascii="Times New Roman" w:hAnsi="Times New Roman"/>
                <w:color w:val="000000"/>
                <w:sz w:val="22"/>
                <w:szCs w:val="22"/>
                <w:lang w:val="hr-HR"/>
              </w:rPr>
              <w:t>N &lt; 1</w:t>
            </w:r>
            <w:r w:rsidR="008F726D" w:rsidRPr="00510442">
              <w:rPr>
                <w:rFonts w:ascii="Times New Roman" w:hAnsi="Times New Roman"/>
                <w:color w:val="000000"/>
                <w:sz w:val="22"/>
                <w:szCs w:val="22"/>
                <w:lang w:val="hr-HR"/>
              </w:rPr>
              <w:t>,</w:t>
            </w:r>
            <w:r w:rsidRPr="00510442">
              <w:rPr>
                <w:rFonts w:ascii="Times New Roman" w:hAnsi="Times New Roman"/>
                <w:color w:val="000000"/>
                <w:sz w:val="22"/>
                <w:szCs w:val="22"/>
                <w:lang w:val="hr-HR"/>
              </w:rPr>
              <w:t>0 x 10</w:t>
            </w:r>
            <w:r w:rsidRPr="00510442">
              <w:rPr>
                <w:rFonts w:ascii="Times New Roman" w:hAnsi="Times New Roman"/>
                <w:color w:val="000000"/>
                <w:sz w:val="22"/>
                <w:szCs w:val="22"/>
                <w:vertAlign w:val="superscript"/>
                <w:lang w:val="hr-HR"/>
              </w:rPr>
              <w:t>9</w:t>
            </w:r>
            <w:r w:rsidRPr="00510442">
              <w:rPr>
                <w:rFonts w:ascii="Times New Roman" w:hAnsi="Times New Roman"/>
                <w:color w:val="000000"/>
                <w:sz w:val="22"/>
                <w:szCs w:val="22"/>
                <w:lang w:val="hr-HR"/>
              </w:rPr>
              <w:t>/l</w:t>
            </w:r>
          </w:p>
          <w:p w14:paraId="35CAEFEA" w14:textId="77777777" w:rsidR="008F1C56" w:rsidRPr="00510442" w:rsidRDefault="000979CD" w:rsidP="00954FF7">
            <w:pPr>
              <w:pStyle w:val="Table"/>
              <w:keepNext w:val="0"/>
              <w:keepLines w:val="0"/>
              <w:widowControl w:val="0"/>
              <w:suppressLineNumbers/>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i</w:t>
            </w:r>
            <w:r w:rsidR="008F1C56" w:rsidRPr="00510442">
              <w:rPr>
                <w:rFonts w:ascii="Times New Roman" w:hAnsi="Times New Roman"/>
                <w:color w:val="000000"/>
                <w:sz w:val="22"/>
                <w:szCs w:val="22"/>
                <w:lang w:val="hr-HR"/>
              </w:rPr>
              <w:t>/</w:t>
            </w:r>
            <w:r w:rsidRPr="00510442">
              <w:rPr>
                <w:rFonts w:ascii="Times New Roman" w:hAnsi="Times New Roman"/>
                <w:color w:val="000000"/>
                <w:sz w:val="22"/>
                <w:szCs w:val="22"/>
                <w:lang w:val="hr-HR"/>
              </w:rPr>
              <w:t>ili</w:t>
            </w:r>
          </w:p>
          <w:p w14:paraId="4562B0F6" w14:textId="77777777" w:rsidR="008F1C56" w:rsidRPr="00510442" w:rsidRDefault="000979CD" w:rsidP="0038669B">
            <w:pPr>
              <w:pStyle w:val="EndnoteText"/>
              <w:widowControl w:val="0"/>
              <w:tabs>
                <w:tab w:val="clear" w:pos="567"/>
              </w:tabs>
              <w:rPr>
                <w:color w:val="000000"/>
                <w:szCs w:val="22"/>
                <w:lang w:val="hr-HR"/>
              </w:rPr>
            </w:pPr>
            <w:r w:rsidRPr="00510442">
              <w:rPr>
                <w:color w:val="000000"/>
                <w:szCs w:val="22"/>
                <w:lang w:val="hr-HR"/>
              </w:rPr>
              <w:t>trombociti</w:t>
            </w:r>
            <w:r w:rsidR="008F1C56" w:rsidRPr="00510442">
              <w:rPr>
                <w:color w:val="000000"/>
                <w:szCs w:val="22"/>
                <w:lang w:val="hr-HR"/>
              </w:rPr>
              <w:t xml:space="preserve"> &lt; 50 x 10</w:t>
            </w:r>
            <w:r w:rsidR="008F1C56" w:rsidRPr="00510442">
              <w:rPr>
                <w:color w:val="000000"/>
                <w:szCs w:val="22"/>
                <w:vertAlign w:val="superscript"/>
                <w:lang w:val="hr-HR"/>
              </w:rPr>
              <w:t>9</w:t>
            </w:r>
            <w:r w:rsidR="008F1C56" w:rsidRPr="00510442">
              <w:rPr>
                <w:color w:val="000000"/>
                <w:szCs w:val="22"/>
                <w:lang w:val="hr-HR"/>
              </w:rPr>
              <w:t>/l</w:t>
            </w:r>
          </w:p>
        </w:tc>
        <w:tc>
          <w:tcPr>
            <w:tcW w:w="4678" w:type="dxa"/>
          </w:tcPr>
          <w:p w14:paraId="762B95BF" w14:textId="77777777" w:rsidR="008F1C56" w:rsidRPr="00A00164" w:rsidRDefault="008A1B05" w:rsidP="00236E0E">
            <w:pPr>
              <w:pStyle w:val="Table"/>
              <w:keepNext w:val="0"/>
              <w:keepLines w:val="0"/>
              <w:widowControl w:val="0"/>
              <w:suppressLineNumbers/>
              <w:tabs>
                <w:tab w:val="clear" w:pos="284"/>
              </w:tabs>
              <w:spacing w:before="0" w:after="0"/>
              <w:ind w:left="469" w:hanging="469"/>
              <w:rPr>
                <w:rFonts w:ascii="Times New Roman" w:hAnsi="Times New Roman"/>
                <w:color w:val="000000"/>
                <w:sz w:val="22"/>
                <w:szCs w:val="22"/>
                <w:lang w:val="hr-HR"/>
              </w:rPr>
            </w:pPr>
            <w:r w:rsidRPr="00510442">
              <w:rPr>
                <w:rFonts w:ascii="Times New Roman" w:hAnsi="Times New Roman"/>
                <w:color w:val="000000"/>
                <w:sz w:val="22"/>
                <w:szCs w:val="22"/>
                <w:lang w:val="hr-HR"/>
              </w:rPr>
              <w:t>1.</w:t>
            </w:r>
            <w:r w:rsidRPr="00510442">
              <w:rPr>
                <w:rFonts w:ascii="Times New Roman" w:hAnsi="Times New Roman"/>
                <w:color w:val="000000"/>
                <w:sz w:val="22"/>
                <w:szCs w:val="22"/>
                <w:lang w:val="hr-HR"/>
              </w:rPr>
              <w:tab/>
            </w:r>
            <w:r w:rsidR="000979CD" w:rsidRPr="00510442">
              <w:rPr>
                <w:rFonts w:ascii="Times New Roman" w:hAnsi="Times New Roman"/>
                <w:sz w:val="22"/>
                <w:szCs w:val="22"/>
                <w:lang w:val="hr-HR"/>
              </w:rPr>
              <w:t>Ukinuti Glivec sve dok A</w:t>
            </w:r>
            <w:r w:rsidR="0034145F" w:rsidRPr="00510442">
              <w:rPr>
                <w:rFonts w:ascii="Times New Roman" w:hAnsi="Times New Roman"/>
                <w:sz w:val="22"/>
                <w:szCs w:val="22"/>
                <w:lang w:val="hr-HR"/>
              </w:rPr>
              <w:t>B</w:t>
            </w:r>
            <w:r w:rsidR="000979CD" w:rsidRPr="00510442">
              <w:rPr>
                <w:rFonts w:ascii="Times New Roman" w:hAnsi="Times New Roman"/>
                <w:sz w:val="22"/>
                <w:szCs w:val="22"/>
                <w:lang w:val="hr-HR"/>
              </w:rPr>
              <w:t xml:space="preserve">N ne bude </w:t>
            </w:r>
            <w:r w:rsidR="008F1C56" w:rsidRPr="00307897">
              <w:rPr>
                <w:rFonts w:ascii="Times New Roman" w:hAnsi="Times New Roman"/>
                <w:color w:val="000000"/>
                <w:sz w:val="22"/>
                <w:szCs w:val="22"/>
                <w:lang w:val="hr-HR"/>
              </w:rPr>
              <w:sym w:font="Symbol" w:char="F0B3"/>
            </w:r>
            <w:r w:rsidR="008F1C56" w:rsidRPr="00307897">
              <w:rPr>
                <w:rFonts w:ascii="Times New Roman" w:hAnsi="Times New Roman"/>
                <w:color w:val="000000"/>
                <w:sz w:val="22"/>
                <w:szCs w:val="22"/>
                <w:lang w:val="hr-HR"/>
              </w:rPr>
              <w:t>1</w:t>
            </w:r>
            <w:r w:rsidR="008F726D" w:rsidRPr="00307897">
              <w:rPr>
                <w:rFonts w:ascii="Times New Roman" w:hAnsi="Times New Roman"/>
                <w:color w:val="000000"/>
                <w:sz w:val="22"/>
                <w:szCs w:val="22"/>
                <w:lang w:val="hr-HR"/>
              </w:rPr>
              <w:t>,</w:t>
            </w:r>
            <w:r w:rsidR="008F1C56" w:rsidRPr="00A00164">
              <w:rPr>
                <w:rFonts w:ascii="Times New Roman" w:hAnsi="Times New Roman"/>
                <w:color w:val="000000"/>
                <w:sz w:val="22"/>
                <w:szCs w:val="22"/>
                <w:lang w:val="hr-HR"/>
              </w:rPr>
              <w:t>5 x 10</w:t>
            </w:r>
            <w:r w:rsidR="008F1C56" w:rsidRPr="00973BDD">
              <w:rPr>
                <w:rFonts w:ascii="Times New Roman" w:hAnsi="Times New Roman"/>
                <w:color w:val="000000"/>
                <w:sz w:val="22"/>
                <w:szCs w:val="22"/>
                <w:vertAlign w:val="superscript"/>
                <w:lang w:val="hr-HR"/>
              </w:rPr>
              <w:t>9</w:t>
            </w:r>
            <w:r w:rsidR="008F1C56" w:rsidRPr="000B51EB">
              <w:rPr>
                <w:rFonts w:ascii="Times New Roman" w:hAnsi="Times New Roman"/>
                <w:color w:val="000000"/>
                <w:sz w:val="22"/>
                <w:szCs w:val="22"/>
                <w:lang w:val="hr-HR"/>
              </w:rPr>
              <w:t xml:space="preserve">/l </w:t>
            </w:r>
            <w:r w:rsidR="000979CD" w:rsidRPr="00510442">
              <w:rPr>
                <w:rFonts w:ascii="Times New Roman" w:hAnsi="Times New Roman"/>
                <w:color w:val="000000"/>
                <w:sz w:val="22"/>
                <w:szCs w:val="22"/>
                <w:lang w:val="hr-HR"/>
              </w:rPr>
              <w:t>i trom</w:t>
            </w:r>
            <w:r w:rsidR="002A3AC4" w:rsidRPr="00510442">
              <w:rPr>
                <w:rFonts w:ascii="Times New Roman" w:hAnsi="Times New Roman"/>
                <w:color w:val="000000"/>
                <w:sz w:val="22"/>
                <w:szCs w:val="22"/>
                <w:lang w:val="hr-HR"/>
              </w:rPr>
              <w:t>b</w:t>
            </w:r>
            <w:r w:rsidR="000979CD" w:rsidRPr="00510442">
              <w:rPr>
                <w:rFonts w:ascii="Times New Roman" w:hAnsi="Times New Roman"/>
                <w:color w:val="000000"/>
                <w:sz w:val="22"/>
                <w:szCs w:val="22"/>
                <w:lang w:val="hr-HR"/>
              </w:rPr>
              <w:t>ociti</w:t>
            </w:r>
            <w:r w:rsidR="008F1C56" w:rsidRPr="00510442">
              <w:rPr>
                <w:rFonts w:ascii="Times New Roman" w:hAnsi="Times New Roman"/>
                <w:color w:val="000000"/>
                <w:sz w:val="22"/>
                <w:szCs w:val="22"/>
                <w:lang w:val="hr-HR"/>
              </w:rPr>
              <w:t xml:space="preserve"> </w:t>
            </w:r>
            <w:r w:rsidR="008F1C56" w:rsidRPr="00307897">
              <w:rPr>
                <w:rFonts w:ascii="Times New Roman" w:hAnsi="Times New Roman"/>
                <w:color w:val="000000"/>
                <w:sz w:val="22"/>
                <w:szCs w:val="22"/>
                <w:lang w:val="hr-HR"/>
              </w:rPr>
              <w:sym w:font="Symbol" w:char="F0B3"/>
            </w:r>
            <w:r w:rsidR="008F1C56" w:rsidRPr="00307897">
              <w:rPr>
                <w:rFonts w:ascii="Times New Roman" w:hAnsi="Times New Roman"/>
                <w:color w:val="000000"/>
                <w:sz w:val="22"/>
                <w:szCs w:val="22"/>
                <w:lang w:val="hr-HR"/>
              </w:rPr>
              <w:t>75 x 10</w:t>
            </w:r>
            <w:r w:rsidR="008F1C56" w:rsidRPr="00307897">
              <w:rPr>
                <w:rFonts w:ascii="Times New Roman" w:hAnsi="Times New Roman"/>
                <w:color w:val="000000"/>
                <w:sz w:val="22"/>
                <w:szCs w:val="22"/>
                <w:vertAlign w:val="superscript"/>
                <w:lang w:val="hr-HR"/>
              </w:rPr>
              <w:t>9</w:t>
            </w:r>
            <w:r w:rsidR="008F1C56" w:rsidRPr="00A00164">
              <w:rPr>
                <w:rFonts w:ascii="Times New Roman" w:hAnsi="Times New Roman"/>
                <w:color w:val="000000"/>
                <w:sz w:val="22"/>
                <w:szCs w:val="22"/>
                <w:lang w:val="hr-HR"/>
              </w:rPr>
              <w:t>/l.</w:t>
            </w:r>
          </w:p>
          <w:p w14:paraId="011CAC10" w14:textId="328BBFFB" w:rsidR="008F1C56" w:rsidRPr="00510442" w:rsidRDefault="008A1B05" w:rsidP="003C0A50">
            <w:pPr>
              <w:pStyle w:val="Table"/>
              <w:keepNext w:val="0"/>
              <w:keepLines w:val="0"/>
              <w:widowControl w:val="0"/>
              <w:suppressLineNumbers/>
              <w:tabs>
                <w:tab w:val="clear" w:pos="284"/>
              </w:tabs>
              <w:spacing w:before="0" w:after="0"/>
              <w:ind w:left="469" w:hanging="469"/>
              <w:rPr>
                <w:rFonts w:ascii="Times New Roman" w:hAnsi="Times New Roman"/>
                <w:color w:val="000000"/>
                <w:sz w:val="22"/>
                <w:szCs w:val="22"/>
                <w:lang w:val="hr-HR"/>
              </w:rPr>
            </w:pPr>
            <w:r w:rsidRPr="00973BDD">
              <w:rPr>
                <w:rFonts w:ascii="Times New Roman" w:hAnsi="Times New Roman"/>
                <w:color w:val="000000"/>
                <w:sz w:val="22"/>
                <w:szCs w:val="22"/>
                <w:lang w:val="hr-HR"/>
              </w:rPr>
              <w:t>2.</w:t>
            </w:r>
            <w:r w:rsidRPr="00973BDD">
              <w:rPr>
                <w:rFonts w:ascii="Times New Roman" w:hAnsi="Times New Roman"/>
                <w:color w:val="000000"/>
                <w:sz w:val="22"/>
                <w:szCs w:val="22"/>
                <w:lang w:val="hr-HR"/>
              </w:rPr>
              <w:tab/>
            </w:r>
            <w:r w:rsidR="000979CD" w:rsidRPr="000B51EB">
              <w:rPr>
                <w:rFonts w:ascii="Times New Roman" w:hAnsi="Times New Roman"/>
                <w:sz w:val="22"/>
                <w:szCs w:val="22"/>
                <w:lang w:val="hr-HR"/>
              </w:rPr>
              <w:t xml:space="preserve">Ponovno uvesti liječenje </w:t>
            </w:r>
            <w:r w:rsidR="00951360" w:rsidRPr="00951360">
              <w:rPr>
                <w:rFonts w:ascii="Times New Roman" w:hAnsi="Times New Roman"/>
                <w:sz w:val="22"/>
                <w:szCs w:val="22"/>
                <w:lang w:val="hr-HR"/>
              </w:rPr>
              <w:t xml:space="preserve">lijekom </w:t>
            </w:r>
            <w:r w:rsidR="000979CD" w:rsidRPr="000B51EB">
              <w:rPr>
                <w:rFonts w:ascii="Times New Roman" w:hAnsi="Times New Roman"/>
                <w:sz w:val="22"/>
                <w:szCs w:val="22"/>
                <w:lang w:val="hr-HR"/>
              </w:rPr>
              <w:t>Glivec u prijašnjoj dozi (tj. prije teške nuspojave)</w:t>
            </w:r>
            <w:r w:rsidR="008F1C56" w:rsidRPr="00510442">
              <w:rPr>
                <w:rFonts w:ascii="Times New Roman" w:hAnsi="Times New Roman"/>
                <w:color w:val="000000"/>
                <w:sz w:val="22"/>
                <w:szCs w:val="22"/>
                <w:lang w:val="hr-HR"/>
              </w:rPr>
              <w:t>.</w:t>
            </w:r>
          </w:p>
          <w:p w14:paraId="4401960A" w14:textId="3650CF16" w:rsidR="008F1C56" w:rsidRPr="00510442" w:rsidRDefault="008A1B05" w:rsidP="00512481">
            <w:pPr>
              <w:pStyle w:val="EndnoteText"/>
              <w:widowControl w:val="0"/>
              <w:tabs>
                <w:tab w:val="clear" w:pos="567"/>
              </w:tabs>
              <w:ind w:left="469" w:hanging="469"/>
              <w:rPr>
                <w:color w:val="000000"/>
                <w:szCs w:val="22"/>
                <w:lang w:val="hr-HR"/>
              </w:rPr>
            </w:pPr>
            <w:r w:rsidRPr="00510442">
              <w:rPr>
                <w:color w:val="000000"/>
                <w:szCs w:val="22"/>
                <w:lang w:val="hr-HR"/>
              </w:rPr>
              <w:t>3.</w:t>
            </w:r>
            <w:r w:rsidRPr="00510442">
              <w:rPr>
                <w:color w:val="000000"/>
                <w:szCs w:val="22"/>
                <w:lang w:val="hr-HR"/>
              </w:rPr>
              <w:tab/>
            </w:r>
            <w:r w:rsidR="00113DF0" w:rsidRPr="00510442">
              <w:rPr>
                <w:szCs w:val="22"/>
                <w:lang w:val="hr-HR"/>
              </w:rPr>
              <w:t>U slučaju da je A</w:t>
            </w:r>
            <w:r w:rsidR="0034145F" w:rsidRPr="00510442">
              <w:rPr>
                <w:szCs w:val="22"/>
                <w:lang w:val="hr-HR"/>
              </w:rPr>
              <w:t>B</w:t>
            </w:r>
            <w:r w:rsidR="00113DF0" w:rsidRPr="00510442">
              <w:rPr>
                <w:szCs w:val="22"/>
                <w:lang w:val="hr-HR"/>
              </w:rPr>
              <w:t xml:space="preserve">N ponovno </w:t>
            </w:r>
            <w:r w:rsidR="008F1C56" w:rsidRPr="00510442">
              <w:rPr>
                <w:color w:val="000000"/>
                <w:szCs w:val="22"/>
                <w:lang w:val="hr-HR"/>
              </w:rPr>
              <w:t>&lt;1</w:t>
            </w:r>
            <w:r w:rsidR="008F726D" w:rsidRPr="00510442">
              <w:rPr>
                <w:color w:val="000000"/>
                <w:szCs w:val="22"/>
                <w:lang w:val="hr-HR"/>
              </w:rPr>
              <w:t>,</w:t>
            </w:r>
            <w:r w:rsidR="008F1C56" w:rsidRPr="00510442">
              <w:rPr>
                <w:color w:val="000000"/>
                <w:szCs w:val="22"/>
                <w:lang w:val="hr-HR"/>
              </w:rPr>
              <w:t>0 x 10</w:t>
            </w:r>
            <w:r w:rsidR="008F1C56" w:rsidRPr="00510442">
              <w:rPr>
                <w:color w:val="000000"/>
                <w:szCs w:val="22"/>
                <w:vertAlign w:val="superscript"/>
                <w:lang w:val="hr-HR"/>
              </w:rPr>
              <w:t>9</w:t>
            </w:r>
            <w:r w:rsidR="008F1C56" w:rsidRPr="00510442">
              <w:rPr>
                <w:color w:val="000000"/>
                <w:szCs w:val="22"/>
                <w:lang w:val="hr-HR"/>
              </w:rPr>
              <w:t xml:space="preserve">/l </w:t>
            </w:r>
            <w:r w:rsidR="00113DF0" w:rsidRPr="00510442">
              <w:rPr>
                <w:szCs w:val="22"/>
                <w:lang w:val="hr-HR"/>
              </w:rPr>
              <w:t>i/ili trombociti</w:t>
            </w:r>
            <w:r w:rsidR="00113DF0" w:rsidRPr="00510442">
              <w:rPr>
                <w:color w:val="000000"/>
                <w:szCs w:val="22"/>
                <w:lang w:val="hr-HR"/>
              </w:rPr>
              <w:t xml:space="preserve"> </w:t>
            </w:r>
            <w:r w:rsidR="008F1C56" w:rsidRPr="00510442">
              <w:rPr>
                <w:color w:val="000000"/>
                <w:szCs w:val="22"/>
                <w:lang w:val="hr-HR"/>
              </w:rPr>
              <w:t>&lt;50 x 10</w:t>
            </w:r>
            <w:r w:rsidR="008F1C56" w:rsidRPr="00510442">
              <w:rPr>
                <w:color w:val="000000"/>
                <w:szCs w:val="22"/>
                <w:vertAlign w:val="superscript"/>
                <w:lang w:val="hr-HR"/>
              </w:rPr>
              <w:t>9</w:t>
            </w:r>
            <w:r w:rsidR="008F1C56" w:rsidRPr="00510442">
              <w:rPr>
                <w:color w:val="000000"/>
                <w:szCs w:val="22"/>
                <w:lang w:val="hr-HR"/>
              </w:rPr>
              <w:t xml:space="preserve">/l, </w:t>
            </w:r>
            <w:r w:rsidR="00113DF0" w:rsidRPr="00510442">
              <w:rPr>
                <w:szCs w:val="22"/>
                <w:lang w:val="hr-HR"/>
              </w:rPr>
              <w:t xml:space="preserve">treba ponoviti 1. korak i nastaviti primjenu </w:t>
            </w:r>
            <w:r w:rsidR="00512481" w:rsidRPr="00512481">
              <w:rPr>
                <w:szCs w:val="22"/>
                <w:lang w:val="hr-HR"/>
              </w:rPr>
              <w:t xml:space="preserve">lijeka </w:t>
            </w:r>
            <w:r w:rsidR="00113DF0" w:rsidRPr="00510442">
              <w:rPr>
                <w:szCs w:val="22"/>
                <w:lang w:val="hr-HR"/>
              </w:rPr>
              <w:t>Glivec u smanjenoj dozi od</w:t>
            </w:r>
            <w:r w:rsidR="008F1C56" w:rsidRPr="00510442">
              <w:rPr>
                <w:color w:val="000000"/>
                <w:szCs w:val="22"/>
                <w:lang w:val="hr-HR"/>
              </w:rPr>
              <w:t xml:space="preserve"> 300 mg.</w:t>
            </w:r>
          </w:p>
        </w:tc>
      </w:tr>
      <w:tr w:rsidR="008F1C56" w:rsidRPr="00F410C8" w14:paraId="30EE26F5" w14:textId="77777777" w:rsidTr="00D44559">
        <w:trPr>
          <w:cantSplit/>
        </w:trPr>
        <w:tc>
          <w:tcPr>
            <w:tcW w:w="2376" w:type="dxa"/>
          </w:tcPr>
          <w:p w14:paraId="0940945A" w14:textId="77777777" w:rsidR="008F726D" w:rsidRPr="00510442" w:rsidRDefault="008F726D" w:rsidP="009B5630">
            <w:pPr>
              <w:spacing w:line="240" w:lineRule="auto"/>
              <w:rPr>
                <w:szCs w:val="22"/>
                <w:lang w:val="hr-HR"/>
              </w:rPr>
            </w:pPr>
            <w:r w:rsidRPr="00510442">
              <w:rPr>
                <w:szCs w:val="22"/>
                <w:lang w:val="hr-HR"/>
              </w:rPr>
              <w:t xml:space="preserve">Pedijatrijska kronična faza </w:t>
            </w:r>
            <w:r w:rsidR="00B655F5" w:rsidRPr="00510442">
              <w:rPr>
                <w:szCs w:val="22"/>
                <w:lang w:val="hr-HR"/>
              </w:rPr>
              <w:t>K</w:t>
            </w:r>
            <w:r w:rsidRPr="00510442">
              <w:rPr>
                <w:szCs w:val="22"/>
                <w:lang w:val="hr-HR"/>
              </w:rPr>
              <w:t>ML-a</w:t>
            </w:r>
          </w:p>
          <w:p w14:paraId="0D87E44A" w14:textId="77777777" w:rsidR="008F1C56" w:rsidRPr="00510442" w:rsidRDefault="008F726D" w:rsidP="0091773C">
            <w:pPr>
              <w:pStyle w:val="EndnoteText"/>
              <w:widowControl w:val="0"/>
              <w:tabs>
                <w:tab w:val="clear" w:pos="567"/>
              </w:tabs>
              <w:rPr>
                <w:color w:val="000000"/>
                <w:szCs w:val="22"/>
                <w:lang w:val="hr-HR"/>
              </w:rPr>
            </w:pPr>
            <w:r w:rsidRPr="00510442">
              <w:rPr>
                <w:szCs w:val="22"/>
                <w:lang w:val="hr-HR"/>
              </w:rPr>
              <w:t xml:space="preserve">(doza od </w:t>
            </w:r>
            <w:r w:rsidR="008F1C56" w:rsidRPr="00510442">
              <w:rPr>
                <w:color w:val="000000"/>
                <w:szCs w:val="22"/>
                <w:lang w:val="hr-HR"/>
              </w:rPr>
              <w:t>340 mg/m</w:t>
            </w:r>
            <w:r w:rsidR="008F1C56" w:rsidRPr="00510442">
              <w:rPr>
                <w:color w:val="000000"/>
                <w:szCs w:val="22"/>
                <w:vertAlign w:val="superscript"/>
                <w:lang w:val="hr-HR"/>
              </w:rPr>
              <w:t>2</w:t>
            </w:r>
            <w:r w:rsidR="008F1C56" w:rsidRPr="00510442">
              <w:rPr>
                <w:color w:val="000000"/>
                <w:szCs w:val="22"/>
                <w:lang w:val="hr-HR"/>
              </w:rPr>
              <w:t>)</w:t>
            </w:r>
          </w:p>
        </w:tc>
        <w:tc>
          <w:tcPr>
            <w:tcW w:w="2268" w:type="dxa"/>
          </w:tcPr>
          <w:p w14:paraId="314DA913" w14:textId="77777777" w:rsidR="00BF47AA" w:rsidRPr="00510442" w:rsidRDefault="00BF47AA" w:rsidP="0091773C">
            <w:pPr>
              <w:pStyle w:val="Table"/>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A</w:t>
            </w:r>
            <w:r w:rsidR="00347055" w:rsidRPr="00510442">
              <w:rPr>
                <w:rFonts w:ascii="Times New Roman" w:hAnsi="Times New Roman"/>
                <w:color w:val="000000"/>
                <w:sz w:val="22"/>
                <w:szCs w:val="22"/>
                <w:lang w:val="hr-HR"/>
              </w:rPr>
              <w:t>B</w:t>
            </w:r>
            <w:r w:rsidRPr="00510442">
              <w:rPr>
                <w:rFonts w:ascii="Times New Roman" w:hAnsi="Times New Roman"/>
                <w:color w:val="000000"/>
                <w:sz w:val="22"/>
                <w:szCs w:val="22"/>
                <w:lang w:val="hr-HR"/>
              </w:rPr>
              <w:t>N &lt;1</w:t>
            </w:r>
            <w:r w:rsidR="008F726D" w:rsidRPr="00510442">
              <w:rPr>
                <w:rFonts w:ascii="Times New Roman" w:hAnsi="Times New Roman"/>
                <w:color w:val="000000"/>
                <w:sz w:val="22"/>
                <w:szCs w:val="22"/>
                <w:lang w:val="hr-HR"/>
              </w:rPr>
              <w:t>,</w:t>
            </w:r>
            <w:r w:rsidRPr="00510442">
              <w:rPr>
                <w:rFonts w:ascii="Times New Roman" w:hAnsi="Times New Roman"/>
                <w:color w:val="000000"/>
                <w:sz w:val="22"/>
                <w:szCs w:val="22"/>
                <w:lang w:val="hr-HR"/>
              </w:rPr>
              <w:t>0 x 10</w:t>
            </w:r>
            <w:r w:rsidRPr="00510442">
              <w:rPr>
                <w:rFonts w:ascii="Times New Roman" w:hAnsi="Times New Roman"/>
                <w:color w:val="000000"/>
                <w:sz w:val="22"/>
                <w:szCs w:val="22"/>
                <w:vertAlign w:val="superscript"/>
                <w:lang w:val="hr-HR"/>
              </w:rPr>
              <w:t>9</w:t>
            </w:r>
            <w:r w:rsidRPr="00510442">
              <w:rPr>
                <w:rFonts w:ascii="Times New Roman" w:hAnsi="Times New Roman"/>
                <w:color w:val="000000"/>
                <w:sz w:val="22"/>
                <w:szCs w:val="22"/>
                <w:lang w:val="hr-HR"/>
              </w:rPr>
              <w:t>/l</w:t>
            </w:r>
          </w:p>
          <w:p w14:paraId="0B5C0E9B" w14:textId="77777777" w:rsidR="00BF47AA" w:rsidRPr="00510442" w:rsidRDefault="008F726D" w:rsidP="00422F71">
            <w:pPr>
              <w:pStyle w:val="Table"/>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i/ili</w:t>
            </w:r>
          </w:p>
          <w:p w14:paraId="65A8F579" w14:textId="77777777" w:rsidR="00BF47AA" w:rsidRPr="00510442" w:rsidRDefault="008F726D" w:rsidP="00422F71">
            <w:pPr>
              <w:pStyle w:val="Table"/>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trombociti</w:t>
            </w:r>
            <w:r w:rsidR="00BF47AA" w:rsidRPr="00510442">
              <w:rPr>
                <w:rFonts w:ascii="Times New Roman" w:hAnsi="Times New Roman"/>
                <w:color w:val="000000"/>
                <w:sz w:val="22"/>
                <w:szCs w:val="22"/>
                <w:lang w:val="hr-HR"/>
              </w:rPr>
              <w:t xml:space="preserve"> &lt;50 x 10</w:t>
            </w:r>
            <w:r w:rsidR="00BF47AA" w:rsidRPr="00510442">
              <w:rPr>
                <w:rFonts w:ascii="Times New Roman" w:hAnsi="Times New Roman"/>
                <w:color w:val="000000"/>
                <w:sz w:val="22"/>
                <w:szCs w:val="22"/>
                <w:vertAlign w:val="superscript"/>
                <w:lang w:val="hr-HR"/>
              </w:rPr>
              <w:t>9</w:t>
            </w:r>
            <w:r w:rsidR="00BF47AA" w:rsidRPr="00510442">
              <w:rPr>
                <w:rFonts w:ascii="Times New Roman" w:hAnsi="Times New Roman"/>
                <w:color w:val="000000"/>
                <w:sz w:val="22"/>
                <w:szCs w:val="22"/>
                <w:lang w:val="hr-HR"/>
              </w:rPr>
              <w:t>/l</w:t>
            </w:r>
          </w:p>
          <w:p w14:paraId="1DDE0065" w14:textId="77777777" w:rsidR="008F1C56" w:rsidRPr="00510442" w:rsidRDefault="008F1C56" w:rsidP="00A74D02">
            <w:pPr>
              <w:pStyle w:val="Table"/>
              <w:keepNext w:val="0"/>
              <w:keepLines w:val="0"/>
              <w:widowControl w:val="0"/>
              <w:suppressLineNumbers/>
              <w:spacing w:before="0" w:after="0"/>
              <w:rPr>
                <w:rFonts w:ascii="Times New Roman" w:hAnsi="Times New Roman"/>
                <w:color w:val="000000"/>
                <w:sz w:val="22"/>
                <w:szCs w:val="22"/>
                <w:lang w:val="hr-HR"/>
              </w:rPr>
            </w:pPr>
          </w:p>
        </w:tc>
        <w:tc>
          <w:tcPr>
            <w:tcW w:w="4678" w:type="dxa"/>
          </w:tcPr>
          <w:p w14:paraId="68C1E992" w14:textId="77777777" w:rsidR="008F1C56" w:rsidRPr="00A00164" w:rsidRDefault="008A1B05" w:rsidP="007F1BD0">
            <w:pPr>
              <w:pStyle w:val="Table"/>
              <w:keepNext w:val="0"/>
              <w:tabs>
                <w:tab w:val="clear" w:pos="284"/>
              </w:tabs>
              <w:spacing w:before="0" w:after="0"/>
              <w:ind w:left="469" w:hanging="469"/>
              <w:rPr>
                <w:rFonts w:ascii="Times New Roman" w:hAnsi="Times New Roman"/>
                <w:color w:val="000000"/>
                <w:sz w:val="22"/>
                <w:szCs w:val="22"/>
                <w:lang w:val="hr-HR"/>
              </w:rPr>
            </w:pPr>
            <w:r w:rsidRPr="00510442">
              <w:rPr>
                <w:rFonts w:ascii="Times New Roman" w:hAnsi="Times New Roman"/>
                <w:color w:val="000000"/>
                <w:sz w:val="22"/>
                <w:szCs w:val="22"/>
                <w:lang w:val="hr-HR"/>
              </w:rPr>
              <w:t>1.</w:t>
            </w:r>
            <w:r w:rsidRPr="00510442">
              <w:rPr>
                <w:rFonts w:ascii="Times New Roman" w:hAnsi="Times New Roman"/>
                <w:color w:val="000000"/>
                <w:sz w:val="22"/>
                <w:szCs w:val="22"/>
                <w:lang w:val="hr-HR"/>
              </w:rPr>
              <w:tab/>
            </w:r>
            <w:r w:rsidR="008F726D" w:rsidRPr="00510442">
              <w:rPr>
                <w:rFonts w:ascii="Times New Roman" w:hAnsi="Times New Roman"/>
                <w:sz w:val="22"/>
                <w:szCs w:val="22"/>
                <w:lang w:val="hr-HR"/>
              </w:rPr>
              <w:t>Ukinuti Glivec sve dok A</w:t>
            </w:r>
            <w:r w:rsidR="0034145F" w:rsidRPr="00510442">
              <w:rPr>
                <w:rFonts w:ascii="Times New Roman" w:hAnsi="Times New Roman"/>
                <w:sz w:val="22"/>
                <w:szCs w:val="22"/>
                <w:lang w:val="hr-HR"/>
              </w:rPr>
              <w:t>B</w:t>
            </w:r>
            <w:r w:rsidR="008F726D" w:rsidRPr="00510442">
              <w:rPr>
                <w:rFonts w:ascii="Times New Roman" w:hAnsi="Times New Roman"/>
                <w:sz w:val="22"/>
                <w:szCs w:val="22"/>
                <w:lang w:val="hr-HR"/>
              </w:rPr>
              <w:t xml:space="preserve">N ne bude </w:t>
            </w:r>
            <w:r w:rsidR="008F1C56" w:rsidRPr="00307897">
              <w:rPr>
                <w:rFonts w:ascii="Times New Roman" w:hAnsi="Times New Roman"/>
                <w:color w:val="000000"/>
                <w:sz w:val="22"/>
                <w:szCs w:val="22"/>
                <w:lang w:val="hr-HR"/>
              </w:rPr>
              <w:sym w:font="Symbol" w:char="F0B3"/>
            </w:r>
            <w:r w:rsidR="008F1C56" w:rsidRPr="00307897">
              <w:rPr>
                <w:rFonts w:ascii="Times New Roman" w:hAnsi="Times New Roman"/>
                <w:color w:val="000000"/>
                <w:sz w:val="22"/>
                <w:szCs w:val="22"/>
                <w:lang w:val="hr-HR"/>
              </w:rPr>
              <w:t>1</w:t>
            </w:r>
            <w:r w:rsidR="008F726D" w:rsidRPr="00307897">
              <w:rPr>
                <w:rFonts w:ascii="Times New Roman" w:hAnsi="Times New Roman"/>
                <w:color w:val="000000"/>
                <w:sz w:val="22"/>
                <w:szCs w:val="22"/>
                <w:lang w:val="hr-HR"/>
              </w:rPr>
              <w:t>,</w:t>
            </w:r>
            <w:r w:rsidR="008F1C56" w:rsidRPr="00A00164">
              <w:rPr>
                <w:rFonts w:ascii="Times New Roman" w:hAnsi="Times New Roman"/>
                <w:color w:val="000000"/>
                <w:sz w:val="22"/>
                <w:szCs w:val="22"/>
                <w:lang w:val="hr-HR"/>
              </w:rPr>
              <w:t>5 x 10</w:t>
            </w:r>
            <w:r w:rsidR="008F1C56" w:rsidRPr="00973BDD">
              <w:rPr>
                <w:rFonts w:ascii="Times New Roman" w:hAnsi="Times New Roman"/>
                <w:color w:val="000000"/>
                <w:sz w:val="22"/>
                <w:szCs w:val="22"/>
                <w:vertAlign w:val="superscript"/>
                <w:lang w:val="hr-HR"/>
              </w:rPr>
              <w:t>9</w:t>
            </w:r>
            <w:r w:rsidR="008F1C56" w:rsidRPr="000B51EB">
              <w:rPr>
                <w:rFonts w:ascii="Times New Roman" w:hAnsi="Times New Roman"/>
                <w:color w:val="000000"/>
                <w:sz w:val="22"/>
                <w:szCs w:val="22"/>
                <w:lang w:val="hr-HR"/>
              </w:rPr>
              <w:t xml:space="preserve">/l </w:t>
            </w:r>
            <w:r w:rsidR="008F726D" w:rsidRPr="00510442">
              <w:rPr>
                <w:rFonts w:ascii="Times New Roman" w:hAnsi="Times New Roman"/>
                <w:color w:val="000000"/>
                <w:sz w:val="22"/>
                <w:szCs w:val="22"/>
                <w:lang w:val="hr-HR"/>
              </w:rPr>
              <w:t>i trom</w:t>
            </w:r>
            <w:r w:rsidR="002A3AC4" w:rsidRPr="00510442">
              <w:rPr>
                <w:rFonts w:ascii="Times New Roman" w:hAnsi="Times New Roman"/>
                <w:color w:val="000000"/>
                <w:sz w:val="22"/>
                <w:szCs w:val="22"/>
                <w:lang w:val="hr-HR"/>
              </w:rPr>
              <w:t>b</w:t>
            </w:r>
            <w:r w:rsidR="008F726D" w:rsidRPr="00510442">
              <w:rPr>
                <w:rFonts w:ascii="Times New Roman" w:hAnsi="Times New Roman"/>
                <w:color w:val="000000"/>
                <w:sz w:val="22"/>
                <w:szCs w:val="22"/>
                <w:lang w:val="hr-HR"/>
              </w:rPr>
              <w:t>ociti</w:t>
            </w:r>
            <w:r w:rsidR="008F1C56" w:rsidRPr="00510442">
              <w:rPr>
                <w:rFonts w:ascii="Times New Roman" w:hAnsi="Times New Roman"/>
                <w:color w:val="000000"/>
                <w:sz w:val="22"/>
                <w:szCs w:val="22"/>
                <w:lang w:val="hr-HR"/>
              </w:rPr>
              <w:t xml:space="preserve"> </w:t>
            </w:r>
            <w:r w:rsidR="008F1C56" w:rsidRPr="00307897">
              <w:rPr>
                <w:rFonts w:ascii="Times New Roman" w:hAnsi="Times New Roman"/>
                <w:color w:val="000000"/>
                <w:sz w:val="22"/>
                <w:szCs w:val="22"/>
                <w:lang w:val="hr-HR"/>
              </w:rPr>
              <w:sym w:font="Symbol" w:char="F0B3"/>
            </w:r>
            <w:r w:rsidR="008F1C56" w:rsidRPr="00307897">
              <w:rPr>
                <w:rFonts w:ascii="Times New Roman" w:hAnsi="Times New Roman"/>
                <w:color w:val="000000"/>
                <w:sz w:val="22"/>
                <w:szCs w:val="22"/>
                <w:lang w:val="hr-HR"/>
              </w:rPr>
              <w:t>75 x 10</w:t>
            </w:r>
            <w:r w:rsidR="008F1C56" w:rsidRPr="00307897">
              <w:rPr>
                <w:rFonts w:ascii="Times New Roman" w:hAnsi="Times New Roman"/>
                <w:color w:val="000000"/>
                <w:sz w:val="22"/>
                <w:szCs w:val="22"/>
                <w:vertAlign w:val="superscript"/>
                <w:lang w:val="hr-HR"/>
              </w:rPr>
              <w:t>9</w:t>
            </w:r>
            <w:r w:rsidR="008F1C56" w:rsidRPr="00A00164">
              <w:rPr>
                <w:rFonts w:ascii="Times New Roman" w:hAnsi="Times New Roman"/>
                <w:color w:val="000000"/>
                <w:sz w:val="22"/>
                <w:szCs w:val="22"/>
                <w:lang w:val="hr-HR"/>
              </w:rPr>
              <w:t>/l.</w:t>
            </w:r>
          </w:p>
          <w:p w14:paraId="722A7FCB" w14:textId="55253CBB" w:rsidR="008F1C56" w:rsidRPr="00510442" w:rsidRDefault="008A1B05" w:rsidP="00954FF7">
            <w:pPr>
              <w:pStyle w:val="Table"/>
              <w:keepNext w:val="0"/>
              <w:tabs>
                <w:tab w:val="clear" w:pos="284"/>
              </w:tabs>
              <w:spacing w:before="0" w:after="0"/>
              <w:ind w:left="469" w:hanging="469"/>
              <w:rPr>
                <w:rFonts w:ascii="Times New Roman" w:hAnsi="Times New Roman"/>
                <w:color w:val="000000"/>
                <w:sz w:val="22"/>
                <w:szCs w:val="22"/>
                <w:lang w:val="hr-HR"/>
              </w:rPr>
            </w:pPr>
            <w:r w:rsidRPr="00973BDD">
              <w:rPr>
                <w:rFonts w:ascii="Times New Roman" w:hAnsi="Times New Roman"/>
                <w:color w:val="000000"/>
                <w:sz w:val="22"/>
                <w:szCs w:val="22"/>
                <w:lang w:val="hr-HR"/>
              </w:rPr>
              <w:t>2.</w:t>
            </w:r>
            <w:r w:rsidRPr="00973BDD">
              <w:rPr>
                <w:rFonts w:ascii="Times New Roman" w:hAnsi="Times New Roman"/>
                <w:color w:val="000000"/>
                <w:sz w:val="22"/>
                <w:szCs w:val="22"/>
                <w:lang w:val="hr-HR"/>
              </w:rPr>
              <w:tab/>
            </w:r>
            <w:r w:rsidR="008F726D" w:rsidRPr="000B51EB">
              <w:rPr>
                <w:rFonts w:ascii="Times New Roman" w:hAnsi="Times New Roman"/>
                <w:sz w:val="22"/>
                <w:szCs w:val="22"/>
                <w:lang w:val="hr-HR"/>
              </w:rPr>
              <w:t xml:space="preserve">Ponovno uvesti liječenje </w:t>
            </w:r>
            <w:r w:rsidR="00951360" w:rsidRPr="00951360">
              <w:rPr>
                <w:rFonts w:ascii="Times New Roman" w:hAnsi="Times New Roman"/>
                <w:sz w:val="22"/>
                <w:szCs w:val="22"/>
                <w:lang w:val="hr-HR"/>
              </w:rPr>
              <w:t xml:space="preserve">lijekom </w:t>
            </w:r>
            <w:r w:rsidR="008F726D" w:rsidRPr="000B51EB">
              <w:rPr>
                <w:rFonts w:ascii="Times New Roman" w:hAnsi="Times New Roman"/>
                <w:sz w:val="22"/>
                <w:szCs w:val="22"/>
                <w:lang w:val="hr-HR"/>
              </w:rPr>
              <w:t>Glivec u prijašnjoj dozi (tj. prije teške nuspojave).</w:t>
            </w:r>
          </w:p>
          <w:p w14:paraId="63759551" w14:textId="1097C58D" w:rsidR="008F1C56" w:rsidRPr="00510442" w:rsidRDefault="008A1B05" w:rsidP="00512481">
            <w:pPr>
              <w:pStyle w:val="Table"/>
              <w:keepNext w:val="0"/>
              <w:tabs>
                <w:tab w:val="clear" w:pos="284"/>
              </w:tabs>
              <w:spacing w:before="0" w:after="0"/>
              <w:ind w:left="469" w:hanging="469"/>
              <w:rPr>
                <w:rFonts w:ascii="Times New Roman" w:hAnsi="Times New Roman"/>
                <w:color w:val="000000"/>
                <w:sz w:val="22"/>
                <w:szCs w:val="22"/>
                <w:lang w:val="hr-HR"/>
              </w:rPr>
            </w:pPr>
            <w:r w:rsidRPr="00510442">
              <w:rPr>
                <w:rFonts w:ascii="Times New Roman" w:hAnsi="Times New Roman"/>
                <w:color w:val="000000"/>
                <w:sz w:val="22"/>
                <w:szCs w:val="22"/>
                <w:lang w:val="hr-HR"/>
              </w:rPr>
              <w:t>3.</w:t>
            </w:r>
            <w:r w:rsidRPr="00510442">
              <w:rPr>
                <w:rFonts w:ascii="Times New Roman" w:hAnsi="Times New Roman"/>
                <w:color w:val="000000"/>
                <w:sz w:val="22"/>
                <w:szCs w:val="22"/>
                <w:lang w:val="hr-HR"/>
              </w:rPr>
              <w:tab/>
            </w:r>
            <w:r w:rsidR="008F726D" w:rsidRPr="00510442">
              <w:rPr>
                <w:rFonts w:ascii="Times New Roman" w:hAnsi="Times New Roman"/>
                <w:sz w:val="22"/>
                <w:szCs w:val="22"/>
                <w:lang w:val="hr-HR"/>
              </w:rPr>
              <w:t>U slučaju da je A</w:t>
            </w:r>
            <w:r w:rsidR="0034145F" w:rsidRPr="00510442">
              <w:rPr>
                <w:rFonts w:ascii="Times New Roman" w:hAnsi="Times New Roman"/>
                <w:sz w:val="22"/>
                <w:szCs w:val="22"/>
                <w:lang w:val="hr-HR"/>
              </w:rPr>
              <w:t>B</w:t>
            </w:r>
            <w:r w:rsidR="008F726D" w:rsidRPr="00510442">
              <w:rPr>
                <w:rFonts w:ascii="Times New Roman" w:hAnsi="Times New Roman"/>
                <w:sz w:val="22"/>
                <w:szCs w:val="22"/>
                <w:lang w:val="hr-HR"/>
              </w:rPr>
              <w:t xml:space="preserve">N ponovno </w:t>
            </w:r>
            <w:r w:rsidR="008F1C56" w:rsidRPr="00510442">
              <w:rPr>
                <w:rFonts w:ascii="Times New Roman" w:hAnsi="Times New Roman"/>
                <w:color w:val="000000"/>
                <w:sz w:val="22"/>
                <w:szCs w:val="22"/>
                <w:lang w:val="hr-HR"/>
              </w:rPr>
              <w:t>&lt;1</w:t>
            </w:r>
            <w:r w:rsidR="008F726D" w:rsidRPr="00510442">
              <w:rPr>
                <w:rFonts w:ascii="Times New Roman" w:hAnsi="Times New Roman"/>
                <w:color w:val="000000"/>
                <w:sz w:val="22"/>
                <w:szCs w:val="22"/>
                <w:lang w:val="hr-HR"/>
              </w:rPr>
              <w:t>,</w:t>
            </w:r>
            <w:r w:rsidR="008F1C56" w:rsidRPr="00510442">
              <w:rPr>
                <w:rFonts w:ascii="Times New Roman" w:hAnsi="Times New Roman"/>
                <w:color w:val="000000"/>
                <w:sz w:val="22"/>
                <w:szCs w:val="22"/>
                <w:lang w:val="hr-HR"/>
              </w:rPr>
              <w:t>0 x10</w:t>
            </w:r>
            <w:r w:rsidR="008F1C56" w:rsidRPr="00510442">
              <w:rPr>
                <w:rFonts w:ascii="Times New Roman" w:hAnsi="Times New Roman"/>
                <w:color w:val="000000"/>
                <w:sz w:val="22"/>
                <w:szCs w:val="22"/>
                <w:vertAlign w:val="superscript"/>
                <w:lang w:val="hr-HR"/>
              </w:rPr>
              <w:t>9</w:t>
            </w:r>
            <w:r w:rsidR="008F1C56" w:rsidRPr="00510442">
              <w:rPr>
                <w:rFonts w:ascii="Times New Roman" w:hAnsi="Times New Roman"/>
                <w:color w:val="000000"/>
                <w:sz w:val="22"/>
                <w:szCs w:val="22"/>
                <w:lang w:val="hr-HR"/>
              </w:rPr>
              <w:t xml:space="preserve">/l </w:t>
            </w:r>
            <w:r w:rsidR="008F726D" w:rsidRPr="00510442">
              <w:rPr>
                <w:rFonts w:ascii="Times New Roman" w:hAnsi="Times New Roman"/>
                <w:sz w:val="22"/>
                <w:szCs w:val="22"/>
                <w:lang w:val="hr-HR"/>
              </w:rPr>
              <w:t>i/ili trombociti</w:t>
            </w:r>
            <w:r w:rsidR="008F726D" w:rsidRPr="00510442">
              <w:rPr>
                <w:rFonts w:ascii="Times New Roman" w:hAnsi="Times New Roman"/>
                <w:color w:val="000000"/>
                <w:sz w:val="22"/>
                <w:szCs w:val="22"/>
                <w:lang w:val="hr-HR"/>
              </w:rPr>
              <w:t xml:space="preserve"> </w:t>
            </w:r>
            <w:r w:rsidR="008F1C56" w:rsidRPr="00510442">
              <w:rPr>
                <w:rFonts w:ascii="Times New Roman" w:hAnsi="Times New Roman"/>
                <w:color w:val="000000"/>
                <w:sz w:val="22"/>
                <w:szCs w:val="22"/>
                <w:lang w:val="hr-HR"/>
              </w:rPr>
              <w:t>&lt;50 x10</w:t>
            </w:r>
            <w:r w:rsidR="008F1C56" w:rsidRPr="00510442">
              <w:rPr>
                <w:rFonts w:ascii="Times New Roman" w:hAnsi="Times New Roman"/>
                <w:color w:val="000000"/>
                <w:sz w:val="22"/>
                <w:szCs w:val="22"/>
                <w:vertAlign w:val="superscript"/>
                <w:lang w:val="hr-HR"/>
              </w:rPr>
              <w:t>9</w:t>
            </w:r>
            <w:r w:rsidR="008F1C56" w:rsidRPr="00510442">
              <w:rPr>
                <w:rFonts w:ascii="Times New Roman" w:hAnsi="Times New Roman"/>
                <w:color w:val="000000"/>
                <w:sz w:val="22"/>
                <w:szCs w:val="22"/>
                <w:lang w:val="hr-HR"/>
              </w:rPr>
              <w:t xml:space="preserve">/l, </w:t>
            </w:r>
            <w:r w:rsidR="008F726D" w:rsidRPr="00510442">
              <w:rPr>
                <w:rFonts w:ascii="Times New Roman" w:hAnsi="Times New Roman"/>
                <w:sz w:val="22"/>
                <w:szCs w:val="22"/>
                <w:lang w:val="hr-HR"/>
              </w:rPr>
              <w:t xml:space="preserve">treba ponoviti 1. korak i nastaviti primjenu </w:t>
            </w:r>
            <w:r w:rsidR="00512481" w:rsidRPr="00512481">
              <w:rPr>
                <w:szCs w:val="22"/>
                <w:lang w:val="hr-HR"/>
              </w:rPr>
              <w:t xml:space="preserve">lijeka </w:t>
            </w:r>
            <w:r w:rsidR="008F726D" w:rsidRPr="00510442">
              <w:rPr>
                <w:rFonts w:ascii="Times New Roman" w:hAnsi="Times New Roman"/>
                <w:sz w:val="22"/>
                <w:szCs w:val="22"/>
                <w:lang w:val="hr-HR"/>
              </w:rPr>
              <w:t xml:space="preserve">Glivec u smanjenoj dozi od </w:t>
            </w:r>
            <w:r w:rsidR="008F1C56" w:rsidRPr="00510442">
              <w:rPr>
                <w:rFonts w:ascii="Times New Roman" w:hAnsi="Times New Roman"/>
                <w:color w:val="000000"/>
                <w:sz w:val="22"/>
                <w:szCs w:val="22"/>
                <w:lang w:val="hr-HR"/>
              </w:rPr>
              <w:t>260 mg/m</w:t>
            </w:r>
            <w:r w:rsidR="008F1C56" w:rsidRPr="00510442">
              <w:rPr>
                <w:rFonts w:ascii="Times New Roman" w:hAnsi="Times New Roman"/>
                <w:color w:val="000000"/>
                <w:sz w:val="22"/>
                <w:szCs w:val="22"/>
                <w:vertAlign w:val="superscript"/>
                <w:lang w:val="hr-HR"/>
              </w:rPr>
              <w:t>2</w:t>
            </w:r>
            <w:r w:rsidR="008F1C56" w:rsidRPr="00510442">
              <w:rPr>
                <w:rFonts w:ascii="Times New Roman" w:hAnsi="Times New Roman"/>
                <w:color w:val="000000"/>
                <w:sz w:val="22"/>
                <w:szCs w:val="22"/>
                <w:lang w:val="hr-HR"/>
              </w:rPr>
              <w:t>.</w:t>
            </w:r>
          </w:p>
        </w:tc>
      </w:tr>
      <w:tr w:rsidR="008F1C56" w:rsidRPr="00F410C8" w14:paraId="5E80FA65" w14:textId="77777777" w:rsidTr="00D44559">
        <w:trPr>
          <w:cantSplit/>
        </w:trPr>
        <w:tc>
          <w:tcPr>
            <w:tcW w:w="2376" w:type="dxa"/>
            <w:tcBorders>
              <w:bottom w:val="nil"/>
            </w:tcBorders>
          </w:tcPr>
          <w:p w14:paraId="3B595960" w14:textId="77777777" w:rsidR="008F1C56" w:rsidRPr="00510442" w:rsidRDefault="008F726D" w:rsidP="00B655F5">
            <w:pPr>
              <w:pStyle w:val="EndnoteText"/>
              <w:widowControl w:val="0"/>
              <w:tabs>
                <w:tab w:val="clear" w:pos="567"/>
              </w:tabs>
              <w:rPr>
                <w:color w:val="000000"/>
                <w:szCs w:val="22"/>
                <w:lang w:val="hr-HR"/>
              </w:rPr>
            </w:pPr>
            <w:r w:rsidRPr="00510442">
              <w:rPr>
                <w:szCs w:val="22"/>
                <w:lang w:val="hr-HR"/>
              </w:rPr>
              <w:t xml:space="preserve">Ubrzana faza </w:t>
            </w:r>
            <w:r w:rsidR="00B655F5" w:rsidRPr="00510442">
              <w:rPr>
                <w:szCs w:val="22"/>
                <w:lang w:val="hr-HR"/>
              </w:rPr>
              <w:t>K</w:t>
            </w:r>
            <w:r w:rsidRPr="00510442">
              <w:rPr>
                <w:szCs w:val="22"/>
                <w:lang w:val="hr-HR"/>
              </w:rPr>
              <w:t xml:space="preserve">ML-a i blastična kriza te Ph+ ALL (početna doza </w:t>
            </w:r>
            <w:r w:rsidR="008F1C56" w:rsidRPr="00510442">
              <w:rPr>
                <w:color w:val="000000"/>
                <w:szCs w:val="22"/>
                <w:lang w:val="hr-HR"/>
              </w:rPr>
              <w:t>600 mg)</w:t>
            </w:r>
          </w:p>
        </w:tc>
        <w:tc>
          <w:tcPr>
            <w:tcW w:w="2268" w:type="dxa"/>
            <w:tcBorders>
              <w:bottom w:val="nil"/>
            </w:tcBorders>
          </w:tcPr>
          <w:p w14:paraId="6DC67F94" w14:textId="77777777" w:rsidR="008F1C56" w:rsidRPr="00510442" w:rsidRDefault="008F1C56" w:rsidP="0091773C">
            <w:pPr>
              <w:pStyle w:val="Table"/>
              <w:keepNext w:val="0"/>
              <w:keepLines w:val="0"/>
              <w:widowControl w:val="0"/>
              <w:suppressLineNumbers/>
              <w:spacing w:before="0" w:after="0"/>
              <w:rPr>
                <w:rFonts w:ascii="Times New Roman" w:hAnsi="Times New Roman"/>
                <w:color w:val="000000"/>
                <w:sz w:val="22"/>
                <w:szCs w:val="22"/>
                <w:lang w:val="hr-HR"/>
              </w:rPr>
            </w:pPr>
            <w:r w:rsidRPr="00510442">
              <w:rPr>
                <w:rFonts w:ascii="Times New Roman" w:hAnsi="Times New Roman"/>
                <w:color w:val="000000"/>
                <w:sz w:val="22"/>
                <w:szCs w:val="22"/>
                <w:vertAlign w:val="superscript"/>
                <w:lang w:val="hr-HR"/>
              </w:rPr>
              <w:t>a</w:t>
            </w:r>
            <w:r w:rsidRPr="00510442">
              <w:rPr>
                <w:rFonts w:ascii="Times New Roman" w:hAnsi="Times New Roman"/>
                <w:color w:val="000000"/>
                <w:sz w:val="22"/>
                <w:szCs w:val="22"/>
                <w:lang w:val="hr-HR"/>
              </w:rPr>
              <w:t>A</w:t>
            </w:r>
            <w:r w:rsidR="00347055" w:rsidRPr="00510442">
              <w:rPr>
                <w:rFonts w:ascii="Times New Roman" w:hAnsi="Times New Roman"/>
                <w:color w:val="000000"/>
                <w:sz w:val="22"/>
                <w:szCs w:val="22"/>
                <w:lang w:val="hr-HR"/>
              </w:rPr>
              <w:t>B</w:t>
            </w:r>
            <w:r w:rsidRPr="00510442">
              <w:rPr>
                <w:rFonts w:ascii="Times New Roman" w:hAnsi="Times New Roman"/>
                <w:color w:val="000000"/>
                <w:sz w:val="22"/>
                <w:szCs w:val="22"/>
                <w:lang w:val="hr-HR"/>
              </w:rPr>
              <w:t>N &lt;0</w:t>
            </w:r>
            <w:r w:rsidR="008F726D" w:rsidRPr="00510442">
              <w:rPr>
                <w:rFonts w:ascii="Times New Roman" w:hAnsi="Times New Roman"/>
                <w:color w:val="000000"/>
                <w:sz w:val="22"/>
                <w:szCs w:val="22"/>
                <w:lang w:val="hr-HR"/>
              </w:rPr>
              <w:t>,</w:t>
            </w:r>
            <w:r w:rsidRPr="00510442">
              <w:rPr>
                <w:rFonts w:ascii="Times New Roman" w:hAnsi="Times New Roman"/>
                <w:color w:val="000000"/>
                <w:sz w:val="22"/>
                <w:szCs w:val="22"/>
                <w:lang w:val="hr-HR"/>
              </w:rPr>
              <w:t>5 x 10</w:t>
            </w:r>
            <w:r w:rsidRPr="00510442">
              <w:rPr>
                <w:rFonts w:ascii="Times New Roman" w:hAnsi="Times New Roman"/>
                <w:color w:val="000000"/>
                <w:sz w:val="22"/>
                <w:szCs w:val="22"/>
                <w:vertAlign w:val="superscript"/>
                <w:lang w:val="hr-HR"/>
              </w:rPr>
              <w:t>9</w:t>
            </w:r>
            <w:r w:rsidRPr="00510442">
              <w:rPr>
                <w:rFonts w:ascii="Times New Roman" w:hAnsi="Times New Roman"/>
                <w:color w:val="000000"/>
                <w:sz w:val="22"/>
                <w:szCs w:val="22"/>
                <w:lang w:val="hr-HR"/>
              </w:rPr>
              <w:t>/l</w:t>
            </w:r>
          </w:p>
          <w:p w14:paraId="73194A72" w14:textId="77777777" w:rsidR="008F1C56" w:rsidRPr="00510442" w:rsidRDefault="008F726D" w:rsidP="00422F71">
            <w:pPr>
              <w:pStyle w:val="Table"/>
              <w:keepNext w:val="0"/>
              <w:keepLines w:val="0"/>
              <w:widowControl w:val="0"/>
              <w:suppressLineNumbers/>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i/ili</w:t>
            </w:r>
          </w:p>
          <w:p w14:paraId="2C49F705" w14:textId="77777777" w:rsidR="008F1C56" w:rsidRPr="00510442" w:rsidRDefault="008F726D" w:rsidP="00422F71">
            <w:pPr>
              <w:pStyle w:val="EndnoteText"/>
              <w:widowControl w:val="0"/>
              <w:tabs>
                <w:tab w:val="clear" w:pos="567"/>
              </w:tabs>
              <w:rPr>
                <w:color w:val="000000"/>
                <w:szCs w:val="22"/>
                <w:lang w:val="hr-HR"/>
              </w:rPr>
            </w:pPr>
            <w:r w:rsidRPr="00510442">
              <w:rPr>
                <w:color w:val="000000"/>
                <w:szCs w:val="22"/>
                <w:lang w:val="hr-HR"/>
              </w:rPr>
              <w:t>trombociti</w:t>
            </w:r>
            <w:r w:rsidR="008F1C56" w:rsidRPr="00510442">
              <w:rPr>
                <w:color w:val="000000"/>
                <w:szCs w:val="22"/>
                <w:lang w:val="hr-HR"/>
              </w:rPr>
              <w:t xml:space="preserve"> &lt;10 x 10</w:t>
            </w:r>
            <w:r w:rsidR="008F1C56" w:rsidRPr="00510442">
              <w:rPr>
                <w:color w:val="000000"/>
                <w:szCs w:val="22"/>
                <w:vertAlign w:val="superscript"/>
                <w:lang w:val="hr-HR"/>
              </w:rPr>
              <w:t>9</w:t>
            </w:r>
            <w:r w:rsidR="008F1C56" w:rsidRPr="00510442">
              <w:rPr>
                <w:color w:val="000000"/>
                <w:szCs w:val="22"/>
                <w:lang w:val="hr-HR"/>
              </w:rPr>
              <w:t>/l</w:t>
            </w:r>
          </w:p>
        </w:tc>
        <w:tc>
          <w:tcPr>
            <w:tcW w:w="4678" w:type="dxa"/>
            <w:tcBorders>
              <w:bottom w:val="nil"/>
            </w:tcBorders>
          </w:tcPr>
          <w:p w14:paraId="2C963B2E" w14:textId="77777777" w:rsidR="008F1C56" w:rsidRPr="00510442" w:rsidRDefault="008A1B05" w:rsidP="003F35A0">
            <w:pPr>
              <w:pStyle w:val="Table"/>
              <w:keepNext w:val="0"/>
              <w:keepLines w:val="0"/>
              <w:widowControl w:val="0"/>
              <w:suppressLineNumbers/>
              <w:tabs>
                <w:tab w:val="clear" w:pos="284"/>
              </w:tabs>
              <w:spacing w:before="0" w:after="0"/>
              <w:ind w:left="469" w:right="-108" w:hanging="469"/>
              <w:rPr>
                <w:rFonts w:ascii="Times New Roman" w:hAnsi="Times New Roman"/>
                <w:color w:val="000000"/>
                <w:sz w:val="22"/>
                <w:szCs w:val="22"/>
                <w:lang w:val="hr-HR"/>
              </w:rPr>
            </w:pPr>
            <w:r w:rsidRPr="00510442">
              <w:rPr>
                <w:rFonts w:ascii="Times New Roman" w:hAnsi="Times New Roman"/>
                <w:color w:val="000000"/>
                <w:sz w:val="22"/>
                <w:szCs w:val="22"/>
                <w:lang w:val="hr-HR"/>
              </w:rPr>
              <w:t>1.</w:t>
            </w:r>
            <w:r w:rsidRPr="00510442">
              <w:rPr>
                <w:rFonts w:ascii="Times New Roman" w:hAnsi="Times New Roman"/>
                <w:color w:val="000000"/>
                <w:sz w:val="22"/>
                <w:szCs w:val="22"/>
                <w:lang w:val="hr-HR"/>
              </w:rPr>
              <w:tab/>
            </w:r>
            <w:r w:rsidR="008F726D" w:rsidRPr="00510442">
              <w:rPr>
                <w:rFonts w:ascii="Times New Roman" w:hAnsi="Times New Roman"/>
                <w:sz w:val="22"/>
                <w:szCs w:val="22"/>
                <w:lang w:val="hr-HR"/>
              </w:rPr>
              <w:t>Provjeriti je li citopenija povezana s leukemijom (aspirat ili biopsija koštane srži)</w:t>
            </w:r>
            <w:r w:rsidR="008F1C56" w:rsidRPr="00510442">
              <w:rPr>
                <w:rFonts w:ascii="Times New Roman" w:hAnsi="Times New Roman"/>
                <w:color w:val="000000"/>
                <w:sz w:val="22"/>
                <w:szCs w:val="22"/>
                <w:lang w:val="hr-HR"/>
              </w:rPr>
              <w:t>.</w:t>
            </w:r>
          </w:p>
          <w:p w14:paraId="1A692EAD" w14:textId="2982701D" w:rsidR="008F1C56" w:rsidRPr="00510442" w:rsidRDefault="008A1B05" w:rsidP="007F1BD0">
            <w:pPr>
              <w:pStyle w:val="Table"/>
              <w:keepNext w:val="0"/>
              <w:keepLines w:val="0"/>
              <w:widowControl w:val="0"/>
              <w:suppressLineNumbers/>
              <w:tabs>
                <w:tab w:val="clear" w:pos="284"/>
              </w:tabs>
              <w:spacing w:before="0" w:after="0"/>
              <w:ind w:left="469" w:hanging="469"/>
              <w:rPr>
                <w:rFonts w:ascii="Times New Roman" w:hAnsi="Times New Roman"/>
                <w:color w:val="000000"/>
                <w:sz w:val="22"/>
                <w:szCs w:val="22"/>
                <w:lang w:val="hr-HR"/>
              </w:rPr>
            </w:pPr>
            <w:r w:rsidRPr="00510442">
              <w:rPr>
                <w:rFonts w:ascii="Times New Roman" w:hAnsi="Times New Roman"/>
                <w:color w:val="000000"/>
                <w:sz w:val="22"/>
                <w:szCs w:val="22"/>
                <w:lang w:val="hr-HR"/>
              </w:rPr>
              <w:t>2.</w:t>
            </w:r>
            <w:r w:rsidRPr="00510442">
              <w:rPr>
                <w:rFonts w:ascii="Times New Roman" w:hAnsi="Times New Roman"/>
                <w:color w:val="000000"/>
                <w:sz w:val="22"/>
                <w:szCs w:val="22"/>
                <w:lang w:val="hr-HR"/>
              </w:rPr>
              <w:tab/>
            </w:r>
            <w:r w:rsidR="008F726D" w:rsidRPr="00510442">
              <w:rPr>
                <w:rFonts w:ascii="Times New Roman" w:hAnsi="Times New Roman"/>
                <w:sz w:val="22"/>
                <w:szCs w:val="22"/>
                <w:lang w:val="hr-HR"/>
              </w:rPr>
              <w:t xml:space="preserve">Ako citopenija nije povezana s leukemijom, dozu </w:t>
            </w:r>
            <w:r w:rsidR="00512481" w:rsidRPr="00512481">
              <w:rPr>
                <w:rFonts w:ascii="Times New Roman" w:hAnsi="Times New Roman"/>
                <w:sz w:val="22"/>
                <w:szCs w:val="22"/>
                <w:lang w:val="hr-HR"/>
              </w:rPr>
              <w:t xml:space="preserve">lijeka </w:t>
            </w:r>
            <w:r w:rsidR="008F726D" w:rsidRPr="00510442">
              <w:rPr>
                <w:rFonts w:ascii="Times New Roman" w:hAnsi="Times New Roman"/>
                <w:sz w:val="22"/>
                <w:szCs w:val="22"/>
                <w:lang w:val="hr-HR"/>
              </w:rPr>
              <w:t xml:space="preserve">Glivec treba smanjiti na </w:t>
            </w:r>
            <w:r w:rsidR="008F1C56" w:rsidRPr="00510442">
              <w:rPr>
                <w:rFonts w:ascii="Times New Roman" w:hAnsi="Times New Roman"/>
                <w:color w:val="000000"/>
                <w:sz w:val="22"/>
                <w:szCs w:val="22"/>
                <w:lang w:val="hr-HR"/>
              </w:rPr>
              <w:t>400 mg.</w:t>
            </w:r>
          </w:p>
          <w:p w14:paraId="503069F4" w14:textId="77777777" w:rsidR="008F1C56" w:rsidRPr="00510442" w:rsidRDefault="008A1B05" w:rsidP="00954FF7">
            <w:pPr>
              <w:pStyle w:val="Table"/>
              <w:keepNext w:val="0"/>
              <w:keepLines w:val="0"/>
              <w:widowControl w:val="0"/>
              <w:suppressLineNumbers/>
              <w:tabs>
                <w:tab w:val="clear" w:pos="284"/>
              </w:tabs>
              <w:spacing w:before="0" w:after="0"/>
              <w:ind w:left="469" w:hanging="469"/>
              <w:rPr>
                <w:rFonts w:ascii="Times New Roman" w:hAnsi="Times New Roman"/>
                <w:color w:val="000000"/>
                <w:sz w:val="22"/>
                <w:szCs w:val="22"/>
                <w:lang w:val="hr-HR"/>
              </w:rPr>
            </w:pPr>
            <w:r w:rsidRPr="00510442">
              <w:rPr>
                <w:rFonts w:ascii="Times New Roman" w:hAnsi="Times New Roman"/>
                <w:color w:val="000000"/>
                <w:sz w:val="22"/>
                <w:szCs w:val="22"/>
                <w:lang w:val="hr-HR"/>
              </w:rPr>
              <w:t>3.</w:t>
            </w:r>
            <w:r w:rsidRPr="00510442">
              <w:rPr>
                <w:rFonts w:ascii="Times New Roman" w:hAnsi="Times New Roman"/>
                <w:color w:val="000000"/>
                <w:sz w:val="22"/>
                <w:szCs w:val="22"/>
                <w:lang w:val="hr-HR"/>
              </w:rPr>
              <w:tab/>
            </w:r>
            <w:r w:rsidR="008F726D" w:rsidRPr="00510442">
              <w:rPr>
                <w:rFonts w:ascii="Times New Roman" w:hAnsi="Times New Roman"/>
                <w:sz w:val="22"/>
                <w:szCs w:val="22"/>
                <w:lang w:val="hr-HR"/>
              </w:rPr>
              <w:t>Ako citopenija ustraje 2</w:t>
            </w:r>
            <w:r w:rsidR="001F2868" w:rsidRPr="00510442">
              <w:rPr>
                <w:rFonts w:ascii="Times New Roman" w:hAnsi="Times New Roman"/>
                <w:color w:val="000000"/>
                <w:sz w:val="22"/>
                <w:szCs w:val="22"/>
                <w:lang w:val="hr-HR"/>
              </w:rPr>
              <w:t> </w:t>
            </w:r>
            <w:r w:rsidR="008F726D" w:rsidRPr="00510442">
              <w:rPr>
                <w:rFonts w:ascii="Times New Roman" w:hAnsi="Times New Roman"/>
                <w:sz w:val="22"/>
                <w:szCs w:val="22"/>
                <w:lang w:val="hr-HR"/>
              </w:rPr>
              <w:t xml:space="preserve">tjedna, dozu ponovno smanjiti na </w:t>
            </w:r>
            <w:r w:rsidR="008F1C56" w:rsidRPr="00510442">
              <w:rPr>
                <w:rFonts w:ascii="Times New Roman" w:hAnsi="Times New Roman"/>
                <w:color w:val="000000"/>
                <w:sz w:val="22"/>
                <w:szCs w:val="22"/>
                <w:lang w:val="hr-HR"/>
              </w:rPr>
              <w:t>300 mg.</w:t>
            </w:r>
          </w:p>
          <w:p w14:paraId="6C5D9DF0" w14:textId="0C13E3BA" w:rsidR="008F1C56" w:rsidRPr="00510442" w:rsidRDefault="008A1B05" w:rsidP="00512481">
            <w:pPr>
              <w:pStyle w:val="EndnoteText"/>
              <w:widowControl w:val="0"/>
              <w:tabs>
                <w:tab w:val="clear" w:pos="567"/>
              </w:tabs>
              <w:ind w:left="469" w:hanging="469"/>
              <w:rPr>
                <w:color w:val="000000"/>
                <w:szCs w:val="22"/>
                <w:lang w:val="hr-HR"/>
              </w:rPr>
            </w:pPr>
            <w:r w:rsidRPr="00510442">
              <w:rPr>
                <w:color w:val="000000"/>
                <w:szCs w:val="22"/>
                <w:lang w:val="hr-HR"/>
              </w:rPr>
              <w:t>4.</w:t>
            </w:r>
            <w:r w:rsidRPr="00510442">
              <w:rPr>
                <w:color w:val="000000"/>
                <w:szCs w:val="22"/>
                <w:lang w:val="hr-HR"/>
              </w:rPr>
              <w:tab/>
            </w:r>
            <w:r w:rsidR="001F2868" w:rsidRPr="00510442">
              <w:rPr>
                <w:szCs w:val="22"/>
                <w:lang w:val="hr-HR"/>
              </w:rPr>
              <w:t xml:space="preserve">Ako citopenija ustraje </w:t>
            </w:r>
            <w:r w:rsidR="008F1C56" w:rsidRPr="00510442">
              <w:rPr>
                <w:color w:val="000000"/>
                <w:szCs w:val="22"/>
                <w:lang w:val="hr-HR"/>
              </w:rPr>
              <w:t>4 </w:t>
            </w:r>
            <w:r w:rsidR="008D40D2" w:rsidRPr="00510442">
              <w:rPr>
                <w:color w:val="000000"/>
                <w:szCs w:val="22"/>
                <w:lang w:val="hr-HR"/>
              </w:rPr>
              <w:t>tjedna</w:t>
            </w:r>
            <w:r w:rsidR="001F2868" w:rsidRPr="00510442">
              <w:rPr>
                <w:szCs w:val="22"/>
                <w:lang w:val="hr-HR"/>
              </w:rPr>
              <w:t xml:space="preserve"> i još uvijek nije povezana s leukemijom, prekinuti primjenu </w:t>
            </w:r>
            <w:r w:rsidR="00512481" w:rsidRPr="00512481">
              <w:rPr>
                <w:szCs w:val="22"/>
                <w:lang w:val="hr-HR"/>
              </w:rPr>
              <w:t xml:space="preserve">lijeka </w:t>
            </w:r>
            <w:r w:rsidR="001F2868" w:rsidRPr="00510442">
              <w:rPr>
                <w:szCs w:val="22"/>
                <w:lang w:val="hr-HR"/>
              </w:rPr>
              <w:t>Glivec sve dok A</w:t>
            </w:r>
            <w:r w:rsidR="0034145F" w:rsidRPr="00510442">
              <w:rPr>
                <w:szCs w:val="22"/>
                <w:lang w:val="hr-HR"/>
              </w:rPr>
              <w:t>B</w:t>
            </w:r>
            <w:r w:rsidR="001F2868" w:rsidRPr="00510442">
              <w:rPr>
                <w:szCs w:val="22"/>
                <w:lang w:val="hr-HR"/>
              </w:rPr>
              <w:t>N ne bude</w:t>
            </w:r>
            <w:r w:rsidR="008F1C56" w:rsidRPr="00510442">
              <w:rPr>
                <w:color w:val="000000"/>
                <w:szCs w:val="22"/>
                <w:lang w:val="hr-HR"/>
              </w:rPr>
              <w:t xml:space="preserve"> </w:t>
            </w:r>
            <w:r w:rsidR="008F1C56" w:rsidRPr="00307897">
              <w:rPr>
                <w:color w:val="000000"/>
                <w:szCs w:val="22"/>
                <w:lang w:val="hr-HR"/>
              </w:rPr>
              <w:sym w:font="Symbol" w:char="F0B3"/>
            </w:r>
            <w:r w:rsidR="008F1C56" w:rsidRPr="00307897">
              <w:rPr>
                <w:color w:val="000000"/>
                <w:szCs w:val="22"/>
                <w:lang w:val="hr-HR"/>
              </w:rPr>
              <w:t>1 x 10</w:t>
            </w:r>
            <w:r w:rsidR="008F1C56" w:rsidRPr="00A00164">
              <w:rPr>
                <w:color w:val="000000"/>
                <w:szCs w:val="22"/>
                <w:vertAlign w:val="superscript"/>
                <w:lang w:val="hr-HR"/>
              </w:rPr>
              <w:t>9</w:t>
            </w:r>
            <w:r w:rsidR="008F1C56" w:rsidRPr="00973BDD">
              <w:rPr>
                <w:color w:val="000000"/>
                <w:szCs w:val="22"/>
                <w:lang w:val="hr-HR"/>
              </w:rPr>
              <w:t xml:space="preserve">/l </w:t>
            </w:r>
            <w:r w:rsidR="001F2868" w:rsidRPr="000B51EB">
              <w:rPr>
                <w:color w:val="000000"/>
                <w:szCs w:val="22"/>
                <w:lang w:val="hr-HR"/>
              </w:rPr>
              <w:t xml:space="preserve">i </w:t>
            </w:r>
            <w:r w:rsidR="001F2868" w:rsidRPr="00510442">
              <w:rPr>
                <w:szCs w:val="22"/>
                <w:lang w:val="hr-HR"/>
              </w:rPr>
              <w:t>trombociti</w:t>
            </w:r>
            <w:r w:rsidR="008F1C56" w:rsidRPr="00510442">
              <w:rPr>
                <w:color w:val="000000"/>
                <w:szCs w:val="22"/>
                <w:lang w:val="hr-HR"/>
              </w:rPr>
              <w:t xml:space="preserve"> </w:t>
            </w:r>
            <w:r w:rsidR="008F1C56" w:rsidRPr="00307897">
              <w:rPr>
                <w:color w:val="000000"/>
                <w:szCs w:val="22"/>
                <w:lang w:val="hr-HR"/>
              </w:rPr>
              <w:sym w:font="Symbol" w:char="F0B3"/>
            </w:r>
            <w:r w:rsidR="008F1C56" w:rsidRPr="00307897">
              <w:rPr>
                <w:color w:val="000000"/>
                <w:szCs w:val="22"/>
                <w:lang w:val="hr-HR"/>
              </w:rPr>
              <w:t>20 x 10</w:t>
            </w:r>
            <w:r w:rsidR="008F1C56" w:rsidRPr="00307897">
              <w:rPr>
                <w:color w:val="000000"/>
                <w:szCs w:val="22"/>
                <w:vertAlign w:val="superscript"/>
                <w:lang w:val="hr-HR"/>
              </w:rPr>
              <w:t>9</w:t>
            </w:r>
            <w:r w:rsidR="008F1C56" w:rsidRPr="00A00164">
              <w:rPr>
                <w:color w:val="000000"/>
                <w:szCs w:val="22"/>
                <w:lang w:val="hr-HR"/>
              </w:rPr>
              <w:t xml:space="preserve">/l, </w:t>
            </w:r>
            <w:r w:rsidR="001F2868" w:rsidRPr="00973BDD">
              <w:rPr>
                <w:szCs w:val="22"/>
                <w:lang w:val="hr-HR"/>
              </w:rPr>
              <w:t>nakon toga nastaviti liječenje u dozi od</w:t>
            </w:r>
            <w:r w:rsidR="001F2868" w:rsidRPr="000B51EB">
              <w:rPr>
                <w:color w:val="000000"/>
                <w:szCs w:val="22"/>
                <w:lang w:val="hr-HR"/>
              </w:rPr>
              <w:t xml:space="preserve"> </w:t>
            </w:r>
            <w:r w:rsidR="008F1C56" w:rsidRPr="00510442">
              <w:rPr>
                <w:color w:val="000000"/>
                <w:szCs w:val="22"/>
                <w:lang w:val="hr-HR"/>
              </w:rPr>
              <w:t>300 mg.</w:t>
            </w:r>
          </w:p>
        </w:tc>
      </w:tr>
      <w:tr w:rsidR="008F1C56" w:rsidRPr="00F410C8" w14:paraId="6252C523" w14:textId="77777777" w:rsidTr="00D44559">
        <w:trPr>
          <w:cantSplit/>
        </w:trPr>
        <w:tc>
          <w:tcPr>
            <w:tcW w:w="2376" w:type="dxa"/>
            <w:tcBorders>
              <w:bottom w:val="nil"/>
            </w:tcBorders>
          </w:tcPr>
          <w:p w14:paraId="1512D86D" w14:textId="77777777" w:rsidR="008F1C56" w:rsidRPr="00510442" w:rsidRDefault="00BE550B" w:rsidP="00B655F5">
            <w:pPr>
              <w:pStyle w:val="EndnoteText"/>
              <w:widowControl w:val="0"/>
              <w:tabs>
                <w:tab w:val="clear" w:pos="567"/>
              </w:tabs>
              <w:rPr>
                <w:color w:val="000000"/>
                <w:szCs w:val="22"/>
                <w:lang w:val="hr-HR"/>
              </w:rPr>
            </w:pPr>
            <w:r w:rsidRPr="00510442">
              <w:rPr>
                <w:szCs w:val="22"/>
                <w:lang w:val="hr-HR"/>
              </w:rPr>
              <w:lastRenderedPageBreak/>
              <w:t xml:space="preserve">Pedijatrijska ubrzana faza </w:t>
            </w:r>
            <w:r w:rsidR="00B655F5" w:rsidRPr="00510442">
              <w:rPr>
                <w:szCs w:val="22"/>
                <w:lang w:val="hr-HR"/>
              </w:rPr>
              <w:t>K</w:t>
            </w:r>
            <w:r w:rsidRPr="00510442">
              <w:rPr>
                <w:szCs w:val="22"/>
                <w:lang w:val="hr-HR"/>
              </w:rPr>
              <w:t xml:space="preserve">ML-a i blastična kriza (početna doza </w:t>
            </w:r>
            <w:r w:rsidR="008F1C56" w:rsidRPr="00510442">
              <w:rPr>
                <w:color w:val="000000"/>
                <w:szCs w:val="22"/>
                <w:lang w:val="hr-HR"/>
              </w:rPr>
              <w:t>340 mg/m</w:t>
            </w:r>
            <w:r w:rsidR="008F1C56" w:rsidRPr="00510442">
              <w:rPr>
                <w:color w:val="000000"/>
                <w:szCs w:val="22"/>
                <w:vertAlign w:val="superscript"/>
                <w:lang w:val="hr-HR"/>
              </w:rPr>
              <w:t>2</w:t>
            </w:r>
            <w:r w:rsidR="008F1C56" w:rsidRPr="00510442">
              <w:rPr>
                <w:color w:val="000000"/>
                <w:szCs w:val="22"/>
                <w:lang w:val="hr-HR"/>
              </w:rPr>
              <w:t>)</w:t>
            </w:r>
          </w:p>
        </w:tc>
        <w:tc>
          <w:tcPr>
            <w:tcW w:w="2268" w:type="dxa"/>
            <w:tcBorders>
              <w:bottom w:val="nil"/>
            </w:tcBorders>
          </w:tcPr>
          <w:p w14:paraId="0F057803" w14:textId="77777777" w:rsidR="008F1C56" w:rsidRPr="00510442" w:rsidRDefault="008F1C56" w:rsidP="0091773C">
            <w:pPr>
              <w:pStyle w:val="Table"/>
              <w:keepNext w:val="0"/>
              <w:keepLines w:val="0"/>
              <w:widowControl w:val="0"/>
              <w:suppressLineNumbers/>
              <w:spacing w:before="0" w:after="0"/>
              <w:rPr>
                <w:rFonts w:ascii="Times New Roman" w:hAnsi="Times New Roman"/>
                <w:color w:val="000000"/>
                <w:sz w:val="22"/>
                <w:szCs w:val="22"/>
                <w:lang w:val="hr-HR"/>
              </w:rPr>
            </w:pPr>
            <w:r w:rsidRPr="00510442">
              <w:rPr>
                <w:rFonts w:ascii="Times New Roman" w:hAnsi="Times New Roman"/>
                <w:color w:val="000000"/>
                <w:sz w:val="22"/>
                <w:szCs w:val="22"/>
                <w:vertAlign w:val="superscript"/>
                <w:lang w:val="hr-HR"/>
              </w:rPr>
              <w:t>a</w:t>
            </w:r>
            <w:r w:rsidRPr="00510442">
              <w:rPr>
                <w:rFonts w:ascii="Times New Roman" w:hAnsi="Times New Roman"/>
                <w:color w:val="000000"/>
                <w:sz w:val="22"/>
                <w:szCs w:val="22"/>
                <w:lang w:val="hr-HR"/>
              </w:rPr>
              <w:t>A</w:t>
            </w:r>
            <w:r w:rsidR="00347055" w:rsidRPr="00510442">
              <w:rPr>
                <w:rFonts w:ascii="Times New Roman" w:hAnsi="Times New Roman"/>
                <w:color w:val="000000"/>
                <w:sz w:val="22"/>
                <w:szCs w:val="22"/>
                <w:lang w:val="hr-HR"/>
              </w:rPr>
              <w:t>B</w:t>
            </w:r>
            <w:r w:rsidRPr="00510442">
              <w:rPr>
                <w:rFonts w:ascii="Times New Roman" w:hAnsi="Times New Roman"/>
                <w:color w:val="000000"/>
                <w:sz w:val="22"/>
                <w:szCs w:val="22"/>
                <w:lang w:val="hr-HR"/>
              </w:rPr>
              <w:t>N &lt;0</w:t>
            </w:r>
            <w:r w:rsidR="00BE550B" w:rsidRPr="00510442">
              <w:rPr>
                <w:rFonts w:ascii="Times New Roman" w:hAnsi="Times New Roman"/>
                <w:color w:val="000000"/>
                <w:sz w:val="22"/>
                <w:szCs w:val="22"/>
                <w:lang w:val="hr-HR"/>
              </w:rPr>
              <w:t>,</w:t>
            </w:r>
            <w:r w:rsidRPr="00510442">
              <w:rPr>
                <w:rFonts w:ascii="Times New Roman" w:hAnsi="Times New Roman"/>
                <w:color w:val="000000"/>
                <w:sz w:val="22"/>
                <w:szCs w:val="22"/>
                <w:lang w:val="hr-HR"/>
              </w:rPr>
              <w:t>5 x 10</w:t>
            </w:r>
            <w:r w:rsidRPr="00510442">
              <w:rPr>
                <w:rFonts w:ascii="Times New Roman" w:hAnsi="Times New Roman"/>
                <w:color w:val="000000"/>
                <w:sz w:val="22"/>
                <w:szCs w:val="22"/>
                <w:vertAlign w:val="superscript"/>
                <w:lang w:val="hr-HR"/>
              </w:rPr>
              <w:t>9</w:t>
            </w:r>
            <w:r w:rsidRPr="00510442">
              <w:rPr>
                <w:rFonts w:ascii="Times New Roman" w:hAnsi="Times New Roman"/>
                <w:color w:val="000000"/>
                <w:sz w:val="22"/>
                <w:szCs w:val="22"/>
                <w:lang w:val="hr-HR"/>
              </w:rPr>
              <w:t>/l</w:t>
            </w:r>
          </w:p>
          <w:p w14:paraId="5FD9B739" w14:textId="77777777" w:rsidR="008F1C56" w:rsidRPr="00510442" w:rsidRDefault="00BE550B" w:rsidP="00422F71">
            <w:pPr>
              <w:pStyle w:val="Table"/>
              <w:keepNext w:val="0"/>
              <w:keepLines w:val="0"/>
              <w:widowControl w:val="0"/>
              <w:suppressLineNumbers/>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i/ili</w:t>
            </w:r>
          </w:p>
          <w:p w14:paraId="3E56DF06" w14:textId="77777777" w:rsidR="008F1C56" w:rsidRPr="00510442" w:rsidDel="000659A8" w:rsidRDefault="00BE550B" w:rsidP="00422F71">
            <w:pPr>
              <w:pStyle w:val="Table"/>
              <w:keepNext w:val="0"/>
              <w:keepLines w:val="0"/>
              <w:widowControl w:val="0"/>
              <w:suppressLineNumbers/>
              <w:spacing w:before="0" w:after="0"/>
              <w:rPr>
                <w:rFonts w:ascii="Times New Roman" w:hAnsi="Times New Roman"/>
                <w:color w:val="000000"/>
                <w:sz w:val="22"/>
                <w:szCs w:val="22"/>
                <w:vertAlign w:val="superscript"/>
                <w:lang w:val="hr-HR"/>
              </w:rPr>
            </w:pPr>
            <w:r w:rsidRPr="00510442">
              <w:rPr>
                <w:rFonts w:ascii="Times New Roman" w:hAnsi="Times New Roman"/>
                <w:color w:val="000000"/>
                <w:sz w:val="22"/>
                <w:szCs w:val="22"/>
                <w:lang w:val="hr-HR"/>
              </w:rPr>
              <w:t>trombociti</w:t>
            </w:r>
            <w:r w:rsidR="008F1C56" w:rsidRPr="00510442">
              <w:rPr>
                <w:rFonts w:ascii="Times New Roman" w:hAnsi="Times New Roman"/>
                <w:color w:val="000000"/>
                <w:sz w:val="22"/>
                <w:szCs w:val="22"/>
                <w:lang w:val="hr-HR"/>
              </w:rPr>
              <w:t xml:space="preserve"> &lt;10 x 10</w:t>
            </w:r>
            <w:r w:rsidR="008F1C56" w:rsidRPr="00510442">
              <w:rPr>
                <w:rFonts w:ascii="Times New Roman" w:hAnsi="Times New Roman"/>
                <w:color w:val="000000"/>
                <w:sz w:val="22"/>
                <w:szCs w:val="22"/>
                <w:vertAlign w:val="superscript"/>
                <w:lang w:val="hr-HR"/>
              </w:rPr>
              <w:t>9</w:t>
            </w:r>
            <w:r w:rsidR="008F1C56" w:rsidRPr="00510442">
              <w:rPr>
                <w:rFonts w:ascii="Times New Roman" w:hAnsi="Times New Roman"/>
                <w:color w:val="000000"/>
                <w:sz w:val="22"/>
                <w:szCs w:val="22"/>
                <w:lang w:val="hr-HR"/>
              </w:rPr>
              <w:t>/l</w:t>
            </w:r>
          </w:p>
        </w:tc>
        <w:tc>
          <w:tcPr>
            <w:tcW w:w="4678" w:type="dxa"/>
            <w:tcBorders>
              <w:bottom w:val="nil"/>
            </w:tcBorders>
          </w:tcPr>
          <w:p w14:paraId="25B6B070" w14:textId="77777777" w:rsidR="008F1C56" w:rsidRPr="00510442" w:rsidRDefault="008A1B05" w:rsidP="003F35A0">
            <w:pPr>
              <w:pStyle w:val="Table"/>
              <w:keepNext w:val="0"/>
              <w:keepLines w:val="0"/>
              <w:widowControl w:val="0"/>
              <w:suppressLineNumbers/>
              <w:tabs>
                <w:tab w:val="clear" w:pos="284"/>
              </w:tabs>
              <w:spacing w:before="0" w:after="0"/>
              <w:ind w:left="469" w:right="-108" w:hanging="469"/>
              <w:rPr>
                <w:rFonts w:ascii="Times New Roman" w:hAnsi="Times New Roman"/>
                <w:color w:val="000000"/>
                <w:sz w:val="22"/>
                <w:szCs w:val="22"/>
                <w:lang w:val="hr-HR"/>
              </w:rPr>
            </w:pPr>
            <w:r w:rsidRPr="00510442">
              <w:rPr>
                <w:rFonts w:ascii="Times New Roman" w:hAnsi="Times New Roman"/>
                <w:color w:val="000000"/>
                <w:sz w:val="22"/>
                <w:szCs w:val="22"/>
                <w:lang w:val="hr-HR"/>
              </w:rPr>
              <w:t>1.</w:t>
            </w:r>
            <w:r w:rsidRPr="00510442">
              <w:rPr>
                <w:rFonts w:ascii="Times New Roman" w:hAnsi="Times New Roman"/>
                <w:color w:val="000000"/>
                <w:sz w:val="22"/>
                <w:szCs w:val="22"/>
                <w:lang w:val="hr-HR"/>
              </w:rPr>
              <w:tab/>
            </w:r>
            <w:r w:rsidR="00BE550B" w:rsidRPr="00510442">
              <w:rPr>
                <w:rFonts w:ascii="Times New Roman" w:hAnsi="Times New Roman"/>
                <w:sz w:val="22"/>
                <w:szCs w:val="22"/>
                <w:lang w:val="hr-HR"/>
              </w:rPr>
              <w:t>Provjeriti je li citopenija povezana s leukemijom (aspirat ili biopsija koštane srži)</w:t>
            </w:r>
            <w:r w:rsidR="008F1C56" w:rsidRPr="00510442">
              <w:rPr>
                <w:rFonts w:ascii="Times New Roman" w:hAnsi="Times New Roman"/>
                <w:color w:val="000000"/>
                <w:sz w:val="22"/>
                <w:szCs w:val="22"/>
                <w:lang w:val="hr-HR"/>
              </w:rPr>
              <w:t>.</w:t>
            </w:r>
          </w:p>
          <w:p w14:paraId="6C9B888F" w14:textId="72140C37" w:rsidR="008F1C56" w:rsidRPr="00510442" w:rsidRDefault="008A1B05" w:rsidP="007F1BD0">
            <w:pPr>
              <w:pStyle w:val="Table"/>
              <w:keepNext w:val="0"/>
              <w:keepLines w:val="0"/>
              <w:widowControl w:val="0"/>
              <w:suppressLineNumbers/>
              <w:tabs>
                <w:tab w:val="clear" w:pos="284"/>
              </w:tabs>
              <w:spacing w:before="0" w:after="0"/>
              <w:ind w:left="469" w:hanging="469"/>
              <w:rPr>
                <w:rFonts w:ascii="Times New Roman" w:hAnsi="Times New Roman"/>
                <w:color w:val="000000"/>
                <w:sz w:val="22"/>
                <w:szCs w:val="22"/>
                <w:lang w:val="hr-HR"/>
              </w:rPr>
            </w:pPr>
            <w:r w:rsidRPr="00510442">
              <w:rPr>
                <w:rFonts w:ascii="Times New Roman" w:hAnsi="Times New Roman"/>
                <w:color w:val="000000"/>
                <w:sz w:val="22"/>
                <w:szCs w:val="22"/>
                <w:lang w:val="hr-HR"/>
              </w:rPr>
              <w:t>2.</w:t>
            </w:r>
            <w:r w:rsidRPr="00510442">
              <w:rPr>
                <w:rFonts w:ascii="Times New Roman" w:hAnsi="Times New Roman"/>
                <w:color w:val="000000"/>
                <w:sz w:val="22"/>
                <w:szCs w:val="22"/>
                <w:lang w:val="hr-HR"/>
              </w:rPr>
              <w:tab/>
            </w:r>
            <w:r w:rsidR="00BE550B" w:rsidRPr="00510442">
              <w:rPr>
                <w:rFonts w:ascii="Times New Roman" w:hAnsi="Times New Roman"/>
                <w:sz w:val="22"/>
                <w:szCs w:val="22"/>
                <w:lang w:val="hr-HR"/>
              </w:rPr>
              <w:t xml:space="preserve">Ako citopenija nije povezana s leukemijom, dozu </w:t>
            </w:r>
            <w:r w:rsidR="00512481" w:rsidRPr="00512481">
              <w:rPr>
                <w:rFonts w:ascii="Times New Roman" w:hAnsi="Times New Roman"/>
                <w:sz w:val="22"/>
                <w:szCs w:val="22"/>
                <w:lang w:val="hr-HR"/>
              </w:rPr>
              <w:t xml:space="preserve">lijeka </w:t>
            </w:r>
            <w:r w:rsidR="00BE550B" w:rsidRPr="00510442">
              <w:rPr>
                <w:rFonts w:ascii="Times New Roman" w:hAnsi="Times New Roman"/>
                <w:sz w:val="22"/>
                <w:szCs w:val="22"/>
                <w:lang w:val="hr-HR"/>
              </w:rPr>
              <w:t xml:space="preserve">Glivec treba smanjiti na </w:t>
            </w:r>
            <w:r w:rsidR="008F1C56" w:rsidRPr="00510442">
              <w:rPr>
                <w:rFonts w:ascii="Times New Roman" w:hAnsi="Times New Roman"/>
                <w:color w:val="000000"/>
                <w:sz w:val="22"/>
                <w:szCs w:val="22"/>
                <w:lang w:val="hr-HR"/>
              </w:rPr>
              <w:t>260 mg/m</w:t>
            </w:r>
            <w:r w:rsidR="008F1C56" w:rsidRPr="00510442">
              <w:rPr>
                <w:rFonts w:ascii="Times New Roman" w:hAnsi="Times New Roman"/>
                <w:color w:val="000000"/>
                <w:sz w:val="22"/>
                <w:szCs w:val="22"/>
                <w:vertAlign w:val="superscript"/>
                <w:lang w:val="hr-HR"/>
              </w:rPr>
              <w:t>2</w:t>
            </w:r>
            <w:r w:rsidR="008F1C56" w:rsidRPr="00510442">
              <w:rPr>
                <w:rFonts w:ascii="Times New Roman" w:hAnsi="Times New Roman"/>
                <w:color w:val="000000"/>
                <w:sz w:val="22"/>
                <w:szCs w:val="22"/>
                <w:lang w:val="hr-HR"/>
              </w:rPr>
              <w:t>.</w:t>
            </w:r>
          </w:p>
          <w:p w14:paraId="25D2C7EB" w14:textId="77777777" w:rsidR="008F1C56" w:rsidRPr="00510442" w:rsidRDefault="008A1B05" w:rsidP="00954FF7">
            <w:pPr>
              <w:pStyle w:val="Table"/>
              <w:keepNext w:val="0"/>
              <w:keepLines w:val="0"/>
              <w:widowControl w:val="0"/>
              <w:suppressLineNumbers/>
              <w:tabs>
                <w:tab w:val="clear" w:pos="284"/>
              </w:tabs>
              <w:spacing w:before="0" w:after="0"/>
              <w:ind w:left="469" w:hanging="469"/>
              <w:rPr>
                <w:rFonts w:ascii="Times New Roman" w:hAnsi="Times New Roman"/>
                <w:color w:val="000000"/>
                <w:sz w:val="22"/>
                <w:szCs w:val="22"/>
                <w:lang w:val="hr-HR"/>
              </w:rPr>
            </w:pPr>
            <w:r w:rsidRPr="00510442">
              <w:rPr>
                <w:rFonts w:ascii="Times New Roman" w:hAnsi="Times New Roman"/>
                <w:color w:val="000000"/>
                <w:sz w:val="22"/>
                <w:szCs w:val="22"/>
                <w:lang w:val="hr-HR"/>
              </w:rPr>
              <w:t>3.</w:t>
            </w:r>
            <w:r w:rsidRPr="00510442">
              <w:rPr>
                <w:rFonts w:ascii="Times New Roman" w:hAnsi="Times New Roman"/>
                <w:color w:val="000000"/>
                <w:sz w:val="22"/>
                <w:szCs w:val="22"/>
                <w:lang w:val="hr-HR"/>
              </w:rPr>
              <w:tab/>
            </w:r>
            <w:r w:rsidR="00BE550B" w:rsidRPr="00510442">
              <w:rPr>
                <w:rFonts w:ascii="Times New Roman" w:hAnsi="Times New Roman"/>
                <w:sz w:val="22"/>
                <w:szCs w:val="22"/>
                <w:lang w:val="hr-HR"/>
              </w:rPr>
              <w:t xml:space="preserve">Ako citopenija ustraje </w:t>
            </w:r>
            <w:r w:rsidR="008F1C56" w:rsidRPr="00510442">
              <w:rPr>
                <w:rFonts w:ascii="Times New Roman" w:hAnsi="Times New Roman"/>
                <w:color w:val="000000"/>
                <w:sz w:val="22"/>
                <w:szCs w:val="22"/>
                <w:lang w:val="hr-HR"/>
              </w:rPr>
              <w:t>2 </w:t>
            </w:r>
            <w:r w:rsidR="00BE550B" w:rsidRPr="00510442">
              <w:rPr>
                <w:rFonts w:ascii="Times New Roman" w:hAnsi="Times New Roman"/>
                <w:color w:val="000000"/>
                <w:sz w:val="22"/>
                <w:szCs w:val="22"/>
                <w:lang w:val="hr-HR"/>
              </w:rPr>
              <w:t>tjedna</w:t>
            </w:r>
            <w:r w:rsidR="008F1C56" w:rsidRPr="00510442">
              <w:rPr>
                <w:rFonts w:ascii="Times New Roman" w:hAnsi="Times New Roman"/>
                <w:color w:val="000000"/>
                <w:sz w:val="22"/>
                <w:szCs w:val="22"/>
                <w:lang w:val="hr-HR"/>
              </w:rPr>
              <w:t xml:space="preserve">, </w:t>
            </w:r>
            <w:r w:rsidR="00BE550B" w:rsidRPr="00510442">
              <w:rPr>
                <w:rFonts w:ascii="Times New Roman" w:hAnsi="Times New Roman"/>
                <w:sz w:val="22"/>
                <w:szCs w:val="22"/>
                <w:lang w:val="hr-HR"/>
              </w:rPr>
              <w:t>dozu dodatno smanjiti na</w:t>
            </w:r>
            <w:r w:rsidR="008F1C56" w:rsidRPr="00510442">
              <w:rPr>
                <w:rFonts w:ascii="Times New Roman" w:hAnsi="Times New Roman"/>
                <w:color w:val="000000"/>
                <w:sz w:val="22"/>
                <w:szCs w:val="22"/>
                <w:lang w:val="hr-HR"/>
              </w:rPr>
              <w:t xml:space="preserve"> 200 mg/m</w:t>
            </w:r>
            <w:r w:rsidR="008F1C56" w:rsidRPr="00510442">
              <w:rPr>
                <w:rFonts w:ascii="Times New Roman" w:hAnsi="Times New Roman"/>
                <w:color w:val="000000"/>
                <w:sz w:val="22"/>
                <w:szCs w:val="22"/>
                <w:vertAlign w:val="superscript"/>
                <w:lang w:val="hr-HR"/>
              </w:rPr>
              <w:t>2</w:t>
            </w:r>
            <w:r w:rsidR="008F1C56" w:rsidRPr="00510442">
              <w:rPr>
                <w:rFonts w:ascii="Times New Roman" w:hAnsi="Times New Roman"/>
                <w:color w:val="000000"/>
                <w:sz w:val="22"/>
                <w:szCs w:val="22"/>
                <w:lang w:val="hr-HR"/>
              </w:rPr>
              <w:t>.</w:t>
            </w:r>
          </w:p>
          <w:p w14:paraId="224C407D" w14:textId="06259C49" w:rsidR="008F1C56" w:rsidRPr="00510442" w:rsidRDefault="008A1B05" w:rsidP="00512481">
            <w:pPr>
              <w:pStyle w:val="Table"/>
              <w:keepNext w:val="0"/>
              <w:keepLines w:val="0"/>
              <w:widowControl w:val="0"/>
              <w:suppressLineNumbers/>
              <w:tabs>
                <w:tab w:val="clear" w:pos="284"/>
              </w:tabs>
              <w:spacing w:before="0" w:after="0"/>
              <w:ind w:left="469" w:right="-108" w:hanging="469"/>
              <w:rPr>
                <w:rFonts w:ascii="Times New Roman" w:hAnsi="Times New Roman"/>
                <w:color w:val="000000"/>
                <w:sz w:val="22"/>
                <w:szCs w:val="22"/>
                <w:lang w:val="hr-HR"/>
              </w:rPr>
            </w:pPr>
            <w:r w:rsidRPr="00510442">
              <w:rPr>
                <w:rFonts w:ascii="Times New Roman" w:hAnsi="Times New Roman"/>
                <w:color w:val="000000"/>
                <w:sz w:val="22"/>
                <w:szCs w:val="22"/>
                <w:lang w:val="hr-HR"/>
              </w:rPr>
              <w:t>4.</w:t>
            </w:r>
            <w:r w:rsidRPr="00510442">
              <w:rPr>
                <w:rFonts w:ascii="Times New Roman" w:hAnsi="Times New Roman"/>
                <w:color w:val="000000"/>
                <w:sz w:val="22"/>
                <w:szCs w:val="22"/>
                <w:lang w:val="hr-HR"/>
              </w:rPr>
              <w:tab/>
            </w:r>
            <w:r w:rsidR="00BE550B" w:rsidRPr="00510442">
              <w:rPr>
                <w:rFonts w:ascii="Times New Roman" w:hAnsi="Times New Roman"/>
                <w:sz w:val="22"/>
                <w:szCs w:val="22"/>
                <w:lang w:val="hr-HR"/>
              </w:rPr>
              <w:t xml:space="preserve">Ako citopenija ustraje </w:t>
            </w:r>
            <w:r w:rsidR="008F1C56" w:rsidRPr="00510442">
              <w:rPr>
                <w:rFonts w:ascii="Times New Roman" w:hAnsi="Times New Roman"/>
                <w:color w:val="000000"/>
                <w:sz w:val="22"/>
                <w:szCs w:val="22"/>
                <w:lang w:val="hr-HR"/>
              </w:rPr>
              <w:t>4 </w:t>
            </w:r>
            <w:r w:rsidR="00BE550B" w:rsidRPr="00510442">
              <w:rPr>
                <w:rFonts w:ascii="Times New Roman" w:hAnsi="Times New Roman"/>
                <w:color w:val="000000"/>
                <w:sz w:val="22"/>
                <w:szCs w:val="22"/>
                <w:lang w:val="hr-HR"/>
              </w:rPr>
              <w:t xml:space="preserve">tjedna </w:t>
            </w:r>
            <w:r w:rsidR="00BE550B" w:rsidRPr="00510442">
              <w:rPr>
                <w:rFonts w:ascii="Times New Roman" w:hAnsi="Times New Roman"/>
                <w:sz w:val="22"/>
                <w:szCs w:val="22"/>
                <w:lang w:val="hr-HR"/>
              </w:rPr>
              <w:t xml:space="preserve">i još uvijek nije povezana s leukemijom, prekinuti primjenu </w:t>
            </w:r>
            <w:r w:rsidR="00512481" w:rsidRPr="00512481">
              <w:rPr>
                <w:rFonts w:ascii="Times New Roman" w:hAnsi="Times New Roman"/>
                <w:sz w:val="22"/>
                <w:szCs w:val="22"/>
                <w:lang w:val="hr-HR"/>
              </w:rPr>
              <w:t xml:space="preserve">lijeka </w:t>
            </w:r>
            <w:r w:rsidR="00BE550B" w:rsidRPr="00510442">
              <w:rPr>
                <w:rFonts w:ascii="Times New Roman" w:hAnsi="Times New Roman"/>
                <w:sz w:val="22"/>
                <w:szCs w:val="22"/>
                <w:lang w:val="hr-HR"/>
              </w:rPr>
              <w:t>Glivec sve dok A</w:t>
            </w:r>
            <w:r w:rsidR="0034145F" w:rsidRPr="00510442">
              <w:rPr>
                <w:rFonts w:ascii="Times New Roman" w:hAnsi="Times New Roman"/>
                <w:sz w:val="22"/>
                <w:szCs w:val="22"/>
                <w:lang w:val="hr-HR"/>
              </w:rPr>
              <w:t>B</w:t>
            </w:r>
            <w:r w:rsidR="00BE550B" w:rsidRPr="00510442">
              <w:rPr>
                <w:rFonts w:ascii="Times New Roman" w:hAnsi="Times New Roman"/>
                <w:sz w:val="22"/>
                <w:szCs w:val="22"/>
                <w:lang w:val="hr-HR"/>
              </w:rPr>
              <w:t>N ne bude</w:t>
            </w:r>
            <w:r w:rsidR="008F1C56" w:rsidRPr="00510442">
              <w:rPr>
                <w:rFonts w:ascii="Times New Roman" w:hAnsi="Times New Roman"/>
                <w:color w:val="000000"/>
                <w:sz w:val="22"/>
                <w:szCs w:val="22"/>
                <w:lang w:val="hr-HR"/>
              </w:rPr>
              <w:t xml:space="preserve"> </w:t>
            </w:r>
            <w:r w:rsidR="008F1C56" w:rsidRPr="00307897">
              <w:rPr>
                <w:rFonts w:ascii="Times New Roman" w:hAnsi="Times New Roman"/>
                <w:color w:val="000000"/>
                <w:sz w:val="22"/>
                <w:szCs w:val="22"/>
                <w:lang w:val="hr-HR"/>
              </w:rPr>
              <w:sym w:font="Symbol" w:char="F0B3"/>
            </w:r>
            <w:r w:rsidR="008F1C56" w:rsidRPr="00307897">
              <w:rPr>
                <w:rFonts w:ascii="Times New Roman" w:hAnsi="Times New Roman"/>
                <w:color w:val="000000"/>
                <w:sz w:val="22"/>
                <w:szCs w:val="22"/>
                <w:lang w:val="hr-HR"/>
              </w:rPr>
              <w:t>1 x 10</w:t>
            </w:r>
            <w:r w:rsidR="008F1C56" w:rsidRPr="00307897">
              <w:rPr>
                <w:rFonts w:ascii="Times New Roman" w:hAnsi="Times New Roman"/>
                <w:color w:val="000000"/>
                <w:sz w:val="22"/>
                <w:szCs w:val="22"/>
                <w:vertAlign w:val="superscript"/>
                <w:lang w:val="hr-HR"/>
              </w:rPr>
              <w:t>9</w:t>
            </w:r>
            <w:r w:rsidR="008F1C56" w:rsidRPr="00A00164">
              <w:rPr>
                <w:rFonts w:ascii="Times New Roman" w:hAnsi="Times New Roman"/>
                <w:color w:val="000000"/>
                <w:sz w:val="22"/>
                <w:szCs w:val="22"/>
                <w:lang w:val="hr-HR"/>
              </w:rPr>
              <w:t>/</w:t>
            </w:r>
            <w:r w:rsidR="00BE550B" w:rsidRPr="00973BDD">
              <w:rPr>
                <w:rFonts w:ascii="Times New Roman" w:hAnsi="Times New Roman"/>
                <w:color w:val="000000"/>
                <w:sz w:val="22"/>
                <w:szCs w:val="22"/>
                <w:lang w:val="hr-HR"/>
              </w:rPr>
              <w:t>i trombociti</w:t>
            </w:r>
            <w:r w:rsidR="008F1C56" w:rsidRPr="000B51EB">
              <w:rPr>
                <w:rFonts w:ascii="Times New Roman" w:hAnsi="Times New Roman"/>
                <w:color w:val="000000"/>
                <w:sz w:val="22"/>
                <w:szCs w:val="22"/>
                <w:lang w:val="hr-HR"/>
              </w:rPr>
              <w:t xml:space="preserve"> </w:t>
            </w:r>
            <w:r w:rsidR="008F1C56" w:rsidRPr="00307897">
              <w:rPr>
                <w:rFonts w:ascii="Times New Roman" w:hAnsi="Times New Roman"/>
                <w:color w:val="000000"/>
                <w:sz w:val="22"/>
                <w:szCs w:val="22"/>
                <w:lang w:val="hr-HR"/>
              </w:rPr>
              <w:sym w:font="Symbol" w:char="F0B3"/>
            </w:r>
            <w:r w:rsidR="008F1C56" w:rsidRPr="00307897">
              <w:rPr>
                <w:rFonts w:ascii="Times New Roman" w:hAnsi="Times New Roman"/>
                <w:color w:val="000000"/>
                <w:sz w:val="22"/>
                <w:szCs w:val="22"/>
                <w:lang w:val="hr-HR"/>
              </w:rPr>
              <w:t>20 x 10</w:t>
            </w:r>
            <w:r w:rsidR="008F1C56" w:rsidRPr="00307897">
              <w:rPr>
                <w:rFonts w:ascii="Times New Roman" w:hAnsi="Times New Roman"/>
                <w:color w:val="000000"/>
                <w:sz w:val="22"/>
                <w:szCs w:val="22"/>
                <w:vertAlign w:val="superscript"/>
                <w:lang w:val="hr-HR"/>
              </w:rPr>
              <w:t>9</w:t>
            </w:r>
            <w:r w:rsidR="008F1C56" w:rsidRPr="00A00164">
              <w:rPr>
                <w:rFonts w:ascii="Times New Roman" w:hAnsi="Times New Roman"/>
                <w:color w:val="000000"/>
                <w:sz w:val="22"/>
                <w:szCs w:val="22"/>
                <w:lang w:val="hr-HR"/>
              </w:rPr>
              <w:t xml:space="preserve">/l, </w:t>
            </w:r>
            <w:r w:rsidR="00BE550B" w:rsidRPr="00973BDD">
              <w:rPr>
                <w:rFonts w:ascii="Times New Roman" w:hAnsi="Times New Roman"/>
                <w:sz w:val="22"/>
                <w:szCs w:val="22"/>
                <w:lang w:val="hr-HR"/>
              </w:rPr>
              <w:t xml:space="preserve">nakon toga nastaviti liječenje u dozi od </w:t>
            </w:r>
            <w:r w:rsidR="008F1C56" w:rsidRPr="000B51EB">
              <w:rPr>
                <w:rFonts w:ascii="Times New Roman" w:hAnsi="Times New Roman"/>
                <w:color w:val="000000"/>
                <w:sz w:val="22"/>
                <w:szCs w:val="22"/>
                <w:lang w:val="hr-HR"/>
              </w:rPr>
              <w:t>200 mg/m</w:t>
            </w:r>
            <w:r w:rsidR="008F1C56" w:rsidRPr="00510442">
              <w:rPr>
                <w:rFonts w:ascii="Times New Roman" w:hAnsi="Times New Roman"/>
                <w:color w:val="000000"/>
                <w:sz w:val="22"/>
                <w:szCs w:val="22"/>
                <w:vertAlign w:val="superscript"/>
                <w:lang w:val="hr-HR"/>
              </w:rPr>
              <w:t>2</w:t>
            </w:r>
            <w:r w:rsidR="008F1C56" w:rsidRPr="00510442">
              <w:rPr>
                <w:rFonts w:ascii="Times New Roman" w:hAnsi="Times New Roman"/>
                <w:color w:val="000000"/>
                <w:sz w:val="22"/>
                <w:szCs w:val="22"/>
                <w:lang w:val="hr-HR"/>
              </w:rPr>
              <w:t>.</w:t>
            </w:r>
          </w:p>
        </w:tc>
      </w:tr>
      <w:tr w:rsidR="00482352" w:rsidRPr="00F410C8" w14:paraId="6DA92530" w14:textId="77777777" w:rsidTr="00D44559">
        <w:trPr>
          <w:cantSplit/>
        </w:trPr>
        <w:tc>
          <w:tcPr>
            <w:tcW w:w="2376" w:type="dxa"/>
            <w:tcBorders>
              <w:bottom w:val="nil"/>
            </w:tcBorders>
          </w:tcPr>
          <w:p w14:paraId="1C61C5BB" w14:textId="77777777" w:rsidR="00482352" w:rsidRPr="00510442" w:rsidRDefault="00482352" w:rsidP="00D44559">
            <w:pPr>
              <w:pStyle w:val="Table"/>
              <w:keepLines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DFSP</w:t>
            </w:r>
          </w:p>
          <w:p w14:paraId="6DEB4DA1" w14:textId="77777777" w:rsidR="00482352" w:rsidRPr="00510442" w:rsidRDefault="00482352" w:rsidP="00D44559">
            <w:pPr>
              <w:pStyle w:val="EndnoteText"/>
              <w:keepNext/>
              <w:widowControl w:val="0"/>
              <w:tabs>
                <w:tab w:val="clear" w:pos="567"/>
              </w:tabs>
              <w:rPr>
                <w:color w:val="000000"/>
                <w:szCs w:val="22"/>
                <w:lang w:val="hr-HR"/>
              </w:rPr>
            </w:pPr>
            <w:r w:rsidRPr="00510442">
              <w:rPr>
                <w:color w:val="000000"/>
                <w:szCs w:val="22"/>
                <w:lang w:val="hr-HR"/>
              </w:rPr>
              <w:t>(</w:t>
            </w:r>
            <w:r w:rsidR="008D40D2" w:rsidRPr="00510442">
              <w:rPr>
                <w:szCs w:val="22"/>
                <w:lang w:val="hr-HR"/>
              </w:rPr>
              <w:t xml:space="preserve">doza od </w:t>
            </w:r>
            <w:r w:rsidRPr="00510442">
              <w:rPr>
                <w:color w:val="000000"/>
                <w:szCs w:val="22"/>
                <w:lang w:val="hr-HR"/>
              </w:rPr>
              <w:t>800 mg)</w:t>
            </w:r>
          </w:p>
        </w:tc>
        <w:tc>
          <w:tcPr>
            <w:tcW w:w="2268" w:type="dxa"/>
            <w:tcBorders>
              <w:bottom w:val="nil"/>
            </w:tcBorders>
          </w:tcPr>
          <w:p w14:paraId="770E0A41" w14:textId="77777777" w:rsidR="00482352" w:rsidRPr="00510442" w:rsidRDefault="00482352" w:rsidP="00D44559">
            <w:pPr>
              <w:pStyle w:val="Table"/>
              <w:keepLines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A</w:t>
            </w:r>
            <w:r w:rsidR="00347055" w:rsidRPr="00510442">
              <w:rPr>
                <w:rFonts w:ascii="Times New Roman" w:hAnsi="Times New Roman"/>
                <w:color w:val="000000"/>
                <w:sz w:val="22"/>
                <w:szCs w:val="22"/>
                <w:lang w:val="hr-HR"/>
              </w:rPr>
              <w:t>B</w:t>
            </w:r>
            <w:r w:rsidRPr="00510442">
              <w:rPr>
                <w:rFonts w:ascii="Times New Roman" w:hAnsi="Times New Roman"/>
                <w:color w:val="000000"/>
                <w:sz w:val="22"/>
                <w:szCs w:val="22"/>
                <w:lang w:val="hr-HR"/>
              </w:rPr>
              <w:t>N &lt;1</w:t>
            </w:r>
            <w:r w:rsidR="008D40D2" w:rsidRPr="00510442">
              <w:rPr>
                <w:rFonts w:ascii="Times New Roman" w:hAnsi="Times New Roman"/>
                <w:color w:val="000000"/>
                <w:sz w:val="22"/>
                <w:szCs w:val="22"/>
                <w:lang w:val="hr-HR"/>
              </w:rPr>
              <w:t>,</w:t>
            </w:r>
            <w:r w:rsidRPr="00510442">
              <w:rPr>
                <w:rFonts w:ascii="Times New Roman" w:hAnsi="Times New Roman"/>
                <w:color w:val="000000"/>
                <w:sz w:val="22"/>
                <w:szCs w:val="22"/>
                <w:lang w:val="hr-HR"/>
              </w:rPr>
              <w:t>0 x 10</w:t>
            </w:r>
            <w:r w:rsidRPr="00510442">
              <w:rPr>
                <w:rFonts w:ascii="Times New Roman" w:hAnsi="Times New Roman"/>
                <w:color w:val="000000"/>
                <w:sz w:val="22"/>
                <w:szCs w:val="22"/>
                <w:vertAlign w:val="superscript"/>
                <w:lang w:val="hr-HR"/>
              </w:rPr>
              <w:t>9</w:t>
            </w:r>
            <w:r w:rsidRPr="00510442">
              <w:rPr>
                <w:rFonts w:ascii="Times New Roman" w:hAnsi="Times New Roman"/>
                <w:color w:val="000000"/>
                <w:sz w:val="22"/>
                <w:szCs w:val="22"/>
                <w:lang w:val="hr-HR"/>
              </w:rPr>
              <w:t>/l</w:t>
            </w:r>
          </w:p>
          <w:p w14:paraId="70AC47B0" w14:textId="77777777" w:rsidR="00482352" w:rsidRPr="00510442" w:rsidRDefault="008D40D2" w:rsidP="00D44559">
            <w:pPr>
              <w:pStyle w:val="Table"/>
              <w:keepLines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i</w:t>
            </w:r>
            <w:r w:rsidR="00482352" w:rsidRPr="00510442">
              <w:rPr>
                <w:rFonts w:ascii="Times New Roman" w:hAnsi="Times New Roman"/>
                <w:color w:val="000000"/>
                <w:sz w:val="22"/>
                <w:szCs w:val="22"/>
                <w:lang w:val="hr-HR"/>
              </w:rPr>
              <w:t>/</w:t>
            </w:r>
            <w:r w:rsidRPr="00510442">
              <w:rPr>
                <w:rFonts w:ascii="Times New Roman" w:hAnsi="Times New Roman"/>
                <w:color w:val="000000"/>
                <w:sz w:val="22"/>
                <w:szCs w:val="22"/>
                <w:lang w:val="hr-HR"/>
              </w:rPr>
              <w:t>ili</w:t>
            </w:r>
          </w:p>
          <w:p w14:paraId="1C471051" w14:textId="77777777" w:rsidR="00482352" w:rsidRPr="00510442" w:rsidRDefault="008D40D2" w:rsidP="00D44559">
            <w:pPr>
              <w:pStyle w:val="Table"/>
              <w:keepLines w:val="0"/>
              <w:widowControl w:val="0"/>
              <w:suppressLineNumbers/>
              <w:spacing w:before="0" w:after="0"/>
              <w:rPr>
                <w:rFonts w:ascii="Times New Roman" w:hAnsi="Times New Roman"/>
                <w:color w:val="000000"/>
                <w:sz w:val="22"/>
                <w:szCs w:val="22"/>
                <w:vertAlign w:val="superscript"/>
                <w:lang w:val="hr-HR"/>
              </w:rPr>
            </w:pPr>
            <w:r w:rsidRPr="00510442">
              <w:rPr>
                <w:rFonts w:ascii="Times New Roman" w:hAnsi="Times New Roman"/>
                <w:color w:val="000000"/>
                <w:sz w:val="22"/>
                <w:szCs w:val="22"/>
                <w:lang w:val="hr-HR"/>
              </w:rPr>
              <w:t>trombociti</w:t>
            </w:r>
            <w:r w:rsidR="00482352" w:rsidRPr="00510442">
              <w:rPr>
                <w:rFonts w:ascii="Times New Roman" w:hAnsi="Times New Roman"/>
                <w:color w:val="000000"/>
                <w:sz w:val="22"/>
                <w:szCs w:val="22"/>
                <w:lang w:val="hr-HR"/>
              </w:rPr>
              <w:t xml:space="preserve"> &lt;50 x 10</w:t>
            </w:r>
            <w:r w:rsidR="00482352" w:rsidRPr="00510442">
              <w:rPr>
                <w:rFonts w:ascii="Times New Roman" w:hAnsi="Times New Roman"/>
                <w:color w:val="000000"/>
                <w:sz w:val="22"/>
                <w:szCs w:val="22"/>
                <w:vertAlign w:val="superscript"/>
                <w:lang w:val="hr-HR"/>
              </w:rPr>
              <w:t>9</w:t>
            </w:r>
            <w:r w:rsidR="00482352" w:rsidRPr="00510442">
              <w:rPr>
                <w:rFonts w:ascii="Times New Roman" w:hAnsi="Times New Roman"/>
                <w:color w:val="000000"/>
                <w:sz w:val="22"/>
                <w:szCs w:val="22"/>
                <w:lang w:val="hr-HR"/>
              </w:rPr>
              <w:t>/l</w:t>
            </w:r>
          </w:p>
        </w:tc>
        <w:tc>
          <w:tcPr>
            <w:tcW w:w="4678" w:type="dxa"/>
            <w:tcBorders>
              <w:bottom w:val="nil"/>
            </w:tcBorders>
          </w:tcPr>
          <w:p w14:paraId="6D49C41F" w14:textId="77777777" w:rsidR="00482352" w:rsidRPr="00973BDD" w:rsidRDefault="008A1B05" w:rsidP="00D44559">
            <w:pPr>
              <w:pStyle w:val="Table"/>
              <w:keepLines w:val="0"/>
              <w:widowControl w:val="0"/>
              <w:suppressLineNumbers/>
              <w:tabs>
                <w:tab w:val="clear" w:pos="284"/>
              </w:tabs>
              <w:spacing w:before="0" w:after="0"/>
              <w:ind w:left="469" w:hanging="469"/>
              <w:rPr>
                <w:rFonts w:ascii="Times New Roman" w:hAnsi="Times New Roman"/>
                <w:color w:val="000000"/>
                <w:sz w:val="22"/>
                <w:szCs w:val="22"/>
                <w:lang w:val="hr-HR"/>
              </w:rPr>
            </w:pPr>
            <w:r w:rsidRPr="00510442">
              <w:rPr>
                <w:rFonts w:ascii="Times New Roman" w:hAnsi="Times New Roman"/>
                <w:color w:val="000000"/>
                <w:sz w:val="22"/>
                <w:szCs w:val="22"/>
                <w:lang w:val="hr-HR"/>
              </w:rPr>
              <w:t>1.</w:t>
            </w:r>
            <w:r w:rsidRPr="00510442">
              <w:rPr>
                <w:rFonts w:ascii="Times New Roman" w:hAnsi="Times New Roman"/>
                <w:color w:val="000000"/>
                <w:sz w:val="22"/>
                <w:szCs w:val="22"/>
                <w:lang w:val="hr-HR"/>
              </w:rPr>
              <w:tab/>
            </w:r>
            <w:r w:rsidR="008D40D2" w:rsidRPr="00510442">
              <w:rPr>
                <w:rFonts w:ascii="Times New Roman" w:hAnsi="Times New Roman"/>
                <w:sz w:val="22"/>
                <w:szCs w:val="22"/>
                <w:lang w:val="hr-HR"/>
              </w:rPr>
              <w:t>Ukinuti Glivec sve dok A</w:t>
            </w:r>
            <w:r w:rsidR="0034145F" w:rsidRPr="00510442">
              <w:rPr>
                <w:rFonts w:ascii="Times New Roman" w:hAnsi="Times New Roman"/>
                <w:sz w:val="22"/>
                <w:szCs w:val="22"/>
                <w:lang w:val="hr-HR"/>
              </w:rPr>
              <w:t>B</w:t>
            </w:r>
            <w:r w:rsidR="008D40D2" w:rsidRPr="00510442">
              <w:rPr>
                <w:rFonts w:ascii="Times New Roman" w:hAnsi="Times New Roman"/>
                <w:sz w:val="22"/>
                <w:szCs w:val="22"/>
                <w:lang w:val="hr-HR"/>
              </w:rPr>
              <w:t xml:space="preserve">N ne bude </w:t>
            </w:r>
            <w:r w:rsidR="00482352" w:rsidRPr="00307897">
              <w:rPr>
                <w:rFonts w:ascii="Times New Roman" w:hAnsi="Times New Roman"/>
                <w:color w:val="000000"/>
                <w:sz w:val="22"/>
                <w:szCs w:val="22"/>
                <w:lang w:val="hr-HR"/>
              </w:rPr>
              <w:sym w:font="Symbol" w:char="F0B3"/>
            </w:r>
            <w:r w:rsidR="00482352" w:rsidRPr="00307897">
              <w:rPr>
                <w:rFonts w:ascii="Times New Roman" w:hAnsi="Times New Roman"/>
                <w:color w:val="000000"/>
                <w:sz w:val="22"/>
                <w:szCs w:val="22"/>
                <w:lang w:val="hr-HR"/>
              </w:rPr>
              <w:t>1</w:t>
            </w:r>
            <w:r w:rsidR="008D40D2" w:rsidRPr="00307897">
              <w:rPr>
                <w:rFonts w:ascii="Times New Roman" w:hAnsi="Times New Roman"/>
                <w:color w:val="000000"/>
                <w:sz w:val="22"/>
                <w:szCs w:val="22"/>
                <w:lang w:val="hr-HR"/>
              </w:rPr>
              <w:t>,</w:t>
            </w:r>
            <w:r w:rsidR="00482352" w:rsidRPr="00A00164">
              <w:rPr>
                <w:rFonts w:ascii="Times New Roman" w:hAnsi="Times New Roman"/>
                <w:color w:val="000000"/>
                <w:sz w:val="22"/>
                <w:szCs w:val="22"/>
                <w:lang w:val="hr-HR"/>
              </w:rPr>
              <w:t>5 x 10</w:t>
            </w:r>
            <w:r w:rsidR="00482352" w:rsidRPr="00973BDD">
              <w:rPr>
                <w:rFonts w:ascii="Times New Roman" w:hAnsi="Times New Roman"/>
                <w:color w:val="000000"/>
                <w:sz w:val="22"/>
                <w:szCs w:val="22"/>
                <w:vertAlign w:val="superscript"/>
                <w:lang w:val="hr-HR"/>
              </w:rPr>
              <w:t>9</w:t>
            </w:r>
            <w:r w:rsidR="00482352" w:rsidRPr="000B51EB">
              <w:rPr>
                <w:rFonts w:ascii="Times New Roman" w:hAnsi="Times New Roman"/>
                <w:color w:val="000000"/>
                <w:sz w:val="22"/>
                <w:szCs w:val="22"/>
                <w:lang w:val="hr-HR"/>
              </w:rPr>
              <w:t xml:space="preserve">/l </w:t>
            </w:r>
            <w:r w:rsidR="00D64A2F" w:rsidRPr="00510442">
              <w:rPr>
                <w:rFonts w:ascii="Times New Roman" w:hAnsi="Times New Roman"/>
                <w:color w:val="000000"/>
                <w:sz w:val="22"/>
                <w:szCs w:val="22"/>
                <w:lang w:val="hr-HR"/>
              </w:rPr>
              <w:t>i trombociti</w:t>
            </w:r>
            <w:r w:rsidR="00482352" w:rsidRPr="00510442">
              <w:rPr>
                <w:rFonts w:ascii="Times New Roman" w:hAnsi="Times New Roman"/>
                <w:color w:val="000000"/>
                <w:sz w:val="22"/>
                <w:szCs w:val="22"/>
                <w:lang w:val="hr-HR"/>
              </w:rPr>
              <w:t xml:space="preserve"> </w:t>
            </w:r>
            <w:r w:rsidR="00482352" w:rsidRPr="00307897">
              <w:rPr>
                <w:rFonts w:ascii="Times New Roman" w:hAnsi="Times New Roman"/>
                <w:color w:val="000000"/>
                <w:sz w:val="22"/>
                <w:szCs w:val="22"/>
                <w:lang w:val="hr-HR"/>
              </w:rPr>
              <w:sym w:font="Symbol" w:char="F0B3"/>
            </w:r>
            <w:r w:rsidR="00482352" w:rsidRPr="00307897">
              <w:rPr>
                <w:rFonts w:ascii="Times New Roman" w:hAnsi="Times New Roman"/>
                <w:color w:val="000000"/>
                <w:sz w:val="22"/>
                <w:szCs w:val="22"/>
                <w:lang w:val="hr-HR"/>
              </w:rPr>
              <w:t>75 x 10</w:t>
            </w:r>
            <w:r w:rsidR="00482352" w:rsidRPr="00A00164">
              <w:rPr>
                <w:rFonts w:ascii="Times New Roman" w:hAnsi="Times New Roman"/>
                <w:color w:val="000000"/>
                <w:sz w:val="22"/>
                <w:szCs w:val="22"/>
                <w:vertAlign w:val="superscript"/>
                <w:lang w:val="hr-HR"/>
              </w:rPr>
              <w:t>9</w:t>
            </w:r>
            <w:r w:rsidR="00482352" w:rsidRPr="00973BDD">
              <w:rPr>
                <w:rFonts w:ascii="Times New Roman" w:hAnsi="Times New Roman"/>
                <w:color w:val="000000"/>
                <w:sz w:val="22"/>
                <w:szCs w:val="22"/>
                <w:lang w:val="hr-HR"/>
              </w:rPr>
              <w:t>/l.</w:t>
            </w:r>
          </w:p>
          <w:p w14:paraId="41F5CB27" w14:textId="6BE94B33" w:rsidR="00482352" w:rsidRPr="00510442" w:rsidRDefault="008A1B05" w:rsidP="00D44559">
            <w:pPr>
              <w:pStyle w:val="Table"/>
              <w:keepLines w:val="0"/>
              <w:widowControl w:val="0"/>
              <w:suppressLineNumbers/>
              <w:tabs>
                <w:tab w:val="clear" w:pos="284"/>
              </w:tabs>
              <w:spacing w:before="0" w:after="0"/>
              <w:ind w:left="469" w:hanging="469"/>
              <w:rPr>
                <w:rFonts w:ascii="Times New Roman" w:hAnsi="Times New Roman"/>
                <w:color w:val="000000"/>
                <w:sz w:val="22"/>
                <w:szCs w:val="22"/>
                <w:lang w:val="hr-HR"/>
              </w:rPr>
            </w:pPr>
            <w:r w:rsidRPr="000B51EB">
              <w:rPr>
                <w:rFonts w:ascii="Times New Roman" w:hAnsi="Times New Roman"/>
                <w:color w:val="000000"/>
                <w:sz w:val="22"/>
                <w:szCs w:val="22"/>
                <w:lang w:val="hr-HR"/>
              </w:rPr>
              <w:t>2.</w:t>
            </w:r>
            <w:r w:rsidRPr="000B51EB">
              <w:rPr>
                <w:rFonts w:ascii="Times New Roman" w:hAnsi="Times New Roman"/>
                <w:color w:val="000000"/>
                <w:sz w:val="22"/>
                <w:szCs w:val="22"/>
                <w:lang w:val="hr-HR"/>
              </w:rPr>
              <w:tab/>
            </w:r>
            <w:r w:rsidR="00D64A2F" w:rsidRPr="00510442">
              <w:rPr>
                <w:rFonts w:ascii="Times New Roman" w:hAnsi="Times New Roman"/>
                <w:sz w:val="22"/>
                <w:szCs w:val="22"/>
                <w:lang w:val="hr-HR"/>
              </w:rPr>
              <w:t xml:space="preserve">Ponovno uvesti liječenje </w:t>
            </w:r>
            <w:r w:rsidR="00951360" w:rsidRPr="00951360">
              <w:rPr>
                <w:rFonts w:ascii="Times New Roman" w:hAnsi="Times New Roman"/>
                <w:sz w:val="22"/>
                <w:szCs w:val="22"/>
                <w:lang w:val="hr-HR"/>
              </w:rPr>
              <w:t xml:space="preserve">lijekom </w:t>
            </w:r>
            <w:r w:rsidR="00D64A2F" w:rsidRPr="00510442">
              <w:rPr>
                <w:rFonts w:ascii="Times New Roman" w:hAnsi="Times New Roman"/>
                <w:sz w:val="22"/>
                <w:szCs w:val="22"/>
                <w:lang w:val="hr-HR"/>
              </w:rPr>
              <w:t xml:space="preserve">Glivec u dozi od </w:t>
            </w:r>
            <w:r w:rsidR="00482352" w:rsidRPr="00510442">
              <w:rPr>
                <w:rFonts w:ascii="Times New Roman" w:hAnsi="Times New Roman"/>
                <w:color w:val="000000"/>
                <w:sz w:val="22"/>
                <w:szCs w:val="22"/>
                <w:lang w:val="hr-HR"/>
              </w:rPr>
              <w:t>600 mg.</w:t>
            </w:r>
          </w:p>
          <w:p w14:paraId="0D7F749B" w14:textId="6FF6C395" w:rsidR="00482352" w:rsidRPr="00510442" w:rsidRDefault="008A1B05" w:rsidP="00512481">
            <w:pPr>
              <w:pStyle w:val="Table"/>
              <w:keepLines w:val="0"/>
              <w:widowControl w:val="0"/>
              <w:suppressLineNumbers/>
              <w:tabs>
                <w:tab w:val="clear" w:pos="284"/>
              </w:tabs>
              <w:spacing w:before="0" w:after="0"/>
              <w:ind w:left="469" w:hanging="469"/>
              <w:rPr>
                <w:rFonts w:ascii="Times New Roman" w:hAnsi="Times New Roman"/>
                <w:color w:val="000000"/>
                <w:sz w:val="22"/>
                <w:szCs w:val="22"/>
                <w:lang w:val="hr-HR"/>
              </w:rPr>
            </w:pPr>
            <w:r w:rsidRPr="00510442">
              <w:rPr>
                <w:rFonts w:ascii="Times New Roman" w:hAnsi="Times New Roman"/>
                <w:color w:val="000000"/>
                <w:sz w:val="22"/>
                <w:szCs w:val="22"/>
                <w:lang w:val="hr-HR"/>
              </w:rPr>
              <w:t>3.</w:t>
            </w:r>
            <w:r w:rsidRPr="00510442">
              <w:rPr>
                <w:rFonts w:ascii="Times New Roman" w:hAnsi="Times New Roman"/>
                <w:color w:val="000000"/>
                <w:sz w:val="22"/>
                <w:szCs w:val="22"/>
                <w:lang w:val="hr-HR"/>
              </w:rPr>
              <w:tab/>
            </w:r>
            <w:r w:rsidR="00D64A2F" w:rsidRPr="00510442">
              <w:rPr>
                <w:rFonts w:ascii="Times New Roman" w:hAnsi="Times New Roman"/>
                <w:sz w:val="22"/>
                <w:szCs w:val="22"/>
                <w:lang w:val="hr-HR"/>
              </w:rPr>
              <w:t>U slučaju da je A</w:t>
            </w:r>
            <w:r w:rsidR="0034145F" w:rsidRPr="00510442">
              <w:rPr>
                <w:rFonts w:ascii="Times New Roman" w:hAnsi="Times New Roman"/>
                <w:sz w:val="22"/>
                <w:szCs w:val="22"/>
                <w:lang w:val="hr-HR"/>
              </w:rPr>
              <w:t>B</w:t>
            </w:r>
            <w:r w:rsidR="00D64A2F" w:rsidRPr="00510442">
              <w:rPr>
                <w:rFonts w:ascii="Times New Roman" w:hAnsi="Times New Roman"/>
                <w:sz w:val="22"/>
                <w:szCs w:val="22"/>
                <w:lang w:val="hr-HR"/>
              </w:rPr>
              <w:t xml:space="preserve">N ponovno </w:t>
            </w:r>
            <w:r w:rsidR="00482352" w:rsidRPr="00510442">
              <w:rPr>
                <w:rFonts w:ascii="Times New Roman" w:hAnsi="Times New Roman"/>
                <w:color w:val="000000"/>
                <w:sz w:val="22"/>
                <w:szCs w:val="22"/>
                <w:lang w:val="hr-HR"/>
              </w:rPr>
              <w:t>&lt;1</w:t>
            </w:r>
            <w:r w:rsidR="00245D20" w:rsidRPr="00510442">
              <w:rPr>
                <w:rFonts w:ascii="Times New Roman" w:hAnsi="Times New Roman"/>
                <w:color w:val="000000"/>
                <w:sz w:val="22"/>
                <w:szCs w:val="22"/>
                <w:lang w:val="hr-HR"/>
              </w:rPr>
              <w:t>,</w:t>
            </w:r>
            <w:r w:rsidR="00482352" w:rsidRPr="00510442">
              <w:rPr>
                <w:rFonts w:ascii="Times New Roman" w:hAnsi="Times New Roman"/>
                <w:color w:val="000000"/>
                <w:sz w:val="22"/>
                <w:szCs w:val="22"/>
                <w:lang w:val="hr-HR"/>
              </w:rPr>
              <w:t>0 x 10</w:t>
            </w:r>
            <w:r w:rsidR="00482352" w:rsidRPr="00510442">
              <w:rPr>
                <w:rFonts w:ascii="Times New Roman" w:hAnsi="Times New Roman"/>
                <w:color w:val="000000"/>
                <w:sz w:val="22"/>
                <w:szCs w:val="22"/>
                <w:vertAlign w:val="superscript"/>
                <w:lang w:val="hr-HR"/>
              </w:rPr>
              <w:t>9</w:t>
            </w:r>
            <w:r w:rsidR="00482352" w:rsidRPr="00510442">
              <w:rPr>
                <w:rFonts w:ascii="Times New Roman" w:hAnsi="Times New Roman"/>
                <w:color w:val="000000"/>
                <w:sz w:val="22"/>
                <w:szCs w:val="22"/>
                <w:lang w:val="hr-HR"/>
              </w:rPr>
              <w:t xml:space="preserve">/l </w:t>
            </w:r>
            <w:r w:rsidR="00D64A2F" w:rsidRPr="00510442">
              <w:rPr>
                <w:rFonts w:ascii="Times New Roman" w:hAnsi="Times New Roman"/>
                <w:sz w:val="22"/>
                <w:szCs w:val="22"/>
                <w:lang w:val="hr-HR"/>
              </w:rPr>
              <w:t>i/ili trombociti</w:t>
            </w:r>
            <w:r w:rsidR="00D64A2F" w:rsidRPr="00510442">
              <w:rPr>
                <w:rFonts w:ascii="Times New Roman" w:hAnsi="Times New Roman"/>
                <w:color w:val="000000"/>
                <w:sz w:val="22"/>
                <w:szCs w:val="22"/>
                <w:lang w:val="hr-HR"/>
              </w:rPr>
              <w:t xml:space="preserve"> </w:t>
            </w:r>
            <w:r w:rsidR="00482352" w:rsidRPr="00510442">
              <w:rPr>
                <w:rFonts w:ascii="Times New Roman" w:hAnsi="Times New Roman"/>
                <w:color w:val="000000"/>
                <w:sz w:val="22"/>
                <w:szCs w:val="22"/>
                <w:lang w:val="hr-HR"/>
              </w:rPr>
              <w:t>&lt;50 x 10</w:t>
            </w:r>
            <w:r w:rsidR="00482352" w:rsidRPr="00510442">
              <w:rPr>
                <w:rFonts w:ascii="Times New Roman" w:hAnsi="Times New Roman"/>
                <w:color w:val="000000"/>
                <w:sz w:val="22"/>
                <w:szCs w:val="22"/>
                <w:vertAlign w:val="superscript"/>
                <w:lang w:val="hr-HR"/>
              </w:rPr>
              <w:t>9</w:t>
            </w:r>
            <w:r w:rsidR="00482352" w:rsidRPr="00510442">
              <w:rPr>
                <w:rFonts w:ascii="Times New Roman" w:hAnsi="Times New Roman"/>
                <w:color w:val="000000"/>
                <w:sz w:val="22"/>
                <w:szCs w:val="22"/>
                <w:lang w:val="hr-HR"/>
              </w:rPr>
              <w:t xml:space="preserve">/l, </w:t>
            </w:r>
            <w:r w:rsidR="00D64A2F" w:rsidRPr="00510442">
              <w:rPr>
                <w:rFonts w:ascii="Times New Roman" w:hAnsi="Times New Roman"/>
                <w:sz w:val="22"/>
                <w:szCs w:val="22"/>
                <w:lang w:val="hr-HR"/>
              </w:rPr>
              <w:t xml:space="preserve">treba ponoviti 1. korak i nastaviti primjenu </w:t>
            </w:r>
            <w:r w:rsidR="00512481" w:rsidRPr="00512481">
              <w:rPr>
                <w:rFonts w:ascii="Times New Roman" w:hAnsi="Times New Roman"/>
                <w:sz w:val="22"/>
                <w:szCs w:val="22"/>
                <w:lang w:val="hr-HR"/>
              </w:rPr>
              <w:t xml:space="preserve">lijeka </w:t>
            </w:r>
            <w:r w:rsidR="00D64A2F" w:rsidRPr="00510442">
              <w:rPr>
                <w:rFonts w:ascii="Times New Roman" w:hAnsi="Times New Roman"/>
                <w:sz w:val="22"/>
                <w:szCs w:val="22"/>
                <w:lang w:val="hr-HR"/>
              </w:rPr>
              <w:t>Glivec u smanjenoj dozi od</w:t>
            </w:r>
            <w:r w:rsidR="00D64A2F" w:rsidRPr="00510442">
              <w:rPr>
                <w:rFonts w:ascii="Times New Roman" w:hAnsi="Times New Roman"/>
                <w:color w:val="000000"/>
                <w:sz w:val="22"/>
                <w:szCs w:val="22"/>
                <w:lang w:val="hr-HR"/>
              </w:rPr>
              <w:t xml:space="preserve"> </w:t>
            </w:r>
            <w:r w:rsidR="00482352" w:rsidRPr="00510442">
              <w:rPr>
                <w:rFonts w:ascii="Times New Roman" w:hAnsi="Times New Roman"/>
                <w:color w:val="000000"/>
                <w:sz w:val="22"/>
                <w:szCs w:val="22"/>
                <w:lang w:val="hr-HR"/>
              </w:rPr>
              <w:t>400 mg.</w:t>
            </w:r>
          </w:p>
        </w:tc>
      </w:tr>
      <w:tr w:rsidR="008F1C56" w:rsidRPr="00510442" w14:paraId="04E90A73" w14:textId="77777777" w:rsidTr="00D44559">
        <w:trPr>
          <w:cantSplit/>
        </w:trPr>
        <w:tc>
          <w:tcPr>
            <w:tcW w:w="9322" w:type="dxa"/>
            <w:gridSpan w:val="3"/>
            <w:tcBorders>
              <w:bottom w:val="nil"/>
            </w:tcBorders>
          </w:tcPr>
          <w:p w14:paraId="0D049C33" w14:textId="77777777" w:rsidR="008F1C56" w:rsidRPr="00510442" w:rsidRDefault="008F1C56" w:rsidP="00D44559">
            <w:pPr>
              <w:pStyle w:val="EndnoteText"/>
              <w:keepNext/>
              <w:widowControl w:val="0"/>
              <w:tabs>
                <w:tab w:val="clear" w:pos="567"/>
              </w:tabs>
              <w:rPr>
                <w:color w:val="000000"/>
                <w:szCs w:val="22"/>
                <w:lang w:val="hr-HR"/>
              </w:rPr>
            </w:pPr>
            <w:r w:rsidRPr="00510442">
              <w:rPr>
                <w:color w:val="000000"/>
                <w:szCs w:val="22"/>
                <w:lang w:val="hr-HR"/>
              </w:rPr>
              <w:t>A</w:t>
            </w:r>
            <w:r w:rsidR="00347055" w:rsidRPr="00510442">
              <w:rPr>
                <w:color w:val="000000"/>
                <w:szCs w:val="22"/>
                <w:lang w:val="hr-HR"/>
              </w:rPr>
              <w:t>B</w:t>
            </w:r>
            <w:r w:rsidRPr="00510442">
              <w:rPr>
                <w:color w:val="000000"/>
                <w:szCs w:val="22"/>
                <w:lang w:val="hr-HR"/>
              </w:rPr>
              <w:t xml:space="preserve">N = </w:t>
            </w:r>
            <w:r w:rsidR="00245D20" w:rsidRPr="00510442">
              <w:rPr>
                <w:szCs w:val="22"/>
                <w:lang w:val="hr-HR"/>
              </w:rPr>
              <w:t>apsolutni broj neutrofila</w:t>
            </w:r>
          </w:p>
        </w:tc>
      </w:tr>
      <w:tr w:rsidR="008F1C56" w:rsidRPr="00F410C8" w14:paraId="46240142" w14:textId="77777777" w:rsidTr="00D44559">
        <w:trPr>
          <w:cantSplit/>
        </w:trPr>
        <w:tc>
          <w:tcPr>
            <w:tcW w:w="9322" w:type="dxa"/>
            <w:gridSpan w:val="3"/>
            <w:tcBorders>
              <w:top w:val="nil"/>
            </w:tcBorders>
          </w:tcPr>
          <w:p w14:paraId="7B42A0E9" w14:textId="77777777" w:rsidR="008F1C56" w:rsidRPr="00510442" w:rsidRDefault="008F1C56" w:rsidP="0036765D">
            <w:pPr>
              <w:pStyle w:val="EndnoteText"/>
              <w:widowControl w:val="0"/>
              <w:tabs>
                <w:tab w:val="clear" w:pos="567"/>
              </w:tabs>
              <w:rPr>
                <w:color w:val="000000"/>
                <w:szCs w:val="22"/>
                <w:lang w:val="hr-HR"/>
              </w:rPr>
            </w:pPr>
            <w:r w:rsidRPr="00510442">
              <w:rPr>
                <w:color w:val="000000"/>
                <w:szCs w:val="22"/>
                <w:vertAlign w:val="superscript"/>
                <w:lang w:val="hr-HR"/>
              </w:rPr>
              <w:t xml:space="preserve">a </w:t>
            </w:r>
            <w:r w:rsidR="0036765D" w:rsidRPr="00510442">
              <w:rPr>
                <w:szCs w:val="22"/>
                <w:lang w:val="hr-HR"/>
              </w:rPr>
              <w:t xml:space="preserve">javlja se </w:t>
            </w:r>
            <w:r w:rsidR="00245D20" w:rsidRPr="00510442">
              <w:rPr>
                <w:szCs w:val="22"/>
                <w:lang w:val="hr-HR"/>
              </w:rPr>
              <w:t xml:space="preserve">nakon najmanje </w:t>
            </w:r>
            <w:r w:rsidRPr="00510442">
              <w:rPr>
                <w:color w:val="000000"/>
                <w:szCs w:val="22"/>
                <w:lang w:val="hr-HR"/>
              </w:rPr>
              <w:t>1 </w:t>
            </w:r>
            <w:r w:rsidR="00245D20" w:rsidRPr="00510442">
              <w:rPr>
                <w:szCs w:val="22"/>
                <w:lang w:val="hr-HR"/>
              </w:rPr>
              <w:t>mjeseca liječenja</w:t>
            </w:r>
          </w:p>
        </w:tc>
      </w:tr>
    </w:tbl>
    <w:p w14:paraId="6E510921" w14:textId="77777777" w:rsidR="008F1C56" w:rsidRPr="00510442" w:rsidRDefault="008F1C56" w:rsidP="0091773C">
      <w:pPr>
        <w:pStyle w:val="EndnoteText"/>
        <w:widowControl w:val="0"/>
        <w:tabs>
          <w:tab w:val="clear" w:pos="567"/>
        </w:tabs>
        <w:rPr>
          <w:color w:val="000000"/>
          <w:szCs w:val="22"/>
          <w:lang w:val="hr-HR"/>
        </w:rPr>
      </w:pPr>
    </w:p>
    <w:p w14:paraId="35D8341F" w14:textId="77777777" w:rsidR="00E539BC" w:rsidRPr="00510442" w:rsidRDefault="003B443C" w:rsidP="00D44559">
      <w:pPr>
        <w:pStyle w:val="EndnoteText"/>
        <w:keepNext/>
        <w:widowControl w:val="0"/>
        <w:tabs>
          <w:tab w:val="clear" w:pos="567"/>
        </w:tabs>
        <w:rPr>
          <w:color w:val="000000"/>
          <w:szCs w:val="22"/>
          <w:u w:val="single"/>
          <w:lang w:val="hr-HR"/>
        </w:rPr>
      </w:pPr>
      <w:r w:rsidRPr="00510442">
        <w:rPr>
          <w:color w:val="000000"/>
          <w:szCs w:val="22"/>
          <w:u w:val="single"/>
          <w:lang w:val="hr-HR"/>
        </w:rPr>
        <w:t>Posebne</w:t>
      </w:r>
      <w:r w:rsidR="00E539BC" w:rsidRPr="00510442">
        <w:rPr>
          <w:color w:val="000000"/>
          <w:szCs w:val="22"/>
          <w:u w:val="single"/>
          <w:lang w:val="hr-HR"/>
        </w:rPr>
        <w:t xml:space="preserve"> popula</w:t>
      </w:r>
      <w:r w:rsidR="00715080" w:rsidRPr="00510442">
        <w:rPr>
          <w:color w:val="000000"/>
          <w:szCs w:val="22"/>
          <w:u w:val="single"/>
          <w:lang w:val="hr-HR"/>
        </w:rPr>
        <w:t>cije</w:t>
      </w:r>
    </w:p>
    <w:p w14:paraId="425449ED" w14:textId="77777777" w:rsidR="00E7584C" w:rsidRPr="00510442" w:rsidRDefault="00715080" w:rsidP="009B5630">
      <w:pPr>
        <w:spacing w:line="240" w:lineRule="auto"/>
        <w:rPr>
          <w:color w:val="000000"/>
          <w:szCs w:val="22"/>
          <w:lang w:val="hr-HR"/>
        </w:rPr>
      </w:pPr>
      <w:r w:rsidRPr="00510442">
        <w:rPr>
          <w:i/>
          <w:szCs w:val="22"/>
          <w:lang w:val="hr-HR"/>
        </w:rPr>
        <w:t>Primjena u pedijatriji</w:t>
      </w:r>
      <w:r w:rsidR="009B57ED" w:rsidRPr="00510442">
        <w:rPr>
          <w:i/>
          <w:color w:val="000000"/>
          <w:szCs w:val="22"/>
          <w:lang w:val="hr-HR"/>
        </w:rPr>
        <w:t>:</w:t>
      </w:r>
      <w:r w:rsidR="009B57ED" w:rsidRPr="00510442">
        <w:rPr>
          <w:color w:val="000000"/>
          <w:szCs w:val="22"/>
          <w:lang w:val="hr-HR"/>
        </w:rPr>
        <w:t xml:space="preserve"> </w:t>
      </w:r>
      <w:r w:rsidRPr="00510442">
        <w:rPr>
          <w:szCs w:val="22"/>
          <w:lang w:val="hr-HR"/>
        </w:rPr>
        <w:t xml:space="preserve">ne postoji iskustvo kod djece s </w:t>
      </w:r>
      <w:r w:rsidR="00D46E4E" w:rsidRPr="00510442">
        <w:rPr>
          <w:szCs w:val="22"/>
          <w:lang w:val="hr-HR"/>
        </w:rPr>
        <w:t>K</w:t>
      </w:r>
      <w:r w:rsidRPr="00510442">
        <w:rPr>
          <w:szCs w:val="22"/>
          <w:lang w:val="hr-HR"/>
        </w:rPr>
        <w:t xml:space="preserve">ML-om mlađe od </w:t>
      </w:r>
      <w:r w:rsidR="00E7584C" w:rsidRPr="00510442">
        <w:rPr>
          <w:color w:val="000000"/>
          <w:szCs w:val="22"/>
          <w:lang w:val="hr-HR"/>
        </w:rPr>
        <w:t>2 </w:t>
      </w:r>
      <w:r w:rsidRPr="00510442">
        <w:rPr>
          <w:szCs w:val="22"/>
          <w:lang w:val="hr-HR"/>
        </w:rPr>
        <w:t>godine</w:t>
      </w:r>
      <w:r w:rsidR="00417EC6" w:rsidRPr="00510442">
        <w:rPr>
          <w:szCs w:val="22"/>
          <w:lang w:val="hr-HR"/>
        </w:rPr>
        <w:t xml:space="preserve"> i s Ph+ALL mlađe od 1 godine</w:t>
      </w:r>
      <w:r w:rsidRPr="00510442">
        <w:rPr>
          <w:szCs w:val="22"/>
          <w:lang w:val="hr-HR"/>
        </w:rPr>
        <w:t xml:space="preserve"> (vidjeti dio </w:t>
      </w:r>
      <w:r w:rsidR="00E7584C" w:rsidRPr="00510442">
        <w:rPr>
          <w:color w:val="000000"/>
          <w:szCs w:val="22"/>
          <w:lang w:val="hr-HR"/>
        </w:rPr>
        <w:t xml:space="preserve">5.1). </w:t>
      </w:r>
      <w:r w:rsidRPr="00510442">
        <w:rPr>
          <w:szCs w:val="22"/>
          <w:lang w:val="hr-HR"/>
        </w:rPr>
        <w:t>Postoji vrlo ograničeno iskustvo kod djece s MDS/MPD-om</w:t>
      </w:r>
      <w:r w:rsidR="00C775AF" w:rsidRPr="00510442">
        <w:rPr>
          <w:szCs w:val="22"/>
          <w:lang w:val="hr-HR"/>
        </w:rPr>
        <w:t xml:space="preserve">, </w:t>
      </w:r>
      <w:r w:rsidRPr="00510442">
        <w:rPr>
          <w:szCs w:val="22"/>
          <w:lang w:val="hr-HR"/>
        </w:rPr>
        <w:t>DFSP-om</w:t>
      </w:r>
      <w:r w:rsidR="00C775AF" w:rsidRPr="00510442">
        <w:rPr>
          <w:szCs w:val="22"/>
          <w:lang w:val="hr-HR"/>
        </w:rPr>
        <w:t xml:space="preserve">, </w:t>
      </w:r>
      <w:r w:rsidRPr="00510442">
        <w:rPr>
          <w:szCs w:val="22"/>
          <w:lang w:val="hr-HR"/>
        </w:rPr>
        <w:t>GIST-om ili HES/</w:t>
      </w:r>
      <w:r w:rsidR="00D46E4E" w:rsidRPr="00510442">
        <w:rPr>
          <w:szCs w:val="22"/>
          <w:lang w:val="hr-HR"/>
        </w:rPr>
        <w:t>K</w:t>
      </w:r>
      <w:r w:rsidRPr="00510442">
        <w:rPr>
          <w:szCs w:val="22"/>
          <w:lang w:val="hr-HR"/>
        </w:rPr>
        <w:t>EL</w:t>
      </w:r>
      <w:r w:rsidR="009C46A4" w:rsidRPr="00510442">
        <w:rPr>
          <w:szCs w:val="22"/>
          <w:lang w:val="hr-HR"/>
        </w:rPr>
        <w:noBreakHyphen/>
      </w:r>
      <w:r w:rsidRPr="00510442">
        <w:rPr>
          <w:szCs w:val="22"/>
          <w:lang w:val="hr-HR"/>
        </w:rPr>
        <w:t>om</w:t>
      </w:r>
      <w:r w:rsidR="00E7584C" w:rsidRPr="00510442">
        <w:rPr>
          <w:color w:val="000000"/>
          <w:szCs w:val="22"/>
          <w:lang w:val="hr-HR"/>
        </w:rPr>
        <w:t>.</w:t>
      </w:r>
    </w:p>
    <w:p w14:paraId="36A4D992" w14:textId="77777777" w:rsidR="00C775AF" w:rsidRPr="00510442" w:rsidRDefault="00C775AF" w:rsidP="009B5630">
      <w:pPr>
        <w:spacing w:line="240" w:lineRule="auto"/>
        <w:rPr>
          <w:color w:val="000000"/>
          <w:szCs w:val="22"/>
          <w:lang w:val="hr-HR"/>
        </w:rPr>
      </w:pPr>
    </w:p>
    <w:p w14:paraId="6D3B9306" w14:textId="77777777" w:rsidR="00C775AF" w:rsidRPr="00510442" w:rsidRDefault="00C775AF" w:rsidP="002F4624">
      <w:pPr>
        <w:shd w:val="clear" w:color="auto" w:fill="FFFFFF"/>
        <w:spacing w:line="240" w:lineRule="auto"/>
        <w:rPr>
          <w:color w:val="000000"/>
          <w:szCs w:val="22"/>
          <w:lang w:val="hr-HR"/>
        </w:rPr>
      </w:pPr>
      <w:r w:rsidRPr="00510442">
        <w:rPr>
          <w:color w:val="000000"/>
          <w:szCs w:val="22"/>
          <w:lang w:val="hr-HR"/>
        </w:rPr>
        <w:t xml:space="preserve">Sigurnost i djelotvornost imatiniba u djece s MDS/MPD-om, DFSP-om, GIST-om i HES/KEL-om mlađe od 18 godina nisu </w:t>
      </w:r>
      <w:r w:rsidR="00F62AF9" w:rsidRPr="00510442">
        <w:rPr>
          <w:color w:val="000000"/>
          <w:szCs w:val="22"/>
          <w:lang w:val="hr-HR"/>
        </w:rPr>
        <w:t>ustanovljene</w:t>
      </w:r>
      <w:r w:rsidRPr="00510442">
        <w:rPr>
          <w:color w:val="000000"/>
          <w:szCs w:val="22"/>
          <w:lang w:val="hr-HR"/>
        </w:rPr>
        <w:t xml:space="preserve"> u kliničkim ispitivanjima. Trenutačno dostupni objavljeni podaci sažeti su u dijelu 5.1, ali ne mogu se dati nikakve preporuke o doziranju.</w:t>
      </w:r>
    </w:p>
    <w:p w14:paraId="218436FB" w14:textId="77777777" w:rsidR="00E7584C" w:rsidRPr="00510442" w:rsidRDefault="00E7584C" w:rsidP="0091773C">
      <w:pPr>
        <w:pStyle w:val="EndnoteText"/>
        <w:widowControl w:val="0"/>
        <w:tabs>
          <w:tab w:val="clear" w:pos="567"/>
        </w:tabs>
        <w:rPr>
          <w:color w:val="000000"/>
          <w:szCs w:val="22"/>
          <w:lang w:val="hr-HR"/>
        </w:rPr>
      </w:pPr>
    </w:p>
    <w:p w14:paraId="683E00F1" w14:textId="77777777" w:rsidR="009B57ED" w:rsidRPr="00510442" w:rsidRDefault="00715080" w:rsidP="00422F71">
      <w:pPr>
        <w:pStyle w:val="EndnoteText"/>
        <w:widowControl w:val="0"/>
        <w:tabs>
          <w:tab w:val="clear" w:pos="567"/>
        </w:tabs>
        <w:rPr>
          <w:color w:val="000000"/>
          <w:szCs w:val="22"/>
          <w:lang w:val="hr-HR"/>
        </w:rPr>
      </w:pPr>
      <w:r w:rsidRPr="00510442">
        <w:rPr>
          <w:i/>
          <w:szCs w:val="22"/>
          <w:lang w:val="hr-HR"/>
        </w:rPr>
        <w:t>Insuficijencija jetre</w:t>
      </w:r>
      <w:r w:rsidR="009B57ED" w:rsidRPr="00510442">
        <w:rPr>
          <w:i/>
          <w:color w:val="000000"/>
          <w:szCs w:val="22"/>
          <w:lang w:val="hr-HR"/>
        </w:rPr>
        <w:t>:</w:t>
      </w:r>
      <w:r w:rsidR="009B57ED" w:rsidRPr="00510442">
        <w:rPr>
          <w:color w:val="000000"/>
          <w:szCs w:val="22"/>
          <w:lang w:val="hr-HR"/>
        </w:rPr>
        <w:t xml:space="preserve"> </w:t>
      </w:r>
      <w:r w:rsidRPr="00510442">
        <w:rPr>
          <w:szCs w:val="22"/>
          <w:lang w:val="hr-HR"/>
        </w:rPr>
        <w:t xml:space="preserve">imatinib se uglavnom metabolizira preko jetre. Bolesnici s blagim, umjerenim ili teškim poremećajem funkcije jetre trebaju primati minimalnu preporučenu dozu od </w:t>
      </w:r>
      <w:r w:rsidR="009B57ED" w:rsidRPr="00510442">
        <w:rPr>
          <w:color w:val="000000"/>
          <w:szCs w:val="22"/>
          <w:lang w:val="hr-HR"/>
        </w:rPr>
        <w:t xml:space="preserve">400 mg </w:t>
      </w:r>
      <w:r w:rsidR="00EE454F" w:rsidRPr="00510442">
        <w:rPr>
          <w:szCs w:val="22"/>
          <w:lang w:val="hr-HR"/>
        </w:rPr>
        <w:t>na dan</w:t>
      </w:r>
      <w:r w:rsidRPr="00510442">
        <w:rPr>
          <w:szCs w:val="22"/>
          <w:lang w:val="hr-HR"/>
        </w:rPr>
        <w:t>. Doza se može smanjiti ako se ne podnosi (vidjeti dijelove</w:t>
      </w:r>
      <w:r w:rsidR="009B57ED" w:rsidRPr="00510442">
        <w:rPr>
          <w:color w:val="000000"/>
          <w:szCs w:val="22"/>
          <w:lang w:val="hr-HR"/>
        </w:rPr>
        <w:t xml:space="preserve"> 4.4, 4.8 </w:t>
      </w:r>
      <w:r w:rsidRPr="00510442">
        <w:rPr>
          <w:color w:val="000000"/>
          <w:szCs w:val="22"/>
          <w:lang w:val="hr-HR"/>
        </w:rPr>
        <w:t>i</w:t>
      </w:r>
      <w:r w:rsidR="009B57ED" w:rsidRPr="00510442">
        <w:rPr>
          <w:color w:val="000000"/>
          <w:szCs w:val="22"/>
          <w:lang w:val="hr-HR"/>
        </w:rPr>
        <w:t xml:space="preserve"> 5.2).</w:t>
      </w:r>
    </w:p>
    <w:p w14:paraId="2DB6FB83" w14:textId="77777777" w:rsidR="009B57ED" w:rsidRPr="00510442" w:rsidRDefault="009B57ED" w:rsidP="00A74D02">
      <w:pPr>
        <w:pStyle w:val="EndnoteText"/>
        <w:widowControl w:val="0"/>
        <w:tabs>
          <w:tab w:val="clear" w:pos="567"/>
        </w:tabs>
        <w:rPr>
          <w:color w:val="000000"/>
          <w:szCs w:val="22"/>
          <w:lang w:val="hr-HR"/>
        </w:rPr>
      </w:pPr>
    </w:p>
    <w:p w14:paraId="5FDBA1E3" w14:textId="77777777" w:rsidR="009B57ED" w:rsidRPr="00510442" w:rsidRDefault="003E2B6E" w:rsidP="00D44559">
      <w:pPr>
        <w:pStyle w:val="Text"/>
        <w:keepNext/>
        <w:spacing w:before="0"/>
        <w:jc w:val="left"/>
        <w:rPr>
          <w:color w:val="000000"/>
          <w:sz w:val="22"/>
          <w:szCs w:val="22"/>
          <w:lang w:val="hr-HR"/>
        </w:rPr>
      </w:pPr>
      <w:r w:rsidRPr="00510442">
        <w:rPr>
          <w:sz w:val="22"/>
          <w:szCs w:val="22"/>
          <w:lang w:val="hr-HR"/>
        </w:rPr>
        <w:t>Klasifikacija poremećaja funkcije jetre</w:t>
      </w:r>
      <w:r w:rsidR="009B57ED" w:rsidRPr="00510442">
        <w:rPr>
          <w:color w:val="000000"/>
          <w:sz w:val="22"/>
          <w:szCs w:val="22"/>
          <w:lang w:val="hr-HR"/>
        </w:rPr>
        <w:t>:</w:t>
      </w:r>
    </w:p>
    <w:p w14:paraId="07DE5E61" w14:textId="77777777" w:rsidR="009B57ED" w:rsidRPr="00510442" w:rsidRDefault="009B57ED" w:rsidP="00D44559">
      <w:pPr>
        <w:pStyle w:val="Text"/>
        <w:keepNext/>
        <w:spacing w:before="0"/>
        <w:jc w:val="left"/>
        <w:rPr>
          <w:color w:val="000000"/>
          <w:sz w:val="22"/>
          <w:szCs w:val="22"/>
          <w:lang w:val="hr-H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4"/>
        <w:gridCol w:w="5811"/>
      </w:tblGrid>
      <w:tr w:rsidR="009B57ED" w:rsidRPr="00510442" w14:paraId="255CCC97" w14:textId="77777777" w:rsidTr="00D44559">
        <w:trPr>
          <w:cantSplit/>
        </w:trPr>
        <w:tc>
          <w:tcPr>
            <w:tcW w:w="2694" w:type="dxa"/>
          </w:tcPr>
          <w:p w14:paraId="78D76BB4" w14:textId="77777777" w:rsidR="009B57ED" w:rsidRPr="00510442" w:rsidRDefault="003E2B6E" w:rsidP="00D44559">
            <w:pPr>
              <w:pStyle w:val="Text"/>
              <w:keepNext/>
              <w:spacing w:before="0"/>
              <w:jc w:val="left"/>
              <w:rPr>
                <w:color w:val="000000"/>
                <w:sz w:val="22"/>
                <w:szCs w:val="22"/>
                <w:lang w:val="hr-HR"/>
              </w:rPr>
            </w:pPr>
            <w:r w:rsidRPr="00510442">
              <w:rPr>
                <w:sz w:val="22"/>
                <w:szCs w:val="22"/>
                <w:lang w:val="hr-HR"/>
              </w:rPr>
              <w:t>Poremećaj funkcije jetre</w:t>
            </w:r>
          </w:p>
        </w:tc>
        <w:tc>
          <w:tcPr>
            <w:tcW w:w="5811" w:type="dxa"/>
          </w:tcPr>
          <w:p w14:paraId="7B4BC8A1" w14:textId="77777777" w:rsidR="009B57ED" w:rsidRPr="00510442" w:rsidRDefault="003E2B6E" w:rsidP="00D44559">
            <w:pPr>
              <w:pStyle w:val="Text"/>
              <w:keepNext/>
              <w:spacing w:before="0"/>
              <w:jc w:val="left"/>
              <w:rPr>
                <w:color w:val="000000"/>
                <w:sz w:val="22"/>
                <w:szCs w:val="22"/>
                <w:lang w:val="hr-HR"/>
              </w:rPr>
            </w:pPr>
            <w:r w:rsidRPr="00510442">
              <w:rPr>
                <w:sz w:val="22"/>
                <w:szCs w:val="22"/>
                <w:lang w:val="hr-HR"/>
              </w:rPr>
              <w:t>Testovi funkcije jetre</w:t>
            </w:r>
          </w:p>
        </w:tc>
      </w:tr>
      <w:tr w:rsidR="009B57ED" w:rsidRPr="00F410C8" w14:paraId="58712D55" w14:textId="77777777" w:rsidTr="00D44559">
        <w:trPr>
          <w:cantSplit/>
        </w:trPr>
        <w:tc>
          <w:tcPr>
            <w:tcW w:w="2694" w:type="dxa"/>
          </w:tcPr>
          <w:p w14:paraId="74217952" w14:textId="77777777" w:rsidR="009B57ED" w:rsidRPr="00510442" w:rsidRDefault="003E2B6E" w:rsidP="00D44559">
            <w:pPr>
              <w:pStyle w:val="Text"/>
              <w:keepNext/>
              <w:spacing w:before="0"/>
              <w:jc w:val="left"/>
              <w:rPr>
                <w:color w:val="000000"/>
                <w:sz w:val="22"/>
                <w:szCs w:val="22"/>
                <w:lang w:val="hr-HR"/>
              </w:rPr>
            </w:pPr>
            <w:r w:rsidRPr="00510442">
              <w:rPr>
                <w:color w:val="000000"/>
                <w:sz w:val="22"/>
                <w:szCs w:val="22"/>
                <w:lang w:val="hr-HR"/>
              </w:rPr>
              <w:t>Blagi</w:t>
            </w:r>
          </w:p>
        </w:tc>
        <w:tc>
          <w:tcPr>
            <w:tcW w:w="5811" w:type="dxa"/>
          </w:tcPr>
          <w:p w14:paraId="43382F08" w14:textId="77777777" w:rsidR="009B57ED" w:rsidRPr="00510442" w:rsidRDefault="003E2B6E" w:rsidP="00D44559">
            <w:pPr>
              <w:keepNext/>
              <w:spacing w:line="240" w:lineRule="auto"/>
              <w:rPr>
                <w:snapToGrid w:val="0"/>
                <w:color w:val="000000"/>
                <w:szCs w:val="22"/>
                <w:lang w:val="hr-HR"/>
              </w:rPr>
            </w:pPr>
            <w:r w:rsidRPr="00510442">
              <w:rPr>
                <w:szCs w:val="22"/>
                <w:lang w:val="hr-HR"/>
              </w:rPr>
              <w:t>Ukupni bilirubin</w:t>
            </w:r>
            <w:r w:rsidR="009B57ED" w:rsidRPr="00510442">
              <w:rPr>
                <w:snapToGrid w:val="0"/>
                <w:color w:val="000000"/>
                <w:szCs w:val="22"/>
                <w:lang w:val="hr-HR"/>
              </w:rPr>
              <w:t>: = 1</w:t>
            </w:r>
            <w:r w:rsidRPr="00510442">
              <w:rPr>
                <w:snapToGrid w:val="0"/>
                <w:color w:val="000000"/>
                <w:szCs w:val="22"/>
                <w:lang w:val="hr-HR"/>
              </w:rPr>
              <w:t>,</w:t>
            </w:r>
            <w:r w:rsidR="009B57ED" w:rsidRPr="00510442">
              <w:rPr>
                <w:snapToGrid w:val="0"/>
                <w:color w:val="000000"/>
                <w:szCs w:val="22"/>
                <w:lang w:val="hr-HR"/>
              </w:rPr>
              <w:t>5 </w:t>
            </w:r>
            <w:r w:rsidR="007F69A8" w:rsidRPr="00510442">
              <w:rPr>
                <w:snapToGrid w:val="0"/>
                <w:color w:val="000000"/>
                <w:szCs w:val="22"/>
                <w:lang w:val="hr-HR"/>
              </w:rPr>
              <w:t>GG</w:t>
            </w:r>
            <w:r w:rsidR="009B57ED" w:rsidRPr="00510442">
              <w:rPr>
                <w:snapToGrid w:val="0"/>
                <w:color w:val="000000"/>
                <w:szCs w:val="22"/>
                <w:lang w:val="hr-HR"/>
              </w:rPr>
              <w:t>N</w:t>
            </w:r>
          </w:p>
          <w:p w14:paraId="5D7123A4" w14:textId="77777777" w:rsidR="009B57ED" w:rsidRPr="00510442" w:rsidRDefault="009B57ED" w:rsidP="00D44559">
            <w:pPr>
              <w:pStyle w:val="Text"/>
              <w:keepNext/>
              <w:spacing w:before="0"/>
              <w:jc w:val="left"/>
              <w:rPr>
                <w:color w:val="000000"/>
                <w:sz w:val="22"/>
                <w:szCs w:val="22"/>
                <w:lang w:val="hr-HR"/>
              </w:rPr>
            </w:pPr>
            <w:r w:rsidRPr="00510442">
              <w:rPr>
                <w:snapToGrid w:val="0"/>
                <w:color w:val="000000"/>
                <w:sz w:val="22"/>
                <w:szCs w:val="22"/>
                <w:lang w:val="hr-HR"/>
              </w:rPr>
              <w:t>AST: &gt;</w:t>
            </w:r>
            <w:r w:rsidR="007F69A8" w:rsidRPr="00510442">
              <w:rPr>
                <w:snapToGrid w:val="0"/>
                <w:color w:val="000000"/>
                <w:sz w:val="22"/>
                <w:szCs w:val="22"/>
                <w:lang w:val="hr-HR"/>
              </w:rPr>
              <w:t>GG</w:t>
            </w:r>
            <w:r w:rsidRPr="00510442">
              <w:rPr>
                <w:snapToGrid w:val="0"/>
                <w:color w:val="000000"/>
                <w:sz w:val="22"/>
                <w:szCs w:val="22"/>
                <w:lang w:val="hr-HR"/>
              </w:rPr>
              <w:t>N (</w:t>
            </w:r>
            <w:r w:rsidR="003E2B6E" w:rsidRPr="00510442">
              <w:rPr>
                <w:sz w:val="22"/>
                <w:szCs w:val="22"/>
                <w:lang w:val="hr-HR"/>
              </w:rPr>
              <w:t xml:space="preserve">može biti normalan ili </w:t>
            </w:r>
            <w:r w:rsidRPr="00510442">
              <w:rPr>
                <w:snapToGrid w:val="0"/>
                <w:color w:val="000000"/>
                <w:sz w:val="22"/>
                <w:szCs w:val="22"/>
                <w:lang w:val="hr-HR"/>
              </w:rPr>
              <w:t>&lt;</w:t>
            </w:r>
            <w:r w:rsidR="007F69A8" w:rsidRPr="00510442">
              <w:rPr>
                <w:snapToGrid w:val="0"/>
                <w:color w:val="000000"/>
                <w:sz w:val="22"/>
                <w:szCs w:val="22"/>
                <w:lang w:val="hr-HR"/>
              </w:rPr>
              <w:t>GG</w:t>
            </w:r>
            <w:r w:rsidRPr="00510442">
              <w:rPr>
                <w:snapToGrid w:val="0"/>
                <w:color w:val="000000"/>
                <w:sz w:val="22"/>
                <w:szCs w:val="22"/>
                <w:lang w:val="hr-HR"/>
              </w:rPr>
              <w:t xml:space="preserve">N </w:t>
            </w:r>
            <w:r w:rsidR="003E2B6E" w:rsidRPr="00510442">
              <w:rPr>
                <w:sz w:val="22"/>
                <w:szCs w:val="22"/>
                <w:lang w:val="hr-HR"/>
              </w:rPr>
              <w:t>ako je ukupni bilirubin</w:t>
            </w:r>
            <w:r w:rsidR="003E2B6E" w:rsidRPr="00510442">
              <w:rPr>
                <w:snapToGrid w:val="0"/>
                <w:color w:val="000000"/>
                <w:sz w:val="22"/>
                <w:szCs w:val="22"/>
                <w:lang w:val="hr-HR"/>
              </w:rPr>
              <w:t xml:space="preserve"> </w:t>
            </w:r>
            <w:r w:rsidRPr="00510442">
              <w:rPr>
                <w:snapToGrid w:val="0"/>
                <w:color w:val="000000"/>
                <w:sz w:val="22"/>
                <w:szCs w:val="22"/>
                <w:lang w:val="hr-HR"/>
              </w:rPr>
              <w:t>&gt;</w:t>
            </w:r>
            <w:r w:rsidR="007F69A8" w:rsidRPr="00510442">
              <w:rPr>
                <w:snapToGrid w:val="0"/>
                <w:color w:val="000000"/>
                <w:sz w:val="22"/>
                <w:szCs w:val="22"/>
                <w:lang w:val="hr-HR"/>
              </w:rPr>
              <w:t>GG</w:t>
            </w:r>
            <w:r w:rsidRPr="00510442">
              <w:rPr>
                <w:snapToGrid w:val="0"/>
                <w:color w:val="000000"/>
                <w:sz w:val="22"/>
                <w:szCs w:val="22"/>
                <w:lang w:val="hr-HR"/>
              </w:rPr>
              <w:t>N)</w:t>
            </w:r>
          </w:p>
        </w:tc>
      </w:tr>
      <w:tr w:rsidR="009B57ED" w:rsidRPr="00F410C8" w14:paraId="39FE33F7" w14:textId="77777777" w:rsidTr="00D44559">
        <w:trPr>
          <w:cantSplit/>
        </w:trPr>
        <w:tc>
          <w:tcPr>
            <w:tcW w:w="2694" w:type="dxa"/>
          </w:tcPr>
          <w:p w14:paraId="08E4FF28" w14:textId="77777777" w:rsidR="009B57ED" w:rsidRPr="00510442" w:rsidRDefault="003E2B6E" w:rsidP="00D44559">
            <w:pPr>
              <w:pStyle w:val="Text"/>
              <w:keepNext/>
              <w:spacing w:before="0"/>
              <w:jc w:val="left"/>
              <w:rPr>
                <w:color w:val="000000"/>
                <w:sz w:val="22"/>
                <w:szCs w:val="22"/>
                <w:lang w:val="hr-HR"/>
              </w:rPr>
            </w:pPr>
            <w:r w:rsidRPr="00510442">
              <w:rPr>
                <w:sz w:val="22"/>
                <w:szCs w:val="22"/>
                <w:lang w:val="hr-HR"/>
              </w:rPr>
              <w:t>Umjereni</w:t>
            </w:r>
          </w:p>
        </w:tc>
        <w:tc>
          <w:tcPr>
            <w:tcW w:w="5811" w:type="dxa"/>
          </w:tcPr>
          <w:p w14:paraId="541D5CE0" w14:textId="77777777" w:rsidR="009B57ED" w:rsidRPr="00510442" w:rsidRDefault="003E2B6E" w:rsidP="00D44559">
            <w:pPr>
              <w:keepNext/>
              <w:spacing w:line="240" w:lineRule="auto"/>
              <w:rPr>
                <w:snapToGrid w:val="0"/>
                <w:color w:val="000000"/>
                <w:szCs w:val="22"/>
                <w:lang w:val="hr-HR"/>
              </w:rPr>
            </w:pPr>
            <w:r w:rsidRPr="00510442">
              <w:rPr>
                <w:szCs w:val="22"/>
                <w:lang w:val="hr-HR"/>
              </w:rPr>
              <w:t>Ukupni bilirubin</w:t>
            </w:r>
            <w:r w:rsidR="009B57ED" w:rsidRPr="00510442">
              <w:rPr>
                <w:snapToGrid w:val="0"/>
                <w:color w:val="000000"/>
                <w:szCs w:val="22"/>
                <w:lang w:val="hr-HR"/>
              </w:rPr>
              <w:t>: &gt;1</w:t>
            </w:r>
            <w:r w:rsidRPr="00510442">
              <w:rPr>
                <w:snapToGrid w:val="0"/>
                <w:color w:val="000000"/>
                <w:szCs w:val="22"/>
                <w:lang w:val="hr-HR"/>
              </w:rPr>
              <w:t>,</w:t>
            </w:r>
            <w:r w:rsidR="009B57ED" w:rsidRPr="00510442">
              <w:rPr>
                <w:snapToGrid w:val="0"/>
                <w:color w:val="000000"/>
                <w:szCs w:val="22"/>
                <w:lang w:val="hr-HR"/>
              </w:rPr>
              <w:t>5</w:t>
            </w:r>
            <w:r w:rsidR="00B3500D" w:rsidRPr="00510442">
              <w:rPr>
                <w:color w:val="000000"/>
                <w:szCs w:val="22"/>
                <w:lang w:val="hr-HR"/>
              </w:rPr>
              <w:noBreakHyphen/>
            </w:r>
            <w:r w:rsidR="009B57ED" w:rsidRPr="00510442">
              <w:rPr>
                <w:snapToGrid w:val="0"/>
                <w:color w:val="000000"/>
                <w:szCs w:val="22"/>
                <w:lang w:val="hr-HR"/>
              </w:rPr>
              <w:t>3</w:t>
            </w:r>
            <w:r w:rsidRPr="00510442">
              <w:rPr>
                <w:snapToGrid w:val="0"/>
                <w:color w:val="000000"/>
                <w:szCs w:val="22"/>
                <w:lang w:val="hr-HR"/>
              </w:rPr>
              <w:t>,</w:t>
            </w:r>
            <w:r w:rsidR="009B57ED" w:rsidRPr="00510442">
              <w:rPr>
                <w:snapToGrid w:val="0"/>
                <w:color w:val="000000"/>
                <w:szCs w:val="22"/>
                <w:lang w:val="hr-HR"/>
              </w:rPr>
              <w:t>0 </w:t>
            </w:r>
            <w:r w:rsidR="007F69A8" w:rsidRPr="00510442">
              <w:rPr>
                <w:snapToGrid w:val="0"/>
                <w:color w:val="000000"/>
                <w:szCs w:val="22"/>
                <w:lang w:val="hr-HR"/>
              </w:rPr>
              <w:t>GG</w:t>
            </w:r>
            <w:r w:rsidR="009B57ED" w:rsidRPr="00510442">
              <w:rPr>
                <w:snapToGrid w:val="0"/>
                <w:color w:val="000000"/>
                <w:szCs w:val="22"/>
                <w:lang w:val="hr-HR"/>
              </w:rPr>
              <w:t>N</w:t>
            </w:r>
          </w:p>
          <w:p w14:paraId="0580D1D3" w14:textId="77777777" w:rsidR="009B57ED" w:rsidRPr="00510442" w:rsidRDefault="009B57ED" w:rsidP="00D44559">
            <w:pPr>
              <w:pStyle w:val="Text"/>
              <w:keepNext/>
              <w:spacing w:before="0"/>
              <w:jc w:val="left"/>
              <w:rPr>
                <w:color w:val="000000"/>
                <w:sz w:val="22"/>
                <w:szCs w:val="22"/>
                <w:lang w:val="hr-HR"/>
              </w:rPr>
            </w:pPr>
            <w:r w:rsidRPr="00510442">
              <w:rPr>
                <w:snapToGrid w:val="0"/>
                <w:color w:val="000000"/>
                <w:sz w:val="22"/>
                <w:szCs w:val="22"/>
                <w:lang w:val="hr-HR"/>
              </w:rPr>
              <w:t xml:space="preserve">AST: </w:t>
            </w:r>
            <w:r w:rsidR="003E2B6E" w:rsidRPr="00510442">
              <w:rPr>
                <w:sz w:val="22"/>
                <w:szCs w:val="22"/>
                <w:lang w:val="hr-HR"/>
              </w:rPr>
              <w:t>bilo koja vrijednost</w:t>
            </w:r>
          </w:p>
        </w:tc>
      </w:tr>
      <w:tr w:rsidR="009B57ED" w:rsidRPr="00F410C8" w14:paraId="754EC5A8" w14:textId="77777777" w:rsidTr="00D44559">
        <w:trPr>
          <w:cantSplit/>
        </w:trPr>
        <w:tc>
          <w:tcPr>
            <w:tcW w:w="2694" w:type="dxa"/>
          </w:tcPr>
          <w:p w14:paraId="681C59ED" w14:textId="77777777" w:rsidR="009B57ED" w:rsidRPr="00510442" w:rsidRDefault="003E2B6E" w:rsidP="00D44559">
            <w:pPr>
              <w:pStyle w:val="Text"/>
              <w:keepNext/>
              <w:spacing w:before="0"/>
              <w:jc w:val="left"/>
              <w:rPr>
                <w:color w:val="000000"/>
                <w:sz w:val="22"/>
                <w:szCs w:val="22"/>
                <w:lang w:val="hr-HR"/>
              </w:rPr>
            </w:pPr>
            <w:r w:rsidRPr="00510442">
              <w:rPr>
                <w:sz w:val="22"/>
                <w:szCs w:val="22"/>
                <w:lang w:val="hr-HR"/>
              </w:rPr>
              <w:t>Teški</w:t>
            </w:r>
          </w:p>
        </w:tc>
        <w:tc>
          <w:tcPr>
            <w:tcW w:w="5811" w:type="dxa"/>
          </w:tcPr>
          <w:p w14:paraId="22B2D914" w14:textId="77777777" w:rsidR="009B57ED" w:rsidRPr="00510442" w:rsidRDefault="003E2B6E" w:rsidP="00D44559">
            <w:pPr>
              <w:keepNext/>
              <w:spacing w:line="240" w:lineRule="auto"/>
              <w:rPr>
                <w:snapToGrid w:val="0"/>
                <w:color w:val="000000"/>
                <w:szCs w:val="22"/>
                <w:lang w:val="hr-HR"/>
              </w:rPr>
            </w:pPr>
            <w:r w:rsidRPr="00510442">
              <w:rPr>
                <w:szCs w:val="22"/>
                <w:lang w:val="hr-HR"/>
              </w:rPr>
              <w:t>Ukupni bilirubin</w:t>
            </w:r>
            <w:r w:rsidR="009B57ED" w:rsidRPr="00510442">
              <w:rPr>
                <w:snapToGrid w:val="0"/>
                <w:color w:val="000000"/>
                <w:szCs w:val="22"/>
                <w:lang w:val="hr-HR"/>
              </w:rPr>
              <w:t>: &gt;3</w:t>
            </w:r>
            <w:r w:rsidR="00B3500D" w:rsidRPr="00510442">
              <w:rPr>
                <w:color w:val="000000"/>
                <w:szCs w:val="22"/>
                <w:lang w:val="hr-HR"/>
              </w:rPr>
              <w:noBreakHyphen/>
            </w:r>
            <w:r w:rsidR="009B57ED" w:rsidRPr="00510442">
              <w:rPr>
                <w:snapToGrid w:val="0"/>
                <w:color w:val="000000"/>
                <w:szCs w:val="22"/>
                <w:lang w:val="hr-HR"/>
              </w:rPr>
              <w:t>10 </w:t>
            </w:r>
            <w:r w:rsidR="007F69A8" w:rsidRPr="00510442">
              <w:rPr>
                <w:snapToGrid w:val="0"/>
                <w:color w:val="000000"/>
                <w:szCs w:val="22"/>
                <w:lang w:val="hr-HR"/>
              </w:rPr>
              <w:t>GG</w:t>
            </w:r>
            <w:r w:rsidR="009B57ED" w:rsidRPr="00510442">
              <w:rPr>
                <w:snapToGrid w:val="0"/>
                <w:color w:val="000000"/>
                <w:szCs w:val="22"/>
                <w:lang w:val="hr-HR"/>
              </w:rPr>
              <w:t>N</w:t>
            </w:r>
          </w:p>
          <w:p w14:paraId="423E9108" w14:textId="77777777" w:rsidR="009B57ED" w:rsidRPr="00510442" w:rsidRDefault="009B57ED" w:rsidP="00D44559">
            <w:pPr>
              <w:pStyle w:val="Text"/>
              <w:keepNext/>
              <w:spacing w:before="0"/>
              <w:jc w:val="left"/>
              <w:rPr>
                <w:color w:val="000000"/>
                <w:sz w:val="22"/>
                <w:szCs w:val="22"/>
                <w:lang w:val="hr-HR"/>
              </w:rPr>
            </w:pPr>
            <w:r w:rsidRPr="00510442">
              <w:rPr>
                <w:snapToGrid w:val="0"/>
                <w:color w:val="000000"/>
                <w:sz w:val="22"/>
                <w:szCs w:val="22"/>
                <w:lang w:val="hr-HR"/>
              </w:rPr>
              <w:t xml:space="preserve">AST: </w:t>
            </w:r>
            <w:r w:rsidR="003E2B6E" w:rsidRPr="00510442">
              <w:rPr>
                <w:sz w:val="22"/>
                <w:szCs w:val="22"/>
                <w:lang w:val="hr-HR"/>
              </w:rPr>
              <w:t>bilo koja vrijednost</w:t>
            </w:r>
          </w:p>
        </w:tc>
      </w:tr>
    </w:tbl>
    <w:p w14:paraId="6A01B17E" w14:textId="77777777" w:rsidR="009B57ED" w:rsidRPr="00510442" w:rsidRDefault="0037123F" w:rsidP="00D44559">
      <w:pPr>
        <w:pStyle w:val="Text"/>
        <w:keepNext/>
        <w:spacing w:before="0"/>
        <w:jc w:val="left"/>
        <w:rPr>
          <w:color w:val="000000"/>
          <w:sz w:val="22"/>
          <w:szCs w:val="22"/>
          <w:lang w:val="hr-HR"/>
        </w:rPr>
      </w:pPr>
      <w:r w:rsidRPr="00510442">
        <w:rPr>
          <w:color w:val="000000"/>
          <w:sz w:val="22"/>
          <w:szCs w:val="22"/>
          <w:lang w:val="hr-HR"/>
        </w:rPr>
        <w:t>GG</w:t>
      </w:r>
      <w:r w:rsidR="009B57ED" w:rsidRPr="00510442">
        <w:rPr>
          <w:color w:val="000000"/>
          <w:sz w:val="22"/>
          <w:szCs w:val="22"/>
          <w:lang w:val="hr-HR"/>
        </w:rPr>
        <w:t xml:space="preserve">N = </w:t>
      </w:r>
      <w:r w:rsidR="003E2B6E" w:rsidRPr="00510442">
        <w:rPr>
          <w:sz w:val="22"/>
          <w:szCs w:val="22"/>
          <w:lang w:val="hr-HR"/>
        </w:rPr>
        <w:t>institucionalna gornja granica normale</w:t>
      </w:r>
    </w:p>
    <w:p w14:paraId="5E032B87" w14:textId="77777777" w:rsidR="009B57ED" w:rsidRPr="00510442" w:rsidRDefault="009B57ED" w:rsidP="00422F71">
      <w:pPr>
        <w:autoSpaceDE w:val="0"/>
        <w:autoSpaceDN w:val="0"/>
        <w:adjustRightInd w:val="0"/>
        <w:spacing w:line="240" w:lineRule="auto"/>
        <w:ind w:left="993" w:hanging="993"/>
        <w:rPr>
          <w:rFonts w:eastAsia="MS Mincho"/>
          <w:bCs/>
          <w:color w:val="000000"/>
          <w:szCs w:val="22"/>
          <w:lang w:val="hr-HR" w:eastAsia="ja-JP"/>
        </w:rPr>
      </w:pPr>
      <w:r w:rsidRPr="00510442">
        <w:rPr>
          <w:rFonts w:eastAsia="MS Mincho"/>
          <w:bCs/>
          <w:color w:val="000000"/>
          <w:szCs w:val="22"/>
          <w:lang w:val="hr-HR" w:eastAsia="ja-JP"/>
        </w:rPr>
        <w:t xml:space="preserve">AST = </w:t>
      </w:r>
      <w:r w:rsidR="003E2B6E" w:rsidRPr="00510442">
        <w:rPr>
          <w:szCs w:val="22"/>
          <w:lang w:val="hr-HR"/>
        </w:rPr>
        <w:t>aspartat-aminotransferaza</w:t>
      </w:r>
    </w:p>
    <w:p w14:paraId="3AA9C471" w14:textId="77777777" w:rsidR="009B57ED" w:rsidRPr="00510442" w:rsidRDefault="009B57ED" w:rsidP="00A74D02">
      <w:pPr>
        <w:pStyle w:val="EndnoteText"/>
        <w:widowControl w:val="0"/>
        <w:tabs>
          <w:tab w:val="clear" w:pos="567"/>
        </w:tabs>
        <w:rPr>
          <w:color w:val="000000"/>
          <w:szCs w:val="22"/>
          <w:lang w:val="hr-HR"/>
        </w:rPr>
      </w:pPr>
    </w:p>
    <w:p w14:paraId="1DE1FA32" w14:textId="77777777" w:rsidR="00E539BC" w:rsidRPr="00510442" w:rsidRDefault="003E2B6E" w:rsidP="007F1BD0">
      <w:pPr>
        <w:pStyle w:val="EndnoteText"/>
        <w:widowControl w:val="0"/>
        <w:tabs>
          <w:tab w:val="clear" w:pos="567"/>
        </w:tabs>
        <w:rPr>
          <w:color w:val="000000"/>
          <w:szCs w:val="22"/>
          <w:lang w:val="hr-HR"/>
        </w:rPr>
      </w:pPr>
      <w:r w:rsidRPr="00510442">
        <w:rPr>
          <w:i/>
          <w:szCs w:val="22"/>
          <w:lang w:val="hr-HR"/>
        </w:rPr>
        <w:t>Insuficijencija bubrega</w:t>
      </w:r>
      <w:r w:rsidR="00E539BC" w:rsidRPr="00510442">
        <w:rPr>
          <w:i/>
          <w:color w:val="000000"/>
          <w:szCs w:val="22"/>
          <w:lang w:val="hr-HR"/>
        </w:rPr>
        <w:t>:</w:t>
      </w:r>
      <w:r w:rsidR="00E539BC" w:rsidRPr="00510442">
        <w:rPr>
          <w:color w:val="000000"/>
          <w:szCs w:val="22"/>
          <w:lang w:val="hr-HR"/>
        </w:rPr>
        <w:t xml:space="preserve"> </w:t>
      </w:r>
      <w:r w:rsidRPr="00510442">
        <w:rPr>
          <w:color w:val="000000"/>
          <w:szCs w:val="22"/>
          <w:lang w:val="hr-HR"/>
        </w:rPr>
        <w:t xml:space="preserve">Bolesnici s poremećajem funkcije bubrega ili na dijalizi </w:t>
      </w:r>
      <w:r w:rsidRPr="00510442">
        <w:rPr>
          <w:szCs w:val="22"/>
          <w:lang w:val="hr-HR"/>
        </w:rPr>
        <w:t>trebaju primati minimalnu preporučenu dozu od</w:t>
      </w:r>
      <w:r w:rsidR="00E539BC" w:rsidRPr="00510442">
        <w:rPr>
          <w:rFonts w:eastAsia="SimSun"/>
          <w:color w:val="000000"/>
          <w:szCs w:val="22"/>
          <w:lang w:val="hr-HR" w:eastAsia="zh-CN"/>
        </w:rPr>
        <w:t xml:space="preserve"> 400 mg </w:t>
      </w:r>
      <w:r w:rsidR="00E237E3" w:rsidRPr="00510442">
        <w:rPr>
          <w:szCs w:val="22"/>
          <w:lang w:val="hr-HR"/>
        </w:rPr>
        <w:t xml:space="preserve">na dan </w:t>
      </w:r>
      <w:r w:rsidRPr="00510442">
        <w:rPr>
          <w:szCs w:val="22"/>
          <w:lang w:val="hr-HR"/>
        </w:rPr>
        <w:t>kao početnu dozu</w:t>
      </w:r>
      <w:r w:rsidR="00E539BC" w:rsidRPr="00510442">
        <w:rPr>
          <w:rFonts w:eastAsia="SimSun"/>
          <w:color w:val="000000"/>
          <w:szCs w:val="22"/>
          <w:lang w:val="hr-HR" w:eastAsia="zh-CN"/>
        </w:rPr>
        <w:t xml:space="preserve">. </w:t>
      </w:r>
      <w:r w:rsidRPr="00510442">
        <w:rPr>
          <w:szCs w:val="22"/>
          <w:lang w:val="hr-HR"/>
        </w:rPr>
        <w:t xml:space="preserve">Međutim, u tih bolesnika se preporučuje oprez. </w:t>
      </w:r>
      <w:r w:rsidR="00594294" w:rsidRPr="00510442">
        <w:rPr>
          <w:szCs w:val="22"/>
          <w:lang w:val="hr-HR"/>
        </w:rPr>
        <w:t>Doza se može smanjiti ako se ne podnosi</w:t>
      </w:r>
      <w:r w:rsidR="00E539BC" w:rsidRPr="00510442">
        <w:rPr>
          <w:color w:val="000000"/>
          <w:szCs w:val="22"/>
          <w:lang w:val="hr-HR"/>
        </w:rPr>
        <w:t xml:space="preserve">. </w:t>
      </w:r>
      <w:r w:rsidR="00594294" w:rsidRPr="00510442">
        <w:rPr>
          <w:color w:val="000000"/>
          <w:szCs w:val="22"/>
          <w:lang w:val="hr-HR"/>
        </w:rPr>
        <w:t>Ako se podnosi</w:t>
      </w:r>
      <w:r w:rsidR="00E539BC" w:rsidRPr="00510442">
        <w:rPr>
          <w:color w:val="000000"/>
          <w:szCs w:val="22"/>
          <w:lang w:val="hr-HR"/>
        </w:rPr>
        <w:t xml:space="preserve">, </w:t>
      </w:r>
      <w:r w:rsidR="00594294" w:rsidRPr="00510442">
        <w:rPr>
          <w:color w:val="000000"/>
          <w:szCs w:val="22"/>
          <w:lang w:val="hr-HR"/>
        </w:rPr>
        <w:t xml:space="preserve">doza se može </w:t>
      </w:r>
      <w:r w:rsidR="00594294" w:rsidRPr="00510442">
        <w:rPr>
          <w:szCs w:val="22"/>
          <w:lang w:val="hr-HR"/>
        </w:rPr>
        <w:t>povećati u nedostatku djelotvornosti</w:t>
      </w:r>
      <w:r w:rsidR="00E539BC" w:rsidRPr="00510442">
        <w:rPr>
          <w:color w:val="000000"/>
          <w:szCs w:val="22"/>
          <w:lang w:val="hr-HR"/>
        </w:rPr>
        <w:t xml:space="preserve"> (</w:t>
      </w:r>
      <w:r w:rsidR="00594294" w:rsidRPr="00510442">
        <w:rPr>
          <w:color w:val="000000"/>
          <w:szCs w:val="22"/>
          <w:lang w:val="hr-HR"/>
        </w:rPr>
        <w:t>vidjeti dijelove</w:t>
      </w:r>
      <w:r w:rsidR="00E539BC" w:rsidRPr="00510442">
        <w:rPr>
          <w:color w:val="000000"/>
          <w:szCs w:val="22"/>
          <w:lang w:val="hr-HR"/>
        </w:rPr>
        <w:t xml:space="preserve"> 4.4 </w:t>
      </w:r>
      <w:r w:rsidR="00594294" w:rsidRPr="00510442">
        <w:rPr>
          <w:color w:val="000000"/>
          <w:szCs w:val="22"/>
          <w:lang w:val="hr-HR"/>
        </w:rPr>
        <w:t>i</w:t>
      </w:r>
      <w:r w:rsidR="00E539BC" w:rsidRPr="00510442">
        <w:rPr>
          <w:color w:val="000000"/>
          <w:szCs w:val="22"/>
          <w:lang w:val="hr-HR"/>
        </w:rPr>
        <w:t xml:space="preserve"> 5.2).</w:t>
      </w:r>
    </w:p>
    <w:p w14:paraId="01480D29" w14:textId="77777777" w:rsidR="00E539BC" w:rsidRPr="00510442" w:rsidRDefault="00E539BC" w:rsidP="00954FF7">
      <w:pPr>
        <w:pStyle w:val="EndnoteText"/>
        <w:widowControl w:val="0"/>
        <w:tabs>
          <w:tab w:val="clear" w:pos="567"/>
        </w:tabs>
        <w:rPr>
          <w:color w:val="000000"/>
          <w:szCs w:val="22"/>
          <w:lang w:val="hr-HR"/>
        </w:rPr>
      </w:pPr>
    </w:p>
    <w:p w14:paraId="442D8BD3" w14:textId="77777777" w:rsidR="00E539BC" w:rsidRPr="00510442" w:rsidRDefault="000D141F" w:rsidP="0038669B">
      <w:pPr>
        <w:pStyle w:val="EndnoteText"/>
        <w:widowControl w:val="0"/>
        <w:tabs>
          <w:tab w:val="clear" w:pos="567"/>
        </w:tabs>
        <w:rPr>
          <w:color w:val="000000"/>
          <w:szCs w:val="22"/>
          <w:lang w:val="hr-HR"/>
        </w:rPr>
      </w:pPr>
      <w:r w:rsidRPr="00510442">
        <w:rPr>
          <w:i/>
          <w:color w:val="000000"/>
          <w:szCs w:val="22"/>
          <w:lang w:val="hr-HR"/>
        </w:rPr>
        <w:t xml:space="preserve">Stariji </w:t>
      </w:r>
      <w:r w:rsidR="004A452B" w:rsidRPr="00510442">
        <w:rPr>
          <w:i/>
          <w:color w:val="000000"/>
          <w:szCs w:val="22"/>
          <w:lang w:val="hr-HR"/>
        </w:rPr>
        <w:t>ljudi</w:t>
      </w:r>
      <w:r w:rsidR="00E539BC" w:rsidRPr="00510442">
        <w:rPr>
          <w:i/>
          <w:color w:val="000000"/>
          <w:szCs w:val="22"/>
          <w:lang w:val="hr-HR"/>
        </w:rPr>
        <w:t>:</w:t>
      </w:r>
      <w:r w:rsidR="00E539BC" w:rsidRPr="00510442">
        <w:rPr>
          <w:color w:val="000000"/>
          <w:szCs w:val="22"/>
          <w:lang w:val="hr-HR"/>
        </w:rPr>
        <w:t xml:space="preserve"> </w:t>
      </w:r>
      <w:r w:rsidRPr="00510442">
        <w:rPr>
          <w:szCs w:val="22"/>
          <w:lang w:val="hr-HR"/>
        </w:rPr>
        <w:t xml:space="preserve">farmakokinetika imatiniba nije specifično ispitivana u starijih </w:t>
      </w:r>
      <w:r w:rsidR="004A452B" w:rsidRPr="00510442">
        <w:rPr>
          <w:szCs w:val="22"/>
          <w:lang w:val="hr-HR"/>
        </w:rPr>
        <w:t>ljudi</w:t>
      </w:r>
      <w:r w:rsidR="00E539BC" w:rsidRPr="00510442">
        <w:rPr>
          <w:color w:val="000000"/>
          <w:szCs w:val="22"/>
          <w:lang w:val="hr-HR"/>
        </w:rPr>
        <w:t xml:space="preserve">. </w:t>
      </w:r>
      <w:r w:rsidRPr="00510442">
        <w:rPr>
          <w:szCs w:val="22"/>
          <w:lang w:val="hr-HR"/>
        </w:rPr>
        <w:t>U kliničkim ispitivanjima koja su uključivala preko 20% bolesnika u dobi od 65</w:t>
      </w:r>
      <w:r w:rsidR="00940B66" w:rsidRPr="00510442">
        <w:rPr>
          <w:szCs w:val="22"/>
          <w:lang w:val="hr-HR"/>
        </w:rPr>
        <w:t> </w:t>
      </w:r>
      <w:r w:rsidRPr="00510442">
        <w:rPr>
          <w:szCs w:val="22"/>
          <w:lang w:val="hr-HR"/>
        </w:rPr>
        <w:t>godina i više nisu zapažene značajne farmakokinetičke razlike vezane uz dob kod odraslih bolesnika</w:t>
      </w:r>
      <w:r w:rsidR="00E539BC" w:rsidRPr="00510442">
        <w:rPr>
          <w:color w:val="000000"/>
          <w:szCs w:val="22"/>
          <w:lang w:val="hr-HR"/>
        </w:rPr>
        <w:t xml:space="preserve">. </w:t>
      </w:r>
      <w:r w:rsidRPr="00510442">
        <w:rPr>
          <w:szCs w:val="22"/>
          <w:lang w:val="hr-HR"/>
        </w:rPr>
        <w:t xml:space="preserve">Za starije </w:t>
      </w:r>
      <w:r w:rsidR="004A452B" w:rsidRPr="00510442">
        <w:rPr>
          <w:szCs w:val="22"/>
          <w:lang w:val="hr-HR"/>
        </w:rPr>
        <w:t xml:space="preserve">ljude </w:t>
      </w:r>
      <w:r w:rsidRPr="00510442">
        <w:rPr>
          <w:szCs w:val="22"/>
          <w:lang w:val="hr-HR"/>
        </w:rPr>
        <w:t xml:space="preserve">nije potrebna </w:t>
      </w:r>
      <w:r w:rsidRPr="00510442">
        <w:rPr>
          <w:szCs w:val="22"/>
          <w:lang w:val="hr-HR"/>
        </w:rPr>
        <w:lastRenderedPageBreak/>
        <w:t>posebna preporuka doziranja</w:t>
      </w:r>
      <w:r w:rsidR="00E539BC" w:rsidRPr="00510442">
        <w:rPr>
          <w:color w:val="000000"/>
          <w:szCs w:val="22"/>
          <w:lang w:val="hr-HR"/>
        </w:rPr>
        <w:t>.</w:t>
      </w:r>
    </w:p>
    <w:p w14:paraId="225A04C2" w14:textId="77777777" w:rsidR="009B57ED" w:rsidRPr="00510442" w:rsidRDefault="009B57ED" w:rsidP="00236E0E">
      <w:pPr>
        <w:pStyle w:val="EndnoteText"/>
        <w:widowControl w:val="0"/>
        <w:tabs>
          <w:tab w:val="clear" w:pos="567"/>
        </w:tabs>
        <w:rPr>
          <w:color w:val="000000"/>
          <w:szCs w:val="22"/>
          <w:lang w:val="hr-HR"/>
        </w:rPr>
      </w:pPr>
    </w:p>
    <w:p w14:paraId="72754304" w14:textId="77777777" w:rsidR="00742D63" w:rsidRPr="00510442" w:rsidRDefault="00742D63" w:rsidP="00D44559">
      <w:pPr>
        <w:keepNext/>
        <w:tabs>
          <w:tab w:val="clear" w:pos="567"/>
        </w:tabs>
        <w:spacing w:line="240" w:lineRule="auto"/>
        <w:ind w:left="567" w:hanging="567"/>
        <w:rPr>
          <w:szCs w:val="22"/>
          <w:lang w:val="hr-HR"/>
        </w:rPr>
      </w:pPr>
      <w:r w:rsidRPr="00510442">
        <w:rPr>
          <w:b/>
          <w:szCs w:val="22"/>
          <w:lang w:val="hr-HR"/>
        </w:rPr>
        <w:t>4.3</w:t>
      </w:r>
      <w:r w:rsidRPr="00510442">
        <w:rPr>
          <w:b/>
          <w:szCs w:val="22"/>
          <w:lang w:val="hr-HR"/>
        </w:rPr>
        <w:tab/>
        <w:t>Kontraindikacije</w:t>
      </w:r>
    </w:p>
    <w:p w14:paraId="1798E7AB" w14:textId="77777777" w:rsidR="009B57ED" w:rsidRPr="00510442" w:rsidRDefault="009B57ED" w:rsidP="00D44559">
      <w:pPr>
        <w:pStyle w:val="EndnoteText"/>
        <w:keepNext/>
        <w:widowControl w:val="0"/>
        <w:tabs>
          <w:tab w:val="clear" w:pos="567"/>
        </w:tabs>
        <w:rPr>
          <w:color w:val="000000"/>
          <w:szCs w:val="22"/>
          <w:lang w:val="hr-HR"/>
        </w:rPr>
      </w:pPr>
    </w:p>
    <w:p w14:paraId="5FFC3E4C" w14:textId="77777777" w:rsidR="009B57ED" w:rsidRPr="00510442" w:rsidRDefault="00742D63" w:rsidP="003B190A">
      <w:pPr>
        <w:pStyle w:val="EndnoteText"/>
        <w:widowControl w:val="0"/>
        <w:tabs>
          <w:tab w:val="clear" w:pos="567"/>
        </w:tabs>
        <w:rPr>
          <w:color w:val="000000"/>
          <w:szCs w:val="22"/>
          <w:lang w:val="hr-HR"/>
        </w:rPr>
      </w:pPr>
      <w:r w:rsidRPr="00510442">
        <w:rPr>
          <w:szCs w:val="22"/>
          <w:lang w:val="hr-HR"/>
        </w:rPr>
        <w:t>Preosjetljivost na djelatnu tvar ili neku od pomoćnih tvari navedenih u dijelu 6.1.</w:t>
      </w:r>
    </w:p>
    <w:p w14:paraId="6AEEC5C5" w14:textId="77777777" w:rsidR="009B57ED" w:rsidRPr="00510442" w:rsidRDefault="009B57ED" w:rsidP="004D775F">
      <w:pPr>
        <w:pStyle w:val="EndnoteText"/>
        <w:widowControl w:val="0"/>
        <w:tabs>
          <w:tab w:val="clear" w:pos="567"/>
        </w:tabs>
        <w:rPr>
          <w:color w:val="000000"/>
          <w:szCs w:val="22"/>
          <w:lang w:val="hr-HR"/>
        </w:rPr>
      </w:pPr>
    </w:p>
    <w:p w14:paraId="65260070" w14:textId="77777777" w:rsidR="00742D63" w:rsidRPr="00510442" w:rsidRDefault="00742D63" w:rsidP="00D44559">
      <w:pPr>
        <w:keepNext/>
        <w:tabs>
          <w:tab w:val="clear" w:pos="567"/>
        </w:tabs>
        <w:spacing w:line="240" w:lineRule="auto"/>
        <w:ind w:left="567" w:hanging="567"/>
        <w:rPr>
          <w:b/>
          <w:szCs w:val="22"/>
          <w:lang w:val="hr-HR"/>
        </w:rPr>
      </w:pPr>
      <w:r w:rsidRPr="00510442">
        <w:rPr>
          <w:b/>
          <w:szCs w:val="22"/>
          <w:lang w:val="hr-HR"/>
        </w:rPr>
        <w:t>4.4</w:t>
      </w:r>
      <w:r w:rsidRPr="00510442">
        <w:rPr>
          <w:b/>
          <w:szCs w:val="22"/>
          <w:lang w:val="hr-HR"/>
        </w:rPr>
        <w:tab/>
        <w:t>Posebna upozorenja i mjere opreza pri uporabi</w:t>
      </w:r>
    </w:p>
    <w:p w14:paraId="7DEBBBD9" w14:textId="77777777" w:rsidR="009B57ED" w:rsidRPr="00510442" w:rsidRDefault="009B57ED" w:rsidP="00D44559">
      <w:pPr>
        <w:pStyle w:val="EndnoteText"/>
        <w:keepNext/>
        <w:widowControl w:val="0"/>
        <w:tabs>
          <w:tab w:val="clear" w:pos="567"/>
        </w:tabs>
        <w:rPr>
          <w:color w:val="000000"/>
          <w:szCs w:val="22"/>
          <w:lang w:val="hr-HR"/>
        </w:rPr>
      </w:pPr>
    </w:p>
    <w:p w14:paraId="57927B00" w14:textId="77777777" w:rsidR="009B57ED" w:rsidRPr="00510442" w:rsidRDefault="003A2166" w:rsidP="009F6FC2">
      <w:pPr>
        <w:pStyle w:val="EndnoteText"/>
        <w:widowControl w:val="0"/>
        <w:tabs>
          <w:tab w:val="clear" w:pos="567"/>
          <w:tab w:val="left" w:pos="7655"/>
        </w:tabs>
        <w:rPr>
          <w:color w:val="000000"/>
          <w:szCs w:val="22"/>
          <w:lang w:val="hr-HR"/>
        </w:rPr>
      </w:pPr>
      <w:r w:rsidRPr="00510442">
        <w:rPr>
          <w:szCs w:val="22"/>
          <w:lang w:val="hr-HR"/>
        </w:rPr>
        <w:t>Kada se Glivec primjenjuje isto</w:t>
      </w:r>
      <w:r w:rsidR="00B45790" w:rsidRPr="00510442">
        <w:rPr>
          <w:szCs w:val="22"/>
          <w:lang w:val="hr-HR"/>
        </w:rPr>
        <w:t>dobn</w:t>
      </w:r>
      <w:r w:rsidRPr="00510442">
        <w:rPr>
          <w:szCs w:val="22"/>
          <w:lang w:val="hr-HR"/>
        </w:rPr>
        <w:t>o s drugim lijekovima postoji mogućnost za interakcije lijekova</w:t>
      </w:r>
      <w:r w:rsidR="009B57ED" w:rsidRPr="00510442">
        <w:rPr>
          <w:color w:val="000000"/>
          <w:szCs w:val="22"/>
          <w:lang w:val="hr-HR"/>
        </w:rPr>
        <w:t>.</w:t>
      </w:r>
      <w:r w:rsidR="00E539BC" w:rsidRPr="00510442">
        <w:rPr>
          <w:color w:val="000000"/>
          <w:szCs w:val="22"/>
          <w:lang w:val="hr-HR"/>
        </w:rPr>
        <w:t xml:space="preserve"> </w:t>
      </w:r>
      <w:r w:rsidRPr="00510442">
        <w:rPr>
          <w:color w:val="000000"/>
          <w:szCs w:val="22"/>
          <w:lang w:val="hr-HR"/>
        </w:rPr>
        <w:t>Potreban je oprez kada se</w:t>
      </w:r>
      <w:r w:rsidR="00E539BC" w:rsidRPr="00510442">
        <w:rPr>
          <w:szCs w:val="22"/>
          <w:lang w:val="hr-HR"/>
        </w:rPr>
        <w:t xml:space="preserve"> Glivec </w:t>
      </w:r>
      <w:r w:rsidRPr="00510442">
        <w:rPr>
          <w:szCs w:val="22"/>
          <w:lang w:val="hr-HR"/>
        </w:rPr>
        <w:t>uzima s</w:t>
      </w:r>
      <w:r w:rsidR="00E539BC" w:rsidRPr="00510442">
        <w:rPr>
          <w:szCs w:val="22"/>
          <w:lang w:val="hr-HR"/>
        </w:rPr>
        <w:t xml:space="preserve"> </w:t>
      </w:r>
      <w:r w:rsidR="00AB7DFB" w:rsidRPr="00510442">
        <w:rPr>
          <w:szCs w:val="22"/>
          <w:lang w:val="hr-HR"/>
        </w:rPr>
        <w:t>inhibitorima proteaze, azolnim antimikoticima, određenim makrolidima (vidjeti dio 4.5)</w:t>
      </w:r>
      <w:r w:rsidR="00E539BC" w:rsidRPr="00510442">
        <w:rPr>
          <w:szCs w:val="22"/>
          <w:lang w:val="hr-HR"/>
        </w:rPr>
        <w:t>, CYP3A4 su</w:t>
      </w:r>
      <w:r w:rsidRPr="00510442">
        <w:rPr>
          <w:szCs w:val="22"/>
          <w:lang w:val="hr-HR"/>
        </w:rPr>
        <w:t>p</w:t>
      </w:r>
      <w:r w:rsidR="00E539BC" w:rsidRPr="00510442">
        <w:rPr>
          <w:szCs w:val="22"/>
          <w:lang w:val="hr-HR"/>
        </w:rPr>
        <w:t>strat</w:t>
      </w:r>
      <w:r w:rsidRPr="00510442">
        <w:rPr>
          <w:szCs w:val="22"/>
          <w:lang w:val="hr-HR"/>
        </w:rPr>
        <w:t>ima</w:t>
      </w:r>
      <w:r w:rsidR="00E539BC" w:rsidRPr="00510442">
        <w:rPr>
          <w:szCs w:val="22"/>
          <w:lang w:val="hr-HR"/>
        </w:rPr>
        <w:t xml:space="preserve"> </w:t>
      </w:r>
      <w:r w:rsidRPr="00510442">
        <w:rPr>
          <w:szCs w:val="22"/>
          <w:lang w:val="hr-HR"/>
        </w:rPr>
        <w:t>s usk</w:t>
      </w:r>
      <w:r w:rsidR="00795C86" w:rsidRPr="00510442">
        <w:rPr>
          <w:szCs w:val="22"/>
          <w:lang w:val="hr-HR"/>
        </w:rPr>
        <w:t>i</w:t>
      </w:r>
      <w:r w:rsidRPr="00510442">
        <w:rPr>
          <w:szCs w:val="22"/>
          <w:lang w:val="hr-HR"/>
        </w:rPr>
        <w:t>m terapijsk</w:t>
      </w:r>
      <w:r w:rsidR="00795C86" w:rsidRPr="00510442">
        <w:rPr>
          <w:szCs w:val="22"/>
          <w:lang w:val="hr-HR"/>
        </w:rPr>
        <w:t>i</w:t>
      </w:r>
      <w:r w:rsidRPr="00510442">
        <w:rPr>
          <w:szCs w:val="22"/>
          <w:lang w:val="hr-HR"/>
        </w:rPr>
        <w:t xml:space="preserve">m </w:t>
      </w:r>
      <w:r w:rsidR="00795C86" w:rsidRPr="00510442">
        <w:rPr>
          <w:szCs w:val="22"/>
          <w:lang w:val="hr-HR"/>
        </w:rPr>
        <w:t>prozorom</w:t>
      </w:r>
      <w:r w:rsidR="00E539BC" w:rsidRPr="00510442">
        <w:rPr>
          <w:szCs w:val="22"/>
          <w:lang w:val="hr-HR"/>
        </w:rPr>
        <w:t xml:space="preserve"> (</w:t>
      </w:r>
      <w:r w:rsidRPr="00510442">
        <w:rPr>
          <w:szCs w:val="22"/>
          <w:lang w:val="hr-HR"/>
        </w:rPr>
        <w:t>npr</w:t>
      </w:r>
      <w:r w:rsidR="00E539BC" w:rsidRPr="00510442">
        <w:rPr>
          <w:szCs w:val="22"/>
          <w:lang w:val="hr-HR"/>
        </w:rPr>
        <w:t xml:space="preserve">. </w:t>
      </w:r>
      <w:r w:rsidRPr="00510442">
        <w:rPr>
          <w:szCs w:val="22"/>
          <w:lang w:val="hr-HR"/>
        </w:rPr>
        <w:t>ciklosporin</w:t>
      </w:r>
      <w:r w:rsidR="00AB7DFB" w:rsidRPr="00510442">
        <w:rPr>
          <w:szCs w:val="22"/>
          <w:lang w:val="hr-HR"/>
        </w:rPr>
        <w:t>,</w:t>
      </w:r>
      <w:r w:rsidRPr="00510442">
        <w:rPr>
          <w:szCs w:val="22"/>
          <w:lang w:val="hr-HR"/>
        </w:rPr>
        <w:t xml:space="preserve"> pimozid</w:t>
      </w:r>
      <w:r w:rsidR="00AB7DFB" w:rsidRPr="00510442">
        <w:rPr>
          <w:szCs w:val="22"/>
          <w:lang w:val="hr-HR"/>
        </w:rPr>
        <w:t>, takrolimus, sirolimus, ergotamin, diergotamin, fentanil, a</w:t>
      </w:r>
      <w:r w:rsidR="0048609B" w:rsidRPr="00510442">
        <w:rPr>
          <w:szCs w:val="22"/>
          <w:lang w:val="hr-HR"/>
        </w:rPr>
        <w:t>l</w:t>
      </w:r>
      <w:r w:rsidR="00AB7DFB" w:rsidRPr="00510442">
        <w:rPr>
          <w:szCs w:val="22"/>
          <w:lang w:val="hr-HR"/>
        </w:rPr>
        <w:t>fentanil, terfenadin, bortezomib, docetaksel, kvinidin</w:t>
      </w:r>
      <w:r w:rsidR="00E539BC" w:rsidRPr="00510442">
        <w:rPr>
          <w:szCs w:val="22"/>
          <w:lang w:val="hr-HR"/>
        </w:rPr>
        <w:t xml:space="preserve">) </w:t>
      </w:r>
      <w:r w:rsidRPr="00510442">
        <w:rPr>
          <w:szCs w:val="22"/>
          <w:lang w:val="hr-HR"/>
        </w:rPr>
        <w:t>ili</w:t>
      </w:r>
      <w:r w:rsidR="00E539BC" w:rsidRPr="00510442">
        <w:rPr>
          <w:szCs w:val="22"/>
          <w:lang w:val="hr-HR"/>
        </w:rPr>
        <w:t xml:space="preserve"> </w:t>
      </w:r>
      <w:r w:rsidRPr="00510442">
        <w:rPr>
          <w:szCs w:val="22"/>
          <w:lang w:val="hr-HR"/>
        </w:rPr>
        <w:t>v</w:t>
      </w:r>
      <w:r w:rsidR="00E539BC" w:rsidRPr="00510442">
        <w:rPr>
          <w:szCs w:val="22"/>
          <w:lang w:val="hr-HR"/>
        </w:rPr>
        <w:t>arfarin</w:t>
      </w:r>
      <w:r w:rsidR="00795EE1" w:rsidRPr="00510442">
        <w:rPr>
          <w:szCs w:val="22"/>
          <w:lang w:val="hr-HR"/>
        </w:rPr>
        <w:t>om</w:t>
      </w:r>
      <w:r w:rsidR="00E539BC" w:rsidRPr="00510442">
        <w:rPr>
          <w:szCs w:val="22"/>
          <w:lang w:val="hr-HR"/>
        </w:rPr>
        <w:t xml:space="preserve"> </w:t>
      </w:r>
      <w:r w:rsidRPr="00510442">
        <w:rPr>
          <w:szCs w:val="22"/>
          <w:lang w:val="hr-HR"/>
        </w:rPr>
        <w:t>i drugi</w:t>
      </w:r>
      <w:r w:rsidR="00795EE1" w:rsidRPr="00510442">
        <w:rPr>
          <w:szCs w:val="22"/>
          <w:lang w:val="hr-HR"/>
        </w:rPr>
        <w:t>m</w:t>
      </w:r>
      <w:r w:rsidRPr="00510442">
        <w:rPr>
          <w:szCs w:val="22"/>
          <w:lang w:val="hr-HR"/>
        </w:rPr>
        <w:t xml:space="preserve"> </w:t>
      </w:r>
      <w:r w:rsidR="00882861" w:rsidRPr="00510442">
        <w:rPr>
          <w:szCs w:val="22"/>
          <w:lang w:val="hr-HR"/>
        </w:rPr>
        <w:t>derivati</w:t>
      </w:r>
      <w:r w:rsidR="00795EE1" w:rsidRPr="00510442">
        <w:rPr>
          <w:szCs w:val="22"/>
          <w:lang w:val="hr-HR"/>
        </w:rPr>
        <w:t>ma</w:t>
      </w:r>
      <w:r w:rsidR="00882861" w:rsidRPr="00510442">
        <w:rPr>
          <w:szCs w:val="22"/>
          <w:lang w:val="hr-HR"/>
        </w:rPr>
        <w:t xml:space="preserve"> </w:t>
      </w:r>
      <w:r w:rsidRPr="00510442">
        <w:rPr>
          <w:szCs w:val="22"/>
          <w:lang w:val="hr-HR"/>
        </w:rPr>
        <w:t>kumarin</w:t>
      </w:r>
      <w:r w:rsidR="00882861" w:rsidRPr="00510442">
        <w:rPr>
          <w:szCs w:val="22"/>
          <w:lang w:val="hr-HR"/>
        </w:rPr>
        <w:t>a</w:t>
      </w:r>
      <w:r w:rsidR="00E539BC" w:rsidRPr="00510442">
        <w:rPr>
          <w:szCs w:val="22"/>
          <w:lang w:val="hr-HR"/>
        </w:rPr>
        <w:t xml:space="preserve"> (</w:t>
      </w:r>
      <w:r w:rsidRPr="00510442">
        <w:rPr>
          <w:szCs w:val="22"/>
          <w:lang w:val="hr-HR"/>
        </w:rPr>
        <w:t>vidjeti dio</w:t>
      </w:r>
      <w:r w:rsidR="00E539BC" w:rsidRPr="00510442">
        <w:rPr>
          <w:szCs w:val="22"/>
          <w:lang w:val="hr-HR"/>
        </w:rPr>
        <w:t xml:space="preserve"> 4.5).</w:t>
      </w:r>
    </w:p>
    <w:p w14:paraId="2985A2EA" w14:textId="77777777" w:rsidR="009B57ED" w:rsidRPr="00510442" w:rsidRDefault="009B57ED" w:rsidP="00EB15D1">
      <w:pPr>
        <w:pStyle w:val="EndnoteText"/>
        <w:widowControl w:val="0"/>
        <w:tabs>
          <w:tab w:val="clear" w:pos="567"/>
          <w:tab w:val="left" w:pos="7655"/>
        </w:tabs>
        <w:rPr>
          <w:color w:val="000000"/>
          <w:szCs w:val="22"/>
          <w:lang w:val="hr-HR"/>
        </w:rPr>
      </w:pPr>
    </w:p>
    <w:p w14:paraId="06C7C4C7" w14:textId="68BA263C" w:rsidR="009B57ED" w:rsidRPr="00510442" w:rsidRDefault="00F57A24" w:rsidP="00A742FC">
      <w:pPr>
        <w:pStyle w:val="EndnoteText"/>
        <w:widowControl w:val="0"/>
        <w:tabs>
          <w:tab w:val="clear" w:pos="567"/>
          <w:tab w:val="left" w:pos="7655"/>
        </w:tabs>
        <w:rPr>
          <w:color w:val="000000"/>
          <w:szCs w:val="22"/>
          <w:lang w:val="hr-HR"/>
        </w:rPr>
      </w:pPr>
      <w:r w:rsidRPr="00510442">
        <w:rPr>
          <w:szCs w:val="22"/>
          <w:lang w:val="hr-HR"/>
        </w:rPr>
        <w:t>Isto</w:t>
      </w:r>
      <w:r w:rsidR="00B45790" w:rsidRPr="00510442">
        <w:rPr>
          <w:szCs w:val="22"/>
          <w:lang w:val="hr-HR"/>
        </w:rPr>
        <w:t>dobn</w:t>
      </w:r>
      <w:r w:rsidRPr="00510442">
        <w:rPr>
          <w:szCs w:val="22"/>
          <w:lang w:val="hr-HR"/>
        </w:rPr>
        <w:t xml:space="preserve">a primjena imatiniba i lijekova koji induciraju CYP3A4 (npr. deksametazon, fenitoin, karbamazepin, rifampicin, fenobarbital ili </w:t>
      </w:r>
      <w:r w:rsidRPr="00510442">
        <w:rPr>
          <w:i/>
          <w:szCs w:val="22"/>
          <w:lang w:val="hr-HR"/>
        </w:rPr>
        <w:t>Hypericum perforatum</w:t>
      </w:r>
      <w:r w:rsidRPr="00510442">
        <w:rPr>
          <w:szCs w:val="22"/>
          <w:lang w:val="hr-HR"/>
        </w:rPr>
        <w:t xml:space="preserve">, poznat također kao gospina trava) može značajno smanjiti izloženost </w:t>
      </w:r>
      <w:r w:rsidR="00561038">
        <w:rPr>
          <w:szCs w:val="22"/>
          <w:lang w:val="hr-HR"/>
        </w:rPr>
        <w:t xml:space="preserve">lijeku </w:t>
      </w:r>
      <w:r w:rsidRPr="00510442">
        <w:rPr>
          <w:szCs w:val="22"/>
          <w:lang w:val="hr-HR"/>
        </w:rPr>
        <w:t xml:space="preserve">Glivec, što potencijalno povećava rizik od neuspjeha terapije. Zbog toga treba izbjegavati istodobnu </w:t>
      </w:r>
      <w:r w:rsidR="00E54B5E" w:rsidRPr="00510442">
        <w:rPr>
          <w:szCs w:val="22"/>
          <w:lang w:val="hr-HR"/>
        </w:rPr>
        <w:t xml:space="preserve">primjenu </w:t>
      </w:r>
      <w:r w:rsidRPr="00510442">
        <w:rPr>
          <w:szCs w:val="22"/>
          <w:lang w:val="hr-HR"/>
        </w:rPr>
        <w:t>jakih CYP3A4 induktora i imatiniba (vidjeti dio 4.5).</w:t>
      </w:r>
    </w:p>
    <w:p w14:paraId="38D4AAA2" w14:textId="77777777" w:rsidR="00CF4A74" w:rsidRPr="00510442" w:rsidRDefault="00CF4A74" w:rsidP="00D57A17">
      <w:pPr>
        <w:pStyle w:val="EndnoteText"/>
        <w:widowControl w:val="0"/>
        <w:tabs>
          <w:tab w:val="clear" w:pos="567"/>
          <w:tab w:val="left" w:pos="7655"/>
        </w:tabs>
        <w:rPr>
          <w:color w:val="000000"/>
          <w:szCs w:val="22"/>
          <w:lang w:val="hr-HR"/>
        </w:rPr>
      </w:pPr>
    </w:p>
    <w:p w14:paraId="51A2E65C" w14:textId="77777777" w:rsidR="00D75BB4" w:rsidRPr="00510442" w:rsidRDefault="00735353" w:rsidP="00D44559">
      <w:pPr>
        <w:pStyle w:val="EndnoteText"/>
        <w:keepNext/>
        <w:widowControl w:val="0"/>
        <w:tabs>
          <w:tab w:val="clear" w:pos="567"/>
          <w:tab w:val="left" w:pos="7655"/>
        </w:tabs>
        <w:rPr>
          <w:color w:val="000000"/>
          <w:szCs w:val="22"/>
          <w:u w:val="single"/>
          <w:lang w:val="hr-HR"/>
        </w:rPr>
      </w:pPr>
      <w:r w:rsidRPr="00510442">
        <w:rPr>
          <w:color w:val="000000"/>
          <w:szCs w:val="22"/>
          <w:u w:val="single"/>
          <w:lang w:val="hr-HR"/>
        </w:rPr>
        <w:t>Hipotireoza</w:t>
      </w:r>
    </w:p>
    <w:p w14:paraId="716C4BA2" w14:textId="4859B66B" w:rsidR="009B57ED" w:rsidRPr="00510442" w:rsidRDefault="002C5C14" w:rsidP="00C51EC7">
      <w:pPr>
        <w:pStyle w:val="EndnoteText"/>
        <w:widowControl w:val="0"/>
        <w:tabs>
          <w:tab w:val="clear" w:pos="567"/>
          <w:tab w:val="left" w:pos="7655"/>
        </w:tabs>
        <w:rPr>
          <w:iCs/>
          <w:color w:val="000000"/>
          <w:szCs w:val="22"/>
          <w:lang w:val="hr-HR"/>
        </w:rPr>
      </w:pPr>
      <w:r w:rsidRPr="00510442">
        <w:rPr>
          <w:szCs w:val="22"/>
          <w:lang w:val="hr-HR"/>
        </w:rPr>
        <w:t>U bolesnika u kojih je obavljena tireoidektomija i koji primaju nadomjesnu terapiju levotiroksinom zabilježeni su klinički slučajevi hipotireo</w:t>
      </w:r>
      <w:r w:rsidR="00F072A8" w:rsidRPr="00510442">
        <w:rPr>
          <w:szCs w:val="22"/>
          <w:lang w:val="hr-HR"/>
        </w:rPr>
        <w:t>ze</w:t>
      </w:r>
      <w:r w:rsidRPr="00510442">
        <w:rPr>
          <w:szCs w:val="22"/>
          <w:lang w:val="hr-HR"/>
        </w:rPr>
        <w:t xml:space="preserve"> tijekom liječenja </w:t>
      </w:r>
      <w:r w:rsidR="00951360">
        <w:rPr>
          <w:szCs w:val="22"/>
          <w:lang w:val="hr-HR"/>
        </w:rPr>
        <w:t xml:space="preserve">lijekom </w:t>
      </w:r>
      <w:r w:rsidRPr="00510442">
        <w:rPr>
          <w:szCs w:val="22"/>
          <w:lang w:val="hr-HR"/>
        </w:rPr>
        <w:t xml:space="preserve">Glivec (vidjeti dio </w:t>
      </w:r>
      <w:r w:rsidR="003113B7" w:rsidRPr="00510442">
        <w:rPr>
          <w:iCs/>
          <w:color w:val="000000"/>
          <w:szCs w:val="22"/>
          <w:lang w:val="hr-HR"/>
        </w:rPr>
        <w:t>4.5)</w:t>
      </w:r>
      <w:r w:rsidR="00CF4A74" w:rsidRPr="00510442">
        <w:rPr>
          <w:iCs/>
          <w:color w:val="000000"/>
          <w:szCs w:val="22"/>
          <w:lang w:val="hr-HR"/>
        </w:rPr>
        <w:t xml:space="preserve">. </w:t>
      </w:r>
      <w:r w:rsidRPr="00510442">
        <w:rPr>
          <w:szCs w:val="22"/>
          <w:lang w:val="hr-HR"/>
        </w:rPr>
        <w:t xml:space="preserve">U takvih bolesnika trebaju se pažljivo pratiti razine </w:t>
      </w:r>
      <w:r w:rsidR="00A94359" w:rsidRPr="00510442">
        <w:rPr>
          <w:szCs w:val="22"/>
          <w:lang w:val="hr-HR"/>
        </w:rPr>
        <w:t>tireotropina</w:t>
      </w:r>
      <w:r w:rsidR="00E539BC" w:rsidRPr="00510442">
        <w:rPr>
          <w:iCs/>
          <w:color w:val="000000"/>
          <w:szCs w:val="22"/>
          <w:lang w:val="hr-HR"/>
        </w:rPr>
        <w:t xml:space="preserve"> (TSH)</w:t>
      </w:r>
      <w:r w:rsidRPr="00510442">
        <w:rPr>
          <w:iCs/>
          <w:color w:val="000000"/>
          <w:szCs w:val="22"/>
          <w:lang w:val="hr-HR"/>
        </w:rPr>
        <w:t>.</w:t>
      </w:r>
    </w:p>
    <w:p w14:paraId="629E7B7D" w14:textId="77777777" w:rsidR="00D75BB4" w:rsidRPr="00510442" w:rsidRDefault="00D75BB4" w:rsidP="00CB66CC">
      <w:pPr>
        <w:pStyle w:val="EndnoteText"/>
        <w:widowControl w:val="0"/>
        <w:tabs>
          <w:tab w:val="clear" w:pos="567"/>
          <w:tab w:val="left" w:pos="7655"/>
        </w:tabs>
        <w:rPr>
          <w:color w:val="000000"/>
          <w:szCs w:val="22"/>
          <w:u w:val="single"/>
          <w:lang w:val="hr-HR"/>
        </w:rPr>
      </w:pPr>
    </w:p>
    <w:p w14:paraId="74F44B24" w14:textId="77777777" w:rsidR="00CF4A74" w:rsidRPr="00510442" w:rsidRDefault="00D75BB4" w:rsidP="00D44559">
      <w:pPr>
        <w:pStyle w:val="EndnoteText"/>
        <w:keepNext/>
        <w:widowControl w:val="0"/>
        <w:tabs>
          <w:tab w:val="clear" w:pos="567"/>
          <w:tab w:val="left" w:pos="7655"/>
        </w:tabs>
        <w:rPr>
          <w:color w:val="000000"/>
          <w:szCs w:val="22"/>
          <w:u w:val="single"/>
          <w:lang w:val="hr-HR"/>
        </w:rPr>
      </w:pPr>
      <w:r w:rsidRPr="00510442">
        <w:rPr>
          <w:color w:val="000000"/>
          <w:szCs w:val="22"/>
          <w:u w:val="single"/>
          <w:lang w:val="hr-HR"/>
        </w:rPr>
        <w:t>Hepatoto</w:t>
      </w:r>
      <w:r w:rsidR="00472719" w:rsidRPr="00510442">
        <w:rPr>
          <w:color w:val="000000"/>
          <w:szCs w:val="22"/>
          <w:u w:val="single"/>
          <w:lang w:val="hr-HR"/>
        </w:rPr>
        <w:t>ks</w:t>
      </w:r>
      <w:r w:rsidRPr="00510442">
        <w:rPr>
          <w:color w:val="000000"/>
          <w:szCs w:val="22"/>
          <w:u w:val="single"/>
          <w:lang w:val="hr-HR"/>
        </w:rPr>
        <w:t>i</w:t>
      </w:r>
      <w:r w:rsidR="00472719" w:rsidRPr="00510442">
        <w:rPr>
          <w:color w:val="000000"/>
          <w:szCs w:val="22"/>
          <w:u w:val="single"/>
          <w:lang w:val="hr-HR"/>
        </w:rPr>
        <w:t>čnost</w:t>
      </w:r>
    </w:p>
    <w:p w14:paraId="5AF39106" w14:textId="34B812EB" w:rsidR="009B57ED" w:rsidRPr="00510442" w:rsidRDefault="00472719" w:rsidP="00112AD1">
      <w:pPr>
        <w:pStyle w:val="EndnoteText"/>
        <w:widowControl w:val="0"/>
        <w:tabs>
          <w:tab w:val="clear" w:pos="567"/>
        </w:tabs>
        <w:rPr>
          <w:color w:val="000000"/>
          <w:szCs w:val="22"/>
          <w:lang w:val="hr-HR"/>
        </w:rPr>
      </w:pPr>
      <w:r w:rsidRPr="00510442">
        <w:rPr>
          <w:szCs w:val="22"/>
          <w:lang w:val="hr-HR"/>
        </w:rPr>
        <w:t xml:space="preserve">Metabolizam </w:t>
      </w:r>
      <w:r w:rsidR="00512481" w:rsidRPr="00512481">
        <w:rPr>
          <w:szCs w:val="22"/>
          <w:lang w:val="hr-HR"/>
        </w:rPr>
        <w:t xml:space="preserve">lijeka </w:t>
      </w:r>
      <w:r w:rsidRPr="00510442">
        <w:rPr>
          <w:szCs w:val="22"/>
          <w:lang w:val="hr-HR"/>
        </w:rPr>
        <w:t>Glivec odvija se uglavnom preko jetre, dok se samo 13% izlučuje preko bubrega. U bolesnika s poremećajem funkcije jetre (blagi, umjereni ili teški), potrebno je pažljivo pratiti perifernu krvnu sliku i jetrene enzime (vidjeti dijelove 4.2, 4.8 i 5.2). Potrebno je imati na umu da bolesnici s GIST-om mogu imati metastaze u jetri koje mogu dovesti do oštećenja jetre</w:t>
      </w:r>
      <w:r w:rsidR="009B57ED" w:rsidRPr="00510442">
        <w:rPr>
          <w:color w:val="000000"/>
          <w:szCs w:val="22"/>
          <w:lang w:val="hr-HR"/>
        </w:rPr>
        <w:t>.</w:t>
      </w:r>
    </w:p>
    <w:p w14:paraId="4D0F7137" w14:textId="77777777" w:rsidR="00286082" w:rsidRPr="00510442" w:rsidRDefault="00286082" w:rsidP="00112AD1">
      <w:pPr>
        <w:pStyle w:val="EndnoteText"/>
        <w:widowControl w:val="0"/>
        <w:tabs>
          <w:tab w:val="clear" w:pos="567"/>
        </w:tabs>
        <w:rPr>
          <w:color w:val="000000"/>
          <w:szCs w:val="22"/>
          <w:lang w:val="hr-HR"/>
        </w:rPr>
      </w:pPr>
    </w:p>
    <w:p w14:paraId="6477233E" w14:textId="77777777" w:rsidR="00482352" w:rsidRPr="00510442" w:rsidRDefault="00472719" w:rsidP="00AC2C24">
      <w:pPr>
        <w:pStyle w:val="EndnoteText"/>
        <w:widowControl w:val="0"/>
        <w:tabs>
          <w:tab w:val="clear" w:pos="567"/>
        </w:tabs>
        <w:rPr>
          <w:color w:val="000000"/>
          <w:szCs w:val="22"/>
          <w:lang w:val="hr-HR"/>
        </w:rPr>
      </w:pPr>
      <w:r w:rsidRPr="00510442">
        <w:rPr>
          <w:szCs w:val="22"/>
          <w:lang w:val="hr-HR"/>
        </w:rPr>
        <w:t>Uz imatinib su uočeni slučajevi oštećenja jetre, uključujući zatajenje jetre i jetrenu nekrozu. Kada se imatinib kombinirao s režimima visokih doza kemoterapije otkriveno je povećanje ozbiljnih jetrenih reakcija. U slučajevima kada se imatinib kombinira s režimima kemoterapije za koje je poznato da su povezani s poremećajem funkcije jetre potrebno je pažljivo praćenje jetrene funkcije (vidjeti dijelove 4.5 i 4.8).</w:t>
      </w:r>
    </w:p>
    <w:p w14:paraId="499000AD" w14:textId="77777777" w:rsidR="00D75BB4" w:rsidRPr="00510442" w:rsidRDefault="00D75BB4" w:rsidP="00C1291A">
      <w:pPr>
        <w:pStyle w:val="EndnoteText"/>
        <w:widowControl w:val="0"/>
        <w:tabs>
          <w:tab w:val="clear" w:pos="567"/>
        </w:tabs>
        <w:rPr>
          <w:color w:val="000000"/>
          <w:szCs w:val="22"/>
          <w:lang w:val="hr-HR"/>
        </w:rPr>
      </w:pPr>
    </w:p>
    <w:p w14:paraId="3476D00E" w14:textId="77777777" w:rsidR="009B57ED" w:rsidRPr="00510442" w:rsidRDefault="00681D97" w:rsidP="00D44559">
      <w:pPr>
        <w:pStyle w:val="EndnoteText"/>
        <w:keepNext/>
        <w:widowControl w:val="0"/>
        <w:tabs>
          <w:tab w:val="clear" w:pos="567"/>
        </w:tabs>
        <w:rPr>
          <w:color w:val="000000"/>
          <w:szCs w:val="22"/>
          <w:lang w:val="hr-HR"/>
        </w:rPr>
      </w:pPr>
      <w:r w:rsidRPr="00510442">
        <w:rPr>
          <w:color w:val="000000"/>
          <w:szCs w:val="22"/>
          <w:u w:val="single"/>
          <w:lang w:val="hr-HR"/>
        </w:rPr>
        <w:t>Retencija tekućine</w:t>
      </w:r>
    </w:p>
    <w:p w14:paraId="4D186F71" w14:textId="77777777" w:rsidR="009B57ED" w:rsidRPr="00510442" w:rsidRDefault="00681D97" w:rsidP="0091773C">
      <w:pPr>
        <w:pStyle w:val="EndnoteText"/>
        <w:widowControl w:val="0"/>
        <w:tabs>
          <w:tab w:val="clear" w:pos="567"/>
        </w:tabs>
        <w:rPr>
          <w:color w:val="000000"/>
          <w:szCs w:val="22"/>
          <w:lang w:val="hr-HR"/>
        </w:rPr>
      </w:pPr>
      <w:r w:rsidRPr="00510442">
        <w:rPr>
          <w:szCs w:val="22"/>
          <w:lang w:val="hr-HR"/>
        </w:rPr>
        <w:t xml:space="preserve">Pojava teške retencije tekućine (pleuralni izljev, edem, plućni edem, ascites, površinski edem) zabilježena je u približno 2,5% novodijagnosticiranih </w:t>
      </w:r>
      <w:r w:rsidR="00B655F5" w:rsidRPr="00510442">
        <w:rPr>
          <w:szCs w:val="22"/>
          <w:lang w:val="hr-HR"/>
        </w:rPr>
        <w:t>K</w:t>
      </w:r>
      <w:r w:rsidRPr="00510442">
        <w:rPr>
          <w:szCs w:val="22"/>
          <w:lang w:val="hr-HR"/>
        </w:rPr>
        <w:t xml:space="preserve">ML bolesnika koji su uzimali Glivec. Zbog toga se naročito preporučuje redovito kontrolirati tjelesnu težinu bolesnika. Neočekivani, nagli porast tjelesne težine treba pažljivo ispitati te, ukoliko je potrebno, poduzeti odgovarajuće suportivne i terapijske mjere. U kliničkim je ispitivanjima zabilježena povećana </w:t>
      </w:r>
      <w:r w:rsidR="00087DD3" w:rsidRPr="00510442">
        <w:rPr>
          <w:szCs w:val="22"/>
          <w:lang w:val="hr-HR"/>
        </w:rPr>
        <w:t>incidencija</w:t>
      </w:r>
      <w:r w:rsidRPr="00510442">
        <w:rPr>
          <w:szCs w:val="22"/>
          <w:lang w:val="hr-HR"/>
        </w:rPr>
        <w:t xml:space="preserve"> tih događaja u starijih </w:t>
      </w:r>
      <w:r w:rsidR="004A452B" w:rsidRPr="00510442">
        <w:rPr>
          <w:szCs w:val="22"/>
          <w:lang w:val="hr-HR"/>
        </w:rPr>
        <w:t xml:space="preserve">ljudi </w:t>
      </w:r>
      <w:r w:rsidRPr="00510442">
        <w:rPr>
          <w:szCs w:val="22"/>
          <w:lang w:val="hr-HR"/>
        </w:rPr>
        <w:t>te u onih koji su ranije bolovali od bolesti srca. Zbog toga se mora oprezno postupati u bolesnika s poremećenom srčanom funkcijom.</w:t>
      </w:r>
    </w:p>
    <w:p w14:paraId="3D783165" w14:textId="77777777" w:rsidR="00D75BB4" w:rsidRPr="00510442" w:rsidRDefault="00D75BB4" w:rsidP="0091773C">
      <w:pPr>
        <w:pStyle w:val="EndnoteText"/>
        <w:widowControl w:val="0"/>
        <w:tabs>
          <w:tab w:val="clear" w:pos="567"/>
        </w:tabs>
        <w:rPr>
          <w:color w:val="000000"/>
          <w:szCs w:val="22"/>
          <w:lang w:val="hr-HR"/>
        </w:rPr>
      </w:pPr>
    </w:p>
    <w:p w14:paraId="470BC662" w14:textId="77777777" w:rsidR="00254208" w:rsidRPr="00510442" w:rsidRDefault="00EC0756" w:rsidP="00D44559">
      <w:pPr>
        <w:pStyle w:val="EndnoteText"/>
        <w:keepNext/>
        <w:widowControl w:val="0"/>
        <w:tabs>
          <w:tab w:val="clear" w:pos="567"/>
        </w:tabs>
        <w:rPr>
          <w:color w:val="000000"/>
          <w:szCs w:val="22"/>
          <w:lang w:val="hr-HR"/>
        </w:rPr>
      </w:pPr>
      <w:r w:rsidRPr="00510442">
        <w:rPr>
          <w:color w:val="000000"/>
          <w:szCs w:val="22"/>
          <w:u w:val="single"/>
          <w:lang w:val="hr-HR"/>
        </w:rPr>
        <w:t>Bolesnici sa srčanom bolešću</w:t>
      </w:r>
    </w:p>
    <w:p w14:paraId="29C67D83" w14:textId="77777777" w:rsidR="00254208" w:rsidRPr="00510442" w:rsidRDefault="00EC0756" w:rsidP="003B339C">
      <w:pPr>
        <w:pStyle w:val="EndnoteText"/>
        <w:widowControl w:val="0"/>
        <w:tabs>
          <w:tab w:val="clear" w:pos="567"/>
        </w:tabs>
        <w:rPr>
          <w:color w:val="000000"/>
          <w:szCs w:val="22"/>
          <w:lang w:val="hr-HR"/>
        </w:rPr>
      </w:pPr>
      <w:r w:rsidRPr="00510442">
        <w:rPr>
          <w:color w:val="000000"/>
          <w:szCs w:val="22"/>
          <w:lang w:val="hr-HR"/>
        </w:rPr>
        <w:t xml:space="preserve">Bolesnike sa srčanom </w:t>
      </w:r>
      <w:r w:rsidR="008760B2" w:rsidRPr="00510442">
        <w:rPr>
          <w:color w:val="000000"/>
          <w:szCs w:val="22"/>
          <w:lang w:val="hr-HR"/>
        </w:rPr>
        <w:t>bolešću</w:t>
      </w:r>
      <w:r w:rsidR="00EC14E0" w:rsidRPr="00510442">
        <w:rPr>
          <w:color w:val="000000"/>
          <w:szCs w:val="22"/>
          <w:lang w:val="hr-HR"/>
        </w:rPr>
        <w:t>,</w:t>
      </w:r>
      <w:r w:rsidR="00254208" w:rsidRPr="00510442">
        <w:rPr>
          <w:color w:val="000000"/>
          <w:szCs w:val="22"/>
          <w:lang w:val="hr-HR"/>
        </w:rPr>
        <w:t xml:space="preserve"> </w:t>
      </w:r>
      <w:r w:rsidRPr="00510442">
        <w:rPr>
          <w:color w:val="000000"/>
          <w:szCs w:val="22"/>
          <w:lang w:val="hr-HR"/>
        </w:rPr>
        <w:t>faktorom rizika za</w:t>
      </w:r>
      <w:r w:rsidR="00254208" w:rsidRPr="00510442">
        <w:rPr>
          <w:color w:val="000000"/>
          <w:szCs w:val="22"/>
          <w:lang w:val="hr-HR"/>
        </w:rPr>
        <w:t xml:space="preserve"> </w:t>
      </w:r>
      <w:r w:rsidRPr="00510442">
        <w:rPr>
          <w:szCs w:val="22"/>
          <w:lang w:val="hr-HR"/>
        </w:rPr>
        <w:t>zatajenje srca ili ranijim zatajenjem bubrega</w:t>
      </w:r>
      <w:r w:rsidR="00EC14E0" w:rsidRPr="00510442">
        <w:rPr>
          <w:color w:val="000000"/>
          <w:szCs w:val="22"/>
          <w:lang w:val="hr-HR"/>
        </w:rPr>
        <w:t xml:space="preserve"> </w:t>
      </w:r>
      <w:r w:rsidRPr="00510442">
        <w:rPr>
          <w:szCs w:val="22"/>
          <w:lang w:val="hr-HR"/>
        </w:rPr>
        <w:t>treba pažljivo pratiti, a svakog bolesnika sa znakovima ili simptomima koji ukazuju na zatajenje srca ili bubrega treba pregledati i liječiti</w:t>
      </w:r>
      <w:r w:rsidR="00254208" w:rsidRPr="00510442">
        <w:rPr>
          <w:color w:val="000000"/>
          <w:szCs w:val="22"/>
          <w:lang w:val="hr-HR"/>
        </w:rPr>
        <w:t>.</w:t>
      </w:r>
    </w:p>
    <w:p w14:paraId="3EC9D13F" w14:textId="77777777" w:rsidR="00254208" w:rsidRPr="00510442" w:rsidRDefault="00254208" w:rsidP="003B339C">
      <w:pPr>
        <w:pStyle w:val="Text"/>
        <w:spacing w:before="0"/>
        <w:jc w:val="left"/>
        <w:rPr>
          <w:color w:val="000000"/>
          <w:sz w:val="22"/>
          <w:szCs w:val="22"/>
          <w:lang w:val="hr-HR"/>
        </w:rPr>
      </w:pPr>
    </w:p>
    <w:p w14:paraId="5F6D42BD" w14:textId="77777777" w:rsidR="00A76122" w:rsidRPr="00510442" w:rsidRDefault="00E3504C" w:rsidP="00204719">
      <w:pPr>
        <w:pStyle w:val="Text"/>
        <w:spacing w:before="0"/>
        <w:jc w:val="left"/>
        <w:rPr>
          <w:sz w:val="22"/>
          <w:szCs w:val="22"/>
          <w:lang w:val="hr-HR"/>
        </w:rPr>
      </w:pPr>
      <w:r w:rsidRPr="00510442">
        <w:rPr>
          <w:sz w:val="22"/>
          <w:szCs w:val="22"/>
          <w:lang w:val="hr-HR"/>
        </w:rPr>
        <w:t xml:space="preserve">U bolesnika s hipereozinofilnim sindromom (HES) </w:t>
      </w:r>
      <w:r w:rsidR="00A76122" w:rsidRPr="00510442">
        <w:rPr>
          <w:sz w:val="22"/>
          <w:szCs w:val="22"/>
          <w:lang w:val="hr-HR"/>
        </w:rPr>
        <w:t xml:space="preserve">s </w:t>
      </w:r>
      <w:r w:rsidR="008760B2" w:rsidRPr="00510442">
        <w:rPr>
          <w:sz w:val="22"/>
          <w:szCs w:val="22"/>
          <w:lang w:val="hr-HR"/>
        </w:rPr>
        <w:t>okultnom</w:t>
      </w:r>
      <w:r w:rsidR="00A76122" w:rsidRPr="00510442">
        <w:rPr>
          <w:sz w:val="22"/>
          <w:szCs w:val="22"/>
          <w:lang w:val="hr-HR"/>
        </w:rPr>
        <w:t xml:space="preserve"> infiltracijom HES stanica unutar miokarda</w:t>
      </w:r>
      <w:r w:rsidR="008760B2" w:rsidRPr="00510442">
        <w:rPr>
          <w:sz w:val="22"/>
          <w:szCs w:val="22"/>
          <w:lang w:val="hr-HR"/>
        </w:rPr>
        <w:t>,</w:t>
      </w:r>
      <w:r w:rsidR="00A76122" w:rsidRPr="00510442">
        <w:rPr>
          <w:sz w:val="22"/>
          <w:szCs w:val="22"/>
          <w:lang w:val="hr-HR"/>
        </w:rPr>
        <w:t xml:space="preserve"> </w:t>
      </w:r>
      <w:r w:rsidRPr="00510442">
        <w:rPr>
          <w:sz w:val="22"/>
          <w:szCs w:val="22"/>
          <w:lang w:val="hr-HR"/>
        </w:rPr>
        <w:t>izolirani slučajevi kardiogenog šoka/disfunkcije lijeve klijetke</w:t>
      </w:r>
      <w:r w:rsidR="00A76122" w:rsidRPr="00510442">
        <w:rPr>
          <w:sz w:val="22"/>
          <w:szCs w:val="22"/>
          <w:lang w:val="hr-HR"/>
        </w:rPr>
        <w:t xml:space="preserve"> bili </w:t>
      </w:r>
      <w:r w:rsidR="008760B2" w:rsidRPr="00510442">
        <w:rPr>
          <w:sz w:val="22"/>
          <w:szCs w:val="22"/>
          <w:lang w:val="hr-HR"/>
        </w:rPr>
        <w:t xml:space="preserve">su </w:t>
      </w:r>
      <w:r w:rsidR="00A76122" w:rsidRPr="00510442">
        <w:rPr>
          <w:sz w:val="22"/>
          <w:szCs w:val="22"/>
          <w:lang w:val="hr-HR"/>
        </w:rPr>
        <w:t>povezani s degranulacijom HES stanica po uvođenju terapije imatinibom</w:t>
      </w:r>
      <w:r w:rsidRPr="00510442">
        <w:rPr>
          <w:sz w:val="22"/>
          <w:szCs w:val="22"/>
          <w:lang w:val="hr-HR"/>
        </w:rPr>
        <w:t>. Zabilježena je reverzibilnost stanja uz primjenu sistemskih steroida, cirkulatornih potpornih mjera i privremeno ukidanje imatiniba. Budući da su srčane nuspojave zabilježene manje često uz imatinib, prije početka liječenja u HES/</w:t>
      </w:r>
      <w:r w:rsidR="00C00697" w:rsidRPr="00510442">
        <w:rPr>
          <w:sz w:val="22"/>
          <w:szCs w:val="22"/>
          <w:lang w:val="hr-HR"/>
        </w:rPr>
        <w:t>K</w:t>
      </w:r>
      <w:r w:rsidRPr="00510442">
        <w:rPr>
          <w:sz w:val="22"/>
          <w:szCs w:val="22"/>
          <w:lang w:val="hr-HR"/>
        </w:rPr>
        <w:t>EL populaciji potrebno je uzeti u obzir pažljivu procjenu omjera koristi i rizika od terapije imatinibom.</w:t>
      </w:r>
    </w:p>
    <w:p w14:paraId="7DA6393A" w14:textId="77777777" w:rsidR="00A76122" w:rsidRPr="00510442" w:rsidRDefault="00A76122" w:rsidP="00204719">
      <w:pPr>
        <w:pStyle w:val="Text"/>
        <w:spacing w:before="0"/>
        <w:jc w:val="left"/>
        <w:rPr>
          <w:sz w:val="22"/>
          <w:szCs w:val="22"/>
          <w:lang w:val="hr-HR"/>
        </w:rPr>
      </w:pPr>
    </w:p>
    <w:p w14:paraId="6CEE6DD7" w14:textId="77777777" w:rsidR="00254208" w:rsidRPr="00510442" w:rsidRDefault="00E3504C" w:rsidP="00204719">
      <w:pPr>
        <w:pStyle w:val="Text"/>
        <w:spacing w:before="0"/>
        <w:jc w:val="left"/>
        <w:rPr>
          <w:color w:val="000000"/>
          <w:sz w:val="22"/>
          <w:szCs w:val="22"/>
          <w:lang w:val="hr-HR"/>
        </w:rPr>
      </w:pPr>
      <w:r w:rsidRPr="00510442">
        <w:rPr>
          <w:sz w:val="22"/>
          <w:szCs w:val="22"/>
          <w:lang w:val="hr-HR"/>
        </w:rPr>
        <w:lastRenderedPageBreak/>
        <w:t>Mijelodisplastične/mijeloproliferativne bolesti s preraspodjelom PDGFR gena mogu biti povezane s visokim razinama eozinofila. Prije primjene imatiniba u bolesnika s HES/</w:t>
      </w:r>
      <w:r w:rsidR="00C00697" w:rsidRPr="00510442">
        <w:rPr>
          <w:sz w:val="22"/>
          <w:szCs w:val="22"/>
          <w:lang w:val="hr-HR"/>
        </w:rPr>
        <w:t>K</w:t>
      </w:r>
      <w:r w:rsidRPr="00510442">
        <w:rPr>
          <w:sz w:val="22"/>
          <w:szCs w:val="22"/>
          <w:lang w:val="hr-HR"/>
        </w:rPr>
        <w:t>EL</w:t>
      </w:r>
      <w:r w:rsidR="00C3453A" w:rsidRPr="00510442">
        <w:rPr>
          <w:sz w:val="22"/>
          <w:szCs w:val="22"/>
          <w:lang w:val="hr-HR"/>
        </w:rPr>
        <w:noBreakHyphen/>
      </w:r>
      <w:r w:rsidRPr="00510442">
        <w:rPr>
          <w:sz w:val="22"/>
          <w:szCs w:val="22"/>
          <w:lang w:val="hr-HR"/>
        </w:rPr>
        <w:t>om i u bolesnika s MDS/MPD-om povezanim s visokim razinama eozinofila potrebno je razmisliti o pregledu kod specijaliste kardiologa, obavljanje ehokardiograma i određivanje serumskog troponina. Ako je bilo što abnormalno, na početku terapije je potrebno razmisliti o kontrolnom pregledu kod specijaliste kardiologa i profilaktičkoj primjeni sistemskih steroida (1</w:t>
      </w:r>
      <w:r w:rsidR="0065152B" w:rsidRPr="00510442">
        <w:rPr>
          <w:sz w:val="22"/>
          <w:szCs w:val="22"/>
          <w:lang w:val="hr-HR"/>
        </w:rPr>
        <w:noBreakHyphen/>
      </w:r>
      <w:r w:rsidRPr="00510442">
        <w:rPr>
          <w:sz w:val="22"/>
          <w:szCs w:val="22"/>
          <w:lang w:val="hr-HR"/>
        </w:rPr>
        <w:t>2</w:t>
      </w:r>
      <w:r w:rsidRPr="00510442">
        <w:rPr>
          <w:color w:val="000000"/>
          <w:sz w:val="22"/>
          <w:szCs w:val="22"/>
          <w:lang w:val="hr-HR"/>
        </w:rPr>
        <w:t> </w:t>
      </w:r>
      <w:r w:rsidRPr="00510442">
        <w:rPr>
          <w:sz w:val="22"/>
          <w:szCs w:val="22"/>
          <w:lang w:val="hr-HR"/>
        </w:rPr>
        <w:t>mg/kg) tijekom jednog do dva tjedna isto</w:t>
      </w:r>
      <w:r w:rsidR="00B45790" w:rsidRPr="00510442">
        <w:rPr>
          <w:sz w:val="22"/>
          <w:szCs w:val="22"/>
          <w:lang w:val="hr-HR"/>
        </w:rPr>
        <w:t>dobn</w:t>
      </w:r>
      <w:r w:rsidRPr="00510442">
        <w:rPr>
          <w:sz w:val="22"/>
          <w:szCs w:val="22"/>
          <w:lang w:val="hr-HR"/>
        </w:rPr>
        <w:t>o uz imatinib.</w:t>
      </w:r>
    </w:p>
    <w:p w14:paraId="11F8B00B" w14:textId="77777777" w:rsidR="00D75BB4" w:rsidRPr="00510442" w:rsidRDefault="00D75BB4" w:rsidP="00204719">
      <w:pPr>
        <w:pStyle w:val="EndnoteText"/>
        <w:widowControl w:val="0"/>
        <w:tabs>
          <w:tab w:val="clear" w:pos="567"/>
        </w:tabs>
        <w:rPr>
          <w:color w:val="000000"/>
          <w:szCs w:val="22"/>
          <w:lang w:val="hr-HR"/>
        </w:rPr>
      </w:pPr>
    </w:p>
    <w:p w14:paraId="0C864EDF" w14:textId="77777777" w:rsidR="009B57ED" w:rsidRPr="00510442" w:rsidRDefault="00BC7D5F" w:rsidP="00D44559">
      <w:pPr>
        <w:pStyle w:val="EndnoteText"/>
        <w:keepNext/>
        <w:widowControl w:val="0"/>
        <w:tabs>
          <w:tab w:val="clear" w:pos="567"/>
        </w:tabs>
        <w:rPr>
          <w:color w:val="000000"/>
          <w:szCs w:val="22"/>
          <w:lang w:val="hr-HR"/>
        </w:rPr>
      </w:pPr>
      <w:r w:rsidRPr="00510442">
        <w:rPr>
          <w:color w:val="000000"/>
          <w:szCs w:val="22"/>
          <w:u w:val="single"/>
          <w:lang w:val="hr-HR"/>
        </w:rPr>
        <w:t>Gastrointestinalna krvarenja</w:t>
      </w:r>
    </w:p>
    <w:p w14:paraId="178C6F52" w14:textId="77777777" w:rsidR="000D2060" w:rsidRPr="00510442" w:rsidRDefault="00BC7D5F" w:rsidP="00204719">
      <w:pPr>
        <w:pStyle w:val="EndnoteText"/>
        <w:widowControl w:val="0"/>
        <w:tabs>
          <w:tab w:val="clear" w:pos="567"/>
        </w:tabs>
        <w:rPr>
          <w:snapToGrid w:val="0"/>
          <w:color w:val="000000"/>
          <w:szCs w:val="22"/>
          <w:lang w:val="hr-HR"/>
        </w:rPr>
      </w:pPr>
      <w:r w:rsidRPr="00510442">
        <w:rPr>
          <w:szCs w:val="22"/>
          <w:lang w:val="hr-HR"/>
        </w:rPr>
        <w:t>U ispitivanju s bolesnicima s inoperabilnim i/ili metastazirajućim GIST-om zabilježena su i gastrointestinalna i intratumorska krvarenja (vid</w:t>
      </w:r>
      <w:r w:rsidR="001129D8" w:rsidRPr="00510442">
        <w:rPr>
          <w:szCs w:val="22"/>
          <w:lang w:val="hr-HR"/>
        </w:rPr>
        <w:t>jet</w:t>
      </w:r>
      <w:r w:rsidRPr="00510442">
        <w:rPr>
          <w:szCs w:val="22"/>
          <w:lang w:val="hr-HR"/>
        </w:rPr>
        <w:t xml:space="preserve">i </w:t>
      </w:r>
      <w:r w:rsidR="001129D8" w:rsidRPr="00510442">
        <w:rPr>
          <w:szCs w:val="22"/>
          <w:lang w:val="hr-HR"/>
        </w:rPr>
        <w:t>dio</w:t>
      </w:r>
      <w:r w:rsidRPr="00510442">
        <w:rPr>
          <w:szCs w:val="22"/>
          <w:lang w:val="hr-HR"/>
        </w:rPr>
        <w:t xml:space="preserve"> 4.8). Na temelju raspoloživih podataka nisu identificirani predispozicijski faktori (npr. veličina tumora, lokacija tumora, poremećaji koagulacije) zbog kojih bi bolesnici s GIST-om bili izloženi većem riziku od bilo kojeg tipa krvarenja</w:t>
      </w:r>
      <w:r w:rsidR="000D2060" w:rsidRPr="00510442">
        <w:rPr>
          <w:snapToGrid w:val="0"/>
          <w:color w:val="000000"/>
          <w:szCs w:val="22"/>
          <w:lang w:val="hr-HR"/>
        </w:rPr>
        <w:t xml:space="preserve">. </w:t>
      </w:r>
      <w:r w:rsidRPr="00510442">
        <w:rPr>
          <w:szCs w:val="22"/>
          <w:lang w:val="hr-HR"/>
        </w:rPr>
        <w:t>S obzirom na to da je povećana vaskularizacija i sklonost krvarenju dio prirode i kliničkog t</w:t>
      </w:r>
      <w:r w:rsidR="00E54B5E" w:rsidRPr="00510442">
        <w:rPr>
          <w:szCs w:val="22"/>
          <w:lang w:val="hr-HR"/>
        </w:rPr>
        <w:t>ije</w:t>
      </w:r>
      <w:r w:rsidRPr="00510442">
        <w:rPr>
          <w:szCs w:val="22"/>
          <w:lang w:val="hr-HR"/>
        </w:rPr>
        <w:t>ka GIST</w:t>
      </w:r>
      <w:r w:rsidR="009C46A4" w:rsidRPr="00510442">
        <w:rPr>
          <w:szCs w:val="22"/>
          <w:lang w:val="hr-HR"/>
        </w:rPr>
        <w:noBreakHyphen/>
      </w:r>
      <w:r w:rsidRPr="00510442">
        <w:rPr>
          <w:szCs w:val="22"/>
          <w:lang w:val="hr-HR"/>
        </w:rPr>
        <w:t xml:space="preserve">a, u svih bolesnika </w:t>
      </w:r>
      <w:r w:rsidR="00F16921" w:rsidRPr="00510442">
        <w:rPr>
          <w:szCs w:val="22"/>
          <w:lang w:val="hr-HR"/>
        </w:rPr>
        <w:t>mora se</w:t>
      </w:r>
      <w:r w:rsidRPr="00510442">
        <w:rPr>
          <w:szCs w:val="22"/>
          <w:lang w:val="hr-HR"/>
        </w:rPr>
        <w:t xml:space="preserve"> provoditi </w:t>
      </w:r>
      <w:r w:rsidR="00F16921" w:rsidRPr="00510442">
        <w:rPr>
          <w:szCs w:val="22"/>
          <w:lang w:val="hr-HR"/>
        </w:rPr>
        <w:t>stan</w:t>
      </w:r>
      <w:r w:rsidR="006A1C51" w:rsidRPr="00510442">
        <w:rPr>
          <w:szCs w:val="22"/>
          <w:lang w:val="hr-HR"/>
        </w:rPr>
        <w:t>d</w:t>
      </w:r>
      <w:r w:rsidR="00F16921" w:rsidRPr="00510442">
        <w:rPr>
          <w:szCs w:val="22"/>
          <w:lang w:val="hr-HR"/>
        </w:rPr>
        <w:t>ardna praksa i postupci</w:t>
      </w:r>
      <w:r w:rsidRPr="00510442">
        <w:rPr>
          <w:szCs w:val="22"/>
          <w:lang w:val="hr-HR"/>
        </w:rPr>
        <w:t xml:space="preserve"> za kontrolu i liječenje krvarenja</w:t>
      </w:r>
      <w:r w:rsidR="000D2060" w:rsidRPr="00510442">
        <w:rPr>
          <w:snapToGrid w:val="0"/>
          <w:color w:val="000000"/>
          <w:szCs w:val="22"/>
          <w:lang w:val="hr-HR"/>
        </w:rPr>
        <w:t>.</w:t>
      </w:r>
    </w:p>
    <w:p w14:paraId="01975A02" w14:textId="77777777" w:rsidR="00D75BB4" w:rsidRPr="00510442" w:rsidRDefault="00D75BB4" w:rsidP="00204719">
      <w:pPr>
        <w:pStyle w:val="EndnoteText"/>
        <w:widowControl w:val="0"/>
        <w:tabs>
          <w:tab w:val="clear" w:pos="567"/>
        </w:tabs>
        <w:rPr>
          <w:snapToGrid w:val="0"/>
          <w:color w:val="000000"/>
          <w:szCs w:val="22"/>
          <w:lang w:val="hr-HR"/>
        </w:rPr>
      </w:pPr>
    </w:p>
    <w:p w14:paraId="2664C191" w14:textId="14BA985E" w:rsidR="00DA30F8" w:rsidRPr="00510442" w:rsidRDefault="003445B4" w:rsidP="00204719">
      <w:pPr>
        <w:pStyle w:val="EndnoteText"/>
        <w:widowControl w:val="0"/>
        <w:tabs>
          <w:tab w:val="clear" w:pos="567"/>
        </w:tabs>
        <w:rPr>
          <w:snapToGrid w:val="0"/>
          <w:color w:val="000000"/>
          <w:szCs w:val="22"/>
          <w:lang w:val="hr-HR"/>
        </w:rPr>
      </w:pPr>
      <w:r w:rsidRPr="00510442">
        <w:rPr>
          <w:snapToGrid w:val="0"/>
          <w:color w:val="000000"/>
          <w:szCs w:val="22"/>
          <w:lang w:val="hr-HR"/>
        </w:rPr>
        <w:t>Osim toga</w:t>
      </w:r>
      <w:r w:rsidR="00DA30F8" w:rsidRPr="00510442">
        <w:rPr>
          <w:snapToGrid w:val="0"/>
          <w:color w:val="000000"/>
          <w:szCs w:val="22"/>
          <w:lang w:val="hr-HR"/>
        </w:rPr>
        <w:t>, gastrična antralna vaskularna ektazija (GAVE), rijetki uzrok gastrointestinalnog krvarenja, zabilježen</w:t>
      </w:r>
      <w:r w:rsidRPr="00510442">
        <w:rPr>
          <w:snapToGrid w:val="0"/>
          <w:color w:val="000000"/>
          <w:szCs w:val="22"/>
          <w:lang w:val="hr-HR"/>
        </w:rPr>
        <w:t>a</w:t>
      </w:r>
      <w:r w:rsidR="00DA30F8" w:rsidRPr="00510442">
        <w:rPr>
          <w:snapToGrid w:val="0"/>
          <w:color w:val="000000"/>
          <w:szCs w:val="22"/>
          <w:lang w:val="hr-HR"/>
        </w:rPr>
        <w:t xml:space="preserve"> je nakon stavljanja lijeka u promet u bolesnika s KML-om, ALL-om i drugim bolestima (vidjeti dio</w:t>
      </w:r>
      <w:r w:rsidR="008F6980" w:rsidRPr="00510442">
        <w:rPr>
          <w:snapToGrid w:val="0"/>
          <w:color w:val="000000"/>
          <w:szCs w:val="22"/>
          <w:lang w:val="hr-HR"/>
        </w:rPr>
        <w:t> </w:t>
      </w:r>
      <w:r w:rsidR="00DA30F8" w:rsidRPr="00510442">
        <w:rPr>
          <w:snapToGrid w:val="0"/>
          <w:color w:val="000000"/>
          <w:szCs w:val="22"/>
          <w:lang w:val="hr-HR"/>
        </w:rPr>
        <w:t xml:space="preserve">4.8). Ukoliko je potrebno, može se razmotriti prekid liječenja </w:t>
      </w:r>
      <w:r w:rsidR="00951360">
        <w:rPr>
          <w:szCs w:val="22"/>
          <w:lang w:val="hr-HR"/>
        </w:rPr>
        <w:t xml:space="preserve">lijekom </w:t>
      </w:r>
      <w:r w:rsidR="00DA30F8" w:rsidRPr="00510442">
        <w:rPr>
          <w:snapToGrid w:val="0"/>
          <w:color w:val="000000"/>
          <w:szCs w:val="22"/>
          <w:lang w:val="hr-HR"/>
        </w:rPr>
        <w:t>Glivec.</w:t>
      </w:r>
    </w:p>
    <w:p w14:paraId="02628C0E" w14:textId="77777777" w:rsidR="00DA30F8" w:rsidRPr="00510442" w:rsidRDefault="00DA30F8" w:rsidP="00204719">
      <w:pPr>
        <w:pStyle w:val="EndnoteText"/>
        <w:widowControl w:val="0"/>
        <w:tabs>
          <w:tab w:val="clear" w:pos="567"/>
        </w:tabs>
        <w:rPr>
          <w:snapToGrid w:val="0"/>
          <w:color w:val="000000"/>
          <w:szCs w:val="22"/>
          <w:lang w:val="hr-HR"/>
        </w:rPr>
      </w:pPr>
    </w:p>
    <w:p w14:paraId="19A3B2CB" w14:textId="77777777" w:rsidR="00EB044B" w:rsidRPr="00510442" w:rsidRDefault="00DA354D" w:rsidP="00204719">
      <w:pPr>
        <w:pStyle w:val="EndnoteText"/>
        <w:widowControl w:val="0"/>
        <w:tabs>
          <w:tab w:val="clear" w:pos="567"/>
        </w:tabs>
        <w:rPr>
          <w:snapToGrid w:val="0"/>
          <w:color w:val="000000"/>
          <w:szCs w:val="22"/>
          <w:lang w:val="hr-HR"/>
        </w:rPr>
      </w:pPr>
      <w:r w:rsidRPr="00510442">
        <w:rPr>
          <w:snapToGrid w:val="0"/>
          <w:color w:val="000000"/>
          <w:szCs w:val="22"/>
          <w:u w:val="single"/>
          <w:lang w:val="hr-HR"/>
        </w:rPr>
        <w:t>Sindrom lize tumora</w:t>
      </w:r>
    </w:p>
    <w:p w14:paraId="380ECC56" w14:textId="5573FD34" w:rsidR="00EB044B" w:rsidRPr="00510442" w:rsidRDefault="00DA354D" w:rsidP="00204719">
      <w:pPr>
        <w:pStyle w:val="EndnoteText"/>
        <w:widowControl w:val="0"/>
        <w:tabs>
          <w:tab w:val="clear" w:pos="567"/>
        </w:tabs>
        <w:rPr>
          <w:strike/>
          <w:color w:val="000000"/>
          <w:szCs w:val="22"/>
          <w:lang w:val="hr-HR"/>
        </w:rPr>
      </w:pPr>
      <w:r w:rsidRPr="00510442">
        <w:rPr>
          <w:szCs w:val="22"/>
          <w:lang w:val="hr-HR"/>
        </w:rPr>
        <w:t xml:space="preserve">Zbog moguće pojave sindroma lize tumora, prije početka terapije </w:t>
      </w:r>
      <w:r w:rsidR="00951360">
        <w:rPr>
          <w:szCs w:val="22"/>
          <w:lang w:val="hr-HR"/>
        </w:rPr>
        <w:t xml:space="preserve">lijekom </w:t>
      </w:r>
      <w:r w:rsidRPr="00510442">
        <w:rPr>
          <w:szCs w:val="22"/>
          <w:lang w:val="hr-HR"/>
        </w:rPr>
        <w:t>Glivec preporučuje se korekcija klinički značajne dehidracije i liječenje visokih razina mokraćne kiseline (vidjeti dio 4.8).</w:t>
      </w:r>
    </w:p>
    <w:p w14:paraId="2AC1C304" w14:textId="77777777" w:rsidR="00044E85" w:rsidRPr="00510442" w:rsidRDefault="00044E85" w:rsidP="00044E85">
      <w:pPr>
        <w:pStyle w:val="EndnoteText"/>
        <w:widowControl w:val="0"/>
        <w:tabs>
          <w:tab w:val="clear" w:pos="567"/>
        </w:tabs>
        <w:rPr>
          <w:snapToGrid w:val="0"/>
          <w:color w:val="000000"/>
          <w:szCs w:val="22"/>
          <w:lang w:val="hr-HR"/>
        </w:rPr>
      </w:pPr>
    </w:p>
    <w:p w14:paraId="6663426C" w14:textId="77777777" w:rsidR="00044E85" w:rsidRPr="00510442" w:rsidRDefault="00044E85" w:rsidP="00044E85">
      <w:pPr>
        <w:pStyle w:val="EndnoteText"/>
        <w:keepNext/>
        <w:widowControl w:val="0"/>
        <w:tabs>
          <w:tab w:val="clear" w:pos="567"/>
        </w:tabs>
        <w:rPr>
          <w:snapToGrid w:val="0"/>
          <w:color w:val="000000"/>
          <w:szCs w:val="22"/>
          <w:u w:val="single"/>
          <w:lang w:val="hr-HR"/>
        </w:rPr>
      </w:pPr>
      <w:r w:rsidRPr="00510442">
        <w:rPr>
          <w:snapToGrid w:val="0"/>
          <w:color w:val="000000"/>
          <w:szCs w:val="22"/>
          <w:u w:val="single"/>
          <w:lang w:val="hr-HR"/>
        </w:rPr>
        <w:t>Ponovna aktivacija hepatitisa B</w:t>
      </w:r>
    </w:p>
    <w:p w14:paraId="08F81E80" w14:textId="77777777" w:rsidR="00044E85" w:rsidRPr="00510442" w:rsidRDefault="00044E85" w:rsidP="00044E85">
      <w:pPr>
        <w:pStyle w:val="EndnoteText"/>
        <w:widowControl w:val="0"/>
        <w:tabs>
          <w:tab w:val="clear" w:pos="567"/>
        </w:tabs>
        <w:rPr>
          <w:snapToGrid w:val="0"/>
          <w:color w:val="000000"/>
          <w:szCs w:val="22"/>
          <w:lang w:val="hr-HR"/>
        </w:rPr>
      </w:pPr>
      <w:r w:rsidRPr="00510442">
        <w:rPr>
          <w:snapToGrid w:val="0"/>
          <w:color w:val="000000"/>
          <w:szCs w:val="22"/>
          <w:lang w:val="hr-HR"/>
        </w:rPr>
        <w:t>U bolesnika koji su kronični nositelji virusa hepatitisa B pojavila se ponovna aktivacija tog virusa nakon što su primili inhibitore BCR-ABL tirozin kinaze. U nekim je slučajevima došlo do akutnog zatajenja jetre ili fulminantnog hepatitisa što je dovelo do transplantacije jetre ili smrtnog ishoda.</w:t>
      </w:r>
    </w:p>
    <w:p w14:paraId="31B6D23E" w14:textId="77777777" w:rsidR="00044E85" w:rsidRPr="00510442" w:rsidRDefault="00044E85" w:rsidP="00044E85">
      <w:pPr>
        <w:pStyle w:val="EndnoteText"/>
        <w:widowControl w:val="0"/>
        <w:tabs>
          <w:tab w:val="clear" w:pos="567"/>
        </w:tabs>
        <w:rPr>
          <w:snapToGrid w:val="0"/>
          <w:color w:val="000000"/>
          <w:szCs w:val="22"/>
          <w:lang w:val="hr-HR"/>
        </w:rPr>
      </w:pPr>
    </w:p>
    <w:p w14:paraId="4DAC61C6" w14:textId="36FFC7C3" w:rsidR="00044E85" w:rsidRPr="00510442" w:rsidRDefault="00044E85" w:rsidP="00044E85">
      <w:pPr>
        <w:pStyle w:val="EndnoteText"/>
        <w:widowControl w:val="0"/>
        <w:tabs>
          <w:tab w:val="clear" w:pos="567"/>
        </w:tabs>
        <w:rPr>
          <w:snapToGrid w:val="0"/>
          <w:color w:val="000000"/>
          <w:szCs w:val="22"/>
          <w:lang w:val="hr-HR"/>
        </w:rPr>
      </w:pPr>
      <w:r w:rsidRPr="00510442">
        <w:rPr>
          <w:snapToGrid w:val="0"/>
          <w:color w:val="000000"/>
          <w:szCs w:val="22"/>
          <w:lang w:val="hr-HR"/>
        </w:rPr>
        <w:t>Bolesnike je potrebno testirati na infekciju HBV</w:t>
      </w:r>
      <w:r w:rsidR="00DB133E" w:rsidRPr="00510442">
        <w:rPr>
          <w:snapToGrid w:val="0"/>
          <w:color w:val="000000"/>
          <w:szCs w:val="22"/>
          <w:lang w:val="hr-HR"/>
        </w:rPr>
        <w:noBreakHyphen/>
      </w:r>
      <w:r w:rsidRPr="00510442">
        <w:rPr>
          <w:snapToGrid w:val="0"/>
          <w:color w:val="000000"/>
          <w:szCs w:val="22"/>
          <w:lang w:val="hr-HR"/>
        </w:rPr>
        <w:t xml:space="preserve">om prije početka liječenja </w:t>
      </w:r>
      <w:r w:rsidR="00951360">
        <w:rPr>
          <w:szCs w:val="22"/>
          <w:lang w:val="hr-HR"/>
        </w:rPr>
        <w:t xml:space="preserve">lijekom </w:t>
      </w:r>
      <w:r w:rsidR="0010149A" w:rsidRPr="00510442">
        <w:rPr>
          <w:snapToGrid w:val="0"/>
          <w:color w:val="000000"/>
          <w:szCs w:val="22"/>
          <w:lang w:val="hr-HR"/>
        </w:rPr>
        <w:t>Glivec</w:t>
      </w:r>
      <w:r w:rsidRPr="00510442">
        <w:rPr>
          <w:snapToGrid w:val="0"/>
          <w:color w:val="000000"/>
          <w:szCs w:val="22"/>
          <w:lang w:val="hr-HR"/>
        </w:rPr>
        <w:t xml:space="preserve">. Prije početka liječenja bolesnika s pozitivnim serološkim nalazima na hepatitis B (uključujući one s aktivnom bolešću) te za bolesnike za koje se pokaže da su pozitivni na HBV tijekom liječenja, potrebno je savjetovati se sa stručnjacima za bolesti jetre i liječenje hepatitisa B. Nositelje virusa HBV kojima je potrebno liječenje </w:t>
      </w:r>
      <w:r w:rsidR="00951360">
        <w:rPr>
          <w:szCs w:val="22"/>
          <w:lang w:val="hr-HR"/>
        </w:rPr>
        <w:t xml:space="preserve">lijekom </w:t>
      </w:r>
      <w:r w:rsidR="0010149A" w:rsidRPr="00510442">
        <w:rPr>
          <w:snapToGrid w:val="0"/>
          <w:color w:val="000000"/>
          <w:szCs w:val="22"/>
          <w:lang w:val="hr-HR"/>
        </w:rPr>
        <w:t>Glivec</w:t>
      </w:r>
      <w:r w:rsidRPr="00510442">
        <w:rPr>
          <w:snapToGrid w:val="0"/>
          <w:color w:val="000000"/>
          <w:szCs w:val="22"/>
          <w:lang w:val="hr-HR"/>
        </w:rPr>
        <w:t xml:space="preserve"> potrebno je pozorno nadzirati radi utvrđivanja eventualnih znakova i simptoma aktivne infekcije HBV</w:t>
      </w:r>
      <w:r w:rsidR="00DB133E" w:rsidRPr="00510442">
        <w:rPr>
          <w:snapToGrid w:val="0"/>
          <w:color w:val="000000"/>
          <w:szCs w:val="22"/>
          <w:lang w:val="hr-HR"/>
        </w:rPr>
        <w:noBreakHyphen/>
      </w:r>
      <w:r w:rsidRPr="00510442">
        <w:rPr>
          <w:snapToGrid w:val="0"/>
          <w:color w:val="000000"/>
          <w:szCs w:val="22"/>
          <w:lang w:val="hr-HR"/>
        </w:rPr>
        <w:t>om tijekom terapije te nekoliko mjeseci nakon završetka terapije (vidjeti dio</w:t>
      </w:r>
      <w:r w:rsidR="0010149A" w:rsidRPr="00510442">
        <w:rPr>
          <w:snapToGrid w:val="0"/>
          <w:color w:val="000000"/>
          <w:szCs w:val="22"/>
          <w:lang w:val="hr-HR"/>
        </w:rPr>
        <w:t> </w:t>
      </w:r>
      <w:r w:rsidRPr="00510442">
        <w:rPr>
          <w:snapToGrid w:val="0"/>
          <w:color w:val="000000"/>
          <w:szCs w:val="22"/>
          <w:lang w:val="hr-HR"/>
        </w:rPr>
        <w:t>4.8).</w:t>
      </w:r>
    </w:p>
    <w:p w14:paraId="692FCD2E" w14:textId="77777777" w:rsidR="003E4103" w:rsidRPr="00510442" w:rsidRDefault="003E4103" w:rsidP="00044E85">
      <w:pPr>
        <w:pStyle w:val="EndnoteText"/>
        <w:widowControl w:val="0"/>
        <w:tabs>
          <w:tab w:val="clear" w:pos="567"/>
        </w:tabs>
        <w:rPr>
          <w:snapToGrid w:val="0"/>
          <w:color w:val="000000"/>
          <w:szCs w:val="22"/>
          <w:lang w:val="hr-HR"/>
        </w:rPr>
      </w:pPr>
    </w:p>
    <w:p w14:paraId="69DF5F42" w14:textId="77777777" w:rsidR="003E4103" w:rsidRPr="00510442" w:rsidRDefault="003E4103" w:rsidP="001202A6">
      <w:pPr>
        <w:pStyle w:val="EndnoteText"/>
        <w:keepNext/>
        <w:widowControl w:val="0"/>
        <w:tabs>
          <w:tab w:val="clear" w:pos="567"/>
        </w:tabs>
        <w:rPr>
          <w:snapToGrid w:val="0"/>
          <w:color w:val="000000"/>
          <w:szCs w:val="22"/>
          <w:u w:val="single"/>
          <w:lang w:val="hr-HR"/>
        </w:rPr>
      </w:pPr>
      <w:r w:rsidRPr="00510442">
        <w:rPr>
          <w:snapToGrid w:val="0"/>
          <w:color w:val="000000"/>
          <w:szCs w:val="22"/>
          <w:u w:val="single"/>
          <w:lang w:val="hr-HR"/>
        </w:rPr>
        <w:t>Fototoksičnost</w:t>
      </w:r>
    </w:p>
    <w:p w14:paraId="3956695A" w14:textId="77777777" w:rsidR="003E4103" w:rsidRPr="00510442" w:rsidRDefault="003E4103" w:rsidP="003E4103">
      <w:pPr>
        <w:rPr>
          <w:snapToGrid w:val="0"/>
          <w:color w:val="000000"/>
          <w:szCs w:val="22"/>
          <w:lang w:val="hr-HR"/>
        </w:rPr>
      </w:pPr>
      <w:r w:rsidRPr="00510442">
        <w:rPr>
          <w:snapToGrid w:val="0"/>
          <w:color w:val="000000"/>
          <w:szCs w:val="22"/>
          <w:lang w:val="hr-HR"/>
        </w:rPr>
        <w:t xml:space="preserve">Izlaganje izravnoj sunčevoj svjetlosti </w:t>
      </w:r>
      <w:r w:rsidR="00B36D20" w:rsidRPr="00510442">
        <w:rPr>
          <w:snapToGrid w:val="0"/>
          <w:color w:val="000000"/>
          <w:szCs w:val="22"/>
          <w:lang w:val="hr-HR"/>
        </w:rPr>
        <w:t>je po</w:t>
      </w:r>
      <w:r w:rsidRPr="00510442">
        <w:rPr>
          <w:snapToGrid w:val="0"/>
          <w:color w:val="000000"/>
          <w:szCs w:val="22"/>
          <w:lang w:val="hr-HR"/>
        </w:rPr>
        <w:t>treb</w:t>
      </w:r>
      <w:r w:rsidR="00B36D20" w:rsidRPr="00510442">
        <w:rPr>
          <w:snapToGrid w:val="0"/>
          <w:color w:val="000000"/>
          <w:szCs w:val="22"/>
          <w:lang w:val="hr-HR"/>
        </w:rPr>
        <w:t>no</w:t>
      </w:r>
      <w:r w:rsidRPr="00510442">
        <w:rPr>
          <w:snapToGrid w:val="0"/>
          <w:color w:val="000000"/>
          <w:szCs w:val="22"/>
          <w:lang w:val="hr-HR"/>
        </w:rPr>
        <w:t xml:space="preserve"> izbjegavati ili minimizirati zbog rizika </w:t>
      </w:r>
      <w:r w:rsidR="003A42D7" w:rsidRPr="00510442">
        <w:rPr>
          <w:snapToGrid w:val="0"/>
          <w:color w:val="000000"/>
          <w:szCs w:val="22"/>
          <w:lang w:val="hr-HR"/>
        </w:rPr>
        <w:t xml:space="preserve">od </w:t>
      </w:r>
      <w:r w:rsidRPr="00510442">
        <w:rPr>
          <w:snapToGrid w:val="0"/>
          <w:color w:val="000000"/>
          <w:szCs w:val="22"/>
          <w:lang w:val="hr-HR"/>
        </w:rPr>
        <w:t>fototoksičnosti povezanog s liječenjem imatinibom. Bolesni</w:t>
      </w:r>
      <w:r w:rsidR="00695349" w:rsidRPr="00510442">
        <w:rPr>
          <w:snapToGrid w:val="0"/>
          <w:color w:val="000000"/>
          <w:szCs w:val="22"/>
          <w:lang w:val="hr-HR"/>
        </w:rPr>
        <w:t>ke</w:t>
      </w:r>
      <w:r w:rsidRPr="00510442">
        <w:rPr>
          <w:snapToGrid w:val="0"/>
          <w:color w:val="000000"/>
          <w:szCs w:val="22"/>
          <w:lang w:val="hr-HR"/>
        </w:rPr>
        <w:t xml:space="preserve"> </w:t>
      </w:r>
      <w:r w:rsidR="00695349" w:rsidRPr="00510442">
        <w:rPr>
          <w:snapToGrid w:val="0"/>
          <w:color w:val="000000"/>
          <w:szCs w:val="22"/>
          <w:lang w:val="hr-HR"/>
        </w:rPr>
        <w:t xml:space="preserve">je potrebno </w:t>
      </w:r>
      <w:r w:rsidRPr="00510442">
        <w:rPr>
          <w:snapToGrid w:val="0"/>
          <w:color w:val="000000"/>
          <w:szCs w:val="22"/>
          <w:lang w:val="hr-HR"/>
        </w:rPr>
        <w:t>upu</w:t>
      </w:r>
      <w:r w:rsidR="00695349" w:rsidRPr="00510442">
        <w:rPr>
          <w:snapToGrid w:val="0"/>
          <w:color w:val="000000"/>
          <w:szCs w:val="22"/>
          <w:lang w:val="hr-HR"/>
        </w:rPr>
        <w:t>titi</w:t>
      </w:r>
      <w:r w:rsidRPr="00510442">
        <w:rPr>
          <w:snapToGrid w:val="0"/>
          <w:color w:val="000000"/>
          <w:szCs w:val="22"/>
          <w:lang w:val="hr-HR"/>
        </w:rPr>
        <w:t xml:space="preserve"> na korištenje mjera kao što su zaštitna odjeća i sredstvo za sunčanje s visokim faktorom zaštite od sunca (SPF).</w:t>
      </w:r>
    </w:p>
    <w:p w14:paraId="43147DA2" w14:textId="77777777" w:rsidR="00233871" w:rsidRPr="00510442" w:rsidRDefault="00233871" w:rsidP="00233871">
      <w:pPr>
        <w:pStyle w:val="EndnoteText"/>
        <w:widowControl w:val="0"/>
        <w:tabs>
          <w:tab w:val="clear" w:pos="567"/>
        </w:tabs>
        <w:rPr>
          <w:snapToGrid w:val="0"/>
          <w:color w:val="000000"/>
          <w:szCs w:val="22"/>
          <w:lang w:val="hr-HR"/>
        </w:rPr>
      </w:pPr>
    </w:p>
    <w:p w14:paraId="042484D3" w14:textId="77777777" w:rsidR="00233871" w:rsidRPr="00760469" w:rsidRDefault="00233871" w:rsidP="00233871">
      <w:pPr>
        <w:pStyle w:val="EndnoteText"/>
        <w:keepNext/>
        <w:widowControl w:val="0"/>
        <w:tabs>
          <w:tab w:val="clear" w:pos="567"/>
        </w:tabs>
        <w:rPr>
          <w:snapToGrid w:val="0"/>
          <w:color w:val="000000"/>
          <w:szCs w:val="22"/>
          <w:u w:val="single"/>
          <w:lang w:val="hr-HR"/>
        </w:rPr>
      </w:pPr>
      <w:r w:rsidRPr="00760469">
        <w:rPr>
          <w:snapToGrid w:val="0"/>
          <w:color w:val="000000"/>
          <w:szCs w:val="22"/>
          <w:u w:val="single"/>
          <w:lang w:val="hr-HR"/>
        </w:rPr>
        <w:t>Trombotič</w:t>
      </w:r>
      <w:r w:rsidR="001E4474" w:rsidRPr="00760469">
        <w:rPr>
          <w:snapToGrid w:val="0"/>
          <w:color w:val="000000"/>
          <w:szCs w:val="22"/>
          <w:u w:val="single"/>
          <w:lang w:val="hr-HR"/>
        </w:rPr>
        <w:t>n</w:t>
      </w:r>
      <w:r w:rsidRPr="00760469">
        <w:rPr>
          <w:snapToGrid w:val="0"/>
          <w:color w:val="000000"/>
          <w:szCs w:val="22"/>
          <w:u w:val="single"/>
          <w:lang w:val="hr-HR"/>
        </w:rPr>
        <w:t>a mikroangiopatija</w:t>
      </w:r>
    </w:p>
    <w:p w14:paraId="08084562" w14:textId="0D9F5FA1" w:rsidR="00233871" w:rsidRPr="00510442" w:rsidRDefault="00233871" w:rsidP="00B71AEB">
      <w:pPr>
        <w:pStyle w:val="EndnoteText"/>
        <w:widowControl w:val="0"/>
        <w:tabs>
          <w:tab w:val="clear" w:pos="567"/>
        </w:tabs>
        <w:rPr>
          <w:color w:val="000000"/>
          <w:szCs w:val="22"/>
          <w:lang w:val="hr-HR"/>
        </w:rPr>
      </w:pPr>
      <w:r w:rsidRPr="00760469">
        <w:rPr>
          <w:color w:val="000000"/>
          <w:szCs w:val="22"/>
          <w:lang w:val="hr-HR"/>
        </w:rPr>
        <w:t>Inhibitori BCR-ABL tirozin kinaze (TKI</w:t>
      </w:r>
      <w:r w:rsidRPr="00760469">
        <w:rPr>
          <w:color w:val="000000"/>
          <w:szCs w:val="22"/>
          <w:lang w:val="hr-HR"/>
        </w:rPr>
        <w:noBreakHyphen/>
        <w:t>evi) povezani su s trombotič</w:t>
      </w:r>
      <w:r w:rsidR="0080269B" w:rsidRPr="00760469">
        <w:rPr>
          <w:color w:val="000000"/>
          <w:szCs w:val="22"/>
          <w:lang w:val="hr-HR"/>
        </w:rPr>
        <w:t>n</w:t>
      </w:r>
      <w:r w:rsidRPr="00760469">
        <w:rPr>
          <w:color w:val="000000"/>
          <w:szCs w:val="22"/>
          <w:lang w:val="hr-HR"/>
        </w:rPr>
        <w:t>om mikroangiopatijom</w:t>
      </w:r>
      <w:r w:rsidRPr="00510442">
        <w:rPr>
          <w:color w:val="000000"/>
          <w:szCs w:val="22"/>
          <w:lang w:val="hr-HR"/>
        </w:rPr>
        <w:t xml:space="preserve"> (TMA), uključujući izvješća o pojedinačnom slučaju za Glivec (vidjeti dio 4.8). Ako se laboratorijski ili kl</w:t>
      </w:r>
      <w:r w:rsidR="00B71AEB" w:rsidRPr="00510442">
        <w:rPr>
          <w:color w:val="000000"/>
          <w:szCs w:val="22"/>
          <w:lang w:val="hr-HR"/>
        </w:rPr>
        <w:t>i</w:t>
      </w:r>
      <w:r w:rsidRPr="00510442">
        <w:rPr>
          <w:color w:val="000000"/>
          <w:szCs w:val="22"/>
          <w:lang w:val="hr-HR"/>
        </w:rPr>
        <w:t>nički nalaz povezan s TMA</w:t>
      </w:r>
      <w:r w:rsidRPr="00510442">
        <w:rPr>
          <w:color w:val="000000"/>
          <w:szCs w:val="22"/>
          <w:lang w:val="hr-HR"/>
        </w:rPr>
        <w:noBreakHyphen/>
        <w:t>om javi u bolesnika koji prima Glivec, liječenje</w:t>
      </w:r>
      <w:r w:rsidR="00B71AEB" w:rsidRPr="00510442">
        <w:rPr>
          <w:color w:val="000000"/>
          <w:szCs w:val="22"/>
          <w:lang w:val="hr-HR"/>
        </w:rPr>
        <w:t xml:space="preserve"> je potrebno </w:t>
      </w:r>
      <w:r w:rsidRPr="00510442">
        <w:rPr>
          <w:color w:val="000000"/>
          <w:szCs w:val="22"/>
          <w:lang w:val="hr-HR"/>
        </w:rPr>
        <w:t xml:space="preserve">prekinuti </w:t>
      </w:r>
      <w:r w:rsidR="00B71AEB" w:rsidRPr="00510442">
        <w:rPr>
          <w:color w:val="000000"/>
          <w:szCs w:val="22"/>
          <w:lang w:val="hr-HR"/>
        </w:rPr>
        <w:t>i</w:t>
      </w:r>
      <w:r w:rsidRPr="00510442">
        <w:rPr>
          <w:color w:val="000000"/>
          <w:szCs w:val="22"/>
          <w:lang w:val="hr-HR"/>
        </w:rPr>
        <w:t xml:space="preserve"> </w:t>
      </w:r>
      <w:r w:rsidR="00B71AEB" w:rsidRPr="00510442">
        <w:rPr>
          <w:color w:val="000000"/>
          <w:szCs w:val="22"/>
          <w:lang w:val="hr-HR"/>
        </w:rPr>
        <w:t xml:space="preserve">provesti </w:t>
      </w:r>
      <w:r w:rsidRPr="00510442">
        <w:rPr>
          <w:color w:val="000000"/>
          <w:szCs w:val="22"/>
          <w:lang w:val="hr-HR"/>
        </w:rPr>
        <w:t>temeljit</w:t>
      </w:r>
      <w:r w:rsidR="00B71AEB" w:rsidRPr="00510442">
        <w:rPr>
          <w:color w:val="000000"/>
          <w:szCs w:val="22"/>
          <w:lang w:val="hr-HR"/>
        </w:rPr>
        <w:t xml:space="preserve">o istraživanje TMA, uključujući ADAMTS13 aktivnost i određivanje anti-ADAMTS13-protutijela. Ako su anti-ADAMTS13-protutijela povišena istodobno sa sniženom ADAMTS13 aktivnosti, liječenje </w:t>
      </w:r>
      <w:r w:rsidR="00951360">
        <w:rPr>
          <w:szCs w:val="22"/>
          <w:lang w:val="hr-HR"/>
        </w:rPr>
        <w:t xml:space="preserve">lijekom </w:t>
      </w:r>
      <w:r w:rsidR="00B71AEB" w:rsidRPr="00510442">
        <w:rPr>
          <w:color w:val="000000"/>
          <w:szCs w:val="22"/>
          <w:lang w:val="hr-HR"/>
        </w:rPr>
        <w:t>Glivec se ne smije nastaviti.</w:t>
      </w:r>
    </w:p>
    <w:p w14:paraId="405A72F4" w14:textId="77777777" w:rsidR="009B57ED" w:rsidRPr="00307897" w:rsidRDefault="009B57ED" w:rsidP="00204719">
      <w:pPr>
        <w:pStyle w:val="EndnoteText"/>
        <w:widowControl w:val="0"/>
        <w:tabs>
          <w:tab w:val="clear" w:pos="567"/>
        </w:tabs>
        <w:rPr>
          <w:color w:val="000000"/>
          <w:szCs w:val="22"/>
          <w:lang w:val="hr-HR"/>
        </w:rPr>
      </w:pPr>
    </w:p>
    <w:p w14:paraId="68F8D6E0" w14:textId="77777777" w:rsidR="009B57ED" w:rsidRPr="00A00164" w:rsidRDefault="00DA354D" w:rsidP="00D44559">
      <w:pPr>
        <w:pStyle w:val="EndnoteText"/>
        <w:keepNext/>
        <w:widowControl w:val="0"/>
        <w:tabs>
          <w:tab w:val="clear" w:pos="567"/>
        </w:tabs>
        <w:rPr>
          <w:color w:val="000000"/>
          <w:szCs w:val="22"/>
          <w:lang w:val="hr-HR"/>
        </w:rPr>
      </w:pPr>
      <w:r w:rsidRPr="00307897">
        <w:rPr>
          <w:szCs w:val="22"/>
          <w:u w:val="single"/>
          <w:lang w:val="hr-HR"/>
        </w:rPr>
        <w:t>Laboratorijske pretrage</w:t>
      </w:r>
    </w:p>
    <w:p w14:paraId="2D584038" w14:textId="4FA42545" w:rsidR="009B57ED" w:rsidRPr="00510442" w:rsidRDefault="00DA354D" w:rsidP="00204719">
      <w:pPr>
        <w:pStyle w:val="EndnoteText"/>
        <w:widowControl w:val="0"/>
        <w:tabs>
          <w:tab w:val="clear" w:pos="567"/>
        </w:tabs>
        <w:rPr>
          <w:color w:val="000000"/>
          <w:szCs w:val="22"/>
          <w:lang w:val="hr-HR"/>
        </w:rPr>
      </w:pPr>
      <w:r w:rsidRPr="00973BDD">
        <w:rPr>
          <w:szCs w:val="22"/>
          <w:lang w:val="hr-HR"/>
        </w:rPr>
        <w:t xml:space="preserve">Tijekom terapije </w:t>
      </w:r>
      <w:r w:rsidR="00951360">
        <w:rPr>
          <w:szCs w:val="22"/>
          <w:lang w:val="hr-HR"/>
        </w:rPr>
        <w:t xml:space="preserve">lijekom </w:t>
      </w:r>
      <w:r w:rsidRPr="00973BDD">
        <w:rPr>
          <w:szCs w:val="22"/>
          <w:lang w:val="hr-HR"/>
        </w:rPr>
        <w:t>Glivec mora se redovito kontrol</w:t>
      </w:r>
      <w:r w:rsidRPr="000B51EB">
        <w:rPr>
          <w:szCs w:val="22"/>
          <w:lang w:val="hr-HR"/>
        </w:rPr>
        <w:t xml:space="preserve">irati kompletna krvna slika. Liječenje </w:t>
      </w:r>
      <w:r w:rsidR="00951360">
        <w:rPr>
          <w:szCs w:val="22"/>
          <w:lang w:val="hr-HR"/>
        </w:rPr>
        <w:t xml:space="preserve">lijekom </w:t>
      </w:r>
      <w:r w:rsidRPr="000B51EB">
        <w:rPr>
          <w:szCs w:val="22"/>
          <w:lang w:val="hr-HR"/>
        </w:rPr>
        <w:t xml:space="preserve">Glivec je kod bolesnika s </w:t>
      </w:r>
      <w:r w:rsidR="00B655F5" w:rsidRPr="00510442">
        <w:rPr>
          <w:szCs w:val="22"/>
          <w:lang w:val="hr-HR"/>
        </w:rPr>
        <w:t>K</w:t>
      </w:r>
      <w:r w:rsidRPr="00510442">
        <w:rPr>
          <w:szCs w:val="22"/>
          <w:lang w:val="hr-HR"/>
        </w:rPr>
        <w:t xml:space="preserve">ML-om povezano s neutropenijom ili trombocitopenijom. Međutim, pojava ovih citopenija ovisi o stadiju liječene bolesti, a mnogo su češće u bolesnika s ubrzanom fazom </w:t>
      </w:r>
      <w:r w:rsidR="00B655F5" w:rsidRPr="00510442">
        <w:rPr>
          <w:szCs w:val="22"/>
          <w:lang w:val="hr-HR"/>
        </w:rPr>
        <w:t>K</w:t>
      </w:r>
      <w:r w:rsidRPr="00510442">
        <w:rPr>
          <w:szCs w:val="22"/>
          <w:lang w:val="hr-HR"/>
        </w:rPr>
        <w:t xml:space="preserve">ML-a ili blastičnom krizom, u odnosu na bolesnike s kroničnom fazom </w:t>
      </w:r>
      <w:r w:rsidR="00B655F5" w:rsidRPr="00510442">
        <w:rPr>
          <w:szCs w:val="22"/>
          <w:lang w:val="hr-HR"/>
        </w:rPr>
        <w:t>K</w:t>
      </w:r>
      <w:r w:rsidRPr="00510442">
        <w:rPr>
          <w:szCs w:val="22"/>
          <w:lang w:val="hr-HR"/>
        </w:rPr>
        <w:t xml:space="preserve">ML-a. Liječenje </w:t>
      </w:r>
      <w:r w:rsidR="00951360">
        <w:rPr>
          <w:szCs w:val="22"/>
          <w:lang w:val="hr-HR"/>
        </w:rPr>
        <w:t xml:space="preserve">lijekom </w:t>
      </w:r>
      <w:r w:rsidRPr="00510442">
        <w:rPr>
          <w:szCs w:val="22"/>
          <w:lang w:val="hr-HR"/>
        </w:rPr>
        <w:t xml:space="preserve">Glivec može se prekinuti ili se doza može smanjiti, kao što se preporučuje u </w:t>
      </w:r>
      <w:r w:rsidR="001129D8" w:rsidRPr="00510442">
        <w:rPr>
          <w:szCs w:val="22"/>
          <w:lang w:val="hr-HR"/>
        </w:rPr>
        <w:t>dijelu</w:t>
      </w:r>
      <w:r w:rsidR="00C2005B">
        <w:rPr>
          <w:szCs w:val="22"/>
          <w:lang w:val="hr-HR"/>
        </w:rPr>
        <w:t> </w:t>
      </w:r>
      <w:r w:rsidRPr="00510442">
        <w:rPr>
          <w:szCs w:val="22"/>
          <w:lang w:val="hr-HR"/>
        </w:rPr>
        <w:t>4.2.</w:t>
      </w:r>
    </w:p>
    <w:p w14:paraId="2DA46CF3" w14:textId="77777777" w:rsidR="009B57ED" w:rsidRPr="00510442" w:rsidRDefault="009B57ED" w:rsidP="00204719">
      <w:pPr>
        <w:pStyle w:val="EndnoteText"/>
        <w:widowControl w:val="0"/>
        <w:tabs>
          <w:tab w:val="clear" w:pos="567"/>
        </w:tabs>
        <w:rPr>
          <w:color w:val="000000"/>
          <w:szCs w:val="22"/>
          <w:lang w:val="hr-HR"/>
        </w:rPr>
      </w:pPr>
    </w:p>
    <w:p w14:paraId="17F4807E" w14:textId="77777777" w:rsidR="009B57ED" w:rsidRPr="00510442" w:rsidRDefault="00DA354D" w:rsidP="00204719">
      <w:pPr>
        <w:pStyle w:val="EndnoteText"/>
        <w:widowControl w:val="0"/>
        <w:tabs>
          <w:tab w:val="clear" w:pos="567"/>
        </w:tabs>
        <w:rPr>
          <w:color w:val="000000"/>
          <w:szCs w:val="22"/>
          <w:lang w:val="hr-HR"/>
        </w:rPr>
      </w:pPr>
      <w:r w:rsidRPr="00510442">
        <w:rPr>
          <w:szCs w:val="22"/>
          <w:lang w:val="hr-HR"/>
        </w:rPr>
        <w:t>Funkciju jetre (transaminaze, bilirubin, alkalna fosfataza) treba redovito kontrolirati u bolesnika koji primaju Glivec</w:t>
      </w:r>
      <w:r w:rsidR="009B57ED" w:rsidRPr="00510442">
        <w:rPr>
          <w:color w:val="000000"/>
          <w:szCs w:val="22"/>
          <w:lang w:val="hr-HR"/>
        </w:rPr>
        <w:t>.</w:t>
      </w:r>
    </w:p>
    <w:p w14:paraId="19F22FED" w14:textId="77777777" w:rsidR="009B57ED" w:rsidRPr="00510442" w:rsidRDefault="009B57ED" w:rsidP="00204719">
      <w:pPr>
        <w:pStyle w:val="EndnoteText"/>
        <w:widowControl w:val="0"/>
        <w:tabs>
          <w:tab w:val="clear" w:pos="567"/>
        </w:tabs>
        <w:rPr>
          <w:color w:val="000000"/>
          <w:szCs w:val="22"/>
          <w:lang w:val="hr-HR"/>
        </w:rPr>
      </w:pPr>
    </w:p>
    <w:p w14:paraId="7B255BE1" w14:textId="77777777" w:rsidR="009B57ED" w:rsidRPr="00510442" w:rsidRDefault="0030049C" w:rsidP="00204719">
      <w:pPr>
        <w:pStyle w:val="EndnoteText"/>
        <w:widowControl w:val="0"/>
        <w:tabs>
          <w:tab w:val="clear" w:pos="567"/>
        </w:tabs>
        <w:rPr>
          <w:color w:val="000000"/>
          <w:szCs w:val="22"/>
          <w:lang w:val="hr-HR"/>
        </w:rPr>
      </w:pPr>
      <w:r w:rsidRPr="00510442">
        <w:rPr>
          <w:szCs w:val="22"/>
          <w:lang w:val="hr-HR"/>
        </w:rPr>
        <w:t xml:space="preserve">U bolesnika s oštećenom funkcijom bubrega izgleda da je izloženost imatinibu u plazmi viša nego u bolesnika s normalnom funkcijom bubrega, vjerojatno zbog povišene razine alfa-kiselog glikoproteina </w:t>
      </w:r>
      <w:r w:rsidR="00C8078C" w:rsidRPr="00510442">
        <w:rPr>
          <w:szCs w:val="22"/>
          <w:lang w:val="hr-HR"/>
        </w:rPr>
        <w:t xml:space="preserve">(AGP) </w:t>
      </w:r>
      <w:r w:rsidRPr="00510442">
        <w:rPr>
          <w:szCs w:val="22"/>
          <w:lang w:val="hr-HR"/>
        </w:rPr>
        <w:t xml:space="preserve">u plazmi, </w:t>
      </w:r>
      <w:r w:rsidR="00A850EF" w:rsidRPr="00510442">
        <w:rPr>
          <w:szCs w:val="22"/>
          <w:lang w:val="hr-HR"/>
        </w:rPr>
        <w:t xml:space="preserve">proteina </w:t>
      </w:r>
      <w:r w:rsidRPr="00510442">
        <w:rPr>
          <w:szCs w:val="22"/>
          <w:lang w:val="hr-HR"/>
        </w:rPr>
        <w:t>koj</w:t>
      </w:r>
      <w:r w:rsidR="00A850EF" w:rsidRPr="00510442">
        <w:rPr>
          <w:szCs w:val="22"/>
          <w:lang w:val="hr-HR"/>
        </w:rPr>
        <w:t>i</w:t>
      </w:r>
      <w:r w:rsidRPr="00510442">
        <w:rPr>
          <w:szCs w:val="22"/>
          <w:lang w:val="hr-HR"/>
        </w:rPr>
        <w:t xml:space="preserve"> veže imatinib, u tih bolesnika. Bolesnici s oštećenjem bubrega </w:t>
      </w:r>
      <w:r w:rsidR="000207EA" w:rsidRPr="00510442">
        <w:rPr>
          <w:szCs w:val="22"/>
          <w:lang w:val="hr-HR"/>
        </w:rPr>
        <w:t xml:space="preserve">moraju </w:t>
      </w:r>
      <w:r w:rsidRPr="00510442">
        <w:rPr>
          <w:szCs w:val="22"/>
          <w:lang w:val="hr-HR"/>
        </w:rPr>
        <w:t>primiti najnižu početnu dozu. Bolesnike s teškim oštećenjem bubrega treba liječiti s oprezom. Doza se može smanjiti ako se ne podnosi (vidjeti dijelove 4.2 i 5.2).</w:t>
      </w:r>
    </w:p>
    <w:p w14:paraId="6342BD33" w14:textId="77777777" w:rsidR="00BC2A87" w:rsidRPr="00510442" w:rsidRDefault="00BC2A87" w:rsidP="00204719">
      <w:pPr>
        <w:pStyle w:val="EndnoteText"/>
        <w:widowControl w:val="0"/>
        <w:tabs>
          <w:tab w:val="clear" w:pos="567"/>
        </w:tabs>
        <w:rPr>
          <w:color w:val="000000"/>
          <w:szCs w:val="22"/>
          <w:lang w:val="hr-HR"/>
        </w:rPr>
      </w:pPr>
    </w:p>
    <w:p w14:paraId="12612E1D" w14:textId="77777777" w:rsidR="00B03443" w:rsidRPr="00510442" w:rsidRDefault="00B03443" w:rsidP="00B03443">
      <w:pPr>
        <w:pStyle w:val="EndnoteText"/>
        <w:widowControl w:val="0"/>
        <w:tabs>
          <w:tab w:val="clear" w:pos="567"/>
        </w:tabs>
        <w:rPr>
          <w:color w:val="000000"/>
          <w:szCs w:val="22"/>
          <w:lang w:val="hr-HR"/>
        </w:rPr>
      </w:pPr>
      <w:r w:rsidRPr="00510442">
        <w:rPr>
          <w:color w:val="000000"/>
          <w:szCs w:val="22"/>
          <w:lang w:val="hr-HR"/>
        </w:rPr>
        <w:t>Dugotrajno liječenje imatinibom može biti povezano s klinički značajnim padom funkcije</w:t>
      </w:r>
      <w:r w:rsidR="00EC1D47" w:rsidRPr="00510442">
        <w:rPr>
          <w:color w:val="000000"/>
          <w:szCs w:val="22"/>
          <w:lang w:val="hr-HR"/>
        </w:rPr>
        <w:t xml:space="preserve"> bubrega. Stoga, funkciju bubrega treba ispitati prije početka terapije imatinibom i pažljivo pratiti tijekom terapije, uz posebnu pozornost na one bolesnike koji </w:t>
      </w:r>
      <w:r w:rsidR="00C804FD" w:rsidRPr="00510442">
        <w:rPr>
          <w:color w:val="000000"/>
          <w:szCs w:val="22"/>
          <w:lang w:val="hr-HR"/>
        </w:rPr>
        <w:t>posjeduju</w:t>
      </w:r>
      <w:r w:rsidR="00EC1D47" w:rsidRPr="00510442">
        <w:rPr>
          <w:color w:val="000000"/>
          <w:szCs w:val="22"/>
          <w:lang w:val="hr-HR"/>
        </w:rPr>
        <w:t xml:space="preserve"> faktore rizika </w:t>
      </w:r>
      <w:r w:rsidR="00C804FD" w:rsidRPr="00510442">
        <w:rPr>
          <w:color w:val="000000"/>
          <w:szCs w:val="22"/>
          <w:lang w:val="hr-HR"/>
        </w:rPr>
        <w:t xml:space="preserve">za </w:t>
      </w:r>
      <w:r w:rsidR="00EC1D47" w:rsidRPr="00510442">
        <w:rPr>
          <w:color w:val="000000"/>
          <w:szCs w:val="22"/>
          <w:lang w:val="hr-HR"/>
        </w:rPr>
        <w:t>bubrežnu disfunkciju</w:t>
      </w:r>
      <w:r w:rsidR="003415E0" w:rsidRPr="00510442">
        <w:rPr>
          <w:color w:val="000000"/>
          <w:szCs w:val="22"/>
          <w:lang w:val="hr-HR"/>
        </w:rPr>
        <w:t xml:space="preserve">. </w:t>
      </w:r>
      <w:r w:rsidR="00C804FD" w:rsidRPr="00510442">
        <w:rPr>
          <w:color w:val="000000"/>
          <w:szCs w:val="22"/>
          <w:lang w:val="hr-HR"/>
        </w:rPr>
        <w:t xml:space="preserve">Ako se uoči bubrežna disfunkcija, potrebno je uvesti odgovarajući </w:t>
      </w:r>
      <w:r w:rsidR="007C371D" w:rsidRPr="00510442">
        <w:rPr>
          <w:color w:val="000000"/>
          <w:szCs w:val="22"/>
          <w:lang w:val="hr-HR"/>
        </w:rPr>
        <w:t>nadzor i liječenje u skladu sa standardnim smjernicama liječenja.</w:t>
      </w:r>
    </w:p>
    <w:p w14:paraId="3532C72F" w14:textId="77777777" w:rsidR="00B03443" w:rsidRPr="00510442" w:rsidRDefault="00B03443" w:rsidP="00B03443">
      <w:pPr>
        <w:pStyle w:val="EndnoteText"/>
        <w:widowControl w:val="0"/>
        <w:tabs>
          <w:tab w:val="clear" w:pos="567"/>
        </w:tabs>
        <w:rPr>
          <w:color w:val="000000"/>
          <w:szCs w:val="22"/>
          <w:lang w:val="hr-HR"/>
        </w:rPr>
      </w:pPr>
    </w:p>
    <w:p w14:paraId="781015D6" w14:textId="77777777" w:rsidR="00BC2A87" w:rsidRPr="00510442" w:rsidRDefault="00742D63" w:rsidP="00FF5600">
      <w:pPr>
        <w:pStyle w:val="TOC6"/>
        <w:rPr>
          <w:lang w:val="hr-HR"/>
        </w:rPr>
      </w:pPr>
      <w:r w:rsidRPr="00510442">
        <w:rPr>
          <w:lang w:val="hr-HR"/>
        </w:rPr>
        <w:t>Pedijatrijska populacija</w:t>
      </w:r>
    </w:p>
    <w:p w14:paraId="1C22A2B0" w14:textId="77777777" w:rsidR="00BC2A87" w:rsidRPr="00510442" w:rsidRDefault="0030049C" w:rsidP="00204719">
      <w:pPr>
        <w:pStyle w:val="EndnoteText"/>
        <w:widowControl w:val="0"/>
        <w:tabs>
          <w:tab w:val="clear" w:pos="567"/>
        </w:tabs>
        <w:rPr>
          <w:color w:val="000000"/>
          <w:szCs w:val="22"/>
          <w:lang w:val="hr-HR"/>
        </w:rPr>
      </w:pPr>
      <w:r w:rsidRPr="00510442">
        <w:rPr>
          <w:szCs w:val="22"/>
          <w:lang w:val="hr-HR"/>
        </w:rPr>
        <w:t xml:space="preserve">Prijavljeni su slučajevi zastoja u rastu koji su se pojavili kod djece i preadolescenata koji su primali imatinib. </w:t>
      </w:r>
      <w:r w:rsidR="00201DEF" w:rsidRPr="00510442">
        <w:rPr>
          <w:szCs w:val="22"/>
          <w:lang w:val="hr-HR"/>
        </w:rPr>
        <w:t>U opservacijskom ispitivanju u pedijatrijskoj populaciji s KML</w:t>
      </w:r>
      <w:r w:rsidR="00B1593B" w:rsidRPr="00510442">
        <w:rPr>
          <w:szCs w:val="22"/>
          <w:lang w:val="hr-HR"/>
        </w:rPr>
        <w:noBreakHyphen/>
      </w:r>
      <w:r w:rsidR="00201DEF" w:rsidRPr="00510442">
        <w:rPr>
          <w:szCs w:val="22"/>
          <w:lang w:val="hr-HR"/>
        </w:rPr>
        <w:t xml:space="preserve">om prijavljeno je </w:t>
      </w:r>
      <w:r w:rsidR="00382B11" w:rsidRPr="00510442">
        <w:rPr>
          <w:szCs w:val="22"/>
          <w:lang w:val="hr-HR"/>
        </w:rPr>
        <w:t>statistički značajno</w:t>
      </w:r>
      <w:r w:rsidR="00201DEF" w:rsidRPr="00510442">
        <w:rPr>
          <w:szCs w:val="22"/>
          <w:lang w:val="hr-HR"/>
        </w:rPr>
        <w:t xml:space="preserve"> smanjenje </w:t>
      </w:r>
      <w:r w:rsidR="00382B11" w:rsidRPr="00510442">
        <w:rPr>
          <w:szCs w:val="22"/>
          <w:lang w:val="hr-HR"/>
        </w:rPr>
        <w:t xml:space="preserve">(nejasnog kliničkog značaja) </w:t>
      </w:r>
      <w:r w:rsidR="00201DEF" w:rsidRPr="00510442">
        <w:rPr>
          <w:szCs w:val="22"/>
          <w:lang w:val="hr-HR"/>
        </w:rPr>
        <w:t xml:space="preserve">medijana </w:t>
      </w:r>
      <w:r w:rsidR="00C52C2E" w:rsidRPr="00510442">
        <w:rPr>
          <w:szCs w:val="22"/>
          <w:lang w:val="hr-HR"/>
        </w:rPr>
        <w:t>skora</w:t>
      </w:r>
      <w:r w:rsidR="00201DEF" w:rsidRPr="00510442">
        <w:rPr>
          <w:szCs w:val="22"/>
          <w:lang w:val="hr-HR"/>
        </w:rPr>
        <w:t xml:space="preserve"> standardne devijacije </w:t>
      </w:r>
      <w:r w:rsidR="00C52C2E" w:rsidRPr="00510442">
        <w:rPr>
          <w:szCs w:val="22"/>
          <w:lang w:val="hr-HR"/>
        </w:rPr>
        <w:t xml:space="preserve">za </w:t>
      </w:r>
      <w:r w:rsidR="00201DEF" w:rsidRPr="00510442">
        <w:rPr>
          <w:szCs w:val="22"/>
          <w:lang w:val="hr-HR"/>
        </w:rPr>
        <w:t>tjelesn</w:t>
      </w:r>
      <w:r w:rsidR="00C52C2E" w:rsidRPr="00510442">
        <w:rPr>
          <w:szCs w:val="22"/>
          <w:lang w:val="hr-HR"/>
        </w:rPr>
        <w:t>u</w:t>
      </w:r>
      <w:r w:rsidR="00201DEF" w:rsidRPr="00510442">
        <w:rPr>
          <w:szCs w:val="22"/>
          <w:lang w:val="hr-HR"/>
        </w:rPr>
        <w:t xml:space="preserve"> visin</w:t>
      </w:r>
      <w:r w:rsidR="00C52C2E" w:rsidRPr="00510442">
        <w:rPr>
          <w:szCs w:val="22"/>
          <w:lang w:val="hr-HR"/>
        </w:rPr>
        <w:t>u</w:t>
      </w:r>
      <w:r w:rsidR="00201DEF" w:rsidRPr="00510442">
        <w:rPr>
          <w:szCs w:val="22"/>
          <w:lang w:val="hr-HR"/>
        </w:rPr>
        <w:t xml:space="preserve"> nakon 12 i 24 mjeseca liječenja u dvije male podskupine bez obzira na pubertetski status ili spol. P</w:t>
      </w:r>
      <w:r w:rsidRPr="00510442">
        <w:rPr>
          <w:szCs w:val="22"/>
          <w:lang w:val="hr-HR"/>
        </w:rPr>
        <w:t xml:space="preserve">reporučuje </w:t>
      </w:r>
      <w:r w:rsidR="00201DEF" w:rsidRPr="00510442">
        <w:rPr>
          <w:szCs w:val="22"/>
          <w:lang w:val="hr-HR"/>
        </w:rPr>
        <w:t xml:space="preserve">se </w:t>
      </w:r>
      <w:r w:rsidRPr="00510442">
        <w:rPr>
          <w:szCs w:val="22"/>
          <w:lang w:val="hr-HR"/>
        </w:rPr>
        <w:t>pažljivo praćenje rasta kod djece koja se liječe imatinibom (vidjeti dio</w:t>
      </w:r>
      <w:r w:rsidR="00FF5600" w:rsidRPr="00510442">
        <w:rPr>
          <w:szCs w:val="22"/>
          <w:lang w:val="hr-HR"/>
        </w:rPr>
        <w:t> </w:t>
      </w:r>
      <w:r w:rsidRPr="00510442">
        <w:rPr>
          <w:szCs w:val="22"/>
          <w:lang w:val="hr-HR"/>
        </w:rPr>
        <w:t>4.8).</w:t>
      </w:r>
    </w:p>
    <w:p w14:paraId="77C7FBCC" w14:textId="77777777" w:rsidR="009B57ED" w:rsidRPr="00510442" w:rsidRDefault="009B57ED" w:rsidP="00204719">
      <w:pPr>
        <w:pStyle w:val="EndnoteText"/>
        <w:widowControl w:val="0"/>
        <w:tabs>
          <w:tab w:val="clear" w:pos="567"/>
        </w:tabs>
        <w:rPr>
          <w:color w:val="000000"/>
          <w:szCs w:val="22"/>
          <w:lang w:val="hr-HR"/>
        </w:rPr>
      </w:pPr>
    </w:p>
    <w:p w14:paraId="4E13B459" w14:textId="77777777" w:rsidR="00742D63" w:rsidRPr="00510442" w:rsidRDefault="00742D63" w:rsidP="00FF5600">
      <w:pPr>
        <w:keepNext/>
        <w:tabs>
          <w:tab w:val="clear" w:pos="567"/>
        </w:tabs>
        <w:spacing w:line="240" w:lineRule="auto"/>
        <w:ind w:left="567" w:hanging="567"/>
        <w:outlineLvl w:val="0"/>
        <w:rPr>
          <w:szCs w:val="22"/>
          <w:lang w:val="hr-HR"/>
        </w:rPr>
      </w:pPr>
      <w:r w:rsidRPr="00510442">
        <w:rPr>
          <w:b/>
          <w:szCs w:val="22"/>
          <w:lang w:val="hr-HR"/>
        </w:rPr>
        <w:t>4.5</w:t>
      </w:r>
      <w:r w:rsidRPr="00510442">
        <w:rPr>
          <w:b/>
          <w:szCs w:val="22"/>
          <w:lang w:val="hr-HR"/>
        </w:rPr>
        <w:tab/>
        <w:t>Interakcije s drugim lijekovima i drugi oblici interakcija</w:t>
      </w:r>
    </w:p>
    <w:p w14:paraId="64FAA241" w14:textId="77777777" w:rsidR="009B57ED" w:rsidRPr="00510442" w:rsidRDefault="009B57ED" w:rsidP="00FF5600">
      <w:pPr>
        <w:pStyle w:val="EndnoteText"/>
        <w:keepNext/>
        <w:widowControl w:val="0"/>
        <w:tabs>
          <w:tab w:val="clear" w:pos="567"/>
        </w:tabs>
        <w:rPr>
          <w:color w:val="000000"/>
          <w:szCs w:val="22"/>
          <w:lang w:val="hr-HR"/>
        </w:rPr>
      </w:pPr>
    </w:p>
    <w:p w14:paraId="7E2F9557" w14:textId="77777777" w:rsidR="009B57ED" w:rsidRPr="00510442" w:rsidRDefault="009832F9" w:rsidP="00FF5600">
      <w:pPr>
        <w:pStyle w:val="Text"/>
        <w:keepNext/>
        <w:widowControl w:val="0"/>
        <w:spacing w:before="0"/>
        <w:jc w:val="left"/>
        <w:rPr>
          <w:color w:val="000000"/>
          <w:sz w:val="22"/>
          <w:szCs w:val="22"/>
          <w:u w:val="single"/>
          <w:lang w:val="hr-HR"/>
        </w:rPr>
      </w:pPr>
      <w:r w:rsidRPr="00510442">
        <w:rPr>
          <w:sz w:val="22"/>
          <w:szCs w:val="22"/>
          <w:u w:val="single"/>
          <w:lang w:val="hr-HR"/>
        </w:rPr>
        <w:t xml:space="preserve">Djelatne tvari koje mogu </w:t>
      </w:r>
      <w:r w:rsidRPr="00510442">
        <w:rPr>
          <w:b/>
          <w:sz w:val="22"/>
          <w:szCs w:val="22"/>
          <w:u w:val="single"/>
          <w:lang w:val="hr-HR"/>
        </w:rPr>
        <w:t>povećati</w:t>
      </w:r>
      <w:r w:rsidRPr="00510442">
        <w:rPr>
          <w:sz w:val="22"/>
          <w:szCs w:val="22"/>
          <w:u w:val="single"/>
          <w:lang w:val="hr-HR"/>
        </w:rPr>
        <w:t xml:space="preserve"> koncentracije imatiniba u plazmi</w:t>
      </w:r>
      <w:r w:rsidR="009B57ED" w:rsidRPr="00510442">
        <w:rPr>
          <w:color w:val="000000"/>
          <w:sz w:val="22"/>
          <w:szCs w:val="22"/>
          <w:u w:val="single"/>
          <w:lang w:val="hr-HR"/>
        </w:rPr>
        <w:t>:</w:t>
      </w:r>
    </w:p>
    <w:p w14:paraId="028122DF" w14:textId="77777777" w:rsidR="009B57ED" w:rsidRPr="00510442" w:rsidRDefault="009832F9" w:rsidP="00204719">
      <w:pPr>
        <w:pStyle w:val="Text"/>
        <w:widowControl w:val="0"/>
        <w:spacing w:before="0"/>
        <w:jc w:val="left"/>
        <w:rPr>
          <w:color w:val="000000"/>
          <w:sz w:val="22"/>
          <w:szCs w:val="22"/>
          <w:lang w:val="hr-HR"/>
        </w:rPr>
      </w:pPr>
      <w:r w:rsidRPr="00510442">
        <w:rPr>
          <w:sz w:val="22"/>
          <w:szCs w:val="22"/>
          <w:lang w:val="hr-HR"/>
        </w:rPr>
        <w:t xml:space="preserve">Tvari koje inhibiraju djelovanje CYP3A4 izoenzima citokroma P450 (npr. </w:t>
      </w:r>
      <w:r w:rsidR="00A76122" w:rsidRPr="00510442">
        <w:rPr>
          <w:sz w:val="22"/>
          <w:szCs w:val="22"/>
          <w:lang w:val="hr-HR"/>
        </w:rPr>
        <w:t xml:space="preserve">inhibitori proteaze kao što su indinavir, lopinavir/ritonavir, ritonavir, sakvinavir, telaprevir, nelfinavir, boceprevir; azolni antimikotici uključujući </w:t>
      </w:r>
      <w:r w:rsidRPr="00510442">
        <w:rPr>
          <w:sz w:val="22"/>
          <w:szCs w:val="22"/>
          <w:lang w:val="hr-HR"/>
        </w:rPr>
        <w:t xml:space="preserve">ketokonazol, itrakonazol, </w:t>
      </w:r>
      <w:r w:rsidR="00A76122" w:rsidRPr="00510442">
        <w:rPr>
          <w:sz w:val="22"/>
          <w:szCs w:val="22"/>
          <w:lang w:val="hr-HR"/>
        </w:rPr>
        <w:t xml:space="preserve">posakonazol, vorikonazol; određeni makrolidi kao što su </w:t>
      </w:r>
      <w:r w:rsidRPr="00510442">
        <w:rPr>
          <w:sz w:val="22"/>
          <w:szCs w:val="22"/>
          <w:lang w:val="hr-HR"/>
        </w:rPr>
        <w:t>eritromicin, klaritromicin</w:t>
      </w:r>
      <w:r w:rsidR="002639D2" w:rsidRPr="00510442">
        <w:rPr>
          <w:sz w:val="22"/>
          <w:szCs w:val="22"/>
          <w:lang w:val="hr-HR"/>
        </w:rPr>
        <w:t xml:space="preserve"> i telitromicin</w:t>
      </w:r>
      <w:r w:rsidRPr="00510442">
        <w:rPr>
          <w:sz w:val="22"/>
          <w:szCs w:val="22"/>
          <w:lang w:val="hr-HR"/>
        </w:rPr>
        <w:t>) mogle bi smanjiti metabolizam i povećati koncentracije imatiniba. U zdravih je ispitanika došlo do značajnog povećanja izloženosti imatinibu (srednji C</w:t>
      </w:r>
      <w:r w:rsidRPr="00510442">
        <w:rPr>
          <w:sz w:val="22"/>
          <w:szCs w:val="22"/>
          <w:vertAlign w:val="subscript"/>
          <w:lang w:val="hr-HR"/>
        </w:rPr>
        <w:t>max</w:t>
      </w:r>
      <w:r w:rsidRPr="00510442">
        <w:rPr>
          <w:sz w:val="22"/>
          <w:szCs w:val="22"/>
          <w:lang w:val="hr-HR"/>
        </w:rPr>
        <w:t xml:space="preserve"> i AUC imatiniba povećali su se za 26%, odnosno 40%), kada je imatinib primjenjivan isto</w:t>
      </w:r>
      <w:r w:rsidR="00B45790" w:rsidRPr="00510442">
        <w:rPr>
          <w:sz w:val="22"/>
          <w:szCs w:val="22"/>
          <w:lang w:val="hr-HR"/>
        </w:rPr>
        <w:t>dobn</w:t>
      </w:r>
      <w:r w:rsidRPr="00510442">
        <w:rPr>
          <w:sz w:val="22"/>
          <w:szCs w:val="22"/>
          <w:lang w:val="hr-HR"/>
        </w:rPr>
        <w:t>o s jednokratnom dozom ketokonazola (CYP3A4 inhibitor). Kada se Glivec primjenjuje s inhibitorima porodice CYP3A4, potrebno je oprezno postupati</w:t>
      </w:r>
      <w:r w:rsidR="009B57ED" w:rsidRPr="00510442">
        <w:rPr>
          <w:color w:val="000000"/>
          <w:sz w:val="22"/>
          <w:szCs w:val="22"/>
          <w:lang w:val="hr-HR"/>
        </w:rPr>
        <w:t>.</w:t>
      </w:r>
    </w:p>
    <w:p w14:paraId="2F2366A8" w14:textId="77777777" w:rsidR="009B57ED" w:rsidRPr="00510442" w:rsidRDefault="009B57ED" w:rsidP="00204719">
      <w:pPr>
        <w:pStyle w:val="Text"/>
        <w:widowControl w:val="0"/>
        <w:spacing w:before="0"/>
        <w:jc w:val="left"/>
        <w:rPr>
          <w:color w:val="000000"/>
          <w:sz w:val="22"/>
          <w:szCs w:val="22"/>
          <w:lang w:val="hr-HR"/>
        </w:rPr>
      </w:pPr>
    </w:p>
    <w:p w14:paraId="7C2603DC" w14:textId="77777777" w:rsidR="009B57ED" w:rsidRPr="00510442" w:rsidRDefault="00264D77" w:rsidP="00FF5600">
      <w:pPr>
        <w:pStyle w:val="Text"/>
        <w:keepNext/>
        <w:widowControl w:val="0"/>
        <w:spacing w:before="0"/>
        <w:jc w:val="left"/>
        <w:rPr>
          <w:color w:val="000000"/>
          <w:sz w:val="22"/>
          <w:szCs w:val="22"/>
          <w:u w:val="single"/>
          <w:lang w:val="hr-HR"/>
        </w:rPr>
      </w:pPr>
      <w:r w:rsidRPr="00510442">
        <w:rPr>
          <w:sz w:val="22"/>
          <w:szCs w:val="22"/>
          <w:u w:val="single"/>
          <w:lang w:val="hr-HR"/>
        </w:rPr>
        <w:t xml:space="preserve">Djelatne tvari koje mogu </w:t>
      </w:r>
      <w:r w:rsidRPr="00510442">
        <w:rPr>
          <w:b/>
          <w:sz w:val="22"/>
          <w:szCs w:val="22"/>
          <w:u w:val="single"/>
          <w:lang w:val="hr-HR"/>
        </w:rPr>
        <w:t>smanjiti</w:t>
      </w:r>
      <w:r w:rsidRPr="00510442">
        <w:rPr>
          <w:sz w:val="22"/>
          <w:szCs w:val="22"/>
          <w:u w:val="single"/>
          <w:lang w:val="hr-HR"/>
        </w:rPr>
        <w:t xml:space="preserve"> koncentracije imatiniba u plazmi</w:t>
      </w:r>
      <w:r w:rsidR="009B57ED" w:rsidRPr="00510442">
        <w:rPr>
          <w:color w:val="000000"/>
          <w:sz w:val="22"/>
          <w:szCs w:val="22"/>
          <w:u w:val="single"/>
          <w:lang w:val="hr-HR"/>
        </w:rPr>
        <w:t>:</w:t>
      </w:r>
    </w:p>
    <w:p w14:paraId="596F150B" w14:textId="50021241" w:rsidR="009B57ED" w:rsidRPr="00510442" w:rsidRDefault="006E496F" w:rsidP="00204719">
      <w:pPr>
        <w:pStyle w:val="Text"/>
        <w:widowControl w:val="0"/>
        <w:spacing w:before="0"/>
        <w:jc w:val="left"/>
        <w:rPr>
          <w:color w:val="000000"/>
          <w:sz w:val="22"/>
          <w:szCs w:val="22"/>
          <w:lang w:val="hr-HR"/>
        </w:rPr>
      </w:pPr>
      <w:r w:rsidRPr="00510442">
        <w:rPr>
          <w:sz w:val="22"/>
          <w:szCs w:val="22"/>
          <w:lang w:val="hr-HR"/>
        </w:rPr>
        <w:t>Tvari koje induciraju djelovanje CYP3A4</w:t>
      </w:r>
      <w:r w:rsidRPr="00510442">
        <w:rPr>
          <w:color w:val="000000"/>
          <w:sz w:val="22"/>
          <w:szCs w:val="22"/>
          <w:lang w:val="hr-HR"/>
        </w:rPr>
        <w:t xml:space="preserve"> </w:t>
      </w:r>
      <w:r w:rsidR="009B57ED" w:rsidRPr="00510442">
        <w:rPr>
          <w:color w:val="000000"/>
          <w:sz w:val="22"/>
          <w:szCs w:val="22"/>
          <w:lang w:val="hr-HR"/>
        </w:rPr>
        <w:t>(</w:t>
      </w:r>
      <w:r w:rsidRPr="00510442">
        <w:rPr>
          <w:sz w:val="22"/>
          <w:szCs w:val="22"/>
          <w:lang w:val="hr-HR"/>
        </w:rPr>
        <w:t xml:space="preserve">npr. deksametazon, fenitoin, karbamazepin, rifampicin, fenobarbital, fosfenitoin, primidon ili </w:t>
      </w:r>
      <w:r w:rsidRPr="00510442">
        <w:rPr>
          <w:i/>
          <w:sz w:val="22"/>
          <w:szCs w:val="22"/>
          <w:lang w:val="hr-HR"/>
        </w:rPr>
        <w:t>Hypericum perforatum</w:t>
      </w:r>
      <w:r w:rsidRPr="00510442">
        <w:rPr>
          <w:sz w:val="22"/>
          <w:szCs w:val="22"/>
          <w:lang w:val="hr-HR"/>
        </w:rPr>
        <w:t>, poznat također kao gospina trava</w:t>
      </w:r>
      <w:r w:rsidR="009B57ED" w:rsidRPr="00510442">
        <w:rPr>
          <w:color w:val="000000"/>
          <w:sz w:val="22"/>
          <w:szCs w:val="22"/>
          <w:lang w:val="hr-HR"/>
        </w:rPr>
        <w:t xml:space="preserve">) </w:t>
      </w:r>
      <w:r w:rsidRPr="00510442">
        <w:rPr>
          <w:sz w:val="22"/>
          <w:szCs w:val="22"/>
          <w:lang w:val="hr-HR"/>
        </w:rPr>
        <w:t xml:space="preserve">mogu značajno smanjiti izloženost </w:t>
      </w:r>
      <w:r w:rsidR="00561038" w:rsidRPr="00561038">
        <w:rPr>
          <w:sz w:val="22"/>
          <w:szCs w:val="22"/>
          <w:lang w:val="hr-HR"/>
        </w:rPr>
        <w:t xml:space="preserve">lijeku </w:t>
      </w:r>
      <w:r w:rsidRPr="00510442">
        <w:rPr>
          <w:sz w:val="22"/>
          <w:szCs w:val="22"/>
          <w:lang w:val="hr-HR"/>
        </w:rPr>
        <w:t>Glivec, čime se potencijalno povećava rizik od neuspjeha terapije</w:t>
      </w:r>
      <w:r w:rsidR="009B57ED" w:rsidRPr="00510442">
        <w:rPr>
          <w:color w:val="000000"/>
          <w:sz w:val="22"/>
          <w:szCs w:val="22"/>
          <w:lang w:val="hr-HR"/>
        </w:rPr>
        <w:t xml:space="preserve">. </w:t>
      </w:r>
      <w:r w:rsidRPr="00510442">
        <w:rPr>
          <w:sz w:val="22"/>
          <w:szCs w:val="22"/>
          <w:lang w:val="hr-HR"/>
        </w:rPr>
        <w:t xml:space="preserve">Prethodno liječenje s višestrukim dozama rifampicina od </w:t>
      </w:r>
      <w:r w:rsidR="009B57ED" w:rsidRPr="00510442">
        <w:rPr>
          <w:color w:val="000000"/>
          <w:sz w:val="22"/>
          <w:szCs w:val="22"/>
          <w:lang w:val="hr-HR"/>
        </w:rPr>
        <w:t>600 mg</w:t>
      </w:r>
      <w:r w:rsidRPr="00510442">
        <w:rPr>
          <w:sz w:val="22"/>
          <w:szCs w:val="22"/>
          <w:lang w:val="hr-HR"/>
        </w:rPr>
        <w:t xml:space="preserve">, nakon čega je slijedila jednokratna doza </w:t>
      </w:r>
      <w:r w:rsidR="00512481" w:rsidRPr="00512481">
        <w:rPr>
          <w:sz w:val="22"/>
          <w:szCs w:val="22"/>
          <w:lang w:val="hr-HR"/>
        </w:rPr>
        <w:t xml:space="preserve">lijeka </w:t>
      </w:r>
      <w:r w:rsidRPr="00510442">
        <w:rPr>
          <w:sz w:val="22"/>
          <w:szCs w:val="22"/>
          <w:lang w:val="hr-HR"/>
        </w:rPr>
        <w:t>Glivec od</w:t>
      </w:r>
      <w:r w:rsidRPr="00510442">
        <w:rPr>
          <w:color w:val="000000"/>
          <w:sz w:val="22"/>
          <w:szCs w:val="22"/>
          <w:lang w:val="hr-HR"/>
        </w:rPr>
        <w:t xml:space="preserve"> </w:t>
      </w:r>
      <w:r w:rsidR="009B57ED" w:rsidRPr="00510442">
        <w:rPr>
          <w:color w:val="000000"/>
          <w:sz w:val="22"/>
          <w:szCs w:val="22"/>
          <w:lang w:val="hr-HR"/>
        </w:rPr>
        <w:t>400 mg</w:t>
      </w:r>
      <w:r w:rsidRPr="00510442">
        <w:rPr>
          <w:sz w:val="22"/>
          <w:szCs w:val="22"/>
          <w:lang w:val="hr-HR"/>
        </w:rPr>
        <w:t xml:space="preserve">, rezultiralo je smanjenjem </w:t>
      </w:r>
      <w:r w:rsidR="009B57ED" w:rsidRPr="00510442">
        <w:rPr>
          <w:color w:val="000000"/>
          <w:sz w:val="22"/>
          <w:szCs w:val="22"/>
          <w:lang w:val="hr-HR"/>
        </w:rPr>
        <w:t>C</w:t>
      </w:r>
      <w:r w:rsidR="009B57ED" w:rsidRPr="00510442">
        <w:rPr>
          <w:color w:val="000000"/>
          <w:sz w:val="22"/>
          <w:szCs w:val="22"/>
          <w:vertAlign w:val="subscript"/>
          <w:lang w:val="hr-HR"/>
        </w:rPr>
        <w:t>max</w:t>
      </w:r>
      <w:r w:rsidR="009B57ED" w:rsidRPr="00510442">
        <w:rPr>
          <w:color w:val="000000"/>
          <w:sz w:val="22"/>
          <w:szCs w:val="22"/>
          <w:lang w:val="hr-HR"/>
        </w:rPr>
        <w:t xml:space="preserve"> </w:t>
      </w:r>
      <w:r w:rsidRPr="00510442">
        <w:rPr>
          <w:color w:val="000000"/>
          <w:sz w:val="22"/>
          <w:szCs w:val="22"/>
          <w:lang w:val="hr-HR"/>
        </w:rPr>
        <w:t>i</w:t>
      </w:r>
      <w:r w:rsidR="009B57ED" w:rsidRPr="00510442">
        <w:rPr>
          <w:color w:val="000000"/>
          <w:sz w:val="22"/>
          <w:szCs w:val="22"/>
          <w:lang w:val="hr-HR"/>
        </w:rPr>
        <w:t xml:space="preserve"> AUC</w:t>
      </w:r>
      <w:r w:rsidR="009B57ED" w:rsidRPr="00510442">
        <w:rPr>
          <w:color w:val="000000"/>
          <w:sz w:val="22"/>
          <w:szCs w:val="22"/>
          <w:vertAlign w:val="subscript"/>
          <w:lang w:val="hr-HR"/>
        </w:rPr>
        <w:t>(0-∞)</w:t>
      </w:r>
      <w:r w:rsidR="009B57ED" w:rsidRPr="00510442">
        <w:rPr>
          <w:color w:val="000000"/>
          <w:sz w:val="22"/>
          <w:szCs w:val="22"/>
          <w:lang w:val="hr-HR"/>
        </w:rPr>
        <w:t xml:space="preserve"> </w:t>
      </w:r>
      <w:r w:rsidRPr="00510442">
        <w:rPr>
          <w:sz w:val="22"/>
          <w:szCs w:val="22"/>
          <w:lang w:val="hr-HR"/>
        </w:rPr>
        <w:t>za najmanje</w:t>
      </w:r>
      <w:r w:rsidRPr="00510442">
        <w:rPr>
          <w:color w:val="000000"/>
          <w:sz w:val="22"/>
          <w:szCs w:val="22"/>
          <w:lang w:val="hr-HR"/>
        </w:rPr>
        <w:t xml:space="preserve"> </w:t>
      </w:r>
      <w:r w:rsidR="009B57ED" w:rsidRPr="00510442">
        <w:rPr>
          <w:color w:val="000000"/>
          <w:sz w:val="22"/>
          <w:szCs w:val="22"/>
          <w:lang w:val="hr-HR"/>
        </w:rPr>
        <w:t xml:space="preserve">54% </w:t>
      </w:r>
      <w:r w:rsidRPr="00510442">
        <w:rPr>
          <w:color w:val="000000"/>
          <w:sz w:val="22"/>
          <w:szCs w:val="22"/>
          <w:lang w:val="hr-HR"/>
        </w:rPr>
        <w:t>odnosno</w:t>
      </w:r>
      <w:r w:rsidR="009B57ED" w:rsidRPr="00510442">
        <w:rPr>
          <w:color w:val="000000"/>
          <w:sz w:val="22"/>
          <w:szCs w:val="22"/>
          <w:lang w:val="hr-HR"/>
        </w:rPr>
        <w:t xml:space="preserve"> 74% </w:t>
      </w:r>
      <w:r w:rsidRPr="00510442">
        <w:rPr>
          <w:sz w:val="22"/>
          <w:szCs w:val="22"/>
          <w:lang w:val="hr-HR"/>
        </w:rPr>
        <w:t>bez liječenja rifampicinom</w:t>
      </w:r>
      <w:r w:rsidR="009B57ED" w:rsidRPr="00510442">
        <w:rPr>
          <w:snapToGrid w:val="0"/>
          <w:color w:val="000000"/>
          <w:sz w:val="22"/>
          <w:szCs w:val="22"/>
          <w:lang w:val="hr-HR"/>
        </w:rPr>
        <w:t xml:space="preserve">. </w:t>
      </w:r>
      <w:r w:rsidR="00886AC7" w:rsidRPr="00510442">
        <w:rPr>
          <w:sz w:val="22"/>
          <w:szCs w:val="22"/>
          <w:lang w:val="hr-HR"/>
        </w:rPr>
        <w:t xml:space="preserve">Slični rezultati su uočeni u bolesnika s malignim gliomima koji su liječeni </w:t>
      </w:r>
      <w:r w:rsidR="00951360">
        <w:rPr>
          <w:sz w:val="22"/>
          <w:szCs w:val="22"/>
          <w:lang w:val="hr-HR"/>
        </w:rPr>
        <w:t xml:space="preserve">lijekom </w:t>
      </w:r>
      <w:r w:rsidR="00886AC7" w:rsidRPr="00510442">
        <w:rPr>
          <w:sz w:val="22"/>
          <w:szCs w:val="22"/>
          <w:lang w:val="hr-HR"/>
        </w:rPr>
        <w:t>Glivec dok su uzimali antiepileptičke lijekove koji induciraju enzime, poput karbamazepina, okskarbazepina i fenitoina. AUC imatiniba u plazmi smanjio se za 73% u usporedbi s bolesnicima koji nisu primali antiepileptičke lijekove koji induciraju enzime. Isto</w:t>
      </w:r>
      <w:r w:rsidR="00B45790" w:rsidRPr="00510442">
        <w:rPr>
          <w:sz w:val="22"/>
          <w:szCs w:val="22"/>
          <w:lang w:val="hr-HR"/>
        </w:rPr>
        <w:t>dobn</w:t>
      </w:r>
      <w:r w:rsidR="00886AC7" w:rsidRPr="00510442">
        <w:rPr>
          <w:sz w:val="22"/>
          <w:szCs w:val="22"/>
          <w:lang w:val="hr-HR"/>
        </w:rPr>
        <w:t xml:space="preserve">u </w:t>
      </w:r>
      <w:r w:rsidR="00547903" w:rsidRPr="00510442">
        <w:rPr>
          <w:sz w:val="22"/>
          <w:szCs w:val="22"/>
          <w:lang w:val="hr-HR"/>
        </w:rPr>
        <w:t xml:space="preserve">primjenu </w:t>
      </w:r>
      <w:r w:rsidR="00886AC7" w:rsidRPr="00510442">
        <w:rPr>
          <w:sz w:val="22"/>
          <w:szCs w:val="22"/>
          <w:lang w:val="hr-HR"/>
        </w:rPr>
        <w:t>rifampicina ili drugih jakih CYP3A4 induktora i imatiniba potrebno je izbjegavati</w:t>
      </w:r>
      <w:r w:rsidR="009B57ED" w:rsidRPr="00510442">
        <w:rPr>
          <w:color w:val="000000"/>
          <w:sz w:val="22"/>
          <w:szCs w:val="22"/>
          <w:lang w:val="hr-HR"/>
        </w:rPr>
        <w:t>.</w:t>
      </w:r>
    </w:p>
    <w:p w14:paraId="1587263C" w14:textId="77777777" w:rsidR="009B57ED" w:rsidRPr="00510442" w:rsidRDefault="009B57ED" w:rsidP="00204719">
      <w:pPr>
        <w:pStyle w:val="Text"/>
        <w:widowControl w:val="0"/>
        <w:spacing w:before="0"/>
        <w:jc w:val="left"/>
        <w:rPr>
          <w:color w:val="000000"/>
          <w:sz w:val="22"/>
          <w:szCs w:val="22"/>
          <w:lang w:val="hr-HR"/>
        </w:rPr>
      </w:pPr>
    </w:p>
    <w:p w14:paraId="7CD27A19" w14:textId="77777777" w:rsidR="009B57ED" w:rsidRPr="00510442" w:rsidRDefault="00B0413B" w:rsidP="00D44559">
      <w:pPr>
        <w:pStyle w:val="Text"/>
        <w:keepNext/>
        <w:widowControl w:val="0"/>
        <w:spacing w:before="0"/>
        <w:jc w:val="left"/>
        <w:rPr>
          <w:b/>
          <w:color w:val="000000"/>
          <w:sz w:val="22"/>
          <w:szCs w:val="22"/>
          <w:lang w:val="hr-HR"/>
        </w:rPr>
      </w:pPr>
      <w:r w:rsidRPr="00510442">
        <w:rPr>
          <w:b/>
          <w:sz w:val="22"/>
          <w:szCs w:val="22"/>
          <w:lang w:val="hr-HR"/>
        </w:rPr>
        <w:t>Djelatne tvari čije bi koncentracije u plazmi Glivec mogao promijeniti</w:t>
      </w:r>
    </w:p>
    <w:p w14:paraId="31A31B07" w14:textId="77777777" w:rsidR="009B57ED" w:rsidRPr="00510442" w:rsidRDefault="009B57ED" w:rsidP="00204719">
      <w:pPr>
        <w:pStyle w:val="Text"/>
        <w:widowControl w:val="0"/>
        <w:spacing w:before="0"/>
        <w:jc w:val="left"/>
        <w:rPr>
          <w:color w:val="000000"/>
          <w:sz w:val="22"/>
          <w:szCs w:val="22"/>
          <w:lang w:val="hr-HR"/>
        </w:rPr>
      </w:pPr>
      <w:r w:rsidRPr="00510442">
        <w:rPr>
          <w:color w:val="000000"/>
          <w:sz w:val="22"/>
          <w:szCs w:val="22"/>
          <w:lang w:val="hr-HR"/>
        </w:rPr>
        <w:t xml:space="preserve">Imatinib </w:t>
      </w:r>
      <w:r w:rsidR="00802424" w:rsidRPr="00510442">
        <w:rPr>
          <w:color w:val="000000"/>
          <w:sz w:val="22"/>
          <w:szCs w:val="22"/>
          <w:lang w:val="hr-HR"/>
        </w:rPr>
        <w:t>povećava</w:t>
      </w:r>
      <w:r w:rsidRPr="00510442">
        <w:rPr>
          <w:color w:val="000000"/>
          <w:sz w:val="22"/>
          <w:szCs w:val="22"/>
          <w:lang w:val="hr-HR"/>
        </w:rPr>
        <w:t xml:space="preserve"> </w:t>
      </w:r>
      <w:r w:rsidR="00795C86" w:rsidRPr="00510442">
        <w:rPr>
          <w:color w:val="000000"/>
          <w:sz w:val="22"/>
          <w:szCs w:val="22"/>
          <w:lang w:val="hr-HR"/>
        </w:rPr>
        <w:t>sredn</w:t>
      </w:r>
      <w:r w:rsidR="002A3AC4" w:rsidRPr="00510442">
        <w:rPr>
          <w:color w:val="000000"/>
          <w:sz w:val="22"/>
          <w:szCs w:val="22"/>
          <w:lang w:val="hr-HR"/>
        </w:rPr>
        <w:t>j</w:t>
      </w:r>
      <w:r w:rsidR="00795C86" w:rsidRPr="00510442">
        <w:rPr>
          <w:color w:val="000000"/>
          <w:sz w:val="22"/>
          <w:szCs w:val="22"/>
          <w:lang w:val="hr-HR"/>
        </w:rPr>
        <w:t>u vrijednost</w:t>
      </w:r>
      <w:r w:rsidRPr="00510442">
        <w:rPr>
          <w:color w:val="000000"/>
          <w:sz w:val="22"/>
          <w:szCs w:val="22"/>
          <w:lang w:val="hr-HR"/>
        </w:rPr>
        <w:t xml:space="preserve"> C</w:t>
      </w:r>
      <w:r w:rsidRPr="00510442">
        <w:rPr>
          <w:color w:val="000000"/>
          <w:sz w:val="22"/>
          <w:szCs w:val="22"/>
          <w:vertAlign w:val="subscript"/>
          <w:lang w:val="hr-HR"/>
        </w:rPr>
        <w:t>max</w:t>
      </w:r>
      <w:r w:rsidRPr="00510442">
        <w:rPr>
          <w:color w:val="000000"/>
          <w:sz w:val="22"/>
          <w:szCs w:val="22"/>
          <w:lang w:val="hr-HR"/>
        </w:rPr>
        <w:t xml:space="preserve"> </w:t>
      </w:r>
      <w:r w:rsidR="00795C86" w:rsidRPr="00510442">
        <w:rPr>
          <w:color w:val="000000"/>
          <w:sz w:val="22"/>
          <w:szCs w:val="22"/>
          <w:lang w:val="hr-HR"/>
        </w:rPr>
        <w:t>i</w:t>
      </w:r>
      <w:r w:rsidRPr="00510442">
        <w:rPr>
          <w:color w:val="000000"/>
          <w:sz w:val="22"/>
          <w:szCs w:val="22"/>
          <w:lang w:val="hr-HR"/>
        </w:rPr>
        <w:t xml:space="preserve"> AUC simvastatin</w:t>
      </w:r>
      <w:r w:rsidR="00795C86" w:rsidRPr="00510442">
        <w:rPr>
          <w:color w:val="000000"/>
          <w:sz w:val="22"/>
          <w:szCs w:val="22"/>
          <w:lang w:val="hr-HR"/>
        </w:rPr>
        <w:t>a</w:t>
      </w:r>
      <w:r w:rsidRPr="00510442">
        <w:rPr>
          <w:color w:val="000000"/>
          <w:sz w:val="22"/>
          <w:szCs w:val="22"/>
          <w:lang w:val="hr-HR"/>
        </w:rPr>
        <w:t xml:space="preserve"> (CYP3A4 su</w:t>
      </w:r>
      <w:r w:rsidR="00795C86" w:rsidRPr="00510442">
        <w:rPr>
          <w:color w:val="000000"/>
          <w:sz w:val="22"/>
          <w:szCs w:val="22"/>
          <w:lang w:val="hr-HR"/>
        </w:rPr>
        <w:t>p</w:t>
      </w:r>
      <w:r w:rsidRPr="00510442">
        <w:rPr>
          <w:color w:val="000000"/>
          <w:sz w:val="22"/>
          <w:szCs w:val="22"/>
          <w:lang w:val="hr-HR"/>
        </w:rPr>
        <w:t xml:space="preserve">strat) </w:t>
      </w:r>
      <w:r w:rsidR="00795C86" w:rsidRPr="00510442">
        <w:rPr>
          <w:color w:val="000000"/>
          <w:sz w:val="22"/>
          <w:szCs w:val="22"/>
          <w:lang w:val="hr-HR"/>
        </w:rPr>
        <w:t xml:space="preserve">za </w:t>
      </w:r>
      <w:r w:rsidRPr="00510442">
        <w:rPr>
          <w:color w:val="000000"/>
          <w:sz w:val="22"/>
          <w:szCs w:val="22"/>
          <w:lang w:val="hr-HR"/>
        </w:rPr>
        <w:t>2</w:t>
      </w:r>
      <w:r w:rsidR="00795C86" w:rsidRPr="00510442">
        <w:rPr>
          <w:color w:val="000000"/>
          <w:sz w:val="22"/>
          <w:szCs w:val="22"/>
          <w:lang w:val="hr-HR"/>
        </w:rPr>
        <w:t>, odnosno</w:t>
      </w:r>
      <w:r w:rsidRPr="00510442">
        <w:rPr>
          <w:color w:val="000000"/>
          <w:sz w:val="22"/>
          <w:szCs w:val="22"/>
          <w:lang w:val="hr-HR"/>
        </w:rPr>
        <w:t xml:space="preserve"> 3</w:t>
      </w:r>
      <w:r w:rsidR="00795C86" w:rsidRPr="00510442">
        <w:rPr>
          <w:color w:val="000000"/>
          <w:sz w:val="22"/>
          <w:szCs w:val="22"/>
          <w:lang w:val="hr-HR"/>
        </w:rPr>
        <w:t>,</w:t>
      </w:r>
      <w:r w:rsidRPr="00510442">
        <w:rPr>
          <w:color w:val="000000"/>
          <w:sz w:val="22"/>
          <w:szCs w:val="22"/>
          <w:lang w:val="hr-HR"/>
        </w:rPr>
        <w:t>5</w:t>
      </w:r>
      <w:r w:rsidR="006E5D7E" w:rsidRPr="00510442">
        <w:rPr>
          <w:color w:val="000000"/>
          <w:sz w:val="22"/>
          <w:szCs w:val="22"/>
          <w:lang w:val="hr-HR"/>
        </w:rPr>
        <w:t> </w:t>
      </w:r>
      <w:r w:rsidR="00795C86" w:rsidRPr="00510442">
        <w:rPr>
          <w:color w:val="000000"/>
          <w:sz w:val="22"/>
          <w:szCs w:val="22"/>
          <w:lang w:val="hr-HR"/>
        </w:rPr>
        <w:t>puta</w:t>
      </w:r>
      <w:r w:rsidRPr="00510442">
        <w:rPr>
          <w:color w:val="000000"/>
          <w:sz w:val="22"/>
          <w:szCs w:val="22"/>
          <w:lang w:val="hr-HR"/>
        </w:rPr>
        <w:t xml:space="preserve">, </w:t>
      </w:r>
      <w:r w:rsidR="00795C86" w:rsidRPr="00510442">
        <w:rPr>
          <w:sz w:val="22"/>
          <w:szCs w:val="22"/>
          <w:lang w:val="hr-HR"/>
        </w:rPr>
        <w:t>što ukazuje na to da imatinib inhibira CYP3A4</w:t>
      </w:r>
      <w:r w:rsidRPr="00510442">
        <w:rPr>
          <w:color w:val="000000"/>
          <w:sz w:val="22"/>
          <w:szCs w:val="22"/>
          <w:lang w:val="hr-HR"/>
        </w:rPr>
        <w:t xml:space="preserve">. </w:t>
      </w:r>
      <w:r w:rsidR="005D3B00" w:rsidRPr="00510442">
        <w:rPr>
          <w:sz w:val="22"/>
          <w:szCs w:val="22"/>
          <w:lang w:val="hr-HR"/>
        </w:rPr>
        <w:t>Zbog toga se preporučuje oprezno postupati kada se Glivec primjenjuje s CYP3A4 supstratima s uskim terapijskim prozorom (npr. ciklosporin</w:t>
      </w:r>
      <w:r w:rsidR="006D205E" w:rsidRPr="00510442">
        <w:rPr>
          <w:sz w:val="22"/>
          <w:szCs w:val="22"/>
          <w:lang w:val="hr-HR"/>
        </w:rPr>
        <w:t>,</w:t>
      </w:r>
      <w:r w:rsidR="005D3B00" w:rsidRPr="00510442">
        <w:rPr>
          <w:sz w:val="22"/>
          <w:szCs w:val="22"/>
          <w:lang w:val="hr-HR"/>
        </w:rPr>
        <w:t xml:space="preserve"> pimozid</w:t>
      </w:r>
      <w:r w:rsidR="006D205E" w:rsidRPr="00510442">
        <w:rPr>
          <w:sz w:val="22"/>
          <w:szCs w:val="22"/>
          <w:lang w:val="hr-HR"/>
        </w:rPr>
        <w:t>, takrolimus, sirolimus, ergotamin, diergotamin, fentanil, alfentanil, terfenadin, bortezomib, docetaksel i kvinidin</w:t>
      </w:r>
      <w:r w:rsidR="005D3B00" w:rsidRPr="00510442">
        <w:rPr>
          <w:sz w:val="22"/>
          <w:szCs w:val="22"/>
          <w:lang w:val="hr-HR"/>
        </w:rPr>
        <w:t>). Glivec može povećati koncentraciju drugih lijekova u plazmi koje metabolizira CYP3A4 (npr. triazolo-benzodiazepini, dihidropiridinski blokatori kalcijevih kanala, određeni inhibitori HMG-CoA reduktaze odnosno statini, itd.).</w:t>
      </w:r>
    </w:p>
    <w:p w14:paraId="59509E74" w14:textId="77777777" w:rsidR="009B57ED" w:rsidRPr="00510442" w:rsidRDefault="009B57ED" w:rsidP="00204719">
      <w:pPr>
        <w:pStyle w:val="Text"/>
        <w:widowControl w:val="0"/>
        <w:spacing w:before="0"/>
        <w:jc w:val="left"/>
        <w:rPr>
          <w:color w:val="000000"/>
          <w:sz w:val="22"/>
          <w:szCs w:val="22"/>
          <w:lang w:val="hr-HR"/>
        </w:rPr>
      </w:pPr>
    </w:p>
    <w:p w14:paraId="04DBA9DA" w14:textId="77777777" w:rsidR="009B57ED" w:rsidRPr="00510442" w:rsidRDefault="006D205E" w:rsidP="00204719">
      <w:pPr>
        <w:pStyle w:val="Text"/>
        <w:widowControl w:val="0"/>
        <w:spacing w:before="0"/>
        <w:jc w:val="left"/>
        <w:rPr>
          <w:color w:val="000000"/>
          <w:sz w:val="22"/>
          <w:szCs w:val="22"/>
          <w:lang w:val="hr-HR"/>
        </w:rPr>
      </w:pPr>
      <w:r w:rsidRPr="00510442">
        <w:rPr>
          <w:sz w:val="22"/>
          <w:szCs w:val="22"/>
          <w:lang w:val="hr-HR"/>
        </w:rPr>
        <w:t xml:space="preserve">Zbog poznatog povećanog rizika od krvarenja povezanog s primjenom imatiniba (npr. </w:t>
      </w:r>
      <w:r w:rsidR="00B60884" w:rsidRPr="00510442">
        <w:rPr>
          <w:sz w:val="22"/>
          <w:szCs w:val="22"/>
          <w:lang w:val="hr-HR"/>
        </w:rPr>
        <w:t>hemoragija</w:t>
      </w:r>
      <w:r w:rsidRPr="00510442">
        <w:rPr>
          <w:sz w:val="22"/>
          <w:szCs w:val="22"/>
          <w:lang w:val="hr-HR"/>
        </w:rPr>
        <w:t>)</w:t>
      </w:r>
      <w:r w:rsidR="003B6BEA" w:rsidRPr="00510442">
        <w:rPr>
          <w:sz w:val="22"/>
          <w:szCs w:val="22"/>
          <w:lang w:val="hr-HR"/>
        </w:rPr>
        <w:t xml:space="preserve">, </w:t>
      </w:r>
      <w:r w:rsidR="003B6BEA" w:rsidRPr="00510442">
        <w:rPr>
          <w:sz w:val="22"/>
          <w:szCs w:val="22"/>
          <w:lang w:val="hr-HR"/>
        </w:rPr>
        <w:lastRenderedPageBreak/>
        <w:t>bolesnici kojima je potrebna antikoagulacija trebaju primati heparin niske molekularne težine ili standardni heparin</w:t>
      </w:r>
      <w:r w:rsidRPr="00510442">
        <w:rPr>
          <w:sz w:val="22"/>
          <w:szCs w:val="22"/>
          <w:lang w:val="hr-HR"/>
        </w:rPr>
        <w:t>, umjesto kumarinskih derivata kao što je varfarin</w:t>
      </w:r>
      <w:r w:rsidR="009B57ED" w:rsidRPr="00510442">
        <w:rPr>
          <w:color w:val="000000"/>
          <w:sz w:val="22"/>
          <w:szCs w:val="22"/>
          <w:lang w:val="hr-HR"/>
        </w:rPr>
        <w:t>.</w:t>
      </w:r>
    </w:p>
    <w:p w14:paraId="7A0FBE46" w14:textId="77777777" w:rsidR="008E2475" w:rsidRPr="00510442" w:rsidRDefault="008E2475" w:rsidP="009B5630">
      <w:pPr>
        <w:pStyle w:val="Text"/>
        <w:widowControl w:val="0"/>
        <w:spacing w:before="0"/>
        <w:jc w:val="left"/>
        <w:rPr>
          <w:color w:val="000000"/>
          <w:sz w:val="22"/>
          <w:szCs w:val="22"/>
          <w:lang w:val="hr-HR"/>
        </w:rPr>
      </w:pPr>
    </w:p>
    <w:p w14:paraId="49037878" w14:textId="77777777" w:rsidR="008E2475" w:rsidRPr="00510442" w:rsidRDefault="003B6BEA" w:rsidP="0091773C">
      <w:pPr>
        <w:pStyle w:val="Text"/>
        <w:widowControl w:val="0"/>
        <w:spacing w:before="0"/>
        <w:jc w:val="left"/>
        <w:rPr>
          <w:color w:val="000000"/>
          <w:sz w:val="22"/>
          <w:szCs w:val="22"/>
          <w:lang w:val="hr-HR"/>
        </w:rPr>
      </w:pPr>
      <w:r w:rsidRPr="00510442">
        <w:rPr>
          <w:sz w:val="22"/>
          <w:szCs w:val="22"/>
          <w:lang w:val="hr-HR"/>
        </w:rPr>
        <w:t xml:space="preserve">Glivec </w:t>
      </w:r>
      <w:r w:rsidRPr="00510442">
        <w:rPr>
          <w:i/>
          <w:sz w:val="22"/>
          <w:szCs w:val="22"/>
          <w:lang w:val="hr-HR"/>
        </w:rPr>
        <w:t>in vitro</w:t>
      </w:r>
      <w:r w:rsidRPr="00510442">
        <w:rPr>
          <w:sz w:val="22"/>
          <w:szCs w:val="22"/>
          <w:lang w:val="hr-HR"/>
        </w:rPr>
        <w:t xml:space="preserve"> inhibira </w:t>
      </w:r>
      <w:r w:rsidR="00F45A86" w:rsidRPr="00510442">
        <w:rPr>
          <w:sz w:val="22"/>
          <w:szCs w:val="22"/>
          <w:lang w:val="hr-HR"/>
        </w:rPr>
        <w:t xml:space="preserve">aktivnost </w:t>
      </w:r>
      <w:r w:rsidRPr="00510442">
        <w:rPr>
          <w:sz w:val="22"/>
          <w:szCs w:val="22"/>
          <w:lang w:val="hr-HR"/>
        </w:rPr>
        <w:t xml:space="preserve">CYP2D6 izoenzima citokroma P450 u koncentracijama koje su slične onima što utječu na djelovanje CYP3A4. Imatinib </w:t>
      </w:r>
      <w:r w:rsidR="008E2475" w:rsidRPr="00510442">
        <w:rPr>
          <w:color w:val="000000"/>
          <w:sz w:val="22"/>
          <w:szCs w:val="22"/>
          <w:lang w:val="hr-HR"/>
        </w:rPr>
        <w:t xml:space="preserve">400 mg </w:t>
      </w:r>
      <w:r w:rsidRPr="00510442">
        <w:rPr>
          <w:sz w:val="22"/>
          <w:szCs w:val="22"/>
          <w:lang w:val="hr-HR"/>
        </w:rPr>
        <w:t xml:space="preserve">dvaput </w:t>
      </w:r>
      <w:r w:rsidR="00B60884" w:rsidRPr="00510442">
        <w:rPr>
          <w:sz w:val="22"/>
          <w:szCs w:val="22"/>
          <w:lang w:val="hr-HR"/>
        </w:rPr>
        <w:t xml:space="preserve">na dan </w:t>
      </w:r>
      <w:r w:rsidRPr="00510442">
        <w:rPr>
          <w:sz w:val="22"/>
          <w:szCs w:val="22"/>
          <w:lang w:val="hr-HR"/>
        </w:rPr>
        <w:t>imao je inhibitorni učinak na metabolizam metoprolola posredovan CYP2D6, pri čemu su se C</w:t>
      </w:r>
      <w:r w:rsidRPr="00510442">
        <w:rPr>
          <w:sz w:val="22"/>
          <w:szCs w:val="22"/>
          <w:vertAlign w:val="subscript"/>
          <w:lang w:val="hr-HR"/>
        </w:rPr>
        <w:t>max</w:t>
      </w:r>
      <w:r w:rsidRPr="00510442">
        <w:rPr>
          <w:sz w:val="22"/>
          <w:szCs w:val="22"/>
          <w:lang w:val="hr-HR"/>
        </w:rPr>
        <w:t xml:space="preserve"> i AUC metoprolola povećali za otprilike 23%</w:t>
      </w:r>
      <w:r w:rsidRPr="00510442">
        <w:rPr>
          <w:color w:val="000000"/>
          <w:sz w:val="22"/>
          <w:szCs w:val="22"/>
          <w:lang w:val="hr-HR"/>
        </w:rPr>
        <w:t xml:space="preserve"> </w:t>
      </w:r>
      <w:r w:rsidR="003C6A7B" w:rsidRPr="00510442">
        <w:rPr>
          <w:color w:val="000000"/>
          <w:sz w:val="22"/>
          <w:szCs w:val="22"/>
          <w:lang w:val="hr-HR"/>
        </w:rPr>
        <w:t>(90%CI [1</w:t>
      </w:r>
      <w:r w:rsidRPr="00510442">
        <w:rPr>
          <w:color w:val="000000"/>
          <w:sz w:val="22"/>
          <w:szCs w:val="22"/>
          <w:lang w:val="hr-HR"/>
        </w:rPr>
        <w:t>,</w:t>
      </w:r>
      <w:r w:rsidR="003C6A7B" w:rsidRPr="00510442">
        <w:rPr>
          <w:color w:val="000000"/>
          <w:sz w:val="22"/>
          <w:szCs w:val="22"/>
          <w:lang w:val="hr-HR"/>
        </w:rPr>
        <w:t>16</w:t>
      </w:r>
      <w:r w:rsidR="00391717" w:rsidRPr="00510442">
        <w:rPr>
          <w:color w:val="000000"/>
          <w:sz w:val="22"/>
          <w:szCs w:val="22"/>
          <w:lang w:val="hr-HR"/>
        </w:rPr>
        <w:noBreakHyphen/>
      </w:r>
      <w:r w:rsidR="003C6A7B" w:rsidRPr="00510442">
        <w:rPr>
          <w:color w:val="000000"/>
          <w:sz w:val="22"/>
          <w:szCs w:val="22"/>
          <w:lang w:val="hr-HR"/>
        </w:rPr>
        <w:t>1</w:t>
      </w:r>
      <w:r w:rsidRPr="00510442">
        <w:rPr>
          <w:color w:val="000000"/>
          <w:sz w:val="22"/>
          <w:szCs w:val="22"/>
          <w:lang w:val="hr-HR"/>
        </w:rPr>
        <w:t>,</w:t>
      </w:r>
      <w:r w:rsidR="003C6A7B" w:rsidRPr="00510442">
        <w:rPr>
          <w:color w:val="000000"/>
          <w:sz w:val="22"/>
          <w:szCs w:val="22"/>
          <w:lang w:val="hr-HR"/>
        </w:rPr>
        <w:t xml:space="preserve">30]). </w:t>
      </w:r>
      <w:r w:rsidR="00E3529D" w:rsidRPr="00510442">
        <w:rPr>
          <w:sz w:val="22"/>
          <w:szCs w:val="22"/>
          <w:lang w:val="hr-HR"/>
        </w:rPr>
        <w:t>Izgleda da prilagođavanje doze nije neophodno kada se imatinib isto</w:t>
      </w:r>
      <w:r w:rsidR="00B45790" w:rsidRPr="00510442">
        <w:rPr>
          <w:sz w:val="22"/>
          <w:szCs w:val="22"/>
          <w:lang w:val="hr-HR"/>
        </w:rPr>
        <w:t>dobno</w:t>
      </w:r>
      <w:r w:rsidR="00E3529D" w:rsidRPr="00510442">
        <w:rPr>
          <w:sz w:val="22"/>
          <w:szCs w:val="22"/>
          <w:lang w:val="hr-HR"/>
        </w:rPr>
        <w:t xml:space="preserve"> primjenjuje s CYP2D6 supstratima, međutim, savjetuje se oprez kod CYP2D6 supstrata s uskim terapijskim prozorom, poput metoprolola. U bolesnika liječenih metoprololom potrebno je razmisliti o kliničkom nadzoru.</w:t>
      </w:r>
    </w:p>
    <w:p w14:paraId="253162F2" w14:textId="77777777" w:rsidR="008E2475" w:rsidRPr="00510442" w:rsidRDefault="008E2475" w:rsidP="00422F71">
      <w:pPr>
        <w:pStyle w:val="Text"/>
        <w:widowControl w:val="0"/>
        <w:spacing w:before="0"/>
        <w:jc w:val="left"/>
        <w:rPr>
          <w:color w:val="000000"/>
          <w:sz w:val="22"/>
          <w:szCs w:val="22"/>
          <w:lang w:val="hr-HR"/>
        </w:rPr>
      </w:pPr>
    </w:p>
    <w:p w14:paraId="72AD9F19" w14:textId="133CD59A" w:rsidR="009B57ED" w:rsidRPr="00510442" w:rsidRDefault="00D447CC" w:rsidP="00422F71">
      <w:pPr>
        <w:pStyle w:val="Text"/>
        <w:widowControl w:val="0"/>
        <w:spacing w:before="0"/>
        <w:jc w:val="left"/>
        <w:rPr>
          <w:color w:val="000000"/>
          <w:sz w:val="22"/>
          <w:szCs w:val="22"/>
          <w:lang w:val="hr-HR"/>
        </w:rPr>
      </w:pPr>
      <w:r w:rsidRPr="00510442">
        <w:rPr>
          <w:i/>
          <w:sz w:val="22"/>
          <w:szCs w:val="22"/>
          <w:lang w:val="hr-HR"/>
        </w:rPr>
        <w:t>In vitro</w:t>
      </w:r>
      <w:r w:rsidRPr="00510442">
        <w:rPr>
          <w:sz w:val="22"/>
          <w:szCs w:val="22"/>
          <w:lang w:val="hr-HR"/>
        </w:rPr>
        <w:t>, Glivec inhibira paracetamol O-glukuronidaciju s Ki vrijednosti</w:t>
      </w:r>
      <w:r w:rsidR="002A3AC4" w:rsidRPr="00510442">
        <w:rPr>
          <w:sz w:val="22"/>
          <w:szCs w:val="22"/>
          <w:lang w:val="hr-HR"/>
        </w:rPr>
        <w:t xml:space="preserve"> </w:t>
      </w:r>
      <w:r w:rsidRPr="00510442">
        <w:rPr>
          <w:sz w:val="22"/>
          <w:szCs w:val="22"/>
          <w:lang w:val="hr-HR"/>
        </w:rPr>
        <w:t>od</w:t>
      </w:r>
      <w:r w:rsidR="009B57ED" w:rsidRPr="00510442">
        <w:rPr>
          <w:color w:val="000000"/>
          <w:sz w:val="22"/>
          <w:szCs w:val="22"/>
          <w:lang w:val="hr-HR"/>
        </w:rPr>
        <w:t xml:space="preserve"> 58</w:t>
      </w:r>
      <w:r w:rsidRPr="00510442">
        <w:rPr>
          <w:color w:val="000000"/>
          <w:sz w:val="22"/>
          <w:szCs w:val="22"/>
          <w:lang w:val="hr-HR"/>
        </w:rPr>
        <w:t>,</w:t>
      </w:r>
      <w:r w:rsidR="009B57ED" w:rsidRPr="00510442">
        <w:rPr>
          <w:color w:val="000000"/>
          <w:sz w:val="22"/>
          <w:szCs w:val="22"/>
          <w:lang w:val="hr-HR"/>
        </w:rPr>
        <w:t>5 mi</w:t>
      </w:r>
      <w:r w:rsidRPr="00510442">
        <w:rPr>
          <w:color w:val="000000"/>
          <w:sz w:val="22"/>
          <w:szCs w:val="22"/>
          <w:lang w:val="hr-HR"/>
        </w:rPr>
        <w:t>k</w:t>
      </w:r>
      <w:r w:rsidR="009B57ED" w:rsidRPr="00510442">
        <w:rPr>
          <w:color w:val="000000"/>
          <w:sz w:val="22"/>
          <w:szCs w:val="22"/>
          <w:lang w:val="hr-HR"/>
        </w:rPr>
        <w:t>romol/l.</w:t>
      </w:r>
      <w:r w:rsidR="00A76839" w:rsidRPr="00510442">
        <w:rPr>
          <w:iCs/>
          <w:color w:val="000000"/>
          <w:sz w:val="22"/>
          <w:szCs w:val="22"/>
          <w:lang w:val="hr-HR"/>
        </w:rPr>
        <w:t xml:space="preserve"> </w:t>
      </w:r>
      <w:r w:rsidRPr="00510442">
        <w:rPr>
          <w:iCs/>
          <w:sz w:val="22"/>
          <w:szCs w:val="22"/>
          <w:lang w:val="hr-HR"/>
        </w:rPr>
        <w:t>Ovakva</w:t>
      </w:r>
      <w:r w:rsidRPr="00510442">
        <w:rPr>
          <w:iCs/>
          <w:sz w:val="22"/>
          <w:szCs w:val="22"/>
          <w:u w:val="single"/>
          <w:lang w:val="hr-HR"/>
        </w:rPr>
        <w:t xml:space="preserve"> </w:t>
      </w:r>
      <w:r w:rsidRPr="00510442">
        <w:rPr>
          <w:iCs/>
          <w:sz w:val="22"/>
          <w:szCs w:val="22"/>
          <w:lang w:val="hr-HR"/>
        </w:rPr>
        <w:t xml:space="preserve">inhibicija nije uočena </w:t>
      </w:r>
      <w:r w:rsidRPr="00510442">
        <w:rPr>
          <w:i/>
          <w:iCs/>
          <w:sz w:val="22"/>
          <w:szCs w:val="22"/>
          <w:lang w:val="hr-HR"/>
        </w:rPr>
        <w:t>in vivo</w:t>
      </w:r>
      <w:r w:rsidRPr="00510442">
        <w:rPr>
          <w:iCs/>
          <w:sz w:val="22"/>
          <w:szCs w:val="22"/>
          <w:lang w:val="hr-HR"/>
        </w:rPr>
        <w:t xml:space="preserve"> nakon primjene </w:t>
      </w:r>
      <w:r w:rsidR="00512481" w:rsidRPr="00512481">
        <w:rPr>
          <w:sz w:val="22"/>
          <w:szCs w:val="22"/>
          <w:lang w:val="hr-HR"/>
        </w:rPr>
        <w:t xml:space="preserve">lijeka </w:t>
      </w:r>
      <w:r w:rsidRPr="00510442">
        <w:rPr>
          <w:iCs/>
          <w:sz w:val="22"/>
          <w:szCs w:val="22"/>
          <w:lang w:val="hr-HR"/>
        </w:rPr>
        <w:t xml:space="preserve">Glivec u dozi od 400 mg i paracetamola u dozi od 1000 mg. Više doze </w:t>
      </w:r>
      <w:r w:rsidR="00512481" w:rsidRPr="00512481">
        <w:rPr>
          <w:sz w:val="22"/>
          <w:szCs w:val="22"/>
          <w:lang w:val="hr-HR"/>
        </w:rPr>
        <w:t xml:space="preserve">lijeka </w:t>
      </w:r>
      <w:r w:rsidRPr="00510442">
        <w:rPr>
          <w:iCs/>
          <w:sz w:val="22"/>
          <w:szCs w:val="22"/>
          <w:lang w:val="hr-HR"/>
        </w:rPr>
        <w:t>Glivec i paracetamola nisu proučavane.</w:t>
      </w:r>
    </w:p>
    <w:p w14:paraId="09BD8356" w14:textId="77777777" w:rsidR="009B57ED" w:rsidRPr="00510442" w:rsidRDefault="009B57ED" w:rsidP="00422F71">
      <w:pPr>
        <w:pStyle w:val="Text"/>
        <w:widowControl w:val="0"/>
        <w:spacing w:before="0"/>
        <w:jc w:val="left"/>
        <w:rPr>
          <w:color w:val="000000"/>
          <w:sz w:val="22"/>
          <w:szCs w:val="22"/>
          <w:lang w:val="hr-HR"/>
        </w:rPr>
      </w:pPr>
    </w:p>
    <w:p w14:paraId="46643A75" w14:textId="1FDB2713" w:rsidR="009B57ED" w:rsidRPr="00510442" w:rsidRDefault="00797090" w:rsidP="00A74D02">
      <w:pPr>
        <w:pStyle w:val="Text"/>
        <w:widowControl w:val="0"/>
        <w:spacing w:before="0"/>
        <w:jc w:val="left"/>
        <w:rPr>
          <w:color w:val="000000"/>
          <w:sz w:val="22"/>
          <w:szCs w:val="22"/>
          <w:lang w:val="hr-HR"/>
        </w:rPr>
      </w:pPr>
      <w:r w:rsidRPr="00510442">
        <w:rPr>
          <w:sz w:val="22"/>
          <w:szCs w:val="22"/>
          <w:lang w:val="hr-HR"/>
        </w:rPr>
        <w:t xml:space="preserve">Stoga je potreban oprez prilikom istodobne primjene visokih doza </w:t>
      </w:r>
      <w:r w:rsidR="00512481" w:rsidRPr="00512481">
        <w:rPr>
          <w:sz w:val="22"/>
          <w:szCs w:val="22"/>
          <w:lang w:val="hr-HR"/>
        </w:rPr>
        <w:t xml:space="preserve">lijeka </w:t>
      </w:r>
      <w:r w:rsidRPr="00510442">
        <w:rPr>
          <w:sz w:val="22"/>
          <w:szCs w:val="22"/>
          <w:lang w:val="hr-HR"/>
        </w:rPr>
        <w:t>Glivec i paracetamola</w:t>
      </w:r>
      <w:r w:rsidR="009B57ED" w:rsidRPr="00510442">
        <w:rPr>
          <w:color w:val="000000"/>
          <w:sz w:val="22"/>
          <w:szCs w:val="22"/>
          <w:lang w:val="hr-HR"/>
        </w:rPr>
        <w:t>.</w:t>
      </w:r>
    </w:p>
    <w:p w14:paraId="0E236789" w14:textId="77777777" w:rsidR="00CF5273" w:rsidRPr="00510442" w:rsidRDefault="00CF5273" w:rsidP="007F1BD0">
      <w:pPr>
        <w:pStyle w:val="EndnoteText"/>
        <w:widowControl w:val="0"/>
        <w:tabs>
          <w:tab w:val="clear" w:pos="567"/>
        </w:tabs>
        <w:rPr>
          <w:color w:val="000000"/>
          <w:szCs w:val="22"/>
          <w:lang w:val="hr-HR"/>
        </w:rPr>
      </w:pPr>
    </w:p>
    <w:p w14:paraId="7F479BC0" w14:textId="77777777" w:rsidR="00CF5273" w:rsidRPr="00510442" w:rsidRDefault="009E4B45" w:rsidP="009B5630">
      <w:pPr>
        <w:spacing w:line="240" w:lineRule="auto"/>
        <w:rPr>
          <w:color w:val="000000"/>
          <w:szCs w:val="22"/>
          <w:lang w:val="hr-HR"/>
        </w:rPr>
      </w:pPr>
      <w:r w:rsidRPr="00510442">
        <w:rPr>
          <w:szCs w:val="22"/>
          <w:lang w:val="hr-HR"/>
        </w:rPr>
        <w:t>U bolesnika u kojih je obavljena tireoidektomija i koji primaju levotiroksin, izloženost levotiroksinu u plazmi može biti smanjena, kada se Glivec isto</w:t>
      </w:r>
      <w:r w:rsidR="00B45790" w:rsidRPr="00510442">
        <w:rPr>
          <w:szCs w:val="22"/>
          <w:lang w:val="hr-HR"/>
        </w:rPr>
        <w:t>dobn</w:t>
      </w:r>
      <w:r w:rsidRPr="00510442">
        <w:rPr>
          <w:szCs w:val="22"/>
          <w:lang w:val="hr-HR"/>
        </w:rPr>
        <w:t>o primjenjuje (vidjeti dio 4.4). Stoga se preporučuje oprez. Međutim, mehanizam uočene interakcije trenutno nije poznat.</w:t>
      </w:r>
    </w:p>
    <w:p w14:paraId="792F22A9" w14:textId="77777777" w:rsidR="00482352" w:rsidRPr="00510442" w:rsidRDefault="00482352" w:rsidP="0091773C">
      <w:pPr>
        <w:pStyle w:val="EndnoteText"/>
        <w:widowControl w:val="0"/>
        <w:tabs>
          <w:tab w:val="clear" w:pos="567"/>
        </w:tabs>
        <w:rPr>
          <w:color w:val="000000"/>
          <w:szCs w:val="22"/>
          <w:lang w:val="hr-HR"/>
        </w:rPr>
      </w:pPr>
    </w:p>
    <w:p w14:paraId="2051AECC" w14:textId="295F93A4" w:rsidR="00482352" w:rsidRPr="00510442" w:rsidRDefault="00746713" w:rsidP="00422F71">
      <w:pPr>
        <w:pStyle w:val="EndnoteText"/>
        <w:widowControl w:val="0"/>
        <w:tabs>
          <w:tab w:val="clear" w:pos="567"/>
        </w:tabs>
        <w:rPr>
          <w:color w:val="000000"/>
          <w:szCs w:val="22"/>
          <w:lang w:val="hr-HR"/>
        </w:rPr>
      </w:pPr>
      <w:r w:rsidRPr="00510442">
        <w:rPr>
          <w:szCs w:val="22"/>
          <w:lang w:val="hr-HR"/>
        </w:rPr>
        <w:t>U Ph+ ALL bolesnika postoji kliničko iskustvo isto</w:t>
      </w:r>
      <w:r w:rsidR="00B45790" w:rsidRPr="00510442">
        <w:rPr>
          <w:szCs w:val="22"/>
          <w:lang w:val="hr-HR"/>
        </w:rPr>
        <w:t>dobn</w:t>
      </w:r>
      <w:r w:rsidRPr="00510442">
        <w:rPr>
          <w:szCs w:val="22"/>
          <w:lang w:val="hr-HR"/>
        </w:rPr>
        <w:t xml:space="preserve">e primjene </w:t>
      </w:r>
      <w:r w:rsidR="00512481" w:rsidRPr="00512481">
        <w:rPr>
          <w:szCs w:val="22"/>
          <w:lang w:val="hr-HR"/>
        </w:rPr>
        <w:t xml:space="preserve">lijeka </w:t>
      </w:r>
      <w:r w:rsidRPr="00510442">
        <w:rPr>
          <w:szCs w:val="22"/>
          <w:lang w:val="hr-HR"/>
        </w:rPr>
        <w:t>Glivec s kemoterapijom (vidjeti dio 5.1), no lijek-lijek interakcije između imatiniba i režima kemoterapije nisu dobro karakterizirane. Nuspojave imatiniba, npr. hepatotoksičnost, mijelosupresija ili drugo, mogu se pojačati te je zabilježeno da isto</w:t>
      </w:r>
      <w:r w:rsidR="00B45790" w:rsidRPr="00510442">
        <w:rPr>
          <w:szCs w:val="22"/>
          <w:lang w:val="hr-HR"/>
        </w:rPr>
        <w:t>dobn</w:t>
      </w:r>
      <w:r w:rsidRPr="00510442">
        <w:rPr>
          <w:szCs w:val="22"/>
          <w:lang w:val="hr-HR"/>
        </w:rPr>
        <w:t xml:space="preserve">a primjena s L-asparaginazom može biti povezana s povećanom hepatotoksičnošću (vidjeti dio 4.8). Stoga primjena </w:t>
      </w:r>
      <w:r w:rsidR="00512481" w:rsidRPr="00512481">
        <w:rPr>
          <w:szCs w:val="22"/>
          <w:lang w:val="hr-HR"/>
        </w:rPr>
        <w:t xml:space="preserve">lijeka </w:t>
      </w:r>
      <w:r w:rsidRPr="00510442">
        <w:rPr>
          <w:szCs w:val="22"/>
          <w:lang w:val="hr-HR"/>
        </w:rPr>
        <w:t>Glivec u kombinaciji zahtijeva posebne mjere opreza.</w:t>
      </w:r>
    </w:p>
    <w:p w14:paraId="78AB9642" w14:textId="77777777" w:rsidR="009B57ED" w:rsidRPr="00510442" w:rsidRDefault="009B57ED" w:rsidP="00422F71">
      <w:pPr>
        <w:pStyle w:val="EndnoteText"/>
        <w:widowControl w:val="0"/>
        <w:tabs>
          <w:tab w:val="clear" w:pos="567"/>
        </w:tabs>
        <w:rPr>
          <w:color w:val="000000"/>
          <w:szCs w:val="22"/>
          <w:lang w:val="hr-HR"/>
        </w:rPr>
      </w:pPr>
    </w:p>
    <w:p w14:paraId="69B04D1F" w14:textId="77777777" w:rsidR="00742D63" w:rsidRPr="00510442" w:rsidRDefault="00742D63" w:rsidP="00D44559">
      <w:pPr>
        <w:keepNext/>
        <w:tabs>
          <w:tab w:val="clear" w:pos="567"/>
        </w:tabs>
        <w:spacing w:line="240" w:lineRule="auto"/>
        <w:ind w:left="567" w:hanging="567"/>
        <w:outlineLvl w:val="0"/>
        <w:rPr>
          <w:b/>
          <w:szCs w:val="22"/>
          <w:lang w:val="hr-HR"/>
        </w:rPr>
      </w:pPr>
      <w:r w:rsidRPr="00510442">
        <w:rPr>
          <w:b/>
          <w:szCs w:val="22"/>
          <w:lang w:val="hr-HR"/>
        </w:rPr>
        <w:t>4.6</w:t>
      </w:r>
      <w:r w:rsidRPr="00510442">
        <w:rPr>
          <w:b/>
          <w:szCs w:val="22"/>
          <w:lang w:val="hr-HR"/>
        </w:rPr>
        <w:tab/>
        <w:t>Plodnost, trudnoća i dojenje</w:t>
      </w:r>
    </w:p>
    <w:p w14:paraId="2B8B94E0" w14:textId="77777777" w:rsidR="004A452B" w:rsidRPr="00510442" w:rsidRDefault="004A452B" w:rsidP="00D44559">
      <w:pPr>
        <w:pStyle w:val="EndnoteText"/>
        <w:keepNext/>
        <w:widowControl w:val="0"/>
        <w:rPr>
          <w:color w:val="000000"/>
          <w:szCs w:val="22"/>
          <w:u w:val="single"/>
          <w:lang w:val="hr-HR"/>
        </w:rPr>
      </w:pPr>
    </w:p>
    <w:p w14:paraId="24DB1D75" w14:textId="77777777" w:rsidR="004A452B" w:rsidRPr="00510442" w:rsidRDefault="004A452B" w:rsidP="00D44559">
      <w:pPr>
        <w:pStyle w:val="EndnoteText"/>
        <w:keepNext/>
        <w:widowControl w:val="0"/>
        <w:rPr>
          <w:color w:val="000000"/>
          <w:szCs w:val="22"/>
          <w:u w:val="single"/>
          <w:lang w:val="hr-HR"/>
        </w:rPr>
      </w:pPr>
      <w:r w:rsidRPr="00510442">
        <w:rPr>
          <w:color w:val="000000"/>
          <w:szCs w:val="22"/>
          <w:u w:val="single"/>
          <w:lang w:val="hr-HR"/>
        </w:rPr>
        <w:t>Žene reproduktivne dobi</w:t>
      </w:r>
    </w:p>
    <w:p w14:paraId="0505E14E" w14:textId="42AB4093" w:rsidR="004A452B" w:rsidRPr="00510442" w:rsidRDefault="004A452B" w:rsidP="004A452B">
      <w:pPr>
        <w:pStyle w:val="EndnoteText"/>
        <w:widowControl w:val="0"/>
        <w:rPr>
          <w:color w:val="000000"/>
          <w:szCs w:val="22"/>
          <w:lang w:val="hr-HR"/>
        </w:rPr>
      </w:pPr>
      <w:r w:rsidRPr="00510442">
        <w:rPr>
          <w:color w:val="000000"/>
          <w:szCs w:val="22"/>
          <w:lang w:val="hr-HR"/>
        </w:rPr>
        <w:t xml:space="preserve">Žene </w:t>
      </w:r>
      <w:r w:rsidR="009D6EBB" w:rsidRPr="00510442">
        <w:rPr>
          <w:color w:val="000000"/>
          <w:szCs w:val="22"/>
          <w:lang w:val="hr-HR"/>
        </w:rPr>
        <w:t xml:space="preserve">reproduktivne </w:t>
      </w:r>
      <w:r w:rsidRPr="00510442">
        <w:rPr>
          <w:color w:val="000000"/>
          <w:szCs w:val="22"/>
          <w:lang w:val="hr-HR"/>
        </w:rPr>
        <w:t xml:space="preserve">dobi treba savjetovati da koriste </w:t>
      </w:r>
      <w:r w:rsidRPr="00510442">
        <w:rPr>
          <w:szCs w:val="22"/>
          <w:lang w:val="hr-HR"/>
        </w:rPr>
        <w:t xml:space="preserve">učinkovitu </w:t>
      </w:r>
      <w:r w:rsidRPr="00F410C8">
        <w:rPr>
          <w:szCs w:val="22"/>
          <w:lang w:val="hr-HR"/>
        </w:rPr>
        <w:t>kontracepciju</w:t>
      </w:r>
      <w:r w:rsidRPr="00F410C8">
        <w:rPr>
          <w:color w:val="000000"/>
          <w:szCs w:val="22"/>
          <w:lang w:val="hr-HR"/>
        </w:rPr>
        <w:t xml:space="preserve"> </w:t>
      </w:r>
      <w:r w:rsidRPr="00F410C8">
        <w:rPr>
          <w:szCs w:val="22"/>
          <w:lang w:val="hr-HR"/>
        </w:rPr>
        <w:t>tijekom liječenja</w:t>
      </w:r>
      <w:r w:rsidR="00CB30C5" w:rsidRPr="00F410C8">
        <w:rPr>
          <w:szCs w:val="22"/>
          <w:lang w:val="hr-HR"/>
        </w:rPr>
        <w:t xml:space="preserve"> </w:t>
      </w:r>
      <w:r w:rsidR="001F7A61" w:rsidRPr="00F410C8">
        <w:rPr>
          <w:szCs w:val="22"/>
          <w:lang w:val="hr-HR"/>
        </w:rPr>
        <w:t xml:space="preserve">i </w:t>
      </w:r>
      <w:r w:rsidR="007F087A" w:rsidRPr="00F410C8">
        <w:rPr>
          <w:szCs w:val="22"/>
          <w:lang w:val="hr-HR"/>
        </w:rPr>
        <w:t xml:space="preserve">u razdoblju od </w:t>
      </w:r>
      <w:r w:rsidR="001F7A61" w:rsidRPr="00F410C8">
        <w:rPr>
          <w:szCs w:val="22"/>
          <w:lang w:val="hr-HR"/>
        </w:rPr>
        <w:t xml:space="preserve">najmanje 15 dana nakon prestanka liječenja </w:t>
      </w:r>
      <w:r w:rsidR="00951360" w:rsidRPr="00F410C8">
        <w:rPr>
          <w:szCs w:val="22"/>
          <w:lang w:val="hr-HR"/>
        </w:rPr>
        <w:t xml:space="preserve">lijekom </w:t>
      </w:r>
      <w:r w:rsidR="001F7A61" w:rsidRPr="00F410C8">
        <w:rPr>
          <w:szCs w:val="22"/>
          <w:lang w:val="hr-HR"/>
        </w:rPr>
        <w:t>Glivec</w:t>
      </w:r>
      <w:r w:rsidRPr="00F410C8">
        <w:rPr>
          <w:color w:val="000000"/>
          <w:szCs w:val="22"/>
          <w:lang w:val="hr-HR"/>
        </w:rPr>
        <w:t>.</w:t>
      </w:r>
    </w:p>
    <w:p w14:paraId="4DA131F8" w14:textId="77777777" w:rsidR="009B57ED" w:rsidRPr="00510442" w:rsidRDefault="009B57ED" w:rsidP="007F1BD0">
      <w:pPr>
        <w:pStyle w:val="EndnoteText"/>
        <w:widowControl w:val="0"/>
        <w:rPr>
          <w:color w:val="000000"/>
          <w:szCs w:val="22"/>
          <w:lang w:val="hr-HR"/>
        </w:rPr>
      </w:pPr>
    </w:p>
    <w:p w14:paraId="3C06DF9F" w14:textId="77777777" w:rsidR="009B57ED" w:rsidRPr="00510442" w:rsidRDefault="00742D63" w:rsidP="00D44559">
      <w:pPr>
        <w:pStyle w:val="EndnoteText"/>
        <w:keepNext/>
        <w:widowControl w:val="0"/>
        <w:rPr>
          <w:color w:val="000000"/>
          <w:szCs w:val="22"/>
          <w:u w:val="single"/>
          <w:lang w:val="hr-HR"/>
        </w:rPr>
      </w:pPr>
      <w:r w:rsidRPr="00510442">
        <w:rPr>
          <w:szCs w:val="22"/>
          <w:u w:val="single"/>
          <w:lang w:val="hr-HR"/>
        </w:rPr>
        <w:t>Trudnoća</w:t>
      </w:r>
    </w:p>
    <w:p w14:paraId="6EBD9925" w14:textId="77777777" w:rsidR="009D7F9F" w:rsidRPr="00510442" w:rsidRDefault="00F374C0" w:rsidP="0038669B">
      <w:pPr>
        <w:pStyle w:val="EndnoteText"/>
        <w:widowControl w:val="0"/>
        <w:rPr>
          <w:color w:val="000000"/>
          <w:szCs w:val="22"/>
          <w:lang w:val="hr-HR"/>
        </w:rPr>
      </w:pPr>
      <w:r w:rsidRPr="00510442">
        <w:rPr>
          <w:color w:val="000000"/>
          <w:szCs w:val="22"/>
          <w:lang w:val="hr-HR"/>
        </w:rPr>
        <w:t>Podaci o primjeni</w:t>
      </w:r>
      <w:r w:rsidR="009B57ED" w:rsidRPr="00510442">
        <w:rPr>
          <w:color w:val="000000"/>
          <w:szCs w:val="22"/>
          <w:lang w:val="hr-HR"/>
        </w:rPr>
        <w:t xml:space="preserve"> imatinib</w:t>
      </w:r>
      <w:r w:rsidRPr="00510442">
        <w:rPr>
          <w:color w:val="000000"/>
          <w:szCs w:val="22"/>
          <w:lang w:val="hr-HR"/>
        </w:rPr>
        <w:t>a u trudnica su ograničeni</w:t>
      </w:r>
      <w:r w:rsidR="009B57ED" w:rsidRPr="00510442">
        <w:rPr>
          <w:color w:val="000000"/>
          <w:szCs w:val="22"/>
          <w:lang w:val="hr-HR"/>
        </w:rPr>
        <w:t xml:space="preserve">. </w:t>
      </w:r>
      <w:r w:rsidR="006273CD" w:rsidRPr="00510442">
        <w:rPr>
          <w:color w:val="000000"/>
          <w:szCs w:val="22"/>
          <w:lang w:val="hr-HR"/>
        </w:rPr>
        <w:t xml:space="preserve">Postoje post-marketinška izvješća </w:t>
      </w:r>
      <w:r w:rsidR="00782728" w:rsidRPr="00510442">
        <w:rPr>
          <w:color w:val="000000"/>
          <w:szCs w:val="22"/>
          <w:lang w:val="hr-HR"/>
        </w:rPr>
        <w:t xml:space="preserve">o spontanim pobačajima i dojenčadi s kongenitalnim anomalijama </w:t>
      </w:r>
      <w:r w:rsidR="006273CD" w:rsidRPr="00510442">
        <w:rPr>
          <w:color w:val="000000"/>
          <w:szCs w:val="22"/>
          <w:lang w:val="hr-HR"/>
        </w:rPr>
        <w:t>u</w:t>
      </w:r>
      <w:r w:rsidR="00782728" w:rsidRPr="00510442">
        <w:rPr>
          <w:color w:val="000000"/>
          <w:szCs w:val="22"/>
          <w:lang w:val="hr-HR"/>
        </w:rPr>
        <w:t xml:space="preserve"> žena koje su uzimale Glivec. </w:t>
      </w:r>
      <w:r w:rsidRPr="00510442">
        <w:rPr>
          <w:color w:val="000000"/>
          <w:szCs w:val="22"/>
          <w:lang w:val="hr-HR"/>
        </w:rPr>
        <w:t xml:space="preserve">No, ispitivanja </w:t>
      </w:r>
      <w:r w:rsidR="00940B66" w:rsidRPr="00510442">
        <w:rPr>
          <w:color w:val="000000"/>
          <w:szCs w:val="22"/>
          <w:lang w:val="hr-HR"/>
        </w:rPr>
        <w:t>na</w:t>
      </w:r>
      <w:r w:rsidRPr="00510442">
        <w:rPr>
          <w:color w:val="000000"/>
          <w:szCs w:val="22"/>
          <w:lang w:val="hr-HR"/>
        </w:rPr>
        <w:t xml:space="preserve"> životinja</w:t>
      </w:r>
      <w:r w:rsidR="00940B66" w:rsidRPr="00510442">
        <w:rPr>
          <w:color w:val="000000"/>
          <w:szCs w:val="22"/>
          <w:lang w:val="hr-HR"/>
        </w:rPr>
        <w:t>ma</w:t>
      </w:r>
      <w:r w:rsidRPr="00510442">
        <w:rPr>
          <w:color w:val="000000"/>
          <w:szCs w:val="22"/>
          <w:lang w:val="hr-HR"/>
        </w:rPr>
        <w:t xml:space="preserve"> pokazala </w:t>
      </w:r>
      <w:r w:rsidR="00940B66" w:rsidRPr="00510442">
        <w:rPr>
          <w:color w:val="000000"/>
          <w:szCs w:val="22"/>
          <w:lang w:val="hr-HR"/>
        </w:rPr>
        <w:t xml:space="preserve">su </w:t>
      </w:r>
      <w:r w:rsidRPr="00510442">
        <w:rPr>
          <w:color w:val="000000"/>
          <w:szCs w:val="22"/>
          <w:lang w:val="hr-HR"/>
        </w:rPr>
        <w:t xml:space="preserve">reproduktivnu toksičnost </w:t>
      </w:r>
      <w:r w:rsidR="009B57ED" w:rsidRPr="00510442">
        <w:rPr>
          <w:color w:val="000000"/>
          <w:szCs w:val="22"/>
          <w:lang w:val="hr-HR"/>
        </w:rPr>
        <w:t>(</w:t>
      </w:r>
      <w:r w:rsidRPr="00510442">
        <w:rPr>
          <w:color w:val="000000"/>
          <w:szCs w:val="22"/>
          <w:lang w:val="hr-HR"/>
        </w:rPr>
        <w:t>vidjeti dio</w:t>
      </w:r>
      <w:r w:rsidR="009B57ED" w:rsidRPr="00510442">
        <w:rPr>
          <w:color w:val="000000"/>
          <w:szCs w:val="22"/>
          <w:lang w:val="hr-HR"/>
        </w:rPr>
        <w:t xml:space="preserve"> 5.3)</w:t>
      </w:r>
      <w:r w:rsidRPr="00510442">
        <w:rPr>
          <w:color w:val="000000"/>
          <w:szCs w:val="22"/>
          <w:lang w:val="hr-HR"/>
        </w:rPr>
        <w:t>, dok potencijalni rizik za fetus nije poznat</w:t>
      </w:r>
      <w:r w:rsidR="009B57ED" w:rsidRPr="00510442">
        <w:rPr>
          <w:color w:val="000000"/>
          <w:szCs w:val="22"/>
          <w:lang w:val="hr-HR"/>
        </w:rPr>
        <w:t xml:space="preserve">. </w:t>
      </w:r>
      <w:r w:rsidRPr="00510442">
        <w:rPr>
          <w:szCs w:val="22"/>
          <w:lang w:val="hr-HR"/>
        </w:rPr>
        <w:t>Glivec se ne smije primjenjivati u trudnoći osim ako njegova primjena nije izrazito neophodna</w:t>
      </w:r>
      <w:r w:rsidR="009B57ED" w:rsidRPr="00510442">
        <w:rPr>
          <w:color w:val="000000"/>
          <w:szCs w:val="22"/>
          <w:lang w:val="hr-HR"/>
        </w:rPr>
        <w:t xml:space="preserve">. </w:t>
      </w:r>
      <w:r w:rsidRPr="00510442">
        <w:rPr>
          <w:szCs w:val="22"/>
          <w:lang w:val="hr-HR"/>
        </w:rPr>
        <w:t>Ako se primjenjuje tijekom trudnoće, bolesnica mora biti informirana o potencijalnom riziku za fetus</w:t>
      </w:r>
      <w:r w:rsidR="009B57ED" w:rsidRPr="00510442">
        <w:rPr>
          <w:color w:val="000000"/>
          <w:szCs w:val="22"/>
          <w:lang w:val="hr-HR"/>
        </w:rPr>
        <w:t>.</w:t>
      </w:r>
    </w:p>
    <w:p w14:paraId="7AA91E18" w14:textId="77777777" w:rsidR="007A652F" w:rsidRPr="00510442" w:rsidRDefault="007A652F" w:rsidP="003C0A50">
      <w:pPr>
        <w:pStyle w:val="EndnoteText"/>
        <w:widowControl w:val="0"/>
        <w:rPr>
          <w:color w:val="000000"/>
          <w:szCs w:val="22"/>
          <w:lang w:val="hr-HR"/>
        </w:rPr>
      </w:pPr>
    </w:p>
    <w:p w14:paraId="44F47016" w14:textId="77777777" w:rsidR="009B57ED" w:rsidRPr="00510442" w:rsidRDefault="00742D63" w:rsidP="00D44559">
      <w:pPr>
        <w:pStyle w:val="EndnoteText"/>
        <w:keepNext/>
        <w:widowControl w:val="0"/>
        <w:rPr>
          <w:color w:val="000000"/>
          <w:szCs w:val="22"/>
          <w:u w:val="single"/>
          <w:lang w:val="hr-HR"/>
        </w:rPr>
      </w:pPr>
      <w:r w:rsidRPr="00510442">
        <w:rPr>
          <w:szCs w:val="22"/>
          <w:u w:val="single"/>
          <w:lang w:val="hr-HR"/>
        </w:rPr>
        <w:t>Dojenje</w:t>
      </w:r>
    </w:p>
    <w:p w14:paraId="707CCF16" w14:textId="52AFC20F" w:rsidR="009B57ED" w:rsidRPr="00F410C8" w:rsidRDefault="00622E03" w:rsidP="004D775F">
      <w:pPr>
        <w:pStyle w:val="EndnoteText"/>
        <w:widowControl w:val="0"/>
        <w:rPr>
          <w:color w:val="000000"/>
          <w:szCs w:val="22"/>
          <w:lang w:val="hr-HR"/>
        </w:rPr>
      </w:pPr>
      <w:r w:rsidRPr="00510442">
        <w:rPr>
          <w:szCs w:val="22"/>
          <w:lang w:val="hr-HR"/>
        </w:rPr>
        <w:t xml:space="preserve">Postoje ograničene informacije o </w:t>
      </w:r>
      <w:r w:rsidR="00567FFD" w:rsidRPr="00510442">
        <w:rPr>
          <w:szCs w:val="22"/>
          <w:lang w:val="hr-HR"/>
        </w:rPr>
        <w:t>distribuciji</w:t>
      </w:r>
      <w:r w:rsidRPr="00510442">
        <w:rPr>
          <w:szCs w:val="22"/>
          <w:lang w:val="hr-HR"/>
        </w:rPr>
        <w:t xml:space="preserve"> imatiniba u majčino mlijeko. Ispitivanja u dvije dojilje su otkrila da se i imatinib i njegov djelatni metabolit mogu </w:t>
      </w:r>
      <w:r w:rsidR="00567FFD" w:rsidRPr="00510442">
        <w:rPr>
          <w:szCs w:val="22"/>
          <w:lang w:val="hr-HR"/>
        </w:rPr>
        <w:t>distribuirati</w:t>
      </w:r>
      <w:r w:rsidRPr="00510442">
        <w:rPr>
          <w:szCs w:val="22"/>
          <w:lang w:val="hr-HR"/>
        </w:rPr>
        <w:t xml:space="preserve"> u majčino mlijeko. Omjer koncentracije u mlijeku i plazmi ispitivan u jedne bolesnice bio je 0,5 za imatinib i 0,9 za metabolit, što ukazuje na veću raspodjelu metabolita u mlijeko. Uzimajući u obzir kombiniranu koncentraciju imatiniba i metabolita i maksimalni dnevni unos mlijeka od strane dojenčeta, očekuje se da je ukupna izloženost niska (~10% terapijske doze). Međutim, budući da učinci </w:t>
      </w:r>
      <w:r w:rsidRPr="00F410C8">
        <w:rPr>
          <w:szCs w:val="22"/>
          <w:lang w:val="hr-HR"/>
        </w:rPr>
        <w:t xml:space="preserve">izloženosti niskim dozama imatiniba u dojenčadi nisu poznati, žene ne </w:t>
      </w:r>
      <w:r w:rsidR="000B54CA" w:rsidRPr="00F410C8">
        <w:rPr>
          <w:szCs w:val="22"/>
          <w:lang w:val="hr-HR"/>
        </w:rPr>
        <w:t>smiju</w:t>
      </w:r>
      <w:r w:rsidRPr="00F410C8">
        <w:rPr>
          <w:szCs w:val="22"/>
          <w:lang w:val="hr-HR"/>
        </w:rPr>
        <w:t xml:space="preserve"> dojiti</w:t>
      </w:r>
      <w:r w:rsidR="00CB30C5" w:rsidRPr="00F410C8">
        <w:rPr>
          <w:szCs w:val="22"/>
          <w:lang w:val="hr-HR"/>
        </w:rPr>
        <w:t xml:space="preserve"> tijekom liječenja i </w:t>
      </w:r>
      <w:r w:rsidR="002739FF" w:rsidRPr="00F410C8">
        <w:rPr>
          <w:szCs w:val="22"/>
          <w:lang w:val="hr-HR"/>
        </w:rPr>
        <w:t xml:space="preserve">u razdoblju od </w:t>
      </w:r>
      <w:r w:rsidR="00CB30C5" w:rsidRPr="00F410C8">
        <w:rPr>
          <w:szCs w:val="22"/>
          <w:lang w:val="hr-HR"/>
        </w:rPr>
        <w:t xml:space="preserve">najmanje 15 dana nakon prestanka liječenja </w:t>
      </w:r>
      <w:r w:rsidR="00951360" w:rsidRPr="00F410C8">
        <w:rPr>
          <w:szCs w:val="22"/>
          <w:lang w:val="hr-HR"/>
        </w:rPr>
        <w:t xml:space="preserve">lijekom </w:t>
      </w:r>
      <w:r w:rsidR="00CB30C5" w:rsidRPr="00F410C8">
        <w:rPr>
          <w:szCs w:val="22"/>
          <w:lang w:val="hr-HR"/>
        </w:rPr>
        <w:t>Glivec</w:t>
      </w:r>
      <w:r w:rsidRPr="00F410C8">
        <w:rPr>
          <w:szCs w:val="22"/>
          <w:lang w:val="hr-HR"/>
        </w:rPr>
        <w:t>.</w:t>
      </w:r>
    </w:p>
    <w:p w14:paraId="7F2169B0" w14:textId="77777777" w:rsidR="00196B07" w:rsidRPr="00F410C8" w:rsidRDefault="00196B07" w:rsidP="00457295">
      <w:pPr>
        <w:pStyle w:val="EndnoteText"/>
        <w:widowControl w:val="0"/>
        <w:rPr>
          <w:color w:val="000000"/>
          <w:szCs w:val="22"/>
          <w:lang w:val="hr-HR"/>
        </w:rPr>
      </w:pPr>
    </w:p>
    <w:p w14:paraId="3FE077F4" w14:textId="77777777" w:rsidR="00196B07" w:rsidRPr="00F410C8" w:rsidRDefault="00742D63" w:rsidP="00D44559">
      <w:pPr>
        <w:pStyle w:val="EndnoteText"/>
        <w:keepNext/>
        <w:widowControl w:val="0"/>
        <w:rPr>
          <w:color w:val="000000"/>
          <w:szCs w:val="22"/>
          <w:u w:val="single"/>
          <w:lang w:val="hr-HR"/>
        </w:rPr>
      </w:pPr>
      <w:r w:rsidRPr="00F410C8">
        <w:rPr>
          <w:szCs w:val="22"/>
          <w:u w:val="single"/>
          <w:lang w:val="hr-HR"/>
        </w:rPr>
        <w:t>Plodnost</w:t>
      </w:r>
    </w:p>
    <w:p w14:paraId="21669E97" w14:textId="1B26FCAD" w:rsidR="00196B07" w:rsidRPr="00510442" w:rsidRDefault="00A35ED4" w:rsidP="009B5630">
      <w:pPr>
        <w:tabs>
          <w:tab w:val="clear" w:pos="567"/>
        </w:tabs>
        <w:autoSpaceDE w:val="0"/>
        <w:autoSpaceDN w:val="0"/>
        <w:adjustRightInd w:val="0"/>
        <w:spacing w:line="240" w:lineRule="auto"/>
        <w:rPr>
          <w:szCs w:val="22"/>
          <w:lang w:val="hr-HR"/>
        </w:rPr>
      </w:pPr>
      <w:r w:rsidRPr="00F410C8">
        <w:rPr>
          <w:szCs w:val="22"/>
          <w:lang w:val="hr-HR"/>
        </w:rPr>
        <w:t>U nekliničkim ispitivanjima</w:t>
      </w:r>
      <w:r w:rsidR="00AB7A8B" w:rsidRPr="00F410C8">
        <w:rPr>
          <w:szCs w:val="22"/>
          <w:lang w:val="hr-HR"/>
        </w:rPr>
        <w:t xml:space="preserve"> </w:t>
      </w:r>
      <w:r w:rsidRPr="00F410C8">
        <w:rPr>
          <w:szCs w:val="22"/>
          <w:lang w:val="hr-HR"/>
        </w:rPr>
        <w:t>nije bilo utjecaja na plodnost mu</w:t>
      </w:r>
      <w:r w:rsidR="0028285E" w:rsidRPr="00F410C8">
        <w:rPr>
          <w:szCs w:val="22"/>
          <w:lang w:val="hr-HR"/>
        </w:rPr>
        <w:t>žjaka</w:t>
      </w:r>
      <w:r w:rsidRPr="00F410C8">
        <w:rPr>
          <w:szCs w:val="22"/>
          <w:lang w:val="hr-HR"/>
        </w:rPr>
        <w:t xml:space="preserve"> i ženki štakora</w:t>
      </w:r>
      <w:r w:rsidR="000713D4" w:rsidRPr="00F410C8">
        <w:rPr>
          <w:szCs w:val="22"/>
          <w:lang w:val="hr-HR"/>
        </w:rPr>
        <w:t>, iako su uočeni učinci na reproduktivne parametre</w:t>
      </w:r>
      <w:r w:rsidR="00AB7A8B" w:rsidRPr="00F410C8">
        <w:rPr>
          <w:szCs w:val="22"/>
          <w:lang w:val="hr-HR"/>
        </w:rPr>
        <w:t xml:space="preserve"> (</w:t>
      </w:r>
      <w:r w:rsidRPr="00F410C8">
        <w:rPr>
          <w:szCs w:val="22"/>
          <w:lang w:val="hr-HR"/>
        </w:rPr>
        <w:t>vidjeti dio</w:t>
      </w:r>
      <w:r w:rsidR="00AB7A8B" w:rsidRPr="00F410C8">
        <w:rPr>
          <w:szCs w:val="22"/>
          <w:lang w:val="hr-HR"/>
        </w:rPr>
        <w:t xml:space="preserve"> 5.3).</w:t>
      </w:r>
      <w:r w:rsidR="00AB7A8B" w:rsidRPr="00F410C8">
        <w:rPr>
          <w:color w:val="000000"/>
          <w:szCs w:val="22"/>
          <w:lang w:val="hr-HR"/>
        </w:rPr>
        <w:t xml:space="preserve"> </w:t>
      </w:r>
      <w:r w:rsidR="00F1010D" w:rsidRPr="00F410C8">
        <w:rPr>
          <w:color w:val="000000"/>
          <w:szCs w:val="22"/>
          <w:lang w:val="hr-HR"/>
        </w:rPr>
        <w:t>Nisu provedena i</w:t>
      </w:r>
      <w:r w:rsidRPr="00F410C8">
        <w:rPr>
          <w:color w:val="000000"/>
          <w:szCs w:val="22"/>
          <w:lang w:val="hr-HR"/>
        </w:rPr>
        <w:t>spitivanja</w:t>
      </w:r>
      <w:r w:rsidRPr="00510442">
        <w:rPr>
          <w:color w:val="000000"/>
          <w:szCs w:val="22"/>
          <w:lang w:val="hr-HR"/>
        </w:rPr>
        <w:t xml:space="preserve"> na bolesnicima koji primaju Glivec</w:t>
      </w:r>
      <w:r w:rsidR="00F1010D" w:rsidRPr="00510442">
        <w:rPr>
          <w:color w:val="000000"/>
          <w:szCs w:val="22"/>
          <w:lang w:val="hr-HR"/>
        </w:rPr>
        <w:t xml:space="preserve"> o njegovom učinku na plodnost i gametogenezu</w:t>
      </w:r>
      <w:r w:rsidR="00AB7A8B" w:rsidRPr="00510442">
        <w:rPr>
          <w:szCs w:val="22"/>
          <w:lang w:val="hr-HR"/>
        </w:rPr>
        <w:t xml:space="preserve">. </w:t>
      </w:r>
      <w:r w:rsidR="00F1010D" w:rsidRPr="00510442">
        <w:rPr>
          <w:szCs w:val="22"/>
          <w:lang w:val="hr-HR"/>
        </w:rPr>
        <w:t xml:space="preserve">Bolesnici zabrinuti radi svoje plodnosti tijekom liječenja </w:t>
      </w:r>
      <w:r w:rsidR="00951360">
        <w:rPr>
          <w:szCs w:val="22"/>
          <w:lang w:val="hr-HR"/>
        </w:rPr>
        <w:t xml:space="preserve">lijekom </w:t>
      </w:r>
      <w:r w:rsidR="00F1010D" w:rsidRPr="00510442">
        <w:rPr>
          <w:szCs w:val="22"/>
          <w:lang w:val="hr-HR"/>
        </w:rPr>
        <w:t>Glivec moraju se posavjetovati sa svojim liječnikom.</w:t>
      </w:r>
    </w:p>
    <w:p w14:paraId="78DEBD40" w14:textId="77777777" w:rsidR="009B57ED" w:rsidRPr="00510442" w:rsidRDefault="009B57ED" w:rsidP="0091773C">
      <w:pPr>
        <w:pStyle w:val="EndnoteText"/>
        <w:widowControl w:val="0"/>
        <w:rPr>
          <w:color w:val="000000"/>
          <w:szCs w:val="22"/>
          <w:lang w:val="hr-HR"/>
        </w:rPr>
      </w:pPr>
    </w:p>
    <w:p w14:paraId="140F3B83" w14:textId="77777777" w:rsidR="00742D63" w:rsidRPr="00510442" w:rsidRDefault="00742D63" w:rsidP="00D44559">
      <w:pPr>
        <w:keepNext/>
        <w:tabs>
          <w:tab w:val="clear" w:pos="567"/>
        </w:tabs>
        <w:spacing w:line="240" w:lineRule="auto"/>
        <w:ind w:left="567" w:hanging="567"/>
        <w:outlineLvl w:val="0"/>
        <w:rPr>
          <w:szCs w:val="22"/>
          <w:lang w:val="hr-HR"/>
        </w:rPr>
      </w:pPr>
      <w:r w:rsidRPr="00510442">
        <w:rPr>
          <w:b/>
          <w:szCs w:val="22"/>
          <w:lang w:val="hr-HR"/>
        </w:rPr>
        <w:t>4.7</w:t>
      </w:r>
      <w:r w:rsidRPr="00510442">
        <w:rPr>
          <w:b/>
          <w:szCs w:val="22"/>
          <w:lang w:val="hr-HR"/>
        </w:rPr>
        <w:tab/>
        <w:t xml:space="preserve">Utjecaj na sposobnost upravljanja vozilima i rada </w:t>
      </w:r>
      <w:r w:rsidR="00C45DE5" w:rsidRPr="00510442">
        <w:rPr>
          <w:b/>
          <w:szCs w:val="22"/>
          <w:lang w:val="hr-HR"/>
        </w:rPr>
        <w:t xml:space="preserve">sa </w:t>
      </w:r>
      <w:r w:rsidRPr="00510442">
        <w:rPr>
          <w:b/>
          <w:szCs w:val="22"/>
          <w:lang w:val="hr-HR"/>
        </w:rPr>
        <w:t>strojevima</w:t>
      </w:r>
    </w:p>
    <w:p w14:paraId="276ABC6D" w14:textId="77777777" w:rsidR="009B57ED" w:rsidRPr="00510442" w:rsidRDefault="009B57ED" w:rsidP="00D44559">
      <w:pPr>
        <w:pStyle w:val="EndnoteText"/>
        <w:keepNext/>
        <w:widowControl w:val="0"/>
        <w:tabs>
          <w:tab w:val="clear" w:pos="567"/>
        </w:tabs>
        <w:rPr>
          <w:color w:val="000000"/>
          <w:szCs w:val="22"/>
          <w:lang w:val="hr-HR"/>
        </w:rPr>
      </w:pPr>
    </w:p>
    <w:p w14:paraId="44CB5F0A" w14:textId="77777777" w:rsidR="009B57ED" w:rsidRPr="00510442" w:rsidRDefault="00233746" w:rsidP="00A74D02">
      <w:pPr>
        <w:pStyle w:val="EndnoteText"/>
        <w:widowControl w:val="0"/>
        <w:tabs>
          <w:tab w:val="clear" w:pos="567"/>
        </w:tabs>
        <w:rPr>
          <w:snapToGrid w:val="0"/>
          <w:color w:val="000000"/>
          <w:szCs w:val="22"/>
          <w:lang w:val="hr-HR"/>
        </w:rPr>
      </w:pPr>
      <w:r w:rsidRPr="00510442">
        <w:rPr>
          <w:snapToGrid w:val="0"/>
          <w:color w:val="000000"/>
          <w:szCs w:val="22"/>
          <w:lang w:val="hr-HR"/>
        </w:rPr>
        <w:t xml:space="preserve">Bolesnike treba obavijestiti </w:t>
      </w:r>
      <w:r w:rsidRPr="00510442">
        <w:rPr>
          <w:szCs w:val="22"/>
          <w:lang w:val="hr-HR"/>
        </w:rPr>
        <w:t xml:space="preserve">o postojanju mogućnosti </w:t>
      </w:r>
      <w:r w:rsidRPr="00510442">
        <w:rPr>
          <w:snapToGrid w:val="0"/>
          <w:color w:val="000000"/>
          <w:szCs w:val="22"/>
          <w:lang w:val="hr-HR"/>
        </w:rPr>
        <w:t xml:space="preserve">da tijekom liječenja imatinibom nastupe nuspojave poput omaglice, zamagljenog vida ili </w:t>
      </w:r>
      <w:r w:rsidR="00AF4083" w:rsidRPr="00510442">
        <w:rPr>
          <w:snapToGrid w:val="0"/>
          <w:color w:val="000000"/>
          <w:szCs w:val="22"/>
          <w:lang w:val="hr-HR"/>
        </w:rPr>
        <w:t>somnolencije</w:t>
      </w:r>
      <w:r w:rsidRPr="00510442">
        <w:rPr>
          <w:snapToGrid w:val="0"/>
          <w:color w:val="000000"/>
          <w:szCs w:val="22"/>
          <w:lang w:val="hr-HR"/>
        </w:rPr>
        <w:t>.</w:t>
      </w:r>
      <w:r w:rsidR="009B57ED" w:rsidRPr="00510442">
        <w:rPr>
          <w:snapToGrid w:val="0"/>
          <w:color w:val="000000"/>
          <w:szCs w:val="22"/>
          <w:lang w:val="hr-HR"/>
        </w:rPr>
        <w:t xml:space="preserve"> </w:t>
      </w:r>
      <w:r w:rsidRPr="00510442">
        <w:rPr>
          <w:szCs w:val="22"/>
          <w:lang w:val="hr-HR"/>
        </w:rPr>
        <w:t xml:space="preserve">Stoga se preporučuje oprez pri upravljanju vozilima ili radu </w:t>
      </w:r>
      <w:r w:rsidR="00D26BB8" w:rsidRPr="00510442">
        <w:rPr>
          <w:szCs w:val="22"/>
          <w:lang w:val="hr-HR"/>
        </w:rPr>
        <w:t>s</w:t>
      </w:r>
      <w:r w:rsidRPr="00510442">
        <w:rPr>
          <w:szCs w:val="22"/>
          <w:lang w:val="hr-HR"/>
        </w:rPr>
        <w:t>a strojevima.</w:t>
      </w:r>
    </w:p>
    <w:p w14:paraId="4909DA60" w14:textId="77777777" w:rsidR="009B57ED" w:rsidRPr="00510442" w:rsidRDefault="009B57ED" w:rsidP="007F1BD0">
      <w:pPr>
        <w:pStyle w:val="EndnoteText"/>
        <w:widowControl w:val="0"/>
        <w:tabs>
          <w:tab w:val="clear" w:pos="567"/>
        </w:tabs>
        <w:rPr>
          <w:color w:val="000000"/>
          <w:szCs w:val="22"/>
          <w:lang w:val="hr-HR"/>
        </w:rPr>
      </w:pPr>
    </w:p>
    <w:p w14:paraId="1A0B6341" w14:textId="77777777" w:rsidR="00742D63" w:rsidRPr="00510442" w:rsidRDefault="0091773C" w:rsidP="00D44559">
      <w:pPr>
        <w:keepNext/>
        <w:tabs>
          <w:tab w:val="clear" w:pos="567"/>
        </w:tabs>
        <w:spacing w:line="240" w:lineRule="auto"/>
        <w:ind w:left="567" w:hanging="567"/>
        <w:outlineLvl w:val="0"/>
        <w:rPr>
          <w:b/>
          <w:szCs w:val="22"/>
          <w:lang w:val="hr-HR"/>
        </w:rPr>
      </w:pPr>
      <w:r w:rsidRPr="00510442">
        <w:rPr>
          <w:b/>
          <w:szCs w:val="22"/>
          <w:lang w:val="hr-HR"/>
        </w:rPr>
        <w:t>4.8</w:t>
      </w:r>
      <w:r w:rsidRPr="00510442">
        <w:rPr>
          <w:b/>
          <w:szCs w:val="22"/>
          <w:lang w:val="hr-HR"/>
        </w:rPr>
        <w:tab/>
      </w:r>
      <w:r w:rsidR="00742D63" w:rsidRPr="00510442">
        <w:rPr>
          <w:b/>
          <w:szCs w:val="22"/>
          <w:lang w:val="hr-HR"/>
        </w:rPr>
        <w:t>Nuspojave</w:t>
      </w:r>
    </w:p>
    <w:p w14:paraId="41EB67F0" w14:textId="77777777" w:rsidR="009B57ED" w:rsidRPr="00510442" w:rsidRDefault="009B57ED" w:rsidP="00D44559">
      <w:pPr>
        <w:keepNext/>
        <w:widowControl w:val="0"/>
        <w:tabs>
          <w:tab w:val="clear" w:pos="567"/>
        </w:tabs>
        <w:spacing w:line="240" w:lineRule="auto"/>
        <w:rPr>
          <w:color w:val="000000"/>
          <w:szCs w:val="22"/>
          <w:lang w:val="hr-HR"/>
        </w:rPr>
      </w:pPr>
    </w:p>
    <w:p w14:paraId="7EFF4C48" w14:textId="77777777" w:rsidR="00482352" w:rsidRPr="00510442" w:rsidRDefault="00CB044A" w:rsidP="00422F71">
      <w:pPr>
        <w:pStyle w:val="Text"/>
        <w:widowControl w:val="0"/>
        <w:spacing w:before="0"/>
        <w:jc w:val="left"/>
        <w:rPr>
          <w:color w:val="000000"/>
          <w:sz w:val="22"/>
          <w:szCs w:val="22"/>
          <w:lang w:val="hr-HR"/>
        </w:rPr>
      </w:pPr>
      <w:r w:rsidRPr="00510442">
        <w:rPr>
          <w:sz w:val="22"/>
          <w:szCs w:val="22"/>
          <w:lang w:val="hr-HR"/>
        </w:rPr>
        <w:t>Bolesnici s uznapredovalim stadijima zloćudnih bolesti mogu imati brojna zbunjujuća medicinska stanja koja otežavaju utvrđivanje uzročnosti nuspojava zbog niza simptoma vezanih za osnovnu bolest, njezinu progresiju te isto</w:t>
      </w:r>
      <w:r w:rsidR="00265C2E" w:rsidRPr="00510442">
        <w:rPr>
          <w:sz w:val="22"/>
          <w:szCs w:val="22"/>
          <w:lang w:val="hr-HR"/>
        </w:rPr>
        <w:t>dobnu</w:t>
      </w:r>
      <w:r w:rsidRPr="00510442">
        <w:rPr>
          <w:sz w:val="22"/>
          <w:szCs w:val="22"/>
          <w:lang w:val="hr-HR"/>
        </w:rPr>
        <w:t xml:space="preserve"> primjenu mnogobrojnih lijekova.</w:t>
      </w:r>
    </w:p>
    <w:p w14:paraId="231E6E27" w14:textId="77777777" w:rsidR="009B57ED" w:rsidRPr="00510442" w:rsidRDefault="009B57ED" w:rsidP="00422F71">
      <w:pPr>
        <w:pStyle w:val="Text"/>
        <w:widowControl w:val="0"/>
        <w:spacing w:before="0"/>
        <w:jc w:val="left"/>
        <w:rPr>
          <w:color w:val="000000"/>
          <w:sz w:val="22"/>
          <w:szCs w:val="22"/>
          <w:lang w:val="hr-HR"/>
        </w:rPr>
      </w:pPr>
    </w:p>
    <w:p w14:paraId="61749BB8" w14:textId="77777777" w:rsidR="009B57ED" w:rsidRPr="00510442" w:rsidRDefault="003A43EB" w:rsidP="00A74D02">
      <w:pPr>
        <w:pStyle w:val="Text"/>
        <w:widowControl w:val="0"/>
        <w:spacing w:before="0"/>
        <w:jc w:val="left"/>
        <w:rPr>
          <w:color w:val="000000"/>
          <w:sz w:val="22"/>
          <w:szCs w:val="22"/>
          <w:lang w:val="hr-HR"/>
        </w:rPr>
      </w:pPr>
      <w:r w:rsidRPr="00510442">
        <w:rPr>
          <w:sz w:val="22"/>
          <w:szCs w:val="22"/>
          <w:lang w:val="hr-HR"/>
        </w:rPr>
        <w:t xml:space="preserve">U kliničkim ispitivanjima </w:t>
      </w:r>
      <w:r w:rsidR="00B655F5" w:rsidRPr="00510442">
        <w:rPr>
          <w:sz w:val="22"/>
          <w:szCs w:val="22"/>
          <w:lang w:val="hr-HR"/>
        </w:rPr>
        <w:t>K</w:t>
      </w:r>
      <w:r w:rsidRPr="00510442">
        <w:rPr>
          <w:sz w:val="22"/>
          <w:szCs w:val="22"/>
          <w:lang w:val="hr-HR"/>
        </w:rPr>
        <w:t>ML-a je ukidanje lijeka zbog nuspojava povezanih s njegovom primjenom zapaženo u</w:t>
      </w:r>
      <w:r w:rsidRPr="00510442">
        <w:rPr>
          <w:color w:val="000000"/>
          <w:sz w:val="22"/>
          <w:szCs w:val="22"/>
          <w:lang w:val="hr-HR"/>
        </w:rPr>
        <w:t xml:space="preserve"> </w:t>
      </w:r>
      <w:r w:rsidR="009B57ED" w:rsidRPr="00510442">
        <w:rPr>
          <w:color w:val="000000"/>
          <w:sz w:val="22"/>
          <w:szCs w:val="22"/>
          <w:lang w:val="hr-HR"/>
        </w:rPr>
        <w:t>2</w:t>
      </w:r>
      <w:r w:rsidRPr="00510442">
        <w:rPr>
          <w:color w:val="000000"/>
          <w:sz w:val="22"/>
          <w:szCs w:val="22"/>
          <w:lang w:val="hr-HR"/>
        </w:rPr>
        <w:t>,</w:t>
      </w:r>
      <w:r w:rsidR="002C67C5" w:rsidRPr="00510442">
        <w:rPr>
          <w:color w:val="000000"/>
          <w:sz w:val="22"/>
          <w:szCs w:val="22"/>
          <w:lang w:val="hr-HR"/>
        </w:rPr>
        <w:t>4</w:t>
      </w:r>
      <w:r w:rsidR="009B57ED" w:rsidRPr="00510442">
        <w:rPr>
          <w:color w:val="000000"/>
          <w:sz w:val="22"/>
          <w:szCs w:val="22"/>
          <w:lang w:val="hr-HR"/>
        </w:rPr>
        <w:t xml:space="preserve">% </w:t>
      </w:r>
      <w:r w:rsidRPr="00510442">
        <w:rPr>
          <w:sz w:val="22"/>
          <w:szCs w:val="22"/>
          <w:lang w:val="hr-HR"/>
        </w:rPr>
        <w:t>novodijagnosticiranih bolesnika</w:t>
      </w:r>
      <w:r w:rsidR="009B57ED" w:rsidRPr="00510442">
        <w:rPr>
          <w:color w:val="000000"/>
          <w:sz w:val="22"/>
          <w:szCs w:val="22"/>
          <w:lang w:val="hr-HR"/>
        </w:rPr>
        <w:t xml:space="preserve">, 4% </w:t>
      </w:r>
      <w:r w:rsidRPr="00510442">
        <w:rPr>
          <w:sz w:val="22"/>
          <w:szCs w:val="22"/>
          <w:lang w:val="hr-HR"/>
        </w:rPr>
        <w:t>bolesnika u kasnoj kroničnoj fazi nakon neuspjeha terapije interferonom</w:t>
      </w:r>
      <w:r w:rsidR="009B57ED" w:rsidRPr="00510442">
        <w:rPr>
          <w:color w:val="000000"/>
          <w:sz w:val="22"/>
          <w:szCs w:val="22"/>
          <w:lang w:val="hr-HR"/>
        </w:rPr>
        <w:t xml:space="preserve">, 4% </w:t>
      </w:r>
      <w:r w:rsidRPr="00510442">
        <w:rPr>
          <w:sz w:val="22"/>
          <w:szCs w:val="22"/>
          <w:lang w:val="hr-HR"/>
        </w:rPr>
        <w:t>bolesnika u ubrzanoj fazi nakon neuspjeha terapije interferonom i</w:t>
      </w:r>
      <w:r w:rsidR="009B57ED" w:rsidRPr="00510442">
        <w:rPr>
          <w:color w:val="000000"/>
          <w:sz w:val="22"/>
          <w:szCs w:val="22"/>
          <w:lang w:val="hr-HR"/>
        </w:rPr>
        <w:t xml:space="preserve"> 5% </w:t>
      </w:r>
      <w:r w:rsidRPr="00510442">
        <w:rPr>
          <w:sz w:val="22"/>
          <w:szCs w:val="22"/>
          <w:lang w:val="hr-HR"/>
        </w:rPr>
        <w:t xml:space="preserve">bolesnika u blastičnoj krizi nakon neuspjeha terapije interferonom. U ispitivanju GIST-a, primjena ispitivanog lijeka je prekinuta u </w:t>
      </w:r>
      <w:r w:rsidR="009B57ED" w:rsidRPr="00510442">
        <w:rPr>
          <w:color w:val="000000"/>
          <w:sz w:val="22"/>
          <w:szCs w:val="22"/>
          <w:lang w:val="hr-HR"/>
        </w:rPr>
        <w:t xml:space="preserve">4% </w:t>
      </w:r>
      <w:r w:rsidRPr="00510442">
        <w:rPr>
          <w:sz w:val="22"/>
          <w:szCs w:val="22"/>
          <w:lang w:val="hr-HR"/>
        </w:rPr>
        <w:t>bolesnika zbog nuspojava povezanih s njegovom primjenom</w:t>
      </w:r>
      <w:r w:rsidR="009B57ED" w:rsidRPr="00510442">
        <w:rPr>
          <w:color w:val="000000"/>
          <w:sz w:val="22"/>
          <w:szCs w:val="22"/>
          <w:lang w:val="hr-HR"/>
        </w:rPr>
        <w:t>.</w:t>
      </w:r>
    </w:p>
    <w:p w14:paraId="5186BB9B" w14:textId="77777777" w:rsidR="009B57ED" w:rsidRPr="00510442" w:rsidRDefault="009B57ED" w:rsidP="00A74D02">
      <w:pPr>
        <w:pStyle w:val="Text"/>
        <w:widowControl w:val="0"/>
        <w:spacing w:before="0"/>
        <w:jc w:val="left"/>
        <w:rPr>
          <w:color w:val="000000"/>
          <w:sz w:val="22"/>
          <w:szCs w:val="22"/>
          <w:lang w:val="hr-HR"/>
        </w:rPr>
      </w:pPr>
    </w:p>
    <w:p w14:paraId="38D81A60" w14:textId="41B83803" w:rsidR="00482352" w:rsidRPr="000B51EB" w:rsidRDefault="000036B6" w:rsidP="007F1BD0">
      <w:pPr>
        <w:pStyle w:val="Text"/>
        <w:widowControl w:val="0"/>
        <w:spacing w:before="0"/>
        <w:jc w:val="left"/>
        <w:rPr>
          <w:color w:val="000000"/>
          <w:sz w:val="22"/>
          <w:szCs w:val="22"/>
          <w:lang w:val="hr-HR"/>
        </w:rPr>
      </w:pPr>
      <w:r w:rsidRPr="00510442">
        <w:rPr>
          <w:sz w:val="22"/>
          <w:szCs w:val="22"/>
          <w:lang w:val="hr-HR"/>
        </w:rPr>
        <w:t>Kod svih indikacija su nuspojave bile slične, uz dvije iznimke</w:t>
      </w:r>
      <w:r w:rsidR="00482352" w:rsidRPr="00510442">
        <w:rPr>
          <w:color w:val="000000"/>
          <w:sz w:val="22"/>
          <w:szCs w:val="22"/>
          <w:lang w:val="hr-HR"/>
        </w:rPr>
        <w:t xml:space="preserve">. </w:t>
      </w:r>
      <w:r w:rsidRPr="00510442">
        <w:rPr>
          <w:sz w:val="22"/>
          <w:szCs w:val="22"/>
          <w:lang w:val="hr-HR"/>
        </w:rPr>
        <w:t xml:space="preserve">U </w:t>
      </w:r>
      <w:r w:rsidR="00B655F5" w:rsidRPr="00510442">
        <w:rPr>
          <w:sz w:val="22"/>
          <w:szCs w:val="22"/>
          <w:lang w:val="hr-HR"/>
        </w:rPr>
        <w:t>K</w:t>
      </w:r>
      <w:r w:rsidRPr="00510442">
        <w:rPr>
          <w:sz w:val="22"/>
          <w:szCs w:val="22"/>
          <w:lang w:val="hr-HR"/>
        </w:rPr>
        <w:t>ML bolesnika uočen je veći postotak mijelosupresije, nego u bolesnika s GIST-om, što je vjerojatno uzrokovano osnovnom bolešću. U ispitivanju s bolesnicima s inoperabilnim i/ili metastazirajućim GIST-om, u 7 (5%) bolesnika nastupilo je GI krvarenje CTC stupnja</w:t>
      </w:r>
      <w:r w:rsidR="00422F71" w:rsidRPr="00510442">
        <w:rPr>
          <w:sz w:val="22"/>
          <w:szCs w:val="22"/>
          <w:lang w:val="hr-HR"/>
        </w:rPr>
        <w:t> </w:t>
      </w:r>
      <w:r w:rsidRPr="00510442">
        <w:rPr>
          <w:sz w:val="22"/>
          <w:szCs w:val="22"/>
          <w:lang w:val="hr-HR"/>
        </w:rPr>
        <w:t>3/4</w:t>
      </w:r>
      <w:r w:rsidR="00482352" w:rsidRPr="00510442">
        <w:rPr>
          <w:snapToGrid w:val="0"/>
          <w:color w:val="000000"/>
          <w:sz w:val="22"/>
          <w:szCs w:val="22"/>
          <w:lang w:val="hr-HR"/>
        </w:rPr>
        <w:t xml:space="preserve"> (3 </w:t>
      </w:r>
      <w:r w:rsidRPr="00510442">
        <w:rPr>
          <w:sz w:val="22"/>
          <w:szCs w:val="22"/>
          <w:lang w:val="hr-HR"/>
        </w:rPr>
        <w:t>bolesnika</w:t>
      </w:r>
      <w:r w:rsidR="00482352" w:rsidRPr="00510442">
        <w:rPr>
          <w:snapToGrid w:val="0"/>
          <w:color w:val="000000"/>
          <w:sz w:val="22"/>
          <w:szCs w:val="22"/>
          <w:lang w:val="hr-HR"/>
        </w:rPr>
        <w:t xml:space="preserve">), </w:t>
      </w:r>
      <w:r w:rsidRPr="00510442">
        <w:rPr>
          <w:sz w:val="22"/>
          <w:szCs w:val="22"/>
          <w:lang w:val="hr-HR"/>
        </w:rPr>
        <w:t xml:space="preserve">intratumorsko krvarenje </w:t>
      </w:r>
      <w:r w:rsidR="00482352" w:rsidRPr="00510442">
        <w:rPr>
          <w:snapToGrid w:val="0"/>
          <w:color w:val="000000"/>
          <w:sz w:val="22"/>
          <w:szCs w:val="22"/>
          <w:lang w:val="hr-HR"/>
        </w:rPr>
        <w:t>(3 </w:t>
      </w:r>
      <w:r w:rsidRPr="00510442">
        <w:rPr>
          <w:sz w:val="22"/>
          <w:szCs w:val="22"/>
          <w:lang w:val="hr-HR"/>
        </w:rPr>
        <w:t>bolesnika</w:t>
      </w:r>
      <w:r w:rsidR="00482352" w:rsidRPr="00510442">
        <w:rPr>
          <w:snapToGrid w:val="0"/>
          <w:color w:val="000000"/>
          <w:sz w:val="22"/>
          <w:szCs w:val="22"/>
          <w:lang w:val="hr-HR"/>
        </w:rPr>
        <w:t xml:space="preserve">) </w:t>
      </w:r>
      <w:r w:rsidRPr="00510442">
        <w:rPr>
          <w:snapToGrid w:val="0"/>
          <w:color w:val="000000"/>
          <w:sz w:val="22"/>
          <w:szCs w:val="22"/>
          <w:lang w:val="hr-HR"/>
        </w:rPr>
        <w:t>ili oboje</w:t>
      </w:r>
      <w:r w:rsidR="00482352" w:rsidRPr="00510442">
        <w:rPr>
          <w:snapToGrid w:val="0"/>
          <w:color w:val="000000"/>
          <w:sz w:val="22"/>
          <w:szCs w:val="22"/>
          <w:lang w:val="hr-HR"/>
        </w:rPr>
        <w:t xml:space="preserve"> (1 </w:t>
      </w:r>
      <w:r w:rsidRPr="00510442">
        <w:rPr>
          <w:snapToGrid w:val="0"/>
          <w:color w:val="000000"/>
          <w:sz w:val="22"/>
          <w:szCs w:val="22"/>
          <w:lang w:val="hr-HR"/>
        </w:rPr>
        <w:t>bolesnik</w:t>
      </w:r>
      <w:r w:rsidR="002E1FCE" w:rsidRPr="00510442">
        <w:rPr>
          <w:snapToGrid w:val="0"/>
          <w:color w:val="000000"/>
          <w:sz w:val="22"/>
          <w:szCs w:val="22"/>
          <w:lang w:val="hr-HR"/>
        </w:rPr>
        <w:t>).</w:t>
      </w:r>
      <w:r w:rsidRPr="00510442">
        <w:rPr>
          <w:sz w:val="22"/>
          <w:szCs w:val="22"/>
          <w:lang w:val="hr-HR"/>
        </w:rPr>
        <w:t xml:space="preserve"> Uzrok GI krvarenja mogle bi biti lokacije GI tumora (vidjeti dio</w:t>
      </w:r>
      <w:r w:rsidR="00482352" w:rsidRPr="00510442">
        <w:rPr>
          <w:snapToGrid w:val="0"/>
          <w:color w:val="000000"/>
          <w:sz w:val="22"/>
          <w:szCs w:val="22"/>
          <w:lang w:val="hr-HR"/>
        </w:rPr>
        <w:t xml:space="preserve"> 4.4). </w:t>
      </w:r>
      <w:r w:rsidR="002E1FCE" w:rsidRPr="00510442">
        <w:rPr>
          <w:sz w:val="22"/>
          <w:szCs w:val="22"/>
          <w:lang w:val="hr-HR"/>
        </w:rPr>
        <w:t>Gastrointestinalno i tumorsko krvarenje može biti ozbiljno, a katkada i smrtonosno. Najčešće zabilježene nuspojave</w:t>
      </w:r>
      <w:r w:rsidR="002E1FCE" w:rsidRPr="00510442">
        <w:rPr>
          <w:color w:val="000000"/>
          <w:sz w:val="22"/>
          <w:szCs w:val="22"/>
          <w:lang w:val="hr-HR"/>
        </w:rPr>
        <w:t xml:space="preserve"> </w:t>
      </w:r>
      <w:r w:rsidR="00482352" w:rsidRPr="00510442">
        <w:rPr>
          <w:color w:val="000000"/>
          <w:sz w:val="22"/>
          <w:szCs w:val="22"/>
          <w:lang w:val="hr-HR"/>
        </w:rPr>
        <w:t>(</w:t>
      </w:r>
      <w:r w:rsidR="00482352" w:rsidRPr="00307897">
        <w:rPr>
          <w:color w:val="000000"/>
          <w:sz w:val="22"/>
          <w:szCs w:val="22"/>
          <w:lang w:val="hr-HR"/>
        </w:rPr>
        <w:sym w:font="Symbol" w:char="F0B3"/>
      </w:r>
      <w:r w:rsidR="00482352" w:rsidRPr="00307897">
        <w:rPr>
          <w:color w:val="000000"/>
          <w:sz w:val="22"/>
          <w:szCs w:val="22"/>
          <w:lang w:val="hr-HR"/>
        </w:rPr>
        <w:t xml:space="preserve">10%) </w:t>
      </w:r>
      <w:r w:rsidR="002E1FCE" w:rsidRPr="00307897">
        <w:rPr>
          <w:sz w:val="22"/>
          <w:szCs w:val="22"/>
          <w:lang w:val="hr-HR"/>
        </w:rPr>
        <w:t xml:space="preserve">koje su povezane s primjenom lijeka, bile su u obje situacije blaga </w:t>
      </w:r>
      <w:r w:rsidR="002E1FCE" w:rsidRPr="00A00164">
        <w:rPr>
          <w:sz w:val="22"/>
          <w:szCs w:val="22"/>
          <w:lang w:val="hr-HR"/>
        </w:rPr>
        <w:t>mučnina, povraćanje, proljev, bol u trbuhu, umor, bol u mišićima, grčevi u mišićima i osip. U svim su ispitivanjima površinski edemi bili čest nalaz, a opisani su u prvome redu kao periorbitalni edemi ili kao edemi donjih ekstremiteta. No, ti su edemi rije</w:t>
      </w:r>
      <w:r w:rsidR="002E1FCE" w:rsidRPr="00973BDD">
        <w:rPr>
          <w:sz w:val="22"/>
          <w:szCs w:val="22"/>
          <w:lang w:val="hr-HR"/>
        </w:rPr>
        <w:t xml:space="preserve">tko bili teški te se mogu liječiti diureticima, drugim suportivnim mjerama, ili smanjenjem doze </w:t>
      </w:r>
      <w:r w:rsidR="00512481" w:rsidRPr="00512481">
        <w:rPr>
          <w:sz w:val="22"/>
          <w:szCs w:val="22"/>
          <w:lang w:val="hr-HR"/>
        </w:rPr>
        <w:t xml:space="preserve">lijeka </w:t>
      </w:r>
      <w:r w:rsidR="002E1FCE" w:rsidRPr="00973BDD">
        <w:rPr>
          <w:sz w:val="22"/>
          <w:szCs w:val="22"/>
          <w:lang w:val="hr-HR"/>
        </w:rPr>
        <w:t>Glivec.</w:t>
      </w:r>
    </w:p>
    <w:p w14:paraId="5578B262" w14:textId="77777777" w:rsidR="00482352" w:rsidRPr="00510442" w:rsidRDefault="00482352" w:rsidP="00954FF7">
      <w:pPr>
        <w:pStyle w:val="Text"/>
        <w:widowControl w:val="0"/>
        <w:spacing w:before="0"/>
        <w:jc w:val="left"/>
        <w:rPr>
          <w:color w:val="000000"/>
          <w:sz w:val="22"/>
          <w:szCs w:val="22"/>
          <w:lang w:val="hr-HR"/>
        </w:rPr>
      </w:pPr>
    </w:p>
    <w:p w14:paraId="12604DD2" w14:textId="77777777" w:rsidR="00482352" w:rsidRPr="00510442" w:rsidRDefault="002E1FCE" w:rsidP="0038669B">
      <w:pPr>
        <w:pStyle w:val="Text"/>
        <w:spacing w:before="0"/>
        <w:jc w:val="left"/>
        <w:rPr>
          <w:color w:val="000000"/>
          <w:sz w:val="22"/>
          <w:szCs w:val="22"/>
          <w:lang w:val="hr-HR"/>
        </w:rPr>
      </w:pPr>
      <w:r w:rsidRPr="00510442">
        <w:rPr>
          <w:sz w:val="22"/>
          <w:szCs w:val="22"/>
          <w:lang w:val="hr-HR"/>
        </w:rPr>
        <w:t xml:space="preserve">Kada se imatinib kombinirao s visokim dozom kemoterapije u </w:t>
      </w:r>
      <w:r w:rsidR="00482352" w:rsidRPr="00510442">
        <w:rPr>
          <w:color w:val="000000"/>
          <w:sz w:val="22"/>
          <w:szCs w:val="22"/>
          <w:lang w:val="hr-HR"/>
        </w:rPr>
        <w:t xml:space="preserve">Ph+ </w:t>
      </w:r>
      <w:smartTag w:uri="urn:schemas-microsoft-com:office:smarttags" w:element="stockticker">
        <w:r w:rsidR="00482352" w:rsidRPr="00510442">
          <w:rPr>
            <w:color w:val="000000"/>
            <w:sz w:val="22"/>
            <w:szCs w:val="22"/>
            <w:lang w:val="hr-HR"/>
          </w:rPr>
          <w:t>ALL</w:t>
        </w:r>
      </w:smartTag>
      <w:r w:rsidR="00482352" w:rsidRPr="00510442">
        <w:rPr>
          <w:color w:val="000000"/>
          <w:sz w:val="22"/>
          <w:szCs w:val="22"/>
          <w:lang w:val="hr-HR"/>
        </w:rPr>
        <w:t xml:space="preserve"> </w:t>
      </w:r>
      <w:r w:rsidRPr="00510442">
        <w:rPr>
          <w:sz w:val="22"/>
          <w:szCs w:val="22"/>
          <w:lang w:val="hr-HR"/>
        </w:rPr>
        <w:t>bolesnika, uočena je prolazna jetrena toksičnost u obliku povišenja transaminaze i hiperbilirubinemije</w:t>
      </w:r>
      <w:r w:rsidR="00482352" w:rsidRPr="00510442">
        <w:rPr>
          <w:color w:val="000000"/>
          <w:sz w:val="22"/>
          <w:szCs w:val="22"/>
          <w:lang w:val="hr-HR"/>
        </w:rPr>
        <w:t>.</w:t>
      </w:r>
      <w:r w:rsidR="00675A30" w:rsidRPr="00510442">
        <w:rPr>
          <w:color w:val="000000"/>
          <w:sz w:val="22"/>
          <w:szCs w:val="22"/>
          <w:lang w:val="hr-HR"/>
        </w:rPr>
        <w:t xml:space="preserve"> </w:t>
      </w:r>
      <w:r w:rsidR="004B08BD" w:rsidRPr="00510442">
        <w:rPr>
          <w:color w:val="000000"/>
          <w:sz w:val="22"/>
          <w:szCs w:val="22"/>
          <w:lang w:val="hr-HR"/>
        </w:rPr>
        <w:t xml:space="preserve">Imajući na umu ograničenost baze podataka o sigurnosti primjene, dosad prijavljeni štetni događaji u djece odgovaraju poznatome sigurnosnom profilu u odraslih bolesnika s Ph+ ALL. </w:t>
      </w:r>
      <w:r w:rsidR="005979C5" w:rsidRPr="00510442">
        <w:rPr>
          <w:color w:val="000000"/>
          <w:sz w:val="22"/>
          <w:szCs w:val="22"/>
          <w:lang w:val="hr-HR"/>
        </w:rPr>
        <w:t>Baza sigurnosnih podataka za djecu s Ph+ALL vrlo je ograničena iako nisu uočena nikakva nova sigurnosna pitanja</w:t>
      </w:r>
      <w:r w:rsidR="00675A30" w:rsidRPr="00510442">
        <w:rPr>
          <w:color w:val="000000"/>
          <w:sz w:val="22"/>
          <w:szCs w:val="22"/>
          <w:lang w:val="hr-HR"/>
        </w:rPr>
        <w:t>.</w:t>
      </w:r>
    </w:p>
    <w:p w14:paraId="13961A34" w14:textId="77777777" w:rsidR="009B57ED" w:rsidRPr="00510442" w:rsidRDefault="009B57ED" w:rsidP="00236E0E">
      <w:pPr>
        <w:pStyle w:val="Text"/>
        <w:widowControl w:val="0"/>
        <w:spacing w:before="0"/>
        <w:jc w:val="left"/>
        <w:rPr>
          <w:color w:val="000000"/>
          <w:sz w:val="22"/>
          <w:szCs w:val="22"/>
          <w:lang w:val="hr-HR"/>
        </w:rPr>
      </w:pPr>
    </w:p>
    <w:p w14:paraId="0077F71D" w14:textId="77777777" w:rsidR="009B57ED" w:rsidRPr="00510442" w:rsidRDefault="002E1FCE" w:rsidP="003C0A50">
      <w:pPr>
        <w:pStyle w:val="Text"/>
        <w:widowControl w:val="0"/>
        <w:spacing w:before="0"/>
        <w:jc w:val="left"/>
        <w:rPr>
          <w:color w:val="000000"/>
          <w:sz w:val="22"/>
          <w:szCs w:val="22"/>
          <w:lang w:val="hr-HR"/>
        </w:rPr>
      </w:pPr>
      <w:r w:rsidRPr="00510442">
        <w:rPr>
          <w:sz w:val="22"/>
          <w:szCs w:val="22"/>
          <w:lang w:val="hr-HR"/>
        </w:rPr>
        <w:t xml:space="preserve">Razne se nuspojave, kao što su pleuralni izljev, ascites, plućni edem i brzo dobivanje na težini sa ili bez površinskih edema, mogu zajednički opisati kao </w:t>
      </w:r>
      <w:r w:rsidR="005A3589" w:rsidRPr="00510442">
        <w:rPr>
          <w:lang w:val="hr-HR"/>
        </w:rPr>
        <w:t>„</w:t>
      </w:r>
      <w:r w:rsidRPr="00510442">
        <w:rPr>
          <w:sz w:val="22"/>
          <w:szCs w:val="22"/>
          <w:lang w:val="hr-HR"/>
        </w:rPr>
        <w:t>retencija tekućine</w:t>
      </w:r>
      <w:r w:rsidR="005A3589" w:rsidRPr="00510442">
        <w:rPr>
          <w:lang w:val="hr-HR"/>
        </w:rPr>
        <w:t>“</w:t>
      </w:r>
      <w:r w:rsidRPr="00510442">
        <w:rPr>
          <w:sz w:val="22"/>
          <w:szCs w:val="22"/>
          <w:lang w:val="hr-HR"/>
        </w:rPr>
        <w:t>. Te se reakcije obično mogu liječiti tako da se Glivec privremeno prestane davati te da se primijene diuretici i druge odgovarajuće suportivne mjere. No, neke od tih reakcija mogu biti ozbiljne ili opasne po život, pa je nekoliko bolesnika s blastičnom krizom umrlo s kompleksnom kliničkom anamnezom pleuralnog izljeva, kongestivnog zatajenja srca i zatajenja bubrega. U pedijatrijskim kliničkim ispitivanjima nije bilo posebnih nalaza o sigurnosti primjene.</w:t>
      </w:r>
    </w:p>
    <w:p w14:paraId="154FCC2F" w14:textId="77777777" w:rsidR="009B57ED" w:rsidRPr="00510442" w:rsidRDefault="009B57ED" w:rsidP="003C0A50">
      <w:pPr>
        <w:pStyle w:val="Text"/>
        <w:widowControl w:val="0"/>
        <w:spacing w:before="0"/>
        <w:jc w:val="left"/>
        <w:rPr>
          <w:color w:val="000000"/>
          <w:sz w:val="22"/>
          <w:szCs w:val="22"/>
          <w:lang w:val="hr-HR"/>
        </w:rPr>
      </w:pPr>
    </w:p>
    <w:p w14:paraId="3158E6D7" w14:textId="77777777" w:rsidR="009B57ED" w:rsidRPr="00510442" w:rsidRDefault="00FB58F0" w:rsidP="00D44559">
      <w:pPr>
        <w:pStyle w:val="Text"/>
        <w:keepNext/>
        <w:widowControl w:val="0"/>
        <w:spacing w:before="0"/>
        <w:jc w:val="left"/>
        <w:rPr>
          <w:b/>
          <w:color w:val="000000"/>
          <w:sz w:val="22"/>
          <w:szCs w:val="22"/>
          <w:lang w:val="hr-HR"/>
        </w:rPr>
      </w:pPr>
      <w:r w:rsidRPr="00510442">
        <w:rPr>
          <w:b/>
          <w:sz w:val="22"/>
          <w:szCs w:val="22"/>
          <w:lang w:val="hr-HR"/>
        </w:rPr>
        <w:t>Nuspojave</w:t>
      </w:r>
    </w:p>
    <w:p w14:paraId="3A9C9B30" w14:textId="77777777" w:rsidR="009B57ED" w:rsidRPr="00510442" w:rsidRDefault="00FB58F0" w:rsidP="004D775F">
      <w:pPr>
        <w:pStyle w:val="Text"/>
        <w:widowControl w:val="0"/>
        <w:spacing w:before="0"/>
        <w:jc w:val="left"/>
        <w:rPr>
          <w:color w:val="000000"/>
          <w:sz w:val="22"/>
          <w:szCs w:val="22"/>
          <w:lang w:val="hr-HR"/>
        </w:rPr>
      </w:pPr>
      <w:r w:rsidRPr="00510442">
        <w:rPr>
          <w:sz w:val="22"/>
          <w:szCs w:val="22"/>
          <w:lang w:val="hr-HR"/>
        </w:rPr>
        <w:t xml:space="preserve">Nuspojave zabilježene u više od jednoga izoliranog slučaja navedene su niže u tekstu po klasifikaciji organskih sustava i </w:t>
      </w:r>
      <w:r w:rsidR="00B94FA7" w:rsidRPr="00510442">
        <w:rPr>
          <w:sz w:val="22"/>
          <w:szCs w:val="22"/>
          <w:lang w:val="hr-HR"/>
        </w:rPr>
        <w:t>učestalosti</w:t>
      </w:r>
      <w:r w:rsidR="009B57ED" w:rsidRPr="00510442">
        <w:rPr>
          <w:color w:val="000000"/>
          <w:sz w:val="22"/>
          <w:szCs w:val="22"/>
          <w:lang w:val="hr-HR"/>
        </w:rPr>
        <w:t xml:space="preserve">. </w:t>
      </w:r>
      <w:r w:rsidRPr="00510442">
        <w:rPr>
          <w:sz w:val="22"/>
          <w:szCs w:val="22"/>
          <w:lang w:val="hr-HR"/>
        </w:rPr>
        <w:t xml:space="preserve">Kategorije </w:t>
      </w:r>
      <w:r w:rsidR="00B94FA7" w:rsidRPr="00510442">
        <w:rPr>
          <w:sz w:val="22"/>
          <w:szCs w:val="22"/>
          <w:lang w:val="hr-HR"/>
        </w:rPr>
        <w:t xml:space="preserve">učestalosti </w:t>
      </w:r>
      <w:r w:rsidRPr="00510442">
        <w:rPr>
          <w:sz w:val="22"/>
          <w:szCs w:val="22"/>
          <w:lang w:val="hr-HR"/>
        </w:rPr>
        <w:t xml:space="preserve">se definiraju kao: </w:t>
      </w:r>
      <w:r w:rsidRPr="00510442">
        <w:rPr>
          <w:color w:val="000000"/>
          <w:sz w:val="22"/>
          <w:szCs w:val="22"/>
          <w:lang w:val="hr-HR"/>
        </w:rPr>
        <w:t xml:space="preserve">vrlo često </w:t>
      </w:r>
      <w:r w:rsidR="009B57ED" w:rsidRPr="00510442">
        <w:rPr>
          <w:color w:val="000000"/>
          <w:sz w:val="22"/>
          <w:szCs w:val="22"/>
          <w:lang w:val="hr-HR"/>
        </w:rPr>
        <w:t>(</w:t>
      </w:r>
      <w:r w:rsidR="00D50367" w:rsidRPr="00510442">
        <w:rPr>
          <w:color w:val="000000"/>
          <w:sz w:val="22"/>
          <w:szCs w:val="22"/>
          <w:lang w:val="hr-HR"/>
        </w:rPr>
        <w:t>≥</w:t>
      </w:r>
      <w:r w:rsidR="009B57ED" w:rsidRPr="00510442">
        <w:rPr>
          <w:color w:val="000000"/>
          <w:sz w:val="22"/>
          <w:szCs w:val="22"/>
          <w:lang w:val="hr-HR"/>
        </w:rPr>
        <w:t xml:space="preserve">1/10), </w:t>
      </w:r>
      <w:r w:rsidRPr="00510442">
        <w:rPr>
          <w:color w:val="000000"/>
          <w:sz w:val="22"/>
          <w:szCs w:val="22"/>
          <w:lang w:val="hr-HR"/>
        </w:rPr>
        <w:t>često</w:t>
      </w:r>
      <w:r w:rsidR="009B57ED" w:rsidRPr="00510442">
        <w:rPr>
          <w:color w:val="000000"/>
          <w:sz w:val="22"/>
          <w:szCs w:val="22"/>
          <w:lang w:val="hr-HR"/>
        </w:rPr>
        <w:t xml:space="preserve"> (</w:t>
      </w:r>
      <w:r w:rsidR="00D50367" w:rsidRPr="00510442">
        <w:rPr>
          <w:color w:val="000000"/>
          <w:sz w:val="22"/>
          <w:szCs w:val="22"/>
          <w:lang w:val="hr-HR"/>
        </w:rPr>
        <w:t>≥</w:t>
      </w:r>
      <w:r w:rsidR="009B57ED" w:rsidRPr="00510442">
        <w:rPr>
          <w:color w:val="000000"/>
          <w:sz w:val="22"/>
          <w:szCs w:val="22"/>
          <w:lang w:val="hr-HR"/>
        </w:rPr>
        <w:t>1/100</w:t>
      </w:r>
      <w:r w:rsidR="00D50367" w:rsidRPr="00510442">
        <w:rPr>
          <w:color w:val="000000"/>
          <w:sz w:val="22"/>
          <w:szCs w:val="22"/>
          <w:lang w:val="hr-HR"/>
        </w:rPr>
        <w:t xml:space="preserve"> </w:t>
      </w:r>
      <w:r w:rsidR="004F238F" w:rsidRPr="00510442">
        <w:rPr>
          <w:color w:val="000000"/>
          <w:sz w:val="22"/>
          <w:szCs w:val="22"/>
          <w:lang w:val="hr-HR"/>
        </w:rPr>
        <w:t>i</w:t>
      </w:r>
      <w:r w:rsidR="009B57ED" w:rsidRPr="00510442">
        <w:rPr>
          <w:color w:val="000000"/>
          <w:sz w:val="22"/>
          <w:szCs w:val="22"/>
          <w:lang w:val="hr-HR"/>
        </w:rPr>
        <w:t xml:space="preserve"> </w:t>
      </w:r>
      <w:r w:rsidR="00D50367" w:rsidRPr="00510442">
        <w:rPr>
          <w:color w:val="000000"/>
          <w:sz w:val="22"/>
          <w:szCs w:val="22"/>
          <w:lang w:val="hr-HR"/>
        </w:rPr>
        <w:t>&lt;</w:t>
      </w:r>
      <w:r w:rsidR="009B57ED" w:rsidRPr="00510442">
        <w:rPr>
          <w:color w:val="000000"/>
          <w:sz w:val="22"/>
          <w:szCs w:val="22"/>
          <w:lang w:val="hr-HR"/>
        </w:rPr>
        <w:t xml:space="preserve">1/10), </w:t>
      </w:r>
      <w:r w:rsidRPr="00510442">
        <w:rPr>
          <w:color w:val="000000"/>
          <w:sz w:val="22"/>
          <w:szCs w:val="22"/>
          <w:lang w:val="hr-HR"/>
        </w:rPr>
        <w:t>manje često</w:t>
      </w:r>
      <w:r w:rsidR="009B57ED" w:rsidRPr="00510442">
        <w:rPr>
          <w:color w:val="000000"/>
          <w:sz w:val="22"/>
          <w:szCs w:val="22"/>
          <w:lang w:val="hr-HR"/>
        </w:rPr>
        <w:t xml:space="preserve"> (</w:t>
      </w:r>
      <w:r w:rsidR="00D50367" w:rsidRPr="00510442">
        <w:rPr>
          <w:color w:val="000000"/>
          <w:sz w:val="22"/>
          <w:szCs w:val="22"/>
          <w:lang w:val="hr-HR"/>
        </w:rPr>
        <w:t>≥</w:t>
      </w:r>
      <w:r w:rsidR="00597DC9" w:rsidRPr="00510442">
        <w:rPr>
          <w:color w:val="000000"/>
          <w:sz w:val="22"/>
          <w:szCs w:val="22"/>
          <w:lang w:val="hr-HR"/>
        </w:rPr>
        <w:t>1/1</w:t>
      </w:r>
      <w:r w:rsidR="009B57ED" w:rsidRPr="00510442">
        <w:rPr>
          <w:color w:val="000000"/>
          <w:sz w:val="22"/>
          <w:szCs w:val="22"/>
          <w:lang w:val="hr-HR"/>
        </w:rPr>
        <w:t>000</w:t>
      </w:r>
      <w:r w:rsidR="00D50367" w:rsidRPr="00510442">
        <w:rPr>
          <w:color w:val="000000"/>
          <w:sz w:val="22"/>
          <w:szCs w:val="22"/>
          <w:lang w:val="hr-HR"/>
        </w:rPr>
        <w:t xml:space="preserve"> </w:t>
      </w:r>
      <w:r w:rsidR="004F238F" w:rsidRPr="00510442">
        <w:rPr>
          <w:color w:val="000000"/>
          <w:sz w:val="22"/>
          <w:szCs w:val="22"/>
          <w:lang w:val="hr-HR"/>
        </w:rPr>
        <w:t>i</w:t>
      </w:r>
      <w:r w:rsidR="009B57ED" w:rsidRPr="00510442">
        <w:rPr>
          <w:color w:val="000000"/>
          <w:sz w:val="22"/>
          <w:szCs w:val="22"/>
          <w:lang w:val="hr-HR"/>
        </w:rPr>
        <w:t xml:space="preserve"> </w:t>
      </w:r>
      <w:r w:rsidR="00D50367" w:rsidRPr="00510442">
        <w:rPr>
          <w:color w:val="000000"/>
          <w:sz w:val="22"/>
          <w:szCs w:val="22"/>
          <w:lang w:val="hr-HR"/>
        </w:rPr>
        <w:t>&lt;</w:t>
      </w:r>
      <w:r w:rsidR="009B57ED" w:rsidRPr="00510442">
        <w:rPr>
          <w:color w:val="000000"/>
          <w:sz w:val="22"/>
          <w:szCs w:val="22"/>
          <w:lang w:val="hr-HR"/>
        </w:rPr>
        <w:t xml:space="preserve">1/100), </w:t>
      </w:r>
      <w:r w:rsidRPr="00510442">
        <w:rPr>
          <w:color w:val="000000"/>
          <w:sz w:val="22"/>
          <w:szCs w:val="22"/>
          <w:lang w:val="hr-HR"/>
        </w:rPr>
        <w:t>rijetko</w:t>
      </w:r>
      <w:r w:rsidR="009B57ED" w:rsidRPr="00510442">
        <w:rPr>
          <w:color w:val="000000"/>
          <w:sz w:val="22"/>
          <w:szCs w:val="22"/>
          <w:lang w:val="hr-HR"/>
        </w:rPr>
        <w:t xml:space="preserve"> (</w:t>
      </w:r>
      <w:r w:rsidR="00D50367" w:rsidRPr="00510442">
        <w:rPr>
          <w:color w:val="000000"/>
          <w:sz w:val="22"/>
          <w:szCs w:val="22"/>
          <w:lang w:val="hr-HR"/>
        </w:rPr>
        <w:t>≥1/10</w:t>
      </w:r>
      <w:r w:rsidR="00597DC9" w:rsidRPr="00510442">
        <w:rPr>
          <w:color w:val="000000"/>
          <w:sz w:val="22"/>
          <w:szCs w:val="22"/>
          <w:lang w:val="hr-HR"/>
        </w:rPr>
        <w:t> </w:t>
      </w:r>
      <w:r w:rsidR="00D50367" w:rsidRPr="00510442">
        <w:rPr>
          <w:color w:val="000000"/>
          <w:sz w:val="22"/>
          <w:szCs w:val="22"/>
          <w:lang w:val="hr-HR"/>
        </w:rPr>
        <w:t xml:space="preserve">000 </w:t>
      </w:r>
      <w:r w:rsidR="004F238F" w:rsidRPr="00510442">
        <w:rPr>
          <w:color w:val="000000"/>
          <w:sz w:val="22"/>
          <w:szCs w:val="22"/>
          <w:lang w:val="hr-HR"/>
        </w:rPr>
        <w:t>i</w:t>
      </w:r>
      <w:r w:rsidR="00D50367" w:rsidRPr="00510442">
        <w:rPr>
          <w:color w:val="000000"/>
          <w:sz w:val="22"/>
          <w:szCs w:val="22"/>
          <w:lang w:val="hr-HR"/>
        </w:rPr>
        <w:t xml:space="preserve"> &lt;</w:t>
      </w:r>
      <w:r w:rsidR="009B57ED" w:rsidRPr="00510442">
        <w:rPr>
          <w:color w:val="000000"/>
          <w:sz w:val="22"/>
          <w:szCs w:val="22"/>
          <w:lang w:val="hr-HR"/>
        </w:rPr>
        <w:t>1/1000)</w:t>
      </w:r>
      <w:r w:rsidR="00205B08" w:rsidRPr="00510442">
        <w:rPr>
          <w:color w:val="000000"/>
          <w:sz w:val="22"/>
          <w:szCs w:val="22"/>
          <w:lang w:val="hr-HR"/>
        </w:rPr>
        <w:t xml:space="preserve">, </w:t>
      </w:r>
      <w:r w:rsidRPr="00510442">
        <w:rPr>
          <w:color w:val="000000"/>
          <w:sz w:val="22"/>
          <w:szCs w:val="22"/>
          <w:lang w:val="hr-HR"/>
        </w:rPr>
        <w:t>vrlo rijetko</w:t>
      </w:r>
      <w:r w:rsidR="00D50367" w:rsidRPr="00510442">
        <w:rPr>
          <w:color w:val="000000"/>
          <w:sz w:val="22"/>
          <w:szCs w:val="22"/>
          <w:lang w:val="hr-HR"/>
        </w:rPr>
        <w:t xml:space="preserve"> (&lt;1/10</w:t>
      </w:r>
      <w:r w:rsidR="00597DC9" w:rsidRPr="00510442">
        <w:rPr>
          <w:color w:val="000000"/>
          <w:sz w:val="22"/>
          <w:szCs w:val="22"/>
          <w:lang w:val="hr-HR"/>
        </w:rPr>
        <w:t> </w:t>
      </w:r>
      <w:r w:rsidR="00D50367" w:rsidRPr="00510442">
        <w:rPr>
          <w:color w:val="000000"/>
          <w:sz w:val="22"/>
          <w:szCs w:val="22"/>
          <w:lang w:val="hr-HR"/>
        </w:rPr>
        <w:t xml:space="preserve">000), </w:t>
      </w:r>
      <w:r w:rsidR="004F238F" w:rsidRPr="00510442">
        <w:rPr>
          <w:color w:val="000000"/>
          <w:sz w:val="22"/>
          <w:szCs w:val="22"/>
          <w:lang w:val="hr-HR"/>
        </w:rPr>
        <w:t>nepoznato</w:t>
      </w:r>
      <w:r w:rsidR="002B0D5C" w:rsidRPr="00510442">
        <w:rPr>
          <w:color w:val="000000"/>
          <w:sz w:val="22"/>
          <w:szCs w:val="22"/>
          <w:lang w:val="hr-HR"/>
        </w:rPr>
        <w:t xml:space="preserve"> (</w:t>
      </w:r>
      <w:r w:rsidR="004F238F" w:rsidRPr="00510442">
        <w:rPr>
          <w:color w:val="000000"/>
          <w:sz w:val="22"/>
          <w:szCs w:val="22"/>
          <w:lang w:val="hr-HR"/>
        </w:rPr>
        <w:t>ne može se procijeniti iz dostupnih podataka</w:t>
      </w:r>
      <w:r w:rsidR="002B0D5C" w:rsidRPr="00510442">
        <w:rPr>
          <w:color w:val="000000"/>
          <w:sz w:val="22"/>
          <w:szCs w:val="22"/>
          <w:lang w:val="hr-HR"/>
        </w:rPr>
        <w:t>)</w:t>
      </w:r>
      <w:r w:rsidR="002E608B" w:rsidRPr="00510442">
        <w:rPr>
          <w:color w:val="000000"/>
          <w:sz w:val="22"/>
          <w:szCs w:val="22"/>
          <w:lang w:val="hr-HR"/>
        </w:rPr>
        <w:t>.</w:t>
      </w:r>
    </w:p>
    <w:p w14:paraId="24FA50CD" w14:textId="77777777" w:rsidR="009B57ED" w:rsidRPr="00510442" w:rsidRDefault="009B57ED" w:rsidP="00457295">
      <w:pPr>
        <w:pStyle w:val="Text"/>
        <w:widowControl w:val="0"/>
        <w:spacing w:before="0"/>
        <w:jc w:val="left"/>
        <w:rPr>
          <w:color w:val="000000"/>
          <w:sz w:val="22"/>
          <w:szCs w:val="22"/>
          <w:lang w:val="hr-HR"/>
        </w:rPr>
      </w:pPr>
    </w:p>
    <w:p w14:paraId="31FA87DD" w14:textId="77777777" w:rsidR="009B57ED" w:rsidRPr="00510442" w:rsidRDefault="004F238F" w:rsidP="00E74D30">
      <w:pPr>
        <w:pStyle w:val="Text"/>
        <w:widowControl w:val="0"/>
        <w:spacing w:before="0"/>
        <w:jc w:val="left"/>
        <w:rPr>
          <w:color w:val="000000"/>
          <w:sz w:val="22"/>
          <w:szCs w:val="22"/>
          <w:lang w:val="hr-HR"/>
        </w:rPr>
      </w:pPr>
      <w:r w:rsidRPr="00510442">
        <w:rPr>
          <w:sz w:val="22"/>
          <w:szCs w:val="22"/>
          <w:lang w:val="hr-HR"/>
        </w:rPr>
        <w:t xml:space="preserve">Unutar svake grupe </w:t>
      </w:r>
      <w:r w:rsidR="00407EB5" w:rsidRPr="00510442">
        <w:rPr>
          <w:sz w:val="22"/>
          <w:szCs w:val="22"/>
          <w:lang w:val="hr-HR"/>
        </w:rPr>
        <w:t xml:space="preserve">učestalosti </w:t>
      </w:r>
      <w:r w:rsidRPr="00510442">
        <w:rPr>
          <w:sz w:val="22"/>
          <w:szCs w:val="22"/>
          <w:lang w:val="hr-HR"/>
        </w:rPr>
        <w:t xml:space="preserve">nuspojave su </w:t>
      </w:r>
      <w:r w:rsidR="00407EB5" w:rsidRPr="00510442">
        <w:rPr>
          <w:sz w:val="22"/>
          <w:szCs w:val="22"/>
          <w:lang w:val="hr-HR"/>
        </w:rPr>
        <w:t xml:space="preserve">prikazane </w:t>
      </w:r>
      <w:r w:rsidRPr="00510442">
        <w:rPr>
          <w:sz w:val="22"/>
          <w:szCs w:val="22"/>
          <w:lang w:val="hr-HR"/>
        </w:rPr>
        <w:t>prema</w:t>
      </w:r>
      <w:r w:rsidR="00407EB5" w:rsidRPr="00510442">
        <w:rPr>
          <w:sz w:val="22"/>
          <w:szCs w:val="22"/>
          <w:lang w:val="hr-HR"/>
        </w:rPr>
        <w:t xml:space="preserve"> redosljedu</w:t>
      </w:r>
      <w:r w:rsidRPr="00510442">
        <w:rPr>
          <w:sz w:val="22"/>
          <w:szCs w:val="22"/>
          <w:lang w:val="hr-HR"/>
        </w:rPr>
        <w:t xml:space="preserve"> </w:t>
      </w:r>
      <w:r w:rsidR="00407EB5" w:rsidRPr="00510442">
        <w:rPr>
          <w:sz w:val="22"/>
          <w:szCs w:val="22"/>
          <w:lang w:val="hr-HR"/>
        </w:rPr>
        <w:t>učestalosti</w:t>
      </w:r>
      <w:r w:rsidRPr="00510442">
        <w:rPr>
          <w:sz w:val="22"/>
          <w:szCs w:val="22"/>
          <w:lang w:val="hr-HR"/>
        </w:rPr>
        <w:t>, naj</w:t>
      </w:r>
      <w:r w:rsidR="00407EB5" w:rsidRPr="00510442">
        <w:rPr>
          <w:sz w:val="22"/>
          <w:szCs w:val="22"/>
          <w:lang w:val="hr-HR"/>
        </w:rPr>
        <w:t>učestalije su</w:t>
      </w:r>
      <w:r w:rsidRPr="00510442">
        <w:rPr>
          <w:sz w:val="22"/>
          <w:szCs w:val="22"/>
          <w:lang w:val="hr-HR"/>
        </w:rPr>
        <w:t xml:space="preserve"> prve</w:t>
      </w:r>
      <w:r w:rsidR="009B57ED" w:rsidRPr="00510442">
        <w:rPr>
          <w:color w:val="000000"/>
          <w:sz w:val="22"/>
          <w:szCs w:val="22"/>
          <w:lang w:val="hr-HR"/>
        </w:rPr>
        <w:t>.</w:t>
      </w:r>
    </w:p>
    <w:p w14:paraId="733AF662" w14:textId="77777777" w:rsidR="00CC7787" w:rsidRPr="00510442" w:rsidRDefault="00CC7787" w:rsidP="009B5630">
      <w:pPr>
        <w:spacing w:line="240" w:lineRule="auto"/>
        <w:rPr>
          <w:color w:val="000000"/>
          <w:szCs w:val="22"/>
          <w:lang w:val="hr-HR" w:eastAsia="ja-JP"/>
        </w:rPr>
      </w:pPr>
      <w:bookmarkStart w:id="1" w:name="_Toc411838883"/>
      <w:bookmarkStart w:id="2" w:name="_Toc450641613"/>
    </w:p>
    <w:p w14:paraId="380B0A48" w14:textId="77777777" w:rsidR="00A84AFD" w:rsidRPr="00510442" w:rsidRDefault="004F238F" w:rsidP="009B5630">
      <w:pPr>
        <w:spacing w:line="240" w:lineRule="auto"/>
        <w:rPr>
          <w:color w:val="000000"/>
          <w:szCs w:val="22"/>
          <w:lang w:val="hr-HR"/>
        </w:rPr>
      </w:pPr>
      <w:r w:rsidRPr="00510442">
        <w:rPr>
          <w:szCs w:val="22"/>
          <w:lang w:val="hr-HR"/>
        </w:rPr>
        <w:t xml:space="preserve">Nuspojave i njihove </w:t>
      </w:r>
      <w:r w:rsidR="00393F9C" w:rsidRPr="00510442">
        <w:rPr>
          <w:szCs w:val="22"/>
          <w:lang w:val="hr-HR"/>
        </w:rPr>
        <w:t xml:space="preserve">učestalosti </w:t>
      </w:r>
      <w:r w:rsidRPr="00510442">
        <w:rPr>
          <w:szCs w:val="22"/>
          <w:lang w:val="hr-HR"/>
        </w:rPr>
        <w:t xml:space="preserve">navedene </w:t>
      </w:r>
      <w:r w:rsidR="000C703E" w:rsidRPr="00510442">
        <w:rPr>
          <w:szCs w:val="22"/>
          <w:lang w:val="hr-HR"/>
        </w:rPr>
        <w:t xml:space="preserve">su </w:t>
      </w:r>
      <w:r w:rsidRPr="00510442">
        <w:rPr>
          <w:szCs w:val="22"/>
          <w:lang w:val="hr-HR"/>
        </w:rPr>
        <w:t>u Tablici</w:t>
      </w:r>
      <w:r w:rsidR="00CC7787" w:rsidRPr="00510442">
        <w:rPr>
          <w:color w:val="000000"/>
          <w:szCs w:val="22"/>
          <w:lang w:val="hr-HR" w:eastAsia="ja-JP"/>
        </w:rPr>
        <w:t> </w:t>
      </w:r>
      <w:r w:rsidR="00A84AFD" w:rsidRPr="00510442">
        <w:rPr>
          <w:color w:val="000000"/>
          <w:szCs w:val="22"/>
          <w:lang w:val="hr-HR" w:eastAsia="ja-JP"/>
        </w:rPr>
        <w:t>1.</w:t>
      </w:r>
    </w:p>
    <w:p w14:paraId="1A964F97" w14:textId="77777777" w:rsidR="00A84AFD" w:rsidRPr="00510442" w:rsidRDefault="00A84AFD" w:rsidP="009B5630">
      <w:pPr>
        <w:spacing w:line="240" w:lineRule="auto"/>
        <w:rPr>
          <w:color w:val="000000"/>
          <w:szCs w:val="22"/>
          <w:lang w:val="hr-HR"/>
        </w:rPr>
      </w:pPr>
    </w:p>
    <w:p w14:paraId="137808C2" w14:textId="77777777" w:rsidR="00A84AFD" w:rsidRPr="00510442" w:rsidRDefault="00A84AFD" w:rsidP="00D44559">
      <w:pPr>
        <w:keepNext/>
        <w:tabs>
          <w:tab w:val="clear" w:pos="567"/>
        </w:tabs>
        <w:spacing w:line="240" w:lineRule="auto"/>
        <w:ind w:left="1134" w:hanging="1134"/>
        <w:rPr>
          <w:b/>
          <w:color w:val="000000"/>
          <w:szCs w:val="22"/>
          <w:lang w:val="hr-HR"/>
        </w:rPr>
      </w:pPr>
      <w:r w:rsidRPr="00510442">
        <w:rPr>
          <w:b/>
          <w:color w:val="000000"/>
          <w:szCs w:val="22"/>
          <w:lang w:val="hr-HR"/>
        </w:rPr>
        <w:lastRenderedPageBreak/>
        <w:t>Tabl</w:t>
      </w:r>
      <w:r w:rsidR="00AC38EA" w:rsidRPr="00510442">
        <w:rPr>
          <w:b/>
          <w:color w:val="000000"/>
          <w:szCs w:val="22"/>
          <w:lang w:val="hr-HR"/>
        </w:rPr>
        <w:t>ica</w:t>
      </w:r>
      <w:r w:rsidR="007A7041" w:rsidRPr="00510442">
        <w:rPr>
          <w:b/>
          <w:color w:val="000000"/>
          <w:szCs w:val="22"/>
          <w:lang w:val="hr-HR"/>
        </w:rPr>
        <w:t> </w:t>
      </w:r>
      <w:r w:rsidRPr="00510442">
        <w:rPr>
          <w:b/>
          <w:color w:val="000000"/>
          <w:szCs w:val="22"/>
          <w:lang w:val="hr-HR"/>
        </w:rPr>
        <w:t>1</w:t>
      </w:r>
      <w:r w:rsidR="007A7041" w:rsidRPr="00510442">
        <w:rPr>
          <w:b/>
          <w:color w:val="000000"/>
          <w:szCs w:val="22"/>
          <w:lang w:val="hr-HR"/>
        </w:rPr>
        <w:tab/>
      </w:r>
      <w:r w:rsidR="000C703E" w:rsidRPr="00510442">
        <w:rPr>
          <w:b/>
          <w:color w:val="000000"/>
          <w:szCs w:val="22"/>
          <w:lang w:val="hr-HR"/>
        </w:rPr>
        <w:t>Tablični sažetak n</w:t>
      </w:r>
      <w:r w:rsidR="00AC38EA" w:rsidRPr="00510442">
        <w:rPr>
          <w:b/>
          <w:szCs w:val="22"/>
          <w:lang w:val="hr-HR"/>
        </w:rPr>
        <w:t>uspojav</w:t>
      </w:r>
      <w:r w:rsidR="000C703E" w:rsidRPr="00510442">
        <w:rPr>
          <w:b/>
          <w:szCs w:val="22"/>
          <w:lang w:val="hr-HR"/>
        </w:rPr>
        <w:t>a</w:t>
      </w:r>
    </w:p>
    <w:p w14:paraId="7EF4B717" w14:textId="77777777" w:rsidR="00A84AFD" w:rsidRPr="00510442" w:rsidRDefault="00A84AFD" w:rsidP="00D44559">
      <w:pPr>
        <w:keepNext/>
        <w:spacing w:line="240" w:lineRule="auto"/>
        <w:rPr>
          <w:color w:val="000000"/>
          <w:szCs w:val="22"/>
          <w:lang w:val="hr-HR"/>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7087"/>
      </w:tblGrid>
      <w:tr w:rsidR="00D46775" w:rsidRPr="00510442" w14:paraId="42F8BC1D" w14:textId="77777777" w:rsidTr="001730DC">
        <w:tc>
          <w:tcPr>
            <w:tcW w:w="9322" w:type="dxa"/>
            <w:gridSpan w:val="2"/>
          </w:tcPr>
          <w:p w14:paraId="0D20EB8A" w14:textId="77777777" w:rsidR="00D46775" w:rsidRPr="00510442" w:rsidRDefault="00D46775" w:rsidP="00D44559">
            <w:pPr>
              <w:keepNext/>
              <w:spacing w:line="240" w:lineRule="auto"/>
              <w:rPr>
                <w:b/>
                <w:color w:val="000000"/>
                <w:szCs w:val="22"/>
                <w:lang w:val="hr-HR"/>
              </w:rPr>
            </w:pPr>
            <w:r w:rsidRPr="00510442">
              <w:rPr>
                <w:b/>
                <w:color w:val="000000"/>
                <w:szCs w:val="22"/>
                <w:lang w:val="hr-HR"/>
              </w:rPr>
              <w:t>I</w:t>
            </w:r>
            <w:r w:rsidR="00E46287" w:rsidRPr="00510442">
              <w:rPr>
                <w:b/>
                <w:szCs w:val="22"/>
                <w:lang w:val="hr-HR"/>
              </w:rPr>
              <w:t>nfekcije i infestacije</w:t>
            </w:r>
          </w:p>
        </w:tc>
      </w:tr>
      <w:tr w:rsidR="00D46775" w:rsidRPr="00F410C8" w14:paraId="4634127B" w14:textId="77777777" w:rsidTr="001730DC">
        <w:tc>
          <w:tcPr>
            <w:tcW w:w="2235" w:type="dxa"/>
          </w:tcPr>
          <w:p w14:paraId="5B557A1A" w14:textId="77777777" w:rsidR="00D46775" w:rsidRPr="00510442" w:rsidRDefault="00E46287" w:rsidP="00D44559">
            <w:pPr>
              <w:keepNext/>
              <w:spacing w:line="240" w:lineRule="auto"/>
              <w:rPr>
                <w:i/>
                <w:color w:val="000000"/>
                <w:szCs w:val="22"/>
                <w:lang w:val="hr-HR"/>
              </w:rPr>
            </w:pPr>
            <w:r w:rsidRPr="00510442">
              <w:rPr>
                <w:i/>
                <w:szCs w:val="22"/>
                <w:lang w:val="hr-HR"/>
              </w:rPr>
              <w:t>Manje često</w:t>
            </w:r>
            <w:r w:rsidR="00D46775" w:rsidRPr="00510442">
              <w:rPr>
                <w:i/>
                <w:color w:val="000000"/>
                <w:szCs w:val="22"/>
                <w:lang w:val="hr-HR"/>
              </w:rPr>
              <w:t>:</w:t>
            </w:r>
          </w:p>
        </w:tc>
        <w:tc>
          <w:tcPr>
            <w:tcW w:w="7087" w:type="dxa"/>
          </w:tcPr>
          <w:p w14:paraId="793A21EA" w14:textId="77777777" w:rsidR="00D46775" w:rsidRPr="00510442" w:rsidRDefault="00E46287" w:rsidP="00D44559">
            <w:pPr>
              <w:keepNext/>
              <w:spacing w:line="240" w:lineRule="auto"/>
              <w:rPr>
                <w:color w:val="000000"/>
                <w:szCs w:val="22"/>
                <w:lang w:val="hr-HR"/>
              </w:rPr>
            </w:pPr>
            <w:r w:rsidRPr="00510442">
              <w:rPr>
                <w:szCs w:val="22"/>
                <w:lang w:val="hr-HR"/>
              </w:rPr>
              <w:t>Herpes zoster, herpes simplex, nazofaringitis, upala pluća</w:t>
            </w:r>
            <w:r w:rsidRPr="00510442">
              <w:rPr>
                <w:szCs w:val="22"/>
                <w:vertAlign w:val="superscript"/>
                <w:lang w:val="hr-HR"/>
              </w:rPr>
              <w:t>1</w:t>
            </w:r>
            <w:r w:rsidRPr="00510442">
              <w:rPr>
                <w:szCs w:val="22"/>
                <w:lang w:val="hr-HR"/>
              </w:rPr>
              <w:t>, sinusitis, celulitis, infekcija gornjih dišnih puteva, gripa, infekcija mokraćnog sustava, gastroenteritis, sepsa</w:t>
            </w:r>
          </w:p>
        </w:tc>
      </w:tr>
      <w:tr w:rsidR="00D46775" w:rsidRPr="00510442" w14:paraId="5ACB8E36" w14:textId="77777777" w:rsidTr="001730DC">
        <w:tc>
          <w:tcPr>
            <w:tcW w:w="2235" w:type="dxa"/>
          </w:tcPr>
          <w:p w14:paraId="56B5D7EB" w14:textId="77777777" w:rsidR="00D46775" w:rsidRPr="00510442" w:rsidRDefault="00E46287" w:rsidP="00D44559">
            <w:pPr>
              <w:keepNext/>
              <w:spacing w:line="240" w:lineRule="auto"/>
              <w:rPr>
                <w:i/>
                <w:color w:val="000000"/>
                <w:szCs w:val="22"/>
                <w:lang w:val="hr-HR"/>
              </w:rPr>
            </w:pPr>
            <w:r w:rsidRPr="00510442">
              <w:rPr>
                <w:i/>
                <w:szCs w:val="22"/>
                <w:lang w:val="hr-HR"/>
              </w:rPr>
              <w:t>Rijetko</w:t>
            </w:r>
            <w:r w:rsidR="00D46775" w:rsidRPr="00510442">
              <w:rPr>
                <w:i/>
                <w:color w:val="000000"/>
                <w:szCs w:val="22"/>
                <w:lang w:val="hr-HR"/>
              </w:rPr>
              <w:t>:</w:t>
            </w:r>
          </w:p>
        </w:tc>
        <w:tc>
          <w:tcPr>
            <w:tcW w:w="7087" w:type="dxa"/>
          </w:tcPr>
          <w:p w14:paraId="1929270B" w14:textId="77777777" w:rsidR="00D46775" w:rsidRPr="00510442" w:rsidRDefault="00E46287" w:rsidP="00D44559">
            <w:pPr>
              <w:keepNext/>
              <w:spacing w:line="240" w:lineRule="auto"/>
              <w:rPr>
                <w:color w:val="000000"/>
                <w:szCs w:val="22"/>
                <w:lang w:val="hr-HR"/>
              </w:rPr>
            </w:pPr>
            <w:r w:rsidRPr="00510442">
              <w:rPr>
                <w:szCs w:val="22"/>
                <w:lang w:val="hr-HR"/>
              </w:rPr>
              <w:t>Gljivična infekcija</w:t>
            </w:r>
          </w:p>
        </w:tc>
      </w:tr>
      <w:tr w:rsidR="004652DA" w:rsidRPr="00510442" w14:paraId="24211453" w14:textId="77777777" w:rsidTr="00C73259">
        <w:trPr>
          <w:cantSplit/>
        </w:trPr>
        <w:tc>
          <w:tcPr>
            <w:tcW w:w="2235" w:type="dxa"/>
          </w:tcPr>
          <w:p w14:paraId="4E1B96D1" w14:textId="77777777" w:rsidR="004652DA" w:rsidRPr="00510442" w:rsidRDefault="004652DA" w:rsidP="00C73259">
            <w:pPr>
              <w:widowControl w:val="0"/>
              <w:rPr>
                <w:i/>
                <w:color w:val="000000"/>
                <w:szCs w:val="22"/>
                <w:lang w:val="hr-HR"/>
              </w:rPr>
            </w:pPr>
            <w:r w:rsidRPr="00510442">
              <w:rPr>
                <w:i/>
                <w:color w:val="000000"/>
                <w:szCs w:val="22"/>
                <w:lang w:val="hr-HR"/>
              </w:rPr>
              <w:t>Nepoznato:</w:t>
            </w:r>
          </w:p>
        </w:tc>
        <w:tc>
          <w:tcPr>
            <w:tcW w:w="7087" w:type="dxa"/>
          </w:tcPr>
          <w:p w14:paraId="1375AAAB" w14:textId="77777777" w:rsidR="004652DA" w:rsidRPr="00510442" w:rsidRDefault="004652DA" w:rsidP="00C73259">
            <w:pPr>
              <w:widowControl w:val="0"/>
              <w:rPr>
                <w:color w:val="000000"/>
                <w:szCs w:val="22"/>
                <w:lang w:val="hr-HR"/>
              </w:rPr>
            </w:pPr>
            <w:r w:rsidRPr="00510442">
              <w:rPr>
                <w:color w:val="000000"/>
                <w:lang w:val="hr-HR"/>
              </w:rPr>
              <w:t>Ponovna aktivacija hepatitisa B</w:t>
            </w:r>
            <w:r w:rsidRPr="00510442">
              <w:rPr>
                <w:color w:val="000000"/>
                <w:szCs w:val="22"/>
                <w:lang w:val="hr-HR"/>
              </w:rPr>
              <w:t>*</w:t>
            </w:r>
          </w:p>
        </w:tc>
      </w:tr>
      <w:tr w:rsidR="00D974BB" w:rsidRPr="00510442" w14:paraId="683A6EDC" w14:textId="77777777" w:rsidTr="001730DC">
        <w:tc>
          <w:tcPr>
            <w:tcW w:w="9322" w:type="dxa"/>
            <w:gridSpan w:val="2"/>
          </w:tcPr>
          <w:p w14:paraId="24158274" w14:textId="77777777" w:rsidR="00D974BB" w:rsidRPr="00510442" w:rsidRDefault="00E46287" w:rsidP="00D44559">
            <w:pPr>
              <w:keepNext/>
              <w:spacing w:line="240" w:lineRule="auto"/>
              <w:rPr>
                <w:color w:val="000000"/>
                <w:szCs w:val="22"/>
                <w:lang w:val="hr-HR"/>
              </w:rPr>
            </w:pPr>
            <w:r w:rsidRPr="00510442">
              <w:rPr>
                <w:b/>
                <w:szCs w:val="22"/>
                <w:lang w:val="hr-HR"/>
              </w:rPr>
              <w:t>Dobroćudne, zloćudne i nespecificirane novotvorine (uključujući ciste i polipe)</w:t>
            </w:r>
          </w:p>
        </w:tc>
      </w:tr>
      <w:tr w:rsidR="00D974BB" w:rsidRPr="00510442" w14:paraId="540CDE3D" w14:textId="77777777" w:rsidTr="001730DC">
        <w:tc>
          <w:tcPr>
            <w:tcW w:w="2235" w:type="dxa"/>
          </w:tcPr>
          <w:p w14:paraId="24BBDC25" w14:textId="77777777" w:rsidR="00D974BB" w:rsidRPr="00510442" w:rsidRDefault="00E46287" w:rsidP="00D44559">
            <w:pPr>
              <w:keepNext/>
              <w:spacing w:line="240" w:lineRule="auto"/>
              <w:rPr>
                <w:i/>
                <w:color w:val="000000"/>
                <w:szCs w:val="22"/>
                <w:lang w:val="hr-HR"/>
              </w:rPr>
            </w:pPr>
            <w:r w:rsidRPr="00510442">
              <w:rPr>
                <w:i/>
                <w:color w:val="000000"/>
                <w:szCs w:val="22"/>
                <w:lang w:val="hr-HR"/>
              </w:rPr>
              <w:t>Rijetko</w:t>
            </w:r>
            <w:r w:rsidR="00D974BB" w:rsidRPr="00510442">
              <w:rPr>
                <w:i/>
                <w:color w:val="000000"/>
                <w:szCs w:val="22"/>
                <w:lang w:val="hr-HR"/>
              </w:rPr>
              <w:t>:</w:t>
            </w:r>
          </w:p>
        </w:tc>
        <w:tc>
          <w:tcPr>
            <w:tcW w:w="7087" w:type="dxa"/>
          </w:tcPr>
          <w:p w14:paraId="55F93256" w14:textId="77777777" w:rsidR="00D974BB" w:rsidRPr="00510442" w:rsidRDefault="00E46287" w:rsidP="00D44559">
            <w:pPr>
              <w:keepNext/>
              <w:spacing w:line="240" w:lineRule="auto"/>
              <w:rPr>
                <w:color w:val="000000"/>
                <w:szCs w:val="22"/>
                <w:lang w:val="hr-HR"/>
              </w:rPr>
            </w:pPr>
            <w:r w:rsidRPr="00510442">
              <w:rPr>
                <w:color w:val="000000"/>
                <w:szCs w:val="22"/>
                <w:lang w:val="hr-HR"/>
              </w:rPr>
              <w:t>Sindrom lize tumora</w:t>
            </w:r>
          </w:p>
        </w:tc>
      </w:tr>
      <w:tr w:rsidR="00A43561" w:rsidRPr="00510442" w14:paraId="7C182F15" w14:textId="77777777" w:rsidTr="00E45536">
        <w:tc>
          <w:tcPr>
            <w:tcW w:w="2235" w:type="dxa"/>
          </w:tcPr>
          <w:p w14:paraId="0CB6B191" w14:textId="77777777" w:rsidR="00A43561" w:rsidRPr="00510442" w:rsidRDefault="00A43561" w:rsidP="00E45536">
            <w:pPr>
              <w:widowControl w:val="0"/>
              <w:rPr>
                <w:i/>
                <w:color w:val="000000"/>
                <w:szCs w:val="22"/>
                <w:lang w:val="hr-HR"/>
              </w:rPr>
            </w:pPr>
            <w:r w:rsidRPr="00510442">
              <w:rPr>
                <w:i/>
                <w:color w:val="000000"/>
                <w:szCs w:val="22"/>
                <w:lang w:val="hr-HR"/>
              </w:rPr>
              <w:t>Nepoznato:</w:t>
            </w:r>
          </w:p>
        </w:tc>
        <w:tc>
          <w:tcPr>
            <w:tcW w:w="7087" w:type="dxa"/>
          </w:tcPr>
          <w:p w14:paraId="57C6AE43" w14:textId="77777777" w:rsidR="00A43561" w:rsidRPr="00510442" w:rsidRDefault="00A43561" w:rsidP="00E45536">
            <w:pPr>
              <w:widowControl w:val="0"/>
              <w:rPr>
                <w:color w:val="000000"/>
                <w:szCs w:val="22"/>
                <w:lang w:val="hr-HR"/>
              </w:rPr>
            </w:pPr>
            <w:r w:rsidRPr="00307897">
              <w:rPr>
                <w:color w:val="000000"/>
                <w:szCs w:val="22"/>
                <w:lang w:val="hr-HR"/>
              </w:rPr>
              <w:t>Tumorsko krvarenje/tumorska nekroza</w:t>
            </w:r>
            <w:r w:rsidRPr="00510442">
              <w:rPr>
                <w:color w:val="000000"/>
                <w:szCs w:val="22"/>
                <w:lang w:val="hr-HR"/>
              </w:rPr>
              <w:t>*</w:t>
            </w:r>
          </w:p>
        </w:tc>
      </w:tr>
      <w:tr w:rsidR="00966A15" w:rsidRPr="00510442" w14:paraId="2D247890" w14:textId="77777777" w:rsidTr="00236ED5">
        <w:tc>
          <w:tcPr>
            <w:tcW w:w="9322" w:type="dxa"/>
            <w:gridSpan w:val="2"/>
          </w:tcPr>
          <w:p w14:paraId="46D3244D" w14:textId="77777777" w:rsidR="00966A15" w:rsidRPr="00510442" w:rsidRDefault="00966A15" w:rsidP="00D44559">
            <w:pPr>
              <w:keepNext/>
              <w:widowControl w:val="0"/>
              <w:rPr>
                <w:b/>
                <w:color w:val="000000"/>
                <w:szCs w:val="22"/>
                <w:lang w:val="hr-HR"/>
              </w:rPr>
            </w:pPr>
            <w:r w:rsidRPr="00307897">
              <w:rPr>
                <w:b/>
                <w:color w:val="000000"/>
                <w:szCs w:val="22"/>
                <w:lang w:val="hr-HR"/>
              </w:rPr>
              <w:t>Poremećaji imunološkog sustava</w:t>
            </w:r>
          </w:p>
        </w:tc>
      </w:tr>
      <w:tr w:rsidR="00966A15" w:rsidRPr="00510442" w14:paraId="56E934C4" w14:textId="77777777" w:rsidTr="00236ED5">
        <w:tc>
          <w:tcPr>
            <w:tcW w:w="2235" w:type="dxa"/>
          </w:tcPr>
          <w:p w14:paraId="6B31F6F0" w14:textId="77777777" w:rsidR="00966A15" w:rsidRPr="00510442" w:rsidRDefault="00966A15" w:rsidP="00236ED5">
            <w:pPr>
              <w:widowControl w:val="0"/>
              <w:rPr>
                <w:i/>
                <w:color w:val="000000"/>
                <w:szCs w:val="22"/>
                <w:lang w:val="hr-HR"/>
              </w:rPr>
            </w:pPr>
            <w:r w:rsidRPr="00510442">
              <w:rPr>
                <w:i/>
                <w:color w:val="000000"/>
                <w:szCs w:val="22"/>
                <w:lang w:val="hr-HR"/>
              </w:rPr>
              <w:t>Nepoznato:</w:t>
            </w:r>
          </w:p>
        </w:tc>
        <w:tc>
          <w:tcPr>
            <w:tcW w:w="7087" w:type="dxa"/>
          </w:tcPr>
          <w:p w14:paraId="76DB5217" w14:textId="77777777" w:rsidR="00966A15" w:rsidRPr="00510442" w:rsidRDefault="00966A15" w:rsidP="00236ED5">
            <w:pPr>
              <w:widowControl w:val="0"/>
              <w:rPr>
                <w:color w:val="000000"/>
                <w:szCs w:val="22"/>
                <w:lang w:val="hr-HR"/>
              </w:rPr>
            </w:pPr>
            <w:r w:rsidRPr="00307897">
              <w:rPr>
                <w:color w:val="000000"/>
                <w:szCs w:val="22"/>
                <w:lang w:val="hr-HR"/>
              </w:rPr>
              <w:t>Anafilaktički šok</w:t>
            </w:r>
            <w:r w:rsidRPr="00510442">
              <w:rPr>
                <w:color w:val="000000"/>
                <w:szCs w:val="22"/>
                <w:lang w:val="hr-HR"/>
              </w:rPr>
              <w:t>*</w:t>
            </w:r>
          </w:p>
        </w:tc>
      </w:tr>
      <w:tr w:rsidR="00D87646" w:rsidRPr="00510442" w14:paraId="71C38764" w14:textId="77777777" w:rsidTr="001730DC">
        <w:tc>
          <w:tcPr>
            <w:tcW w:w="9322" w:type="dxa"/>
            <w:gridSpan w:val="2"/>
          </w:tcPr>
          <w:p w14:paraId="4B9A1925" w14:textId="77777777" w:rsidR="00D87646" w:rsidRPr="00A00164" w:rsidRDefault="00E46287" w:rsidP="009B5630">
            <w:pPr>
              <w:spacing w:line="240" w:lineRule="auto"/>
              <w:rPr>
                <w:color w:val="000000"/>
                <w:szCs w:val="22"/>
                <w:lang w:val="hr-HR"/>
              </w:rPr>
            </w:pPr>
            <w:r w:rsidRPr="00307897">
              <w:rPr>
                <w:b/>
                <w:szCs w:val="22"/>
                <w:lang w:val="hr-HR"/>
              </w:rPr>
              <w:t>Poremećaji krvi i limfnog sustava</w:t>
            </w:r>
          </w:p>
        </w:tc>
      </w:tr>
      <w:tr w:rsidR="00D87646" w:rsidRPr="00510442" w14:paraId="310C9270" w14:textId="77777777" w:rsidTr="001730DC">
        <w:tc>
          <w:tcPr>
            <w:tcW w:w="2235" w:type="dxa"/>
          </w:tcPr>
          <w:p w14:paraId="752DF731" w14:textId="77777777" w:rsidR="00D87646" w:rsidRPr="00510442" w:rsidRDefault="00DB7E76" w:rsidP="00D44559">
            <w:pPr>
              <w:keepNext/>
              <w:spacing w:line="240" w:lineRule="auto"/>
              <w:rPr>
                <w:color w:val="000000"/>
                <w:szCs w:val="22"/>
                <w:lang w:val="hr-HR"/>
              </w:rPr>
            </w:pPr>
            <w:r w:rsidRPr="00510442">
              <w:rPr>
                <w:i/>
                <w:szCs w:val="22"/>
                <w:lang w:val="hr-HR"/>
              </w:rPr>
              <w:t>Vrlo često</w:t>
            </w:r>
            <w:r w:rsidR="00D87646" w:rsidRPr="00510442">
              <w:rPr>
                <w:i/>
                <w:color w:val="000000"/>
                <w:szCs w:val="22"/>
                <w:lang w:val="hr-HR"/>
              </w:rPr>
              <w:t>:</w:t>
            </w:r>
          </w:p>
        </w:tc>
        <w:tc>
          <w:tcPr>
            <w:tcW w:w="7087" w:type="dxa"/>
          </w:tcPr>
          <w:p w14:paraId="7F711A58" w14:textId="77777777" w:rsidR="00D87646" w:rsidRPr="00510442" w:rsidRDefault="00DB7E76" w:rsidP="00D44559">
            <w:pPr>
              <w:keepNext/>
              <w:spacing w:line="240" w:lineRule="auto"/>
              <w:rPr>
                <w:color w:val="000000"/>
                <w:szCs w:val="22"/>
                <w:lang w:val="hr-HR"/>
              </w:rPr>
            </w:pPr>
            <w:r w:rsidRPr="00510442">
              <w:rPr>
                <w:szCs w:val="22"/>
                <w:lang w:val="hr-HR"/>
              </w:rPr>
              <w:t>Neutropenija, trombocitopenija, anemija</w:t>
            </w:r>
          </w:p>
        </w:tc>
      </w:tr>
      <w:tr w:rsidR="00D87646" w:rsidRPr="00510442" w14:paraId="1E0F65C6" w14:textId="77777777" w:rsidTr="001730DC">
        <w:tc>
          <w:tcPr>
            <w:tcW w:w="2235" w:type="dxa"/>
          </w:tcPr>
          <w:p w14:paraId="4A5A9EE4" w14:textId="77777777" w:rsidR="00D87646" w:rsidRPr="00510442" w:rsidRDefault="00DB7E76" w:rsidP="00D44559">
            <w:pPr>
              <w:keepNext/>
              <w:spacing w:line="240" w:lineRule="auto"/>
              <w:rPr>
                <w:color w:val="000000"/>
                <w:szCs w:val="22"/>
                <w:lang w:val="hr-HR"/>
              </w:rPr>
            </w:pPr>
            <w:r w:rsidRPr="00510442">
              <w:rPr>
                <w:i/>
                <w:szCs w:val="22"/>
                <w:lang w:val="hr-HR"/>
              </w:rPr>
              <w:t>Često</w:t>
            </w:r>
            <w:r w:rsidR="00D87646" w:rsidRPr="00510442">
              <w:rPr>
                <w:i/>
                <w:color w:val="000000"/>
                <w:szCs w:val="22"/>
                <w:lang w:val="hr-HR"/>
              </w:rPr>
              <w:t>:</w:t>
            </w:r>
          </w:p>
        </w:tc>
        <w:tc>
          <w:tcPr>
            <w:tcW w:w="7087" w:type="dxa"/>
          </w:tcPr>
          <w:p w14:paraId="118E6041" w14:textId="77777777" w:rsidR="00D87646" w:rsidRPr="00510442" w:rsidRDefault="00DB7E76" w:rsidP="00D44559">
            <w:pPr>
              <w:keepNext/>
              <w:spacing w:line="240" w:lineRule="auto"/>
              <w:rPr>
                <w:color w:val="000000"/>
                <w:szCs w:val="22"/>
                <w:lang w:val="hr-HR"/>
              </w:rPr>
            </w:pPr>
            <w:r w:rsidRPr="00510442">
              <w:rPr>
                <w:szCs w:val="22"/>
                <w:lang w:val="hr-HR"/>
              </w:rPr>
              <w:t>Pancitopenija, febrilna neutropenija</w:t>
            </w:r>
          </w:p>
        </w:tc>
      </w:tr>
      <w:tr w:rsidR="00DB7E76" w:rsidRPr="00F410C8" w14:paraId="5C0F4103" w14:textId="77777777" w:rsidTr="001730DC">
        <w:tc>
          <w:tcPr>
            <w:tcW w:w="2235" w:type="dxa"/>
          </w:tcPr>
          <w:p w14:paraId="4FC00D55" w14:textId="77777777" w:rsidR="00DB7E76" w:rsidRPr="00510442" w:rsidRDefault="00DB7E76" w:rsidP="00D44559">
            <w:pPr>
              <w:keepNext/>
              <w:spacing w:line="240" w:lineRule="auto"/>
              <w:rPr>
                <w:color w:val="000000"/>
                <w:szCs w:val="22"/>
                <w:lang w:val="hr-HR"/>
              </w:rPr>
            </w:pPr>
            <w:r w:rsidRPr="00510442">
              <w:rPr>
                <w:i/>
                <w:szCs w:val="22"/>
                <w:lang w:val="hr-HR"/>
              </w:rPr>
              <w:t>Manje često</w:t>
            </w:r>
            <w:r w:rsidRPr="00510442">
              <w:rPr>
                <w:i/>
                <w:color w:val="000000"/>
                <w:szCs w:val="22"/>
                <w:lang w:val="hr-HR"/>
              </w:rPr>
              <w:t>:</w:t>
            </w:r>
          </w:p>
        </w:tc>
        <w:tc>
          <w:tcPr>
            <w:tcW w:w="7087" w:type="dxa"/>
          </w:tcPr>
          <w:p w14:paraId="15CC5CC2" w14:textId="77777777" w:rsidR="00DB7E76" w:rsidRPr="00510442" w:rsidRDefault="00DB7E76" w:rsidP="00D44559">
            <w:pPr>
              <w:keepNext/>
              <w:spacing w:line="240" w:lineRule="auto"/>
              <w:rPr>
                <w:szCs w:val="22"/>
                <w:lang w:val="hr-HR"/>
              </w:rPr>
            </w:pPr>
            <w:r w:rsidRPr="00510442">
              <w:rPr>
                <w:szCs w:val="22"/>
                <w:lang w:val="hr-HR"/>
              </w:rPr>
              <w:t>Trombocitemija, limfopenija, depresija koštane srži, eozinofilija, limfadenopatija</w:t>
            </w:r>
          </w:p>
        </w:tc>
      </w:tr>
      <w:tr w:rsidR="00DB7E76" w:rsidRPr="00510442" w14:paraId="3486CE1F" w14:textId="77777777" w:rsidTr="001730DC">
        <w:tc>
          <w:tcPr>
            <w:tcW w:w="2235" w:type="dxa"/>
          </w:tcPr>
          <w:p w14:paraId="503DF551" w14:textId="77777777" w:rsidR="00DB7E76" w:rsidRPr="00510442" w:rsidRDefault="00DB7E76" w:rsidP="009B5630">
            <w:pPr>
              <w:spacing w:line="240" w:lineRule="auto"/>
              <w:rPr>
                <w:i/>
                <w:color w:val="000000"/>
                <w:szCs w:val="22"/>
                <w:lang w:val="hr-HR"/>
              </w:rPr>
            </w:pPr>
            <w:r w:rsidRPr="00510442">
              <w:rPr>
                <w:i/>
                <w:color w:val="000000"/>
                <w:szCs w:val="22"/>
                <w:lang w:val="hr-HR"/>
              </w:rPr>
              <w:t>Rijetko:</w:t>
            </w:r>
          </w:p>
        </w:tc>
        <w:tc>
          <w:tcPr>
            <w:tcW w:w="7087" w:type="dxa"/>
          </w:tcPr>
          <w:p w14:paraId="73F90D79" w14:textId="77777777" w:rsidR="00DB7E76" w:rsidRPr="00307897" w:rsidRDefault="00DB7E76" w:rsidP="00053ECB">
            <w:pPr>
              <w:spacing w:line="240" w:lineRule="auto"/>
              <w:rPr>
                <w:szCs w:val="22"/>
                <w:lang w:val="hr-HR"/>
              </w:rPr>
            </w:pPr>
            <w:r w:rsidRPr="00510442">
              <w:rPr>
                <w:szCs w:val="22"/>
                <w:lang w:val="hr-HR"/>
              </w:rPr>
              <w:t>Hemolitička anemija</w:t>
            </w:r>
            <w:r w:rsidR="00053ECB" w:rsidRPr="00510442">
              <w:rPr>
                <w:szCs w:val="22"/>
                <w:lang w:val="hr-HR"/>
              </w:rPr>
              <w:t xml:space="preserve">, </w:t>
            </w:r>
            <w:r w:rsidR="00053ECB" w:rsidRPr="00760469">
              <w:rPr>
                <w:snapToGrid w:val="0"/>
                <w:color w:val="000000"/>
                <w:szCs w:val="22"/>
                <w:lang w:val="hr-HR"/>
              </w:rPr>
              <w:t>trombotič</w:t>
            </w:r>
            <w:r w:rsidR="000B7728" w:rsidRPr="00760469">
              <w:rPr>
                <w:snapToGrid w:val="0"/>
                <w:color w:val="000000"/>
                <w:szCs w:val="22"/>
                <w:lang w:val="hr-HR"/>
              </w:rPr>
              <w:t>n</w:t>
            </w:r>
            <w:r w:rsidR="00053ECB" w:rsidRPr="00760469">
              <w:rPr>
                <w:snapToGrid w:val="0"/>
                <w:color w:val="000000"/>
                <w:szCs w:val="22"/>
                <w:lang w:val="hr-HR"/>
              </w:rPr>
              <w:t>a mikroangiopatija</w:t>
            </w:r>
          </w:p>
        </w:tc>
      </w:tr>
      <w:tr w:rsidR="00D46775" w:rsidRPr="00510442" w14:paraId="0041CBF7" w14:textId="77777777" w:rsidTr="001730DC">
        <w:tc>
          <w:tcPr>
            <w:tcW w:w="9322" w:type="dxa"/>
            <w:gridSpan w:val="2"/>
          </w:tcPr>
          <w:p w14:paraId="329E5C25" w14:textId="77777777" w:rsidR="00D46775" w:rsidRPr="00510442" w:rsidRDefault="00DB7E76" w:rsidP="00D44559">
            <w:pPr>
              <w:keepNext/>
              <w:spacing w:line="240" w:lineRule="auto"/>
              <w:rPr>
                <w:color w:val="000000"/>
                <w:szCs w:val="22"/>
                <w:lang w:val="hr-HR"/>
              </w:rPr>
            </w:pPr>
            <w:r w:rsidRPr="00510442">
              <w:rPr>
                <w:b/>
                <w:szCs w:val="22"/>
                <w:lang w:val="hr-HR"/>
              </w:rPr>
              <w:t>Poremećaji metabolizma i prehrane</w:t>
            </w:r>
          </w:p>
        </w:tc>
      </w:tr>
      <w:tr w:rsidR="00DB7E76" w:rsidRPr="00510442" w14:paraId="372461FF" w14:textId="77777777" w:rsidTr="001730DC">
        <w:tc>
          <w:tcPr>
            <w:tcW w:w="2235" w:type="dxa"/>
          </w:tcPr>
          <w:p w14:paraId="773A7202" w14:textId="77777777" w:rsidR="00DB7E76" w:rsidRPr="00510442" w:rsidRDefault="00DB7E76" w:rsidP="00D44559">
            <w:pPr>
              <w:keepNext/>
              <w:spacing w:line="240" w:lineRule="auto"/>
              <w:rPr>
                <w:i/>
                <w:color w:val="000000"/>
                <w:szCs w:val="22"/>
                <w:lang w:val="hr-HR"/>
              </w:rPr>
            </w:pPr>
            <w:r w:rsidRPr="00510442">
              <w:rPr>
                <w:i/>
                <w:szCs w:val="22"/>
                <w:lang w:val="hr-HR"/>
              </w:rPr>
              <w:t>Često</w:t>
            </w:r>
            <w:r w:rsidRPr="00510442">
              <w:rPr>
                <w:i/>
                <w:color w:val="000000"/>
                <w:szCs w:val="22"/>
                <w:lang w:val="hr-HR"/>
              </w:rPr>
              <w:t>:</w:t>
            </w:r>
          </w:p>
        </w:tc>
        <w:tc>
          <w:tcPr>
            <w:tcW w:w="7087" w:type="dxa"/>
          </w:tcPr>
          <w:p w14:paraId="1834A82C" w14:textId="77777777" w:rsidR="00DB7E76" w:rsidRPr="00510442" w:rsidRDefault="00DB7E76" w:rsidP="00D44559">
            <w:pPr>
              <w:keepNext/>
              <w:spacing w:line="240" w:lineRule="auto"/>
              <w:rPr>
                <w:szCs w:val="22"/>
                <w:lang w:val="hr-HR"/>
              </w:rPr>
            </w:pPr>
            <w:r w:rsidRPr="00510442">
              <w:rPr>
                <w:szCs w:val="22"/>
                <w:lang w:val="hr-HR"/>
              </w:rPr>
              <w:t>Anoreksija</w:t>
            </w:r>
          </w:p>
        </w:tc>
      </w:tr>
      <w:tr w:rsidR="00DB7E76" w:rsidRPr="00F410C8" w14:paraId="1D2DD43E" w14:textId="77777777" w:rsidTr="001730DC">
        <w:tc>
          <w:tcPr>
            <w:tcW w:w="2235" w:type="dxa"/>
          </w:tcPr>
          <w:p w14:paraId="09D04E74" w14:textId="77777777" w:rsidR="00DB7E76" w:rsidRPr="00510442" w:rsidRDefault="00DB7E76" w:rsidP="00D44559">
            <w:pPr>
              <w:keepNext/>
              <w:spacing w:line="240" w:lineRule="auto"/>
              <w:rPr>
                <w:i/>
                <w:color w:val="000000"/>
                <w:szCs w:val="22"/>
                <w:lang w:val="hr-HR"/>
              </w:rPr>
            </w:pPr>
            <w:r w:rsidRPr="00510442">
              <w:rPr>
                <w:i/>
                <w:szCs w:val="22"/>
                <w:lang w:val="hr-HR"/>
              </w:rPr>
              <w:t>Manje često</w:t>
            </w:r>
            <w:r w:rsidRPr="00510442">
              <w:rPr>
                <w:i/>
                <w:color w:val="000000"/>
                <w:szCs w:val="22"/>
                <w:lang w:val="hr-HR"/>
              </w:rPr>
              <w:t>:</w:t>
            </w:r>
          </w:p>
        </w:tc>
        <w:tc>
          <w:tcPr>
            <w:tcW w:w="7087" w:type="dxa"/>
          </w:tcPr>
          <w:p w14:paraId="175E7150" w14:textId="77777777" w:rsidR="00DB7E76" w:rsidRPr="00510442" w:rsidRDefault="00DB7E76" w:rsidP="00D44559">
            <w:pPr>
              <w:keepNext/>
              <w:spacing w:line="240" w:lineRule="auto"/>
              <w:rPr>
                <w:szCs w:val="22"/>
                <w:lang w:val="hr-HR"/>
              </w:rPr>
            </w:pPr>
            <w:r w:rsidRPr="00510442">
              <w:rPr>
                <w:szCs w:val="22"/>
                <w:lang w:val="hr-HR"/>
              </w:rPr>
              <w:t>Hipokalemija, povećan apetit, hipofosfatemija, smanjen apetit, dehidracija, giht, hiperuricemija, hiperkalcemija, hiperglikemija, hiponatremija</w:t>
            </w:r>
          </w:p>
        </w:tc>
      </w:tr>
      <w:tr w:rsidR="00DB7E76" w:rsidRPr="00510442" w14:paraId="3C36ACBD" w14:textId="77777777" w:rsidTr="001730DC">
        <w:tc>
          <w:tcPr>
            <w:tcW w:w="2235" w:type="dxa"/>
          </w:tcPr>
          <w:p w14:paraId="0234219F" w14:textId="77777777" w:rsidR="00DB7E76" w:rsidRPr="00510442" w:rsidRDefault="00DB7E76" w:rsidP="009B5630">
            <w:pPr>
              <w:spacing w:line="240" w:lineRule="auto"/>
              <w:rPr>
                <w:i/>
                <w:color w:val="000000"/>
                <w:szCs w:val="22"/>
                <w:lang w:val="hr-HR"/>
              </w:rPr>
            </w:pPr>
            <w:r w:rsidRPr="00510442">
              <w:rPr>
                <w:i/>
                <w:color w:val="000000"/>
                <w:szCs w:val="22"/>
                <w:lang w:val="hr-HR"/>
              </w:rPr>
              <w:t>Rijetko:</w:t>
            </w:r>
          </w:p>
        </w:tc>
        <w:tc>
          <w:tcPr>
            <w:tcW w:w="7087" w:type="dxa"/>
          </w:tcPr>
          <w:p w14:paraId="24FA9519" w14:textId="77777777" w:rsidR="00DB7E76" w:rsidRPr="00510442" w:rsidRDefault="00DB7E76" w:rsidP="002A3AC4">
            <w:pPr>
              <w:spacing w:line="240" w:lineRule="auto"/>
              <w:rPr>
                <w:szCs w:val="22"/>
                <w:lang w:val="hr-HR"/>
              </w:rPr>
            </w:pPr>
            <w:r w:rsidRPr="00510442">
              <w:rPr>
                <w:szCs w:val="22"/>
                <w:lang w:val="hr-HR"/>
              </w:rPr>
              <w:t>Hiperkalemija, hipomagnezemija</w:t>
            </w:r>
          </w:p>
        </w:tc>
      </w:tr>
      <w:tr w:rsidR="00D46775" w:rsidRPr="00510442" w14:paraId="0A2D6EB7" w14:textId="77777777" w:rsidTr="001730DC">
        <w:tc>
          <w:tcPr>
            <w:tcW w:w="9322" w:type="dxa"/>
            <w:gridSpan w:val="2"/>
          </w:tcPr>
          <w:p w14:paraId="188D922C" w14:textId="77777777" w:rsidR="00D46775" w:rsidRPr="00510442" w:rsidRDefault="00DB7E76" w:rsidP="00D44559">
            <w:pPr>
              <w:keepNext/>
              <w:spacing w:line="240" w:lineRule="auto"/>
              <w:rPr>
                <w:color w:val="000000"/>
                <w:szCs w:val="22"/>
                <w:lang w:val="hr-HR"/>
              </w:rPr>
            </w:pPr>
            <w:r w:rsidRPr="00510442">
              <w:rPr>
                <w:b/>
                <w:szCs w:val="22"/>
                <w:lang w:val="hr-HR"/>
              </w:rPr>
              <w:t>Psihijatrijski poremećaji</w:t>
            </w:r>
          </w:p>
        </w:tc>
      </w:tr>
      <w:tr w:rsidR="00DB7E76" w:rsidRPr="00510442" w14:paraId="438BAB3D" w14:textId="77777777" w:rsidTr="001730DC">
        <w:tc>
          <w:tcPr>
            <w:tcW w:w="2235" w:type="dxa"/>
          </w:tcPr>
          <w:p w14:paraId="0BFD15F6" w14:textId="77777777" w:rsidR="00DB7E76" w:rsidRPr="00510442" w:rsidRDefault="00DB7E76" w:rsidP="00D44559">
            <w:pPr>
              <w:keepNext/>
              <w:spacing w:line="240" w:lineRule="auto"/>
              <w:rPr>
                <w:i/>
                <w:szCs w:val="22"/>
                <w:lang w:val="hr-HR"/>
              </w:rPr>
            </w:pPr>
            <w:r w:rsidRPr="00510442">
              <w:rPr>
                <w:i/>
                <w:szCs w:val="22"/>
                <w:lang w:val="hr-HR"/>
              </w:rPr>
              <w:t>Često</w:t>
            </w:r>
            <w:r w:rsidRPr="00510442">
              <w:rPr>
                <w:szCs w:val="22"/>
                <w:lang w:val="hr-HR"/>
              </w:rPr>
              <w:t>:</w:t>
            </w:r>
          </w:p>
        </w:tc>
        <w:tc>
          <w:tcPr>
            <w:tcW w:w="7087" w:type="dxa"/>
          </w:tcPr>
          <w:p w14:paraId="074029AE" w14:textId="77777777" w:rsidR="00DB7E76" w:rsidRPr="00510442" w:rsidRDefault="00DB7E76" w:rsidP="00D44559">
            <w:pPr>
              <w:keepNext/>
              <w:spacing w:line="240" w:lineRule="auto"/>
              <w:rPr>
                <w:szCs w:val="22"/>
                <w:lang w:val="hr-HR"/>
              </w:rPr>
            </w:pPr>
            <w:r w:rsidRPr="00510442">
              <w:rPr>
                <w:szCs w:val="22"/>
                <w:lang w:val="hr-HR"/>
              </w:rPr>
              <w:t>Nesanica</w:t>
            </w:r>
          </w:p>
        </w:tc>
      </w:tr>
      <w:tr w:rsidR="00DB7E76" w:rsidRPr="00510442" w14:paraId="744F34D1" w14:textId="77777777" w:rsidTr="001730DC">
        <w:tc>
          <w:tcPr>
            <w:tcW w:w="2235" w:type="dxa"/>
          </w:tcPr>
          <w:p w14:paraId="60351162" w14:textId="77777777" w:rsidR="00DB7E76" w:rsidRPr="00510442" w:rsidRDefault="00DB7E76" w:rsidP="00D44559">
            <w:pPr>
              <w:keepNext/>
              <w:spacing w:line="240" w:lineRule="auto"/>
              <w:rPr>
                <w:i/>
                <w:szCs w:val="22"/>
                <w:lang w:val="hr-HR"/>
              </w:rPr>
            </w:pPr>
            <w:r w:rsidRPr="00510442">
              <w:rPr>
                <w:i/>
                <w:szCs w:val="22"/>
                <w:lang w:val="hr-HR"/>
              </w:rPr>
              <w:t>Manje često:</w:t>
            </w:r>
          </w:p>
        </w:tc>
        <w:tc>
          <w:tcPr>
            <w:tcW w:w="7087" w:type="dxa"/>
          </w:tcPr>
          <w:p w14:paraId="6EE8CEB7" w14:textId="77777777" w:rsidR="00DB7E76" w:rsidRPr="00510442" w:rsidRDefault="00DB7E76" w:rsidP="00D44559">
            <w:pPr>
              <w:keepNext/>
              <w:spacing w:line="240" w:lineRule="auto"/>
              <w:rPr>
                <w:szCs w:val="22"/>
                <w:lang w:val="hr-HR"/>
              </w:rPr>
            </w:pPr>
            <w:r w:rsidRPr="00510442">
              <w:rPr>
                <w:szCs w:val="22"/>
                <w:lang w:val="hr-HR"/>
              </w:rPr>
              <w:t>Depresija, smanjeni libido, anksioznost</w:t>
            </w:r>
          </w:p>
        </w:tc>
      </w:tr>
      <w:tr w:rsidR="00DB7E76" w:rsidRPr="00510442" w14:paraId="2C78FF29" w14:textId="77777777" w:rsidTr="001730DC">
        <w:tc>
          <w:tcPr>
            <w:tcW w:w="2235" w:type="dxa"/>
          </w:tcPr>
          <w:p w14:paraId="1DAA3D53" w14:textId="77777777" w:rsidR="00DB7E76" w:rsidRPr="00510442" w:rsidRDefault="00DB7E76" w:rsidP="009B5630">
            <w:pPr>
              <w:spacing w:line="240" w:lineRule="auto"/>
              <w:rPr>
                <w:i/>
                <w:szCs w:val="22"/>
                <w:lang w:val="hr-HR"/>
              </w:rPr>
            </w:pPr>
            <w:r w:rsidRPr="00510442">
              <w:rPr>
                <w:i/>
                <w:szCs w:val="22"/>
                <w:lang w:val="hr-HR"/>
              </w:rPr>
              <w:t>Rijetko:</w:t>
            </w:r>
          </w:p>
        </w:tc>
        <w:tc>
          <w:tcPr>
            <w:tcW w:w="7087" w:type="dxa"/>
          </w:tcPr>
          <w:p w14:paraId="26FF5552" w14:textId="77777777" w:rsidR="00DB7E76" w:rsidRPr="00510442" w:rsidRDefault="00EC34BF" w:rsidP="009B5630">
            <w:pPr>
              <w:spacing w:line="240" w:lineRule="auto"/>
              <w:rPr>
                <w:szCs w:val="22"/>
                <w:lang w:val="hr-HR"/>
              </w:rPr>
            </w:pPr>
            <w:r w:rsidRPr="00510442">
              <w:rPr>
                <w:szCs w:val="22"/>
                <w:lang w:val="hr-HR"/>
              </w:rPr>
              <w:t>Konfuzno stanje</w:t>
            </w:r>
          </w:p>
        </w:tc>
      </w:tr>
      <w:tr w:rsidR="00D87646" w:rsidRPr="00510442" w14:paraId="404EDA44" w14:textId="77777777" w:rsidTr="001730DC">
        <w:tc>
          <w:tcPr>
            <w:tcW w:w="9322" w:type="dxa"/>
            <w:gridSpan w:val="2"/>
          </w:tcPr>
          <w:p w14:paraId="38E18F9A" w14:textId="77777777" w:rsidR="00D87646" w:rsidRPr="00510442" w:rsidRDefault="004652C8" w:rsidP="00D44559">
            <w:pPr>
              <w:keepNext/>
              <w:spacing w:line="240" w:lineRule="auto"/>
              <w:rPr>
                <w:color w:val="000000"/>
                <w:szCs w:val="22"/>
                <w:lang w:val="hr-HR"/>
              </w:rPr>
            </w:pPr>
            <w:r w:rsidRPr="00510442">
              <w:rPr>
                <w:b/>
                <w:szCs w:val="22"/>
                <w:lang w:val="hr-HR"/>
              </w:rPr>
              <w:t>Poremećaji živčanog sustava</w:t>
            </w:r>
          </w:p>
        </w:tc>
      </w:tr>
      <w:tr w:rsidR="000A1373" w:rsidRPr="00510442" w14:paraId="4A1065E3" w14:textId="77777777" w:rsidTr="001730DC">
        <w:tc>
          <w:tcPr>
            <w:tcW w:w="2235" w:type="dxa"/>
          </w:tcPr>
          <w:p w14:paraId="2C183BF2" w14:textId="77777777" w:rsidR="000A1373" w:rsidRPr="00510442" w:rsidRDefault="000A1373" w:rsidP="00D44559">
            <w:pPr>
              <w:keepNext/>
              <w:spacing w:line="240" w:lineRule="auto"/>
              <w:rPr>
                <w:szCs w:val="22"/>
                <w:lang w:val="hr-HR"/>
              </w:rPr>
            </w:pPr>
            <w:r w:rsidRPr="00510442">
              <w:rPr>
                <w:i/>
                <w:szCs w:val="22"/>
                <w:lang w:val="hr-HR"/>
              </w:rPr>
              <w:t>Vrlo često:</w:t>
            </w:r>
          </w:p>
        </w:tc>
        <w:tc>
          <w:tcPr>
            <w:tcW w:w="7087" w:type="dxa"/>
          </w:tcPr>
          <w:p w14:paraId="38C07334" w14:textId="77777777" w:rsidR="000A1373" w:rsidRPr="00510442" w:rsidRDefault="000A1373" w:rsidP="00D44559">
            <w:pPr>
              <w:keepNext/>
              <w:spacing w:line="240" w:lineRule="auto"/>
              <w:rPr>
                <w:szCs w:val="22"/>
                <w:lang w:val="hr-HR"/>
              </w:rPr>
            </w:pPr>
            <w:r w:rsidRPr="00510442">
              <w:rPr>
                <w:szCs w:val="22"/>
                <w:lang w:val="hr-HR"/>
              </w:rPr>
              <w:t>Glavobolja</w:t>
            </w:r>
            <w:r w:rsidRPr="00510442">
              <w:rPr>
                <w:szCs w:val="22"/>
                <w:vertAlign w:val="superscript"/>
                <w:lang w:val="hr-HR"/>
              </w:rPr>
              <w:t>2</w:t>
            </w:r>
          </w:p>
        </w:tc>
      </w:tr>
      <w:tr w:rsidR="000A1373" w:rsidRPr="00F410C8" w14:paraId="2A89FE83" w14:textId="77777777" w:rsidTr="001730DC">
        <w:tc>
          <w:tcPr>
            <w:tcW w:w="2235" w:type="dxa"/>
          </w:tcPr>
          <w:p w14:paraId="722180B1" w14:textId="77777777" w:rsidR="000A1373" w:rsidRPr="00510442" w:rsidRDefault="000A1373" w:rsidP="00D44559">
            <w:pPr>
              <w:keepNext/>
              <w:spacing w:line="240" w:lineRule="auto"/>
              <w:rPr>
                <w:szCs w:val="22"/>
                <w:lang w:val="hr-HR"/>
              </w:rPr>
            </w:pPr>
            <w:r w:rsidRPr="00510442">
              <w:rPr>
                <w:i/>
                <w:szCs w:val="22"/>
                <w:lang w:val="hr-HR"/>
              </w:rPr>
              <w:t>Često</w:t>
            </w:r>
            <w:r w:rsidRPr="00510442">
              <w:rPr>
                <w:szCs w:val="22"/>
                <w:lang w:val="hr-HR"/>
              </w:rPr>
              <w:t>:</w:t>
            </w:r>
          </w:p>
        </w:tc>
        <w:tc>
          <w:tcPr>
            <w:tcW w:w="7087" w:type="dxa"/>
          </w:tcPr>
          <w:p w14:paraId="0A52EE3B" w14:textId="77777777" w:rsidR="000A1373" w:rsidRPr="00510442" w:rsidRDefault="000A1373" w:rsidP="00D44559">
            <w:pPr>
              <w:keepNext/>
              <w:spacing w:line="240" w:lineRule="auto"/>
              <w:rPr>
                <w:szCs w:val="22"/>
                <w:lang w:val="hr-HR"/>
              </w:rPr>
            </w:pPr>
            <w:r w:rsidRPr="00510442">
              <w:rPr>
                <w:szCs w:val="22"/>
                <w:lang w:val="hr-HR"/>
              </w:rPr>
              <w:t>Omaglica, parestezija, poremećaj okusa, hipoestezija</w:t>
            </w:r>
          </w:p>
        </w:tc>
      </w:tr>
      <w:tr w:rsidR="000A1373" w:rsidRPr="00F410C8" w14:paraId="3E1641AA" w14:textId="77777777" w:rsidTr="001730DC">
        <w:tc>
          <w:tcPr>
            <w:tcW w:w="2235" w:type="dxa"/>
          </w:tcPr>
          <w:p w14:paraId="0AF5C075" w14:textId="77777777" w:rsidR="000A1373" w:rsidRPr="00510442" w:rsidRDefault="000A1373" w:rsidP="00D44559">
            <w:pPr>
              <w:keepNext/>
              <w:spacing w:line="240" w:lineRule="auto"/>
              <w:rPr>
                <w:szCs w:val="22"/>
                <w:lang w:val="hr-HR"/>
              </w:rPr>
            </w:pPr>
            <w:r w:rsidRPr="00510442">
              <w:rPr>
                <w:i/>
                <w:szCs w:val="22"/>
                <w:lang w:val="hr-HR"/>
              </w:rPr>
              <w:t>Manje često:</w:t>
            </w:r>
          </w:p>
        </w:tc>
        <w:tc>
          <w:tcPr>
            <w:tcW w:w="7087" w:type="dxa"/>
          </w:tcPr>
          <w:p w14:paraId="10E50C51" w14:textId="77777777" w:rsidR="000A1373" w:rsidRPr="00510442" w:rsidRDefault="000A1373" w:rsidP="00D44559">
            <w:pPr>
              <w:keepNext/>
              <w:spacing w:line="240" w:lineRule="auto"/>
              <w:rPr>
                <w:szCs w:val="22"/>
                <w:lang w:val="hr-HR"/>
              </w:rPr>
            </w:pPr>
            <w:r w:rsidRPr="00510442">
              <w:rPr>
                <w:szCs w:val="22"/>
                <w:lang w:val="hr-HR"/>
              </w:rPr>
              <w:t>Migrena, pospanost, sinkopa, periferna neuropatija, poremećaj pamćenja, ishijalgija, sindrom nemirnih nogu, tremor, cerebralno krvarenje</w:t>
            </w:r>
          </w:p>
        </w:tc>
      </w:tr>
      <w:tr w:rsidR="000A1373" w:rsidRPr="00F410C8" w14:paraId="367F6A35" w14:textId="77777777" w:rsidTr="001730DC">
        <w:tc>
          <w:tcPr>
            <w:tcW w:w="2235" w:type="dxa"/>
          </w:tcPr>
          <w:p w14:paraId="76E1E01C" w14:textId="77777777" w:rsidR="000A1373" w:rsidRPr="00510442" w:rsidRDefault="000A1373" w:rsidP="00D44559">
            <w:pPr>
              <w:keepNext/>
              <w:spacing w:line="240" w:lineRule="auto"/>
              <w:rPr>
                <w:color w:val="000000"/>
                <w:szCs w:val="22"/>
                <w:lang w:val="hr-HR"/>
              </w:rPr>
            </w:pPr>
            <w:r w:rsidRPr="00510442">
              <w:rPr>
                <w:i/>
                <w:color w:val="000000"/>
                <w:szCs w:val="22"/>
                <w:lang w:val="hr-HR"/>
              </w:rPr>
              <w:t>Rijetko:</w:t>
            </w:r>
          </w:p>
        </w:tc>
        <w:tc>
          <w:tcPr>
            <w:tcW w:w="7087" w:type="dxa"/>
          </w:tcPr>
          <w:p w14:paraId="525F8BB4" w14:textId="77777777" w:rsidR="000A1373" w:rsidRPr="00510442" w:rsidRDefault="000A1373" w:rsidP="00D44559">
            <w:pPr>
              <w:keepNext/>
              <w:spacing w:line="240" w:lineRule="auto"/>
              <w:rPr>
                <w:szCs w:val="22"/>
                <w:lang w:val="hr-HR"/>
              </w:rPr>
            </w:pPr>
            <w:r w:rsidRPr="00510442">
              <w:rPr>
                <w:szCs w:val="22"/>
                <w:lang w:val="hr-HR"/>
              </w:rPr>
              <w:t>Povišen intrakranijalni tlak, konvulzije, optički neuritis</w:t>
            </w:r>
          </w:p>
        </w:tc>
      </w:tr>
      <w:tr w:rsidR="00B733D7" w:rsidRPr="00510442" w14:paraId="08ED2FA4" w14:textId="77777777" w:rsidTr="00236ED5">
        <w:tc>
          <w:tcPr>
            <w:tcW w:w="2235" w:type="dxa"/>
          </w:tcPr>
          <w:p w14:paraId="511A49B8" w14:textId="77777777" w:rsidR="00B733D7" w:rsidRPr="00510442" w:rsidRDefault="00B733D7" w:rsidP="00236ED5">
            <w:pPr>
              <w:widowControl w:val="0"/>
              <w:rPr>
                <w:i/>
                <w:color w:val="000000"/>
                <w:szCs w:val="22"/>
                <w:lang w:val="hr-HR"/>
              </w:rPr>
            </w:pPr>
            <w:r w:rsidRPr="00510442">
              <w:rPr>
                <w:i/>
                <w:color w:val="000000"/>
                <w:szCs w:val="22"/>
                <w:lang w:val="hr-HR"/>
              </w:rPr>
              <w:t>Nepoznato:</w:t>
            </w:r>
          </w:p>
        </w:tc>
        <w:tc>
          <w:tcPr>
            <w:tcW w:w="7087" w:type="dxa"/>
          </w:tcPr>
          <w:p w14:paraId="788B0935" w14:textId="77777777" w:rsidR="00B733D7" w:rsidRPr="00510442" w:rsidRDefault="00B733D7" w:rsidP="00B733D7">
            <w:pPr>
              <w:widowControl w:val="0"/>
              <w:rPr>
                <w:color w:val="000000"/>
                <w:szCs w:val="22"/>
                <w:lang w:val="hr-HR"/>
              </w:rPr>
            </w:pPr>
            <w:r w:rsidRPr="00510442">
              <w:rPr>
                <w:color w:val="000000"/>
                <w:szCs w:val="22"/>
                <w:lang w:val="hr-HR"/>
              </w:rPr>
              <w:t>Cerebralni edem*</w:t>
            </w:r>
          </w:p>
        </w:tc>
      </w:tr>
      <w:tr w:rsidR="000A1373" w:rsidRPr="00510442" w14:paraId="308C0BB0" w14:textId="77777777" w:rsidTr="001730DC">
        <w:tc>
          <w:tcPr>
            <w:tcW w:w="9322" w:type="dxa"/>
            <w:gridSpan w:val="2"/>
          </w:tcPr>
          <w:p w14:paraId="0E4963F3" w14:textId="77777777" w:rsidR="000A1373" w:rsidRPr="00307897" w:rsidRDefault="000A1373" w:rsidP="003179A4">
            <w:pPr>
              <w:keepNext/>
              <w:spacing w:line="240" w:lineRule="auto"/>
              <w:rPr>
                <w:szCs w:val="22"/>
                <w:lang w:val="hr-HR"/>
              </w:rPr>
            </w:pPr>
            <w:r w:rsidRPr="00307897">
              <w:rPr>
                <w:b/>
                <w:szCs w:val="22"/>
                <w:lang w:val="hr-HR"/>
              </w:rPr>
              <w:t>Poremećaji oka</w:t>
            </w:r>
          </w:p>
        </w:tc>
      </w:tr>
      <w:tr w:rsidR="004C0C32" w:rsidRPr="00F410C8" w14:paraId="512182D6" w14:textId="77777777" w:rsidTr="001730DC">
        <w:tc>
          <w:tcPr>
            <w:tcW w:w="2235" w:type="dxa"/>
          </w:tcPr>
          <w:p w14:paraId="07A93170" w14:textId="77777777" w:rsidR="004C0C32" w:rsidRPr="00510442" w:rsidRDefault="004C0C32" w:rsidP="003179A4">
            <w:pPr>
              <w:keepNext/>
              <w:spacing w:line="240" w:lineRule="auto"/>
              <w:rPr>
                <w:szCs w:val="22"/>
                <w:lang w:val="hr-HR"/>
              </w:rPr>
            </w:pPr>
            <w:r w:rsidRPr="00510442">
              <w:rPr>
                <w:i/>
                <w:szCs w:val="22"/>
                <w:lang w:val="hr-HR"/>
              </w:rPr>
              <w:t>Često</w:t>
            </w:r>
            <w:r w:rsidRPr="00510442">
              <w:rPr>
                <w:szCs w:val="22"/>
                <w:lang w:val="hr-HR"/>
              </w:rPr>
              <w:t>:</w:t>
            </w:r>
          </w:p>
        </w:tc>
        <w:tc>
          <w:tcPr>
            <w:tcW w:w="7087" w:type="dxa"/>
          </w:tcPr>
          <w:p w14:paraId="00DA48A5" w14:textId="77777777" w:rsidR="004C0C32" w:rsidRPr="00510442" w:rsidRDefault="004C0C32" w:rsidP="003179A4">
            <w:pPr>
              <w:keepNext/>
              <w:spacing w:line="240" w:lineRule="auto"/>
              <w:rPr>
                <w:szCs w:val="22"/>
                <w:lang w:val="hr-HR"/>
              </w:rPr>
            </w:pPr>
            <w:r w:rsidRPr="00510442">
              <w:rPr>
                <w:szCs w:val="22"/>
                <w:lang w:val="hr-HR"/>
              </w:rPr>
              <w:t xml:space="preserve">Edem kapaka, pojačano suzenje, konjunktivalno krvarenje, konjunktivitis, suhe oči, zamagljen vid </w:t>
            </w:r>
          </w:p>
        </w:tc>
      </w:tr>
      <w:tr w:rsidR="004C0C32" w:rsidRPr="00F410C8" w14:paraId="238BD89E" w14:textId="77777777" w:rsidTr="001730DC">
        <w:tc>
          <w:tcPr>
            <w:tcW w:w="2235" w:type="dxa"/>
          </w:tcPr>
          <w:p w14:paraId="0DA51B9F" w14:textId="77777777" w:rsidR="004C0C32" w:rsidRPr="00510442" w:rsidRDefault="004C0C32" w:rsidP="003179A4">
            <w:pPr>
              <w:keepNext/>
              <w:spacing w:line="240" w:lineRule="auto"/>
              <w:rPr>
                <w:szCs w:val="22"/>
                <w:lang w:val="hr-HR"/>
              </w:rPr>
            </w:pPr>
            <w:r w:rsidRPr="00510442">
              <w:rPr>
                <w:i/>
                <w:szCs w:val="22"/>
                <w:lang w:val="hr-HR"/>
              </w:rPr>
              <w:t>Manje često:</w:t>
            </w:r>
          </w:p>
        </w:tc>
        <w:tc>
          <w:tcPr>
            <w:tcW w:w="7087" w:type="dxa"/>
          </w:tcPr>
          <w:p w14:paraId="12215378" w14:textId="77777777" w:rsidR="004C0C32" w:rsidRPr="00510442" w:rsidRDefault="004C0C32" w:rsidP="003179A4">
            <w:pPr>
              <w:keepNext/>
              <w:spacing w:line="240" w:lineRule="auto"/>
              <w:rPr>
                <w:szCs w:val="22"/>
                <w:lang w:val="hr-HR"/>
              </w:rPr>
            </w:pPr>
            <w:r w:rsidRPr="00510442">
              <w:rPr>
                <w:szCs w:val="22"/>
                <w:lang w:val="hr-HR"/>
              </w:rPr>
              <w:t>Iritacija oka, bol u oku, orbitalni edem, krvarenje bjeloočnice, krvarenje mrežnice, blefaritis, makularni edem</w:t>
            </w:r>
          </w:p>
        </w:tc>
      </w:tr>
      <w:tr w:rsidR="004C0C32" w:rsidRPr="00510442" w14:paraId="001F20DA" w14:textId="77777777" w:rsidTr="001730DC">
        <w:tc>
          <w:tcPr>
            <w:tcW w:w="2235" w:type="dxa"/>
          </w:tcPr>
          <w:p w14:paraId="4701FDD0" w14:textId="77777777" w:rsidR="004C0C32" w:rsidRPr="00510442" w:rsidRDefault="004C0C32" w:rsidP="003179A4">
            <w:pPr>
              <w:keepNext/>
              <w:spacing w:line="240" w:lineRule="auto"/>
              <w:rPr>
                <w:szCs w:val="22"/>
                <w:lang w:val="hr-HR"/>
              </w:rPr>
            </w:pPr>
            <w:r w:rsidRPr="00510442">
              <w:rPr>
                <w:i/>
                <w:szCs w:val="22"/>
                <w:lang w:val="hr-HR"/>
              </w:rPr>
              <w:t>Rijetko:</w:t>
            </w:r>
          </w:p>
        </w:tc>
        <w:tc>
          <w:tcPr>
            <w:tcW w:w="7087" w:type="dxa"/>
          </w:tcPr>
          <w:p w14:paraId="3272FB4A" w14:textId="77777777" w:rsidR="004C0C32" w:rsidRPr="00510442" w:rsidRDefault="004C0C32" w:rsidP="003179A4">
            <w:pPr>
              <w:keepNext/>
              <w:spacing w:line="240" w:lineRule="auto"/>
              <w:rPr>
                <w:szCs w:val="22"/>
                <w:lang w:val="hr-HR"/>
              </w:rPr>
            </w:pPr>
            <w:r w:rsidRPr="00510442">
              <w:rPr>
                <w:szCs w:val="22"/>
                <w:lang w:val="hr-HR"/>
              </w:rPr>
              <w:t>Katarakta, glaukom, papiloedem</w:t>
            </w:r>
          </w:p>
        </w:tc>
      </w:tr>
      <w:tr w:rsidR="00333AF1" w:rsidRPr="00510442" w14:paraId="2A8523A5" w14:textId="77777777" w:rsidTr="00236ED5">
        <w:tc>
          <w:tcPr>
            <w:tcW w:w="2235" w:type="dxa"/>
          </w:tcPr>
          <w:p w14:paraId="453BEBF0" w14:textId="77777777" w:rsidR="00333AF1" w:rsidRPr="00510442" w:rsidRDefault="00333AF1" w:rsidP="00236ED5">
            <w:pPr>
              <w:widowControl w:val="0"/>
              <w:rPr>
                <w:i/>
                <w:color w:val="000000"/>
                <w:szCs w:val="22"/>
                <w:lang w:val="hr-HR"/>
              </w:rPr>
            </w:pPr>
            <w:r w:rsidRPr="00510442">
              <w:rPr>
                <w:i/>
                <w:color w:val="000000"/>
                <w:szCs w:val="22"/>
                <w:lang w:val="hr-HR"/>
              </w:rPr>
              <w:t>Nepoznato:</w:t>
            </w:r>
          </w:p>
        </w:tc>
        <w:tc>
          <w:tcPr>
            <w:tcW w:w="7087" w:type="dxa"/>
          </w:tcPr>
          <w:p w14:paraId="26D73E7E" w14:textId="77777777" w:rsidR="00333AF1" w:rsidRPr="00510442" w:rsidRDefault="00333AF1" w:rsidP="00236ED5">
            <w:pPr>
              <w:widowControl w:val="0"/>
              <w:rPr>
                <w:color w:val="000000"/>
                <w:szCs w:val="22"/>
                <w:lang w:val="hr-HR"/>
              </w:rPr>
            </w:pPr>
            <w:r w:rsidRPr="00307897">
              <w:rPr>
                <w:color w:val="000000"/>
                <w:szCs w:val="22"/>
                <w:lang w:val="hr-HR"/>
              </w:rPr>
              <w:t>Krvarenje u staklasto tijelo</w:t>
            </w:r>
            <w:r w:rsidRPr="00510442">
              <w:rPr>
                <w:color w:val="000000"/>
                <w:szCs w:val="22"/>
                <w:lang w:val="hr-HR"/>
              </w:rPr>
              <w:t>*</w:t>
            </w:r>
          </w:p>
        </w:tc>
      </w:tr>
      <w:tr w:rsidR="000A1373" w:rsidRPr="00510442" w14:paraId="510385E1" w14:textId="77777777" w:rsidTr="001730DC">
        <w:tc>
          <w:tcPr>
            <w:tcW w:w="9322" w:type="dxa"/>
            <w:gridSpan w:val="2"/>
          </w:tcPr>
          <w:p w14:paraId="50B52970" w14:textId="77777777" w:rsidR="000A1373" w:rsidRPr="00A00164" w:rsidRDefault="004C0C32" w:rsidP="003179A4">
            <w:pPr>
              <w:keepNext/>
              <w:spacing w:line="240" w:lineRule="auto"/>
              <w:rPr>
                <w:color w:val="000000"/>
                <w:szCs w:val="22"/>
                <w:lang w:val="hr-HR"/>
              </w:rPr>
            </w:pPr>
            <w:r w:rsidRPr="00307897">
              <w:rPr>
                <w:b/>
                <w:color w:val="000000"/>
                <w:szCs w:val="22"/>
                <w:lang w:val="hr-HR"/>
              </w:rPr>
              <w:t>P</w:t>
            </w:r>
            <w:r w:rsidRPr="00307897">
              <w:rPr>
                <w:b/>
                <w:szCs w:val="22"/>
                <w:lang w:val="hr-HR"/>
              </w:rPr>
              <w:t>oremećaji uha i labirinta</w:t>
            </w:r>
          </w:p>
        </w:tc>
      </w:tr>
      <w:tr w:rsidR="000A1373" w:rsidRPr="00510442" w14:paraId="6CD674C6" w14:textId="77777777" w:rsidTr="001730DC">
        <w:tc>
          <w:tcPr>
            <w:tcW w:w="2235" w:type="dxa"/>
          </w:tcPr>
          <w:p w14:paraId="0F33DA90" w14:textId="77777777" w:rsidR="000A1373" w:rsidRPr="00510442" w:rsidRDefault="004C0C32" w:rsidP="009B5630">
            <w:pPr>
              <w:spacing w:line="240" w:lineRule="auto"/>
              <w:rPr>
                <w:color w:val="000000"/>
                <w:szCs w:val="22"/>
                <w:lang w:val="hr-HR"/>
              </w:rPr>
            </w:pPr>
            <w:r w:rsidRPr="00510442">
              <w:rPr>
                <w:i/>
                <w:szCs w:val="22"/>
                <w:lang w:val="hr-HR"/>
              </w:rPr>
              <w:t>Manje često</w:t>
            </w:r>
            <w:r w:rsidR="000A1373" w:rsidRPr="00510442">
              <w:rPr>
                <w:i/>
                <w:color w:val="000000"/>
                <w:szCs w:val="22"/>
                <w:lang w:val="hr-HR"/>
              </w:rPr>
              <w:t>:</w:t>
            </w:r>
          </w:p>
        </w:tc>
        <w:tc>
          <w:tcPr>
            <w:tcW w:w="7087" w:type="dxa"/>
          </w:tcPr>
          <w:p w14:paraId="53548746" w14:textId="77777777" w:rsidR="000A1373" w:rsidRPr="00510442" w:rsidRDefault="004C0C32" w:rsidP="009B5630">
            <w:pPr>
              <w:spacing w:line="240" w:lineRule="auto"/>
              <w:rPr>
                <w:color w:val="000000"/>
                <w:szCs w:val="22"/>
                <w:lang w:val="hr-HR"/>
              </w:rPr>
            </w:pPr>
            <w:r w:rsidRPr="00510442">
              <w:rPr>
                <w:szCs w:val="22"/>
                <w:lang w:val="hr-HR"/>
              </w:rPr>
              <w:t>Vrtoglavica, tinitus, gubitak sluha</w:t>
            </w:r>
          </w:p>
        </w:tc>
      </w:tr>
      <w:tr w:rsidR="000A1373" w:rsidRPr="00510442" w14:paraId="211FD11F" w14:textId="77777777" w:rsidTr="001730DC">
        <w:tc>
          <w:tcPr>
            <w:tcW w:w="9322" w:type="dxa"/>
            <w:gridSpan w:val="2"/>
          </w:tcPr>
          <w:p w14:paraId="7A4AC2CB" w14:textId="77777777" w:rsidR="000A1373" w:rsidRPr="00510442" w:rsidRDefault="004C0C32" w:rsidP="003179A4">
            <w:pPr>
              <w:keepNext/>
              <w:spacing w:line="240" w:lineRule="auto"/>
              <w:rPr>
                <w:color w:val="000000"/>
                <w:szCs w:val="22"/>
                <w:lang w:val="hr-HR"/>
              </w:rPr>
            </w:pPr>
            <w:r w:rsidRPr="00510442">
              <w:rPr>
                <w:b/>
                <w:szCs w:val="22"/>
                <w:lang w:val="hr-HR"/>
              </w:rPr>
              <w:t>Srčani poremećaji</w:t>
            </w:r>
          </w:p>
        </w:tc>
      </w:tr>
      <w:tr w:rsidR="004C0C32" w:rsidRPr="00F410C8" w14:paraId="2C22E2DF" w14:textId="77777777" w:rsidTr="001730DC">
        <w:tc>
          <w:tcPr>
            <w:tcW w:w="2235" w:type="dxa"/>
          </w:tcPr>
          <w:p w14:paraId="5CA650FA" w14:textId="77777777" w:rsidR="004C0C32" w:rsidRPr="00510442" w:rsidRDefault="004C0C32" w:rsidP="003179A4">
            <w:pPr>
              <w:keepNext/>
              <w:spacing w:line="240" w:lineRule="auto"/>
              <w:rPr>
                <w:szCs w:val="22"/>
                <w:lang w:val="hr-HR"/>
              </w:rPr>
            </w:pPr>
            <w:r w:rsidRPr="00510442">
              <w:rPr>
                <w:i/>
                <w:szCs w:val="22"/>
                <w:lang w:val="hr-HR"/>
              </w:rPr>
              <w:t>Manje često:</w:t>
            </w:r>
          </w:p>
        </w:tc>
        <w:tc>
          <w:tcPr>
            <w:tcW w:w="7087" w:type="dxa"/>
          </w:tcPr>
          <w:p w14:paraId="737D61EE" w14:textId="77777777" w:rsidR="004C0C32" w:rsidRPr="00510442" w:rsidRDefault="004C0C32" w:rsidP="003179A4">
            <w:pPr>
              <w:keepNext/>
              <w:spacing w:line="240" w:lineRule="auto"/>
              <w:rPr>
                <w:szCs w:val="22"/>
                <w:lang w:val="hr-HR"/>
              </w:rPr>
            </w:pPr>
            <w:r w:rsidRPr="00510442">
              <w:rPr>
                <w:szCs w:val="22"/>
                <w:lang w:val="hr-HR"/>
              </w:rPr>
              <w:t>Palpitacije, tahikardija, kongestivno zatajenje srca</w:t>
            </w:r>
            <w:r w:rsidRPr="00510442">
              <w:rPr>
                <w:szCs w:val="22"/>
                <w:vertAlign w:val="superscript"/>
                <w:lang w:val="hr-HR"/>
              </w:rPr>
              <w:t>3</w:t>
            </w:r>
            <w:r w:rsidRPr="00510442">
              <w:rPr>
                <w:szCs w:val="22"/>
                <w:lang w:val="hr-HR"/>
              </w:rPr>
              <w:t>, plućni edem</w:t>
            </w:r>
          </w:p>
        </w:tc>
      </w:tr>
      <w:tr w:rsidR="004C0C32" w:rsidRPr="00F410C8" w14:paraId="7C28EED5" w14:textId="77777777" w:rsidTr="001730DC">
        <w:tc>
          <w:tcPr>
            <w:tcW w:w="2235" w:type="dxa"/>
          </w:tcPr>
          <w:p w14:paraId="51663EC8" w14:textId="77777777" w:rsidR="004C0C32" w:rsidRPr="00510442" w:rsidRDefault="004C0C32" w:rsidP="003179A4">
            <w:pPr>
              <w:keepNext/>
              <w:spacing w:line="240" w:lineRule="auto"/>
              <w:rPr>
                <w:szCs w:val="22"/>
                <w:lang w:val="hr-HR"/>
              </w:rPr>
            </w:pPr>
            <w:r w:rsidRPr="00510442">
              <w:rPr>
                <w:i/>
                <w:szCs w:val="22"/>
                <w:lang w:val="hr-HR"/>
              </w:rPr>
              <w:t>Rijetko:</w:t>
            </w:r>
          </w:p>
        </w:tc>
        <w:tc>
          <w:tcPr>
            <w:tcW w:w="7087" w:type="dxa"/>
          </w:tcPr>
          <w:p w14:paraId="5A835A38" w14:textId="77777777" w:rsidR="004C0C32" w:rsidRPr="00510442" w:rsidRDefault="004C0C32" w:rsidP="003179A4">
            <w:pPr>
              <w:keepNext/>
              <w:spacing w:line="240" w:lineRule="auto"/>
              <w:rPr>
                <w:szCs w:val="22"/>
                <w:lang w:val="hr-HR"/>
              </w:rPr>
            </w:pPr>
            <w:r w:rsidRPr="00510442">
              <w:rPr>
                <w:szCs w:val="22"/>
                <w:lang w:val="hr-HR"/>
              </w:rPr>
              <w:t>Aritmija, fibrilacija atrija, srčani zastoj, infarkt miokarda, angina pektoris, perikardijalna efuzija</w:t>
            </w:r>
          </w:p>
        </w:tc>
      </w:tr>
      <w:tr w:rsidR="004A31E8" w:rsidRPr="00510442" w14:paraId="2DFE00DF" w14:textId="77777777" w:rsidTr="00236ED5">
        <w:tc>
          <w:tcPr>
            <w:tcW w:w="2235" w:type="dxa"/>
          </w:tcPr>
          <w:p w14:paraId="495F4F13" w14:textId="77777777" w:rsidR="004A31E8" w:rsidRPr="00510442" w:rsidRDefault="004A31E8" w:rsidP="00236ED5">
            <w:pPr>
              <w:widowControl w:val="0"/>
              <w:rPr>
                <w:i/>
                <w:color w:val="000000"/>
                <w:szCs w:val="22"/>
                <w:lang w:val="hr-HR"/>
              </w:rPr>
            </w:pPr>
            <w:r w:rsidRPr="00510442">
              <w:rPr>
                <w:i/>
                <w:color w:val="000000"/>
                <w:szCs w:val="22"/>
                <w:lang w:val="hr-HR"/>
              </w:rPr>
              <w:t>Nepoznato:</w:t>
            </w:r>
          </w:p>
        </w:tc>
        <w:tc>
          <w:tcPr>
            <w:tcW w:w="7087" w:type="dxa"/>
          </w:tcPr>
          <w:p w14:paraId="686962BE" w14:textId="77777777" w:rsidR="004A31E8" w:rsidRPr="00510442" w:rsidRDefault="004A31E8" w:rsidP="00236ED5">
            <w:pPr>
              <w:widowControl w:val="0"/>
              <w:rPr>
                <w:color w:val="000000"/>
                <w:szCs w:val="22"/>
                <w:lang w:val="hr-HR"/>
              </w:rPr>
            </w:pPr>
            <w:r w:rsidRPr="00307897">
              <w:rPr>
                <w:color w:val="000000"/>
                <w:szCs w:val="22"/>
                <w:lang w:val="hr-HR"/>
              </w:rPr>
              <w:t>Perikarditis</w:t>
            </w:r>
            <w:r w:rsidRPr="00510442">
              <w:rPr>
                <w:color w:val="000000"/>
                <w:szCs w:val="22"/>
                <w:lang w:val="hr-HR"/>
              </w:rPr>
              <w:t>*</w:t>
            </w:r>
            <w:r w:rsidRPr="00307897">
              <w:rPr>
                <w:color w:val="000000"/>
                <w:szCs w:val="22"/>
                <w:lang w:val="hr-HR"/>
              </w:rPr>
              <w:t>, tamponada srca</w:t>
            </w:r>
            <w:r w:rsidRPr="00510442">
              <w:rPr>
                <w:color w:val="000000"/>
                <w:szCs w:val="22"/>
                <w:lang w:val="hr-HR"/>
              </w:rPr>
              <w:t>*</w:t>
            </w:r>
          </w:p>
        </w:tc>
      </w:tr>
      <w:tr w:rsidR="000A1373" w:rsidRPr="00510442" w14:paraId="77662033" w14:textId="77777777" w:rsidTr="001730DC">
        <w:tc>
          <w:tcPr>
            <w:tcW w:w="9322" w:type="dxa"/>
            <w:gridSpan w:val="2"/>
          </w:tcPr>
          <w:p w14:paraId="0474296E" w14:textId="77777777" w:rsidR="000A1373" w:rsidRPr="00A00164" w:rsidRDefault="004C0C32" w:rsidP="003179A4">
            <w:pPr>
              <w:keepNext/>
              <w:spacing w:line="240" w:lineRule="auto"/>
              <w:rPr>
                <w:color w:val="000000"/>
                <w:szCs w:val="22"/>
                <w:lang w:val="hr-HR"/>
              </w:rPr>
            </w:pPr>
            <w:r w:rsidRPr="00307897">
              <w:rPr>
                <w:b/>
                <w:szCs w:val="22"/>
                <w:lang w:val="hr-HR"/>
              </w:rPr>
              <w:t>Krvožilni poremećaji</w:t>
            </w:r>
            <w:r w:rsidR="000A1373" w:rsidRPr="00307897">
              <w:rPr>
                <w:b/>
                <w:color w:val="000000"/>
                <w:szCs w:val="22"/>
                <w:vertAlign w:val="superscript"/>
                <w:lang w:val="hr-HR"/>
              </w:rPr>
              <w:t>4</w:t>
            </w:r>
          </w:p>
        </w:tc>
      </w:tr>
      <w:tr w:rsidR="004C0C32" w:rsidRPr="00F410C8" w14:paraId="0943317F" w14:textId="77777777" w:rsidTr="001730DC">
        <w:tc>
          <w:tcPr>
            <w:tcW w:w="2235" w:type="dxa"/>
          </w:tcPr>
          <w:p w14:paraId="23EE2A0F" w14:textId="77777777" w:rsidR="004C0C32" w:rsidRPr="00510442" w:rsidRDefault="004C0C32" w:rsidP="003179A4">
            <w:pPr>
              <w:keepNext/>
              <w:spacing w:line="240" w:lineRule="auto"/>
              <w:rPr>
                <w:i/>
                <w:szCs w:val="22"/>
                <w:lang w:val="hr-HR"/>
              </w:rPr>
            </w:pPr>
            <w:r w:rsidRPr="00510442">
              <w:rPr>
                <w:i/>
                <w:szCs w:val="22"/>
                <w:lang w:val="hr-HR"/>
              </w:rPr>
              <w:t>Često</w:t>
            </w:r>
            <w:r w:rsidRPr="00510442">
              <w:rPr>
                <w:szCs w:val="22"/>
                <w:lang w:val="hr-HR"/>
              </w:rPr>
              <w:t>:</w:t>
            </w:r>
          </w:p>
        </w:tc>
        <w:tc>
          <w:tcPr>
            <w:tcW w:w="7087" w:type="dxa"/>
          </w:tcPr>
          <w:p w14:paraId="02D039B9" w14:textId="77777777" w:rsidR="004C0C32" w:rsidRPr="00510442" w:rsidRDefault="004C0C32" w:rsidP="003179A4">
            <w:pPr>
              <w:keepNext/>
              <w:spacing w:line="240" w:lineRule="auto"/>
              <w:rPr>
                <w:szCs w:val="22"/>
                <w:lang w:val="hr-HR"/>
              </w:rPr>
            </w:pPr>
            <w:r w:rsidRPr="00510442">
              <w:rPr>
                <w:szCs w:val="22"/>
                <w:lang w:val="hr-HR"/>
              </w:rPr>
              <w:t>Crvenilo</w:t>
            </w:r>
            <w:r w:rsidR="009B3C4C" w:rsidRPr="00510442">
              <w:rPr>
                <w:szCs w:val="22"/>
                <w:lang w:val="hr-HR"/>
              </w:rPr>
              <w:t xml:space="preserve"> uz osjećaj vrućine</w:t>
            </w:r>
            <w:r w:rsidRPr="00510442">
              <w:rPr>
                <w:szCs w:val="22"/>
                <w:lang w:val="hr-HR"/>
              </w:rPr>
              <w:t>, hemoragija</w:t>
            </w:r>
          </w:p>
        </w:tc>
      </w:tr>
      <w:tr w:rsidR="004C0C32" w:rsidRPr="00F410C8" w:rsidDel="00655175" w14:paraId="2962D32A" w14:textId="77777777" w:rsidTr="001730DC">
        <w:tc>
          <w:tcPr>
            <w:tcW w:w="2235" w:type="dxa"/>
          </w:tcPr>
          <w:p w14:paraId="71CE8CF5" w14:textId="77777777" w:rsidR="004C0C32" w:rsidRPr="00510442" w:rsidDel="00655175" w:rsidRDefault="004C0C32" w:rsidP="003179A4">
            <w:pPr>
              <w:keepNext/>
              <w:spacing w:line="240" w:lineRule="auto"/>
              <w:rPr>
                <w:i/>
                <w:szCs w:val="22"/>
                <w:u w:val="single"/>
                <w:lang w:val="hr-HR"/>
              </w:rPr>
            </w:pPr>
            <w:r w:rsidRPr="00510442">
              <w:rPr>
                <w:i/>
                <w:szCs w:val="22"/>
                <w:lang w:val="hr-HR"/>
              </w:rPr>
              <w:t>Manje često:</w:t>
            </w:r>
          </w:p>
        </w:tc>
        <w:tc>
          <w:tcPr>
            <w:tcW w:w="7087" w:type="dxa"/>
          </w:tcPr>
          <w:p w14:paraId="1C029034" w14:textId="77777777" w:rsidR="004C0C32" w:rsidRPr="00510442" w:rsidDel="00655175" w:rsidRDefault="004C0C32" w:rsidP="003179A4">
            <w:pPr>
              <w:keepNext/>
              <w:spacing w:line="240" w:lineRule="auto"/>
              <w:rPr>
                <w:szCs w:val="22"/>
                <w:lang w:val="hr-HR"/>
              </w:rPr>
            </w:pPr>
            <w:r w:rsidRPr="00510442">
              <w:rPr>
                <w:szCs w:val="22"/>
                <w:lang w:val="hr-HR"/>
              </w:rPr>
              <w:t xml:space="preserve">Hipertenzija, hematom, </w:t>
            </w:r>
            <w:r w:rsidR="00AE3BDB" w:rsidRPr="00510442">
              <w:rPr>
                <w:szCs w:val="22"/>
                <w:lang w:val="hr-HR"/>
              </w:rPr>
              <w:t xml:space="preserve">subduralni hematom, </w:t>
            </w:r>
            <w:r w:rsidRPr="00510442">
              <w:rPr>
                <w:szCs w:val="22"/>
                <w:lang w:val="hr-HR"/>
              </w:rPr>
              <w:t>periferna hladnoća, hipotenzija, Raynaudov fenomen</w:t>
            </w:r>
          </w:p>
        </w:tc>
      </w:tr>
      <w:tr w:rsidR="00F56038" w:rsidRPr="00510442" w:rsidDel="00655175" w14:paraId="28E2C06A" w14:textId="77777777" w:rsidTr="00236ED5">
        <w:tc>
          <w:tcPr>
            <w:tcW w:w="2235" w:type="dxa"/>
          </w:tcPr>
          <w:p w14:paraId="4F4BB58B" w14:textId="77777777" w:rsidR="00F56038" w:rsidRPr="00510442" w:rsidRDefault="00F56038" w:rsidP="00236ED5">
            <w:pPr>
              <w:widowControl w:val="0"/>
              <w:rPr>
                <w:i/>
                <w:color w:val="000000"/>
                <w:szCs w:val="22"/>
                <w:lang w:val="hr-HR"/>
              </w:rPr>
            </w:pPr>
            <w:r w:rsidRPr="00510442">
              <w:rPr>
                <w:i/>
                <w:color w:val="000000"/>
                <w:szCs w:val="22"/>
                <w:lang w:val="hr-HR"/>
              </w:rPr>
              <w:t>Nepoznato:</w:t>
            </w:r>
          </w:p>
        </w:tc>
        <w:tc>
          <w:tcPr>
            <w:tcW w:w="7087" w:type="dxa"/>
          </w:tcPr>
          <w:p w14:paraId="268073AF" w14:textId="77777777" w:rsidR="00F56038" w:rsidRPr="00510442" w:rsidRDefault="00F56038" w:rsidP="00F56038">
            <w:pPr>
              <w:widowControl w:val="0"/>
              <w:rPr>
                <w:color w:val="000000"/>
                <w:szCs w:val="22"/>
                <w:lang w:val="hr-HR"/>
              </w:rPr>
            </w:pPr>
            <w:r w:rsidRPr="00510442">
              <w:rPr>
                <w:color w:val="000000"/>
                <w:szCs w:val="22"/>
                <w:lang w:val="hr-HR"/>
              </w:rPr>
              <w:t>Tromboza/embolija*</w:t>
            </w:r>
          </w:p>
        </w:tc>
      </w:tr>
      <w:tr w:rsidR="000A1373" w:rsidRPr="00510442" w14:paraId="78D6C40A" w14:textId="77777777" w:rsidTr="001730DC">
        <w:tc>
          <w:tcPr>
            <w:tcW w:w="9322" w:type="dxa"/>
            <w:gridSpan w:val="2"/>
          </w:tcPr>
          <w:p w14:paraId="1DFC730F" w14:textId="77777777" w:rsidR="000A1373" w:rsidRPr="00307897" w:rsidRDefault="004C0C32" w:rsidP="003179A4">
            <w:pPr>
              <w:keepNext/>
              <w:spacing w:line="240" w:lineRule="auto"/>
              <w:rPr>
                <w:color w:val="000000"/>
                <w:szCs w:val="22"/>
                <w:lang w:val="hr-HR"/>
              </w:rPr>
            </w:pPr>
            <w:r w:rsidRPr="00307897">
              <w:rPr>
                <w:b/>
                <w:szCs w:val="22"/>
                <w:lang w:val="hr-HR"/>
              </w:rPr>
              <w:lastRenderedPageBreak/>
              <w:t>Poremećaji dišnog sustava, prsišta i sredoprsja</w:t>
            </w:r>
          </w:p>
        </w:tc>
      </w:tr>
      <w:tr w:rsidR="004C0C32" w:rsidRPr="00510442" w14:paraId="0B38307A" w14:textId="77777777" w:rsidTr="001730DC">
        <w:tc>
          <w:tcPr>
            <w:tcW w:w="2235" w:type="dxa"/>
          </w:tcPr>
          <w:p w14:paraId="622B994F" w14:textId="77777777" w:rsidR="004C0C32" w:rsidRPr="00510442" w:rsidRDefault="004C0C32" w:rsidP="003179A4">
            <w:pPr>
              <w:keepNext/>
              <w:spacing w:line="240" w:lineRule="auto"/>
              <w:rPr>
                <w:szCs w:val="22"/>
                <w:lang w:val="hr-HR"/>
              </w:rPr>
            </w:pPr>
            <w:r w:rsidRPr="00510442">
              <w:rPr>
                <w:i/>
                <w:szCs w:val="22"/>
                <w:lang w:val="hr-HR"/>
              </w:rPr>
              <w:t>Često</w:t>
            </w:r>
            <w:r w:rsidRPr="00510442">
              <w:rPr>
                <w:szCs w:val="22"/>
                <w:lang w:val="hr-HR"/>
              </w:rPr>
              <w:t>:</w:t>
            </w:r>
          </w:p>
        </w:tc>
        <w:tc>
          <w:tcPr>
            <w:tcW w:w="7087" w:type="dxa"/>
          </w:tcPr>
          <w:p w14:paraId="3DA55845" w14:textId="77777777" w:rsidR="004C0C32" w:rsidRPr="00510442" w:rsidRDefault="004C0C32" w:rsidP="003179A4">
            <w:pPr>
              <w:keepNext/>
              <w:spacing w:line="240" w:lineRule="auto"/>
              <w:rPr>
                <w:szCs w:val="22"/>
                <w:lang w:val="hr-HR"/>
              </w:rPr>
            </w:pPr>
            <w:r w:rsidRPr="00510442">
              <w:rPr>
                <w:szCs w:val="22"/>
                <w:lang w:val="hr-HR"/>
              </w:rPr>
              <w:t>Dispneja, epistaksa, kašalj</w:t>
            </w:r>
          </w:p>
        </w:tc>
      </w:tr>
      <w:tr w:rsidR="004C0C32" w:rsidRPr="00F410C8" w14:paraId="528EEC9C" w14:textId="77777777" w:rsidTr="001730DC">
        <w:tc>
          <w:tcPr>
            <w:tcW w:w="2235" w:type="dxa"/>
          </w:tcPr>
          <w:p w14:paraId="05A870E5" w14:textId="77777777" w:rsidR="004C0C32" w:rsidRPr="00510442" w:rsidRDefault="004C0C32" w:rsidP="003179A4">
            <w:pPr>
              <w:keepNext/>
              <w:spacing w:line="240" w:lineRule="auto"/>
              <w:rPr>
                <w:szCs w:val="22"/>
                <w:lang w:val="hr-HR"/>
              </w:rPr>
            </w:pPr>
            <w:r w:rsidRPr="00510442">
              <w:rPr>
                <w:i/>
                <w:szCs w:val="22"/>
                <w:lang w:val="hr-HR"/>
              </w:rPr>
              <w:t>Manje često:</w:t>
            </w:r>
          </w:p>
        </w:tc>
        <w:tc>
          <w:tcPr>
            <w:tcW w:w="7087" w:type="dxa"/>
          </w:tcPr>
          <w:p w14:paraId="29FFB9FD" w14:textId="77777777" w:rsidR="004C0C32" w:rsidRPr="00510442" w:rsidRDefault="004C0C32" w:rsidP="003179A4">
            <w:pPr>
              <w:keepNext/>
              <w:spacing w:line="240" w:lineRule="auto"/>
              <w:rPr>
                <w:szCs w:val="22"/>
                <w:lang w:val="hr-HR"/>
              </w:rPr>
            </w:pPr>
            <w:r w:rsidRPr="00510442">
              <w:rPr>
                <w:szCs w:val="22"/>
                <w:lang w:val="hr-HR"/>
              </w:rPr>
              <w:t>Pleuralni izljev</w:t>
            </w:r>
            <w:r w:rsidRPr="00510442">
              <w:rPr>
                <w:szCs w:val="22"/>
                <w:vertAlign w:val="superscript"/>
                <w:lang w:val="hr-HR"/>
              </w:rPr>
              <w:t>5</w:t>
            </w:r>
            <w:r w:rsidRPr="00510442">
              <w:rPr>
                <w:szCs w:val="22"/>
                <w:lang w:val="hr-HR"/>
              </w:rPr>
              <w:t>, faringolaringealna bol, faringitis</w:t>
            </w:r>
          </w:p>
        </w:tc>
      </w:tr>
      <w:tr w:rsidR="004C0C32" w:rsidRPr="00F410C8" w14:paraId="15435681" w14:textId="77777777" w:rsidTr="001730DC">
        <w:tc>
          <w:tcPr>
            <w:tcW w:w="2235" w:type="dxa"/>
          </w:tcPr>
          <w:p w14:paraId="5018045F" w14:textId="77777777" w:rsidR="004C0C32" w:rsidRPr="00510442" w:rsidRDefault="004C0C32" w:rsidP="003179A4">
            <w:pPr>
              <w:keepNext/>
              <w:spacing w:line="240" w:lineRule="auto"/>
              <w:rPr>
                <w:szCs w:val="22"/>
                <w:lang w:val="hr-HR"/>
              </w:rPr>
            </w:pPr>
            <w:r w:rsidRPr="00510442">
              <w:rPr>
                <w:i/>
                <w:szCs w:val="22"/>
                <w:lang w:val="hr-HR"/>
              </w:rPr>
              <w:t>Rijetko:</w:t>
            </w:r>
          </w:p>
        </w:tc>
        <w:tc>
          <w:tcPr>
            <w:tcW w:w="7087" w:type="dxa"/>
          </w:tcPr>
          <w:p w14:paraId="446C9956" w14:textId="77777777" w:rsidR="004C0C32" w:rsidRPr="00510442" w:rsidRDefault="004C0C32" w:rsidP="003179A4">
            <w:pPr>
              <w:keepNext/>
              <w:spacing w:line="240" w:lineRule="auto"/>
              <w:rPr>
                <w:szCs w:val="22"/>
                <w:lang w:val="hr-HR"/>
              </w:rPr>
            </w:pPr>
            <w:r w:rsidRPr="00510442">
              <w:rPr>
                <w:szCs w:val="22"/>
                <w:lang w:val="hr-HR"/>
              </w:rPr>
              <w:t>Pleuralna bol, plućna fibroza, plućna hipertenzija, plućno krvarenje</w:t>
            </w:r>
          </w:p>
        </w:tc>
      </w:tr>
      <w:tr w:rsidR="009B6775" w:rsidRPr="00F410C8" w14:paraId="3E83B9F9" w14:textId="77777777" w:rsidTr="00236ED5">
        <w:tc>
          <w:tcPr>
            <w:tcW w:w="2235" w:type="dxa"/>
          </w:tcPr>
          <w:p w14:paraId="535A59AB" w14:textId="77777777" w:rsidR="009B6775" w:rsidRPr="00510442" w:rsidRDefault="009B6775" w:rsidP="00236ED5">
            <w:pPr>
              <w:widowControl w:val="0"/>
              <w:rPr>
                <w:i/>
                <w:color w:val="000000"/>
                <w:szCs w:val="22"/>
                <w:lang w:val="hr-HR"/>
              </w:rPr>
            </w:pPr>
            <w:r w:rsidRPr="00510442">
              <w:rPr>
                <w:i/>
                <w:color w:val="000000"/>
                <w:szCs w:val="22"/>
                <w:lang w:val="hr-HR"/>
              </w:rPr>
              <w:t>Nepoznato:</w:t>
            </w:r>
          </w:p>
        </w:tc>
        <w:tc>
          <w:tcPr>
            <w:tcW w:w="7087" w:type="dxa"/>
          </w:tcPr>
          <w:p w14:paraId="4C2EE7E9" w14:textId="77777777" w:rsidR="009B6775" w:rsidRPr="00510442" w:rsidRDefault="009B6775" w:rsidP="00D26BB8">
            <w:pPr>
              <w:widowControl w:val="0"/>
              <w:rPr>
                <w:color w:val="000000"/>
                <w:szCs w:val="22"/>
                <w:lang w:val="hr-HR"/>
              </w:rPr>
            </w:pPr>
            <w:r w:rsidRPr="00307897">
              <w:rPr>
                <w:color w:val="000000"/>
                <w:szCs w:val="22"/>
                <w:lang w:val="hr-HR"/>
              </w:rPr>
              <w:t>Akutno zatajenje disanja</w:t>
            </w:r>
            <w:r w:rsidR="00D26BB8" w:rsidRPr="00307897">
              <w:rPr>
                <w:color w:val="000000"/>
                <w:szCs w:val="22"/>
                <w:vertAlign w:val="superscript"/>
                <w:lang w:val="hr-HR"/>
              </w:rPr>
              <w:t>11</w:t>
            </w:r>
            <w:r w:rsidRPr="00510442">
              <w:rPr>
                <w:color w:val="000000"/>
                <w:szCs w:val="22"/>
                <w:lang w:val="hr-HR"/>
              </w:rPr>
              <w:t xml:space="preserve">*, </w:t>
            </w:r>
            <w:r w:rsidR="00CC2AB0" w:rsidRPr="00307897">
              <w:rPr>
                <w:color w:val="000000"/>
                <w:szCs w:val="22"/>
                <w:lang w:val="hr-HR"/>
              </w:rPr>
              <w:t>intersticijska plućna bolest</w:t>
            </w:r>
            <w:r w:rsidRPr="00510442">
              <w:rPr>
                <w:color w:val="000000"/>
                <w:szCs w:val="22"/>
                <w:lang w:val="hr-HR"/>
              </w:rPr>
              <w:t>*</w:t>
            </w:r>
          </w:p>
        </w:tc>
      </w:tr>
      <w:tr w:rsidR="000A1373" w:rsidRPr="00510442" w14:paraId="4BCDC9ED" w14:textId="77777777" w:rsidTr="001730DC">
        <w:tc>
          <w:tcPr>
            <w:tcW w:w="9322" w:type="dxa"/>
            <w:gridSpan w:val="2"/>
          </w:tcPr>
          <w:p w14:paraId="5E82679D" w14:textId="77777777" w:rsidR="000A1373" w:rsidRPr="00307897" w:rsidRDefault="004C0C32" w:rsidP="003179A4">
            <w:pPr>
              <w:keepNext/>
              <w:spacing w:line="240" w:lineRule="auto"/>
              <w:rPr>
                <w:color w:val="000000"/>
                <w:szCs w:val="22"/>
                <w:lang w:val="hr-HR"/>
              </w:rPr>
            </w:pPr>
            <w:r w:rsidRPr="00307897">
              <w:rPr>
                <w:b/>
                <w:szCs w:val="22"/>
                <w:lang w:val="hr-HR"/>
              </w:rPr>
              <w:t>Poremećaji probavnog sustava</w:t>
            </w:r>
          </w:p>
        </w:tc>
      </w:tr>
      <w:tr w:rsidR="004C0C32" w:rsidRPr="00F410C8" w14:paraId="4C5911B4" w14:textId="77777777" w:rsidTr="001730DC">
        <w:tc>
          <w:tcPr>
            <w:tcW w:w="2235" w:type="dxa"/>
          </w:tcPr>
          <w:p w14:paraId="30C86569" w14:textId="77777777" w:rsidR="004C0C32" w:rsidRPr="00510442" w:rsidRDefault="004C0C32" w:rsidP="003179A4">
            <w:pPr>
              <w:keepNext/>
              <w:spacing w:line="240" w:lineRule="auto"/>
              <w:rPr>
                <w:szCs w:val="22"/>
                <w:lang w:val="hr-HR"/>
              </w:rPr>
            </w:pPr>
            <w:r w:rsidRPr="00510442">
              <w:rPr>
                <w:i/>
                <w:szCs w:val="22"/>
                <w:lang w:val="hr-HR"/>
              </w:rPr>
              <w:t>Vrlo često:</w:t>
            </w:r>
          </w:p>
        </w:tc>
        <w:tc>
          <w:tcPr>
            <w:tcW w:w="7087" w:type="dxa"/>
          </w:tcPr>
          <w:p w14:paraId="12E73E98" w14:textId="77777777" w:rsidR="004C0C32" w:rsidRPr="00510442" w:rsidRDefault="004C0C32" w:rsidP="003179A4">
            <w:pPr>
              <w:keepNext/>
              <w:spacing w:line="240" w:lineRule="auto"/>
              <w:rPr>
                <w:szCs w:val="22"/>
                <w:lang w:val="hr-HR"/>
              </w:rPr>
            </w:pPr>
            <w:r w:rsidRPr="00510442">
              <w:rPr>
                <w:szCs w:val="22"/>
                <w:lang w:val="hr-HR"/>
              </w:rPr>
              <w:t>Mučnina, proljev, povraćanje, dispepsija, bol u trbuhu</w:t>
            </w:r>
            <w:r w:rsidRPr="00510442">
              <w:rPr>
                <w:szCs w:val="22"/>
                <w:vertAlign w:val="superscript"/>
                <w:lang w:val="hr-HR"/>
              </w:rPr>
              <w:t>6</w:t>
            </w:r>
          </w:p>
        </w:tc>
      </w:tr>
      <w:tr w:rsidR="004C0C32" w:rsidRPr="00F410C8" w14:paraId="33D66D1B" w14:textId="77777777" w:rsidTr="001730DC">
        <w:tc>
          <w:tcPr>
            <w:tcW w:w="2235" w:type="dxa"/>
          </w:tcPr>
          <w:p w14:paraId="100900FB" w14:textId="77777777" w:rsidR="004C0C32" w:rsidRPr="00510442" w:rsidRDefault="004C0C32" w:rsidP="003179A4">
            <w:pPr>
              <w:keepNext/>
              <w:spacing w:line="240" w:lineRule="auto"/>
              <w:rPr>
                <w:szCs w:val="22"/>
                <w:lang w:val="hr-HR"/>
              </w:rPr>
            </w:pPr>
            <w:r w:rsidRPr="00510442">
              <w:rPr>
                <w:i/>
                <w:szCs w:val="22"/>
                <w:lang w:val="hr-HR"/>
              </w:rPr>
              <w:t>Često</w:t>
            </w:r>
            <w:r w:rsidRPr="00510442">
              <w:rPr>
                <w:szCs w:val="22"/>
                <w:lang w:val="hr-HR"/>
              </w:rPr>
              <w:t>:</w:t>
            </w:r>
          </w:p>
        </w:tc>
        <w:tc>
          <w:tcPr>
            <w:tcW w:w="7087" w:type="dxa"/>
          </w:tcPr>
          <w:p w14:paraId="447767D0" w14:textId="77777777" w:rsidR="004C0C32" w:rsidRPr="00510442" w:rsidRDefault="004C0C32" w:rsidP="003179A4">
            <w:pPr>
              <w:keepNext/>
              <w:spacing w:line="240" w:lineRule="auto"/>
              <w:rPr>
                <w:szCs w:val="22"/>
                <w:lang w:val="hr-HR"/>
              </w:rPr>
            </w:pPr>
            <w:r w:rsidRPr="00510442">
              <w:rPr>
                <w:szCs w:val="22"/>
                <w:lang w:val="hr-HR"/>
              </w:rPr>
              <w:t>Flatulencija, abdominalna distenzija, gastroezofagealni refluks, konstipacija, suhoća usta, gastritis</w:t>
            </w:r>
          </w:p>
        </w:tc>
      </w:tr>
      <w:tr w:rsidR="004C0C32" w:rsidRPr="00F410C8" w14:paraId="48F51CB1" w14:textId="77777777" w:rsidTr="001730DC">
        <w:tc>
          <w:tcPr>
            <w:tcW w:w="2235" w:type="dxa"/>
          </w:tcPr>
          <w:p w14:paraId="442476C8" w14:textId="77777777" w:rsidR="004C0C32" w:rsidRPr="00510442" w:rsidRDefault="004C0C32" w:rsidP="003179A4">
            <w:pPr>
              <w:keepNext/>
              <w:spacing w:line="240" w:lineRule="auto"/>
              <w:rPr>
                <w:szCs w:val="22"/>
                <w:lang w:val="hr-HR"/>
              </w:rPr>
            </w:pPr>
            <w:r w:rsidRPr="00510442">
              <w:rPr>
                <w:i/>
                <w:szCs w:val="22"/>
                <w:lang w:val="hr-HR"/>
              </w:rPr>
              <w:t>Manje često:</w:t>
            </w:r>
          </w:p>
        </w:tc>
        <w:tc>
          <w:tcPr>
            <w:tcW w:w="7087" w:type="dxa"/>
          </w:tcPr>
          <w:p w14:paraId="45EDA58E" w14:textId="77777777" w:rsidR="004C0C32" w:rsidRPr="00510442" w:rsidRDefault="004C0C32" w:rsidP="003179A4">
            <w:pPr>
              <w:keepNext/>
              <w:spacing w:line="240" w:lineRule="auto"/>
              <w:rPr>
                <w:szCs w:val="22"/>
                <w:lang w:val="hr-HR"/>
              </w:rPr>
            </w:pPr>
            <w:r w:rsidRPr="00510442">
              <w:rPr>
                <w:szCs w:val="22"/>
                <w:lang w:val="hr-HR"/>
              </w:rPr>
              <w:t>Stomatitis, ulceracija u ustima, gastrointestinalno krvarenje</w:t>
            </w:r>
            <w:r w:rsidRPr="00510442">
              <w:rPr>
                <w:szCs w:val="22"/>
                <w:vertAlign w:val="superscript"/>
                <w:lang w:val="hr-HR"/>
              </w:rPr>
              <w:t>7</w:t>
            </w:r>
            <w:r w:rsidRPr="00510442">
              <w:rPr>
                <w:szCs w:val="22"/>
                <w:lang w:val="hr-HR"/>
              </w:rPr>
              <w:t>, podrigivanje, melena, ezofagitis, ascites, želučani ulkus, hematemeza, heilitis, disfagija, pankreatitis</w:t>
            </w:r>
          </w:p>
        </w:tc>
      </w:tr>
      <w:tr w:rsidR="004C0C32" w:rsidRPr="00F410C8" w14:paraId="4909ABA8" w14:textId="77777777" w:rsidTr="001730DC">
        <w:tc>
          <w:tcPr>
            <w:tcW w:w="2235" w:type="dxa"/>
          </w:tcPr>
          <w:p w14:paraId="7E5A7F8C" w14:textId="77777777" w:rsidR="004C0C32" w:rsidRPr="00510442" w:rsidRDefault="004C0C32" w:rsidP="003179A4">
            <w:pPr>
              <w:keepNext/>
              <w:spacing w:line="240" w:lineRule="auto"/>
              <w:rPr>
                <w:szCs w:val="22"/>
                <w:lang w:val="hr-HR"/>
              </w:rPr>
            </w:pPr>
            <w:r w:rsidRPr="00510442">
              <w:rPr>
                <w:i/>
                <w:szCs w:val="22"/>
                <w:lang w:val="hr-HR"/>
              </w:rPr>
              <w:t>Rijetko:</w:t>
            </w:r>
          </w:p>
        </w:tc>
        <w:tc>
          <w:tcPr>
            <w:tcW w:w="7087" w:type="dxa"/>
          </w:tcPr>
          <w:p w14:paraId="70DC2879" w14:textId="77777777" w:rsidR="004C0C32" w:rsidRPr="00510442" w:rsidRDefault="004C0C32" w:rsidP="003179A4">
            <w:pPr>
              <w:keepNext/>
              <w:spacing w:line="240" w:lineRule="auto"/>
              <w:rPr>
                <w:snapToGrid w:val="0"/>
                <w:szCs w:val="22"/>
                <w:lang w:val="hr-HR"/>
              </w:rPr>
            </w:pPr>
            <w:r w:rsidRPr="00510442">
              <w:rPr>
                <w:szCs w:val="22"/>
                <w:lang w:val="hr-HR"/>
              </w:rPr>
              <w:t xml:space="preserve">Kolitis, </w:t>
            </w:r>
            <w:r w:rsidRPr="00510442">
              <w:rPr>
                <w:snapToGrid w:val="0"/>
                <w:szCs w:val="22"/>
                <w:lang w:val="hr-HR"/>
              </w:rPr>
              <w:t>ileus, upalna bolest crijeva</w:t>
            </w:r>
          </w:p>
        </w:tc>
      </w:tr>
      <w:tr w:rsidR="00A422F6" w:rsidRPr="00F410C8" w14:paraId="2C554459" w14:textId="77777777" w:rsidTr="00236ED5">
        <w:tc>
          <w:tcPr>
            <w:tcW w:w="2235" w:type="dxa"/>
          </w:tcPr>
          <w:p w14:paraId="130B360F" w14:textId="77777777" w:rsidR="00A422F6" w:rsidRPr="00510442" w:rsidRDefault="00A422F6" w:rsidP="00236ED5">
            <w:pPr>
              <w:widowControl w:val="0"/>
              <w:rPr>
                <w:i/>
                <w:color w:val="000000"/>
                <w:szCs w:val="22"/>
                <w:lang w:val="hr-HR"/>
              </w:rPr>
            </w:pPr>
            <w:r w:rsidRPr="00510442">
              <w:rPr>
                <w:i/>
                <w:color w:val="000000"/>
                <w:szCs w:val="22"/>
                <w:lang w:val="hr-HR"/>
              </w:rPr>
              <w:t>Nepoznato:</w:t>
            </w:r>
          </w:p>
        </w:tc>
        <w:tc>
          <w:tcPr>
            <w:tcW w:w="7087" w:type="dxa"/>
          </w:tcPr>
          <w:p w14:paraId="302591C0" w14:textId="77777777" w:rsidR="00A422F6" w:rsidRPr="00510442" w:rsidRDefault="00A422F6" w:rsidP="00A422F6">
            <w:pPr>
              <w:widowControl w:val="0"/>
              <w:rPr>
                <w:color w:val="000000"/>
                <w:szCs w:val="22"/>
                <w:lang w:val="hr-HR"/>
              </w:rPr>
            </w:pPr>
            <w:r w:rsidRPr="00510442">
              <w:rPr>
                <w:color w:val="000000"/>
                <w:szCs w:val="22"/>
                <w:lang w:val="hr-HR"/>
              </w:rPr>
              <w:t>Ileus/intestinalna opstrukcija</w:t>
            </w:r>
            <w:r w:rsidR="00A43561" w:rsidRPr="00510442">
              <w:rPr>
                <w:color w:val="000000"/>
                <w:szCs w:val="22"/>
                <w:lang w:val="hr-HR"/>
              </w:rPr>
              <w:t>*</w:t>
            </w:r>
            <w:r w:rsidRPr="00510442">
              <w:rPr>
                <w:color w:val="000000"/>
                <w:szCs w:val="22"/>
                <w:lang w:val="hr-HR"/>
              </w:rPr>
              <w:t>, gastrointestinalna perforacija*</w:t>
            </w:r>
            <w:r w:rsidRPr="00510442">
              <w:rPr>
                <w:snapToGrid w:val="0"/>
                <w:color w:val="000000"/>
                <w:szCs w:val="22"/>
                <w:lang w:val="hr-HR"/>
              </w:rPr>
              <w:t>, divertikulitis*, gastrična antralna vaskularna ektazija (GAVE)*</w:t>
            </w:r>
          </w:p>
        </w:tc>
      </w:tr>
      <w:tr w:rsidR="000A1373" w:rsidRPr="00510442" w14:paraId="53C0AA75" w14:textId="77777777" w:rsidTr="001730DC">
        <w:tc>
          <w:tcPr>
            <w:tcW w:w="9322" w:type="dxa"/>
            <w:gridSpan w:val="2"/>
          </w:tcPr>
          <w:p w14:paraId="5E2BDCC0" w14:textId="77777777" w:rsidR="000A1373" w:rsidRPr="00510442" w:rsidRDefault="004C0C32" w:rsidP="003179A4">
            <w:pPr>
              <w:keepNext/>
              <w:spacing w:line="240" w:lineRule="auto"/>
              <w:rPr>
                <w:snapToGrid w:val="0"/>
                <w:color w:val="000000"/>
                <w:szCs w:val="22"/>
                <w:lang w:val="hr-HR"/>
              </w:rPr>
            </w:pPr>
            <w:r w:rsidRPr="00510442">
              <w:rPr>
                <w:b/>
                <w:szCs w:val="22"/>
                <w:lang w:val="hr-HR"/>
              </w:rPr>
              <w:t>Poremećaji jetre i žu</w:t>
            </w:r>
            <w:r w:rsidR="00BB3A65" w:rsidRPr="00510442">
              <w:rPr>
                <w:b/>
                <w:szCs w:val="22"/>
                <w:lang w:val="hr-HR"/>
              </w:rPr>
              <w:t>č</w:t>
            </w:r>
            <w:r w:rsidRPr="00510442">
              <w:rPr>
                <w:b/>
                <w:szCs w:val="22"/>
                <w:lang w:val="hr-HR"/>
              </w:rPr>
              <w:t>i</w:t>
            </w:r>
          </w:p>
        </w:tc>
      </w:tr>
      <w:tr w:rsidR="004C0C32" w:rsidRPr="00510442" w14:paraId="56440117" w14:textId="77777777" w:rsidTr="001730DC">
        <w:tc>
          <w:tcPr>
            <w:tcW w:w="2235" w:type="dxa"/>
          </w:tcPr>
          <w:p w14:paraId="21583C3F" w14:textId="77777777" w:rsidR="004C0C32" w:rsidRPr="00510442" w:rsidRDefault="004C0C32" w:rsidP="003179A4">
            <w:pPr>
              <w:keepNext/>
              <w:spacing w:line="240" w:lineRule="auto"/>
              <w:rPr>
                <w:i/>
                <w:szCs w:val="22"/>
                <w:lang w:val="hr-HR"/>
              </w:rPr>
            </w:pPr>
            <w:r w:rsidRPr="00510442">
              <w:rPr>
                <w:i/>
                <w:szCs w:val="22"/>
                <w:lang w:val="hr-HR"/>
              </w:rPr>
              <w:t>Često</w:t>
            </w:r>
            <w:r w:rsidRPr="00510442">
              <w:rPr>
                <w:szCs w:val="22"/>
                <w:lang w:val="hr-HR"/>
              </w:rPr>
              <w:t>:</w:t>
            </w:r>
          </w:p>
        </w:tc>
        <w:tc>
          <w:tcPr>
            <w:tcW w:w="7087" w:type="dxa"/>
          </w:tcPr>
          <w:p w14:paraId="510C0C63" w14:textId="77777777" w:rsidR="004C0C32" w:rsidRPr="00510442" w:rsidRDefault="004C0C32" w:rsidP="003179A4">
            <w:pPr>
              <w:keepNext/>
              <w:spacing w:line="240" w:lineRule="auto"/>
              <w:rPr>
                <w:szCs w:val="22"/>
                <w:lang w:val="hr-HR"/>
              </w:rPr>
            </w:pPr>
            <w:r w:rsidRPr="00510442">
              <w:rPr>
                <w:szCs w:val="22"/>
                <w:lang w:val="hr-HR"/>
              </w:rPr>
              <w:t>Povišeni jetreni enzimi</w:t>
            </w:r>
          </w:p>
        </w:tc>
      </w:tr>
      <w:tr w:rsidR="004C0C32" w:rsidRPr="00510442" w14:paraId="39E399A1" w14:textId="77777777" w:rsidTr="001730DC">
        <w:tc>
          <w:tcPr>
            <w:tcW w:w="2235" w:type="dxa"/>
          </w:tcPr>
          <w:p w14:paraId="09EAA201" w14:textId="77777777" w:rsidR="004C0C32" w:rsidRPr="00510442" w:rsidRDefault="004C0C32" w:rsidP="003179A4">
            <w:pPr>
              <w:keepNext/>
              <w:spacing w:line="240" w:lineRule="auto"/>
              <w:rPr>
                <w:i/>
                <w:szCs w:val="22"/>
                <w:lang w:val="hr-HR"/>
              </w:rPr>
            </w:pPr>
            <w:r w:rsidRPr="00510442">
              <w:rPr>
                <w:i/>
                <w:szCs w:val="22"/>
                <w:lang w:val="hr-HR"/>
              </w:rPr>
              <w:t>Manje često:</w:t>
            </w:r>
          </w:p>
        </w:tc>
        <w:tc>
          <w:tcPr>
            <w:tcW w:w="7087" w:type="dxa"/>
          </w:tcPr>
          <w:p w14:paraId="0955C141" w14:textId="77777777" w:rsidR="004C0C32" w:rsidRPr="00510442" w:rsidRDefault="004C0C32" w:rsidP="003179A4">
            <w:pPr>
              <w:keepNext/>
              <w:spacing w:line="240" w:lineRule="auto"/>
              <w:rPr>
                <w:szCs w:val="22"/>
                <w:lang w:val="hr-HR"/>
              </w:rPr>
            </w:pPr>
            <w:r w:rsidRPr="00510442">
              <w:rPr>
                <w:szCs w:val="22"/>
                <w:lang w:val="hr-HR"/>
              </w:rPr>
              <w:t>Hiperbilirubinemija, hepatitis, žutica</w:t>
            </w:r>
          </w:p>
        </w:tc>
      </w:tr>
      <w:tr w:rsidR="004C0C32" w:rsidRPr="00510442" w14:paraId="6B7E3959" w14:textId="77777777" w:rsidTr="001730DC">
        <w:tc>
          <w:tcPr>
            <w:tcW w:w="2235" w:type="dxa"/>
          </w:tcPr>
          <w:p w14:paraId="6B89861C" w14:textId="77777777" w:rsidR="004C0C32" w:rsidRPr="00510442" w:rsidRDefault="004C0C32" w:rsidP="009B5630">
            <w:pPr>
              <w:spacing w:line="240" w:lineRule="auto"/>
              <w:rPr>
                <w:i/>
                <w:szCs w:val="22"/>
                <w:lang w:val="hr-HR"/>
              </w:rPr>
            </w:pPr>
            <w:r w:rsidRPr="00510442">
              <w:rPr>
                <w:i/>
                <w:szCs w:val="22"/>
                <w:lang w:val="hr-HR"/>
              </w:rPr>
              <w:t>Rijetko:</w:t>
            </w:r>
          </w:p>
        </w:tc>
        <w:tc>
          <w:tcPr>
            <w:tcW w:w="7087" w:type="dxa"/>
          </w:tcPr>
          <w:p w14:paraId="15EACB19" w14:textId="77777777" w:rsidR="004C0C32" w:rsidRPr="00510442" w:rsidRDefault="004C0C32" w:rsidP="009B5630">
            <w:pPr>
              <w:spacing w:line="240" w:lineRule="auto"/>
              <w:rPr>
                <w:szCs w:val="22"/>
                <w:lang w:val="hr-HR"/>
              </w:rPr>
            </w:pPr>
            <w:r w:rsidRPr="00510442">
              <w:rPr>
                <w:szCs w:val="22"/>
                <w:lang w:val="hr-HR"/>
              </w:rPr>
              <w:t>Zatajenje jetre</w:t>
            </w:r>
            <w:r w:rsidRPr="00510442">
              <w:rPr>
                <w:szCs w:val="22"/>
                <w:vertAlign w:val="superscript"/>
                <w:lang w:val="hr-HR"/>
              </w:rPr>
              <w:t>8</w:t>
            </w:r>
            <w:r w:rsidRPr="00510442">
              <w:rPr>
                <w:szCs w:val="22"/>
                <w:lang w:val="hr-HR"/>
              </w:rPr>
              <w:t>, nekroza jetre</w:t>
            </w:r>
          </w:p>
        </w:tc>
      </w:tr>
      <w:tr w:rsidR="000A1373" w:rsidRPr="00510442" w14:paraId="77CC0DED" w14:textId="77777777" w:rsidTr="001730DC">
        <w:tc>
          <w:tcPr>
            <w:tcW w:w="9322" w:type="dxa"/>
            <w:gridSpan w:val="2"/>
          </w:tcPr>
          <w:p w14:paraId="646AFF2B" w14:textId="77777777" w:rsidR="000A1373" w:rsidRPr="00510442" w:rsidRDefault="004C0C32" w:rsidP="003179A4">
            <w:pPr>
              <w:keepNext/>
              <w:spacing w:line="240" w:lineRule="auto"/>
              <w:rPr>
                <w:color w:val="000000"/>
                <w:szCs w:val="22"/>
                <w:lang w:val="hr-HR"/>
              </w:rPr>
            </w:pPr>
            <w:r w:rsidRPr="00510442">
              <w:rPr>
                <w:b/>
                <w:szCs w:val="22"/>
                <w:lang w:val="hr-HR"/>
              </w:rPr>
              <w:t>Poremećaji kože i potkožnog tkiva</w:t>
            </w:r>
          </w:p>
        </w:tc>
      </w:tr>
      <w:tr w:rsidR="004C0C32" w:rsidRPr="00F410C8" w14:paraId="7BF068CE" w14:textId="77777777" w:rsidTr="001730DC">
        <w:tc>
          <w:tcPr>
            <w:tcW w:w="2235" w:type="dxa"/>
          </w:tcPr>
          <w:p w14:paraId="6A3F4038" w14:textId="77777777" w:rsidR="004C0C32" w:rsidRPr="00510442" w:rsidRDefault="004C0C32" w:rsidP="003179A4">
            <w:pPr>
              <w:keepNext/>
              <w:spacing w:line="240" w:lineRule="auto"/>
              <w:rPr>
                <w:szCs w:val="22"/>
                <w:lang w:val="hr-HR"/>
              </w:rPr>
            </w:pPr>
            <w:r w:rsidRPr="00510442">
              <w:rPr>
                <w:i/>
                <w:szCs w:val="22"/>
                <w:lang w:val="hr-HR"/>
              </w:rPr>
              <w:t>Vrlo često:</w:t>
            </w:r>
          </w:p>
        </w:tc>
        <w:tc>
          <w:tcPr>
            <w:tcW w:w="7087" w:type="dxa"/>
          </w:tcPr>
          <w:p w14:paraId="178F9FC1" w14:textId="77777777" w:rsidR="004C0C32" w:rsidRPr="00510442" w:rsidRDefault="004C0C32" w:rsidP="003179A4">
            <w:pPr>
              <w:keepNext/>
              <w:spacing w:line="240" w:lineRule="auto"/>
              <w:rPr>
                <w:szCs w:val="22"/>
                <w:lang w:val="hr-HR"/>
              </w:rPr>
            </w:pPr>
            <w:r w:rsidRPr="00510442">
              <w:rPr>
                <w:szCs w:val="22"/>
                <w:lang w:val="hr-HR"/>
              </w:rPr>
              <w:t>Periorbitalni edem, dermatitis/ekcem/osip</w:t>
            </w:r>
          </w:p>
        </w:tc>
      </w:tr>
      <w:tr w:rsidR="004C0C32" w:rsidRPr="00F410C8" w14:paraId="771B013F" w14:textId="77777777" w:rsidTr="001730DC">
        <w:tc>
          <w:tcPr>
            <w:tcW w:w="2235" w:type="dxa"/>
          </w:tcPr>
          <w:p w14:paraId="50F1A1CB" w14:textId="77777777" w:rsidR="004C0C32" w:rsidRPr="00510442" w:rsidRDefault="004C0C32" w:rsidP="003179A4">
            <w:pPr>
              <w:keepNext/>
              <w:spacing w:line="240" w:lineRule="auto"/>
              <w:rPr>
                <w:szCs w:val="22"/>
                <w:lang w:val="hr-HR"/>
              </w:rPr>
            </w:pPr>
            <w:r w:rsidRPr="00510442">
              <w:rPr>
                <w:i/>
                <w:szCs w:val="22"/>
                <w:lang w:val="hr-HR"/>
              </w:rPr>
              <w:t>Često</w:t>
            </w:r>
            <w:r w:rsidRPr="00510442">
              <w:rPr>
                <w:szCs w:val="22"/>
                <w:lang w:val="hr-HR"/>
              </w:rPr>
              <w:t>:</w:t>
            </w:r>
          </w:p>
        </w:tc>
        <w:tc>
          <w:tcPr>
            <w:tcW w:w="7087" w:type="dxa"/>
          </w:tcPr>
          <w:p w14:paraId="60D8C56E" w14:textId="77777777" w:rsidR="004C0C32" w:rsidRPr="00510442" w:rsidRDefault="004C0C32" w:rsidP="003179A4">
            <w:pPr>
              <w:keepNext/>
              <w:spacing w:line="240" w:lineRule="auto"/>
              <w:rPr>
                <w:szCs w:val="22"/>
                <w:lang w:val="hr-HR"/>
              </w:rPr>
            </w:pPr>
            <w:r w:rsidRPr="00510442">
              <w:rPr>
                <w:szCs w:val="22"/>
                <w:lang w:val="hr-HR"/>
              </w:rPr>
              <w:t>Svrbež, edem lica, suhoća kože, eritem, alopecija, noćno znojenje, reakcija preosjetljivosti na svjetlo</w:t>
            </w:r>
          </w:p>
        </w:tc>
      </w:tr>
      <w:tr w:rsidR="004C0C32" w:rsidRPr="00F410C8" w14:paraId="11385D0E" w14:textId="77777777" w:rsidTr="001730DC">
        <w:tc>
          <w:tcPr>
            <w:tcW w:w="2235" w:type="dxa"/>
          </w:tcPr>
          <w:p w14:paraId="620BCA7E" w14:textId="77777777" w:rsidR="004C0C32" w:rsidRPr="00510442" w:rsidRDefault="004C0C32" w:rsidP="003179A4">
            <w:pPr>
              <w:keepNext/>
              <w:spacing w:line="240" w:lineRule="auto"/>
              <w:rPr>
                <w:szCs w:val="22"/>
                <w:lang w:val="hr-HR"/>
              </w:rPr>
            </w:pPr>
            <w:r w:rsidRPr="00510442">
              <w:rPr>
                <w:i/>
                <w:szCs w:val="22"/>
                <w:lang w:val="hr-HR"/>
              </w:rPr>
              <w:t>Manje često:</w:t>
            </w:r>
          </w:p>
        </w:tc>
        <w:tc>
          <w:tcPr>
            <w:tcW w:w="7087" w:type="dxa"/>
          </w:tcPr>
          <w:p w14:paraId="7964204F" w14:textId="77777777" w:rsidR="004C0C32" w:rsidRPr="00510442" w:rsidRDefault="004C0C32" w:rsidP="003179A4">
            <w:pPr>
              <w:keepNext/>
              <w:spacing w:line="240" w:lineRule="auto"/>
              <w:rPr>
                <w:szCs w:val="22"/>
                <w:lang w:val="hr-HR"/>
              </w:rPr>
            </w:pPr>
            <w:r w:rsidRPr="00510442">
              <w:rPr>
                <w:szCs w:val="22"/>
                <w:lang w:val="hr-HR"/>
              </w:rPr>
              <w:t>Pustularni osip, kontuzije, pojačano znojenje, urtikarija, ekhimoza, povećana sklonost modricama, hipotrihoza, hipopigmentacija kože, eksfolijativni dermatitis, onihoklazija, folikulitis, petehije, psorijaza, purpura, hiperpigmentacija kože, bulozne erupcije</w:t>
            </w:r>
          </w:p>
        </w:tc>
      </w:tr>
      <w:tr w:rsidR="004C0C32" w:rsidRPr="00F410C8" w14:paraId="0845C3F1" w14:textId="77777777" w:rsidTr="001730DC">
        <w:tc>
          <w:tcPr>
            <w:tcW w:w="2235" w:type="dxa"/>
          </w:tcPr>
          <w:p w14:paraId="3A569A5C" w14:textId="77777777" w:rsidR="004C0C32" w:rsidRPr="00510442" w:rsidRDefault="004C0C32" w:rsidP="003179A4">
            <w:pPr>
              <w:keepNext/>
              <w:spacing w:line="240" w:lineRule="auto"/>
              <w:rPr>
                <w:szCs w:val="22"/>
                <w:lang w:val="hr-HR"/>
              </w:rPr>
            </w:pPr>
            <w:r w:rsidRPr="00510442">
              <w:rPr>
                <w:i/>
                <w:szCs w:val="22"/>
                <w:lang w:val="hr-HR"/>
              </w:rPr>
              <w:t>Rijetko:</w:t>
            </w:r>
          </w:p>
        </w:tc>
        <w:tc>
          <w:tcPr>
            <w:tcW w:w="7087" w:type="dxa"/>
          </w:tcPr>
          <w:p w14:paraId="276C7EB6" w14:textId="77777777" w:rsidR="004C0C32" w:rsidRPr="00510442" w:rsidRDefault="004C0C32" w:rsidP="003179A4">
            <w:pPr>
              <w:keepNext/>
              <w:spacing w:line="240" w:lineRule="auto"/>
              <w:rPr>
                <w:szCs w:val="22"/>
                <w:lang w:val="hr-HR"/>
              </w:rPr>
            </w:pPr>
            <w:r w:rsidRPr="00510442">
              <w:rPr>
                <w:szCs w:val="22"/>
                <w:lang w:val="hr-HR"/>
              </w:rPr>
              <w:t xml:space="preserve">Akutna febrilna neutrofilna dermatoza (Sweetov sindrom), promjena boje nokta, angioedem, </w:t>
            </w:r>
            <w:r w:rsidR="00E710A0" w:rsidRPr="00510442">
              <w:rPr>
                <w:szCs w:val="22"/>
                <w:lang w:val="hr-HR"/>
              </w:rPr>
              <w:t xml:space="preserve">vezikularni </w:t>
            </w:r>
            <w:r w:rsidRPr="00510442">
              <w:rPr>
                <w:szCs w:val="22"/>
                <w:lang w:val="hr-HR"/>
              </w:rPr>
              <w:t>osip, multiformni eritem, leukocitoklastični vaskulitis, Stevens-Johnsonov sindrom, akutna generalizirana egzantematozna pustuloza (AGEP)</w:t>
            </w:r>
          </w:p>
        </w:tc>
      </w:tr>
      <w:tr w:rsidR="00A422F6" w:rsidRPr="00F410C8" w14:paraId="46CAE567" w14:textId="77777777" w:rsidTr="00236ED5">
        <w:tc>
          <w:tcPr>
            <w:tcW w:w="2235" w:type="dxa"/>
          </w:tcPr>
          <w:p w14:paraId="777AB463" w14:textId="77777777" w:rsidR="00A422F6" w:rsidRPr="00510442" w:rsidRDefault="00A422F6" w:rsidP="00236ED5">
            <w:pPr>
              <w:widowControl w:val="0"/>
              <w:rPr>
                <w:i/>
                <w:color w:val="000000"/>
                <w:szCs w:val="22"/>
                <w:lang w:val="hr-HR"/>
              </w:rPr>
            </w:pPr>
            <w:r w:rsidRPr="00510442">
              <w:rPr>
                <w:i/>
                <w:color w:val="000000"/>
                <w:szCs w:val="22"/>
                <w:lang w:val="hr-HR"/>
              </w:rPr>
              <w:t>Nepoznato:</w:t>
            </w:r>
          </w:p>
        </w:tc>
        <w:tc>
          <w:tcPr>
            <w:tcW w:w="7087" w:type="dxa"/>
          </w:tcPr>
          <w:p w14:paraId="396730E0" w14:textId="77777777" w:rsidR="00A422F6" w:rsidRPr="00510442" w:rsidRDefault="00A422F6" w:rsidP="00406F88">
            <w:pPr>
              <w:widowControl w:val="0"/>
              <w:rPr>
                <w:color w:val="000000"/>
                <w:szCs w:val="22"/>
                <w:lang w:val="hr-HR"/>
              </w:rPr>
            </w:pPr>
            <w:r w:rsidRPr="00307897">
              <w:rPr>
                <w:szCs w:val="22"/>
                <w:lang w:val="hr-HR"/>
              </w:rPr>
              <w:t>Sindrom palmoplantarne eritrodisestezije</w:t>
            </w:r>
            <w:r w:rsidRPr="00510442">
              <w:rPr>
                <w:color w:val="000000"/>
                <w:szCs w:val="22"/>
                <w:lang w:val="hr-HR"/>
              </w:rPr>
              <w:t>*, l</w:t>
            </w:r>
            <w:r w:rsidRPr="00307897">
              <w:rPr>
                <w:color w:val="000000"/>
                <w:szCs w:val="22"/>
                <w:lang w:val="hr-HR"/>
              </w:rPr>
              <w:t>ihenoidna keratoza</w:t>
            </w:r>
            <w:r w:rsidRPr="00510442">
              <w:rPr>
                <w:color w:val="000000"/>
                <w:szCs w:val="22"/>
                <w:lang w:val="hr-HR"/>
              </w:rPr>
              <w:t>*, lichen planus*, t</w:t>
            </w:r>
            <w:r w:rsidRPr="00307897">
              <w:rPr>
                <w:color w:val="000000"/>
                <w:szCs w:val="22"/>
                <w:lang w:val="hr-HR"/>
              </w:rPr>
              <w:t>oksična epidermalna nekroliza</w:t>
            </w:r>
            <w:r w:rsidRPr="00510442">
              <w:rPr>
                <w:color w:val="000000"/>
                <w:szCs w:val="22"/>
                <w:lang w:val="hr-HR"/>
              </w:rPr>
              <w:t>*, o</w:t>
            </w:r>
            <w:r w:rsidRPr="00307897">
              <w:rPr>
                <w:color w:val="000000"/>
                <w:szCs w:val="22"/>
                <w:lang w:val="hr-HR"/>
              </w:rPr>
              <w:t xml:space="preserve">sip uzrokovan lijekom s eozinofilijom i sistemskim simptomima </w:t>
            </w:r>
            <w:r w:rsidRPr="00510442">
              <w:rPr>
                <w:color w:val="000000"/>
                <w:szCs w:val="22"/>
                <w:lang w:val="hr-HR"/>
              </w:rPr>
              <w:t>(DRESS)*</w:t>
            </w:r>
            <w:r w:rsidR="00406F88" w:rsidRPr="00510442">
              <w:rPr>
                <w:color w:val="000000"/>
                <w:szCs w:val="22"/>
                <w:lang w:val="hr-HR"/>
              </w:rPr>
              <w:t>, pseudoporfirija*</w:t>
            </w:r>
          </w:p>
        </w:tc>
      </w:tr>
      <w:tr w:rsidR="000A1373" w:rsidRPr="00F410C8" w14:paraId="65638730" w14:textId="77777777" w:rsidTr="001730DC">
        <w:tc>
          <w:tcPr>
            <w:tcW w:w="9322" w:type="dxa"/>
            <w:gridSpan w:val="2"/>
          </w:tcPr>
          <w:p w14:paraId="70CF8D10" w14:textId="77777777" w:rsidR="000A1373" w:rsidRPr="00307897" w:rsidRDefault="004C0C32" w:rsidP="003179A4">
            <w:pPr>
              <w:keepNext/>
              <w:spacing w:line="240" w:lineRule="auto"/>
              <w:rPr>
                <w:color w:val="000000"/>
                <w:szCs w:val="22"/>
                <w:lang w:val="hr-HR"/>
              </w:rPr>
            </w:pPr>
            <w:r w:rsidRPr="00307897">
              <w:rPr>
                <w:b/>
                <w:szCs w:val="22"/>
                <w:lang w:val="hr-HR"/>
              </w:rPr>
              <w:t>Poremećaji mišićno-koštanog sustava i vezivnog tkiva</w:t>
            </w:r>
          </w:p>
        </w:tc>
      </w:tr>
      <w:tr w:rsidR="004C0C32" w:rsidRPr="00F410C8" w14:paraId="3B214017" w14:textId="77777777" w:rsidTr="001730DC">
        <w:tc>
          <w:tcPr>
            <w:tcW w:w="2235" w:type="dxa"/>
          </w:tcPr>
          <w:p w14:paraId="36461754" w14:textId="77777777" w:rsidR="004C0C32" w:rsidRPr="00510442" w:rsidRDefault="004C0C32" w:rsidP="003179A4">
            <w:pPr>
              <w:keepNext/>
              <w:spacing w:line="240" w:lineRule="auto"/>
              <w:rPr>
                <w:i/>
                <w:szCs w:val="22"/>
                <w:lang w:val="hr-HR"/>
              </w:rPr>
            </w:pPr>
            <w:r w:rsidRPr="00510442">
              <w:rPr>
                <w:i/>
                <w:szCs w:val="22"/>
                <w:lang w:val="hr-HR"/>
              </w:rPr>
              <w:t>Vrlo često:</w:t>
            </w:r>
          </w:p>
        </w:tc>
        <w:tc>
          <w:tcPr>
            <w:tcW w:w="7087" w:type="dxa"/>
          </w:tcPr>
          <w:p w14:paraId="39F9B1A8" w14:textId="77777777" w:rsidR="004C0C32" w:rsidRPr="00510442" w:rsidRDefault="004C0C32" w:rsidP="003179A4">
            <w:pPr>
              <w:keepNext/>
              <w:spacing w:line="240" w:lineRule="auto"/>
              <w:rPr>
                <w:szCs w:val="22"/>
                <w:lang w:val="hr-HR"/>
              </w:rPr>
            </w:pPr>
            <w:r w:rsidRPr="00510442">
              <w:rPr>
                <w:szCs w:val="22"/>
                <w:lang w:val="hr-HR"/>
              </w:rPr>
              <w:t>Spazam mišića i grčevi, mišićno-koštana bol uključujući mialgiju</w:t>
            </w:r>
            <w:r w:rsidR="00D26BB8" w:rsidRPr="00510442">
              <w:rPr>
                <w:szCs w:val="22"/>
                <w:vertAlign w:val="superscript"/>
                <w:lang w:val="hr-HR"/>
              </w:rPr>
              <w:t>9</w:t>
            </w:r>
            <w:r w:rsidRPr="00510442">
              <w:rPr>
                <w:szCs w:val="22"/>
                <w:lang w:val="hr-HR"/>
              </w:rPr>
              <w:t>, artralgiju, bol u kostima</w:t>
            </w:r>
            <w:r w:rsidR="00D26BB8" w:rsidRPr="00510442">
              <w:rPr>
                <w:szCs w:val="22"/>
                <w:vertAlign w:val="superscript"/>
                <w:lang w:val="hr-HR"/>
              </w:rPr>
              <w:t>10</w:t>
            </w:r>
          </w:p>
        </w:tc>
      </w:tr>
      <w:tr w:rsidR="004C0C32" w:rsidRPr="00510442" w14:paraId="3574616D" w14:textId="77777777" w:rsidTr="001730DC">
        <w:tc>
          <w:tcPr>
            <w:tcW w:w="2235" w:type="dxa"/>
          </w:tcPr>
          <w:p w14:paraId="05A485D4" w14:textId="77777777" w:rsidR="004C0C32" w:rsidRPr="00510442" w:rsidRDefault="004C0C32" w:rsidP="003179A4">
            <w:pPr>
              <w:keepNext/>
              <w:spacing w:line="240" w:lineRule="auto"/>
              <w:rPr>
                <w:i/>
                <w:szCs w:val="22"/>
                <w:lang w:val="hr-HR"/>
              </w:rPr>
            </w:pPr>
            <w:r w:rsidRPr="00510442">
              <w:rPr>
                <w:i/>
                <w:szCs w:val="22"/>
                <w:lang w:val="hr-HR"/>
              </w:rPr>
              <w:t>Često</w:t>
            </w:r>
            <w:r w:rsidRPr="00510442">
              <w:rPr>
                <w:szCs w:val="22"/>
                <w:lang w:val="hr-HR"/>
              </w:rPr>
              <w:t>:</w:t>
            </w:r>
          </w:p>
        </w:tc>
        <w:tc>
          <w:tcPr>
            <w:tcW w:w="7087" w:type="dxa"/>
          </w:tcPr>
          <w:p w14:paraId="13AED6D5" w14:textId="77777777" w:rsidR="004C0C32" w:rsidRPr="00510442" w:rsidRDefault="004C0C32" w:rsidP="003179A4">
            <w:pPr>
              <w:keepNext/>
              <w:spacing w:line="240" w:lineRule="auto"/>
              <w:rPr>
                <w:szCs w:val="22"/>
                <w:lang w:val="hr-HR"/>
              </w:rPr>
            </w:pPr>
            <w:r w:rsidRPr="00510442">
              <w:rPr>
                <w:szCs w:val="22"/>
                <w:lang w:val="hr-HR"/>
              </w:rPr>
              <w:t>Oticanje zglobova</w:t>
            </w:r>
          </w:p>
        </w:tc>
      </w:tr>
      <w:tr w:rsidR="004C0C32" w:rsidRPr="00510442" w14:paraId="5FAE403F" w14:textId="77777777" w:rsidTr="001730DC">
        <w:tc>
          <w:tcPr>
            <w:tcW w:w="2235" w:type="dxa"/>
          </w:tcPr>
          <w:p w14:paraId="4CCA6757" w14:textId="77777777" w:rsidR="004C0C32" w:rsidRPr="00510442" w:rsidRDefault="004C0C32" w:rsidP="003179A4">
            <w:pPr>
              <w:keepNext/>
              <w:spacing w:line="240" w:lineRule="auto"/>
              <w:rPr>
                <w:i/>
                <w:szCs w:val="22"/>
                <w:lang w:val="hr-HR"/>
              </w:rPr>
            </w:pPr>
            <w:r w:rsidRPr="00510442">
              <w:rPr>
                <w:i/>
                <w:szCs w:val="22"/>
                <w:lang w:val="hr-HR"/>
              </w:rPr>
              <w:t>Manje često:</w:t>
            </w:r>
          </w:p>
        </w:tc>
        <w:tc>
          <w:tcPr>
            <w:tcW w:w="7087" w:type="dxa"/>
          </w:tcPr>
          <w:p w14:paraId="0BEB5F28" w14:textId="77777777" w:rsidR="004C0C32" w:rsidRPr="00510442" w:rsidRDefault="004C0C32" w:rsidP="003179A4">
            <w:pPr>
              <w:keepNext/>
              <w:spacing w:line="240" w:lineRule="auto"/>
              <w:rPr>
                <w:szCs w:val="22"/>
                <w:lang w:val="hr-HR"/>
              </w:rPr>
            </w:pPr>
            <w:r w:rsidRPr="00510442">
              <w:rPr>
                <w:szCs w:val="22"/>
                <w:lang w:val="hr-HR"/>
              </w:rPr>
              <w:t>Ukočenost zglobova i mišića</w:t>
            </w:r>
          </w:p>
        </w:tc>
      </w:tr>
      <w:tr w:rsidR="004C0C32" w:rsidRPr="00F410C8" w14:paraId="055AD30F" w14:textId="77777777" w:rsidTr="001730DC">
        <w:tc>
          <w:tcPr>
            <w:tcW w:w="2235" w:type="dxa"/>
          </w:tcPr>
          <w:p w14:paraId="3AE38C00" w14:textId="77777777" w:rsidR="004C0C32" w:rsidRPr="00510442" w:rsidRDefault="004C0C32" w:rsidP="003179A4">
            <w:pPr>
              <w:keepNext/>
              <w:spacing w:line="240" w:lineRule="auto"/>
              <w:rPr>
                <w:i/>
                <w:szCs w:val="22"/>
                <w:lang w:val="hr-HR"/>
              </w:rPr>
            </w:pPr>
            <w:r w:rsidRPr="00510442">
              <w:rPr>
                <w:i/>
                <w:szCs w:val="22"/>
                <w:lang w:val="hr-HR"/>
              </w:rPr>
              <w:t>Rijetko:</w:t>
            </w:r>
          </w:p>
        </w:tc>
        <w:tc>
          <w:tcPr>
            <w:tcW w:w="7087" w:type="dxa"/>
          </w:tcPr>
          <w:p w14:paraId="467EB10B" w14:textId="77777777" w:rsidR="004C0C32" w:rsidRPr="00510442" w:rsidRDefault="004C0C32" w:rsidP="003179A4">
            <w:pPr>
              <w:keepNext/>
              <w:spacing w:line="240" w:lineRule="auto"/>
              <w:rPr>
                <w:szCs w:val="22"/>
                <w:lang w:val="hr-HR"/>
              </w:rPr>
            </w:pPr>
            <w:r w:rsidRPr="00510442">
              <w:rPr>
                <w:bCs/>
                <w:szCs w:val="22"/>
                <w:lang w:val="hr-HR"/>
              </w:rPr>
              <w:t>Slabost mišića, artritis, rabdomioliza/miopatija</w:t>
            </w:r>
          </w:p>
        </w:tc>
      </w:tr>
      <w:tr w:rsidR="00F00A4B" w:rsidRPr="00F410C8" w14:paraId="4F1A6C9C" w14:textId="77777777" w:rsidTr="00236ED5">
        <w:tc>
          <w:tcPr>
            <w:tcW w:w="2235" w:type="dxa"/>
          </w:tcPr>
          <w:p w14:paraId="085F94AF" w14:textId="77777777" w:rsidR="00F00A4B" w:rsidRPr="00510442" w:rsidRDefault="00F00A4B" w:rsidP="00236ED5">
            <w:pPr>
              <w:widowControl w:val="0"/>
              <w:rPr>
                <w:i/>
                <w:color w:val="000000"/>
                <w:szCs w:val="22"/>
                <w:lang w:val="hr-HR"/>
              </w:rPr>
            </w:pPr>
            <w:r w:rsidRPr="00510442">
              <w:rPr>
                <w:i/>
                <w:color w:val="000000"/>
                <w:szCs w:val="22"/>
                <w:lang w:val="hr-HR"/>
              </w:rPr>
              <w:t>Nepoznato:</w:t>
            </w:r>
          </w:p>
        </w:tc>
        <w:tc>
          <w:tcPr>
            <w:tcW w:w="7087" w:type="dxa"/>
          </w:tcPr>
          <w:p w14:paraId="55D7B3D2" w14:textId="77777777" w:rsidR="00F00A4B" w:rsidRPr="00510442" w:rsidRDefault="00F00A4B" w:rsidP="00236ED5">
            <w:pPr>
              <w:widowControl w:val="0"/>
              <w:rPr>
                <w:bCs/>
                <w:color w:val="000000"/>
                <w:szCs w:val="22"/>
                <w:lang w:val="hr-HR"/>
              </w:rPr>
            </w:pPr>
            <w:r w:rsidRPr="00307897">
              <w:rPr>
                <w:color w:val="000000"/>
                <w:szCs w:val="22"/>
                <w:lang w:val="hr-HR"/>
              </w:rPr>
              <w:t>Avaskularna nekroza/nekroza kuka</w:t>
            </w:r>
            <w:r w:rsidRPr="00510442">
              <w:rPr>
                <w:color w:val="000000"/>
                <w:szCs w:val="22"/>
                <w:lang w:val="hr-HR"/>
              </w:rPr>
              <w:t xml:space="preserve">*, </w:t>
            </w:r>
            <w:r w:rsidRPr="00307897">
              <w:rPr>
                <w:color w:val="000000"/>
                <w:szCs w:val="22"/>
                <w:lang w:val="hr-HR"/>
              </w:rPr>
              <w:t>zastoj u rastu kod djece</w:t>
            </w:r>
            <w:r w:rsidRPr="00510442">
              <w:rPr>
                <w:color w:val="000000"/>
                <w:szCs w:val="22"/>
                <w:lang w:val="hr-HR"/>
              </w:rPr>
              <w:t>*</w:t>
            </w:r>
          </w:p>
        </w:tc>
      </w:tr>
      <w:tr w:rsidR="000A1373" w:rsidRPr="00510442" w14:paraId="0974705C" w14:textId="77777777" w:rsidTr="001730DC">
        <w:tc>
          <w:tcPr>
            <w:tcW w:w="9322" w:type="dxa"/>
            <w:gridSpan w:val="2"/>
          </w:tcPr>
          <w:p w14:paraId="43C57709" w14:textId="77777777" w:rsidR="000A1373" w:rsidRPr="00307897" w:rsidRDefault="004C0C32" w:rsidP="003179A4">
            <w:pPr>
              <w:keepNext/>
              <w:spacing w:line="240" w:lineRule="auto"/>
              <w:rPr>
                <w:b/>
                <w:color w:val="000000"/>
                <w:szCs w:val="22"/>
                <w:u w:val="single"/>
                <w:lang w:val="hr-HR"/>
              </w:rPr>
            </w:pPr>
            <w:r w:rsidRPr="00307897">
              <w:rPr>
                <w:b/>
                <w:szCs w:val="22"/>
                <w:lang w:val="hr-HR"/>
              </w:rPr>
              <w:t>Poremećaji bubrega i mokraćnog sustava</w:t>
            </w:r>
          </w:p>
        </w:tc>
      </w:tr>
      <w:tr w:rsidR="000A1373" w:rsidRPr="00F410C8" w14:paraId="6F7EA83A" w14:textId="77777777" w:rsidTr="001730DC">
        <w:tc>
          <w:tcPr>
            <w:tcW w:w="2235" w:type="dxa"/>
          </w:tcPr>
          <w:p w14:paraId="530735F7" w14:textId="77777777" w:rsidR="000A1373" w:rsidRPr="00510442" w:rsidRDefault="004C0C32" w:rsidP="003179A4">
            <w:pPr>
              <w:keepNext/>
              <w:spacing w:line="240" w:lineRule="auto"/>
              <w:rPr>
                <w:color w:val="000000"/>
                <w:szCs w:val="22"/>
                <w:lang w:val="hr-HR"/>
              </w:rPr>
            </w:pPr>
            <w:r w:rsidRPr="00510442">
              <w:rPr>
                <w:i/>
                <w:szCs w:val="22"/>
                <w:lang w:val="hr-HR"/>
              </w:rPr>
              <w:t>Manje često</w:t>
            </w:r>
            <w:r w:rsidR="000A1373" w:rsidRPr="00510442">
              <w:rPr>
                <w:i/>
                <w:color w:val="000000"/>
                <w:szCs w:val="22"/>
                <w:lang w:val="hr-HR"/>
              </w:rPr>
              <w:t>:</w:t>
            </w:r>
          </w:p>
        </w:tc>
        <w:tc>
          <w:tcPr>
            <w:tcW w:w="7087" w:type="dxa"/>
          </w:tcPr>
          <w:p w14:paraId="56AE1594" w14:textId="77777777" w:rsidR="000A1373" w:rsidRPr="00510442" w:rsidRDefault="004C0C32" w:rsidP="003179A4">
            <w:pPr>
              <w:keepNext/>
              <w:spacing w:line="240" w:lineRule="auto"/>
              <w:rPr>
                <w:color w:val="000000"/>
                <w:szCs w:val="22"/>
                <w:lang w:val="hr-HR"/>
              </w:rPr>
            </w:pPr>
            <w:r w:rsidRPr="00510442">
              <w:rPr>
                <w:szCs w:val="22"/>
                <w:lang w:val="hr-HR"/>
              </w:rPr>
              <w:t xml:space="preserve">Bubrežna bol, hematurija, akutno zatajenje bubrega, povećana </w:t>
            </w:r>
            <w:r w:rsidR="008B3FFC" w:rsidRPr="00510442">
              <w:rPr>
                <w:szCs w:val="22"/>
                <w:lang w:val="hr-HR"/>
              </w:rPr>
              <w:t xml:space="preserve">učestalost </w:t>
            </w:r>
            <w:r w:rsidRPr="00510442">
              <w:rPr>
                <w:szCs w:val="22"/>
                <w:lang w:val="hr-HR"/>
              </w:rPr>
              <w:t>mokrenja</w:t>
            </w:r>
          </w:p>
        </w:tc>
      </w:tr>
      <w:tr w:rsidR="007C371D" w:rsidRPr="00510442" w14:paraId="22A5ED7D" w14:textId="77777777" w:rsidTr="00AF0004">
        <w:trPr>
          <w:cantSplit/>
        </w:trPr>
        <w:tc>
          <w:tcPr>
            <w:tcW w:w="2235" w:type="dxa"/>
          </w:tcPr>
          <w:p w14:paraId="6908B4A0" w14:textId="77777777" w:rsidR="007C371D" w:rsidRPr="00510442" w:rsidRDefault="007C371D" w:rsidP="00AF0004">
            <w:pPr>
              <w:widowControl w:val="0"/>
              <w:rPr>
                <w:i/>
                <w:color w:val="000000"/>
                <w:szCs w:val="22"/>
                <w:lang w:val="hr-HR"/>
              </w:rPr>
            </w:pPr>
            <w:r w:rsidRPr="00510442">
              <w:rPr>
                <w:i/>
                <w:color w:val="000000"/>
                <w:szCs w:val="22"/>
                <w:lang w:val="hr-HR"/>
              </w:rPr>
              <w:t>Nepoznato:</w:t>
            </w:r>
          </w:p>
        </w:tc>
        <w:tc>
          <w:tcPr>
            <w:tcW w:w="7087" w:type="dxa"/>
          </w:tcPr>
          <w:p w14:paraId="0E064C33" w14:textId="77777777" w:rsidR="007C371D" w:rsidRPr="00510442" w:rsidRDefault="007C371D" w:rsidP="004D0C52">
            <w:pPr>
              <w:widowControl w:val="0"/>
              <w:rPr>
                <w:color w:val="000000"/>
                <w:szCs w:val="22"/>
                <w:lang w:val="hr-HR"/>
              </w:rPr>
            </w:pPr>
            <w:r w:rsidRPr="00510442">
              <w:rPr>
                <w:color w:val="000000"/>
                <w:szCs w:val="22"/>
                <w:lang w:val="hr-HR"/>
              </w:rPr>
              <w:t>Kronično zataj</w:t>
            </w:r>
            <w:r w:rsidR="004D0C52" w:rsidRPr="00510442">
              <w:rPr>
                <w:color w:val="000000"/>
                <w:szCs w:val="22"/>
                <w:lang w:val="hr-HR"/>
              </w:rPr>
              <w:t>e</w:t>
            </w:r>
            <w:r w:rsidRPr="00510442">
              <w:rPr>
                <w:color w:val="000000"/>
                <w:szCs w:val="22"/>
                <w:lang w:val="hr-HR"/>
              </w:rPr>
              <w:t>nje bubrega</w:t>
            </w:r>
          </w:p>
        </w:tc>
      </w:tr>
      <w:tr w:rsidR="000A1373" w:rsidRPr="00510442" w14:paraId="2716E22C" w14:textId="77777777" w:rsidTr="001730DC">
        <w:tc>
          <w:tcPr>
            <w:tcW w:w="9322" w:type="dxa"/>
            <w:gridSpan w:val="2"/>
          </w:tcPr>
          <w:p w14:paraId="52948749" w14:textId="77777777" w:rsidR="000A1373" w:rsidRPr="00307897" w:rsidRDefault="004C0C32" w:rsidP="003179A4">
            <w:pPr>
              <w:keepNext/>
              <w:spacing w:line="240" w:lineRule="auto"/>
              <w:rPr>
                <w:color w:val="000000"/>
                <w:szCs w:val="22"/>
                <w:lang w:val="hr-HR"/>
              </w:rPr>
            </w:pPr>
            <w:r w:rsidRPr="00307897">
              <w:rPr>
                <w:b/>
                <w:szCs w:val="22"/>
                <w:lang w:val="hr-HR"/>
              </w:rPr>
              <w:t>Poremećaji reproduktivnog sustava i dojki</w:t>
            </w:r>
          </w:p>
        </w:tc>
      </w:tr>
      <w:tr w:rsidR="004C0C32" w:rsidRPr="00F410C8" w14:paraId="4F1CD912" w14:textId="77777777" w:rsidTr="001730DC">
        <w:tc>
          <w:tcPr>
            <w:tcW w:w="2235" w:type="dxa"/>
          </w:tcPr>
          <w:p w14:paraId="33EF85FB" w14:textId="77777777" w:rsidR="004C0C32" w:rsidRPr="00510442" w:rsidRDefault="004C0C32" w:rsidP="003179A4">
            <w:pPr>
              <w:keepNext/>
              <w:spacing w:line="240" w:lineRule="auto"/>
              <w:rPr>
                <w:i/>
                <w:szCs w:val="22"/>
                <w:lang w:val="hr-HR"/>
              </w:rPr>
            </w:pPr>
            <w:r w:rsidRPr="00510442">
              <w:rPr>
                <w:i/>
                <w:szCs w:val="22"/>
                <w:lang w:val="hr-HR"/>
              </w:rPr>
              <w:t>Manje često:</w:t>
            </w:r>
          </w:p>
        </w:tc>
        <w:tc>
          <w:tcPr>
            <w:tcW w:w="7087" w:type="dxa"/>
          </w:tcPr>
          <w:p w14:paraId="06F3B96A" w14:textId="77777777" w:rsidR="004C0C32" w:rsidRPr="00510442" w:rsidRDefault="004C0C32" w:rsidP="003179A4">
            <w:pPr>
              <w:keepNext/>
              <w:spacing w:line="240" w:lineRule="auto"/>
              <w:rPr>
                <w:szCs w:val="22"/>
                <w:lang w:val="hr-HR"/>
              </w:rPr>
            </w:pPr>
            <w:r w:rsidRPr="00510442">
              <w:rPr>
                <w:szCs w:val="22"/>
                <w:lang w:val="hr-HR"/>
              </w:rPr>
              <w:t>Ginekomastija, erektilna disfunkcija, menoragija, nepravilne mjesečnice, poremećaj seksualne funkcije, bol u bradavicama, povećanje dojki, edem skrotuma</w:t>
            </w:r>
          </w:p>
        </w:tc>
      </w:tr>
      <w:tr w:rsidR="004C0C32" w:rsidRPr="00F410C8" w14:paraId="6A10F8A4" w14:textId="77777777" w:rsidTr="001730DC">
        <w:tc>
          <w:tcPr>
            <w:tcW w:w="2235" w:type="dxa"/>
          </w:tcPr>
          <w:p w14:paraId="20C05EE8" w14:textId="77777777" w:rsidR="004C0C32" w:rsidRPr="00510442" w:rsidRDefault="004C0C32" w:rsidP="009B5630">
            <w:pPr>
              <w:spacing w:line="240" w:lineRule="auto"/>
              <w:rPr>
                <w:i/>
                <w:szCs w:val="22"/>
                <w:lang w:val="hr-HR"/>
              </w:rPr>
            </w:pPr>
            <w:r w:rsidRPr="00510442">
              <w:rPr>
                <w:i/>
                <w:szCs w:val="22"/>
                <w:lang w:val="hr-HR"/>
              </w:rPr>
              <w:t>Rijetko:</w:t>
            </w:r>
          </w:p>
        </w:tc>
        <w:tc>
          <w:tcPr>
            <w:tcW w:w="7087" w:type="dxa"/>
          </w:tcPr>
          <w:p w14:paraId="0F05BC2E" w14:textId="77777777" w:rsidR="004C0C32" w:rsidRPr="00510442" w:rsidRDefault="004C0C32" w:rsidP="009B5630">
            <w:pPr>
              <w:spacing w:line="240" w:lineRule="auto"/>
              <w:rPr>
                <w:szCs w:val="22"/>
                <w:lang w:val="hr-HR"/>
              </w:rPr>
            </w:pPr>
            <w:r w:rsidRPr="00510442">
              <w:rPr>
                <w:rStyle w:val="Emphasis"/>
                <w:b w:val="0"/>
                <w:color w:val="000000"/>
                <w:szCs w:val="22"/>
                <w:lang w:val="hr-HR"/>
              </w:rPr>
              <w:t>Hemoragična cista</w:t>
            </w:r>
            <w:r w:rsidRPr="00510442">
              <w:rPr>
                <w:color w:val="000000"/>
                <w:szCs w:val="22"/>
                <w:lang w:val="hr-HR"/>
              </w:rPr>
              <w:t xml:space="preserve"> žutog tijela</w:t>
            </w:r>
            <w:r w:rsidRPr="00510442">
              <w:rPr>
                <w:szCs w:val="22"/>
                <w:lang w:val="hr-HR"/>
              </w:rPr>
              <w:t>/hemoragična cista jajnika</w:t>
            </w:r>
          </w:p>
        </w:tc>
      </w:tr>
      <w:tr w:rsidR="000A1373" w:rsidRPr="00F410C8" w14:paraId="5E7612B6" w14:textId="77777777" w:rsidTr="001730DC">
        <w:tc>
          <w:tcPr>
            <w:tcW w:w="9322" w:type="dxa"/>
            <w:gridSpan w:val="2"/>
          </w:tcPr>
          <w:p w14:paraId="281F93CE" w14:textId="77777777" w:rsidR="000A1373" w:rsidRPr="00510442" w:rsidRDefault="004C0C32" w:rsidP="003179A4">
            <w:pPr>
              <w:keepNext/>
              <w:spacing w:line="240" w:lineRule="auto"/>
              <w:rPr>
                <w:color w:val="000000"/>
                <w:szCs w:val="22"/>
                <w:lang w:val="hr-HR"/>
              </w:rPr>
            </w:pPr>
            <w:r w:rsidRPr="00510442">
              <w:rPr>
                <w:b/>
                <w:szCs w:val="22"/>
                <w:lang w:val="hr-HR"/>
              </w:rPr>
              <w:t>Opći poremećaji i reakcije na mjestu primjene</w:t>
            </w:r>
          </w:p>
        </w:tc>
      </w:tr>
      <w:tr w:rsidR="003C3C4E" w:rsidRPr="00510442" w14:paraId="743FCEE6" w14:textId="77777777" w:rsidTr="001730DC">
        <w:tc>
          <w:tcPr>
            <w:tcW w:w="2235" w:type="dxa"/>
          </w:tcPr>
          <w:p w14:paraId="72B8B7E4" w14:textId="77777777" w:rsidR="003C3C4E" w:rsidRPr="00510442" w:rsidRDefault="003C3C4E" w:rsidP="003179A4">
            <w:pPr>
              <w:keepNext/>
              <w:spacing w:line="240" w:lineRule="auto"/>
              <w:rPr>
                <w:i/>
                <w:szCs w:val="22"/>
                <w:lang w:val="hr-HR"/>
              </w:rPr>
            </w:pPr>
            <w:r w:rsidRPr="00510442">
              <w:rPr>
                <w:i/>
                <w:szCs w:val="22"/>
                <w:lang w:val="hr-HR"/>
              </w:rPr>
              <w:t>Vrlo često:</w:t>
            </w:r>
          </w:p>
        </w:tc>
        <w:tc>
          <w:tcPr>
            <w:tcW w:w="7087" w:type="dxa"/>
          </w:tcPr>
          <w:p w14:paraId="3373959F" w14:textId="77777777" w:rsidR="003C3C4E" w:rsidRPr="00510442" w:rsidRDefault="003C3C4E" w:rsidP="003179A4">
            <w:pPr>
              <w:keepNext/>
              <w:spacing w:line="240" w:lineRule="auto"/>
              <w:rPr>
                <w:szCs w:val="22"/>
                <w:lang w:val="hr-HR"/>
              </w:rPr>
            </w:pPr>
            <w:r w:rsidRPr="00510442">
              <w:rPr>
                <w:szCs w:val="22"/>
                <w:lang w:val="hr-HR"/>
              </w:rPr>
              <w:t>Retencija tekućine i edem, umor</w:t>
            </w:r>
          </w:p>
        </w:tc>
      </w:tr>
      <w:tr w:rsidR="003C3C4E" w:rsidRPr="00F410C8" w14:paraId="02F9952A" w14:textId="77777777" w:rsidTr="001730DC">
        <w:tc>
          <w:tcPr>
            <w:tcW w:w="2235" w:type="dxa"/>
          </w:tcPr>
          <w:p w14:paraId="4EF13B19" w14:textId="77777777" w:rsidR="003C3C4E" w:rsidRPr="00510442" w:rsidRDefault="003C3C4E" w:rsidP="003179A4">
            <w:pPr>
              <w:keepNext/>
              <w:spacing w:line="240" w:lineRule="auto"/>
              <w:rPr>
                <w:i/>
                <w:szCs w:val="22"/>
                <w:lang w:val="hr-HR"/>
              </w:rPr>
            </w:pPr>
            <w:r w:rsidRPr="00510442">
              <w:rPr>
                <w:i/>
                <w:szCs w:val="22"/>
                <w:lang w:val="hr-HR"/>
              </w:rPr>
              <w:t>Često</w:t>
            </w:r>
            <w:r w:rsidRPr="00510442">
              <w:rPr>
                <w:szCs w:val="22"/>
                <w:lang w:val="hr-HR"/>
              </w:rPr>
              <w:t>:</w:t>
            </w:r>
          </w:p>
        </w:tc>
        <w:tc>
          <w:tcPr>
            <w:tcW w:w="7087" w:type="dxa"/>
          </w:tcPr>
          <w:p w14:paraId="17751D81" w14:textId="77777777" w:rsidR="003C3C4E" w:rsidRPr="00510442" w:rsidRDefault="003C3C4E" w:rsidP="003179A4">
            <w:pPr>
              <w:keepNext/>
              <w:spacing w:line="240" w:lineRule="auto"/>
              <w:rPr>
                <w:szCs w:val="22"/>
                <w:lang w:val="hr-HR"/>
              </w:rPr>
            </w:pPr>
            <w:r w:rsidRPr="00510442">
              <w:rPr>
                <w:szCs w:val="22"/>
                <w:lang w:val="hr-HR"/>
              </w:rPr>
              <w:t xml:space="preserve">Slabost, vrućica, anasarka, zimica, </w:t>
            </w:r>
            <w:r w:rsidR="00A1330E" w:rsidRPr="00510442">
              <w:rPr>
                <w:szCs w:val="22"/>
                <w:lang w:val="hr-HR"/>
              </w:rPr>
              <w:t>tresavica</w:t>
            </w:r>
          </w:p>
        </w:tc>
      </w:tr>
      <w:tr w:rsidR="003C3C4E" w:rsidRPr="00F410C8" w14:paraId="65821BA4" w14:textId="77777777" w:rsidTr="001730DC">
        <w:tc>
          <w:tcPr>
            <w:tcW w:w="2235" w:type="dxa"/>
          </w:tcPr>
          <w:p w14:paraId="3BDC21AF" w14:textId="77777777" w:rsidR="003C3C4E" w:rsidRPr="00510442" w:rsidRDefault="003C3C4E" w:rsidP="009B5630">
            <w:pPr>
              <w:spacing w:line="240" w:lineRule="auto"/>
              <w:rPr>
                <w:i/>
                <w:szCs w:val="22"/>
                <w:lang w:val="hr-HR"/>
              </w:rPr>
            </w:pPr>
            <w:r w:rsidRPr="00510442">
              <w:rPr>
                <w:i/>
                <w:szCs w:val="22"/>
                <w:lang w:val="hr-HR"/>
              </w:rPr>
              <w:t>Manje često:</w:t>
            </w:r>
          </w:p>
        </w:tc>
        <w:tc>
          <w:tcPr>
            <w:tcW w:w="7087" w:type="dxa"/>
          </w:tcPr>
          <w:p w14:paraId="0704FD9D" w14:textId="77777777" w:rsidR="003C3C4E" w:rsidRPr="00510442" w:rsidRDefault="003C3C4E" w:rsidP="006028C6">
            <w:pPr>
              <w:spacing w:line="240" w:lineRule="auto"/>
              <w:rPr>
                <w:szCs w:val="22"/>
                <w:lang w:val="hr-HR"/>
              </w:rPr>
            </w:pPr>
            <w:r w:rsidRPr="00510442">
              <w:rPr>
                <w:szCs w:val="22"/>
                <w:lang w:val="hr-HR"/>
              </w:rPr>
              <w:t>Bol u prs</w:t>
            </w:r>
            <w:r w:rsidR="006028C6" w:rsidRPr="00510442">
              <w:rPr>
                <w:szCs w:val="22"/>
                <w:lang w:val="hr-HR"/>
              </w:rPr>
              <w:t>nom košu</w:t>
            </w:r>
            <w:r w:rsidRPr="00510442">
              <w:rPr>
                <w:szCs w:val="22"/>
                <w:lang w:val="hr-HR"/>
              </w:rPr>
              <w:t xml:space="preserve">, </w:t>
            </w:r>
            <w:r w:rsidR="006028C6" w:rsidRPr="00510442">
              <w:rPr>
                <w:szCs w:val="22"/>
                <w:lang w:val="hr-HR"/>
              </w:rPr>
              <w:t>malaksalost</w:t>
            </w:r>
          </w:p>
        </w:tc>
      </w:tr>
      <w:tr w:rsidR="000A1373" w:rsidRPr="00510442" w14:paraId="7015B735" w14:textId="77777777" w:rsidTr="001730DC">
        <w:tc>
          <w:tcPr>
            <w:tcW w:w="9322" w:type="dxa"/>
            <w:gridSpan w:val="2"/>
          </w:tcPr>
          <w:p w14:paraId="4B6B57D7" w14:textId="77777777" w:rsidR="000A1373" w:rsidRPr="00510442" w:rsidRDefault="003C3C4E" w:rsidP="003179A4">
            <w:pPr>
              <w:keepNext/>
              <w:spacing w:line="240" w:lineRule="auto"/>
              <w:rPr>
                <w:color w:val="000000"/>
                <w:szCs w:val="22"/>
                <w:lang w:val="hr-HR"/>
              </w:rPr>
            </w:pPr>
            <w:r w:rsidRPr="00510442">
              <w:rPr>
                <w:b/>
                <w:color w:val="000000"/>
                <w:szCs w:val="22"/>
                <w:lang w:val="hr-HR"/>
              </w:rPr>
              <w:lastRenderedPageBreak/>
              <w:t>Pretrage</w:t>
            </w:r>
          </w:p>
        </w:tc>
      </w:tr>
      <w:tr w:rsidR="003C3C4E" w:rsidRPr="00510442" w14:paraId="1D0677FB" w14:textId="77777777" w:rsidTr="001730DC">
        <w:tc>
          <w:tcPr>
            <w:tcW w:w="2235" w:type="dxa"/>
          </w:tcPr>
          <w:p w14:paraId="0C225FDF" w14:textId="77777777" w:rsidR="003C3C4E" w:rsidRPr="00510442" w:rsidRDefault="003C3C4E" w:rsidP="003179A4">
            <w:pPr>
              <w:keepNext/>
              <w:spacing w:line="240" w:lineRule="auto"/>
              <w:rPr>
                <w:szCs w:val="22"/>
                <w:lang w:val="hr-HR"/>
              </w:rPr>
            </w:pPr>
            <w:r w:rsidRPr="00510442">
              <w:rPr>
                <w:i/>
                <w:szCs w:val="22"/>
                <w:lang w:val="hr-HR"/>
              </w:rPr>
              <w:t>Vrlo često:</w:t>
            </w:r>
          </w:p>
        </w:tc>
        <w:tc>
          <w:tcPr>
            <w:tcW w:w="7087" w:type="dxa"/>
          </w:tcPr>
          <w:p w14:paraId="1DC4ABFB" w14:textId="77777777" w:rsidR="003C3C4E" w:rsidRPr="00510442" w:rsidRDefault="003C3C4E" w:rsidP="003179A4">
            <w:pPr>
              <w:keepNext/>
              <w:spacing w:line="240" w:lineRule="auto"/>
              <w:rPr>
                <w:szCs w:val="22"/>
                <w:lang w:val="hr-HR"/>
              </w:rPr>
            </w:pPr>
            <w:r w:rsidRPr="00510442">
              <w:rPr>
                <w:szCs w:val="22"/>
                <w:lang w:val="hr-HR"/>
              </w:rPr>
              <w:t>Povećana tjelesna težina</w:t>
            </w:r>
          </w:p>
        </w:tc>
      </w:tr>
      <w:tr w:rsidR="003C3C4E" w:rsidRPr="00510442" w14:paraId="50EB3868" w14:textId="77777777" w:rsidTr="001730DC">
        <w:tc>
          <w:tcPr>
            <w:tcW w:w="2235" w:type="dxa"/>
          </w:tcPr>
          <w:p w14:paraId="1C3589B7" w14:textId="77777777" w:rsidR="003C3C4E" w:rsidRPr="00510442" w:rsidRDefault="003C3C4E" w:rsidP="003179A4">
            <w:pPr>
              <w:keepNext/>
              <w:spacing w:line="240" w:lineRule="auto"/>
              <w:rPr>
                <w:szCs w:val="22"/>
                <w:lang w:val="hr-HR"/>
              </w:rPr>
            </w:pPr>
            <w:r w:rsidRPr="00510442">
              <w:rPr>
                <w:i/>
                <w:szCs w:val="22"/>
                <w:lang w:val="hr-HR"/>
              </w:rPr>
              <w:t>Često</w:t>
            </w:r>
            <w:r w:rsidRPr="00510442">
              <w:rPr>
                <w:szCs w:val="22"/>
                <w:lang w:val="hr-HR"/>
              </w:rPr>
              <w:t>:</w:t>
            </w:r>
          </w:p>
        </w:tc>
        <w:tc>
          <w:tcPr>
            <w:tcW w:w="7087" w:type="dxa"/>
          </w:tcPr>
          <w:p w14:paraId="4CF0E76E" w14:textId="77777777" w:rsidR="003C3C4E" w:rsidRPr="00510442" w:rsidRDefault="003C3C4E" w:rsidP="003179A4">
            <w:pPr>
              <w:keepNext/>
              <w:spacing w:line="240" w:lineRule="auto"/>
              <w:rPr>
                <w:szCs w:val="22"/>
                <w:lang w:val="hr-HR"/>
              </w:rPr>
            </w:pPr>
            <w:r w:rsidRPr="00510442">
              <w:rPr>
                <w:szCs w:val="22"/>
                <w:lang w:val="hr-HR"/>
              </w:rPr>
              <w:t>Smanjena tjelesna težina</w:t>
            </w:r>
          </w:p>
        </w:tc>
      </w:tr>
      <w:tr w:rsidR="003C3C4E" w:rsidRPr="00F410C8" w14:paraId="48F990F8" w14:textId="77777777" w:rsidTr="001730DC">
        <w:tc>
          <w:tcPr>
            <w:tcW w:w="2235" w:type="dxa"/>
          </w:tcPr>
          <w:p w14:paraId="6ADFD8A0" w14:textId="77777777" w:rsidR="003C3C4E" w:rsidRPr="00510442" w:rsidRDefault="003C3C4E" w:rsidP="003179A4">
            <w:pPr>
              <w:keepNext/>
              <w:spacing w:line="240" w:lineRule="auto"/>
              <w:rPr>
                <w:szCs w:val="22"/>
                <w:lang w:val="hr-HR"/>
              </w:rPr>
            </w:pPr>
            <w:r w:rsidRPr="00510442">
              <w:rPr>
                <w:i/>
                <w:szCs w:val="22"/>
                <w:lang w:val="hr-HR"/>
              </w:rPr>
              <w:t>Manje često:</w:t>
            </w:r>
          </w:p>
        </w:tc>
        <w:tc>
          <w:tcPr>
            <w:tcW w:w="7087" w:type="dxa"/>
          </w:tcPr>
          <w:p w14:paraId="28867314" w14:textId="77777777" w:rsidR="003C3C4E" w:rsidRPr="00510442" w:rsidRDefault="003C3C4E" w:rsidP="003179A4">
            <w:pPr>
              <w:keepNext/>
              <w:spacing w:line="240" w:lineRule="auto"/>
              <w:rPr>
                <w:szCs w:val="22"/>
                <w:lang w:val="hr-HR"/>
              </w:rPr>
            </w:pPr>
            <w:r w:rsidRPr="00510442">
              <w:rPr>
                <w:szCs w:val="22"/>
                <w:lang w:val="hr-HR"/>
              </w:rPr>
              <w:t>Povišen kreatinin u krvi, povišena kreatin-fosfokinaza u krvi, povišena laktat-dehidrogenaza u krvi, povišena alkalna fosfataza u krvi</w:t>
            </w:r>
          </w:p>
        </w:tc>
      </w:tr>
      <w:tr w:rsidR="003C3C4E" w:rsidRPr="00510442" w14:paraId="682C2B2B" w14:textId="77777777" w:rsidTr="001730DC">
        <w:tc>
          <w:tcPr>
            <w:tcW w:w="2235" w:type="dxa"/>
          </w:tcPr>
          <w:p w14:paraId="293B579B" w14:textId="77777777" w:rsidR="003C3C4E" w:rsidRPr="00510442" w:rsidRDefault="003C3C4E" w:rsidP="003179A4">
            <w:pPr>
              <w:keepNext/>
              <w:spacing w:line="240" w:lineRule="auto"/>
              <w:rPr>
                <w:i/>
                <w:szCs w:val="22"/>
                <w:lang w:val="hr-HR"/>
              </w:rPr>
            </w:pPr>
            <w:r w:rsidRPr="00510442">
              <w:rPr>
                <w:i/>
                <w:szCs w:val="22"/>
                <w:lang w:val="hr-HR"/>
              </w:rPr>
              <w:t>Rijetko:</w:t>
            </w:r>
          </w:p>
        </w:tc>
        <w:tc>
          <w:tcPr>
            <w:tcW w:w="7087" w:type="dxa"/>
          </w:tcPr>
          <w:p w14:paraId="649CA328" w14:textId="77777777" w:rsidR="003C3C4E" w:rsidRPr="00510442" w:rsidRDefault="003C3C4E" w:rsidP="003179A4">
            <w:pPr>
              <w:keepNext/>
              <w:spacing w:line="240" w:lineRule="auto"/>
              <w:rPr>
                <w:szCs w:val="22"/>
                <w:lang w:val="hr-HR"/>
              </w:rPr>
            </w:pPr>
            <w:r w:rsidRPr="00510442">
              <w:rPr>
                <w:szCs w:val="22"/>
                <w:lang w:val="hr-HR"/>
              </w:rPr>
              <w:t>Povišena amilaza u krvi</w:t>
            </w:r>
          </w:p>
        </w:tc>
      </w:tr>
    </w:tbl>
    <w:p w14:paraId="0180F135" w14:textId="77777777" w:rsidR="006B1CCE" w:rsidRPr="00510442" w:rsidRDefault="006B1CCE" w:rsidP="003179A4">
      <w:pPr>
        <w:keepNext/>
        <w:keepLines/>
        <w:widowControl w:val="0"/>
        <w:spacing w:line="240" w:lineRule="auto"/>
        <w:rPr>
          <w:color w:val="000000"/>
          <w:szCs w:val="22"/>
          <w:lang w:val="hr-HR"/>
        </w:rPr>
      </w:pPr>
    </w:p>
    <w:p w14:paraId="4AB236E6" w14:textId="5349A9A6" w:rsidR="00142DE1" w:rsidRPr="00510442" w:rsidRDefault="006B1CCE" w:rsidP="003179A4">
      <w:pPr>
        <w:keepNext/>
        <w:keepLines/>
        <w:widowControl w:val="0"/>
        <w:tabs>
          <w:tab w:val="clear" w:pos="567"/>
        </w:tabs>
        <w:spacing w:line="240" w:lineRule="auto"/>
        <w:ind w:left="567" w:hanging="567"/>
        <w:rPr>
          <w:color w:val="000000"/>
          <w:szCs w:val="22"/>
          <w:lang w:val="hr-HR"/>
        </w:rPr>
      </w:pPr>
      <w:r w:rsidRPr="00510442">
        <w:rPr>
          <w:color w:val="000000"/>
          <w:szCs w:val="22"/>
          <w:lang w:val="hr-HR"/>
        </w:rPr>
        <w:t>*</w:t>
      </w:r>
      <w:r w:rsidRPr="00510442">
        <w:rPr>
          <w:color w:val="000000"/>
          <w:szCs w:val="22"/>
          <w:lang w:val="hr-HR"/>
        </w:rPr>
        <w:tab/>
      </w:r>
      <w:r w:rsidR="003071B0" w:rsidRPr="00510442">
        <w:rPr>
          <w:szCs w:val="22"/>
          <w:lang w:val="hr-HR"/>
        </w:rPr>
        <w:t>Ove</w:t>
      </w:r>
      <w:r w:rsidR="00591A68" w:rsidRPr="00510442">
        <w:rPr>
          <w:szCs w:val="22"/>
          <w:lang w:val="hr-HR"/>
        </w:rPr>
        <w:t xml:space="preserve"> vrste reakcija zabilježene su uglavnom nakon stavljanja </w:t>
      </w:r>
      <w:r w:rsidR="00512481" w:rsidRPr="00512481">
        <w:rPr>
          <w:szCs w:val="22"/>
          <w:lang w:val="hr-HR"/>
        </w:rPr>
        <w:t xml:space="preserve">lijeka </w:t>
      </w:r>
      <w:r w:rsidR="00591A68" w:rsidRPr="00510442">
        <w:rPr>
          <w:szCs w:val="22"/>
          <w:lang w:val="hr-HR"/>
        </w:rPr>
        <w:t xml:space="preserve">Glivec u promet. To uključuje spontano prijavljivanje nuspojava, kao i ozbiljne štetne događaje iz trenutno provođenih ispitivanja, proširenih pristupnih programa za bolesnike, kliničkih farmakoloških studija i eksplorativnih studija u neodobrenim indikacijama. Budući da su te reakcije zabilježene u populaciji nepoznate veličine, nije uvijek moguće pouzdano procijeniti njihovu </w:t>
      </w:r>
      <w:r w:rsidR="008746C8" w:rsidRPr="00510442">
        <w:rPr>
          <w:szCs w:val="22"/>
          <w:lang w:val="hr-HR"/>
        </w:rPr>
        <w:t xml:space="preserve">učestalost </w:t>
      </w:r>
      <w:r w:rsidR="00591A68" w:rsidRPr="00510442">
        <w:rPr>
          <w:szCs w:val="22"/>
          <w:lang w:val="hr-HR"/>
        </w:rPr>
        <w:t>ili utvrditi uzročnu povezanost s izloženošću imatinibu.</w:t>
      </w:r>
    </w:p>
    <w:p w14:paraId="31F0FBAF" w14:textId="77777777" w:rsidR="00D61994" w:rsidRPr="00510442" w:rsidRDefault="00D61994" w:rsidP="003179A4">
      <w:pPr>
        <w:keepNext/>
        <w:keepLines/>
        <w:widowControl w:val="0"/>
        <w:tabs>
          <w:tab w:val="clear" w:pos="567"/>
        </w:tabs>
        <w:spacing w:line="240" w:lineRule="auto"/>
        <w:ind w:left="567" w:hanging="567"/>
        <w:rPr>
          <w:color w:val="000000"/>
          <w:szCs w:val="22"/>
          <w:lang w:val="hr-HR"/>
        </w:rPr>
      </w:pPr>
      <w:r w:rsidRPr="00510442">
        <w:rPr>
          <w:color w:val="000000"/>
          <w:szCs w:val="22"/>
          <w:lang w:val="hr-HR"/>
        </w:rPr>
        <w:t>1</w:t>
      </w:r>
      <w:r w:rsidRPr="00510442">
        <w:rPr>
          <w:color w:val="000000"/>
          <w:szCs w:val="22"/>
          <w:lang w:val="hr-HR"/>
        </w:rPr>
        <w:tab/>
      </w:r>
      <w:r w:rsidR="00490D10" w:rsidRPr="00510442">
        <w:rPr>
          <w:szCs w:val="22"/>
          <w:lang w:val="hr-HR"/>
        </w:rPr>
        <w:t xml:space="preserve">Upala pluća je najčešće zabilježena u bolesnika s transformiranim </w:t>
      </w:r>
      <w:r w:rsidR="00B655F5" w:rsidRPr="00510442">
        <w:rPr>
          <w:szCs w:val="22"/>
          <w:lang w:val="hr-HR"/>
        </w:rPr>
        <w:t>K</w:t>
      </w:r>
      <w:r w:rsidR="00490D10" w:rsidRPr="00510442">
        <w:rPr>
          <w:szCs w:val="22"/>
          <w:lang w:val="hr-HR"/>
        </w:rPr>
        <w:t>ML-om i u bolesnika s GIST-om</w:t>
      </w:r>
      <w:r w:rsidR="008B6A91" w:rsidRPr="00510442">
        <w:rPr>
          <w:color w:val="000000"/>
          <w:szCs w:val="22"/>
          <w:lang w:val="hr-HR"/>
        </w:rPr>
        <w:t>.</w:t>
      </w:r>
    </w:p>
    <w:p w14:paraId="04F43D9F" w14:textId="77777777" w:rsidR="00D61994" w:rsidRPr="00510442" w:rsidRDefault="00D61994" w:rsidP="003179A4">
      <w:pPr>
        <w:keepNext/>
        <w:keepLines/>
        <w:widowControl w:val="0"/>
        <w:tabs>
          <w:tab w:val="clear" w:pos="567"/>
        </w:tabs>
        <w:spacing w:line="240" w:lineRule="auto"/>
        <w:ind w:left="567" w:hanging="567"/>
        <w:rPr>
          <w:color w:val="000000"/>
          <w:szCs w:val="22"/>
          <w:lang w:val="hr-HR"/>
        </w:rPr>
      </w:pPr>
      <w:r w:rsidRPr="00510442">
        <w:rPr>
          <w:color w:val="000000"/>
          <w:szCs w:val="22"/>
          <w:lang w:val="hr-HR"/>
        </w:rPr>
        <w:t>2</w:t>
      </w:r>
      <w:r w:rsidRPr="00510442">
        <w:rPr>
          <w:color w:val="000000"/>
          <w:szCs w:val="22"/>
          <w:lang w:val="hr-HR"/>
        </w:rPr>
        <w:tab/>
      </w:r>
      <w:r w:rsidR="00490D10" w:rsidRPr="00510442">
        <w:rPr>
          <w:szCs w:val="22"/>
          <w:lang w:val="hr-HR"/>
        </w:rPr>
        <w:t>Glavobolja je bila najčešća u GIST bolesnika</w:t>
      </w:r>
      <w:r w:rsidRPr="00510442">
        <w:rPr>
          <w:color w:val="000000"/>
          <w:szCs w:val="22"/>
          <w:lang w:val="hr-HR"/>
        </w:rPr>
        <w:t>.</w:t>
      </w:r>
    </w:p>
    <w:p w14:paraId="28ECB675" w14:textId="77777777" w:rsidR="00D61994" w:rsidRPr="00510442" w:rsidRDefault="00D61994" w:rsidP="003179A4">
      <w:pPr>
        <w:keepNext/>
        <w:keepLines/>
        <w:widowControl w:val="0"/>
        <w:tabs>
          <w:tab w:val="clear" w:pos="567"/>
        </w:tabs>
        <w:spacing w:line="240" w:lineRule="auto"/>
        <w:ind w:left="567" w:hanging="567"/>
        <w:rPr>
          <w:color w:val="000000"/>
          <w:szCs w:val="22"/>
          <w:lang w:val="hr-HR"/>
        </w:rPr>
      </w:pPr>
      <w:r w:rsidRPr="00510442">
        <w:rPr>
          <w:color w:val="000000"/>
          <w:szCs w:val="22"/>
          <w:lang w:val="hr-HR"/>
        </w:rPr>
        <w:t>3</w:t>
      </w:r>
      <w:r w:rsidRPr="00510442">
        <w:rPr>
          <w:color w:val="000000"/>
          <w:szCs w:val="22"/>
          <w:lang w:val="hr-HR"/>
        </w:rPr>
        <w:tab/>
      </w:r>
      <w:r w:rsidR="00490D10" w:rsidRPr="00510442">
        <w:rPr>
          <w:szCs w:val="22"/>
          <w:lang w:val="hr-HR"/>
        </w:rPr>
        <w:t xml:space="preserve">Na temelju procjene bolesnik-godina, srčani događaji uključujući kongestivno zatajenje srca su bili češće uočeni u bolesnika s transformiranim </w:t>
      </w:r>
      <w:r w:rsidR="00B655F5" w:rsidRPr="00510442">
        <w:rPr>
          <w:szCs w:val="22"/>
          <w:lang w:val="hr-HR"/>
        </w:rPr>
        <w:t>K</w:t>
      </w:r>
      <w:r w:rsidR="00490D10" w:rsidRPr="00510442">
        <w:rPr>
          <w:szCs w:val="22"/>
          <w:lang w:val="hr-HR"/>
        </w:rPr>
        <w:t xml:space="preserve">ML-om, nego u bolesnika s kroničnim </w:t>
      </w:r>
      <w:r w:rsidR="00B655F5" w:rsidRPr="00510442">
        <w:rPr>
          <w:szCs w:val="22"/>
          <w:lang w:val="hr-HR"/>
        </w:rPr>
        <w:t>K</w:t>
      </w:r>
      <w:r w:rsidR="00490D10" w:rsidRPr="00510442">
        <w:rPr>
          <w:szCs w:val="22"/>
          <w:lang w:val="hr-HR"/>
        </w:rPr>
        <w:t>ML</w:t>
      </w:r>
      <w:r w:rsidR="009C46A4" w:rsidRPr="00510442">
        <w:rPr>
          <w:szCs w:val="22"/>
          <w:lang w:val="hr-HR"/>
        </w:rPr>
        <w:noBreakHyphen/>
      </w:r>
      <w:r w:rsidR="00490D10" w:rsidRPr="00510442">
        <w:rPr>
          <w:szCs w:val="22"/>
          <w:lang w:val="hr-HR"/>
        </w:rPr>
        <w:t>om</w:t>
      </w:r>
      <w:r w:rsidR="008B6A91" w:rsidRPr="00510442">
        <w:rPr>
          <w:color w:val="000000"/>
          <w:szCs w:val="22"/>
          <w:lang w:val="hr-HR"/>
        </w:rPr>
        <w:t>.</w:t>
      </w:r>
    </w:p>
    <w:p w14:paraId="1C207B1A" w14:textId="77777777" w:rsidR="008B6A91" w:rsidRPr="00510442" w:rsidRDefault="008B6A91" w:rsidP="003179A4">
      <w:pPr>
        <w:keepNext/>
        <w:keepLines/>
        <w:widowControl w:val="0"/>
        <w:tabs>
          <w:tab w:val="clear" w:pos="567"/>
        </w:tabs>
        <w:spacing w:line="240" w:lineRule="auto"/>
        <w:ind w:left="567" w:hanging="567"/>
        <w:rPr>
          <w:color w:val="000000"/>
          <w:szCs w:val="22"/>
          <w:lang w:val="hr-HR"/>
        </w:rPr>
      </w:pPr>
      <w:r w:rsidRPr="00510442">
        <w:rPr>
          <w:color w:val="000000"/>
          <w:szCs w:val="22"/>
          <w:lang w:val="hr-HR"/>
        </w:rPr>
        <w:t>4</w:t>
      </w:r>
      <w:r w:rsidRPr="00510442">
        <w:rPr>
          <w:color w:val="000000"/>
          <w:szCs w:val="22"/>
          <w:lang w:val="hr-HR"/>
        </w:rPr>
        <w:tab/>
      </w:r>
      <w:r w:rsidR="00490D10" w:rsidRPr="00510442">
        <w:rPr>
          <w:szCs w:val="22"/>
          <w:lang w:val="hr-HR"/>
        </w:rPr>
        <w:t xml:space="preserve">Crvenilo </w:t>
      </w:r>
      <w:r w:rsidR="009B3C4C" w:rsidRPr="00510442">
        <w:rPr>
          <w:szCs w:val="22"/>
          <w:lang w:val="hr-HR"/>
        </w:rPr>
        <w:t xml:space="preserve">uz osjećaj vrućine </w:t>
      </w:r>
      <w:r w:rsidR="00490D10" w:rsidRPr="00510442">
        <w:rPr>
          <w:szCs w:val="22"/>
          <w:lang w:val="hr-HR"/>
        </w:rPr>
        <w:t xml:space="preserve">je bilo najčešće u GIST bolesnika, a krvarenje (hematomi, hemoragija) je bilo najčešće u bolesnika s GIST-om i s transformiranim </w:t>
      </w:r>
      <w:r w:rsidR="00B655F5" w:rsidRPr="00510442">
        <w:rPr>
          <w:szCs w:val="22"/>
          <w:lang w:val="hr-HR"/>
        </w:rPr>
        <w:t>K</w:t>
      </w:r>
      <w:r w:rsidR="00490D10" w:rsidRPr="00510442">
        <w:rPr>
          <w:szCs w:val="22"/>
          <w:lang w:val="hr-HR"/>
        </w:rPr>
        <w:t>ML-om (</w:t>
      </w:r>
      <w:r w:rsidR="00B655F5" w:rsidRPr="00510442">
        <w:rPr>
          <w:szCs w:val="22"/>
          <w:lang w:val="hr-HR"/>
        </w:rPr>
        <w:t>K</w:t>
      </w:r>
      <w:r w:rsidR="00490D10" w:rsidRPr="00510442">
        <w:rPr>
          <w:szCs w:val="22"/>
          <w:lang w:val="hr-HR"/>
        </w:rPr>
        <w:t xml:space="preserve">ML-ubrzana faza i </w:t>
      </w:r>
      <w:r w:rsidR="00B655F5" w:rsidRPr="00510442">
        <w:rPr>
          <w:szCs w:val="22"/>
          <w:lang w:val="hr-HR"/>
        </w:rPr>
        <w:t>K</w:t>
      </w:r>
      <w:r w:rsidR="00490D10" w:rsidRPr="00510442">
        <w:rPr>
          <w:szCs w:val="22"/>
          <w:lang w:val="hr-HR"/>
        </w:rPr>
        <w:t>ML-blastična kriza).</w:t>
      </w:r>
    </w:p>
    <w:p w14:paraId="251F4AB2" w14:textId="77777777" w:rsidR="008B6A91" w:rsidRPr="00510442" w:rsidRDefault="008B6A91" w:rsidP="003179A4">
      <w:pPr>
        <w:keepNext/>
        <w:keepLines/>
        <w:widowControl w:val="0"/>
        <w:tabs>
          <w:tab w:val="clear" w:pos="567"/>
        </w:tabs>
        <w:spacing w:line="240" w:lineRule="auto"/>
        <w:ind w:left="567" w:hanging="567"/>
        <w:rPr>
          <w:color w:val="000000"/>
          <w:szCs w:val="22"/>
          <w:lang w:val="hr-HR"/>
        </w:rPr>
      </w:pPr>
      <w:r w:rsidRPr="00510442">
        <w:rPr>
          <w:color w:val="000000"/>
          <w:szCs w:val="22"/>
          <w:lang w:val="hr-HR"/>
        </w:rPr>
        <w:t>5</w:t>
      </w:r>
      <w:r w:rsidRPr="00510442">
        <w:rPr>
          <w:color w:val="000000"/>
          <w:szCs w:val="22"/>
          <w:lang w:val="hr-HR"/>
        </w:rPr>
        <w:tab/>
      </w:r>
      <w:r w:rsidR="00490D10" w:rsidRPr="00510442">
        <w:rPr>
          <w:szCs w:val="22"/>
          <w:lang w:val="hr-HR"/>
        </w:rPr>
        <w:t xml:space="preserve">Pleuralni izljev je češće zabilježen u bolesnika s GIST-om i u bolesnika s transformiranim </w:t>
      </w:r>
      <w:r w:rsidR="00B655F5" w:rsidRPr="00510442">
        <w:rPr>
          <w:szCs w:val="22"/>
          <w:lang w:val="hr-HR"/>
        </w:rPr>
        <w:t>K</w:t>
      </w:r>
      <w:r w:rsidR="00490D10" w:rsidRPr="00510442">
        <w:rPr>
          <w:szCs w:val="22"/>
          <w:lang w:val="hr-HR"/>
        </w:rPr>
        <w:t>ML-om (</w:t>
      </w:r>
      <w:r w:rsidR="00B655F5" w:rsidRPr="00510442">
        <w:rPr>
          <w:szCs w:val="22"/>
          <w:lang w:val="hr-HR"/>
        </w:rPr>
        <w:t>K</w:t>
      </w:r>
      <w:r w:rsidR="00490D10" w:rsidRPr="00510442">
        <w:rPr>
          <w:szCs w:val="22"/>
          <w:lang w:val="hr-HR"/>
        </w:rPr>
        <w:t xml:space="preserve">ML-ubrzana faza i </w:t>
      </w:r>
      <w:r w:rsidR="00B655F5" w:rsidRPr="00510442">
        <w:rPr>
          <w:szCs w:val="22"/>
          <w:lang w:val="hr-HR"/>
        </w:rPr>
        <w:t>K</w:t>
      </w:r>
      <w:r w:rsidR="00490D10" w:rsidRPr="00510442">
        <w:rPr>
          <w:szCs w:val="22"/>
          <w:lang w:val="hr-HR"/>
        </w:rPr>
        <w:t xml:space="preserve">ML-blastična kriza), nego u bolesnika s kroničnim </w:t>
      </w:r>
      <w:r w:rsidR="00B655F5" w:rsidRPr="00510442">
        <w:rPr>
          <w:szCs w:val="22"/>
          <w:lang w:val="hr-HR"/>
        </w:rPr>
        <w:t>K</w:t>
      </w:r>
      <w:r w:rsidR="00490D10" w:rsidRPr="00510442">
        <w:rPr>
          <w:szCs w:val="22"/>
          <w:lang w:val="hr-HR"/>
        </w:rPr>
        <w:t>ML-om.</w:t>
      </w:r>
    </w:p>
    <w:p w14:paraId="3C81559F" w14:textId="77777777" w:rsidR="008B6A91" w:rsidRPr="00510442" w:rsidRDefault="008B6A91" w:rsidP="003179A4">
      <w:pPr>
        <w:keepNext/>
        <w:keepLines/>
        <w:widowControl w:val="0"/>
        <w:tabs>
          <w:tab w:val="clear" w:pos="567"/>
        </w:tabs>
        <w:spacing w:line="240" w:lineRule="auto"/>
        <w:ind w:left="567" w:hanging="567"/>
        <w:rPr>
          <w:color w:val="000000"/>
          <w:szCs w:val="22"/>
          <w:lang w:val="hr-HR"/>
        </w:rPr>
      </w:pPr>
      <w:r w:rsidRPr="00510442">
        <w:rPr>
          <w:color w:val="000000"/>
          <w:szCs w:val="22"/>
          <w:lang w:val="hr-HR"/>
        </w:rPr>
        <w:t>6+7</w:t>
      </w:r>
      <w:r w:rsidRPr="00510442">
        <w:rPr>
          <w:color w:val="000000"/>
          <w:szCs w:val="22"/>
          <w:lang w:val="hr-HR"/>
        </w:rPr>
        <w:tab/>
      </w:r>
      <w:r w:rsidR="00490D10" w:rsidRPr="00510442">
        <w:rPr>
          <w:szCs w:val="22"/>
          <w:lang w:val="hr-HR"/>
        </w:rPr>
        <w:t>Bol u trbuhu i gastrointestinalno krvarenje su najčešće uočeni u GIST bolesnika.</w:t>
      </w:r>
    </w:p>
    <w:p w14:paraId="48BE8F20" w14:textId="77777777" w:rsidR="008B6A91" w:rsidRPr="00510442" w:rsidRDefault="008B6A91" w:rsidP="003179A4">
      <w:pPr>
        <w:keepNext/>
        <w:keepLines/>
        <w:widowControl w:val="0"/>
        <w:tabs>
          <w:tab w:val="clear" w:pos="567"/>
        </w:tabs>
        <w:spacing w:line="240" w:lineRule="auto"/>
        <w:ind w:left="567" w:hanging="567"/>
        <w:rPr>
          <w:color w:val="000000"/>
          <w:szCs w:val="22"/>
          <w:lang w:val="hr-HR"/>
        </w:rPr>
      </w:pPr>
      <w:r w:rsidRPr="00510442">
        <w:rPr>
          <w:color w:val="000000"/>
          <w:szCs w:val="22"/>
          <w:lang w:val="hr-HR"/>
        </w:rPr>
        <w:t>8</w:t>
      </w:r>
      <w:r w:rsidRPr="00510442">
        <w:rPr>
          <w:color w:val="000000"/>
          <w:szCs w:val="22"/>
          <w:lang w:val="hr-HR"/>
        </w:rPr>
        <w:tab/>
      </w:r>
      <w:r w:rsidR="00490D10" w:rsidRPr="00510442">
        <w:rPr>
          <w:szCs w:val="22"/>
          <w:lang w:val="hr-HR"/>
        </w:rPr>
        <w:t>Zabilježeno je nekoliko smrtnih slučajeva zbog zatajenja jetre i nekroze jetre.</w:t>
      </w:r>
    </w:p>
    <w:p w14:paraId="51859AB6" w14:textId="77777777" w:rsidR="00D26BB8" w:rsidRPr="00510442" w:rsidRDefault="00D26BB8" w:rsidP="003179A4">
      <w:pPr>
        <w:keepNext/>
        <w:keepLines/>
        <w:widowControl w:val="0"/>
        <w:tabs>
          <w:tab w:val="clear" w:pos="567"/>
        </w:tabs>
        <w:spacing w:line="240" w:lineRule="auto"/>
        <w:ind w:left="567" w:hanging="567"/>
        <w:rPr>
          <w:color w:val="000000"/>
          <w:szCs w:val="22"/>
          <w:lang w:val="hr-HR"/>
        </w:rPr>
      </w:pPr>
      <w:r w:rsidRPr="00510442">
        <w:rPr>
          <w:color w:val="000000"/>
          <w:szCs w:val="22"/>
          <w:lang w:val="hr-HR"/>
        </w:rPr>
        <w:t>9</w:t>
      </w:r>
      <w:r w:rsidRPr="00510442">
        <w:rPr>
          <w:color w:val="000000"/>
          <w:szCs w:val="22"/>
          <w:lang w:val="hr-HR"/>
        </w:rPr>
        <w:tab/>
        <w:t>N</w:t>
      </w:r>
      <w:r w:rsidRPr="00510442">
        <w:rPr>
          <w:szCs w:val="22"/>
          <w:lang w:val="hr-HR"/>
        </w:rPr>
        <w:t xml:space="preserve">akon stavljanja lijeka u promet primijećena je mišićno-koštana bol </w:t>
      </w:r>
      <w:r w:rsidR="00976A00" w:rsidRPr="00510442">
        <w:rPr>
          <w:szCs w:val="22"/>
          <w:lang w:val="hr-HR"/>
        </w:rPr>
        <w:t xml:space="preserve">koja se javlja </w:t>
      </w:r>
      <w:r w:rsidRPr="00510442">
        <w:rPr>
          <w:szCs w:val="22"/>
          <w:lang w:val="hr-HR"/>
        </w:rPr>
        <w:t>tijekom liječenja imatinibom, kao i nakon prekida liječenja.</w:t>
      </w:r>
    </w:p>
    <w:p w14:paraId="0D8D1B07" w14:textId="77777777" w:rsidR="00306988" w:rsidRPr="00510442" w:rsidRDefault="00D26BB8" w:rsidP="003179A4">
      <w:pPr>
        <w:keepNext/>
        <w:keepLines/>
        <w:widowControl w:val="0"/>
        <w:tabs>
          <w:tab w:val="clear" w:pos="567"/>
        </w:tabs>
        <w:spacing w:line="240" w:lineRule="auto"/>
        <w:ind w:left="567" w:hanging="567"/>
        <w:rPr>
          <w:color w:val="000000"/>
          <w:szCs w:val="22"/>
          <w:lang w:val="hr-HR"/>
        </w:rPr>
      </w:pPr>
      <w:r w:rsidRPr="00510442">
        <w:rPr>
          <w:color w:val="000000"/>
          <w:szCs w:val="22"/>
          <w:lang w:val="hr-HR"/>
        </w:rPr>
        <w:t>10</w:t>
      </w:r>
      <w:r w:rsidR="008B6A91" w:rsidRPr="00510442">
        <w:rPr>
          <w:color w:val="000000"/>
          <w:szCs w:val="22"/>
          <w:lang w:val="hr-HR"/>
        </w:rPr>
        <w:tab/>
      </w:r>
      <w:r w:rsidR="00490D10" w:rsidRPr="00510442">
        <w:rPr>
          <w:szCs w:val="22"/>
          <w:lang w:val="hr-HR"/>
        </w:rPr>
        <w:t xml:space="preserve">Mišićno-koštana bol i srodni događaji su češće uočeni u bolesnika s </w:t>
      </w:r>
      <w:r w:rsidR="00B655F5" w:rsidRPr="00510442">
        <w:rPr>
          <w:szCs w:val="22"/>
          <w:lang w:val="hr-HR"/>
        </w:rPr>
        <w:t>K</w:t>
      </w:r>
      <w:r w:rsidR="00490D10" w:rsidRPr="00510442">
        <w:rPr>
          <w:szCs w:val="22"/>
          <w:lang w:val="hr-HR"/>
        </w:rPr>
        <w:t>ML-om, nego u GIST bolesnika.</w:t>
      </w:r>
    </w:p>
    <w:p w14:paraId="79528606" w14:textId="77777777" w:rsidR="00591A68" w:rsidRPr="00510442" w:rsidRDefault="00D26BB8" w:rsidP="003179A4">
      <w:pPr>
        <w:keepLines/>
        <w:widowControl w:val="0"/>
        <w:tabs>
          <w:tab w:val="clear" w:pos="567"/>
          <w:tab w:val="left" w:pos="720"/>
        </w:tabs>
        <w:spacing w:line="240" w:lineRule="auto"/>
        <w:ind w:left="567" w:hanging="567"/>
        <w:rPr>
          <w:color w:val="000000"/>
          <w:szCs w:val="22"/>
          <w:lang w:val="hr-HR"/>
        </w:rPr>
      </w:pPr>
      <w:r w:rsidRPr="00510442">
        <w:rPr>
          <w:color w:val="000000"/>
          <w:szCs w:val="22"/>
          <w:lang w:val="hr-HR"/>
        </w:rPr>
        <w:t>11</w:t>
      </w:r>
      <w:r w:rsidR="00591A68" w:rsidRPr="00510442">
        <w:rPr>
          <w:color w:val="000000"/>
          <w:szCs w:val="22"/>
          <w:lang w:val="hr-HR"/>
        </w:rPr>
        <w:tab/>
      </w:r>
      <w:r w:rsidR="00591A68" w:rsidRPr="00510442">
        <w:rPr>
          <w:szCs w:val="22"/>
          <w:lang w:val="hr-HR"/>
        </w:rPr>
        <w:t>Smrtni slučajevi zabilježeni su u bolesnika s uznapredovalom bolešću, teškim infekcijama, teškom neutropenijom i drugim ozbiljnim popratnim stanjima</w:t>
      </w:r>
      <w:r w:rsidR="00591A68" w:rsidRPr="00510442">
        <w:rPr>
          <w:color w:val="000000"/>
          <w:szCs w:val="22"/>
          <w:lang w:val="hr-HR"/>
        </w:rPr>
        <w:t>.</w:t>
      </w:r>
    </w:p>
    <w:p w14:paraId="6DEC9401" w14:textId="77777777" w:rsidR="00A87B81" w:rsidRPr="00510442" w:rsidRDefault="00A87B81" w:rsidP="00422F71">
      <w:pPr>
        <w:pStyle w:val="Text"/>
        <w:spacing w:before="0"/>
        <w:jc w:val="left"/>
        <w:rPr>
          <w:color w:val="000000"/>
          <w:sz w:val="22"/>
          <w:szCs w:val="22"/>
          <w:lang w:val="hr-HR"/>
        </w:rPr>
      </w:pPr>
    </w:p>
    <w:p w14:paraId="27F6E612" w14:textId="77777777" w:rsidR="009B57ED" w:rsidRPr="00510442" w:rsidRDefault="00D90F47" w:rsidP="003179A4">
      <w:pPr>
        <w:pStyle w:val="Heading4"/>
        <w:widowControl w:val="0"/>
        <w:spacing w:line="240" w:lineRule="auto"/>
        <w:jc w:val="left"/>
        <w:rPr>
          <w:b w:val="0"/>
          <w:noProof w:val="0"/>
          <w:color w:val="000000"/>
          <w:szCs w:val="22"/>
          <w:u w:val="single"/>
          <w:lang w:val="hr-HR"/>
        </w:rPr>
      </w:pPr>
      <w:r w:rsidRPr="00510442">
        <w:rPr>
          <w:b w:val="0"/>
          <w:noProof w:val="0"/>
          <w:szCs w:val="22"/>
          <w:u w:val="single"/>
          <w:lang w:val="hr-HR"/>
        </w:rPr>
        <w:t>Abnormalne vrijednosti laboratorijskih testova</w:t>
      </w:r>
    </w:p>
    <w:p w14:paraId="45E5162F" w14:textId="77777777" w:rsidR="009B57ED" w:rsidRPr="00510442" w:rsidRDefault="00D90F47" w:rsidP="003179A4">
      <w:pPr>
        <w:pStyle w:val="Text"/>
        <w:keepNext/>
        <w:widowControl w:val="0"/>
        <w:spacing w:before="0"/>
        <w:jc w:val="left"/>
        <w:rPr>
          <w:i/>
          <w:color w:val="000000"/>
          <w:sz w:val="22"/>
          <w:szCs w:val="22"/>
          <w:lang w:val="hr-HR"/>
        </w:rPr>
      </w:pPr>
      <w:r w:rsidRPr="00510442">
        <w:rPr>
          <w:i/>
          <w:sz w:val="22"/>
          <w:szCs w:val="22"/>
          <w:lang w:val="hr-HR"/>
        </w:rPr>
        <w:t>Hematologija</w:t>
      </w:r>
    </w:p>
    <w:p w14:paraId="0090D428" w14:textId="4BFE27FC" w:rsidR="00D90F47" w:rsidRPr="00510442" w:rsidRDefault="00D90F47" w:rsidP="00954FF7">
      <w:pPr>
        <w:pStyle w:val="Text"/>
        <w:widowControl w:val="0"/>
        <w:spacing w:before="0"/>
        <w:jc w:val="left"/>
        <w:rPr>
          <w:sz w:val="22"/>
          <w:szCs w:val="22"/>
          <w:lang w:val="hr-HR"/>
        </w:rPr>
      </w:pPr>
      <w:r w:rsidRPr="00510442">
        <w:rPr>
          <w:sz w:val="22"/>
          <w:szCs w:val="22"/>
          <w:lang w:val="hr-HR"/>
        </w:rPr>
        <w:t xml:space="preserve">Kod </w:t>
      </w:r>
      <w:r w:rsidR="00B655F5" w:rsidRPr="00510442">
        <w:rPr>
          <w:sz w:val="22"/>
          <w:szCs w:val="22"/>
          <w:lang w:val="hr-HR"/>
        </w:rPr>
        <w:t>K</w:t>
      </w:r>
      <w:r w:rsidRPr="00510442">
        <w:rPr>
          <w:sz w:val="22"/>
          <w:szCs w:val="22"/>
          <w:lang w:val="hr-HR"/>
        </w:rPr>
        <w:t xml:space="preserve">ML-a, citopenije su, osobito neutropenija i trombocitopenija, bile stalan nalaz u svim ispitivanjima, s naznakom da je </w:t>
      </w:r>
      <w:r w:rsidR="00E011E6" w:rsidRPr="00510442">
        <w:rPr>
          <w:sz w:val="22"/>
          <w:szCs w:val="22"/>
          <w:lang w:val="hr-HR"/>
        </w:rPr>
        <w:t xml:space="preserve">učestalost </w:t>
      </w:r>
      <w:r w:rsidRPr="00510442">
        <w:rPr>
          <w:sz w:val="22"/>
          <w:szCs w:val="22"/>
          <w:lang w:val="hr-HR"/>
        </w:rPr>
        <w:t xml:space="preserve">veća uz visoke doze </w:t>
      </w:r>
      <w:r w:rsidR="00876338" w:rsidRPr="00307897">
        <w:rPr>
          <w:color w:val="000000"/>
          <w:sz w:val="22"/>
          <w:szCs w:val="22"/>
          <w:lang w:val="hr-HR"/>
        </w:rPr>
        <w:sym w:font="Symbol" w:char="F0B3"/>
      </w:r>
      <w:r w:rsidR="00876338" w:rsidRPr="00307897">
        <w:rPr>
          <w:color w:val="000000"/>
          <w:sz w:val="22"/>
          <w:szCs w:val="22"/>
          <w:lang w:val="hr-HR"/>
        </w:rPr>
        <w:t xml:space="preserve">750 mg </w:t>
      </w:r>
      <w:r w:rsidRPr="00307897">
        <w:rPr>
          <w:sz w:val="22"/>
          <w:szCs w:val="22"/>
          <w:lang w:val="hr-HR"/>
        </w:rPr>
        <w:t>(ispitivanje faze I)</w:t>
      </w:r>
      <w:r w:rsidRPr="00A00164">
        <w:rPr>
          <w:sz w:val="22"/>
          <w:szCs w:val="22"/>
          <w:lang w:val="hr-HR"/>
        </w:rPr>
        <w:t xml:space="preserve">. Međutim, pojava citopenija također je jasno ovisila o fazi bolesti, kod čega je </w:t>
      </w:r>
      <w:r w:rsidR="00AA13D1" w:rsidRPr="00973BDD">
        <w:rPr>
          <w:sz w:val="22"/>
          <w:szCs w:val="22"/>
          <w:lang w:val="hr-HR"/>
        </w:rPr>
        <w:t xml:space="preserve">učestalost </w:t>
      </w:r>
      <w:r w:rsidRPr="000B51EB">
        <w:rPr>
          <w:sz w:val="22"/>
          <w:szCs w:val="22"/>
          <w:lang w:val="hr-HR"/>
        </w:rPr>
        <w:t>neutropenij</w:t>
      </w:r>
      <w:r w:rsidR="00AA13D1" w:rsidRPr="00510442">
        <w:rPr>
          <w:sz w:val="22"/>
          <w:szCs w:val="22"/>
          <w:lang w:val="hr-HR"/>
        </w:rPr>
        <w:t>e</w:t>
      </w:r>
      <w:r w:rsidRPr="00510442">
        <w:rPr>
          <w:sz w:val="22"/>
          <w:szCs w:val="22"/>
          <w:lang w:val="hr-HR"/>
        </w:rPr>
        <w:t xml:space="preserve"> stupnja</w:t>
      </w:r>
      <w:r w:rsidR="00876338" w:rsidRPr="00510442">
        <w:rPr>
          <w:color w:val="000000"/>
          <w:sz w:val="22"/>
          <w:szCs w:val="22"/>
          <w:lang w:val="hr-HR"/>
        </w:rPr>
        <w:t> </w:t>
      </w:r>
      <w:r w:rsidRPr="00510442">
        <w:rPr>
          <w:sz w:val="22"/>
          <w:szCs w:val="22"/>
          <w:lang w:val="hr-HR"/>
        </w:rPr>
        <w:t>3 i 4 (A</w:t>
      </w:r>
      <w:r w:rsidR="00847818" w:rsidRPr="00510442">
        <w:rPr>
          <w:sz w:val="22"/>
          <w:szCs w:val="22"/>
          <w:lang w:val="hr-HR"/>
        </w:rPr>
        <w:t>B</w:t>
      </w:r>
      <w:r w:rsidRPr="00510442">
        <w:rPr>
          <w:sz w:val="22"/>
          <w:szCs w:val="22"/>
          <w:lang w:val="hr-HR"/>
        </w:rPr>
        <w:t xml:space="preserve">N </w:t>
      </w:r>
      <w:r w:rsidR="00876338" w:rsidRPr="00510442">
        <w:rPr>
          <w:color w:val="000000"/>
          <w:sz w:val="22"/>
          <w:szCs w:val="22"/>
          <w:lang w:val="hr-HR"/>
        </w:rPr>
        <w:t>&lt;1,0 x 10</w:t>
      </w:r>
      <w:r w:rsidR="00876338" w:rsidRPr="00510442">
        <w:rPr>
          <w:color w:val="000000"/>
          <w:sz w:val="22"/>
          <w:szCs w:val="22"/>
          <w:vertAlign w:val="superscript"/>
          <w:lang w:val="hr-HR"/>
        </w:rPr>
        <w:t>9</w:t>
      </w:r>
      <w:r w:rsidR="00876338" w:rsidRPr="00510442">
        <w:rPr>
          <w:color w:val="000000"/>
          <w:sz w:val="22"/>
          <w:szCs w:val="22"/>
          <w:lang w:val="hr-HR"/>
        </w:rPr>
        <w:t>/l</w:t>
      </w:r>
      <w:r w:rsidRPr="00510442">
        <w:rPr>
          <w:sz w:val="22"/>
          <w:szCs w:val="22"/>
          <w:lang w:val="hr-HR"/>
        </w:rPr>
        <w:t xml:space="preserve">) i trombocitopenija (broj trombocita </w:t>
      </w:r>
      <w:r w:rsidR="00876338" w:rsidRPr="00510442">
        <w:rPr>
          <w:color w:val="000000"/>
          <w:sz w:val="22"/>
          <w:szCs w:val="22"/>
          <w:lang w:val="hr-HR"/>
        </w:rPr>
        <w:t>&lt;50 x 10</w:t>
      </w:r>
      <w:r w:rsidR="00876338" w:rsidRPr="00510442">
        <w:rPr>
          <w:color w:val="000000"/>
          <w:sz w:val="22"/>
          <w:szCs w:val="22"/>
          <w:vertAlign w:val="superscript"/>
          <w:lang w:val="hr-HR"/>
        </w:rPr>
        <w:t>9</w:t>
      </w:r>
      <w:r w:rsidRPr="00510442">
        <w:rPr>
          <w:sz w:val="22"/>
          <w:szCs w:val="22"/>
          <w:lang w:val="hr-HR"/>
        </w:rPr>
        <w:t>/l) bila između 4 i 6</w:t>
      </w:r>
      <w:r w:rsidR="00876338" w:rsidRPr="00510442">
        <w:rPr>
          <w:color w:val="000000"/>
          <w:sz w:val="22"/>
          <w:szCs w:val="22"/>
          <w:lang w:val="hr-HR"/>
        </w:rPr>
        <w:t> </w:t>
      </w:r>
      <w:r w:rsidRPr="00510442">
        <w:rPr>
          <w:sz w:val="22"/>
          <w:szCs w:val="22"/>
          <w:lang w:val="hr-HR"/>
        </w:rPr>
        <w:t>puta veća u blastičnoj krizi i ubrzanoj fazi (59</w:t>
      </w:r>
      <w:r w:rsidR="00B3500D" w:rsidRPr="00510442">
        <w:rPr>
          <w:color w:val="000000"/>
          <w:sz w:val="22"/>
          <w:szCs w:val="22"/>
          <w:lang w:val="hr-HR"/>
        </w:rPr>
        <w:noBreakHyphen/>
      </w:r>
      <w:r w:rsidRPr="00510442">
        <w:rPr>
          <w:sz w:val="22"/>
          <w:szCs w:val="22"/>
          <w:lang w:val="hr-HR"/>
        </w:rPr>
        <w:t>64% i 44</w:t>
      </w:r>
      <w:r w:rsidR="00B3500D" w:rsidRPr="00510442">
        <w:rPr>
          <w:color w:val="000000"/>
          <w:sz w:val="22"/>
          <w:szCs w:val="22"/>
          <w:lang w:val="hr-HR"/>
        </w:rPr>
        <w:noBreakHyphen/>
      </w:r>
      <w:r w:rsidRPr="00510442">
        <w:rPr>
          <w:sz w:val="22"/>
          <w:szCs w:val="22"/>
          <w:lang w:val="hr-HR"/>
        </w:rPr>
        <w:t xml:space="preserve">63% za neutropeniju odnosno trombocitopeniju) u usporedbi s novodijagnosticiranim bolesnicima u kroničnoj fazi </w:t>
      </w:r>
      <w:r w:rsidR="00B655F5" w:rsidRPr="00510442">
        <w:rPr>
          <w:sz w:val="22"/>
          <w:szCs w:val="22"/>
          <w:lang w:val="hr-HR"/>
        </w:rPr>
        <w:t>K</w:t>
      </w:r>
      <w:r w:rsidRPr="00510442">
        <w:rPr>
          <w:sz w:val="22"/>
          <w:szCs w:val="22"/>
          <w:lang w:val="hr-HR"/>
        </w:rPr>
        <w:t xml:space="preserve">ML-a (16,7% neutropenija i 8,9% trombocitopenija). U novodijagnosticiranoj kroničnoj fazi </w:t>
      </w:r>
      <w:r w:rsidR="00B655F5" w:rsidRPr="00510442">
        <w:rPr>
          <w:sz w:val="22"/>
          <w:szCs w:val="22"/>
          <w:lang w:val="hr-HR"/>
        </w:rPr>
        <w:t>K</w:t>
      </w:r>
      <w:r w:rsidRPr="00510442">
        <w:rPr>
          <w:sz w:val="22"/>
          <w:szCs w:val="22"/>
          <w:lang w:val="hr-HR"/>
        </w:rPr>
        <w:t>ML-a, neutropenija 4.</w:t>
      </w:r>
      <w:r w:rsidR="00876338" w:rsidRPr="00510442">
        <w:rPr>
          <w:color w:val="000000"/>
          <w:sz w:val="22"/>
          <w:szCs w:val="22"/>
          <w:lang w:val="hr-HR"/>
        </w:rPr>
        <w:t> </w:t>
      </w:r>
      <w:r w:rsidRPr="00510442">
        <w:rPr>
          <w:sz w:val="22"/>
          <w:szCs w:val="22"/>
          <w:lang w:val="hr-HR"/>
        </w:rPr>
        <w:t>stupnja (A</w:t>
      </w:r>
      <w:r w:rsidR="00847818" w:rsidRPr="00510442">
        <w:rPr>
          <w:sz w:val="22"/>
          <w:szCs w:val="22"/>
          <w:lang w:val="hr-HR"/>
        </w:rPr>
        <w:t>B</w:t>
      </w:r>
      <w:r w:rsidRPr="00510442">
        <w:rPr>
          <w:sz w:val="22"/>
          <w:szCs w:val="22"/>
          <w:lang w:val="hr-HR"/>
        </w:rPr>
        <w:t xml:space="preserve">N </w:t>
      </w:r>
      <w:r w:rsidR="00876338" w:rsidRPr="00510442">
        <w:rPr>
          <w:color w:val="000000"/>
          <w:sz w:val="22"/>
          <w:szCs w:val="22"/>
          <w:lang w:val="hr-HR"/>
        </w:rPr>
        <w:t>&lt;0</w:t>
      </w:r>
      <w:r w:rsidR="0034380D" w:rsidRPr="00510442">
        <w:rPr>
          <w:color w:val="000000"/>
          <w:sz w:val="22"/>
          <w:szCs w:val="22"/>
          <w:lang w:val="hr-HR"/>
        </w:rPr>
        <w:t>,</w:t>
      </w:r>
      <w:r w:rsidR="00876338" w:rsidRPr="00510442">
        <w:rPr>
          <w:color w:val="000000"/>
          <w:sz w:val="22"/>
          <w:szCs w:val="22"/>
          <w:lang w:val="hr-HR"/>
        </w:rPr>
        <w:t>5 x 10</w:t>
      </w:r>
      <w:r w:rsidR="00876338" w:rsidRPr="00510442">
        <w:rPr>
          <w:color w:val="000000"/>
          <w:sz w:val="22"/>
          <w:szCs w:val="22"/>
          <w:vertAlign w:val="superscript"/>
          <w:lang w:val="hr-HR"/>
        </w:rPr>
        <w:t>9</w:t>
      </w:r>
      <w:r w:rsidRPr="00510442">
        <w:rPr>
          <w:sz w:val="22"/>
          <w:szCs w:val="22"/>
          <w:lang w:val="hr-HR"/>
        </w:rPr>
        <w:t xml:space="preserve">/l) i trombocitopenija (broj trombocita </w:t>
      </w:r>
      <w:r w:rsidR="00876338" w:rsidRPr="00510442">
        <w:rPr>
          <w:color w:val="000000"/>
          <w:sz w:val="22"/>
          <w:szCs w:val="22"/>
          <w:lang w:val="hr-HR"/>
        </w:rPr>
        <w:t>&lt;10 x 10</w:t>
      </w:r>
      <w:r w:rsidR="00876338" w:rsidRPr="00510442">
        <w:rPr>
          <w:color w:val="000000"/>
          <w:sz w:val="22"/>
          <w:szCs w:val="22"/>
          <w:vertAlign w:val="superscript"/>
          <w:lang w:val="hr-HR"/>
        </w:rPr>
        <w:t>9</w:t>
      </w:r>
      <w:r w:rsidRPr="00510442">
        <w:rPr>
          <w:sz w:val="22"/>
          <w:szCs w:val="22"/>
          <w:lang w:val="hr-HR"/>
        </w:rPr>
        <w:t xml:space="preserve">/l) zapažene su u 3,6% odnosno &lt;1% bolesnika. </w:t>
      </w:r>
      <w:r w:rsidR="00704527" w:rsidRPr="00510442">
        <w:rPr>
          <w:sz w:val="22"/>
          <w:szCs w:val="22"/>
          <w:lang w:val="hr-HR"/>
        </w:rPr>
        <w:t xml:space="preserve">Medijan </w:t>
      </w:r>
      <w:r w:rsidRPr="00510442">
        <w:rPr>
          <w:sz w:val="22"/>
          <w:szCs w:val="22"/>
          <w:lang w:val="hr-HR"/>
        </w:rPr>
        <w:t>trajanj</w:t>
      </w:r>
      <w:r w:rsidR="00704527" w:rsidRPr="00510442">
        <w:rPr>
          <w:sz w:val="22"/>
          <w:szCs w:val="22"/>
          <w:lang w:val="hr-HR"/>
        </w:rPr>
        <w:t>a</w:t>
      </w:r>
      <w:r w:rsidRPr="00510442">
        <w:rPr>
          <w:sz w:val="22"/>
          <w:szCs w:val="22"/>
          <w:lang w:val="hr-HR"/>
        </w:rPr>
        <w:t xml:space="preserve"> neutropenijskih i trombocitopenijskih epizoda obično se kretao od 2 do 3</w:t>
      </w:r>
      <w:r w:rsidR="00876338" w:rsidRPr="00510442">
        <w:rPr>
          <w:color w:val="000000"/>
          <w:sz w:val="22"/>
          <w:szCs w:val="22"/>
          <w:lang w:val="hr-HR"/>
        </w:rPr>
        <w:t> </w:t>
      </w:r>
      <w:r w:rsidRPr="00510442">
        <w:rPr>
          <w:sz w:val="22"/>
          <w:szCs w:val="22"/>
          <w:lang w:val="hr-HR"/>
        </w:rPr>
        <w:t>tjedna, odnosno od 3 do 4</w:t>
      </w:r>
      <w:r w:rsidR="00876338" w:rsidRPr="00510442">
        <w:rPr>
          <w:color w:val="000000"/>
          <w:sz w:val="22"/>
          <w:szCs w:val="22"/>
          <w:lang w:val="hr-HR"/>
        </w:rPr>
        <w:t> </w:t>
      </w:r>
      <w:r w:rsidRPr="00510442">
        <w:rPr>
          <w:sz w:val="22"/>
          <w:szCs w:val="22"/>
          <w:lang w:val="hr-HR"/>
        </w:rPr>
        <w:t xml:space="preserve">tjedna. Te se epizode obično mogu liječiti ili smanjenjem doze ili prekidanjem liječenja </w:t>
      </w:r>
      <w:r w:rsidR="00951360">
        <w:rPr>
          <w:sz w:val="22"/>
          <w:szCs w:val="22"/>
          <w:lang w:val="hr-HR"/>
        </w:rPr>
        <w:t xml:space="preserve">lijekom </w:t>
      </w:r>
      <w:r w:rsidRPr="00510442">
        <w:rPr>
          <w:sz w:val="22"/>
          <w:szCs w:val="22"/>
          <w:lang w:val="hr-HR"/>
        </w:rPr>
        <w:t xml:space="preserve">Glivec, no u rijetkim slučajevima mogu dovesti i do trajnog ukidanja liječenja. U pedijatrijskih </w:t>
      </w:r>
      <w:r w:rsidR="00B655F5" w:rsidRPr="00510442">
        <w:rPr>
          <w:sz w:val="22"/>
          <w:szCs w:val="22"/>
          <w:lang w:val="hr-HR"/>
        </w:rPr>
        <w:t>K</w:t>
      </w:r>
      <w:r w:rsidRPr="00510442">
        <w:rPr>
          <w:sz w:val="22"/>
          <w:szCs w:val="22"/>
          <w:lang w:val="hr-HR"/>
        </w:rPr>
        <w:t>ML bolesnika najčešće uočene toksičnosti bile su citopenije 3. ili 4.</w:t>
      </w:r>
      <w:r w:rsidR="00876338" w:rsidRPr="00510442">
        <w:rPr>
          <w:color w:val="000000"/>
          <w:sz w:val="22"/>
          <w:szCs w:val="22"/>
          <w:lang w:val="hr-HR"/>
        </w:rPr>
        <w:t> </w:t>
      </w:r>
      <w:r w:rsidRPr="00510442">
        <w:rPr>
          <w:sz w:val="22"/>
          <w:szCs w:val="22"/>
          <w:lang w:val="hr-HR"/>
        </w:rPr>
        <w:t>stupnja uključujući neutropeniju, trombocitopeniju i anemiju. One su se općenito javljale unutar prvih nekoliko mjeseci terapije.</w:t>
      </w:r>
    </w:p>
    <w:p w14:paraId="4F27B628" w14:textId="77777777" w:rsidR="009B57ED" w:rsidRPr="00510442" w:rsidRDefault="009B57ED" w:rsidP="0038669B">
      <w:pPr>
        <w:pStyle w:val="Text"/>
        <w:widowControl w:val="0"/>
        <w:spacing w:before="0"/>
        <w:jc w:val="left"/>
        <w:rPr>
          <w:color w:val="000000"/>
          <w:sz w:val="22"/>
          <w:szCs w:val="22"/>
          <w:lang w:val="hr-HR"/>
        </w:rPr>
      </w:pPr>
    </w:p>
    <w:p w14:paraId="4183FC24" w14:textId="77777777" w:rsidR="00876338" w:rsidRPr="00510442" w:rsidRDefault="00876338" w:rsidP="00236E0E">
      <w:pPr>
        <w:pStyle w:val="Text"/>
        <w:widowControl w:val="0"/>
        <w:spacing w:before="0"/>
        <w:jc w:val="left"/>
        <w:rPr>
          <w:sz w:val="22"/>
          <w:szCs w:val="22"/>
          <w:lang w:val="hr-HR"/>
        </w:rPr>
      </w:pPr>
      <w:r w:rsidRPr="00510442">
        <w:rPr>
          <w:sz w:val="22"/>
          <w:szCs w:val="22"/>
          <w:lang w:val="hr-HR"/>
        </w:rPr>
        <w:t>U ispitivanju s bolesnicima s inoperabilnim i/ili metastazirajućim GIST-om, anemije 3. i 4.</w:t>
      </w:r>
      <w:r w:rsidRPr="00510442">
        <w:rPr>
          <w:color w:val="000000"/>
          <w:sz w:val="22"/>
          <w:szCs w:val="22"/>
          <w:lang w:val="hr-HR"/>
        </w:rPr>
        <w:t> </w:t>
      </w:r>
      <w:r w:rsidRPr="00510442">
        <w:rPr>
          <w:sz w:val="22"/>
          <w:szCs w:val="22"/>
          <w:lang w:val="hr-HR"/>
        </w:rPr>
        <w:t>stupnja zabilježene su u 5,4% odnosno 0,7% bolesnika i mogle su biti povezane s gastrointestinalnim ili intratumorskim krvarenjem barem u nekih od tih bolesnika. Neutropenija 3. i 4.</w:t>
      </w:r>
      <w:r w:rsidRPr="00510442">
        <w:rPr>
          <w:color w:val="000000"/>
          <w:sz w:val="22"/>
          <w:szCs w:val="22"/>
          <w:lang w:val="hr-HR"/>
        </w:rPr>
        <w:t> </w:t>
      </w:r>
      <w:r w:rsidRPr="00510442">
        <w:rPr>
          <w:sz w:val="22"/>
          <w:szCs w:val="22"/>
          <w:lang w:val="hr-HR"/>
        </w:rPr>
        <w:t>stupnja zapažena je u 7,5% odnosno u 2,7% bolesnika, a trombocitopenija 3.</w:t>
      </w:r>
      <w:r w:rsidRPr="00510442">
        <w:rPr>
          <w:color w:val="000000"/>
          <w:sz w:val="22"/>
          <w:szCs w:val="22"/>
          <w:lang w:val="hr-HR"/>
        </w:rPr>
        <w:t> </w:t>
      </w:r>
      <w:r w:rsidRPr="00510442">
        <w:rPr>
          <w:sz w:val="22"/>
          <w:szCs w:val="22"/>
          <w:lang w:val="hr-HR"/>
        </w:rPr>
        <w:t>stupnja u 0,7% bolesnika. Trombocitopenija 4.</w:t>
      </w:r>
      <w:r w:rsidRPr="00510442">
        <w:rPr>
          <w:color w:val="000000"/>
          <w:sz w:val="22"/>
          <w:szCs w:val="22"/>
          <w:lang w:val="hr-HR"/>
        </w:rPr>
        <w:t> </w:t>
      </w:r>
      <w:r w:rsidRPr="00510442">
        <w:rPr>
          <w:sz w:val="22"/>
          <w:szCs w:val="22"/>
          <w:lang w:val="hr-HR"/>
        </w:rPr>
        <w:t>stupnja nije nastupila niti u jednog bolesnika. Do smanjenja broja leukocita (WBC) i broja neutrofila uglavnom je došlo tijekom prvih šest tjedana terapije, a vrijednosti su nakon toga ostale relativno stabilne.</w:t>
      </w:r>
    </w:p>
    <w:p w14:paraId="7F6CCDB0" w14:textId="77777777" w:rsidR="009B57ED" w:rsidRPr="00510442" w:rsidRDefault="009B57ED" w:rsidP="003C0A50">
      <w:pPr>
        <w:pStyle w:val="Text"/>
        <w:widowControl w:val="0"/>
        <w:spacing w:before="0"/>
        <w:jc w:val="left"/>
        <w:rPr>
          <w:color w:val="000000"/>
          <w:sz w:val="22"/>
          <w:szCs w:val="22"/>
          <w:lang w:val="hr-HR"/>
        </w:rPr>
      </w:pPr>
    </w:p>
    <w:p w14:paraId="0C1BC643" w14:textId="77777777" w:rsidR="00876338" w:rsidRPr="00510442" w:rsidRDefault="00876338" w:rsidP="003179A4">
      <w:pPr>
        <w:keepNext/>
        <w:spacing w:line="240" w:lineRule="auto"/>
        <w:outlineLvl w:val="0"/>
        <w:rPr>
          <w:i/>
          <w:szCs w:val="22"/>
          <w:lang w:val="hr-HR"/>
        </w:rPr>
      </w:pPr>
      <w:r w:rsidRPr="00510442">
        <w:rPr>
          <w:i/>
          <w:szCs w:val="22"/>
          <w:lang w:val="hr-HR"/>
        </w:rPr>
        <w:t>Biokemija</w:t>
      </w:r>
    </w:p>
    <w:p w14:paraId="2091AC6B" w14:textId="77777777" w:rsidR="00876338" w:rsidRPr="00510442" w:rsidRDefault="00876338" w:rsidP="009B5630">
      <w:pPr>
        <w:spacing w:line="240" w:lineRule="auto"/>
        <w:rPr>
          <w:szCs w:val="22"/>
          <w:lang w:val="hr-HR"/>
        </w:rPr>
      </w:pPr>
      <w:r w:rsidRPr="00510442">
        <w:rPr>
          <w:szCs w:val="22"/>
          <w:lang w:val="hr-HR"/>
        </w:rPr>
        <w:t xml:space="preserve">Veliko povišenje vrijednosti transaminaza (&lt;5%) ili bilirubina (&lt;1%) uočeno je u bolesnika s </w:t>
      </w:r>
      <w:r w:rsidR="00B655F5" w:rsidRPr="00510442">
        <w:rPr>
          <w:szCs w:val="22"/>
          <w:lang w:val="hr-HR"/>
        </w:rPr>
        <w:t>K</w:t>
      </w:r>
      <w:r w:rsidRPr="00510442">
        <w:rPr>
          <w:szCs w:val="22"/>
          <w:lang w:val="hr-HR"/>
        </w:rPr>
        <w:t>ML</w:t>
      </w:r>
      <w:r w:rsidR="009C46A4" w:rsidRPr="00510442">
        <w:rPr>
          <w:szCs w:val="22"/>
          <w:lang w:val="hr-HR"/>
        </w:rPr>
        <w:noBreakHyphen/>
      </w:r>
      <w:r w:rsidRPr="00510442">
        <w:rPr>
          <w:szCs w:val="22"/>
          <w:lang w:val="hr-HR"/>
        </w:rPr>
        <w:t>om i obično je liječeno smanjenjem doze ili prekidom terapije (</w:t>
      </w:r>
      <w:r w:rsidR="008D2D01" w:rsidRPr="00510442">
        <w:rPr>
          <w:szCs w:val="22"/>
          <w:lang w:val="hr-HR"/>
        </w:rPr>
        <w:t>medijan trajanja</w:t>
      </w:r>
      <w:r w:rsidRPr="00510442">
        <w:rPr>
          <w:szCs w:val="22"/>
          <w:lang w:val="hr-HR"/>
        </w:rPr>
        <w:t xml:space="preserve"> tih epizoda </w:t>
      </w:r>
      <w:r w:rsidR="008D2D01" w:rsidRPr="00510442">
        <w:rPr>
          <w:szCs w:val="22"/>
          <w:lang w:val="hr-HR"/>
        </w:rPr>
        <w:t xml:space="preserve">bio </w:t>
      </w:r>
      <w:r w:rsidRPr="00510442">
        <w:rPr>
          <w:szCs w:val="22"/>
          <w:lang w:val="hr-HR"/>
        </w:rPr>
        <w:t xml:space="preserve">je približno tjedan dana). Liječenje je trajno ukinuto zbog abnormalnih laboratorijskih vrijednosti jetre u manje od 1% bolesnika s </w:t>
      </w:r>
      <w:r w:rsidR="00B655F5" w:rsidRPr="00510442">
        <w:rPr>
          <w:szCs w:val="22"/>
          <w:lang w:val="hr-HR"/>
        </w:rPr>
        <w:t>K</w:t>
      </w:r>
      <w:r w:rsidRPr="00510442">
        <w:rPr>
          <w:szCs w:val="22"/>
          <w:lang w:val="hr-HR"/>
        </w:rPr>
        <w:t>ML-om. U bolesnika s GIST-om (studija B2222), zapaženo je 6,8% ALT (alanin-aminotransferaza) povišenja 3. ili 4.</w:t>
      </w:r>
      <w:r w:rsidRPr="00510442">
        <w:rPr>
          <w:color w:val="000000"/>
          <w:szCs w:val="22"/>
          <w:lang w:val="hr-HR"/>
        </w:rPr>
        <w:t> </w:t>
      </w:r>
      <w:r w:rsidRPr="00510442">
        <w:rPr>
          <w:szCs w:val="22"/>
          <w:lang w:val="hr-HR"/>
        </w:rPr>
        <w:t>stupnja, kao i 4,8% AST (aspartat-aminotransferaza) povišenja 3. ili 4.</w:t>
      </w:r>
      <w:r w:rsidRPr="00510442">
        <w:rPr>
          <w:color w:val="000000"/>
          <w:szCs w:val="22"/>
          <w:lang w:val="hr-HR"/>
        </w:rPr>
        <w:t> </w:t>
      </w:r>
      <w:r w:rsidRPr="00510442">
        <w:rPr>
          <w:szCs w:val="22"/>
          <w:lang w:val="hr-HR"/>
        </w:rPr>
        <w:t>stupnja. Povišenje bilirubina bilo je ispod 3%.</w:t>
      </w:r>
    </w:p>
    <w:p w14:paraId="0F904191" w14:textId="77777777" w:rsidR="00876338" w:rsidRPr="00510442" w:rsidRDefault="00876338" w:rsidP="009B5630">
      <w:pPr>
        <w:spacing w:line="240" w:lineRule="auto"/>
        <w:rPr>
          <w:szCs w:val="22"/>
          <w:lang w:val="hr-HR"/>
        </w:rPr>
      </w:pPr>
    </w:p>
    <w:p w14:paraId="2C301019" w14:textId="77777777" w:rsidR="00876338" w:rsidRPr="00510442" w:rsidRDefault="00876338" w:rsidP="003F35A0">
      <w:pPr>
        <w:widowControl w:val="0"/>
        <w:spacing w:line="240" w:lineRule="auto"/>
        <w:rPr>
          <w:szCs w:val="22"/>
          <w:lang w:val="hr-HR"/>
        </w:rPr>
      </w:pPr>
      <w:r w:rsidRPr="00510442">
        <w:rPr>
          <w:szCs w:val="22"/>
          <w:lang w:val="hr-HR"/>
        </w:rPr>
        <w:t>Bilo je slučajeva citolitičkog i kolestatskog hepatitisa i zatajenja jetre; neki su od njih završili smrtnim ishodom, uključujući jednog bolesnika na visokoj dozi paracetamola.</w:t>
      </w:r>
    </w:p>
    <w:bookmarkEnd w:id="1"/>
    <w:bookmarkEnd w:id="2"/>
    <w:p w14:paraId="4AE6604E" w14:textId="77777777" w:rsidR="004652DA" w:rsidRPr="00510442" w:rsidRDefault="004652DA" w:rsidP="004652DA">
      <w:pPr>
        <w:pStyle w:val="Text"/>
        <w:widowControl w:val="0"/>
        <w:spacing w:before="0"/>
        <w:jc w:val="left"/>
        <w:rPr>
          <w:color w:val="000000"/>
          <w:sz w:val="22"/>
          <w:szCs w:val="22"/>
          <w:lang w:val="hr-HR"/>
        </w:rPr>
      </w:pPr>
    </w:p>
    <w:p w14:paraId="03096648" w14:textId="77777777" w:rsidR="004652DA" w:rsidRPr="00510442" w:rsidRDefault="004652DA" w:rsidP="004652DA">
      <w:pPr>
        <w:keepNext/>
        <w:widowControl w:val="0"/>
        <w:tabs>
          <w:tab w:val="clear" w:pos="567"/>
        </w:tabs>
        <w:spacing w:line="240" w:lineRule="auto"/>
        <w:rPr>
          <w:u w:val="single"/>
          <w:lang w:val="hr-HR"/>
        </w:rPr>
      </w:pPr>
      <w:r w:rsidRPr="00510442">
        <w:rPr>
          <w:u w:val="single"/>
          <w:lang w:val="hr-HR"/>
        </w:rPr>
        <w:t>Opis odabranih nuspojava</w:t>
      </w:r>
    </w:p>
    <w:p w14:paraId="1AA598BF" w14:textId="77777777" w:rsidR="004652DA" w:rsidRPr="00510442" w:rsidRDefault="004652DA" w:rsidP="004652DA">
      <w:pPr>
        <w:pStyle w:val="Text"/>
        <w:keepNext/>
        <w:widowControl w:val="0"/>
        <w:spacing w:before="0"/>
        <w:jc w:val="left"/>
        <w:rPr>
          <w:i/>
          <w:color w:val="000000"/>
          <w:sz w:val="22"/>
          <w:szCs w:val="22"/>
          <w:u w:val="single"/>
          <w:lang w:val="hr-HR"/>
        </w:rPr>
      </w:pPr>
      <w:r w:rsidRPr="00510442">
        <w:rPr>
          <w:i/>
          <w:color w:val="000000"/>
          <w:sz w:val="22"/>
          <w:szCs w:val="22"/>
          <w:u w:val="single"/>
          <w:lang w:val="hr-HR"/>
        </w:rPr>
        <w:t>Ponovna aktivacija hepatitisa B</w:t>
      </w:r>
    </w:p>
    <w:p w14:paraId="5DE1A0E4" w14:textId="77777777" w:rsidR="004652DA" w:rsidRPr="00510442" w:rsidRDefault="004652DA" w:rsidP="004652DA">
      <w:pPr>
        <w:pStyle w:val="Text"/>
        <w:widowControl w:val="0"/>
        <w:spacing w:before="0"/>
        <w:jc w:val="left"/>
        <w:rPr>
          <w:color w:val="000000"/>
          <w:sz w:val="22"/>
          <w:szCs w:val="22"/>
          <w:lang w:val="hr-HR"/>
        </w:rPr>
      </w:pPr>
      <w:r w:rsidRPr="00510442">
        <w:rPr>
          <w:color w:val="000000"/>
          <w:sz w:val="22"/>
          <w:szCs w:val="22"/>
          <w:lang w:val="hr-HR"/>
        </w:rPr>
        <w:t>Ponovna aktivacija hepatitisa B zabilježena je u vezi s inhibitorima BCR-ABL tirozin kinaze. U nekim je slučajevima došlo do akutnog zatajenja jetre ili fulminantnog hepatitisa što je dovelo do transplantacije jetre ili smrtnog ishoda (vidjeti dio</w:t>
      </w:r>
      <w:r w:rsidR="004B3C1A" w:rsidRPr="00510442">
        <w:rPr>
          <w:color w:val="000000"/>
          <w:sz w:val="22"/>
          <w:szCs w:val="22"/>
          <w:lang w:val="hr-HR"/>
        </w:rPr>
        <w:t> </w:t>
      </w:r>
      <w:r w:rsidRPr="00510442">
        <w:rPr>
          <w:color w:val="000000"/>
          <w:sz w:val="22"/>
          <w:szCs w:val="22"/>
          <w:lang w:val="hr-HR"/>
        </w:rPr>
        <w:t>4.4).</w:t>
      </w:r>
    </w:p>
    <w:p w14:paraId="33E642F0" w14:textId="77777777" w:rsidR="004E375C" w:rsidRPr="00510442" w:rsidRDefault="004E375C" w:rsidP="004E375C">
      <w:pPr>
        <w:autoSpaceDE w:val="0"/>
        <w:autoSpaceDN w:val="0"/>
        <w:adjustRightInd w:val="0"/>
        <w:jc w:val="both"/>
        <w:rPr>
          <w:snapToGrid w:val="0"/>
          <w:szCs w:val="22"/>
          <w:u w:val="single"/>
          <w:lang w:val="hr-HR"/>
        </w:rPr>
      </w:pPr>
    </w:p>
    <w:p w14:paraId="23A2D18C" w14:textId="77777777" w:rsidR="004E375C" w:rsidRPr="00510442" w:rsidRDefault="004E375C" w:rsidP="003179A4">
      <w:pPr>
        <w:keepNext/>
        <w:autoSpaceDE w:val="0"/>
        <w:autoSpaceDN w:val="0"/>
        <w:adjustRightInd w:val="0"/>
        <w:jc w:val="both"/>
        <w:rPr>
          <w:snapToGrid w:val="0"/>
          <w:szCs w:val="22"/>
          <w:u w:val="single"/>
          <w:lang w:val="hr-HR"/>
        </w:rPr>
      </w:pPr>
      <w:r w:rsidRPr="00510442">
        <w:rPr>
          <w:snapToGrid w:val="0"/>
          <w:szCs w:val="22"/>
          <w:u w:val="single"/>
          <w:lang w:val="hr-HR"/>
        </w:rPr>
        <w:t>Prijavljivanje sumnji na nuspojavu</w:t>
      </w:r>
    </w:p>
    <w:p w14:paraId="384DB1F7" w14:textId="77777777" w:rsidR="009B57ED" w:rsidRPr="00510442" w:rsidRDefault="004E375C" w:rsidP="004E375C">
      <w:pPr>
        <w:pStyle w:val="Text"/>
        <w:widowControl w:val="0"/>
        <w:spacing w:before="0"/>
        <w:jc w:val="left"/>
        <w:rPr>
          <w:snapToGrid w:val="0"/>
          <w:sz w:val="22"/>
          <w:szCs w:val="22"/>
          <w:lang w:val="hr-HR"/>
        </w:rPr>
      </w:pPr>
      <w:r w:rsidRPr="00510442">
        <w:rPr>
          <w:snapToGrid w:val="0"/>
          <w:sz w:val="22"/>
          <w:szCs w:val="22"/>
          <w:lang w:val="hr-HR"/>
        </w:rPr>
        <w:t xml:space="preserve">Nakon dobivanja odobrenja lijeka važno je prijavljivanje sumnji na njegove nuspojave. Time se omogućuje kontinuirano praćenje omjera koristi i rizika lijeka. Od zdravstvenih </w:t>
      </w:r>
      <w:r w:rsidR="00976A00" w:rsidRPr="00510442">
        <w:rPr>
          <w:snapToGrid w:val="0"/>
          <w:sz w:val="22"/>
          <w:szCs w:val="22"/>
          <w:lang w:val="hr-HR"/>
        </w:rPr>
        <w:t xml:space="preserve">radnika </w:t>
      </w:r>
      <w:r w:rsidRPr="00510442">
        <w:rPr>
          <w:snapToGrid w:val="0"/>
          <w:sz w:val="22"/>
          <w:szCs w:val="22"/>
          <w:lang w:val="hr-HR"/>
        </w:rPr>
        <w:t>se traži da prijave svaku sumnju na nuspojavu lijeka putem nacionalnog sustava prijave nuspojava</w:t>
      </w:r>
      <w:r w:rsidR="00976A00" w:rsidRPr="00510442">
        <w:rPr>
          <w:snapToGrid w:val="0"/>
          <w:sz w:val="22"/>
          <w:szCs w:val="22"/>
          <w:lang w:val="hr-HR"/>
        </w:rPr>
        <w:t>:</w:t>
      </w:r>
      <w:r w:rsidRPr="00510442">
        <w:rPr>
          <w:snapToGrid w:val="0"/>
          <w:sz w:val="22"/>
          <w:szCs w:val="22"/>
          <w:lang w:val="hr-HR"/>
        </w:rPr>
        <w:t xml:space="preserve"> </w:t>
      </w:r>
      <w:r w:rsidRPr="00510442">
        <w:rPr>
          <w:snapToGrid w:val="0"/>
          <w:sz w:val="22"/>
          <w:szCs w:val="22"/>
          <w:shd w:val="clear" w:color="auto" w:fill="D9D9D9"/>
          <w:lang w:val="hr-HR"/>
        </w:rPr>
        <w:t xml:space="preserve">navedenog u </w:t>
      </w:r>
      <w:hyperlink r:id="rId13" w:history="1">
        <w:r w:rsidRPr="00510442">
          <w:rPr>
            <w:snapToGrid w:val="0"/>
            <w:color w:val="0000FF"/>
            <w:sz w:val="22"/>
            <w:szCs w:val="22"/>
            <w:u w:val="single"/>
            <w:shd w:val="clear" w:color="auto" w:fill="D9D9D9"/>
            <w:lang w:val="hr-HR"/>
          </w:rPr>
          <w:t>Dodatku V</w:t>
        </w:r>
      </w:hyperlink>
      <w:r w:rsidRPr="00510442">
        <w:rPr>
          <w:snapToGrid w:val="0"/>
          <w:sz w:val="22"/>
          <w:szCs w:val="22"/>
          <w:lang w:val="hr-HR"/>
        </w:rPr>
        <w:t>.</w:t>
      </w:r>
    </w:p>
    <w:p w14:paraId="17B11CDC" w14:textId="77777777" w:rsidR="004E375C" w:rsidRPr="00510442" w:rsidRDefault="004E375C" w:rsidP="004E375C">
      <w:pPr>
        <w:pStyle w:val="Text"/>
        <w:widowControl w:val="0"/>
        <w:spacing w:before="0"/>
        <w:jc w:val="left"/>
        <w:rPr>
          <w:color w:val="000000"/>
          <w:sz w:val="22"/>
          <w:szCs w:val="22"/>
          <w:lang w:val="hr-HR"/>
        </w:rPr>
      </w:pPr>
    </w:p>
    <w:p w14:paraId="00ACEC62" w14:textId="77777777" w:rsidR="00742D63" w:rsidRPr="00510442" w:rsidRDefault="00742D63" w:rsidP="003179A4">
      <w:pPr>
        <w:keepNext/>
        <w:tabs>
          <w:tab w:val="clear" w:pos="567"/>
        </w:tabs>
        <w:spacing w:line="240" w:lineRule="auto"/>
        <w:ind w:left="567" w:hanging="567"/>
        <w:outlineLvl w:val="0"/>
        <w:rPr>
          <w:szCs w:val="22"/>
          <w:lang w:val="hr-HR"/>
        </w:rPr>
      </w:pPr>
      <w:r w:rsidRPr="00510442">
        <w:rPr>
          <w:b/>
          <w:szCs w:val="22"/>
          <w:lang w:val="hr-HR"/>
        </w:rPr>
        <w:t>4.9</w:t>
      </w:r>
      <w:r w:rsidRPr="00510442">
        <w:rPr>
          <w:b/>
          <w:szCs w:val="22"/>
          <w:lang w:val="hr-HR"/>
        </w:rPr>
        <w:tab/>
        <w:t>Predoziranje</w:t>
      </w:r>
    </w:p>
    <w:p w14:paraId="04F51185" w14:textId="77777777" w:rsidR="009B57ED" w:rsidRPr="00510442" w:rsidRDefault="009B57ED" w:rsidP="003179A4">
      <w:pPr>
        <w:keepNext/>
        <w:widowControl w:val="0"/>
        <w:tabs>
          <w:tab w:val="clear" w:pos="567"/>
        </w:tabs>
        <w:spacing w:line="240" w:lineRule="auto"/>
        <w:rPr>
          <w:color w:val="000000"/>
          <w:szCs w:val="22"/>
          <w:lang w:val="hr-HR"/>
        </w:rPr>
      </w:pPr>
    </w:p>
    <w:p w14:paraId="48ADCB59" w14:textId="4724B753" w:rsidR="00876338" w:rsidRPr="00510442" w:rsidRDefault="00876338" w:rsidP="009B5630">
      <w:pPr>
        <w:spacing w:line="240" w:lineRule="auto"/>
        <w:rPr>
          <w:szCs w:val="22"/>
          <w:lang w:val="hr-HR"/>
        </w:rPr>
      </w:pPr>
      <w:r w:rsidRPr="00510442">
        <w:rPr>
          <w:szCs w:val="22"/>
          <w:lang w:val="hr-HR"/>
        </w:rPr>
        <w:t xml:space="preserve">Iskustvo s dozama višim od preporučene terapijske doze je ograničeno. Zabilježeni su spontani i literaturni izolirani slučajevi predoziranja </w:t>
      </w:r>
      <w:r w:rsidR="00951360">
        <w:rPr>
          <w:szCs w:val="22"/>
          <w:lang w:val="hr-HR"/>
        </w:rPr>
        <w:t xml:space="preserve">lijekom </w:t>
      </w:r>
      <w:r w:rsidRPr="00510442">
        <w:rPr>
          <w:szCs w:val="22"/>
          <w:lang w:val="hr-HR"/>
        </w:rPr>
        <w:t xml:space="preserve">Glivec. U slučaju predoziranja bolesnika treba promatrati i poduzeti odgovarajuće simptomatsko liječenje. Općenito, zabilježeni ishod u ovim slučajevima je bio </w:t>
      </w:r>
      <w:r w:rsidR="005A3589" w:rsidRPr="00510442">
        <w:rPr>
          <w:lang w:val="hr-HR"/>
        </w:rPr>
        <w:t>„</w:t>
      </w:r>
      <w:r w:rsidRPr="00510442">
        <w:rPr>
          <w:szCs w:val="22"/>
          <w:lang w:val="hr-HR"/>
        </w:rPr>
        <w:t>poboljšanje</w:t>
      </w:r>
      <w:r w:rsidR="005A3589" w:rsidRPr="00510442">
        <w:rPr>
          <w:lang w:val="hr-HR"/>
        </w:rPr>
        <w:t>“</w:t>
      </w:r>
      <w:r w:rsidRPr="00510442">
        <w:rPr>
          <w:szCs w:val="22"/>
          <w:lang w:val="hr-HR"/>
        </w:rPr>
        <w:t xml:space="preserve"> ili </w:t>
      </w:r>
      <w:r w:rsidR="005A3589" w:rsidRPr="00510442">
        <w:rPr>
          <w:lang w:val="hr-HR"/>
        </w:rPr>
        <w:t>„</w:t>
      </w:r>
      <w:r w:rsidRPr="00510442">
        <w:rPr>
          <w:szCs w:val="22"/>
          <w:lang w:val="hr-HR"/>
        </w:rPr>
        <w:t>oporavak</w:t>
      </w:r>
      <w:r w:rsidR="005A3589" w:rsidRPr="00510442">
        <w:rPr>
          <w:lang w:val="hr-HR"/>
        </w:rPr>
        <w:t>“</w:t>
      </w:r>
      <w:r w:rsidRPr="00510442">
        <w:rPr>
          <w:szCs w:val="22"/>
          <w:lang w:val="hr-HR"/>
        </w:rPr>
        <w:t>. Zabilježeni su sljedeći događaji s različitim rasponima doza:</w:t>
      </w:r>
    </w:p>
    <w:p w14:paraId="4E5EE4DD" w14:textId="77777777" w:rsidR="00C759DD" w:rsidRPr="00510442" w:rsidRDefault="00C759DD" w:rsidP="0091773C">
      <w:pPr>
        <w:widowControl w:val="0"/>
        <w:tabs>
          <w:tab w:val="clear" w:pos="567"/>
        </w:tabs>
        <w:spacing w:line="240" w:lineRule="auto"/>
        <w:rPr>
          <w:color w:val="000000"/>
          <w:szCs w:val="22"/>
          <w:lang w:val="hr-HR"/>
        </w:rPr>
      </w:pPr>
    </w:p>
    <w:p w14:paraId="297ED079" w14:textId="77777777" w:rsidR="00B84DE1" w:rsidRPr="00510442" w:rsidRDefault="00876338" w:rsidP="003179A4">
      <w:pPr>
        <w:keepNext/>
        <w:widowControl w:val="0"/>
        <w:tabs>
          <w:tab w:val="clear" w:pos="567"/>
        </w:tabs>
        <w:spacing w:line="240" w:lineRule="auto"/>
        <w:rPr>
          <w:color w:val="000000"/>
          <w:szCs w:val="22"/>
          <w:lang w:val="hr-HR"/>
        </w:rPr>
      </w:pPr>
      <w:r w:rsidRPr="00510442">
        <w:rPr>
          <w:i/>
          <w:szCs w:val="22"/>
          <w:lang w:val="hr-HR"/>
        </w:rPr>
        <w:t>Populacija odraslih osoba</w:t>
      </w:r>
    </w:p>
    <w:p w14:paraId="011071CD" w14:textId="77777777" w:rsidR="00876338" w:rsidRPr="00510442" w:rsidRDefault="00876338" w:rsidP="009B5630">
      <w:pPr>
        <w:spacing w:line="240" w:lineRule="auto"/>
        <w:rPr>
          <w:szCs w:val="22"/>
          <w:lang w:val="hr-HR"/>
        </w:rPr>
      </w:pPr>
      <w:r w:rsidRPr="00510442">
        <w:rPr>
          <w:szCs w:val="22"/>
          <w:lang w:val="hr-HR"/>
        </w:rPr>
        <w:t>1200 do 1600</w:t>
      </w:r>
      <w:r w:rsidR="00444A27" w:rsidRPr="00510442">
        <w:rPr>
          <w:color w:val="000000"/>
          <w:szCs w:val="22"/>
          <w:lang w:val="hr-HR"/>
        </w:rPr>
        <w:t> </w:t>
      </w:r>
      <w:r w:rsidRPr="00510442">
        <w:rPr>
          <w:szCs w:val="22"/>
          <w:lang w:val="hr-HR"/>
        </w:rPr>
        <w:t>mg (trajanje je variralo između jednog i 10</w:t>
      </w:r>
      <w:r w:rsidR="00444A27" w:rsidRPr="00510442">
        <w:rPr>
          <w:color w:val="000000"/>
          <w:szCs w:val="22"/>
          <w:lang w:val="hr-HR"/>
        </w:rPr>
        <w:t> </w:t>
      </w:r>
      <w:r w:rsidRPr="00510442">
        <w:rPr>
          <w:szCs w:val="22"/>
          <w:lang w:val="hr-HR"/>
        </w:rPr>
        <w:t>dana): mučnina, povraćanje, proljev, osip, eritem, edem, oticanje, umor, mišićni spazam, trombocitopenija, pancitopenija, bol u trbuhu, glavobolja, smanjeni apetit.</w:t>
      </w:r>
    </w:p>
    <w:p w14:paraId="6EEA6FA8" w14:textId="77777777" w:rsidR="00876338" w:rsidRPr="00510442" w:rsidRDefault="00876338" w:rsidP="009B5630">
      <w:pPr>
        <w:spacing w:line="240" w:lineRule="auto"/>
        <w:rPr>
          <w:szCs w:val="22"/>
          <w:lang w:val="hr-HR"/>
        </w:rPr>
      </w:pPr>
      <w:r w:rsidRPr="00510442">
        <w:rPr>
          <w:szCs w:val="22"/>
          <w:lang w:val="hr-HR"/>
        </w:rPr>
        <w:t>1800 do 3200</w:t>
      </w:r>
      <w:r w:rsidR="00444A27" w:rsidRPr="00510442">
        <w:rPr>
          <w:color w:val="000000"/>
          <w:szCs w:val="22"/>
          <w:lang w:val="hr-HR"/>
        </w:rPr>
        <w:t> </w:t>
      </w:r>
      <w:r w:rsidRPr="00510442">
        <w:rPr>
          <w:szCs w:val="22"/>
          <w:lang w:val="hr-HR"/>
        </w:rPr>
        <w:t>mg (najviše 3200</w:t>
      </w:r>
      <w:r w:rsidR="00444A27" w:rsidRPr="00510442">
        <w:rPr>
          <w:color w:val="000000"/>
          <w:szCs w:val="22"/>
          <w:lang w:val="hr-HR"/>
        </w:rPr>
        <w:t> </w:t>
      </w:r>
      <w:r w:rsidRPr="00510442">
        <w:rPr>
          <w:szCs w:val="22"/>
          <w:lang w:val="hr-HR"/>
        </w:rPr>
        <w:t xml:space="preserve">mg </w:t>
      </w:r>
      <w:r w:rsidR="004D297E" w:rsidRPr="00510442">
        <w:rPr>
          <w:szCs w:val="22"/>
          <w:lang w:val="hr-HR"/>
        </w:rPr>
        <w:t xml:space="preserve">na dan </w:t>
      </w:r>
      <w:r w:rsidRPr="00510442">
        <w:rPr>
          <w:szCs w:val="22"/>
          <w:lang w:val="hr-HR"/>
        </w:rPr>
        <w:t>tijekom 6</w:t>
      </w:r>
      <w:r w:rsidR="00444A27" w:rsidRPr="00510442">
        <w:rPr>
          <w:color w:val="000000"/>
          <w:szCs w:val="22"/>
          <w:lang w:val="hr-HR"/>
        </w:rPr>
        <w:t> </w:t>
      </w:r>
      <w:r w:rsidRPr="00510442">
        <w:rPr>
          <w:szCs w:val="22"/>
          <w:lang w:val="hr-HR"/>
        </w:rPr>
        <w:t>dana): slabost, mialgija, povišenje vrijednosti kreatinin fosfokinaze, povišenje vrijednosti bilirubina, bol u trbuhu.</w:t>
      </w:r>
    </w:p>
    <w:p w14:paraId="32CA63FD" w14:textId="77777777" w:rsidR="00876338" w:rsidRPr="00510442" w:rsidRDefault="00876338" w:rsidP="009B5630">
      <w:pPr>
        <w:spacing w:line="240" w:lineRule="auto"/>
        <w:rPr>
          <w:szCs w:val="22"/>
          <w:lang w:val="hr-HR"/>
        </w:rPr>
      </w:pPr>
      <w:r w:rsidRPr="00510442">
        <w:rPr>
          <w:szCs w:val="22"/>
          <w:lang w:val="hr-HR"/>
        </w:rPr>
        <w:t>6400</w:t>
      </w:r>
      <w:r w:rsidR="00444A27" w:rsidRPr="00510442">
        <w:rPr>
          <w:color w:val="000000"/>
          <w:szCs w:val="22"/>
          <w:lang w:val="hr-HR"/>
        </w:rPr>
        <w:t> </w:t>
      </w:r>
      <w:r w:rsidRPr="00510442">
        <w:rPr>
          <w:szCs w:val="22"/>
          <w:lang w:val="hr-HR"/>
        </w:rPr>
        <w:t>mg (jednokratna doza): u literaturi je zabilježen jedan slučaj jednog bolesnika s mučninom, povraćanjem, bolovima u trbuhu, vrućicom, oticanjem lica, smanjenim brojem neutrofila, povišenjem vrijednosti transaminaza.</w:t>
      </w:r>
    </w:p>
    <w:p w14:paraId="196AABC4" w14:textId="77777777" w:rsidR="00876338" w:rsidRPr="00510442" w:rsidRDefault="00876338" w:rsidP="009B5630">
      <w:pPr>
        <w:spacing w:line="240" w:lineRule="auto"/>
        <w:rPr>
          <w:szCs w:val="22"/>
          <w:lang w:val="hr-HR"/>
        </w:rPr>
      </w:pPr>
      <w:r w:rsidRPr="00510442">
        <w:rPr>
          <w:szCs w:val="22"/>
          <w:lang w:val="hr-HR"/>
        </w:rPr>
        <w:t>8 do 10</w:t>
      </w:r>
      <w:r w:rsidR="00243226" w:rsidRPr="00510442">
        <w:rPr>
          <w:color w:val="000000"/>
          <w:szCs w:val="22"/>
          <w:lang w:val="hr-HR"/>
        </w:rPr>
        <w:t> </w:t>
      </w:r>
      <w:r w:rsidRPr="00510442">
        <w:rPr>
          <w:szCs w:val="22"/>
          <w:lang w:val="hr-HR"/>
        </w:rPr>
        <w:t>g (jednokratna doza): zabilježeni su povraćanje i bolovi u trbuhu.</w:t>
      </w:r>
    </w:p>
    <w:p w14:paraId="2C4C434A" w14:textId="77777777" w:rsidR="00AE1D76" w:rsidRPr="00510442" w:rsidRDefault="00AE1D76" w:rsidP="0091773C">
      <w:pPr>
        <w:widowControl w:val="0"/>
        <w:tabs>
          <w:tab w:val="clear" w:pos="567"/>
        </w:tabs>
        <w:spacing w:line="240" w:lineRule="auto"/>
        <w:rPr>
          <w:color w:val="000000"/>
          <w:szCs w:val="22"/>
          <w:lang w:val="hr-HR"/>
        </w:rPr>
      </w:pPr>
    </w:p>
    <w:p w14:paraId="04BE337F" w14:textId="77777777" w:rsidR="00B84DE1" w:rsidRPr="00510442" w:rsidRDefault="00742D63" w:rsidP="003179A4">
      <w:pPr>
        <w:keepNext/>
        <w:widowControl w:val="0"/>
        <w:tabs>
          <w:tab w:val="clear" w:pos="567"/>
        </w:tabs>
        <w:spacing w:line="240" w:lineRule="auto"/>
        <w:rPr>
          <w:i/>
          <w:color w:val="000000"/>
          <w:szCs w:val="22"/>
          <w:lang w:val="hr-HR"/>
        </w:rPr>
      </w:pPr>
      <w:r w:rsidRPr="00510442">
        <w:rPr>
          <w:i/>
          <w:szCs w:val="22"/>
          <w:lang w:val="hr-HR"/>
        </w:rPr>
        <w:t>Pedijatrijska populacija</w:t>
      </w:r>
    </w:p>
    <w:p w14:paraId="0FCA38CD" w14:textId="77777777" w:rsidR="00243226" w:rsidRPr="00510442" w:rsidRDefault="00243226" w:rsidP="009B5630">
      <w:pPr>
        <w:spacing w:line="240" w:lineRule="auto"/>
        <w:rPr>
          <w:szCs w:val="22"/>
          <w:lang w:val="hr-HR"/>
        </w:rPr>
      </w:pPr>
      <w:r w:rsidRPr="00510442">
        <w:rPr>
          <w:szCs w:val="22"/>
          <w:lang w:val="hr-HR"/>
        </w:rPr>
        <w:t>Kod jednog trogodišnjeg dječaka izloženog jednokratnoj dozi od 400</w:t>
      </w:r>
      <w:r w:rsidRPr="00510442">
        <w:rPr>
          <w:color w:val="000000"/>
          <w:szCs w:val="22"/>
          <w:lang w:val="hr-HR"/>
        </w:rPr>
        <w:t> </w:t>
      </w:r>
      <w:r w:rsidRPr="00510442">
        <w:rPr>
          <w:szCs w:val="22"/>
          <w:lang w:val="hr-HR"/>
        </w:rPr>
        <w:t>mg došlo je do povraćanja, proljeva i anoreksije, dok je kod drugog trogodišnjeg dječaka izloženog jednokratnoj dozi od 980</w:t>
      </w:r>
      <w:r w:rsidRPr="00510442">
        <w:rPr>
          <w:color w:val="000000"/>
          <w:szCs w:val="22"/>
          <w:lang w:val="hr-HR"/>
        </w:rPr>
        <w:t> </w:t>
      </w:r>
      <w:r w:rsidRPr="00510442">
        <w:rPr>
          <w:szCs w:val="22"/>
          <w:lang w:val="hr-HR"/>
        </w:rPr>
        <w:t>mg došlo do smanjenog broja leukocita i proljeva.</w:t>
      </w:r>
    </w:p>
    <w:p w14:paraId="5BF1C3A6" w14:textId="77777777" w:rsidR="00243226" w:rsidRPr="00510442" w:rsidRDefault="00243226" w:rsidP="009B5630">
      <w:pPr>
        <w:spacing w:line="240" w:lineRule="auto"/>
        <w:rPr>
          <w:szCs w:val="22"/>
          <w:lang w:val="hr-HR"/>
        </w:rPr>
      </w:pPr>
    </w:p>
    <w:p w14:paraId="64EB9377" w14:textId="77777777" w:rsidR="00243226" w:rsidRPr="00510442" w:rsidRDefault="00243226" w:rsidP="009B5630">
      <w:pPr>
        <w:spacing w:line="240" w:lineRule="auto"/>
        <w:rPr>
          <w:szCs w:val="22"/>
          <w:lang w:val="hr-HR"/>
        </w:rPr>
      </w:pPr>
      <w:r w:rsidRPr="00510442">
        <w:rPr>
          <w:szCs w:val="22"/>
          <w:lang w:val="hr-HR"/>
        </w:rPr>
        <w:t>U slučaju predoziranja, potrebno je promatrati bolesnika i provoditi odgovarajuće suportivno liječenje.</w:t>
      </w:r>
    </w:p>
    <w:p w14:paraId="3C85261B" w14:textId="77777777" w:rsidR="009B57ED" w:rsidRPr="00510442" w:rsidRDefault="009B57ED" w:rsidP="0091773C">
      <w:pPr>
        <w:widowControl w:val="0"/>
        <w:tabs>
          <w:tab w:val="clear" w:pos="567"/>
        </w:tabs>
        <w:spacing w:line="240" w:lineRule="auto"/>
        <w:rPr>
          <w:color w:val="000000"/>
          <w:szCs w:val="22"/>
          <w:lang w:val="hr-HR"/>
        </w:rPr>
      </w:pPr>
    </w:p>
    <w:p w14:paraId="5B13A689" w14:textId="77777777" w:rsidR="009B57ED" w:rsidRPr="00510442" w:rsidRDefault="009B57ED" w:rsidP="00422F71">
      <w:pPr>
        <w:widowControl w:val="0"/>
        <w:tabs>
          <w:tab w:val="clear" w:pos="567"/>
        </w:tabs>
        <w:spacing w:line="240" w:lineRule="auto"/>
        <w:rPr>
          <w:color w:val="000000"/>
          <w:szCs w:val="22"/>
          <w:lang w:val="hr-HR"/>
        </w:rPr>
      </w:pPr>
    </w:p>
    <w:p w14:paraId="1BE8AF9C" w14:textId="77777777" w:rsidR="00742D63" w:rsidRPr="00510442" w:rsidRDefault="00742D63" w:rsidP="003179A4">
      <w:pPr>
        <w:keepNext/>
        <w:tabs>
          <w:tab w:val="clear" w:pos="567"/>
        </w:tabs>
        <w:spacing w:line="240" w:lineRule="auto"/>
        <w:ind w:left="567" w:hanging="567"/>
        <w:rPr>
          <w:szCs w:val="22"/>
          <w:lang w:val="hr-HR"/>
        </w:rPr>
      </w:pPr>
      <w:r w:rsidRPr="00510442">
        <w:rPr>
          <w:b/>
          <w:szCs w:val="22"/>
          <w:lang w:val="hr-HR"/>
        </w:rPr>
        <w:t>5.</w:t>
      </w:r>
      <w:r w:rsidRPr="00510442">
        <w:rPr>
          <w:b/>
          <w:szCs w:val="22"/>
          <w:lang w:val="hr-HR"/>
        </w:rPr>
        <w:tab/>
        <w:t>FARMAKOLOŠKA SVOJSTVA</w:t>
      </w:r>
    </w:p>
    <w:p w14:paraId="48A5C558" w14:textId="77777777" w:rsidR="009B57ED" w:rsidRPr="00510442" w:rsidRDefault="009B57ED" w:rsidP="003179A4">
      <w:pPr>
        <w:keepNext/>
        <w:widowControl w:val="0"/>
        <w:tabs>
          <w:tab w:val="clear" w:pos="567"/>
        </w:tabs>
        <w:spacing w:line="240" w:lineRule="auto"/>
        <w:rPr>
          <w:color w:val="000000"/>
          <w:szCs w:val="22"/>
          <w:lang w:val="hr-HR"/>
        </w:rPr>
      </w:pPr>
    </w:p>
    <w:p w14:paraId="1A909A5C" w14:textId="77777777" w:rsidR="00742D63" w:rsidRPr="00510442" w:rsidRDefault="00742D63" w:rsidP="003179A4">
      <w:pPr>
        <w:keepNext/>
        <w:tabs>
          <w:tab w:val="clear" w:pos="567"/>
        </w:tabs>
        <w:spacing w:line="240" w:lineRule="auto"/>
        <w:ind w:left="567" w:hanging="567"/>
        <w:outlineLvl w:val="0"/>
        <w:rPr>
          <w:szCs w:val="22"/>
          <w:lang w:val="hr-HR"/>
        </w:rPr>
      </w:pPr>
      <w:r w:rsidRPr="00510442">
        <w:rPr>
          <w:b/>
          <w:szCs w:val="22"/>
          <w:lang w:val="hr-HR"/>
        </w:rPr>
        <w:t>5.1</w:t>
      </w:r>
      <w:r w:rsidRPr="00510442">
        <w:rPr>
          <w:b/>
          <w:szCs w:val="22"/>
          <w:lang w:val="hr-HR"/>
        </w:rPr>
        <w:tab/>
        <w:t>Farmakodinamička svojstva</w:t>
      </w:r>
    </w:p>
    <w:p w14:paraId="387E89A6" w14:textId="77777777" w:rsidR="009B57ED" w:rsidRPr="00510442" w:rsidRDefault="009B57ED" w:rsidP="003179A4">
      <w:pPr>
        <w:pStyle w:val="EndnoteText"/>
        <w:keepNext/>
        <w:widowControl w:val="0"/>
        <w:tabs>
          <w:tab w:val="clear" w:pos="567"/>
        </w:tabs>
        <w:rPr>
          <w:color w:val="000000"/>
          <w:szCs w:val="22"/>
          <w:lang w:val="hr-HR"/>
        </w:rPr>
      </w:pPr>
    </w:p>
    <w:p w14:paraId="6973710E" w14:textId="77777777" w:rsidR="009B57ED" w:rsidRPr="00510442" w:rsidRDefault="00742D63" w:rsidP="0038669B">
      <w:pPr>
        <w:widowControl w:val="0"/>
        <w:tabs>
          <w:tab w:val="clear" w:pos="567"/>
        </w:tabs>
        <w:spacing w:line="240" w:lineRule="auto"/>
        <w:rPr>
          <w:color w:val="000000"/>
          <w:szCs w:val="22"/>
          <w:lang w:val="hr-HR"/>
        </w:rPr>
      </w:pPr>
      <w:r w:rsidRPr="00510442">
        <w:rPr>
          <w:szCs w:val="22"/>
          <w:lang w:val="hr-HR"/>
        </w:rPr>
        <w:t>Farmakoterapijska skupina</w:t>
      </w:r>
      <w:r w:rsidR="009B57ED" w:rsidRPr="00510442">
        <w:rPr>
          <w:color w:val="000000"/>
          <w:szCs w:val="22"/>
          <w:lang w:val="hr-HR"/>
        </w:rPr>
        <w:t xml:space="preserve">: </w:t>
      </w:r>
      <w:r w:rsidR="00C7485C" w:rsidRPr="00510442">
        <w:rPr>
          <w:szCs w:val="22"/>
          <w:lang w:val="hr-HR"/>
        </w:rPr>
        <w:t>inhibitor protein-tirozin kinaze</w:t>
      </w:r>
      <w:r w:rsidR="009B57ED" w:rsidRPr="00510442">
        <w:rPr>
          <w:color w:val="000000"/>
          <w:szCs w:val="22"/>
          <w:lang w:val="hr-HR"/>
        </w:rPr>
        <w:t xml:space="preserve">, </w:t>
      </w:r>
      <w:r w:rsidRPr="00510442">
        <w:rPr>
          <w:szCs w:val="22"/>
          <w:lang w:val="hr-HR"/>
        </w:rPr>
        <w:t>ATK oznaka</w:t>
      </w:r>
      <w:r w:rsidR="009B57ED" w:rsidRPr="00510442">
        <w:rPr>
          <w:color w:val="000000"/>
          <w:szCs w:val="22"/>
          <w:lang w:val="hr-HR"/>
        </w:rPr>
        <w:t xml:space="preserve">: </w:t>
      </w:r>
      <w:r w:rsidR="007569BA" w:rsidRPr="00510442">
        <w:rPr>
          <w:color w:val="000000"/>
          <w:szCs w:val="22"/>
          <w:lang w:val="hr-HR"/>
        </w:rPr>
        <w:t>L01XE01</w:t>
      </w:r>
    </w:p>
    <w:p w14:paraId="0CC5186E" w14:textId="77777777" w:rsidR="00E539BC" w:rsidRPr="00510442" w:rsidRDefault="00E539BC" w:rsidP="00236E0E">
      <w:pPr>
        <w:pStyle w:val="EndnoteText"/>
        <w:widowControl w:val="0"/>
        <w:tabs>
          <w:tab w:val="clear" w:pos="567"/>
        </w:tabs>
        <w:rPr>
          <w:color w:val="000000"/>
          <w:szCs w:val="22"/>
          <w:lang w:val="hr-HR"/>
        </w:rPr>
      </w:pPr>
    </w:p>
    <w:p w14:paraId="0046EE7C" w14:textId="77777777" w:rsidR="00E539BC" w:rsidRPr="00510442" w:rsidRDefault="00742D63" w:rsidP="003179A4">
      <w:pPr>
        <w:pStyle w:val="EndnoteText"/>
        <w:keepNext/>
        <w:widowControl w:val="0"/>
        <w:tabs>
          <w:tab w:val="clear" w:pos="567"/>
        </w:tabs>
        <w:rPr>
          <w:color w:val="000000"/>
          <w:szCs w:val="22"/>
          <w:u w:val="single"/>
          <w:lang w:val="hr-HR"/>
        </w:rPr>
      </w:pPr>
      <w:r w:rsidRPr="00510442">
        <w:rPr>
          <w:szCs w:val="22"/>
          <w:u w:val="single"/>
          <w:lang w:val="hr-HR"/>
        </w:rPr>
        <w:lastRenderedPageBreak/>
        <w:t>Mehanizam djelovanja</w:t>
      </w:r>
    </w:p>
    <w:p w14:paraId="3C37B934" w14:textId="77777777" w:rsidR="002C626C" w:rsidRPr="00510442" w:rsidRDefault="002C626C" w:rsidP="003C0A50">
      <w:pPr>
        <w:pStyle w:val="EndnoteText"/>
        <w:widowControl w:val="0"/>
        <w:tabs>
          <w:tab w:val="clear" w:pos="567"/>
        </w:tabs>
        <w:rPr>
          <w:szCs w:val="22"/>
          <w:lang w:val="hr-HR"/>
        </w:rPr>
      </w:pPr>
      <w:r w:rsidRPr="00510442">
        <w:rPr>
          <w:szCs w:val="22"/>
          <w:lang w:val="hr-HR"/>
        </w:rPr>
        <w:t>Imatinib je mala molekula</w:t>
      </w:r>
      <w:r w:rsidR="00D02FCC" w:rsidRPr="00510442">
        <w:rPr>
          <w:szCs w:val="22"/>
          <w:lang w:val="hr-HR"/>
        </w:rPr>
        <w:t>,</w:t>
      </w:r>
      <w:r w:rsidRPr="00510442">
        <w:rPr>
          <w:szCs w:val="22"/>
          <w:lang w:val="hr-HR"/>
        </w:rPr>
        <w:t xml:space="preserve"> inhibitor protein-tirozin kinaze</w:t>
      </w:r>
      <w:r w:rsidR="00D02FCC" w:rsidRPr="00510442">
        <w:rPr>
          <w:szCs w:val="22"/>
          <w:lang w:val="hr-HR"/>
        </w:rPr>
        <w:t>,</w:t>
      </w:r>
      <w:r w:rsidRPr="00510442">
        <w:rPr>
          <w:szCs w:val="22"/>
          <w:lang w:val="hr-HR"/>
        </w:rPr>
        <w:t xml:space="preserve"> koja potentno inhibira aktivnost Bcr-Abl tirozin kinaze (TK), kao i nekoliko TK receptora: Kit, receptor za faktor matičnih stanica (SCF, engl. </w:t>
      </w:r>
      <w:r w:rsidRPr="00510442">
        <w:rPr>
          <w:i/>
          <w:szCs w:val="22"/>
          <w:lang w:val="hr-HR"/>
        </w:rPr>
        <w:t>stem cell factor</w:t>
      </w:r>
      <w:r w:rsidRPr="00510442">
        <w:rPr>
          <w:szCs w:val="22"/>
          <w:lang w:val="hr-HR"/>
        </w:rPr>
        <w:t>) kodiran c-Kit protoonkogen</w:t>
      </w:r>
      <w:r w:rsidR="00D02FCC" w:rsidRPr="00510442">
        <w:rPr>
          <w:szCs w:val="22"/>
          <w:lang w:val="hr-HR"/>
        </w:rPr>
        <w:t>om</w:t>
      </w:r>
      <w:r w:rsidRPr="00510442">
        <w:rPr>
          <w:szCs w:val="22"/>
          <w:lang w:val="hr-HR"/>
        </w:rPr>
        <w:t xml:space="preserve">, </w:t>
      </w:r>
      <w:r w:rsidR="005C11BC" w:rsidRPr="00510442">
        <w:rPr>
          <w:szCs w:val="22"/>
          <w:lang w:val="hr-HR"/>
        </w:rPr>
        <w:t xml:space="preserve">receptore za diskoidinsku domenu (DDR1 i DDR2, engl. </w:t>
      </w:r>
      <w:r w:rsidR="005C11BC" w:rsidRPr="00510442">
        <w:rPr>
          <w:i/>
          <w:szCs w:val="22"/>
          <w:lang w:val="hr-HR"/>
        </w:rPr>
        <w:t>discoidin domain receptors</w:t>
      </w:r>
      <w:r w:rsidR="005C11BC" w:rsidRPr="00510442">
        <w:rPr>
          <w:szCs w:val="22"/>
          <w:lang w:val="hr-HR"/>
        </w:rPr>
        <w:t xml:space="preserve">), receptor za </w:t>
      </w:r>
      <w:r w:rsidR="00D02FCC" w:rsidRPr="00510442">
        <w:rPr>
          <w:szCs w:val="22"/>
          <w:lang w:val="hr-HR"/>
        </w:rPr>
        <w:t xml:space="preserve">faktor stimulacije kolonija (CSF-1R, engl. </w:t>
      </w:r>
      <w:r w:rsidR="00D02FCC" w:rsidRPr="00510442">
        <w:rPr>
          <w:i/>
          <w:szCs w:val="22"/>
          <w:lang w:val="hr-HR"/>
        </w:rPr>
        <w:t>colony stimulating factor receptor</w:t>
      </w:r>
      <w:r w:rsidR="00D02FCC" w:rsidRPr="00510442">
        <w:rPr>
          <w:szCs w:val="22"/>
          <w:lang w:val="hr-HR"/>
        </w:rPr>
        <w:t>) te alfa i beta receptore za faktor rasta koji potječe od trombocita (PDGFR-alfa i PDGFR-beta). Imatinib može također inhibirati i stanične događaje posredovane aktivacijom tih receptorskih kinaza.</w:t>
      </w:r>
    </w:p>
    <w:p w14:paraId="40C8D589" w14:textId="77777777" w:rsidR="00E539BC" w:rsidRPr="00510442" w:rsidRDefault="00E539BC" w:rsidP="003C0A50">
      <w:pPr>
        <w:pStyle w:val="EndnoteText"/>
        <w:widowControl w:val="0"/>
        <w:tabs>
          <w:tab w:val="clear" w:pos="567"/>
        </w:tabs>
        <w:rPr>
          <w:color w:val="000000"/>
          <w:szCs w:val="22"/>
          <w:lang w:val="hr-HR"/>
        </w:rPr>
      </w:pPr>
    </w:p>
    <w:p w14:paraId="73B4C23B" w14:textId="77777777" w:rsidR="009B57ED" w:rsidRPr="00510442" w:rsidRDefault="00742D63" w:rsidP="003179A4">
      <w:pPr>
        <w:pStyle w:val="EndnoteText"/>
        <w:keepNext/>
        <w:widowControl w:val="0"/>
        <w:tabs>
          <w:tab w:val="clear" w:pos="567"/>
        </w:tabs>
        <w:rPr>
          <w:color w:val="000000"/>
          <w:szCs w:val="22"/>
          <w:lang w:val="hr-HR"/>
        </w:rPr>
      </w:pPr>
      <w:r w:rsidRPr="00510442">
        <w:rPr>
          <w:szCs w:val="22"/>
          <w:u w:val="single"/>
          <w:lang w:val="hr-HR"/>
        </w:rPr>
        <w:t>Farmakodinamički učinci</w:t>
      </w:r>
    </w:p>
    <w:p w14:paraId="788C4CFD" w14:textId="77777777" w:rsidR="00C7485C" w:rsidRPr="00510442" w:rsidRDefault="00C7485C" w:rsidP="004D775F">
      <w:pPr>
        <w:pStyle w:val="EndnoteText"/>
        <w:widowControl w:val="0"/>
        <w:tabs>
          <w:tab w:val="clear" w:pos="567"/>
        </w:tabs>
        <w:rPr>
          <w:szCs w:val="22"/>
          <w:lang w:val="hr-HR"/>
        </w:rPr>
      </w:pPr>
      <w:r w:rsidRPr="00510442">
        <w:rPr>
          <w:szCs w:val="22"/>
          <w:lang w:val="hr-HR"/>
        </w:rPr>
        <w:t xml:space="preserve">Imatinib je inhibitor protein-tirozin kinaze koji snažno inhibira Bcr-Abl tirozin kinazu na </w:t>
      </w:r>
      <w:r w:rsidRPr="00510442">
        <w:rPr>
          <w:i/>
          <w:szCs w:val="22"/>
          <w:lang w:val="hr-HR"/>
        </w:rPr>
        <w:t>in vitro</w:t>
      </w:r>
      <w:r w:rsidRPr="00510442">
        <w:rPr>
          <w:szCs w:val="22"/>
          <w:lang w:val="hr-HR"/>
        </w:rPr>
        <w:t xml:space="preserve">, staničnom te </w:t>
      </w:r>
      <w:r w:rsidRPr="00510442">
        <w:rPr>
          <w:i/>
          <w:szCs w:val="22"/>
          <w:lang w:val="hr-HR"/>
        </w:rPr>
        <w:t>in vivo</w:t>
      </w:r>
      <w:r w:rsidRPr="00510442">
        <w:rPr>
          <w:szCs w:val="22"/>
          <w:lang w:val="hr-HR"/>
        </w:rPr>
        <w:t xml:space="preserve"> nivou. Supstancija selektivno inhibira proliferaciju te inducira apoptozu u Bcr-Abl pozitivnim staničnim linijama, kao i u svježim leukemijskim stanicama osoba koje boluju od kronične mijeloične leukemije (</w:t>
      </w:r>
      <w:r w:rsidR="007565D7" w:rsidRPr="00510442">
        <w:rPr>
          <w:szCs w:val="22"/>
          <w:lang w:val="hr-HR"/>
        </w:rPr>
        <w:t>K</w:t>
      </w:r>
      <w:r w:rsidRPr="00510442">
        <w:rPr>
          <w:szCs w:val="22"/>
          <w:lang w:val="hr-HR"/>
        </w:rPr>
        <w:t>ML) s pozitivnim Philadelphia kromosomom i od akutne limfoblastične leukemije (ALL).</w:t>
      </w:r>
    </w:p>
    <w:p w14:paraId="397273FB" w14:textId="77777777" w:rsidR="009B57ED" w:rsidRPr="00510442" w:rsidRDefault="009B57ED" w:rsidP="00457295">
      <w:pPr>
        <w:pStyle w:val="EndnoteText"/>
        <w:widowControl w:val="0"/>
        <w:tabs>
          <w:tab w:val="clear" w:pos="567"/>
        </w:tabs>
        <w:rPr>
          <w:color w:val="000000"/>
          <w:szCs w:val="22"/>
          <w:lang w:val="hr-HR"/>
        </w:rPr>
      </w:pPr>
    </w:p>
    <w:p w14:paraId="76D83793" w14:textId="77777777" w:rsidR="009B57ED" w:rsidRPr="00510442" w:rsidRDefault="00C7485C" w:rsidP="00E74D30">
      <w:pPr>
        <w:pStyle w:val="EndnoteText"/>
        <w:widowControl w:val="0"/>
        <w:tabs>
          <w:tab w:val="clear" w:pos="567"/>
        </w:tabs>
        <w:rPr>
          <w:color w:val="000000"/>
          <w:szCs w:val="22"/>
          <w:lang w:val="hr-HR"/>
        </w:rPr>
      </w:pPr>
      <w:r w:rsidRPr="00510442">
        <w:rPr>
          <w:szCs w:val="22"/>
          <w:lang w:val="hr-HR"/>
        </w:rPr>
        <w:t xml:space="preserve">Supstancija pokazuje </w:t>
      </w:r>
      <w:r w:rsidRPr="00510442">
        <w:rPr>
          <w:i/>
          <w:szCs w:val="22"/>
          <w:lang w:val="hr-HR"/>
        </w:rPr>
        <w:t>in vivo</w:t>
      </w:r>
      <w:r w:rsidRPr="00510442">
        <w:rPr>
          <w:szCs w:val="22"/>
          <w:lang w:val="hr-HR"/>
        </w:rPr>
        <w:t xml:space="preserve"> antitumorsko djelovanje kao samostalni agens na životinjskim modelima u kojima se koriste Bcr-Abl pozitivne tumorske stanice.</w:t>
      </w:r>
    </w:p>
    <w:p w14:paraId="5FD908F9" w14:textId="77777777" w:rsidR="009B57ED" w:rsidRPr="00510442" w:rsidRDefault="009B57ED" w:rsidP="00E74D30">
      <w:pPr>
        <w:pStyle w:val="EndnoteText"/>
        <w:widowControl w:val="0"/>
        <w:tabs>
          <w:tab w:val="clear" w:pos="567"/>
        </w:tabs>
        <w:rPr>
          <w:color w:val="000000"/>
          <w:szCs w:val="22"/>
          <w:lang w:val="hr-HR"/>
        </w:rPr>
      </w:pPr>
    </w:p>
    <w:p w14:paraId="243A1AFD" w14:textId="77777777" w:rsidR="009B57ED" w:rsidRPr="00510442" w:rsidRDefault="00C7485C" w:rsidP="009F6FC2">
      <w:pPr>
        <w:pStyle w:val="EndnoteText"/>
        <w:widowControl w:val="0"/>
        <w:tabs>
          <w:tab w:val="clear" w:pos="567"/>
        </w:tabs>
        <w:rPr>
          <w:color w:val="000000"/>
          <w:szCs w:val="22"/>
          <w:lang w:val="hr-HR"/>
        </w:rPr>
      </w:pPr>
      <w:r w:rsidRPr="00510442">
        <w:rPr>
          <w:szCs w:val="22"/>
          <w:lang w:val="hr-HR"/>
        </w:rPr>
        <w:t xml:space="preserve">Imatinib je također inhibitor receptorskih tirozin kinaza za faktor rasta koji potječe od trombocita (PDGF), PDGF-R, i za faktor matičnih stanica (SCF), c-Kit, te inhibira stanične događaje do kojih dolazi posredstvom PDGF-a i SCF-a. </w:t>
      </w:r>
      <w:r w:rsidRPr="00510442">
        <w:rPr>
          <w:i/>
          <w:szCs w:val="22"/>
          <w:lang w:val="hr-HR"/>
        </w:rPr>
        <w:t>In vitro</w:t>
      </w:r>
      <w:r w:rsidRPr="00510442">
        <w:rPr>
          <w:szCs w:val="22"/>
          <w:lang w:val="hr-HR"/>
        </w:rPr>
        <w:t xml:space="preserve">, imatinib inhibira proliferaciju te inducira apoptozu u stanicama gastrointestinalnog stromalnog tumora (GIST) koje ispoljavaju aktivaciju </w:t>
      </w:r>
      <w:r w:rsidRPr="00510442">
        <w:rPr>
          <w:i/>
          <w:szCs w:val="22"/>
          <w:lang w:val="hr-HR"/>
        </w:rPr>
        <w:t>kit</w:t>
      </w:r>
      <w:r w:rsidRPr="00510442">
        <w:rPr>
          <w:szCs w:val="22"/>
          <w:lang w:val="hr-HR"/>
        </w:rPr>
        <w:t xml:space="preserve"> mutacije. U patogenezu MDS/MPD-a, HES/</w:t>
      </w:r>
      <w:r w:rsidR="00E745BA" w:rsidRPr="00510442">
        <w:rPr>
          <w:szCs w:val="22"/>
          <w:lang w:val="hr-HR"/>
        </w:rPr>
        <w:t>K</w:t>
      </w:r>
      <w:r w:rsidRPr="00510442">
        <w:rPr>
          <w:szCs w:val="22"/>
          <w:lang w:val="hr-HR"/>
        </w:rPr>
        <w:t>EL-a i DFSP-a uključena je ili konstitutivna aktivacija receptora za PDGF ili Abl protein-tirozin kinaza koja nastaje kao posljedica fuzije pri čemu se javljaju različiti partnerski proteini ili konstitutivno stvaranje PDGF-a. Imatinib inhibira signaliziranje i proliferaciju stanica izazvanu nepravilno reguliranom aktivnošću PDGFR-a i Abl kinaze.</w:t>
      </w:r>
    </w:p>
    <w:p w14:paraId="642A3047" w14:textId="77777777" w:rsidR="009B57ED" w:rsidRPr="00510442" w:rsidRDefault="009B57ED" w:rsidP="00EB15D1">
      <w:pPr>
        <w:pStyle w:val="EndnoteText"/>
        <w:widowControl w:val="0"/>
        <w:tabs>
          <w:tab w:val="clear" w:pos="567"/>
        </w:tabs>
        <w:rPr>
          <w:color w:val="000000"/>
          <w:szCs w:val="22"/>
          <w:lang w:val="hr-HR"/>
        </w:rPr>
      </w:pPr>
    </w:p>
    <w:p w14:paraId="418B01DD" w14:textId="77777777" w:rsidR="009B57ED" w:rsidRPr="00510442" w:rsidRDefault="00D30B0B" w:rsidP="003179A4">
      <w:pPr>
        <w:pStyle w:val="EndnoteText"/>
        <w:keepNext/>
        <w:widowControl w:val="0"/>
        <w:tabs>
          <w:tab w:val="clear" w:pos="567"/>
        </w:tabs>
        <w:rPr>
          <w:color w:val="000000"/>
          <w:szCs w:val="22"/>
          <w:lang w:val="hr-HR"/>
        </w:rPr>
      </w:pPr>
      <w:r w:rsidRPr="00510442">
        <w:rPr>
          <w:szCs w:val="22"/>
          <w:u w:val="single"/>
          <w:lang w:val="hr-HR"/>
        </w:rPr>
        <w:t>Klinička ispitivanja kod kronične mijeloične leukemije</w:t>
      </w:r>
    </w:p>
    <w:p w14:paraId="0CD34E9C" w14:textId="6699C451" w:rsidR="009B57ED" w:rsidRPr="00510442" w:rsidRDefault="005A0BB6" w:rsidP="00D57A17">
      <w:pPr>
        <w:pStyle w:val="EndnoteText"/>
        <w:widowControl w:val="0"/>
        <w:tabs>
          <w:tab w:val="clear" w:pos="567"/>
        </w:tabs>
        <w:rPr>
          <w:color w:val="000000"/>
          <w:szCs w:val="22"/>
          <w:u w:val="single"/>
          <w:lang w:val="hr-HR"/>
        </w:rPr>
      </w:pPr>
      <w:r w:rsidRPr="00510442">
        <w:rPr>
          <w:szCs w:val="22"/>
          <w:lang w:val="hr-HR"/>
        </w:rPr>
        <w:t xml:space="preserve">Učinkovitost </w:t>
      </w:r>
      <w:r w:rsidR="00512481" w:rsidRPr="00512481">
        <w:rPr>
          <w:szCs w:val="22"/>
          <w:lang w:val="hr-HR"/>
        </w:rPr>
        <w:t xml:space="preserve">lijeka </w:t>
      </w:r>
      <w:r w:rsidR="00D30B0B" w:rsidRPr="00510442">
        <w:rPr>
          <w:szCs w:val="22"/>
          <w:lang w:val="hr-HR"/>
        </w:rPr>
        <w:t>Glivec temelji se na općim hematološkim i citogenetskim stopama odgovora i preživlj</w:t>
      </w:r>
      <w:r w:rsidR="00CA03D7" w:rsidRPr="00510442">
        <w:rPr>
          <w:szCs w:val="22"/>
          <w:lang w:val="hr-HR"/>
        </w:rPr>
        <w:t>e</w:t>
      </w:r>
      <w:r w:rsidR="00D30B0B" w:rsidRPr="00510442">
        <w:rPr>
          <w:szCs w:val="22"/>
          <w:lang w:val="hr-HR"/>
        </w:rPr>
        <w:t xml:space="preserve">nju bez progresije. Osim kod novodijagnosticirane kronične faze </w:t>
      </w:r>
      <w:r w:rsidR="00B655F5" w:rsidRPr="00510442">
        <w:rPr>
          <w:szCs w:val="22"/>
          <w:lang w:val="hr-HR"/>
        </w:rPr>
        <w:t>K</w:t>
      </w:r>
      <w:r w:rsidR="00D30B0B" w:rsidRPr="00510442">
        <w:rPr>
          <w:szCs w:val="22"/>
          <w:lang w:val="hr-HR"/>
        </w:rPr>
        <w:t>ML-a, ne postoje kontrolirana ispitivanja koja demonstriraju kliničku korist, kao što je poboljšanje simptoma povezanih s bolešću ili povećano preživlj</w:t>
      </w:r>
      <w:r w:rsidR="00CA03D7" w:rsidRPr="00510442">
        <w:rPr>
          <w:szCs w:val="22"/>
          <w:lang w:val="hr-HR"/>
        </w:rPr>
        <w:t>e</w:t>
      </w:r>
      <w:r w:rsidR="00D30B0B" w:rsidRPr="00510442">
        <w:rPr>
          <w:szCs w:val="22"/>
          <w:lang w:val="hr-HR"/>
        </w:rPr>
        <w:t>nje.</w:t>
      </w:r>
    </w:p>
    <w:p w14:paraId="217B698D" w14:textId="77777777" w:rsidR="009B57ED" w:rsidRPr="00510442" w:rsidRDefault="009B57ED" w:rsidP="00FA16F5">
      <w:pPr>
        <w:pStyle w:val="EndnoteText"/>
        <w:widowControl w:val="0"/>
        <w:tabs>
          <w:tab w:val="clear" w:pos="567"/>
        </w:tabs>
        <w:rPr>
          <w:color w:val="000000"/>
          <w:szCs w:val="22"/>
          <w:lang w:val="hr-HR"/>
        </w:rPr>
      </w:pPr>
    </w:p>
    <w:p w14:paraId="168D0684" w14:textId="77777777" w:rsidR="009B57ED" w:rsidRPr="00510442" w:rsidRDefault="00A92122" w:rsidP="00C51EC7">
      <w:pPr>
        <w:pStyle w:val="EndnoteText"/>
        <w:widowControl w:val="0"/>
        <w:tabs>
          <w:tab w:val="clear" w:pos="567"/>
        </w:tabs>
        <w:rPr>
          <w:color w:val="000000"/>
          <w:szCs w:val="22"/>
          <w:lang w:val="hr-HR"/>
        </w:rPr>
      </w:pPr>
      <w:r w:rsidRPr="00510442">
        <w:rPr>
          <w:szCs w:val="22"/>
          <w:lang w:val="hr-HR"/>
        </w:rPr>
        <w:t xml:space="preserve">Tri velika, internacionalna, otvorena, nekontrolirana klinička ispitivanja faze II provedena su u bolesnika s </w:t>
      </w:r>
      <w:r w:rsidR="00B655F5" w:rsidRPr="00510442">
        <w:rPr>
          <w:szCs w:val="22"/>
          <w:lang w:val="hr-HR"/>
        </w:rPr>
        <w:t>K</w:t>
      </w:r>
      <w:r w:rsidRPr="00510442">
        <w:rPr>
          <w:szCs w:val="22"/>
          <w:lang w:val="hr-HR"/>
        </w:rPr>
        <w:t xml:space="preserve">ML-om s pozitivnim Philadelphia (Ph+) kromosomom, u uznapredovaloj, blastičnoj ili ubrzanoj fazi bolesti, s drugim Ph+ leukemijama ili u bolesnika s </w:t>
      </w:r>
      <w:r w:rsidR="00B655F5" w:rsidRPr="00510442">
        <w:rPr>
          <w:szCs w:val="22"/>
          <w:lang w:val="hr-HR"/>
        </w:rPr>
        <w:t>K</w:t>
      </w:r>
      <w:r w:rsidRPr="00510442">
        <w:rPr>
          <w:szCs w:val="22"/>
          <w:lang w:val="hr-HR"/>
        </w:rPr>
        <w:t xml:space="preserve">ML-om u kroničnoj fazi, ali u kojih nije uspjela prethodna terapija interferonom-alfa (IFN). U bolesnika s novodijagnosticiranim Ph+ </w:t>
      </w:r>
      <w:r w:rsidR="00B655F5" w:rsidRPr="00510442">
        <w:rPr>
          <w:szCs w:val="22"/>
          <w:lang w:val="hr-HR"/>
        </w:rPr>
        <w:t>K</w:t>
      </w:r>
      <w:r w:rsidRPr="00510442">
        <w:rPr>
          <w:szCs w:val="22"/>
          <w:lang w:val="hr-HR"/>
        </w:rPr>
        <w:t>ML-om provedeno je jedno veliko, otvoreno, multicentrično, internacionalno, randomizirano ispitivanje faze III. Osim toga, djeca su liječena u dva ispitivanja faze I i jednom ispitivanju faze II.</w:t>
      </w:r>
    </w:p>
    <w:p w14:paraId="3B3FA396" w14:textId="77777777" w:rsidR="009B57ED" w:rsidRPr="00510442" w:rsidRDefault="009B57ED" w:rsidP="00CB66CC">
      <w:pPr>
        <w:pStyle w:val="EndnoteText"/>
        <w:widowControl w:val="0"/>
        <w:tabs>
          <w:tab w:val="clear" w:pos="567"/>
        </w:tabs>
        <w:rPr>
          <w:color w:val="000000"/>
          <w:szCs w:val="22"/>
          <w:lang w:val="hr-HR"/>
        </w:rPr>
      </w:pPr>
    </w:p>
    <w:p w14:paraId="13737CB9" w14:textId="77777777" w:rsidR="009B57ED" w:rsidRPr="00510442" w:rsidRDefault="00A92122" w:rsidP="00B602CC">
      <w:pPr>
        <w:pStyle w:val="EndnoteText"/>
        <w:widowControl w:val="0"/>
        <w:tabs>
          <w:tab w:val="clear" w:pos="567"/>
        </w:tabs>
        <w:rPr>
          <w:color w:val="000000"/>
          <w:szCs w:val="22"/>
          <w:lang w:val="hr-HR"/>
        </w:rPr>
      </w:pPr>
      <w:r w:rsidRPr="00510442">
        <w:rPr>
          <w:szCs w:val="22"/>
          <w:lang w:val="hr-HR"/>
        </w:rPr>
        <w:t>U svim kliničkim ispitivanjima 38</w:t>
      </w:r>
      <w:r w:rsidR="00B3500D" w:rsidRPr="00510442">
        <w:rPr>
          <w:color w:val="000000"/>
          <w:szCs w:val="22"/>
          <w:lang w:val="hr-HR"/>
        </w:rPr>
        <w:noBreakHyphen/>
      </w:r>
      <w:r w:rsidRPr="00510442">
        <w:rPr>
          <w:szCs w:val="22"/>
          <w:lang w:val="hr-HR"/>
        </w:rPr>
        <w:t>40% bolesnika bilo je u dobi ≥60</w:t>
      </w:r>
      <w:r w:rsidRPr="00510442">
        <w:rPr>
          <w:color w:val="000000"/>
          <w:szCs w:val="22"/>
          <w:lang w:val="hr-HR"/>
        </w:rPr>
        <w:t> </w:t>
      </w:r>
      <w:r w:rsidRPr="00510442">
        <w:rPr>
          <w:szCs w:val="22"/>
          <w:lang w:val="hr-HR"/>
        </w:rPr>
        <w:t>godina, a 10</w:t>
      </w:r>
      <w:r w:rsidR="00B3500D" w:rsidRPr="00510442">
        <w:rPr>
          <w:szCs w:val="22"/>
          <w:lang w:val="hr-HR"/>
        </w:rPr>
        <w:noBreakHyphen/>
      </w:r>
      <w:r w:rsidRPr="00510442">
        <w:rPr>
          <w:szCs w:val="22"/>
          <w:lang w:val="hr-HR"/>
        </w:rPr>
        <w:t>12% bolesnika bilo je u dobi ≥70</w:t>
      </w:r>
      <w:r w:rsidRPr="00510442">
        <w:rPr>
          <w:color w:val="000000"/>
          <w:szCs w:val="22"/>
          <w:lang w:val="hr-HR"/>
        </w:rPr>
        <w:t> </w:t>
      </w:r>
      <w:r w:rsidRPr="00510442">
        <w:rPr>
          <w:szCs w:val="22"/>
          <w:lang w:val="hr-HR"/>
        </w:rPr>
        <w:t>godina.</w:t>
      </w:r>
    </w:p>
    <w:p w14:paraId="508486C5" w14:textId="77777777" w:rsidR="009B57ED" w:rsidRPr="00510442" w:rsidRDefault="009B57ED" w:rsidP="00112AD1">
      <w:pPr>
        <w:pStyle w:val="EndnoteText"/>
        <w:widowControl w:val="0"/>
        <w:tabs>
          <w:tab w:val="clear" w:pos="567"/>
        </w:tabs>
        <w:rPr>
          <w:color w:val="000000"/>
          <w:szCs w:val="22"/>
          <w:lang w:val="hr-HR"/>
        </w:rPr>
      </w:pPr>
    </w:p>
    <w:p w14:paraId="07330AF0" w14:textId="340D371C" w:rsidR="00CC329A" w:rsidRPr="00510442" w:rsidRDefault="00CC329A" w:rsidP="009B5630">
      <w:pPr>
        <w:spacing w:line="240" w:lineRule="auto"/>
        <w:rPr>
          <w:szCs w:val="22"/>
          <w:lang w:val="hr-HR"/>
        </w:rPr>
      </w:pPr>
      <w:r w:rsidRPr="00510442">
        <w:rPr>
          <w:i/>
          <w:szCs w:val="22"/>
          <w:lang w:val="hr-HR"/>
        </w:rPr>
        <w:t>Kronična faza, novodijagnosticirani</w:t>
      </w:r>
      <w:r w:rsidRPr="00510442">
        <w:rPr>
          <w:szCs w:val="22"/>
          <w:lang w:val="hr-HR"/>
        </w:rPr>
        <w:t xml:space="preserve">: u ovom ispitivanju faze III. u odraslih bolesnika uspoređivalo se liječenje ili samo s jednim agensom - </w:t>
      </w:r>
      <w:r w:rsidR="00951360">
        <w:rPr>
          <w:szCs w:val="22"/>
          <w:lang w:val="hr-HR"/>
        </w:rPr>
        <w:t xml:space="preserve">lijekom </w:t>
      </w:r>
      <w:r w:rsidRPr="00510442">
        <w:rPr>
          <w:szCs w:val="22"/>
          <w:lang w:val="hr-HR"/>
        </w:rPr>
        <w:t xml:space="preserve">Glivec ili s kombinacijom interferona-alfa (IFN) plus citarabina (Ara-C). Bolesnicima koji su pokazivali izostanak odgovora (izostanak </w:t>
      </w:r>
      <w:r w:rsidR="00FD37F6" w:rsidRPr="00510442">
        <w:rPr>
          <w:szCs w:val="22"/>
          <w:lang w:val="hr-HR"/>
        </w:rPr>
        <w:t xml:space="preserve">potpunog </w:t>
      </w:r>
      <w:r w:rsidRPr="00510442">
        <w:rPr>
          <w:szCs w:val="22"/>
          <w:lang w:val="hr-HR"/>
        </w:rPr>
        <w:t>hematološkog odgovora (CHR) nakon 6</w:t>
      </w:r>
      <w:r w:rsidRPr="00510442">
        <w:rPr>
          <w:color w:val="000000"/>
          <w:szCs w:val="22"/>
          <w:lang w:val="hr-HR"/>
        </w:rPr>
        <w:t> </w:t>
      </w:r>
      <w:r w:rsidRPr="00510442">
        <w:rPr>
          <w:szCs w:val="22"/>
          <w:lang w:val="hr-HR"/>
        </w:rPr>
        <w:t>mjeseci, porast vrijednosti WBC-a, nikakav veliki citogenetski odgovor (MCyR) nakon 24</w:t>
      </w:r>
      <w:r w:rsidRPr="00510442">
        <w:rPr>
          <w:color w:val="000000"/>
          <w:szCs w:val="22"/>
          <w:lang w:val="hr-HR"/>
        </w:rPr>
        <w:t> </w:t>
      </w:r>
      <w:r w:rsidRPr="00510442">
        <w:rPr>
          <w:szCs w:val="22"/>
          <w:lang w:val="hr-HR"/>
        </w:rPr>
        <w:t>mjeseca), gubitak odgovora (gubitak CHR-a ili MCyR</w:t>
      </w:r>
      <w:r w:rsidR="00BA3DE9" w:rsidRPr="00510442">
        <w:rPr>
          <w:szCs w:val="22"/>
          <w:lang w:val="hr-HR"/>
        </w:rPr>
        <w:noBreakHyphen/>
      </w:r>
      <w:r w:rsidRPr="00510442">
        <w:rPr>
          <w:szCs w:val="22"/>
          <w:lang w:val="hr-HR"/>
        </w:rPr>
        <w:t>a) ili tešku nepodnošljivost liječenja, odobreno je da prijeđu u alternativn</w:t>
      </w:r>
      <w:r w:rsidR="00BA3DE9" w:rsidRPr="00510442">
        <w:rPr>
          <w:szCs w:val="22"/>
          <w:lang w:val="hr-HR"/>
        </w:rPr>
        <w:t>i</w:t>
      </w:r>
      <w:r w:rsidRPr="00510442">
        <w:rPr>
          <w:szCs w:val="22"/>
          <w:lang w:val="hr-HR"/>
        </w:rPr>
        <w:t xml:space="preserve"> </w:t>
      </w:r>
      <w:r w:rsidR="00BA3DE9" w:rsidRPr="00510442">
        <w:rPr>
          <w:szCs w:val="22"/>
          <w:lang w:val="hr-HR"/>
        </w:rPr>
        <w:t>krak</w:t>
      </w:r>
      <w:r w:rsidRPr="00510442">
        <w:rPr>
          <w:szCs w:val="22"/>
          <w:lang w:val="hr-HR"/>
        </w:rPr>
        <w:t xml:space="preserve"> liječenja. U Glivec</w:t>
      </w:r>
      <w:r w:rsidR="00BA3DE9" w:rsidRPr="00510442">
        <w:rPr>
          <w:szCs w:val="22"/>
          <w:lang w:val="hr-HR"/>
        </w:rPr>
        <w:t xml:space="preserve"> kraku</w:t>
      </w:r>
      <w:r w:rsidRPr="00510442">
        <w:rPr>
          <w:szCs w:val="22"/>
          <w:lang w:val="hr-HR"/>
        </w:rPr>
        <w:t>, bolesnici su liječeni dozom od 400</w:t>
      </w:r>
      <w:r w:rsidRPr="00510442">
        <w:rPr>
          <w:color w:val="000000"/>
          <w:szCs w:val="22"/>
          <w:lang w:val="hr-HR"/>
        </w:rPr>
        <w:t> </w:t>
      </w:r>
      <w:r w:rsidRPr="00510442">
        <w:rPr>
          <w:szCs w:val="22"/>
          <w:lang w:val="hr-HR"/>
        </w:rPr>
        <w:t xml:space="preserve">mg na dan. U IFN </w:t>
      </w:r>
      <w:r w:rsidR="00BA3DE9" w:rsidRPr="00510442">
        <w:rPr>
          <w:szCs w:val="22"/>
          <w:lang w:val="hr-HR"/>
        </w:rPr>
        <w:t>kraku</w:t>
      </w:r>
      <w:r w:rsidRPr="00510442">
        <w:rPr>
          <w:szCs w:val="22"/>
          <w:lang w:val="hr-HR"/>
        </w:rPr>
        <w:t>, bolesnici su liječeni ciljanom dozom IFN-a od 5</w:t>
      </w:r>
      <w:r w:rsidRPr="00510442">
        <w:rPr>
          <w:color w:val="000000"/>
          <w:szCs w:val="22"/>
          <w:lang w:val="hr-HR"/>
        </w:rPr>
        <w:t> </w:t>
      </w:r>
      <w:r w:rsidRPr="00510442">
        <w:rPr>
          <w:szCs w:val="22"/>
          <w:lang w:val="hr-HR"/>
        </w:rPr>
        <w:t>MIU/m</w:t>
      </w:r>
      <w:r w:rsidRPr="00510442">
        <w:rPr>
          <w:szCs w:val="22"/>
          <w:vertAlign w:val="superscript"/>
          <w:lang w:val="hr-HR"/>
        </w:rPr>
        <w:t>2</w:t>
      </w:r>
      <w:r w:rsidRPr="00510442">
        <w:rPr>
          <w:szCs w:val="22"/>
          <w:lang w:val="hr-HR"/>
        </w:rPr>
        <w:t>/dan su</w:t>
      </w:r>
      <w:r w:rsidR="00622558" w:rsidRPr="00510442">
        <w:rPr>
          <w:szCs w:val="22"/>
          <w:lang w:val="hr-HR"/>
        </w:rPr>
        <w:t>p</w:t>
      </w:r>
      <w:r w:rsidRPr="00510442">
        <w:rPr>
          <w:szCs w:val="22"/>
          <w:lang w:val="hr-HR"/>
        </w:rPr>
        <w:t>kutano u kombinaciji sa su</w:t>
      </w:r>
      <w:r w:rsidR="00622558" w:rsidRPr="00510442">
        <w:rPr>
          <w:szCs w:val="22"/>
          <w:lang w:val="hr-HR"/>
        </w:rPr>
        <w:t>p</w:t>
      </w:r>
      <w:r w:rsidRPr="00510442">
        <w:rPr>
          <w:szCs w:val="22"/>
          <w:lang w:val="hr-HR"/>
        </w:rPr>
        <w:t>kutanim Ara-C u dozi od 20</w:t>
      </w:r>
      <w:r w:rsidRPr="00510442">
        <w:rPr>
          <w:color w:val="000000"/>
          <w:szCs w:val="22"/>
          <w:lang w:val="hr-HR"/>
        </w:rPr>
        <w:t> </w:t>
      </w:r>
      <w:r w:rsidRPr="00510442">
        <w:rPr>
          <w:szCs w:val="22"/>
          <w:lang w:val="hr-HR"/>
        </w:rPr>
        <w:t>mg/m</w:t>
      </w:r>
      <w:r w:rsidRPr="00510442">
        <w:rPr>
          <w:szCs w:val="22"/>
          <w:vertAlign w:val="superscript"/>
          <w:lang w:val="hr-HR"/>
        </w:rPr>
        <w:t>2</w:t>
      </w:r>
      <w:r w:rsidRPr="00510442">
        <w:rPr>
          <w:szCs w:val="22"/>
          <w:lang w:val="hr-HR"/>
        </w:rPr>
        <w:t>/dan u trajanju od 10</w:t>
      </w:r>
      <w:r w:rsidRPr="00510442">
        <w:rPr>
          <w:color w:val="000000"/>
          <w:szCs w:val="22"/>
          <w:lang w:val="hr-HR"/>
        </w:rPr>
        <w:t> </w:t>
      </w:r>
      <w:r w:rsidRPr="00510442">
        <w:rPr>
          <w:szCs w:val="22"/>
          <w:lang w:val="hr-HR"/>
        </w:rPr>
        <w:t>dana/mjesec.</w:t>
      </w:r>
    </w:p>
    <w:p w14:paraId="4C3744B8" w14:textId="77777777" w:rsidR="009B57ED" w:rsidRPr="00510442" w:rsidRDefault="009B57ED" w:rsidP="0091773C">
      <w:pPr>
        <w:pStyle w:val="EndnoteText"/>
        <w:widowControl w:val="0"/>
        <w:rPr>
          <w:color w:val="000000"/>
          <w:szCs w:val="22"/>
          <w:lang w:val="hr-HR"/>
        </w:rPr>
      </w:pPr>
    </w:p>
    <w:p w14:paraId="7F543522" w14:textId="7A080549" w:rsidR="00C42ABE" w:rsidRPr="00510442" w:rsidRDefault="00C42ABE" w:rsidP="009B5630">
      <w:pPr>
        <w:spacing w:line="240" w:lineRule="auto"/>
        <w:rPr>
          <w:szCs w:val="22"/>
          <w:lang w:val="hr-HR"/>
        </w:rPr>
      </w:pPr>
      <w:r w:rsidRPr="00510442">
        <w:rPr>
          <w:szCs w:val="22"/>
          <w:lang w:val="hr-HR"/>
        </w:rPr>
        <w:t>Ukupan broj od 1106</w:t>
      </w:r>
      <w:r w:rsidRPr="00510442">
        <w:rPr>
          <w:color w:val="000000"/>
          <w:szCs w:val="22"/>
          <w:lang w:val="hr-HR"/>
        </w:rPr>
        <w:t> </w:t>
      </w:r>
      <w:r w:rsidRPr="00510442">
        <w:rPr>
          <w:szCs w:val="22"/>
          <w:lang w:val="hr-HR"/>
        </w:rPr>
        <w:t xml:space="preserve">bolesnika </w:t>
      </w:r>
      <w:r w:rsidR="00BA3DE9" w:rsidRPr="00510442">
        <w:rPr>
          <w:szCs w:val="22"/>
          <w:lang w:val="hr-HR"/>
        </w:rPr>
        <w:t xml:space="preserve">je </w:t>
      </w:r>
      <w:r w:rsidRPr="00510442">
        <w:rPr>
          <w:szCs w:val="22"/>
          <w:lang w:val="hr-HR"/>
        </w:rPr>
        <w:t>randomiziran</w:t>
      </w:r>
      <w:r w:rsidR="00BA3DE9" w:rsidRPr="00510442">
        <w:rPr>
          <w:szCs w:val="22"/>
          <w:lang w:val="hr-HR"/>
        </w:rPr>
        <w:t xml:space="preserve"> po</w:t>
      </w:r>
      <w:r w:rsidRPr="00510442">
        <w:rPr>
          <w:szCs w:val="22"/>
          <w:lang w:val="hr-HR"/>
        </w:rPr>
        <w:t xml:space="preserve"> 553</w:t>
      </w:r>
      <w:r w:rsidRPr="00510442">
        <w:rPr>
          <w:color w:val="000000"/>
          <w:szCs w:val="22"/>
          <w:lang w:val="hr-HR"/>
        </w:rPr>
        <w:t> </w:t>
      </w:r>
      <w:r w:rsidRPr="00510442">
        <w:rPr>
          <w:szCs w:val="22"/>
          <w:lang w:val="hr-HR"/>
        </w:rPr>
        <w:t>ispitanika</w:t>
      </w:r>
      <w:r w:rsidR="00BA3DE9" w:rsidRPr="00510442">
        <w:rPr>
          <w:szCs w:val="22"/>
          <w:lang w:val="hr-HR"/>
        </w:rPr>
        <w:t xml:space="preserve"> u svaki krak</w:t>
      </w:r>
      <w:r w:rsidRPr="00510442">
        <w:rPr>
          <w:szCs w:val="22"/>
          <w:lang w:val="hr-HR"/>
        </w:rPr>
        <w:t>. Početne karakteristike bile su dobro uravnotežene između ob</w:t>
      </w:r>
      <w:r w:rsidR="00BA3DE9" w:rsidRPr="00510442">
        <w:rPr>
          <w:szCs w:val="22"/>
          <w:lang w:val="hr-HR"/>
        </w:rPr>
        <w:t>a</w:t>
      </w:r>
      <w:r w:rsidRPr="00510442">
        <w:rPr>
          <w:szCs w:val="22"/>
          <w:lang w:val="hr-HR"/>
        </w:rPr>
        <w:t xml:space="preserve"> </w:t>
      </w:r>
      <w:r w:rsidR="00BA3DE9" w:rsidRPr="00510442">
        <w:rPr>
          <w:szCs w:val="22"/>
          <w:lang w:val="hr-HR"/>
        </w:rPr>
        <w:t>kraka</w:t>
      </w:r>
      <w:r w:rsidRPr="00510442">
        <w:rPr>
          <w:szCs w:val="22"/>
          <w:lang w:val="hr-HR"/>
        </w:rPr>
        <w:t xml:space="preserve">. </w:t>
      </w:r>
      <w:r w:rsidR="00ED7C14" w:rsidRPr="00510442">
        <w:rPr>
          <w:szCs w:val="22"/>
          <w:lang w:val="hr-HR"/>
        </w:rPr>
        <w:t>Medijan dobi je iznosio</w:t>
      </w:r>
      <w:r w:rsidRPr="00510442">
        <w:rPr>
          <w:szCs w:val="22"/>
          <w:lang w:val="hr-HR"/>
        </w:rPr>
        <w:t xml:space="preserve"> 51</w:t>
      </w:r>
      <w:r w:rsidRPr="00510442">
        <w:rPr>
          <w:color w:val="000000"/>
          <w:szCs w:val="22"/>
          <w:lang w:val="hr-HR"/>
        </w:rPr>
        <w:t> </w:t>
      </w:r>
      <w:r w:rsidRPr="00510442">
        <w:rPr>
          <w:szCs w:val="22"/>
          <w:lang w:val="hr-HR"/>
        </w:rPr>
        <w:t>godinu (u rasponu od 18</w:t>
      </w:r>
      <w:r w:rsidR="00732EB0" w:rsidRPr="00510442">
        <w:rPr>
          <w:szCs w:val="22"/>
          <w:lang w:val="hr-HR"/>
        </w:rPr>
        <w:noBreakHyphen/>
      </w:r>
      <w:r w:rsidRPr="00510442">
        <w:rPr>
          <w:szCs w:val="22"/>
          <w:lang w:val="hr-HR"/>
        </w:rPr>
        <w:t>70</w:t>
      </w:r>
      <w:r w:rsidRPr="00510442">
        <w:rPr>
          <w:color w:val="000000"/>
          <w:szCs w:val="22"/>
          <w:lang w:val="hr-HR"/>
        </w:rPr>
        <w:t> </w:t>
      </w:r>
      <w:r w:rsidRPr="00510442">
        <w:rPr>
          <w:szCs w:val="22"/>
          <w:lang w:val="hr-HR"/>
        </w:rPr>
        <w:t>godina), kod čega je 21,9% bolesnika bilo ≥60</w:t>
      </w:r>
      <w:r w:rsidRPr="00510442">
        <w:rPr>
          <w:color w:val="000000"/>
          <w:szCs w:val="22"/>
          <w:lang w:val="hr-HR"/>
        </w:rPr>
        <w:t> </w:t>
      </w:r>
      <w:r w:rsidRPr="00510442">
        <w:rPr>
          <w:szCs w:val="22"/>
          <w:lang w:val="hr-HR"/>
        </w:rPr>
        <w:t xml:space="preserve">godina. Bilo je 59% muškaraca i 41% žena; </w:t>
      </w:r>
      <w:r w:rsidRPr="00510442">
        <w:rPr>
          <w:szCs w:val="22"/>
          <w:lang w:val="hr-HR"/>
        </w:rPr>
        <w:lastRenderedPageBreak/>
        <w:t>89,9% bijelaca i 4,7% crnaca. Sedam godina nakon uključivanja posljednjeg bolesnika, medijan trajanja prve linije liječenja bio je 82</w:t>
      </w:r>
      <w:r w:rsidRPr="00510442">
        <w:rPr>
          <w:color w:val="000000"/>
          <w:szCs w:val="22"/>
          <w:lang w:val="hr-HR"/>
        </w:rPr>
        <w:t> </w:t>
      </w:r>
      <w:r w:rsidRPr="00510442">
        <w:rPr>
          <w:szCs w:val="22"/>
          <w:lang w:val="hr-HR"/>
        </w:rPr>
        <w:t xml:space="preserve">mjeseca u Glivec </w:t>
      </w:r>
      <w:r w:rsidR="002D2F20" w:rsidRPr="00510442">
        <w:rPr>
          <w:szCs w:val="22"/>
          <w:lang w:val="hr-HR"/>
        </w:rPr>
        <w:t>kraku</w:t>
      </w:r>
      <w:r w:rsidRPr="00510442">
        <w:rPr>
          <w:szCs w:val="22"/>
          <w:lang w:val="hr-HR"/>
        </w:rPr>
        <w:t>, odnosno 8</w:t>
      </w:r>
      <w:r w:rsidRPr="00510442">
        <w:rPr>
          <w:color w:val="000000"/>
          <w:szCs w:val="22"/>
          <w:lang w:val="hr-HR"/>
        </w:rPr>
        <w:t> </w:t>
      </w:r>
      <w:r w:rsidRPr="00510442">
        <w:rPr>
          <w:szCs w:val="22"/>
          <w:lang w:val="hr-HR"/>
        </w:rPr>
        <w:t xml:space="preserve">mjeseci u </w:t>
      </w:r>
      <w:smartTag w:uri="urn:schemas-microsoft-com:office:smarttags" w:element="stockticker">
        <w:r w:rsidRPr="00510442">
          <w:rPr>
            <w:szCs w:val="22"/>
            <w:lang w:val="hr-HR"/>
          </w:rPr>
          <w:t>INF</w:t>
        </w:r>
      </w:smartTag>
      <w:r w:rsidRPr="00510442">
        <w:rPr>
          <w:szCs w:val="22"/>
          <w:lang w:val="hr-HR"/>
        </w:rPr>
        <w:t xml:space="preserve"> </w:t>
      </w:r>
      <w:r w:rsidR="002D2F20" w:rsidRPr="00510442">
        <w:rPr>
          <w:szCs w:val="22"/>
          <w:lang w:val="hr-HR"/>
        </w:rPr>
        <w:t>kraku</w:t>
      </w:r>
      <w:r w:rsidRPr="00510442">
        <w:rPr>
          <w:szCs w:val="22"/>
          <w:lang w:val="hr-HR"/>
        </w:rPr>
        <w:t>. Medijan trajanja druge linije liječenja za Glivec bio je 64</w:t>
      </w:r>
      <w:r w:rsidRPr="00510442">
        <w:rPr>
          <w:color w:val="000000"/>
          <w:szCs w:val="22"/>
          <w:lang w:val="hr-HR"/>
        </w:rPr>
        <w:t> </w:t>
      </w:r>
      <w:r w:rsidRPr="00510442">
        <w:rPr>
          <w:szCs w:val="22"/>
          <w:lang w:val="hr-HR"/>
        </w:rPr>
        <w:t xml:space="preserve">mjeseca. Ukupno gledajući, prosječna vrijednost dnevne doze dane bolesnicima koji su primali prvu liniju liječenja </w:t>
      </w:r>
      <w:r w:rsidR="00951360">
        <w:rPr>
          <w:szCs w:val="22"/>
          <w:lang w:val="hr-HR"/>
        </w:rPr>
        <w:t xml:space="preserve">lijekom </w:t>
      </w:r>
      <w:r w:rsidRPr="00510442">
        <w:rPr>
          <w:szCs w:val="22"/>
          <w:lang w:val="hr-HR"/>
        </w:rPr>
        <w:t>Glivec iznosila je 406</w:t>
      </w:r>
      <w:r w:rsidRPr="00510442">
        <w:rPr>
          <w:color w:val="000000"/>
          <w:szCs w:val="22"/>
          <w:lang w:val="hr-HR"/>
        </w:rPr>
        <w:t> </w:t>
      </w:r>
      <w:r w:rsidRPr="00510442">
        <w:rPr>
          <w:szCs w:val="22"/>
          <w:lang w:val="hr-HR"/>
        </w:rPr>
        <w:t>±</w:t>
      </w:r>
      <w:r w:rsidRPr="00510442">
        <w:rPr>
          <w:color w:val="000000"/>
          <w:szCs w:val="22"/>
          <w:lang w:val="hr-HR"/>
        </w:rPr>
        <w:t> </w:t>
      </w:r>
      <w:r w:rsidRPr="00510442">
        <w:rPr>
          <w:szCs w:val="22"/>
          <w:lang w:val="hr-HR"/>
        </w:rPr>
        <w:t>76</w:t>
      </w:r>
      <w:r w:rsidRPr="00510442">
        <w:rPr>
          <w:color w:val="000000"/>
          <w:szCs w:val="22"/>
          <w:lang w:val="hr-HR"/>
        </w:rPr>
        <w:t> </w:t>
      </w:r>
      <w:r w:rsidRPr="00510442">
        <w:rPr>
          <w:szCs w:val="22"/>
          <w:lang w:val="hr-HR"/>
        </w:rPr>
        <w:t xml:space="preserve">mg. Primarni </w:t>
      </w:r>
      <w:r w:rsidR="00741689" w:rsidRPr="00510442">
        <w:rPr>
          <w:szCs w:val="22"/>
          <w:lang w:val="hr-HR"/>
        </w:rPr>
        <w:t xml:space="preserve">ishod </w:t>
      </w:r>
      <w:r w:rsidRPr="00510442">
        <w:rPr>
          <w:szCs w:val="22"/>
          <w:lang w:val="hr-HR"/>
        </w:rPr>
        <w:t>ispitivanja djelotvornosti bio je preživlj</w:t>
      </w:r>
      <w:r w:rsidR="00741689" w:rsidRPr="00510442">
        <w:rPr>
          <w:szCs w:val="22"/>
          <w:lang w:val="hr-HR"/>
        </w:rPr>
        <w:t>e</w:t>
      </w:r>
      <w:r w:rsidRPr="00510442">
        <w:rPr>
          <w:szCs w:val="22"/>
          <w:lang w:val="hr-HR"/>
        </w:rPr>
        <w:t xml:space="preserve">nje bez progresije. Progresija je definirana kao bilo koji od sljedećih događaja: progresija u ubrzanu fazu ili blastičnu krizu, smrt, gubitak </w:t>
      </w:r>
      <w:smartTag w:uri="urn:schemas-microsoft-com:office:smarttags" w:element="stockticker">
        <w:r w:rsidRPr="00510442">
          <w:rPr>
            <w:szCs w:val="22"/>
            <w:lang w:val="hr-HR"/>
          </w:rPr>
          <w:t>CHR</w:t>
        </w:r>
      </w:smartTag>
      <w:r w:rsidRPr="00510442">
        <w:rPr>
          <w:szCs w:val="22"/>
          <w:lang w:val="hr-HR"/>
        </w:rPr>
        <w:t xml:space="preserve">-a ili MCyR-a, ili u bolesnika koji ne postižu </w:t>
      </w:r>
      <w:smartTag w:uri="urn:schemas-microsoft-com:office:smarttags" w:element="stockticker">
        <w:r w:rsidRPr="00510442">
          <w:rPr>
            <w:szCs w:val="22"/>
            <w:lang w:val="hr-HR"/>
          </w:rPr>
          <w:t>CHR</w:t>
        </w:r>
      </w:smartTag>
      <w:r w:rsidRPr="00510442">
        <w:rPr>
          <w:szCs w:val="22"/>
          <w:lang w:val="hr-HR"/>
        </w:rPr>
        <w:t xml:space="preserve"> povećanje vrijednosti WBC-a unatoč odgovarajućem terapijskom liječenju. Veliki citogenetski odgovor, hematološki odgovor, molekularni odgovor (procjena minimalnog zaostatka bolesti), vrijeme do ubrzane faze ili blastične krize i preživlj</w:t>
      </w:r>
      <w:r w:rsidR="00B304C7" w:rsidRPr="00510442">
        <w:rPr>
          <w:szCs w:val="22"/>
          <w:lang w:val="hr-HR"/>
        </w:rPr>
        <w:t>e</w:t>
      </w:r>
      <w:r w:rsidRPr="00510442">
        <w:rPr>
          <w:szCs w:val="22"/>
          <w:lang w:val="hr-HR"/>
        </w:rPr>
        <w:t xml:space="preserve">nje, glavni su sekundarni </w:t>
      </w:r>
      <w:r w:rsidR="00B304C7" w:rsidRPr="00510442">
        <w:rPr>
          <w:szCs w:val="22"/>
          <w:lang w:val="hr-HR"/>
        </w:rPr>
        <w:t>ishodi</w:t>
      </w:r>
      <w:r w:rsidRPr="00510442">
        <w:rPr>
          <w:szCs w:val="22"/>
          <w:lang w:val="hr-HR"/>
        </w:rPr>
        <w:t>. Odgovori su prikazani u Tablici</w:t>
      </w:r>
      <w:r w:rsidRPr="00510442">
        <w:rPr>
          <w:color w:val="000000"/>
          <w:szCs w:val="22"/>
          <w:lang w:val="hr-HR"/>
        </w:rPr>
        <w:t> </w:t>
      </w:r>
      <w:r w:rsidR="00A43561" w:rsidRPr="00510442">
        <w:rPr>
          <w:szCs w:val="22"/>
          <w:lang w:val="hr-HR"/>
        </w:rPr>
        <w:t>2</w:t>
      </w:r>
      <w:r w:rsidRPr="00510442">
        <w:rPr>
          <w:szCs w:val="22"/>
          <w:lang w:val="hr-HR"/>
        </w:rPr>
        <w:t>.</w:t>
      </w:r>
    </w:p>
    <w:p w14:paraId="5C8767F0" w14:textId="77777777" w:rsidR="00C42ABE" w:rsidRPr="00510442" w:rsidRDefault="00C42ABE" w:rsidP="009B5630">
      <w:pPr>
        <w:spacing w:line="240" w:lineRule="auto"/>
        <w:rPr>
          <w:szCs w:val="22"/>
          <w:lang w:val="hr-HR"/>
        </w:rPr>
      </w:pPr>
    </w:p>
    <w:p w14:paraId="51AB5580" w14:textId="77777777" w:rsidR="0037757A" w:rsidRPr="00510442" w:rsidRDefault="0037757A" w:rsidP="003179A4">
      <w:pPr>
        <w:pStyle w:val="EndnoteText"/>
        <w:keepNext/>
        <w:widowControl w:val="0"/>
        <w:tabs>
          <w:tab w:val="clear" w:pos="567"/>
        </w:tabs>
        <w:ind w:left="1134" w:hanging="1134"/>
        <w:rPr>
          <w:b/>
          <w:color w:val="000000"/>
          <w:szCs w:val="22"/>
          <w:lang w:val="hr-HR"/>
        </w:rPr>
      </w:pPr>
      <w:r w:rsidRPr="00510442">
        <w:rPr>
          <w:b/>
          <w:color w:val="000000"/>
          <w:szCs w:val="22"/>
          <w:lang w:val="hr-HR"/>
        </w:rPr>
        <w:t>Tabl</w:t>
      </w:r>
      <w:r w:rsidR="00C42ABE" w:rsidRPr="00510442">
        <w:rPr>
          <w:b/>
          <w:color w:val="000000"/>
          <w:szCs w:val="22"/>
          <w:lang w:val="hr-HR"/>
        </w:rPr>
        <w:t>ica</w:t>
      </w:r>
      <w:r w:rsidRPr="00510442">
        <w:rPr>
          <w:b/>
          <w:color w:val="000000"/>
          <w:szCs w:val="22"/>
          <w:lang w:val="hr-HR"/>
        </w:rPr>
        <w:t> </w:t>
      </w:r>
      <w:r w:rsidR="00A43561" w:rsidRPr="00510442">
        <w:rPr>
          <w:b/>
          <w:color w:val="000000"/>
          <w:szCs w:val="22"/>
          <w:lang w:val="hr-HR"/>
        </w:rPr>
        <w:t>2</w:t>
      </w:r>
      <w:r w:rsidRPr="00510442">
        <w:rPr>
          <w:b/>
          <w:color w:val="000000"/>
          <w:szCs w:val="22"/>
          <w:lang w:val="hr-HR"/>
        </w:rPr>
        <w:tab/>
      </w:r>
      <w:r w:rsidR="00C42ABE" w:rsidRPr="00510442">
        <w:rPr>
          <w:b/>
          <w:szCs w:val="22"/>
          <w:lang w:val="hr-HR"/>
        </w:rPr>
        <w:t xml:space="preserve">Odgovor u ispitivanju novodijagnosticiranog </w:t>
      </w:r>
      <w:r w:rsidR="00735388" w:rsidRPr="00510442">
        <w:rPr>
          <w:b/>
          <w:szCs w:val="22"/>
          <w:lang w:val="hr-HR"/>
        </w:rPr>
        <w:t>K</w:t>
      </w:r>
      <w:r w:rsidR="00C42ABE" w:rsidRPr="00510442">
        <w:rPr>
          <w:b/>
          <w:szCs w:val="22"/>
          <w:lang w:val="hr-HR"/>
        </w:rPr>
        <w:t>ML-a (84-mjesečni podaci)</w:t>
      </w:r>
    </w:p>
    <w:p w14:paraId="34FBFE3F" w14:textId="77777777" w:rsidR="0037757A" w:rsidRPr="00510442" w:rsidRDefault="0037757A" w:rsidP="003179A4">
      <w:pPr>
        <w:pStyle w:val="EndnoteText"/>
        <w:keepNext/>
        <w:widowControl w:val="0"/>
        <w:rPr>
          <w:color w:val="000000"/>
          <w:szCs w:val="22"/>
          <w:lang w:val="hr-HR"/>
        </w:rPr>
      </w:pPr>
    </w:p>
    <w:tbl>
      <w:tblPr>
        <w:tblW w:w="0" w:type="auto"/>
        <w:tblBorders>
          <w:top w:val="single" w:sz="4" w:space="0" w:color="auto"/>
          <w:left w:val="single" w:sz="4" w:space="0" w:color="auto"/>
          <w:bottom w:val="single" w:sz="4" w:space="0" w:color="auto"/>
        </w:tblBorders>
        <w:tblLayout w:type="fixed"/>
        <w:tblLook w:val="0000" w:firstRow="0" w:lastRow="0" w:firstColumn="0" w:lastColumn="0" w:noHBand="0" w:noVBand="0"/>
      </w:tblPr>
      <w:tblGrid>
        <w:gridCol w:w="3794"/>
        <w:gridCol w:w="2693"/>
        <w:gridCol w:w="2718"/>
      </w:tblGrid>
      <w:tr w:rsidR="0037757A" w:rsidRPr="00510442" w14:paraId="748A87AC" w14:textId="77777777" w:rsidTr="003179A4">
        <w:trPr>
          <w:cantSplit/>
        </w:trPr>
        <w:tc>
          <w:tcPr>
            <w:tcW w:w="3794" w:type="dxa"/>
            <w:tcBorders>
              <w:top w:val="single" w:sz="4" w:space="0" w:color="auto"/>
              <w:left w:val="single" w:sz="4" w:space="0" w:color="auto"/>
              <w:bottom w:val="nil"/>
            </w:tcBorders>
          </w:tcPr>
          <w:p w14:paraId="42557C32" w14:textId="77777777" w:rsidR="0037757A" w:rsidRPr="00510442" w:rsidRDefault="0037757A" w:rsidP="003179A4">
            <w:pPr>
              <w:pStyle w:val="Table"/>
              <w:keepLines w:val="0"/>
              <w:widowControl w:val="0"/>
              <w:spacing w:before="0" w:after="0"/>
              <w:rPr>
                <w:rFonts w:ascii="Times New Roman" w:hAnsi="Times New Roman"/>
                <w:color w:val="000000"/>
                <w:sz w:val="22"/>
                <w:szCs w:val="22"/>
                <w:lang w:val="hr-HR"/>
              </w:rPr>
            </w:pPr>
          </w:p>
        </w:tc>
        <w:tc>
          <w:tcPr>
            <w:tcW w:w="2693" w:type="dxa"/>
            <w:tcBorders>
              <w:top w:val="single" w:sz="4" w:space="0" w:color="auto"/>
              <w:bottom w:val="nil"/>
            </w:tcBorders>
          </w:tcPr>
          <w:p w14:paraId="648A64AD" w14:textId="77777777" w:rsidR="0037757A" w:rsidRPr="00510442" w:rsidRDefault="0037757A" w:rsidP="003179A4">
            <w:pPr>
              <w:pStyle w:val="Table"/>
              <w:keepLines w:val="0"/>
              <w:widowControl w:val="0"/>
              <w:spacing w:before="0" w:after="0"/>
              <w:jc w:val="center"/>
              <w:rPr>
                <w:rFonts w:ascii="Times New Roman" w:hAnsi="Times New Roman"/>
                <w:b/>
                <w:color w:val="000000"/>
                <w:sz w:val="22"/>
                <w:szCs w:val="22"/>
                <w:lang w:val="hr-HR"/>
              </w:rPr>
            </w:pPr>
            <w:r w:rsidRPr="00510442">
              <w:rPr>
                <w:rFonts w:ascii="Times New Roman" w:hAnsi="Times New Roman"/>
                <w:b/>
                <w:color w:val="000000"/>
                <w:sz w:val="22"/>
                <w:szCs w:val="22"/>
                <w:lang w:val="hr-HR"/>
              </w:rPr>
              <w:t>Glivec</w:t>
            </w:r>
          </w:p>
        </w:tc>
        <w:tc>
          <w:tcPr>
            <w:tcW w:w="2718" w:type="dxa"/>
            <w:tcBorders>
              <w:top w:val="single" w:sz="4" w:space="0" w:color="auto"/>
              <w:bottom w:val="nil"/>
              <w:right w:val="single" w:sz="4" w:space="0" w:color="auto"/>
            </w:tcBorders>
          </w:tcPr>
          <w:p w14:paraId="2C452ADF" w14:textId="77777777" w:rsidR="0037757A" w:rsidRPr="00510442" w:rsidRDefault="0037757A" w:rsidP="003179A4">
            <w:pPr>
              <w:pStyle w:val="Table"/>
              <w:keepLines w:val="0"/>
              <w:widowControl w:val="0"/>
              <w:spacing w:before="0" w:after="0"/>
              <w:jc w:val="center"/>
              <w:rPr>
                <w:rFonts w:ascii="Times New Roman" w:hAnsi="Times New Roman"/>
                <w:b/>
                <w:color w:val="000000"/>
                <w:sz w:val="22"/>
                <w:szCs w:val="22"/>
                <w:lang w:val="hr-HR"/>
              </w:rPr>
            </w:pPr>
            <w:r w:rsidRPr="00510442">
              <w:rPr>
                <w:rFonts w:ascii="Times New Roman" w:hAnsi="Times New Roman"/>
                <w:b/>
                <w:color w:val="000000"/>
                <w:sz w:val="22"/>
                <w:szCs w:val="22"/>
                <w:lang w:val="hr-HR"/>
              </w:rPr>
              <w:t>IFN+Ara-C</w:t>
            </w:r>
          </w:p>
        </w:tc>
      </w:tr>
      <w:tr w:rsidR="0037757A" w:rsidRPr="00510442" w14:paraId="711DD316" w14:textId="77777777" w:rsidTr="003179A4">
        <w:trPr>
          <w:cantSplit/>
        </w:trPr>
        <w:tc>
          <w:tcPr>
            <w:tcW w:w="3794" w:type="dxa"/>
            <w:tcBorders>
              <w:top w:val="nil"/>
              <w:left w:val="single" w:sz="4" w:space="0" w:color="auto"/>
              <w:bottom w:val="single" w:sz="4" w:space="0" w:color="auto"/>
            </w:tcBorders>
          </w:tcPr>
          <w:p w14:paraId="0183C973" w14:textId="77777777" w:rsidR="0037757A" w:rsidRPr="00510442" w:rsidRDefault="00C42ABE" w:rsidP="003179A4">
            <w:pPr>
              <w:pStyle w:val="Table"/>
              <w:keepLines w:val="0"/>
              <w:widowControl w:val="0"/>
              <w:spacing w:before="0" w:after="0"/>
              <w:rPr>
                <w:rFonts w:ascii="Times New Roman" w:hAnsi="Times New Roman"/>
                <w:b/>
                <w:color w:val="000000"/>
                <w:sz w:val="22"/>
                <w:szCs w:val="22"/>
                <w:lang w:val="hr-HR"/>
              </w:rPr>
            </w:pPr>
            <w:r w:rsidRPr="00510442">
              <w:rPr>
                <w:rFonts w:ascii="Times New Roman" w:hAnsi="Times New Roman"/>
                <w:b/>
                <w:sz w:val="22"/>
                <w:szCs w:val="22"/>
                <w:lang w:val="hr-HR"/>
              </w:rPr>
              <w:t>(Najbolje stope odgovora)</w:t>
            </w:r>
          </w:p>
        </w:tc>
        <w:tc>
          <w:tcPr>
            <w:tcW w:w="2693" w:type="dxa"/>
            <w:tcBorders>
              <w:top w:val="nil"/>
              <w:bottom w:val="single" w:sz="4" w:space="0" w:color="auto"/>
            </w:tcBorders>
          </w:tcPr>
          <w:p w14:paraId="37D3ECE9" w14:textId="77777777" w:rsidR="0037757A" w:rsidRPr="00510442" w:rsidRDefault="0037757A" w:rsidP="003179A4">
            <w:pPr>
              <w:pStyle w:val="Table"/>
              <w:keepLines w:val="0"/>
              <w:widowControl w:val="0"/>
              <w:spacing w:before="0" w:after="0"/>
              <w:jc w:val="center"/>
              <w:rPr>
                <w:rFonts w:ascii="Times New Roman" w:hAnsi="Times New Roman"/>
                <w:color w:val="000000"/>
                <w:sz w:val="22"/>
                <w:szCs w:val="22"/>
                <w:lang w:val="hr-HR"/>
              </w:rPr>
            </w:pPr>
            <w:r w:rsidRPr="00510442">
              <w:rPr>
                <w:rFonts w:ascii="Times New Roman" w:hAnsi="Times New Roman"/>
                <w:color w:val="000000"/>
                <w:sz w:val="22"/>
                <w:szCs w:val="22"/>
                <w:lang w:val="hr-HR"/>
              </w:rPr>
              <w:t>n=553</w:t>
            </w:r>
          </w:p>
        </w:tc>
        <w:tc>
          <w:tcPr>
            <w:tcW w:w="2718" w:type="dxa"/>
            <w:tcBorders>
              <w:top w:val="nil"/>
              <w:bottom w:val="single" w:sz="4" w:space="0" w:color="auto"/>
              <w:right w:val="single" w:sz="4" w:space="0" w:color="auto"/>
            </w:tcBorders>
          </w:tcPr>
          <w:p w14:paraId="58347FF6" w14:textId="77777777" w:rsidR="0037757A" w:rsidRPr="00510442" w:rsidRDefault="0037757A" w:rsidP="003179A4">
            <w:pPr>
              <w:pStyle w:val="Table"/>
              <w:keepLines w:val="0"/>
              <w:widowControl w:val="0"/>
              <w:spacing w:before="0" w:after="0"/>
              <w:jc w:val="center"/>
              <w:rPr>
                <w:rFonts w:ascii="Times New Roman" w:hAnsi="Times New Roman"/>
                <w:color w:val="000000"/>
                <w:sz w:val="22"/>
                <w:szCs w:val="22"/>
                <w:lang w:val="hr-HR"/>
              </w:rPr>
            </w:pPr>
            <w:r w:rsidRPr="00510442">
              <w:rPr>
                <w:rFonts w:ascii="Times New Roman" w:hAnsi="Times New Roman"/>
                <w:color w:val="000000"/>
                <w:sz w:val="22"/>
                <w:szCs w:val="22"/>
                <w:lang w:val="hr-HR"/>
              </w:rPr>
              <w:t>n=553</w:t>
            </w:r>
          </w:p>
        </w:tc>
      </w:tr>
      <w:tr w:rsidR="0037757A" w:rsidRPr="00510442" w14:paraId="4E3544CE" w14:textId="77777777" w:rsidTr="003179A4">
        <w:trPr>
          <w:cantSplit/>
        </w:trPr>
        <w:tc>
          <w:tcPr>
            <w:tcW w:w="3794" w:type="dxa"/>
            <w:tcBorders>
              <w:top w:val="nil"/>
              <w:left w:val="single" w:sz="4" w:space="0" w:color="auto"/>
            </w:tcBorders>
          </w:tcPr>
          <w:p w14:paraId="2037E137" w14:textId="77777777" w:rsidR="0037757A" w:rsidRPr="00510442" w:rsidRDefault="00C42ABE" w:rsidP="003179A4">
            <w:pPr>
              <w:pStyle w:val="Table"/>
              <w:keepLines w:val="0"/>
              <w:widowControl w:val="0"/>
              <w:spacing w:before="0" w:after="0"/>
              <w:rPr>
                <w:rFonts w:ascii="Times New Roman" w:hAnsi="Times New Roman"/>
                <w:b/>
                <w:color w:val="000000"/>
                <w:sz w:val="22"/>
                <w:szCs w:val="22"/>
                <w:lang w:val="hr-HR"/>
              </w:rPr>
            </w:pPr>
            <w:r w:rsidRPr="00510442">
              <w:rPr>
                <w:rFonts w:ascii="Times New Roman" w:hAnsi="Times New Roman"/>
                <w:b/>
                <w:sz w:val="22"/>
                <w:szCs w:val="22"/>
                <w:lang w:val="hr-HR"/>
              </w:rPr>
              <w:t>Hematološki odgovor</w:t>
            </w:r>
          </w:p>
        </w:tc>
        <w:tc>
          <w:tcPr>
            <w:tcW w:w="2693" w:type="dxa"/>
            <w:tcBorders>
              <w:top w:val="nil"/>
            </w:tcBorders>
          </w:tcPr>
          <w:p w14:paraId="1AC7B5F4" w14:textId="77777777" w:rsidR="0037757A" w:rsidRPr="00510442" w:rsidRDefault="0037757A" w:rsidP="003179A4">
            <w:pPr>
              <w:pStyle w:val="Table"/>
              <w:keepLines w:val="0"/>
              <w:widowControl w:val="0"/>
              <w:spacing w:before="0" w:after="0"/>
              <w:jc w:val="center"/>
              <w:rPr>
                <w:rFonts w:ascii="Times New Roman" w:hAnsi="Times New Roman"/>
                <w:b/>
                <w:color w:val="000000"/>
                <w:sz w:val="22"/>
                <w:szCs w:val="22"/>
                <w:lang w:val="hr-HR"/>
              </w:rPr>
            </w:pPr>
          </w:p>
        </w:tc>
        <w:tc>
          <w:tcPr>
            <w:tcW w:w="2718" w:type="dxa"/>
            <w:tcBorders>
              <w:top w:val="nil"/>
              <w:right w:val="single" w:sz="4" w:space="0" w:color="auto"/>
            </w:tcBorders>
          </w:tcPr>
          <w:p w14:paraId="7A9C033D" w14:textId="77777777" w:rsidR="0037757A" w:rsidRPr="00510442" w:rsidRDefault="0037757A" w:rsidP="003179A4">
            <w:pPr>
              <w:pStyle w:val="Table"/>
              <w:keepLines w:val="0"/>
              <w:widowControl w:val="0"/>
              <w:spacing w:before="0" w:after="0"/>
              <w:jc w:val="center"/>
              <w:rPr>
                <w:rFonts w:ascii="Times New Roman" w:hAnsi="Times New Roman"/>
                <w:b/>
                <w:color w:val="000000"/>
                <w:sz w:val="22"/>
                <w:szCs w:val="22"/>
                <w:lang w:val="hr-HR"/>
              </w:rPr>
            </w:pPr>
          </w:p>
        </w:tc>
      </w:tr>
      <w:tr w:rsidR="0037757A" w:rsidRPr="00510442" w14:paraId="7D428164" w14:textId="77777777" w:rsidTr="003179A4">
        <w:trPr>
          <w:cantSplit/>
        </w:trPr>
        <w:tc>
          <w:tcPr>
            <w:tcW w:w="3794" w:type="dxa"/>
            <w:tcBorders>
              <w:top w:val="nil"/>
              <w:left w:val="single" w:sz="4" w:space="0" w:color="auto"/>
            </w:tcBorders>
          </w:tcPr>
          <w:p w14:paraId="6C9D603C" w14:textId="77777777" w:rsidR="0037757A" w:rsidRPr="00510442" w:rsidRDefault="0037757A" w:rsidP="003179A4">
            <w:pPr>
              <w:pStyle w:val="Table"/>
              <w:keepLines w:val="0"/>
              <w:widowControl w:val="0"/>
              <w:spacing w:before="0" w:after="0"/>
              <w:rPr>
                <w:rFonts w:ascii="Times New Roman" w:hAnsi="Times New Roman"/>
                <w:color w:val="000000"/>
                <w:sz w:val="22"/>
                <w:szCs w:val="22"/>
                <w:lang w:val="hr-HR"/>
              </w:rPr>
            </w:pPr>
            <w:smartTag w:uri="urn:schemas-microsoft-com:office:smarttags" w:element="stockticker">
              <w:r w:rsidRPr="00510442">
                <w:rPr>
                  <w:rFonts w:ascii="Times New Roman" w:hAnsi="Times New Roman"/>
                  <w:color w:val="000000"/>
                  <w:sz w:val="22"/>
                  <w:szCs w:val="22"/>
                  <w:lang w:val="hr-HR"/>
                </w:rPr>
                <w:t>CHR</w:t>
              </w:r>
            </w:smartTag>
            <w:r w:rsidRPr="00510442">
              <w:rPr>
                <w:rFonts w:ascii="Times New Roman" w:hAnsi="Times New Roman"/>
                <w:color w:val="000000"/>
                <w:sz w:val="22"/>
                <w:szCs w:val="22"/>
                <w:lang w:val="hr-HR"/>
              </w:rPr>
              <w:t xml:space="preserve"> </w:t>
            </w:r>
            <w:r w:rsidR="00C42ABE" w:rsidRPr="00510442">
              <w:rPr>
                <w:rFonts w:ascii="Times New Roman" w:hAnsi="Times New Roman"/>
                <w:color w:val="000000"/>
                <w:sz w:val="22"/>
                <w:szCs w:val="22"/>
                <w:lang w:val="hr-HR"/>
              </w:rPr>
              <w:t>stopa</w:t>
            </w:r>
            <w:r w:rsidRPr="00510442">
              <w:rPr>
                <w:rFonts w:ascii="Times New Roman" w:hAnsi="Times New Roman"/>
                <w:color w:val="000000"/>
                <w:sz w:val="22"/>
                <w:szCs w:val="22"/>
                <w:lang w:val="hr-HR"/>
              </w:rPr>
              <w:t xml:space="preserve"> n (%)</w:t>
            </w:r>
          </w:p>
        </w:tc>
        <w:tc>
          <w:tcPr>
            <w:tcW w:w="2693" w:type="dxa"/>
            <w:tcBorders>
              <w:top w:val="nil"/>
            </w:tcBorders>
          </w:tcPr>
          <w:p w14:paraId="6C81CFFC" w14:textId="77777777" w:rsidR="0037757A" w:rsidRPr="00510442" w:rsidRDefault="0037757A" w:rsidP="003179A4">
            <w:pPr>
              <w:pStyle w:val="Table"/>
              <w:keepLines w:val="0"/>
              <w:widowControl w:val="0"/>
              <w:spacing w:before="0" w:after="0"/>
              <w:jc w:val="center"/>
              <w:rPr>
                <w:rFonts w:ascii="Times New Roman" w:hAnsi="Times New Roman"/>
                <w:color w:val="000000"/>
                <w:sz w:val="22"/>
                <w:szCs w:val="22"/>
                <w:lang w:val="hr-HR"/>
              </w:rPr>
            </w:pPr>
            <w:r w:rsidRPr="00510442">
              <w:rPr>
                <w:rFonts w:ascii="Times New Roman" w:hAnsi="Times New Roman"/>
                <w:color w:val="000000"/>
                <w:sz w:val="22"/>
                <w:szCs w:val="22"/>
                <w:lang w:val="hr-HR"/>
              </w:rPr>
              <w:t>534 (96</w:t>
            </w:r>
            <w:r w:rsidR="00C42ABE" w:rsidRPr="00510442">
              <w:rPr>
                <w:rFonts w:ascii="Times New Roman" w:hAnsi="Times New Roman"/>
                <w:color w:val="000000"/>
                <w:sz w:val="22"/>
                <w:szCs w:val="22"/>
                <w:lang w:val="hr-HR"/>
              </w:rPr>
              <w:t>,</w:t>
            </w:r>
            <w:r w:rsidRPr="00510442">
              <w:rPr>
                <w:rFonts w:ascii="Times New Roman" w:hAnsi="Times New Roman"/>
                <w:color w:val="000000"/>
                <w:sz w:val="22"/>
                <w:szCs w:val="22"/>
                <w:lang w:val="hr-HR"/>
              </w:rPr>
              <w:t>6%)*</w:t>
            </w:r>
          </w:p>
        </w:tc>
        <w:tc>
          <w:tcPr>
            <w:tcW w:w="2718" w:type="dxa"/>
            <w:tcBorders>
              <w:top w:val="nil"/>
              <w:right w:val="single" w:sz="4" w:space="0" w:color="auto"/>
            </w:tcBorders>
          </w:tcPr>
          <w:p w14:paraId="4B14EFDB" w14:textId="77777777" w:rsidR="0037757A" w:rsidRPr="00510442" w:rsidRDefault="0037757A" w:rsidP="003179A4">
            <w:pPr>
              <w:pStyle w:val="Table"/>
              <w:keepLines w:val="0"/>
              <w:widowControl w:val="0"/>
              <w:spacing w:before="0" w:after="0"/>
              <w:jc w:val="center"/>
              <w:rPr>
                <w:rFonts w:ascii="Times New Roman" w:hAnsi="Times New Roman"/>
                <w:color w:val="000000"/>
                <w:sz w:val="22"/>
                <w:szCs w:val="22"/>
                <w:lang w:val="hr-HR"/>
              </w:rPr>
            </w:pPr>
            <w:r w:rsidRPr="00510442">
              <w:rPr>
                <w:rFonts w:ascii="Times New Roman" w:hAnsi="Times New Roman"/>
                <w:color w:val="000000"/>
                <w:sz w:val="22"/>
                <w:szCs w:val="22"/>
                <w:lang w:val="hr-HR"/>
              </w:rPr>
              <w:t>313 (56</w:t>
            </w:r>
            <w:r w:rsidR="00C42ABE" w:rsidRPr="00510442">
              <w:rPr>
                <w:rFonts w:ascii="Times New Roman" w:hAnsi="Times New Roman"/>
                <w:color w:val="000000"/>
                <w:sz w:val="22"/>
                <w:szCs w:val="22"/>
                <w:lang w:val="hr-HR"/>
              </w:rPr>
              <w:t>,</w:t>
            </w:r>
            <w:r w:rsidRPr="00510442">
              <w:rPr>
                <w:rFonts w:ascii="Times New Roman" w:hAnsi="Times New Roman"/>
                <w:color w:val="000000"/>
                <w:sz w:val="22"/>
                <w:szCs w:val="22"/>
                <w:lang w:val="hr-HR"/>
              </w:rPr>
              <w:t>6%)*</w:t>
            </w:r>
          </w:p>
        </w:tc>
      </w:tr>
      <w:tr w:rsidR="0037757A" w:rsidRPr="00510442" w14:paraId="19E9E463" w14:textId="77777777" w:rsidTr="003179A4">
        <w:trPr>
          <w:cantSplit/>
        </w:trPr>
        <w:tc>
          <w:tcPr>
            <w:tcW w:w="3794" w:type="dxa"/>
            <w:tcBorders>
              <w:left w:val="single" w:sz="4" w:space="0" w:color="auto"/>
            </w:tcBorders>
          </w:tcPr>
          <w:p w14:paraId="7B6ADB8D" w14:textId="77777777" w:rsidR="0037757A" w:rsidRPr="00510442" w:rsidRDefault="0037757A" w:rsidP="003179A4">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ab/>
              <w:t>[95% CI]</w:t>
            </w:r>
          </w:p>
        </w:tc>
        <w:tc>
          <w:tcPr>
            <w:tcW w:w="2693" w:type="dxa"/>
          </w:tcPr>
          <w:p w14:paraId="4D75A4BC" w14:textId="77777777" w:rsidR="0037757A" w:rsidRPr="00510442" w:rsidRDefault="0037757A" w:rsidP="003179A4">
            <w:pPr>
              <w:pStyle w:val="Table"/>
              <w:keepLines w:val="0"/>
              <w:widowControl w:val="0"/>
              <w:spacing w:before="0" w:after="0"/>
              <w:jc w:val="center"/>
              <w:rPr>
                <w:rFonts w:ascii="Times New Roman" w:hAnsi="Times New Roman"/>
                <w:color w:val="000000"/>
                <w:sz w:val="22"/>
                <w:szCs w:val="22"/>
                <w:lang w:val="hr-HR"/>
              </w:rPr>
            </w:pPr>
            <w:r w:rsidRPr="00510442">
              <w:rPr>
                <w:rFonts w:ascii="Times New Roman" w:hAnsi="Times New Roman"/>
                <w:color w:val="000000"/>
                <w:sz w:val="22"/>
                <w:szCs w:val="22"/>
                <w:lang w:val="hr-HR"/>
              </w:rPr>
              <w:t>[94</w:t>
            </w:r>
            <w:r w:rsidR="00C42ABE" w:rsidRPr="00510442">
              <w:rPr>
                <w:rFonts w:ascii="Times New Roman" w:hAnsi="Times New Roman"/>
                <w:color w:val="000000"/>
                <w:sz w:val="22"/>
                <w:szCs w:val="22"/>
                <w:lang w:val="hr-HR"/>
              </w:rPr>
              <w:t>,</w:t>
            </w:r>
            <w:r w:rsidRPr="00510442">
              <w:rPr>
                <w:rFonts w:ascii="Times New Roman" w:hAnsi="Times New Roman"/>
                <w:color w:val="000000"/>
                <w:sz w:val="22"/>
                <w:szCs w:val="22"/>
                <w:lang w:val="hr-HR"/>
              </w:rPr>
              <w:t>7%, 97</w:t>
            </w:r>
            <w:r w:rsidR="00C42ABE" w:rsidRPr="00510442">
              <w:rPr>
                <w:rFonts w:ascii="Times New Roman" w:hAnsi="Times New Roman"/>
                <w:color w:val="000000"/>
                <w:sz w:val="22"/>
                <w:szCs w:val="22"/>
                <w:lang w:val="hr-HR"/>
              </w:rPr>
              <w:t>,</w:t>
            </w:r>
            <w:r w:rsidRPr="00510442">
              <w:rPr>
                <w:rFonts w:ascii="Times New Roman" w:hAnsi="Times New Roman"/>
                <w:color w:val="000000"/>
                <w:sz w:val="22"/>
                <w:szCs w:val="22"/>
                <w:lang w:val="hr-HR"/>
              </w:rPr>
              <w:t>9%]</w:t>
            </w:r>
          </w:p>
        </w:tc>
        <w:tc>
          <w:tcPr>
            <w:tcW w:w="2718" w:type="dxa"/>
            <w:tcBorders>
              <w:right w:val="single" w:sz="4" w:space="0" w:color="auto"/>
            </w:tcBorders>
          </w:tcPr>
          <w:p w14:paraId="353DAB85" w14:textId="77777777" w:rsidR="0037757A" w:rsidRPr="00510442" w:rsidRDefault="0037757A" w:rsidP="003179A4">
            <w:pPr>
              <w:pStyle w:val="Table"/>
              <w:keepLines w:val="0"/>
              <w:widowControl w:val="0"/>
              <w:spacing w:before="0" w:after="0"/>
              <w:jc w:val="center"/>
              <w:rPr>
                <w:rFonts w:ascii="Times New Roman" w:hAnsi="Times New Roman"/>
                <w:color w:val="000000"/>
                <w:sz w:val="22"/>
                <w:szCs w:val="22"/>
                <w:lang w:val="hr-HR"/>
              </w:rPr>
            </w:pPr>
            <w:r w:rsidRPr="00510442">
              <w:rPr>
                <w:rFonts w:ascii="Times New Roman" w:hAnsi="Times New Roman"/>
                <w:color w:val="000000"/>
                <w:sz w:val="22"/>
                <w:szCs w:val="22"/>
                <w:lang w:val="hr-HR"/>
              </w:rPr>
              <w:t>[52</w:t>
            </w:r>
            <w:r w:rsidR="00C42ABE" w:rsidRPr="00510442">
              <w:rPr>
                <w:rFonts w:ascii="Times New Roman" w:hAnsi="Times New Roman"/>
                <w:color w:val="000000"/>
                <w:sz w:val="22"/>
                <w:szCs w:val="22"/>
                <w:lang w:val="hr-HR"/>
              </w:rPr>
              <w:t>,</w:t>
            </w:r>
            <w:r w:rsidRPr="00510442">
              <w:rPr>
                <w:rFonts w:ascii="Times New Roman" w:hAnsi="Times New Roman"/>
                <w:color w:val="000000"/>
                <w:sz w:val="22"/>
                <w:szCs w:val="22"/>
                <w:lang w:val="hr-HR"/>
              </w:rPr>
              <w:t>4%, 60</w:t>
            </w:r>
            <w:r w:rsidR="00C42ABE" w:rsidRPr="00510442">
              <w:rPr>
                <w:rFonts w:ascii="Times New Roman" w:hAnsi="Times New Roman"/>
                <w:color w:val="000000"/>
                <w:sz w:val="22"/>
                <w:szCs w:val="22"/>
                <w:lang w:val="hr-HR"/>
              </w:rPr>
              <w:t>,</w:t>
            </w:r>
            <w:r w:rsidRPr="00510442">
              <w:rPr>
                <w:rFonts w:ascii="Times New Roman" w:hAnsi="Times New Roman"/>
                <w:color w:val="000000"/>
                <w:sz w:val="22"/>
                <w:szCs w:val="22"/>
                <w:lang w:val="hr-HR"/>
              </w:rPr>
              <w:t>8%]</w:t>
            </w:r>
          </w:p>
        </w:tc>
      </w:tr>
      <w:tr w:rsidR="0037757A" w:rsidRPr="00510442" w14:paraId="280BFDB4" w14:textId="77777777" w:rsidTr="003179A4">
        <w:trPr>
          <w:cantSplit/>
        </w:trPr>
        <w:tc>
          <w:tcPr>
            <w:tcW w:w="3794" w:type="dxa"/>
            <w:tcBorders>
              <w:left w:val="single" w:sz="4" w:space="0" w:color="auto"/>
            </w:tcBorders>
          </w:tcPr>
          <w:p w14:paraId="3CEB5FFD" w14:textId="77777777" w:rsidR="0037757A" w:rsidRPr="00510442" w:rsidRDefault="0037757A" w:rsidP="003179A4">
            <w:pPr>
              <w:pStyle w:val="Table"/>
              <w:keepLines w:val="0"/>
              <w:widowControl w:val="0"/>
              <w:spacing w:before="0" w:after="0"/>
              <w:rPr>
                <w:rFonts w:ascii="Times New Roman" w:hAnsi="Times New Roman"/>
                <w:color w:val="000000"/>
                <w:sz w:val="22"/>
                <w:szCs w:val="22"/>
                <w:lang w:val="hr-HR"/>
              </w:rPr>
            </w:pPr>
          </w:p>
        </w:tc>
        <w:tc>
          <w:tcPr>
            <w:tcW w:w="2693" w:type="dxa"/>
          </w:tcPr>
          <w:p w14:paraId="2CCE4554" w14:textId="77777777" w:rsidR="0037757A" w:rsidRPr="00510442" w:rsidRDefault="0037757A" w:rsidP="003179A4">
            <w:pPr>
              <w:pStyle w:val="Table"/>
              <w:keepLines w:val="0"/>
              <w:widowControl w:val="0"/>
              <w:spacing w:before="0" w:after="0"/>
              <w:rPr>
                <w:rFonts w:ascii="Times New Roman" w:hAnsi="Times New Roman"/>
                <w:color w:val="000000"/>
                <w:sz w:val="22"/>
                <w:szCs w:val="22"/>
                <w:lang w:val="hr-HR"/>
              </w:rPr>
            </w:pPr>
          </w:p>
        </w:tc>
        <w:tc>
          <w:tcPr>
            <w:tcW w:w="2718" w:type="dxa"/>
            <w:tcBorders>
              <w:right w:val="single" w:sz="4" w:space="0" w:color="auto"/>
            </w:tcBorders>
          </w:tcPr>
          <w:p w14:paraId="004667E2" w14:textId="77777777" w:rsidR="0037757A" w:rsidRPr="00510442" w:rsidRDefault="0037757A" w:rsidP="003179A4">
            <w:pPr>
              <w:pStyle w:val="Table"/>
              <w:keepLines w:val="0"/>
              <w:widowControl w:val="0"/>
              <w:spacing w:before="0" w:after="0"/>
              <w:rPr>
                <w:rFonts w:ascii="Times New Roman" w:hAnsi="Times New Roman"/>
                <w:color w:val="000000"/>
                <w:sz w:val="22"/>
                <w:szCs w:val="22"/>
                <w:lang w:val="hr-HR"/>
              </w:rPr>
            </w:pPr>
          </w:p>
        </w:tc>
      </w:tr>
      <w:tr w:rsidR="0037757A" w:rsidRPr="00510442" w14:paraId="79791924" w14:textId="77777777" w:rsidTr="003179A4">
        <w:trPr>
          <w:cantSplit/>
        </w:trPr>
        <w:tc>
          <w:tcPr>
            <w:tcW w:w="3794" w:type="dxa"/>
            <w:tcBorders>
              <w:left w:val="single" w:sz="4" w:space="0" w:color="auto"/>
            </w:tcBorders>
          </w:tcPr>
          <w:p w14:paraId="6F10A97F" w14:textId="77777777" w:rsidR="0037757A" w:rsidRPr="00510442" w:rsidRDefault="00C42ABE" w:rsidP="003179A4">
            <w:pPr>
              <w:pStyle w:val="Table"/>
              <w:keepLines w:val="0"/>
              <w:widowControl w:val="0"/>
              <w:spacing w:before="0" w:after="0"/>
              <w:rPr>
                <w:rFonts w:ascii="Times New Roman" w:hAnsi="Times New Roman"/>
                <w:b/>
                <w:color w:val="000000"/>
                <w:sz w:val="22"/>
                <w:szCs w:val="22"/>
                <w:lang w:val="hr-HR"/>
              </w:rPr>
            </w:pPr>
            <w:r w:rsidRPr="00510442">
              <w:rPr>
                <w:rFonts w:ascii="Times New Roman" w:hAnsi="Times New Roman"/>
                <w:b/>
                <w:sz w:val="22"/>
                <w:szCs w:val="22"/>
                <w:lang w:val="hr-HR"/>
              </w:rPr>
              <w:t>Citogenetski odgovor</w:t>
            </w:r>
          </w:p>
        </w:tc>
        <w:tc>
          <w:tcPr>
            <w:tcW w:w="2693" w:type="dxa"/>
          </w:tcPr>
          <w:p w14:paraId="6D4363D2" w14:textId="77777777" w:rsidR="0037757A" w:rsidRPr="00510442" w:rsidRDefault="0037757A" w:rsidP="003179A4">
            <w:pPr>
              <w:pStyle w:val="Table"/>
              <w:keepLines w:val="0"/>
              <w:widowControl w:val="0"/>
              <w:spacing w:before="0" w:after="0"/>
              <w:rPr>
                <w:rFonts w:ascii="Times New Roman" w:hAnsi="Times New Roman"/>
                <w:b/>
                <w:color w:val="000000"/>
                <w:sz w:val="22"/>
                <w:szCs w:val="22"/>
                <w:lang w:val="hr-HR"/>
              </w:rPr>
            </w:pPr>
          </w:p>
        </w:tc>
        <w:tc>
          <w:tcPr>
            <w:tcW w:w="2718" w:type="dxa"/>
            <w:tcBorders>
              <w:right w:val="single" w:sz="4" w:space="0" w:color="auto"/>
            </w:tcBorders>
          </w:tcPr>
          <w:p w14:paraId="4D5964B4" w14:textId="77777777" w:rsidR="0037757A" w:rsidRPr="00510442" w:rsidRDefault="0037757A" w:rsidP="003179A4">
            <w:pPr>
              <w:pStyle w:val="Table"/>
              <w:keepLines w:val="0"/>
              <w:widowControl w:val="0"/>
              <w:spacing w:before="0" w:after="0"/>
              <w:rPr>
                <w:rFonts w:ascii="Times New Roman" w:hAnsi="Times New Roman"/>
                <w:b/>
                <w:color w:val="000000"/>
                <w:sz w:val="22"/>
                <w:szCs w:val="22"/>
                <w:lang w:val="hr-HR"/>
              </w:rPr>
            </w:pPr>
          </w:p>
        </w:tc>
      </w:tr>
      <w:tr w:rsidR="0037757A" w:rsidRPr="00510442" w14:paraId="1654BD47" w14:textId="77777777" w:rsidTr="003179A4">
        <w:trPr>
          <w:cantSplit/>
        </w:trPr>
        <w:tc>
          <w:tcPr>
            <w:tcW w:w="3794" w:type="dxa"/>
            <w:tcBorders>
              <w:left w:val="single" w:sz="4" w:space="0" w:color="auto"/>
            </w:tcBorders>
          </w:tcPr>
          <w:p w14:paraId="35C66C6B" w14:textId="77777777" w:rsidR="0037757A" w:rsidRPr="00510442" w:rsidRDefault="00C42ABE" w:rsidP="003179A4">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Veliki odgovor</w:t>
            </w:r>
            <w:r w:rsidR="0037757A" w:rsidRPr="00510442">
              <w:rPr>
                <w:rFonts w:ascii="Times New Roman" w:hAnsi="Times New Roman"/>
                <w:color w:val="000000"/>
                <w:sz w:val="22"/>
                <w:szCs w:val="22"/>
                <w:lang w:val="hr-HR"/>
              </w:rPr>
              <w:t xml:space="preserve"> n (%)</w:t>
            </w:r>
          </w:p>
        </w:tc>
        <w:tc>
          <w:tcPr>
            <w:tcW w:w="2693" w:type="dxa"/>
          </w:tcPr>
          <w:p w14:paraId="183A25E8" w14:textId="77777777" w:rsidR="0037757A" w:rsidRPr="00510442" w:rsidRDefault="0037757A" w:rsidP="003179A4">
            <w:pPr>
              <w:pStyle w:val="Table"/>
              <w:keepLines w:val="0"/>
              <w:widowControl w:val="0"/>
              <w:spacing w:before="0" w:after="0"/>
              <w:jc w:val="center"/>
              <w:rPr>
                <w:rFonts w:ascii="Times New Roman" w:hAnsi="Times New Roman"/>
                <w:color w:val="000000"/>
                <w:sz w:val="22"/>
                <w:szCs w:val="22"/>
                <w:lang w:val="hr-HR"/>
              </w:rPr>
            </w:pPr>
            <w:r w:rsidRPr="00510442">
              <w:rPr>
                <w:rFonts w:ascii="Times New Roman" w:hAnsi="Times New Roman"/>
                <w:color w:val="000000"/>
                <w:sz w:val="22"/>
                <w:szCs w:val="22"/>
                <w:lang w:val="hr-HR"/>
              </w:rPr>
              <w:t>490 (88</w:t>
            </w:r>
            <w:r w:rsidR="00C42ABE" w:rsidRPr="00510442">
              <w:rPr>
                <w:rFonts w:ascii="Times New Roman" w:hAnsi="Times New Roman"/>
                <w:color w:val="000000"/>
                <w:sz w:val="22"/>
                <w:szCs w:val="22"/>
                <w:lang w:val="hr-HR"/>
              </w:rPr>
              <w:t>,</w:t>
            </w:r>
            <w:r w:rsidRPr="00510442">
              <w:rPr>
                <w:rFonts w:ascii="Times New Roman" w:hAnsi="Times New Roman"/>
                <w:color w:val="000000"/>
                <w:sz w:val="22"/>
                <w:szCs w:val="22"/>
                <w:lang w:val="hr-HR"/>
              </w:rPr>
              <w:t>6%)*</w:t>
            </w:r>
          </w:p>
        </w:tc>
        <w:tc>
          <w:tcPr>
            <w:tcW w:w="2718" w:type="dxa"/>
            <w:tcBorders>
              <w:right w:val="single" w:sz="4" w:space="0" w:color="auto"/>
            </w:tcBorders>
          </w:tcPr>
          <w:p w14:paraId="09CCF161" w14:textId="77777777" w:rsidR="0037757A" w:rsidRPr="00510442" w:rsidRDefault="0037757A" w:rsidP="003179A4">
            <w:pPr>
              <w:pStyle w:val="Table"/>
              <w:keepLines w:val="0"/>
              <w:widowControl w:val="0"/>
              <w:spacing w:before="0" w:after="0"/>
              <w:jc w:val="center"/>
              <w:rPr>
                <w:rFonts w:ascii="Times New Roman" w:hAnsi="Times New Roman"/>
                <w:color w:val="000000"/>
                <w:sz w:val="22"/>
                <w:szCs w:val="22"/>
                <w:lang w:val="hr-HR"/>
              </w:rPr>
            </w:pPr>
            <w:r w:rsidRPr="00510442">
              <w:rPr>
                <w:rFonts w:ascii="Times New Roman" w:hAnsi="Times New Roman"/>
                <w:color w:val="000000"/>
                <w:sz w:val="22"/>
                <w:szCs w:val="22"/>
                <w:lang w:val="hr-HR"/>
              </w:rPr>
              <w:t>129 (23</w:t>
            </w:r>
            <w:r w:rsidR="00C42ABE" w:rsidRPr="00510442">
              <w:rPr>
                <w:rFonts w:ascii="Times New Roman" w:hAnsi="Times New Roman"/>
                <w:color w:val="000000"/>
                <w:sz w:val="22"/>
                <w:szCs w:val="22"/>
                <w:lang w:val="hr-HR"/>
              </w:rPr>
              <w:t>,</w:t>
            </w:r>
            <w:r w:rsidRPr="00510442">
              <w:rPr>
                <w:rFonts w:ascii="Times New Roman" w:hAnsi="Times New Roman"/>
                <w:color w:val="000000"/>
                <w:sz w:val="22"/>
                <w:szCs w:val="22"/>
                <w:lang w:val="hr-HR"/>
              </w:rPr>
              <w:t>3%)*</w:t>
            </w:r>
          </w:p>
        </w:tc>
      </w:tr>
      <w:tr w:rsidR="0037757A" w:rsidRPr="00510442" w14:paraId="66C9F6D8" w14:textId="77777777" w:rsidTr="003179A4">
        <w:trPr>
          <w:cantSplit/>
        </w:trPr>
        <w:tc>
          <w:tcPr>
            <w:tcW w:w="3794" w:type="dxa"/>
            <w:tcBorders>
              <w:left w:val="single" w:sz="4" w:space="0" w:color="auto"/>
            </w:tcBorders>
          </w:tcPr>
          <w:p w14:paraId="4BEE189F" w14:textId="77777777" w:rsidR="0037757A" w:rsidRPr="00510442" w:rsidRDefault="0037757A" w:rsidP="003179A4">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ab/>
              <w:t>[95% CI]</w:t>
            </w:r>
          </w:p>
        </w:tc>
        <w:tc>
          <w:tcPr>
            <w:tcW w:w="2693" w:type="dxa"/>
          </w:tcPr>
          <w:p w14:paraId="08335EB6" w14:textId="77777777" w:rsidR="0037757A" w:rsidRPr="00510442" w:rsidRDefault="0037757A" w:rsidP="003179A4">
            <w:pPr>
              <w:pStyle w:val="Table"/>
              <w:keepLines w:val="0"/>
              <w:widowControl w:val="0"/>
              <w:spacing w:before="0" w:after="0"/>
              <w:jc w:val="center"/>
              <w:rPr>
                <w:rFonts w:ascii="Times New Roman" w:hAnsi="Times New Roman"/>
                <w:color w:val="000000"/>
                <w:sz w:val="22"/>
                <w:szCs w:val="22"/>
                <w:lang w:val="hr-HR"/>
              </w:rPr>
            </w:pPr>
            <w:r w:rsidRPr="00510442">
              <w:rPr>
                <w:rFonts w:ascii="Times New Roman" w:hAnsi="Times New Roman"/>
                <w:color w:val="000000"/>
                <w:sz w:val="22"/>
                <w:szCs w:val="22"/>
                <w:lang w:val="hr-HR"/>
              </w:rPr>
              <w:t>[85</w:t>
            </w:r>
            <w:r w:rsidR="00C42ABE" w:rsidRPr="00510442">
              <w:rPr>
                <w:rFonts w:ascii="Times New Roman" w:hAnsi="Times New Roman"/>
                <w:color w:val="000000"/>
                <w:sz w:val="22"/>
                <w:szCs w:val="22"/>
                <w:lang w:val="hr-HR"/>
              </w:rPr>
              <w:t>,</w:t>
            </w:r>
            <w:r w:rsidRPr="00510442">
              <w:rPr>
                <w:rFonts w:ascii="Times New Roman" w:hAnsi="Times New Roman"/>
                <w:color w:val="000000"/>
                <w:sz w:val="22"/>
                <w:szCs w:val="22"/>
                <w:lang w:val="hr-HR"/>
              </w:rPr>
              <w:t>7%, 91</w:t>
            </w:r>
            <w:r w:rsidR="00C42ABE" w:rsidRPr="00510442">
              <w:rPr>
                <w:rFonts w:ascii="Times New Roman" w:hAnsi="Times New Roman"/>
                <w:color w:val="000000"/>
                <w:sz w:val="22"/>
                <w:szCs w:val="22"/>
                <w:lang w:val="hr-HR"/>
              </w:rPr>
              <w:t>,</w:t>
            </w:r>
            <w:r w:rsidRPr="00510442">
              <w:rPr>
                <w:rFonts w:ascii="Times New Roman" w:hAnsi="Times New Roman"/>
                <w:color w:val="000000"/>
                <w:sz w:val="22"/>
                <w:szCs w:val="22"/>
                <w:lang w:val="hr-HR"/>
              </w:rPr>
              <w:t>1%]</w:t>
            </w:r>
          </w:p>
        </w:tc>
        <w:tc>
          <w:tcPr>
            <w:tcW w:w="2718" w:type="dxa"/>
            <w:tcBorders>
              <w:right w:val="single" w:sz="4" w:space="0" w:color="auto"/>
            </w:tcBorders>
          </w:tcPr>
          <w:p w14:paraId="35C52284" w14:textId="77777777" w:rsidR="0037757A" w:rsidRPr="00510442" w:rsidRDefault="0037757A" w:rsidP="003179A4">
            <w:pPr>
              <w:pStyle w:val="Table"/>
              <w:keepLines w:val="0"/>
              <w:widowControl w:val="0"/>
              <w:spacing w:before="0" w:after="0"/>
              <w:jc w:val="center"/>
              <w:rPr>
                <w:rFonts w:ascii="Times New Roman" w:hAnsi="Times New Roman"/>
                <w:color w:val="000000"/>
                <w:sz w:val="22"/>
                <w:szCs w:val="22"/>
                <w:lang w:val="hr-HR"/>
              </w:rPr>
            </w:pPr>
            <w:r w:rsidRPr="00510442">
              <w:rPr>
                <w:rFonts w:ascii="Times New Roman" w:hAnsi="Times New Roman"/>
                <w:color w:val="000000"/>
                <w:sz w:val="22"/>
                <w:szCs w:val="22"/>
                <w:lang w:val="hr-HR"/>
              </w:rPr>
              <w:t>[19</w:t>
            </w:r>
            <w:r w:rsidR="00C42ABE" w:rsidRPr="00510442">
              <w:rPr>
                <w:rFonts w:ascii="Times New Roman" w:hAnsi="Times New Roman"/>
                <w:color w:val="000000"/>
                <w:sz w:val="22"/>
                <w:szCs w:val="22"/>
                <w:lang w:val="hr-HR"/>
              </w:rPr>
              <w:t>,</w:t>
            </w:r>
            <w:r w:rsidRPr="00510442">
              <w:rPr>
                <w:rFonts w:ascii="Times New Roman" w:hAnsi="Times New Roman"/>
                <w:color w:val="000000"/>
                <w:sz w:val="22"/>
                <w:szCs w:val="22"/>
                <w:lang w:val="hr-HR"/>
              </w:rPr>
              <w:t>9%, 27</w:t>
            </w:r>
            <w:r w:rsidR="00C42ABE" w:rsidRPr="00510442">
              <w:rPr>
                <w:rFonts w:ascii="Times New Roman" w:hAnsi="Times New Roman"/>
                <w:color w:val="000000"/>
                <w:sz w:val="22"/>
                <w:szCs w:val="22"/>
                <w:lang w:val="hr-HR"/>
              </w:rPr>
              <w:t>,</w:t>
            </w:r>
            <w:r w:rsidRPr="00510442">
              <w:rPr>
                <w:rFonts w:ascii="Times New Roman" w:hAnsi="Times New Roman"/>
                <w:color w:val="000000"/>
                <w:sz w:val="22"/>
                <w:szCs w:val="22"/>
                <w:lang w:val="hr-HR"/>
              </w:rPr>
              <w:t>1%]</w:t>
            </w:r>
          </w:p>
        </w:tc>
      </w:tr>
      <w:tr w:rsidR="0037757A" w:rsidRPr="00510442" w14:paraId="00F4E5F3" w14:textId="77777777" w:rsidTr="003179A4">
        <w:trPr>
          <w:cantSplit/>
        </w:trPr>
        <w:tc>
          <w:tcPr>
            <w:tcW w:w="3794" w:type="dxa"/>
            <w:tcBorders>
              <w:left w:val="single" w:sz="4" w:space="0" w:color="auto"/>
            </w:tcBorders>
          </w:tcPr>
          <w:p w14:paraId="6D0FB4F3" w14:textId="77777777" w:rsidR="0037757A" w:rsidRPr="00510442" w:rsidRDefault="0037757A" w:rsidP="003179A4">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ab/>
            </w:r>
            <w:r w:rsidR="00C42ABE" w:rsidRPr="00510442">
              <w:rPr>
                <w:rFonts w:ascii="Times New Roman" w:hAnsi="Times New Roman"/>
                <w:color w:val="000000"/>
                <w:sz w:val="22"/>
                <w:szCs w:val="22"/>
                <w:lang w:val="hr-HR"/>
              </w:rPr>
              <w:t>Potpuni</w:t>
            </w:r>
            <w:r w:rsidRPr="00510442">
              <w:rPr>
                <w:rFonts w:ascii="Times New Roman" w:hAnsi="Times New Roman"/>
                <w:color w:val="000000"/>
                <w:sz w:val="22"/>
                <w:szCs w:val="22"/>
                <w:lang w:val="hr-HR"/>
              </w:rPr>
              <w:t xml:space="preserve"> CyR n (%)</w:t>
            </w:r>
          </w:p>
        </w:tc>
        <w:tc>
          <w:tcPr>
            <w:tcW w:w="2693" w:type="dxa"/>
          </w:tcPr>
          <w:p w14:paraId="0E9DD17B" w14:textId="77777777" w:rsidR="0037757A" w:rsidRPr="00510442" w:rsidRDefault="00BE0FA4" w:rsidP="003179A4">
            <w:pPr>
              <w:pStyle w:val="Table"/>
              <w:keepLines w:val="0"/>
              <w:widowControl w:val="0"/>
              <w:spacing w:before="0" w:after="0"/>
              <w:jc w:val="center"/>
              <w:rPr>
                <w:rFonts w:ascii="Times New Roman" w:hAnsi="Times New Roman"/>
                <w:color w:val="000000"/>
                <w:sz w:val="22"/>
                <w:szCs w:val="22"/>
                <w:lang w:val="hr-HR"/>
              </w:rPr>
            </w:pPr>
            <w:r w:rsidRPr="00510442">
              <w:rPr>
                <w:rFonts w:ascii="Times New Roman" w:hAnsi="Times New Roman"/>
                <w:color w:val="000000"/>
                <w:sz w:val="22"/>
                <w:szCs w:val="22"/>
                <w:lang w:val="hr-HR"/>
              </w:rPr>
              <w:t>456 (82</w:t>
            </w:r>
            <w:r w:rsidR="00C42ABE" w:rsidRPr="00510442">
              <w:rPr>
                <w:rFonts w:ascii="Times New Roman" w:hAnsi="Times New Roman"/>
                <w:color w:val="000000"/>
                <w:sz w:val="22"/>
                <w:szCs w:val="22"/>
                <w:lang w:val="hr-HR"/>
              </w:rPr>
              <w:t>,</w:t>
            </w:r>
            <w:r w:rsidRPr="00510442">
              <w:rPr>
                <w:rFonts w:ascii="Times New Roman" w:hAnsi="Times New Roman"/>
                <w:color w:val="000000"/>
                <w:sz w:val="22"/>
                <w:szCs w:val="22"/>
                <w:lang w:val="hr-HR"/>
              </w:rPr>
              <w:t>5%)*</w:t>
            </w:r>
          </w:p>
        </w:tc>
        <w:tc>
          <w:tcPr>
            <w:tcW w:w="2718" w:type="dxa"/>
            <w:tcBorders>
              <w:right w:val="single" w:sz="4" w:space="0" w:color="auto"/>
            </w:tcBorders>
          </w:tcPr>
          <w:p w14:paraId="577A1142" w14:textId="77777777" w:rsidR="0037757A" w:rsidRPr="00510442" w:rsidRDefault="0037757A" w:rsidP="003179A4">
            <w:pPr>
              <w:pStyle w:val="Table"/>
              <w:keepLines w:val="0"/>
              <w:widowControl w:val="0"/>
              <w:spacing w:before="0" w:after="0"/>
              <w:jc w:val="center"/>
              <w:rPr>
                <w:rFonts w:ascii="Times New Roman" w:hAnsi="Times New Roman"/>
                <w:color w:val="000000"/>
                <w:sz w:val="22"/>
                <w:szCs w:val="22"/>
                <w:lang w:val="hr-HR"/>
              </w:rPr>
            </w:pPr>
            <w:r w:rsidRPr="00510442">
              <w:rPr>
                <w:rFonts w:ascii="Times New Roman" w:hAnsi="Times New Roman"/>
                <w:color w:val="000000"/>
                <w:sz w:val="22"/>
                <w:szCs w:val="22"/>
                <w:lang w:val="hr-HR"/>
              </w:rPr>
              <w:t>64 (11</w:t>
            </w:r>
            <w:r w:rsidR="00C42ABE" w:rsidRPr="00510442">
              <w:rPr>
                <w:rFonts w:ascii="Times New Roman" w:hAnsi="Times New Roman"/>
                <w:color w:val="000000"/>
                <w:sz w:val="22"/>
                <w:szCs w:val="22"/>
                <w:lang w:val="hr-HR"/>
              </w:rPr>
              <w:t>,</w:t>
            </w:r>
            <w:r w:rsidRPr="00510442">
              <w:rPr>
                <w:rFonts w:ascii="Times New Roman" w:hAnsi="Times New Roman"/>
                <w:color w:val="000000"/>
                <w:sz w:val="22"/>
                <w:szCs w:val="22"/>
                <w:lang w:val="hr-HR"/>
              </w:rPr>
              <w:t>6%)*</w:t>
            </w:r>
          </w:p>
        </w:tc>
      </w:tr>
      <w:tr w:rsidR="0037757A" w:rsidRPr="00510442" w14:paraId="2043378F" w14:textId="77777777" w:rsidTr="003179A4">
        <w:trPr>
          <w:cantSplit/>
        </w:trPr>
        <w:tc>
          <w:tcPr>
            <w:tcW w:w="3794" w:type="dxa"/>
            <w:tcBorders>
              <w:left w:val="single" w:sz="4" w:space="0" w:color="auto"/>
            </w:tcBorders>
          </w:tcPr>
          <w:p w14:paraId="4E264E01" w14:textId="77777777" w:rsidR="0037757A" w:rsidRPr="00510442" w:rsidRDefault="0037757A" w:rsidP="003179A4">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ab/>
            </w:r>
            <w:r w:rsidR="00C42ABE" w:rsidRPr="00510442">
              <w:rPr>
                <w:rFonts w:ascii="Times New Roman" w:hAnsi="Times New Roman"/>
                <w:color w:val="000000"/>
                <w:sz w:val="22"/>
                <w:szCs w:val="22"/>
                <w:lang w:val="hr-HR"/>
              </w:rPr>
              <w:t>Djelomični</w:t>
            </w:r>
            <w:r w:rsidRPr="00510442">
              <w:rPr>
                <w:rFonts w:ascii="Times New Roman" w:hAnsi="Times New Roman"/>
                <w:color w:val="000000"/>
                <w:sz w:val="22"/>
                <w:szCs w:val="22"/>
                <w:lang w:val="hr-HR"/>
              </w:rPr>
              <w:t xml:space="preserve"> CyR n (%)</w:t>
            </w:r>
          </w:p>
        </w:tc>
        <w:tc>
          <w:tcPr>
            <w:tcW w:w="2693" w:type="dxa"/>
          </w:tcPr>
          <w:p w14:paraId="2E8B5515" w14:textId="77777777" w:rsidR="0037757A" w:rsidRPr="00510442" w:rsidRDefault="00BE0FA4" w:rsidP="003179A4">
            <w:pPr>
              <w:pStyle w:val="Table"/>
              <w:keepLines w:val="0"/>
              <w:widowControl w:val="0"/>
              <w:spacing w:before="0" w:after="0"/>
              <w:jc w:val="center"/>
              <w:rPr>
                <w:rFonts w:ascii="Times New Roman" w:hAnsi="Times New Roman"/>
                <w:color w:val="000000"/>
                <w:sz w:val="22"/>
                <w:szCs w:val="22"/>
                <w:lang w:val="hr-HR"/>
              </w:rPr>
            </w:pPr>
            <w:r w:rsidRPr="00510442">
              <w:rPr>
                <w:rFonts w:ascii="Times New Roman" w:hAnsi="Times New Roman"/>
                <w:color w:val="000000"/>
                <w:sz w:val="22"/>
                <w:szCs w:val="22"/>
                <w:lang w:val="hr-HR"/>
              </w:rPr>
              <w:t>34 (6</w:t>
            </w:r>
            <w:r w:rsidR="00C42ABE" w:rsidRPr="00510442">
              <w:rPr>
                <w:rFonts w:ascii="Times New Roman" w:hAnsi="Times New Roman"/>
                <w:color w:val="000000"/>
                <w:sz w:val="22"/>
                <w:szCs w:val="22"/>
                <w:lang w:val="hr-HR"/>
              </w:rPr>
              <w:t>,</w:t>
            </w:r>
            <w:r w:rsidRPr="00510442">
              <w:rPr>
                <w:rFonts w:ascii="Times New Roman" w:hAnsi="Times New Roman"/>
                <w:color w:val="000000"/>
                <w:sz w:val="22"/>
                <w:szCs w:val="22"/>
                <w:lang w:val="hr-HR"/>
              </w:rPr>
              <w:t>1%)</w:t>
            </w:r>
          </w:p>
        </w:tc>
        <w:tc>
          <w:tcPr>
            <w:tcW w:w="2718" w:type="dxa"/>
            <w:tcBorders>
              <w:right w:val="single" w:sz="4" w:space="0" w:color="auto"/>
            </w:tcBorders>
          </w:tcPr>
          <w:p w14:paraId="324BC7F8" w14:textId="77777777" w:rsidR="0037757A" w:rsidRPr="00510442" w:rsidRDefault="0037757A" w:rsidP="003179A4">
            <w:pPr>
              <w:pStyle w:val="Table"/>
              <w:keepLines w:val="0"/>
              <w:widowControl w:val="0"/>
              <w:spacing w:before="0" w:after="0"/>
              <w:jc w:val="center"/>
              <w:rPr>
                <w:rFonts w:ascii="Times New Roman" w:hAnsi="Times New Roman"/>
                <w:color w:val="000000"/>
                <w:sz w:val="22"/>
                <w:szCs w:val="22"/>
                <w:lang w:val="hr-HR"/>
              </w:rPr>
            </w:pPr>
            <w:r w:rsidRPr="00510442">
              <w:rPr>
                <w:rFonts w:ascii="Times New Roman" w:hAnsi="Times New Roman"/>
                <w:color w:val="000000"/>
                <w:sz w:val="22"/>
                <w:szCs w:val="22"/>
                <w:lang w:val="hr-HR"/>
              </w:rPr>
              <w:t>65 (11</w:t>
            </w:r>
            <w:r w:rsidR="00C42ABE" w:rsidRPr="00510442">
              <w:rPr>
                <w:rFonts w:ascii="Times New Roman" w:hAnsi="Times New Roman"/>
                <w:color w:val="000000"/>
                <w:sz w:val="22"/>
                <w:szCs w:val="22"/>
                <w:lang w:val="hr-HR"/>
              </w:rPr>
              <w:t>,</w:t>
            </w:r>
            <w:r w:rsidRPr="00510442">
              <w:rPr>
                <w:rFonts w:ascii="Times New Roman" w:hAnsi="Times New Roman"/>
                <w:color w:val="000000"/>
                <w:sz w:val="22"/>
                <w:szCs w:val="22"/>
                <w:lang w:val="hr-HR"/>
              </w:rPr>
              <w:t>8%)</w:t>
            </w:r>
          </w:p>
        </w:tc>
      </w:tr>
      <w:tr w:rsidR="0037757A" w:rsidRPr="00510442" w14:paraId="35636DB1" w14:textId="77777777" w:rsidTr="003179A4">
        <w:trPr>
          <w:cantSplit/>
        </w:trPr>
        <w:tc>
          <w:tcPr>
            <w:tcW w:w="3794" w:type="dxa"/>
            <w:tcBorders>
              <w:left w:val="single" w:sz="4" w:space="0" w:color="auto"/>
              <w:bottom w:val="nil"/>
            </w:tcBorders>
          </w:tcPr>
          <w:p w14:paraId="4DB720D8" w14:textId="77777777" w:rsidR="0037757A" w:rsidRPr="00510442" w:rsidRDefault="0037757A" w:rsidP="003179A4">
            <w:pPr>
              <w:pStyle w:val="Table"/>
              <w:keepLines w:val="0"/>
              <w:widowControl w:val="0"/>
              <w:spacing w:before="0" w:after="0"/>
              <w:rPr>
                <w:rFonts w:ascii="Times New Roman" w:hAnsi="Times New Roman"/>
                <w:color w:val="000000"/>
                <w:sz w:val="22"/>
                <w:szCs w:val="22"/>
                <w:lang w:val="hr-HR"/>
              </w:rPr>
            </w:pPr>
          </w:p>
        </w:tc>
        <w:tc>
          <w:tcPr>
            <w:tcW w:w="2693" w:type="dxa"/>
            <w:tcBorders>
              <w:bottom w:val="nil"/>
            </w:tcBorders>
          </w:tcPr>
          <w:p w14:paraId="0573EBA5" w14:textId="77777777" w:rsidR="0037757A" w:rsidRPr="00510442" w:rsidRDefault="0037757A" w:rsidP="003179A4">
            <w:pPr>
              <w:pStyle w:val="Table"/>
              <w:keepLines w:val="0"/>
              <w:widowControl w:val="0"/>
              <w:spacing w:before="0" w:after="0"/>
              <w:rPr>
                <w:rFonts w:ascii="Times New Roman" w:hAnsi="Times New Roman"/>
                <w:color w:val="000000"/>
                <w:sz w:val="22"/>
                <w:szCs w:val="22"/>
                <w:lang w:val="hr-HR"/>
              </w:rPr>
            </w:pPr>
          </w:p>
        </w:tc>
        <w:tc>
          <w:tcPr>
            <w:tcW w:w="2718" w:type="dxa"/>
            <w:tcBorders>
              <w:bottom w:val="nil"/>
              <w:right w:val="single" w:sz="4" w:space="0" w:color="auto"/>
            </w:tcBorders>
          </w:tcPr>
          <w:p w14:paraId="4B23BF01" w14:textId="77777777" w:rsidR="0037757A" w:rsidRPr="00510442" w:rsidRDefault="0037757A" w:rsidP="003179A4">
            <w:pPr>
              <w:pStyle w:val="Table"/>
              <w:keepLines w:val="0"/>
              <w:widowControl w:val="0"/>
              <w:spacing w:before="0" w:after="0"/>
              <w:rPr>
                <w:rFonts w:ascii="Times New Roman" w:hAnsi="Times New Roman"/>
                <w:color w:val="000000"/>
                <w:sz w:val="22"/>
                <w:szCs w:val="22"/>
                <w:lang w:val="hr-HR"/>
              </w:rPr>
            </w:pPr>
          </w:p>
        </w:tc>
      </w:tr>
      <w:tr w:rsidR="0037757A" w:rsidRPr="00510442" w14:paraId="33D7FFD0" w14:textId="77777777" w:rsidTr="003179A4">
        <w:trPr>
          <w:cantSplit/>
        </w:trPr>
        <w:tc>
          <w:tcPr>
            <w:tcW w:w="3794" w:type="dxa"/>
            <w:tcBorders>
              <w:left w:val="single" w:sz="4" w:space="0" w:color="auto"/>
              <w:bottom w:val="nil"/>
            </w:tcBorders>
          </w:tcPr>
          <w:p w14:paraId="42740175" w14:textId="77777777" w:rsidR="0037757A" w:rsidRPr="00510442" w:rsidRDefault="00C42ABE" w:rsidP="003179A4">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b/>
                <w:sz w:val="22"/>
                <w:szCs w:val="22"/>
                <w:lang w:val="hr-HR"/>
              </w:rPr>
              <w:t>Molekularni odgovor</w:t>
            </w:r>
            <w:r w:rsidRPr="00510442">
              <w:rPr>
                <w:rFonts w:ascii="Times New Roman" w:hAnsi="Times New Roman"/>
                <w:color w:val="000000"/>
                <w:sz w:val="22"/>
                <w:szCs w:val="22"/>
                <w:lang w:val="hr-HR"/>
              </w:rPr>
              <w:t xml:space="preserve"> </w:t>
            </w:r>
            <w:r w:rsidR="00614DEB" w:rsidRPr="00510442">
              <w:rPr>
                <w:rFonts w:ascii="Times New Roman" w:hAnsi="Times New Roman"/>
                <w:color w:val="000000"/>
                <w:sz w:val="22"/>
                <w:szCs w:val="22"/>
                <w:lang w:val="hr-HR"/>
              </w:rPr>
              <w:t>**</w:t>
            </w:r>
          </w:p>
        </w:tc>
        <w:tc>
          <w:tcPr>
            <w:tcW w:w="2693" w:type="dxa"/>
            <w:tcBorders>
              <w:bottom w:val="nil"/>
            </w:tcBorders>
          </w:tcPr>
          <w:p w14:paraId="7768BD64" w14:textId="77777777" w:rsidR="0037757A" w:rsidRPr="00510442" w:rsidRDefault="0037757A" w:rsidP="003179A4">
            <w:pPr>
              <w:pStyle w:val="Table"/>
              <w:keepLines w:val="0"/>
              <w:widowControl w:val="0"/>
              <w:spacing w:before="0" w:after="0"/>
              <w:rPr>
                <w:rFonts w:ascii="Times New Roman" w:hAnsi="Times New Roman"/>
                <w:color w:val="000000"/>
                <w:sz w:val="22"/>
                <w:szCs w:val="22"/>
                <w:lang w:val="hr-HR"/>
              </w:rPr>
            </w:pPr>
          </w:p>
        </w:tc>
        <w:tc>
          <w:tcPr>
            <w:tcW w:w="2718" w:type="dxa"/>
            <w:tcBorders>
              <w:bottom w:val="nil"/>
              <w:right w:val="single" w:sz="4" w:space="0" w:color="auto"/>
            </w:tcBorders>
          </w:tcPr>
          <w:p w14:paraId="0836A802" w14:textId="77777777" w:rsidR="0037757A" w:rsidRPr="00510442" w:rsidRDefault="0037757A" w:rsidP="003179A4">
            <w:pPr>
              <w:pStyle w:val="Table"/>
              <w:keepLines w:val="0"/>
              <w:widowControl w:val="0"/>
              <w:spacing w:before="0" w:after="0"/>
              <w:rPr>
                <w:rFonts w:ascii="Times New Roman" w:hAnsi="Times New Roman"/>
                <w:color w:val="000000"/>
                <w:sz w:val="22"/>
                <w:szCs w:val="22"/>
                <w:lang w:val="hr-HR"/>
              </w:rPr>
            </w:pPr>
          </w:p>
        </w:tc>
      </w:tr>
      <w:tr w:rsidR="0037757A" w:rsidRPr="00510442" w14:paraId="7921BF5C" w14:textId="77777777" w:rsidTr="003179A4">
        <w:trPr>
          <w:cantSplit/>
        </w:trPr>
        <w:tc>
          <w:tcPr>
            <w:tcW w:w="3794" w:type="dxa"/>
            <w:tcBorders>
              <w:left w:val="single" w:sz="4" w:space="0" w:color="auto"/>
              <w:bottom w:val="nil"/>
            </w:tcBorders>
          </w:tcPr>
          <w:p w14:paraId="007D930D" w14:textId="77777777" w:rsidR="0037757A" w:rsidRPr="00510442" w:rsidRDefault="00C42ABE" w:rsidP="003179A4">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sz w:val="22"/>
                <w:szCs w:val="22"/>
                <w:lang w:val="hr-HR"/>
              </w:rPr>
              <w:t xml:space="preserve">Veliki odgovor nakon </w:t>
            </w:r>
            <w:r w:rsidRPr="00510442">
              <w:rPr>
                <w:rFonts w:ascii="Times New Roman" w:hAnsi="Times New Roman"/>
                <w:color w:val="000000"/>
                <w:sz w:val="22"/>
                <w:szCs w:val="22"/>
                <w:lang w:val="hr-HR"/>
              </w:rPr>
              <w:t>12 mjeseci</w:t>
            </w:r>
            <w:r w:rsidR="0037757A" w:rsidRPr="00510442">
              <w:rPr>
                <w:rFonts w:ascii="Times New Roman" w:hAnsi="Times New Roman"/>
                <w:color w:val="000000"/>
                <w:sz w:val="22"/>
                <w:szCs w:val="22"/>
                <w:lang w:val="hr-HR"/>
              </w:rPr>
              <w:t xml:space="preserve"> (%)</w:t>
            </w:r>
          </w:p>
        </w:tc>
        <w:tc>
          <w:tcPr>
            <w:tcW w:w="2693" w:type="dxa"/>
            <w:tcBorders>
              <w:bottom w:val="nil"/>
            </w:tcBorders>
          </w:tcPr>
          <w:p w14:paraId="6C7F0DF2" w14:textId="77777777" w:rsidR="0037757A" w:rsidRPr="00510442" w:rsidRDefault="00BE0FA4" w:rsidP="003179A4">
            <w:pPr>
              <w:pStyle w:val="Table"/>
              <w:keepLines w:val="0"/>
              <w:widowControl w:val="0"/>
              <w:spacing w:before="0" w:after="0"/>
              <w:jc w:val="center"/>
              <w:rPr>
                <w:rFonts w:ascii="Times New Roman" w:hAnsi="Times New Roman"/>
                <w:color w:val="000000"/>
                <w:sz w:val="22"/>
                <w:szCs w:val="22"/>
                <w:lang w:val="hr-HR"/>
              </w:rPr>
            </w:pPr>
            <w:r w:rsidRPr="00510442">
              <w:rPr>
                <w:rFonts w:ascii="Times New Roman" w:hAnsi="Times New Roman"/>
                <w:color w:val="000000"/>
                <w:sz w:val="22"/>
                <w:szCs w:val="22"/>
                <w:lang w:val="hr-HR"/>
              </w:rPr>
              <w:t>153/305=50</w:t>
            </w:r>
            <w:r w:rsidR="00C42ABE" w:rsidRPr="00510442">
              <w:rPr>
                <w:rFonts w:ascii="Times New Roman" w:hAnsi="Times New Roman"/>
                <w:color w:val="000000"/>
                <w:sz w:val="22"/>
                <w:szCs w:val="22"/>
                <w:lang w:val="hr-HR"/>
              </w:rPr>
              <w:t>,</w:t>
            </w:r>
            <w:r w:rsidRPr="00510442">
              <w:rPr>
                <w:rFonts w:ascii="Times New Roman" w:hAnsi="Times New Roman"/>
                <w:color w:val="000000"/>
                <w:sz w:val="22"/>
                <w:szCs w:val="22"/>
                <w:lang w:val="hr-HR"/>
              </w:rPr>
              <w:t>2%</w:t>
            </w:r>
          </w:p>
        </w:tc>
        <w:tc>
          <w:tcPr>
            <w:tcW w:w="2718" w:type="dxa"/>
            <w:tcBorders>
              <w:bottom w:val="nil"/>
              <w:right w:val="single" w:sz="4" w:space="0" w:color="auto"/>
            </w:tcBorders>
          </w:tcPr>
          <w:p w14:paraId="6146EDE8" w14:textId="77777777" w:rsidR="0037757A" w:rsidRPr="00510442" w:rsidRDefault="00BE0FA4" w:rsidP="003179A4">
            <w:pPr>
              <w:pStyle w:val="Table"/>
              <w:keepLines w:val="0"/>
              <w:widowControl w:val="0"/>
              <w:spacing w:before="0" w:after="0"/>
              <w:jc w:val="center"/>
              <w:rPr>
                <w:rFonts w:ascii="Times New Roman" w:hAnsi="Times New Roman"/>
                <w:color w:val="000000"/>
                <w:sz w:val="22"/>
                <w:szCs w:val="22"/>
                <w:lang w:val="hr-HR"/>
              </w:rPr>
            </w:pPr>
            <w:r w:rsidRPr="00510442">
              <w:rPr>
                <w:rFonts w:ascii="Times New Roman" w:hAnsi="Times New Roman"/>
                <w:color w:val="000000"/>
                <w:sz w:val="22"/>
                <w:szCs w:val="22"/>
                <w:lang w:val="hr-HR"/>
              </w:rPr>
              <w:t>8/83=9</w:t>
            </w:r>
            <w:r w:rsidR="00C42ABE" w:rsidRPr="00510442">
              <w:rPr>
                <w:rFonts w:ascii="Times New Roman" w:hAnsi="Times New Roman"/>
                <w:color w:val="000000"/>
                <w:sz w:val="22"/>
                <w:szCs w:val="22"/>
                <w:lang w:val="hr-HR"/>
              </w:rPr>
              <w:t>,</w:t>
            </w:r>
            <w:r w:rsidRPr="00510442">
              <w:rPr>
                <w:rFonts w:ascii="Times New Roman" w:hAnsi="Times New Roman"/>
                <w:color w:val="000000"/>
                <w:sz w:val="22"/>
                <w:szCs w:val="22"/>
                <w:lang w:val="hr-HR"/>
              </w:rPr>
              <w:t>6%</w:t>
            </w:r>
          </w:p>
        </w:tc>
      </w:tr>
      <w:tr w:rsidR="0037757A" w:rsidRPr="00510442" w14:paraId="4A04D2BF" w14:textId="77777777" w:rsidTr="003179A4">
        <w:trPr>
          <w:cantSplit/>
        </w:trPr>
        <w:tc>
          <w:tcPr>
            <w:tcW w:w="3794" w:type="dxa"/>
            <w:tcBorders>
              <w:left w:val="single" w:sz="4" w:space="0" w:color="auto"/>
              <w:bottom w:val="nil"/>
            </w:tcBorders>
          </w:tcPr>
          <w:p w14:paraId="1EB723B6" w14:textId="77777777" w:rsidR="0037757A" w:rsidRPr="00510442" w:rsidRDefault="00C42ABE" w:rsidP="003179A4">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sz w:val="22"/>
                <w:szCs w:val="22"/>
                <w:lang w:val="hr-HR"/>
              </w:rPr>
              <w:t xml:space="preserve">Veliki odgovor nakon </w:t>
            </w:r>
            <w:r w:rsidR="0037757A" w:rsidRPr="00510442">
              <w:rPr>
                <w:rFonts w:ascii="Times New Roman" w:hAnsi="Times New Roman"/>
                <w:color w:val="000000"/>
                <w:sz w:val="22"/>
                <w:szCs w:val="22"/>
                <w:lang w:val="hr-HR"/>
              </w:rPr>
              <w:t>24 </w:t>
            </w:r>
            <w:r w:rsidRPr="00510442">
              <w:rPr>
                <w:rFonts w:ascii="Times New Roman" w:hAnsi="Times New Roman"/>
                <w:color w:val="000000"/>
                <w:sz w:val="22"/>
                <w:szCs w:val="22"/>
                <w:lang w:val="hr-HR"/>
              </w:rPr>
              <w:t>mjesec</w:t>
            </w:r>
            <w:r w:rsidR="009F4E83" w:rsidRPr="00510442">
              <w:rPr>
                <w:rFonts w:ascii="Times New Roman" w:hAnsi="Times New Roman"/>
                <w:color w:val="000000"/>
                <w:sz w:val="22"/>
                <w:szCs w:val="22"/>
                <w:lang w:val="hr-HR"/>
              </w:rPr>
              <w:t>a</w:t>
            </w:r>
            <w:r w:rsidRPr="00510442">
              <w:rPr>
                <w:rFonts w:ascii="Times New Roman" w:hAnsi="Times New Roman"/>
                <w:color w:val="000000"/>
                <w:sz w:val="22"/>
                <w:szCs w:val="22"/>
                <w:lang w:val="hr-HR"/>
              </w:rPr>
              <w:t xml:space="preserve"> </w:t>
            </w:r>
            <w:r w:rsidR="0037757A" w:rsidRPr="00510442">
              <w:rPr>
                <w:rFonts w:ascii="Times New Roman" w:hAnsi="Times New Roman"/>
                <w:color w:val="000000"/>
                <w:sz w:val="22"/>
                <w:szCs w:val="22"/>
                <w:lang w:val="hr-HR"/>
              </w:rPr>
              <w:t>(%)</w:t>
            </w:r>
          </w:p>
        </w:tc>
        <w:tc>
          <w:tcPr>
            <w:tcW w:w="2693" w:type="dxa"/>
            <w:tcBorders>
              <w:bottom w:val="nil"/>
            </w:tcBorders>
          </w:tcPr>
          <w:p w14:paraId="72E1B72F" w14:textId="77777777" w:rsidR="0037757A" w:rsidRPr="00510442" w:rsidRDefault="00BE0FA4" w:rsidP="003179A4">
            <w:pPr>
              <w:pStyle w:val="Table"/>
              <w:keepLines w:val="0"/>
              <w:widowControl w:val="0"/>
              <w:spacing w:before="0" w:after="0"/>
              <w:jc w:val="center"/>
              <w:rPr>
                <w:rFonts w:ascii="Times New Roman" w:hAnsi="Times New Roman"/>
                <w:color w:val="000000"/>
                <w:sz w:val="22"/>
                <w:szCs w:val="22"/>
                <w:lang w:val="hr-HR"/>
              </w:rPr>
            </w:pPr>
            <w:r w:rsidRPr="00510442">
              <w:rPr>
                <w:rFonts w:ascii="Times New Roman" w:hAnsi="Times New Roman"/>
                <w:color w:val="000000"/>
                <w:sz w:val="22"/>
                <w:szCs w:val="22"/>
                <w:lang w:val="hr-HR"/>
              </w:rPr>
              <w:t>73/104=70</w:t>
            </w:r>
            <w:r w:rsidR="00C42ABE" w:rsidRPr="00510442">
              <w:rPr>
                <w:rFonts w:ascii="Times New Roman" w:hAnsi="Times New Roman"/>
                <w:color w:val="000000"/>
                <w:sz w:val="22"/>
                <w:szCs w:val="22"/>
                <w:lang w:val="hr-HR"/>
              </w:rPr>
              <w:t>,</w:t>
            </w:r>
            <w:r w:rsidRPr="00510442">
              <w:rPr>
                <w:rFonts w:ascii="Times New Roman" w:hAnsi="Times New Roman"/>
                <w:color w:val="000000"/>
                <w:sz w:val="22"/>
                <w:szCs w:val="22"/>
                <w:lang w:val="hr-HR"/>
              </w:rPr>
              <w:t>2%</w:t>
            </w:r>
          </w:p>
        </w:tc>
        <w:tc>
          <w:tcPr>
            <w:tcW w:w="2718" w:type="dxa"/>
            <w:tcBorders>
              <w:bottom w:val="nil"/>
              <w:right w:val="single" w:sz="4" w:space="0" w:color="auto"/>
            </w:tcBorders>
          </w:tcPr>
          <w:p w14:paraId="583D7D82" w14:textId="77777777" w:rsidR="0037757A" w:rsidRPr="00510442" w:rsidRDefault="00BE0FA4" w:rsidP="003179A4">
            <w:pPr>
              <w:pStyle w:val="Table"/>
              <w:keepLines w:val="0"/>
              <w:widowControl w:val="0"/>
              <w:spacing w:before="0" w:after="0"/>
              <w:jc w:val="center"/>
              <w:rPr>
                <w:rFonts w:ascii="Times New Roman" w:hAnsi="Times New Roman"/>
                <w:color w:val="000000"/>
                <w:sz w:val="22"/>
                <w:szCs w:val="22"/>
                <w:lang w:val="hr-HR"/>
              </w:rPr>
            </w:pPr>
            <w:r w:rsidRPr="00510442">
              <w:rPr>
                <w:rFonts w:ascii="Times New Roman" w:hAnsi="Times New Roman"/>
                <w:color w:val="000000"/>
                <w:sz w:val="22"/>
                <w:szCs w:val="22"/>
                <w:lang w:val="hr-HR"/>
              </w:rPr>
              <w:t>3/12=25%</w:t>
            </w:r>
          </w:p>
        </w:tc>
      </w:tr>
      <w:tr w:rsidR="00BE0FA4" w:rsidRPr="00510442" w14:paraId="7EB4836B" w14:textId="77777777" w:rsidTr="003179A4">
        <w:trPr>
          <w:cantSplit/>
        </w:trPr>
        <w:tc>
          <w:tcPr>
            <w:tcW w:w="3794" w:type="dxa"/>
            <w:tcBorders>
              <w:left w:val="single" w:sz="4" w:space="0" w:color="auto"/>
              <w:bottom w:val="nil"/>
            </w:tcBorders>
          </w:tcPr>
          <w:p w14:paraId="3615C028" w14:textId="77777777" w:rsidR="00BE0FA4" w:rsidRPr="00510442" w:rsidRDefault="00C42ABE" w:rsidP="003179A4">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sz w:val="22"/>
                <w:szCs w:val="22"/>
                <w:lang w:val="hr-HR"/>
              </w:rPr>
              <w:t xml:space="preserve">Veliki odgovor nakon </w:t>
            </w:r>
            <w:r w:rsidR="00BE0FA4" w:rsidRPr="00510442">
              <w:rPr>
                <w:rFonts w:ascii="Times New Roman" w:hAnsi="Times New Roman"/>
                <w:color w:val="000000"/>
                <w:sz w:val="22"/>
                <w:szCs w:val="22"/>
                <w:lang w:val="hr-HR"/>
              </w:rPr>
              <w:t>84 </w:t>
            </w:r>
            <w:r w:rsidRPr="00510442">
              <w:rPr>
                <w:rFonts w:ascii="Times New Roman" w:hAnsi="Times New Roman"/>
                <w:color w:val="000000"/>
                <w:sz w:val="22"/>
                <w:szCs w:val="22"/>
                <w:lang w:val="hr-HR"/>
              </w:rPr>
              <w:t>mjesec</w:t>
            </w:r>
            <w:r w:rsidR="009F4E83" w:rsidRPr="00510442">
              <w:rPr>
                <w:rFonts w:ascii="Times New Roman" w:hAnsi="Times New Roman"/>
                <w:color w:val="000000"/>
                <w:sz w:val="22"/>
                <w:szCs w:val="22"/>
                <w:lang w:val="hr-HR"/>
              </w:rPr>
              <w:t>a</w:t>
            </w:r>
            <w:r w:rsidRPr="00510442">
              <w:rPr>
                <w:rFonts w:ascii="Times New Roman" w:hAnsi="Times New Roman"/>
                <w:color w:val="000000"/>
                <w:sz w:val="22"/>
                <w:szCs w:val="22"/>
                <w:lang w:val="hr-HR"/>
              </w:rPr>
              <w:t xml:space="preserve"> </w:t>
            </w:r>
            <w:r w:rsidR="00BE0FA4" w:rsidRPr="00510442">
              <w:rPr>
                <w:rFonts w:ascii="Times New Roman" w:hAnsi="Times New Roman"/>
                <w:color w:val="000000"/>
                <w:sz w:val="22"/>
                <w:szCs w:val="22"/>
                <w:lang w:val="hr-HR"/>
              </w:rPr>
              <w:t>(%)</w:t>
            </w:r>
          </w:p>
        </w:tc>
        <w:tc>
          <w:tcPr>
            <w:tcW w:w="2693" w:type="dxa"/>
            <w:tcBorders>
              <w:bottom w:val="nil"/>
            </w:tcBorders>
          </w:tcPr>
          <w:p w14:paraId="7B797F0B" w14:textId="77777777" w:rsidR="00BE0FA4" w:rsidRPr="00510442" w:rsidRDefault="00BE0FA4" w:rsidP="003179A4">
            <w:pPr>
              <w:pStyle w:val="Table"/>
              <w:keepLines w:val="0"/>
              <w:widowControl w:val="0"/>
              <w:spacing w:before="0" w:after="0"/>
              <w:jc w:val="center"/>
              <w:rPr>
                <w:rFonts w:ascii="Times New Roman" w:hAnsi="Times New Roman"/>
                <w:color w:val="000000"/>
                <w:sz w:val="22"/>
                <w:szCs w:val="22"/>
                <w:lang w:val="hr-HR"/>
              </w:rPr>
            </w:pPr>
            <w:r w:rsidRPr="00510442">
              <w:rPr>
                <w:rFonts w:ascii="Times New Roman" w:hAnsi="Times New Roman"/>
                <w:color w:val="000000"/>
                <w:sz w:val="22"/>
                <w:szCs w:val="22"/>
                <w:lang w:val="hr-HR"/>
              </w:rPr>
              <w:t>102/116=87</w:t>
            </w:r>
            <w:r w:rsidR="00C42ABE" w:rsidRPr="00510442">
              <w:rPr>
                <w:rFonts w:ascii="Times New Roman" w:hAnsi="Times New Roman"/>
                <w:color w:val="000000"/>
                <w:sz w:val="22"/>
                <w:szCs w:val="22"/>
                <w:lang w:val="hr-HR"/>
              </w:rPr>
              <w:t>,</w:t>
            </w:r>
            <w:r w:rsidRPr="00510442">
              <w:rPr>
                <w:rFonts w:ascii="Times New Roman" w:hAnsi="Times New Roman"/>
                <w:color w:val="000000"/>
                <w:sz w:val="22"/>
                <w:szCs w:val="22"/>
                <w:lang w:val="hr-HR"/>
              </w:rPr>
              <w:t>9%</w:t>
            </w:r>
          </w:p>
        </w:tc>
        <w:tc>
          <w:tcPr>
            <w:tcW w:w="2718" w:type="dxa"/>
            <w:tcBorders>
              <w:bottom w:val="nil"/>
              <w:right w:val="single" w:sz="4" w:space="0" w:color="auto"/>
            </w:tcBorders>
          </w:tcPr>
          <w:p w14:paraId="7F0BB1E4" w14:textId="77777777" w:rsidR="00BE0FA4" w:rsidRPr="00510442" w:rsidRDefault="00BE0FA4" w:rsidP="003179A4">
            <w:pPr>
              <w:pStyle w:val="Table"/>
              <w:keepLines w:val="0"/>
              <w:widowControl w:val="0"/>
              <w:spacing w:before="0" w:after="0"/>
              <w:jc w:val="center"/>
              <w:rPr>
                <w:rFonts w:ascii="Times New Roman" w:hAnsi="Times New Roman"/>
                <w:color w:val="000000"/>
                <w:sz w:val="22"/>
                <w:szCs w:val="22"/>
                <w:lang w:val="hr-HR"/>
              </w:rPr>
            </w:pPr>
            <w:r w:rsidRPr="00510442">
              <w:rPr>
                <w:rFonts w:ascii="Times New Roman" w:hAnsi="Times New Roman"/>
                <w:color w:val="000000"/>
                <w:sz w:val="22"/>
                <w:szCs w:val="22"/>
                <w:lang w:val="hr-HR"/>
              </w:rPr>
              <w:t>3/4=75%</w:t>
            </w:r>
          </w:p>
        </w:tc>
      </w:tr>
      <w:tr w:rsidR="0037757A" w:rsidRPr="00F410C8" w14:paraId="73BFD895" w14:textId="77777777" w:rsidTr="003179A4">
        <w:trPr>
          <w:cantSplit/>
        </w:trPr>
        <w:tc>
          <w:tcPr>
            <w:tcW w:w="9205" w:type="dxa"/>
            <w:gridSpan w:val="3"/>
            <w:tcBorders>
              <w:top w:val="single" w:sz="4" w:space="0" w:color="auto"/>
              <w:left w:val="single" w:sz="4" w:space="0" w:color="auto"/>
              <w:bottom w:val="single" w:sz="4" w:space="0" w:color="auto"/>
              <w:right w:val="single" w:sz="4" w:space="0" w:color="auto"/>
            </w:tcBorders>
          </w:tcPr>
          <w:p w14:paraId="6E2288FE" w14:textId="77777777" w:rsidR="0037757A" w:rsidRPr="00510442" w:rsidRDefault="0037757A" w:rsidP="0091773C">
            <w:pPr>
              <w:pStyle w:val="Table"/>
              <w:keepNext w:val="0"/>
              <w:keepLines w:val="0"/>
              <w:widowControl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 p&lt;0</w:t>
            </w:r>
            <w:r w:rsidR="009F4E83" w:rsidRPr="00510442">
              <w:rPr>
                <w:rFonts w:ascii="Times New Roman" w:hAnsi="Times New Roman"/>
                <w:color w:val="000000"/>
                <w:sz w:val="22"/>
                <w:szCs w:val="22"/>
                <w:lang w:val="hr-HR"/>
              </w:rPr>
              <w:t>,</w:t>
            </w:r>
            <w:r w:rsidRPr="00510442">
              <w:rPr>
                <w:rFonts w:ascii="Times New Roman" w:hAnsi="Times New Roman"/>
                <w:color w:val="000000"/>
                <w:sz w:val="22"/>
                <w:szCs w:val="22"/>
                <w:lang w:val="hr-HR"/>
              </w:rPr>
              <w:t xml:space="preserve">001, </w:t>
            </w:r>
            <w:r w:rsidR="009F4E83" w:rsidRPr="00510442">
              <w:rPr>
                <w:rFonts w:ascii="Times New Roman" w:hAnsi="Times New Roman"/>
                <w:sz w:val="22"/>
                <w:szCs w:val="22"/>
                <w:lang w:val="hr-HR"/>
              </w:rPr>
              <w:t xml:space="preserve">Fischerov egzaktni </w:t>
            </w:r>
            <w:r w:rsidRPr="00510442">
              <w:rPr>
                <w:rFonts w:ascii="Times New Roman" w:hAnsi="Times New Roman"/>
                <w:color w:val="000000"/>
                <w:sz w:val="22"/>
                <w:szCs w:val="22"/>
                <w:lang w:val="hr-HR"/>
              </w:rPr>
              <w:t>test</w:t>
            </w:r>
          </w:p>
          <w:p w14:paraId="3DEE727B" w14:textId="77777777" w:rsidR="0037757A" w:rsidRPr="00510442" w:rsidRDefault="0037757A" w:rsidP="00422F71">
            <w:pPr>
              <w:pStyle w:val="Table"/>
              <w:keepNext w:val="0"/>
              <w:keepLines w:val="0"/>
              <w:widowControl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 xml:space="preserve">** </w:t>
            </w:r>
            <w:r w:rsidR="009F4E83" w:rsidRPr="00510442">
              <w:rPr>
                <w:rFonts w:ascii="Times New Roman" w:hAnsi="Times New Roman"/>
                <w:sz w:val="22"/>
                <w:szCs w:val="22"/>
                <w:lang w:val="hr-HR"/>
              </w:rPr>
              <w:t>postotci molekularnog odgovora se temelje na dostupnim uzorcima</w:t>
            </w:r>
          </w:p>
          <w:p w14:paraId="7FAABC69" w14:textId="77777777" w:rsidR="009F4E83" w:rsidRPr="00510442" w:rsidRDefault="009F4E83" w:rsidP="009B5630">
            <w:pPr>
              <w:spacing w:line="240" w:lineRule="auto"/>
              <w:rPr>
                <w:b/>
                <w:szCs w:val="22"/>
                <w:lang w:val="hr-HR"/>
              </w:rPr>
            </w:pPr>
            <w:r w:rsidRPr="00510442">
              <w:rPr>
                <w:b/>
                <w:szCs w:val="22"/>
                <w:lang w:val="hr-HR"/>
              </w:rPr>
              <w:t>Kriteriji hematološkog odgovora (svi se odgovori moraju potvrditi nakon ≥4</w:t>
            </w:r>
            <w:r w:rsidRPr="00510442">
              <w:rPr>
                <w:b/>
                <w:color w:val="000000"/>
                <w:szCs w:val="22"/>
                <w:lang w:val="hr-HR"/>
              </w:rPr>
              <w:t> </w:t>
            </w:r>
            <w:r w:rsidRPr="00510442">
              <w:rPr>
                <w:b/>
                <w:szCs w:val="22"/>
                <w:lang w:val="hr-HR"/>
              </w:rPr>
              <w:t>tjedna):</w:t>
            </w:r>
          </w:p>
          <w:p w14:paraId="540AFF48" w14:textId="77777777" w:rsidR="009F4E83" w:rsidRPr="00510442" w:rsidRDefault="009F4E83" w:rsidP="009B5630">
            <w:pPr>
              <w:spacing w:line="240" w:lineRule="auto"/>
              <w:rPr>
                <w:szCs w:val="22"/>
                <w:lang w:val="hr-HR"/>
              </w:rPr>
            </w:pPr>
            <w:r w:rsidRPr="00510442">
              <w:rPr>
                <w:szCs w:val="22"/>
                <w:lang w:val="hr-HR"/>
              </w:rPr>
              <w:t>WBC &lt;10</w:t>
            </w:r>
            <w:r w:rsidRPr="00510442">
              <w:rPr>
                <w:b/>
                <w:color w:val="000000"/>
                <w:szCs w:val="22"/>
                <w:lang w:val="hr-HR"/>
              </w:rPr>
              <w:t> </w:t>
            </w:r>
            <w:r w:rsidRPr="00510442">
              <w:rPr>
                <w:szCs w:val="22"/>
                <w:lang w:val="hr-HR"/>
              </w:rPr>
              <w:t>x</w:t>
            </w:r>
            <w:r w:rsidRPr="00510442">
              <w:rPr>
                <w:b/>
                <w:color w:val="000000"/>
                <w:szCs w:val="22"/>
                <w:lang w:val="hr-HR"/>
              </w:rPr>
              <w:t> </w:t>
            </w:r>
            <w:r w:rsidRPr="00510442">
              <w:rPr>
                <w:szCs w:val="22"/>
                <w:lang w:val="hr-HR"/>
              </w:rPr>
              <w:t>10</w:t>
            </w:r>
            <w:r w:rsidRPr="00510442">
              <w:rPr>
                <w:szCs w:val="22"/>
                <w:vertAlign w:val="superscript"/>
                <w:lang w:val="hr-HR"/>
              </w:rPr>
              <w:t>9</w:t>
            </w:r>
            <w:r w:rsidRPr="00510442">
              <w:rPr>
                <w:szCs w:val="22"/>
                <w:lang w:val="hr-HR"/>
              </w:rPr>
              <w:t>/l, trombociti &lt;450</w:t>
            </w:r>
            <w:r w:rsidRPr="00510442">
              <w:rPr>
                <w:b/>
                <w:color w:val="000000"/>
                <w:szCs w:val="22"/>
                <w:lang w:val="hr-HR"/>
              </w:rPr>
              <w:t> </w:t>
            </w:r>
            <w:r w:rsidRPr="00510442">
              <w:rPr>
                <w:szCs w:val="22"/>
                <w:lang w:val="hr-HR"/>
              </w:rPr>
              <w:t>x</w:t>
            </w:r>
            <w:r w:rsidRPr="00510442">
              <w:rPr>
                <w:b/>
                <w:color w:val="000000"/>
                <w:szCs w:val="22"/>
                <w:lang w:val="hr-HR"/>
              </w:rPr>
              <w:t> </w:t>
            </w:r>
            <w:r w:rsidRPr="00510442">
              <w:rPr>
                <w:szCs w:val="22"/>
                <w:lang w:val="hr-HR"/>
              </w:rPr>
              <w:t>10</w:t>
            </w:r>
            <w:r w:rsidRPr="00510442">
              <w:rPr>
                <w:szCs w:val="22"/>
                <w:vertAlign w:val="superscript"/>
                <w:lang w:val="hr-HR"/>
              </w:rPr>
              <w:t>9</w:t>
            </w:r>
            <w:r w:rsidRPr="00510442">
              <w:rPr>
                <w:szCs w:val="22"/>
                <w:lang w:val="hr-HR"/>
              </w:rPr>
              <w:t>/l, mijelociti+metamijelociti &lt;5% u krvi, nema blasta i promijelocita u krvi, bazofili &lt;</w:t>
            </w:r>
            <w:r w:rsidRPr="00510442">
              <w:rPr>
                <w:b/>
                <w:color w:val="000000"/>
                <w:szCs w:val="22"/>
                <w:lang w:val="hr-HR"/>
              </w:rPr>
              <w:t> </w:t>
            </w:r>
            <w:r w:rsidRPr="00510442">
              <w:rPr>
                <w:szCs w:val="22"/>
                <w:lang w:val="hr-HR"/>
              </w:rPr>
              <w:t>20%, nema ekstramedularne zahvaćenosti</w:t>
            </w:r>
          </w:p>
          <w:p w14:paraId="44F03FCD" w14:textId="77777777" w:rsidR="009F4E83" w:rsidRPr="00510442" w:rsidRDefault="009F4E83" w:rsidP="009B5630">
            <w:pPr>
              <w:spacing w:line="240" w:lineRule="auto"/>
              <w:rPr>
                <w:szCs w:val="22"/>
                <w:lang w:val="hr-HR"/>
              </w:rPr>
            </w:pPr>
            <w:r w:rsidRPr="00510442">
              <w:rPr>
                <w:b/>
                <w:szCs w:val="22"/>
                <w:lang w:val="hr-HR"/>
              </w:rPr>
              <w:t>Kriteriji citogenetskog odgovora</w:t>
            </w:r>
            <w:r w:rsidRPr="00510442">
              <w:rPr>
                <w:szCs w:val="22"/>
                <w:lang w:val="hr-HR"/>
              </w:rPr>
              <w:t>: potpun (0% Ph+ metafaza), djelomičan (1</w:t>
            </w:r>
            <w:r w:rsidR="00B3500D" w:rsidRPr="00510442">
              <w:rPr>
                <w:color w:val="000000"/>
                <w:szCs w:val="22"/>
                <w:lang w:val="hr-HR"/>
              </w:rPr>
              <w:noBreakHyphen/>
            </w:r>
            <w:r w:rsidRPr="00510442">
              <w:rPr>
                <w:szCs w:val="22"/>
                <w:lang w:val="hr-HR"/>
              </w:rPr>
              <w:t>35%), manji (36</w:t>
            </w:r>
            <w:r w:rsidR="00732EB0" w:rsidRPr="00510442">
              <w:rPr>
                <w:color w:val="000000"/>
                <w:szCs w:val="22"/>
                <w:lang w:val="hr-HR"/>
              </w:rPr>
              <w:noBreakHyphen/>
            </w:r>
            <w:r w:rsidRPr="00510442">
              <w:rPr>
                <w:szCs w:val="22"/>
                <w:lang w:val="hr-HR"/>
              </w:rPr>
              <w:t>65%) ili minimalan (66</w:t>
            </w:r>
            <w:r w:rsidR="00B3500D" w:rsidRPr="00510442">
              <w:rPr>
                <w:color w:val="000000"/>
                <w:szCs w:val="22"/>
                <w:lang w:val="hr-HR"/>
              </w:rPr>
              <w:noBreakHyphen/>
            </w:r>
            <w:r w:rsidRPr="00510442">
              <w:rPr>
                <w:szCs w:val="22"/>
                <w:lang w:val="hr-HR"/>
              </w:rPr>
              <w:t>95%). Veliki odgovor (0</w:t>
            </w:r>
            <w:r w:rsidR="00B3500D" w:rsidRPr="00510442">
              <w:rPr>
                <w:color w:val="000000"/>
                <w:szCs w:val="22"/>
                <w:lang w:val="hr-HR"/>
              </w:rPr>
              <w:noBreakHyphen/>
            </w:r>
            <w:r w:rsidRPr="00510442">
              <w:rPr>
                <w:szCs w:val="22"/>
                <w:lang w:val="hr-HR"/>
              </w:rPr>
              <w:t>35%) je kombinacija potpunih i djelomičnih odgovora.</w:t>
            </w:r>
          </w:p>
          <w:p w14:paraId="4FCC82B9" w14:textId="77777777" w:rsidR="0037757A" w:rsidRPr="00510442" w:rsidRDefault="009F4E83" w:rsidP="0091773C">
            <w:pPr>
              <w:pStyle w:val="Table"/>
              <w:keepNext w:val="0"/>
              <w:keepLines w:val="0"/>
              <w:widowControl w:val="0"/>
              <w:spacing w:before="0" w:after="0"/>
              <w:rPr>
                <w:rFonts w:ascii="Times New Roman" w:hAnsi="Times New Roman"/>
                <w:sz w:val="22"/>
                <w:szCs w:val="22"/>
                <w:lang w:val="hr-HR"/>
              </w:rPr>
            </w:pPr>
            <w:r w:rsidRPr="00510442">
              <w:rPr>
                <w:rFonts w:ascii="Times New Roman" w:hAnsi="Times New Roman"/>
                <w:b/>
                <w:sz w:val="22"/>
                <w:szCs w:val="22"/>
                <w:lang w:val="hr-HR"/>
              </w:rPr>
              <w:t>Kriteriji velikog molekularnog odgovora</w:t>
            </w:r>
            <w:r w:rsidRPr="00510442">
              <w:rPr>
                <w:rFonts w:ascii="Times New Roman" w:hAnsi="Times New Roman"/>
                <w:sz w:val="22"/>
                <w:szCs w:val="22"/>
                <w:lang w:val="hr-HR"/>
              </w:rPr>
              <w:t>: u perifernoj krvi, sniženje ≥3</w:t>
            </w:r>
            <w:r w:rsidRPr="00510442">
              <w:rPr>
                <w:rFonts w:ascii="Times New Roman" w:hAnsi="Times New Roman"/>
                <w:color w:val="000000"/>
                <w:sz w:val="22"/>
                <w:szCs w:val="22"/>
                <w:lang w:val="hr-HR"/>
              </w:rPr>
              <w:t> </w:t>
            </w:r>
            <w:r w:rsidRPr="00510442">
              <w:rPr>
                <w:rFonts w:ascii="Times New Roman" w:hAnsi="Times New Roman"/>
                <w:sz w:val="22"/>
                <w:szCs w:val="22"/>
                <w:lang w:val="hr-HR"/>
              </w:rPr>
              <w:t xml:space="preserve">logaritma u količini Bcr-Abl transkripcija (mjereno kvantitativnom real-time </w:t>
            </w:r>
            <w:smartTag w:uri="urn:schemas-microsoft-com:office:smarttags" w:element="stockticker">
              <w:r w:rsidRPr="00510442">
                <w:rPr>
                  <w:rFonts w:ascii="Times New Roman" w:hAnsi="Times New Roman"/>
                  <w:sz w:val="22"/>
                  <w:szCs w:val="22"/>
                  <w:lang w:val="hr-HR"/>
                </w:rPr>
                <w:t>PCR</w:t>
              </w:r>
            </w:smartTag>
            <w:r w:rsidRPr="00510442">
              <w:rPr>
                <w:rFonts w:ascii="Times New Roman" w:hAnsi="Times New Roman"/>
                <w:sz w:val="22"/>
                <w:szCs w:val="22"/>
                <w:lang w:val="hr-HR"/>
              </w:rPr>
              <w:t xml:space="preserve"> metodom pomoću reverzne transkriptaze) u odnosu na standardiziranu osnovnu vrijednost.</w:t>
            </w:r>
          </w:p>
        </w:tc>
      </w:tr>
    </w:tbl>
    <w:p w14:paraId="21E4C31E" w14:textId="77777777" w:rsidR="0037757A" w:rsidRPr="00510442" w:rsidRDefault="0037757A" w:rsidP="0091773C">
      <w:pPr>
        <w:pStyle w:val="EndnoteText"/>
        <w:widowControl w:val="0"/>
        <w:rPr>
          <w:color w:val="000000"/>
          <w:szCs w:val="22"/>
          <w:lang w:val="hr-HR"/>
        </w:rPr>
      </w:pPr>
    </w:p>
    <w:p w14:paraId="601E1A75" w14:textId="20BFB2BD" w:rsidR="00F807A7" w:rsidRPr="00510442" w:rsidRDefault="00F807A7" w:rsidP="00422F71">
      <w:pPr>
        <w:pStyle w:val="EndnoteText"/>
        <w:rPr>
          <w:szCs w:val="22"/>
          <w:lang w:val="hr-HR"/>
        </w:rPr>
      </w:pPr>
      <w:r w:rsidRPr="00510442">
        <w:rPr>
          <w:szCs w:val="22"/>
          <w:lang w:val="hr-HR"/>
        </w:rPr>
        <w:t xml:space="preserve">Stope potpunog hematološkog odgovora, velikog citogenetskog odgovora (MCyR) i potpunog citogenetskog odgovora (CCyR) za prvu liniju liječenja procijenjene su korištenjem Kaplan-Meierovog pristupa, pri čemu su izostanci odgovora izostavljeni kod datuma zadnjeg pregleda. Korištenjem tog pristupa, procijenjene kumulativne stope odgovora za prvu liniju liječenja </w:t>
      </w:r>
      <w:r w:rsidR="00951360">
        <w:rPr>
          <w:szCs w:val="22"/>
          <w:lang w:val="hr-HR"/>
        </w:rPr>
        <w:t xml:space="preserve">lijekom </w:t>
      </w:r>
      <w:r w:rsidRPr="00510442">
        <w:rPr>
          <w:szCs w:val="22"/>
          <w:lang w:val="hr-HR"/>
        </w:rPr>
        <w:t>Glivec su se poboljšale od 12</w:t>
      </w:r>
      <w:r w:rsidR="00772344" w:rsidRPr="00510442">
        <w:rPr>
          <w:color w:val="000000"/>
          <w:szCs w:val="22"/>
          <w:lang w:val="hr-HR"/>
        </w:rPr>
        <w:t> </w:t>
      </w:r>
      <w:r w:rsidRPr="00510442">
        <w:rPr>
          <w:szCs w:val="22"/>
          <w:lang w:val="hr-HR"/>
        </w:rPr>
        <w:t>mjeseci do 84</w:t>
      </w:r>
      <w:r w:rsidR="00772344" w:rsidRPr="00510442">
        <w:rPr>
          <w:color w:val="000000"/>
          <w:szCs w:val="22"/>
          <w:lang w:val="hr-HR"/>
        </w:rPr>
        <w:t> </w:t>
      </w:r>
      <w:r w:rsidRPr="00510442">
        <w:rPr>
          <w:szCs w:val="22"/>
          <w:lang w:val="hr-HR"/>
        </w:rPr>
        <w:t xml:space="preserve">mjeseca terapije kako slijedi: </w:t>
      </w:r>
      <w:smartTag w:uri="urn:schemas-microsoft-com:office:smarttags" w:element="stockticker">
        <w:r w:rsidRPr="00510442">
          <w:rPr>
            <w:szCs w:val="22"/>
            <w:lang w:val="hr-HR"/>
          </w:rPr>
          <w:t>CHR</w:t>
        </w:r>
      </w:smartTag>
      <w:r w:rsidRPr="00510442">
        <w:rPr>
          <w:szCs w:val="22"/>
          <w:lang w:val="hr-HR"/>
        </w:rPr>
        <w:t xml:space="preserve"> od 96,4% do 98,4% i CCyR od 69,5% do 87,2%.</w:t>
      </w:r>
    </w:p>
    <w:p w14:paraId="7DE9DC0F" w14:textId="77777777" w:rsidR="007C011C" w:rsidRPr="00510442" w:rsidRDefault="007C011C" w:rsidP="00422F71">
      <w:pPr>
        <w:pStyle w:val="EndnoteText"/>
        <w:rPr>
          <w:color w:val="000000"/>
          <w:szCs w:val="22"/>
          <w:lang w:val="hr-HR"/>
        </w:rPr>
      </w:pPr>
    </w:p>
    <w:p w14:paraId="0FAC1853" w14:textId="77777777" w:rsidR="00772344" w:rsidRPr="00510442" w:rsidRDefault="00772344" w:rsidP="009B5630">
      <w:pPr>
        <w:spacing w:line="240" w:lineRule="auto"/>
        <w:rPr>
          <w:szCs w:val="22"/>
          <w:lang w:val="hr-HR"/>
        </w:rPr>
      </w:pPr>
      <w:r w:rsidRPr="00510442">
        <w:rPr>
          <w:szCs w:val="22"/>
          <w:lang w:val="hr-HR"/>
        </w:rPr>
        <w:t>Nakon 7</w:t>
      </w:r>
      <w:r w:rsidRPr="00510442">
        <w:rPr>
          <w:color w:val="000000"/>
          <w:szCs w:val="22"/>
          <w:lang w:val="hr-HR"/>
        </w:rPr>
        <w:t> </w:t>
      </w:r>
      <w:r w:rsidRPr="00510442">
        <w:rPr>
          <w:szCs w:val="22"/>
          <w:lang w:val="hr-HR"/>
        </w:rPr>
        <w:t xml:space="preserve">godina praćenja, u Glivec </w:t>
      </w:r>
      <w:r w:rsidR="000677BE" w:rsidRPr="00510442">
        <w:rPr>
          <w:szCs w:val="22"/>
          <w:lang w:val="hr-HR"/>
        </w:rPr>
        <w:t>kraku</w:t>
      </w:r>
      <w:r w:rsidRPr="00510442">
        <w:rPr>
          <w:szCs w:val="22"/>
          <w:lang w:val="hr-HR"/>
        </w:rPr>
        <w:t xml:space="preserve"> bilo je 93 (16,8%) događaja progresije: 37 (6,7%) je uključivalo progresiju u ubrzanu fazu/blastičnu krizu, 31 (5,6%) gubitak MCyR-a, 15 (2,7%) gubitak CHR-a ili povećanje WBC-a i 10 (1,8%) smrtnih slučajeva nevezanih uz </w:t>
      </w:r>
      <w:r w:rsidR="00B655F5" w:rsidRPr="00510442">
        <w:rPr>
          <w:szCs w:val="22"/>
          <w:lang w:val="hr-HR"/>
        </w:rPr>
        <w:t>K</w:t>
      </w:r>
      <w:r w:rsidRPr="00510442">
        <w:rPr>
          <w:szCs w:val="22"/>
          <w:lang w:val="hr-HR"/>
        </w:rPr>
        <w:t xml:space="preserve">ML. S druge strane, u INF+Ara-C </w:t>
      </w:r>
      <w:r w:rsidR="000677BE" w:rsidRPr="00510442">
        <w:rPr>
          <w:szCs w:val="22"/>
          <w:lang w:val="hr-HR"/>
        </w:rPr>
        <w:t>kraku</w:t>
      </w:r>
      <w:r w:rsidRPr="00510442">
        <w:rPr>
          <w:szCs w:val="22"/>
          <w:lang w:val="hr-HR"/>
        </w:rPr>
        <w:t xml:space="preserve"> bilo je 165 (29,8%) događaja, od kojih se 130</w:t>
      </w:r>
      <w:r w:rsidRPr="00510442">
        <w:rPr>
          <w:color w:val="000000"/>
          <w:szCs w:val="22"/>
          <w:lang w:val="hr-HR"/>
        </w:rPr>
        <w:t> </w:t>
      </w:r>
      <w:r w:rsidRPr="00510442">
        <w:rPr>
          <w:szCs w:val="22"/>
          <w:lang w:val="hr-HR"/>
        </w:rPr>
        <w:t>javilo tijekom prve linije liječenja INF+Ara-C-om.</w:t>
      </w:r>
    </w:p>
    <w:p w14:paraId="582DD8C8" w14:textId="77777777" w:rsidR="00E636F4" w:rsidRPr="00510442" w:rsidRDefault="00E636F4" w:rsidP="0091773C">
      <w:pPr>
        <w:pStyle w:val="EndnoteText"/>
        <w:widowControl w:val="0"/>
        <w:rPr>
          <w:color w:val="000000"/>
          <w:szCs w:val="22"/>
          <w:lang w:val="hr-HR"/>
        </w:rPr>
      </w:pPr>
    </w:p>
    <w:p w14:paraId="71E24612" w14:textId="7538C1D1" w:rsidR="004E0E71" w:rsidRPr="00510442" w:rsidRDefault="004E0E71" w:rsidP="009B5630">
      <w:pPr>
        <w:spacing w:line="240" w:lineRule="auto"/>
        <w:rPr>
          <w:szCs w:val="22"/>
          <w:lang w:val="hr-HR"/>
        </w:rPr>
      </w:pPr>
      <w:r w:rsidRPr="00510442">
        <w:rPr>
          <w:szCs w:val="22"/>
          <w:lang w:val="hr-HR"/>
        </w:rPr>
        <w:t>Procijenjena stopa bolesnika bez progresije u ubrzanu fazu ili blastičnu krizu nakon 84</w:t>
      </w:r>
      <w:r w:rsidRPr="00510442">
        <w:rPr>
          <w:color w:val="000000"/>
          <w:szCs w:val="22"/>
          <w:lang w:val="hr-HR"/>
        </w:rPr>
        <w:t> </w:t>
      </w:r>
      <w:r w:rsidRPr="00510442">
        <w:rPr>
          <w:szCs w:val="22"/>
          <w:lang w:val="hr-HR"/>
        </w:rPr>
        <w:t xml:space="preserve">mjeseca bila je značajno viša u Glivec </w:t>
      </w:r>
      <w:r w:rsidR="000677BE" w:rsidRPr="00510442">
        <w:rPr>
          <w:szCs w:val="22"/>
          <w:lang w:val="hr-HR"/>
        </w:rPr>
        <w:t>kraku</w:t>
      </w:r>
      <w:r w:rsidRPr="00510442">
        <w:rPr>
          <w:szCs w:val="22"/>
          <w:lang w:val="hr-HR"/>
        </w:rPr>
        <w:t xml:space="preserve"> u usporedbi s IFN </w:t>
      </w:r>
      <w:r w:rsidR="000677BE" w:rsidRPr="00510442">
        <w:rPr>
          <w:szCs w:val="22"/>
          <w:lang w:val="hr-HR"/>
        </w:rPr>
        <w:t>krakom</w:t>
      </w:r>
      <w:r w:rsidRPr="00510442">
        <w:rPr>
          <w:szCs w:val="22"/>
          <w:lang w:val="hr-HR"/>
        </w:rPr>
        <w:t xml:space="preserve"> (92,5% prema 85,1%, p&lt;0,001). Godišnja stopa progresije u ubrzanu fazu ili blastičnu krizu smanjivala se s vremenom trajanja terapije, i bila je manja od 1% godišnje u četvrtoj i petoj godini. Procijenjena stopa preživlj</w:t>
      </w:r>
      <w:r w:rsidR="00B65603" w:rsidRPr="00510442">
        <w:rPr>
          <w:szCs w:val="22"/>
          <w:lang w:val="hr-HR"/>
        </w:rPr>
        <w:t>e</w:t>
      </w:r>
      <w:r w:rsidRPr="00510442">
        <w:rPr>
          <w:szCs w:val="22"/>
          <w:lang w:val="hr-HR"/>
        </w:rPr>
        <w:t xml:space="preserve">nja bez progresije nakon </w:t>
      </w:r>
      <w:r w:rsidRPr="00510442">
        <w:rPr>
          <w:szCs w:val="22"/>
          <w:lang w:val="hr-HR"/>
        </w:rPr>
        <w:lastRenderedPageBreak/>
        <w:t>84</w:t>
      </w:r>
      <w:r w:rsidRPr="00510442">
        <w:rPr>
          <w:color w:val="000000"/>
          <w:szCs w:val="22"/>
          <w:lang w:val="hr-HR"/>
        </w:rPr>
        <w:t> </w:t>
      </w:r>
      <w:r w:rsidRPr="00510442">
        <w:rPr>
          <w:szCs w:val="22"/>
          <w:lang w:val="hr-HR"/>
        </w:rPr>
        <w:t xml:space="preserve">mjeseca bila je 81,2% u Glivec </w:t>
      </w:r>
      <w:r w:rsidR="000677BE" w:rsidRPr="00510442">
        <w:rPr>
          <w:szCs w:val="22"/>
          <w:lang w:val="hr-HR"/>
        </w:rPr>
        <w:t>kraku</w:t>
      </w:r>
      <w:r w:rsidRPr="00510442">
        <w:rPr>
          <w:szCs w:val="22"/>
          <w:lang w:val="hr-HR"/>
        </w:rPr>
        <w:t xml:space="preserve"> i 60,6% u kontrolno</w:t>
      </w:r>
      <w:r w:rsidR="000677BE" w:rsidRPr="00510442">
        <w:rPr>
          <w:szCs w:val="22"/>
          <w:lang w:val="hr-HR"/>
        </w:rPr>
        <w:t>m kraku</w:t>
      </w:r>
      <w:r w:rsidRPr="00510442">
        <w:rPr>
          <w:szCs w:val="22"/>
          <w:lang w:val="hr-HR"/>
        </w:rPr>
        <w:t xml:space="preserve"> (p&lt;0,001%). Kod </w:t>
      </w:r>
      <w:r w:rsidR="00512481" w:rsidRPr="00512481">
        <w:rPr>
          <w:szCs w:val="22"/>
          <w:lang w:val="hr-HR"/>
        </w:rPr>
        <w:t xml:space="preserve">lijeka </w:t>
      </w:r>
      <w:r w:rsidRPr="00510442">
        <w:rPr>
          <w:szCs w:val="22"/>
          <w:lang w:val="hr-HR"/>
        </w:rPr>
        <w:t>Glivec su se godišnje stope progresije bilo koje vrste također smanjivale s vremenom.</w:t>
      </w:r>
    </w:p>
    <w:p w14:paraId="10A72371" w14:textId="77777777" w:rsidR="007C011C" w:rsidRPr="00510442" w:rsidRDefault="007C011C" w:rsidP="0091773C">
      <w:pPr>
        <w:pStyle w:val="EndnoteText"/>
        <w:rPr>
          <w:color w:val="000000"/>
          <w:szCs w:val="22"/>
          <w:lang w:val="hr-HR"/>
        </w:rPr>
      </w:pPr>
    </w:p>
    <w:p w14:paraId="7707661D" w14:textId="451CB3E1" w:rsidR="00ED0287" w:rsidRPr="00510442" w:rsidRDefault="00ED0287" w:rsidP="009B5630">
      <w:pPr>
        <w:spacing w:line="240" w:lineRule="auto"/>
        <w:rPr>
          <w:szCs w:val="22"/>
          <w:lang w:val="hr-HR"/>
        </w:rPr>
      </w:pPr>
      <w:r w:rsidRPr="00510442">
        <w:rPr>
          <w:szCs w:val="22"/>
          <w:lang w:val="hr-HR"/>
        </w:rPr>
        <w:t>Ukupno je umro 71 (12,8%) bolesnik iz Glivec skupine i 85 (15,4%) bolesnika iz INF+Ara-C skupine. Nakon 84</w:t>
      </w:r>
      <w:r w:rsidRPr="00510442">
        <w:rPr>
          <w:color w:val="000000"/>
          <w:szCs w:val="22"/>
          <w:lang w:val="hr-HR"/>
        </w:rPr>
        <w:t> </w:t>
      </w:r>
      <w:r w:rsidRPr="00510442">
        <w:rPr>
          <w:szCs w:val="22"/>
          <w:lang w:val="hr-HR"/>
        </w:rPr>
        <w:t>mjeseca, procijenjeno ukupno preživlj</w:t>
      </w:r>
      <w:r w:rsidR="00B655F5" w:rsidRPr="00510442">
        <w:rPr>
          <w:szCs w:val="22"/>
          <w:lang w:val="hr-HR"/>
        </w:rPr>
        <w:t>e</w:t>
      </w:r>
      <w:r w:rsidRPr="00510442">
        <w:rPr>
          <w:szCs w:val="22"/>
          <w:lang w:val="hr-HR"/>
        </w:rPr>
        <w:t>nje iznosi 86,4% (83, 90) u odnosu na 83,3% (80, 87) u randomiziranoj Glivec, odnosno INF+Ara-C skupini (p=0,073, log-ran</w:t>
      </w:r>
      <w:r w:rsidR="00917012" w:rsidRPr="00510442">
        <w:rPr>
          <w:szCs w:val="22"/>
          <w:lang w:val="hr-HR"/>
        </w:rPr>
        <w:t>g</w:t>
      </w:r>
      <w:r w:rsidRPr="00510442">
        <w:rPr>
          <w:szCs w:val="22"/>
          <w:lang w:val="hr-HR"/>
        </w:rPr>
        <w:t xml:space="preserve"> test). Na to vrijeme-do-događaja kao cilj ispitivanja je snažno utjecala visoka stopa prelazaka sa INF+Ara-C na Glivec. Učinak liječenja </w:t>
      </w:r>
      <w:r w:rsidR="00951360">
        <w:rPr>
          <w:szCs w:val="22"/>
          <w:lang w:val="hr-HR"/>
        </w:rPr>
        <w:t xml:space="preserve">lijekom </w:t>
      </w:r>
      <w:r w:rsidRPr="00510442">
        <w:rPr>
          <w:szCs w:val="22"/>
          <w:lang w:val="hr-HR"/>
        </w:rPr>
        <w:t>Glivec na preživlj</w:t>
      </w:r>
      <w:r w:rsidR="00917012" w:rsidRPr="00510442">
        <w:rPr>
          <w:szCs w:val="22"/>
          <w:lang w:val="hr-HR"/>
        </w:rPr>
        <w:t>e</w:t>
      </w:r>
      <w:r w:rsidRPr="00510442">
        <w:rPr>
          <w:szCs w:val="22"/>
          <w:lang w:val="hr-HR"/>
        </w:rPr>
        <w:t xml:space="preserve">nje u kroničnoj fazi novodijagnosticiranog </w:t>
      </w:r>
      <w:r w:rsidR="00B655F5" w:rsidRPr="00510442">
        <w:rPr>
          <w:szCs w:val="22"/>
          <w:lang w:val="hr-HR"/>
        </w:rPr>
        <w:t>K</w:t>
      </w:r>
      <w:r w:rsidRPr="00510442">
        <w:rPr>
          <w:szCs w:val="22"/>
          <w:lang w:val="hr-HR"/>
        </w:rPr>
        <w:t xml:space="preserve">ML-a je dodatno ispitivan u retrospektivnoj analizi gore navedenih Glivec podataka uz primarne podatke iz drugog ispitivanja faze III u kojem je primjenjivan INF+Ara-C (n=325) u identičnom režimu. U toj retrospektivnoj analizi pokazana je superiornost </w:t>
      </w:r>
      <w:r w:rsidR="00512481" w:rsidRPr="00512481">
        <w:rPr>
          <w:szCs w:val="22"/>
          <w:lang w:val="hr-HR"/>
        </w:rPr>
        <w:t xml:space="preserve">lijeka </w:t>
      </w:r>
      <w:r w:rsidRPr="00510442">
        <w:rPr>
          <w:szCs w:val="22"/>
          <w:lang w:val="hr-HR"/>
        </w:rPr>
        <w:t>Glivec nad INF+Ara-C-om u ukupnom preživlj</w:t>
      </w:r>
      <w:r w:rsidR="00DC6518" w:rsidRPr="00510442">
        <w:rPr>
          <w:szCs w:val="22"/>
          <w:lang w:val="hr-HR"/>
        </w:rPr>
        <w:t>e</w:t>
      </w:r>
      <w:r w:rsidRPr="00510442">
        <w:rPr>
          <w:szCs w:val="22"/>
          <w:lang w:val="hr-HR"/>
        </w:rPr>
        <w:t>nju (p&lt;0,001); unutar 42</w:t>
      </w:r>
      <w:r w:rsidRPr="00510442">
        <w:rPr>
          <w:color w:val="000000"/>
          <w:szCs w:val="22"/>
          <w:lang w:val="hr-HR"/>
        </w:rPr>
        <w:t> </w:t>
      </w:r>
      <w:r w:rsidRPr="00510442">
        <w:rPr>
          <w:szCs w:val="22"/>
          <w:lang w:val="hr-HR"/>
        </w:rPr>
        <w:t xml:space="preserve">mjeseca, umrlo je 47 (8,5%) bolesnika na </w:t>
      </w:r>
      <w:r w:rsidR="00561038">
        <w:rPr>
          <w:szCs w:val="22"/>
          <w:lang w:val="hr-HR"/>
        </w:rPr>
        <w:t xml:space="preserve">lijeku </w:t>
      </w:r>
      <w:r w:rsidRPr="00510442">
        <w:rPr>
          <w:szCs w:val="22"/>
          <w:lang w:val="hr-HR"/>
        </w:rPr>
        <w:t>Glivec i 63 (19,4%) bolesnika na INF+Ara-C-u.</w:t>
      </w:r>
    </w:p>
    <w:p w14:paraId="71E54BFC" w14:textId="77777777" w:rsidR="007C011C" w:rsidRPr="00510442" w:rsidRDefault="007C011C" w:rsidP="0091773C">
      <w:pPr>
        <w:pStyle w:val="EndnoteText"/>
        <w:rPr>
          <w:color w:val="000000"/>
          <w:szCs w:val="22"/>
          <w:lang w:val="hr-HR"/>
        </w:rPr>
      </w:pPr>
    </w:p>
    <w:p w14:paraId="04A100A8" w14:textId="792D8F48" w:rsidR="003476E3" w:rsidRPr="00510442" w:rsidRDefault="003476E3" w:rsidP="009B5630">
      <w:pPr>
        <w:spacing w:line="240" w:lineRule="auto"/>
        <w:rPr>
          <w:szCs w:val="22"/>
          <w:lang w:val="hr-HR"/>
        </w:rPr>
      </w:pPr>
      <w:r w:rsidRPr="00510442">
        <w:rPr>
          <w:szCs w:val="22"/>
          <w:lang w:val="hr-HR"/>
        </w:rPr>
        <w:t xml:space="preserve">Stupanj citogenetskog odgovora i molekularnog odgovora imao je jasan učinak na dugotrajne ishode u bolesnika na </w:t>
      </w:r>
      <w:r w:rsidR="00561038">
        <w:rPr>
          <w:szCs w:val="22"/>
          <w:lang w:val="hr-HR"/>
        </w:rPr>
        <w:t xml:space="preserve">lijeku </w:t>
      </w:r>
      <w:r w:rsidRPr="00510442">
        <w:rPr>
          <w:szCs w:val="22"/>
          <w:lang w:val="hr-HR"/>
        </w:rPr>
        <w:t>Glivec. Dok je otprilike 96% bolesnika s CCyR-om, odnosno 93% bolesnika s PCyR</w:t>
      </w:r>
      <w:r w:rsidR="009C46A4" w:rsidRPr="00510442">
        <w:rPr>
          <w:szCs w:val="22"/>
          <w:lang w:val="hr-HR"/>
        </w:rPr>
        <w:noBreakHyphen/>
      </w:r>
      <w:r w:rsidRPr="00510442">
        <w:rPr>
          <w:szCs w:val="22"/>
          <w:lang w:val="hr-HR"/>
        </w:rPr>
        <w:t>om nakon 12</w:t>
      </w:r>
      <w:r w:rsidRPr="00510442">
        <w:rPr>
          <w:color w:val="000000"/>
          <w:szCs w:val="22"/>
          <w:lang w:val="hr-HR"/>
        </w:rPr>
        <w:t> </w:t>
      </w:r>
      <w:r w:rsidRPr="00510442">
        <w:rPr>
          <w:szCs w:val="22"/>
          <w:lang w:val="hr-HR"/>
        </w:rPr>
        <w:t>mjeseci bilo bez progresije u ubrzanu fazu/blastičnu krizu nakon 84</w:t>
      </w:r>
      <w:r w:rsidRPr="00510442">
        <w:rPr>
          <w:color w:val="000000"/>
          <w:szCs w:val="22"/>
          <w:lang w:val="hr-HR"/>
        </w:rPr>
        <w:t> </w:t>
      </w:r>
      <w:r w:rsidRPr="00510442">
        <w:rPr>
          <w:szCs w:val="22"/>
          <w:lang w:val="hr-HR"/>
        </w:rPr>
        <w:t>mjeseca, samo je 81% bolesnika bez MCyR nakon 12</w:t>
      </w:r>
      <w:r w:rsidRPr="00510442">
        <w:rPr>
          <w:color w:val="000000"/>
          <w:szCs w:val="22"/>
          <w:lang w:val="hr-HR"/>
        </w:rPr>
        <w:t> </w:t>
      </w:r>
      <w:r w:rsidRPr="00510442">
        <w:rPr>
          <w:szCs w:val="22"/>
          <w:lang w:val="hr-HR"/>
        </w:rPr>
        <w:t xml:space="preserve">mjeseci bilo bez progresije u uznapredovali </w:t>
      </w:r>
      <w:r w:rsidR="00B655F5" w:rsidRPr="00510442">
        <w:rPr>
          <w:szCs w:val="22"/>
          <w:lang w:val="hr-HR"/>
        </w:rPr>
        <w:t>K</w:t>
      </w:r>
      <w:r w:rsidRPr="00510442">
        <w:rPr>
          <w:szCs w:val="22"/>
          <w:lang w:val="hr-HR"/>
        </w:rPr>
        <w:t>ML nakon 84</w:t>
      </w:r>
      <w:r w:rsidRPr="00510442">
        <w:rPr>
          <w:color w:val="000000"/>
          <w:szCs w:val="22"/>
          <w:lang w:val="hr-HR"/>
        </w:rPr>
        <w:t> </w:t>
      </w:r>
      <w:r w:rsidRPr="00510442">
        <w:rPr>
          <w:szCs w:val="22"/>
          <w:lang w:val="hr-HR"/>
        </w:rPr>
        <w:t>mjeseca (p&lt;0,001 ukupno, p=0,25 između CCyR-a i PCyR-a). Za bolesnike sa smanjenjem Bcr-Abl transkripcija za najmanje 3</w:t>
      </w:r>
      <w:r w:rsidRPr="00510442">
        <w:rPr>
          <w:color w:val="000000"/>
          <w:szCs w:val="22"/>
          <w:lang w:val="hr-HR"/>
        </w:rPr>
        <w:t> </w:t>
      </w:r>
      <w:r w:rsidRPr="00510442">
        <w:rPr>
          <w:szCs w:val="22"/>
          <w:lang w:val="hr-HR"/>
        </w:rPr>
        <w:t>logaritma nakon 12</w:t>
      </w:r>
      <w:r w:rsidRPr="00510442">
        <w:rPr>
          <w:color w:val="000000"/>
          <w:szCs w:val="22"/>
          <w:lang w:val="hr-HR"/>
        </w:rPr>
        <w:t> </w:t>
      </w:r>
      <w:r w:rsidRPr="00510442">
        <w:rPr>
          <w:szCs w:val="22"/>
          <w:lang w:val="hr-HR"/>
        </w:rPr>
        <w:t>mjeseci, vjerojatnost zadržavanja stanja bez progresije u ubrzanu fazu/blastičnu krizu bila je 99% nakon 84</w:t>
      </w:r>
      <w:r w:rsidRPr="00510442">
        <w:rPr>
          <w:color w:val="000000"/>
          <w:szCs w:val="22"/>
          <w:lang w:val="hr-HR"/>
        </w:rPr>
        <w:t> </w:t>
      </w:r>
      <w:r w:rsidRPr="00510442">
        <w:rPr>
          <w:szCs w:val="22"/>
          <w:lang w:val="hr-HR"/>
        </w:rPr>
        <w:t>mjeseca. Slični nalazi su nađeni i na temelju analize pokazatelja nakon 18</w:t>
      </w:r>
      <w:r w:rsidRPr="00510442">
        <w:rPr>
          <w:color w:val="000000"/>
          <w:szCs w:val="22"/>
          <w:lang w:val="hr-HR"/>
        </w:rPr>
        <w:t> </w:t>
      </w:r>
      <w:r w:rsidRPr="00510442">
        <w:rPr>
          <w:szCs w:val="22"/>
          <w:lang w:val="hr-HR"/>
        </w:rPr>
        <w:t>mjeseci.</w:t>
      </w:r>
    </w:p>
    <w:p w14:paraId="2FA2D51F" w14:textId="77777777" w:rsidR="003476E3" w:rsidRPr="00510442" w:rsidRDefault="003476E3" w:rsidP="009B5630">
      <w:pPr>
        <w:spacing w:line="240" w:lineRule="auto"/>
        <w:rPr>
          <w:szCs w:val="22"/>
          <w:lang w:val="hr-HR"/>
        </w:rPr>
      </w:pPr>
    </w:p>
    <w:p w14:paraId="14D6C08F" w14:textId="77777777" w:rsidR="003476E3" w:rsidRPr="00510442" w:rsidRDefault="003476E3" w:rsidP="009B5630">
      <w:pPr>
        <w:spacing w:line="240" w:lineRule="auto"/>
        <w:rPr>
          <w:szCs w:val="22"/>
          <w:lang w:val="hr-HR"/>
        </w:rPr>
      </w:pPr>
      <w:r w:rsidRPr="00510442">
        <w:rPr>
          <w:szCs w:val="22"/>
          <w:lang w:val="hr-HR"/>
        </w:rPr>
        <w:t>U toj studiji, dozvoljena su povišenja doze od 400</w:t>
      </w:r>
      <w:r w:rsidR="002044E9" w:rsidRPr="00510442">
        <w:rPr>
          <w:color w:val="000000"/>
          <w:szCs w:val="22"/>
          <w:lang w:val="hr-HR"/>
        </w:rPr>
        <w:t> </w:t>
      </w:r>
      <w:r w:rsidRPr="00510442">
        <w:rPr>
          <w:szCs w:val="22"/>
          <w:lang w:val="hr-HR"/>
        </w:rPr>
        <w:t xml:space="preserve">mg </w:t>
      </w:r>
      <w:r w:rsidR="004D7EB8" w:rsidRPr="00510442">
        <w:rPr>
          <w:szCs w:val="22"/>
          <w:lang w:val="hr-HR"/>
        </w:rPr>
        <w:t xml:space="preserve">na dan </w:t>
      </w:r>
      <w:r w:rsidRPr="00510442">
        <w:rPr>
          <w:szCs w:val="22"/>
          <w:lang w:val="hr-HR"/>
        </w:rPr>
        <w:t>na 600</w:t>
      </w:r>
      <w:r w:rsidR="002044E9" w:rsidRPr="00510442">
        <w:rPr>
          <w:color w:val="000000"/>
          <w:szCs w:val="22"/>
          <w:lang w:val="hr-HR"/>
        </w:rPr>
        <w:t> </w:t>
      </w:r>
      <w:r w:rsidRPr="00510442">
        <w:rPr>
          <w:szCs w:val="22"/>
          <w:lang w:val="hr-HR"/>
        </w:rPr>
        <w:t xml:space="preserve">mg </w:t>
      </w:r>
      <w:r w:rsidR="004D7EB8" w:rsidRPr="00510442">
        <w:rPr>
          <w:szCs w:val="22"/>
          <w:lang w:val="hr-HR"/>
        </w:rPr>
        <w:t>na dan</w:t>
      </w:r>
      <w:r w:rsidRPr="00510442">
        <w:rPr>
          <w:szCs w:val="22"/>
          <w:lang w:val="hr-HR"/>
        </w:rPr>
        <w:t>, zatim od</w:t>
      </w:r>
      <w:r w:rsidR="002044E9" w:rsidRPr="00510442">
        <w:rPr>
          <w:szCs w:val="22"/>
          <w:lang w:val="hr-HR"/>
        </w:rPr>
        <w:t xml:space="preserve"> </w:t>
      </w:r>
      <w:r w:rsidRPr="00510442">
        <w:rPr>
          <w:szCs w:val="22"/>
          <w:lang w:val="hr-HR"/>
        </w:rPr>
        <w:t>600</w:t>
      </w:r>
      <w:r w:rsidR="002044E9" w:rsidRPr="00510442">
        <w:rPr>
          <w:color w:val="000000"/>
          <w:szCs w:val="22"/>
          <w:lang w:val="hr-HR"/>
        </w:rPr>
        <w:t> </w:t>
      </w:r>
      <w:r w:rsidRPr="00510442">
        <w:rPr>
          <w:szCs w:val="22"/>
          <w:lang w:val="hr-HR"/>
        </w:rPr>
        <w:t xml:space="preserve">mg </w:t>
      </w:r>
      <w:r w:rsidR="004D7EB8" w:rsidRPr="00510442">
        <w:rPr>
          <w:szCs w:val="22"/>
          <w:lang w:val="hr-HR"/>
        </w:rPr>
        <w:t xml:space="preserve">na dan </w:t>
      </w:r>
      <w:r w:rsidRPr="00510442">
        <w:rPr>
          <w:szCs w:val="22"/>
          <w:lang w:val="hr-HR"/>
        </w:rPr>
        <w:t>na 800</w:t>
      </w:r>
      <w:r w:rsidR="002044E9" w:rsidRPr="00510442">
        <w:rPr>
          <w:color w:val="000000"/>
          <w:szCs w:val="22"/>
          <w:lang w:val="hr-HR"/>
        </w:rPr>
        <w:t> </w:t>
      </w:r>
      <w:r w:rsidRPr="00510442">
        <w:rPr>
          <w:szCs w:val="22"/>
          <w:lang w:val="hr-HR"/>
        </w:rPr>
        <w:t xml:space="preserve">mg </w:t>
      </w:r>
      <w:r w:rsidR="004D7EB8" w:rsidRPr="00510442">
        <w:rPr>
          <w:szCs w:val="22"/>
          <w:lang w:val="hr-HR"/>
        </w:rPr>
        <w:t>na dan</w:t>
      </w:r>
      <w:r w:rsidRPr="00510442">
        <w:rPr>
          <w:szCs w:val="22"/>
          <w:lang w:val="hr-HR"/>
        </w:rPr>
        <w:t>. Nakon 42</w:t>
      </w:r>
      <w:r w:rsidR="002044E9" w:rsidRPr="00510442">
        <w:rPr>
          <w:color w:val="000000"/>
          <w:szCs w:val="22"/>
          <w:lang w:val="hr-HR"/>
        </w:rPr>
        <w:t> </w:t>
      </w:r>
      <w:r w:rsidRPr="00510442">
        <w:rPr>
          <w:szCs w:val="22"/>
          <w:lang w:val="hr-HR"/>
        </w:rPr>
        <w:t>mjeseca praćenja, 11</w:t>
      </w:r>
      <w:r w:rsidR="002044E9" w:rsidRPr="00510442">
        <w:rPr>
          <w:color w:val="000000"/>
          <w:szCs w:val="22"/>
          <w:lang w:val="hr-HR"/>
        </w:rPr>
        <w:t> </w:t>
      </w:r>
      <w:r w:rsidRPr="00510442">
        <w:rPr>
          <w:szCs w:val="22"/>
          <w:lang w:val="hr-HR"/>
        </w:rPr>
        <w:t>bolesnika doživjelo je potvrđeni gubitak (unutar 4</w:t>
      </w:r>
      <w:r w:rsidR="002044E9" w:rsidRPr="00510442">
        <w:rPr>
          <w:color w:val="000000"/>
          <w:szCs w:val="22"/>
          <w:lang w:val="hr-HR"/>
        </w:rPr>
        <w:t> </w:t>
      </w:r>
      <w:r w:rsidRPr="00510442">
        <w:rPr>
          <w:szCs w:val="22"/>
          <w:lang w:val="hr-HR"/>
        </w:rPr>
        <w:t>tjedna) njihovog citogenetskog odgovora. Od tih 11</w:t>
      </w:r>
      <w:r w:rsidR="002044E9" w:rsidRPr="00510442">
        <w:rPr>
          <w:color w:val="000000"/>
          <w:szCs w:val="22"/>
          <w:lang w:val="hr-HR"/>
        </w:rPr>
        <w:t> </w:t>
      </w:r>
      <w:r w:rsidRPr="00510442">
        <w:rPr>
          <w:szCs w:val="22"/>
          <w:lang w:val="hr-HR"/>
        </w:rPr>
        <w:t>bolesnika,</w:t>
      </w:r>
      <w:r w:rsidR="002044E9" w:rsidRPr="00510442">
        <w:rPr>
          <w:szCs w:val="22"/>
          <w:lang w:val="hr-HR"/>
        </w:rPr>
        <w:t xml:space="preserve"> </w:t>
      </w:r>
      <w:r w:rsidRPr="00510442">
        <w:rPr>
          <w:szCs w:val="22"/>
          <w:lang w:val="hr-HR"/>
        </w:rPr>
        <w:t>4</w:t>
      </w:r>
      <w:r w:rsidR="002044E9" w:rsidRPr="00510442">
        <w:rPr>
          <w:color w:val="000000"/>
          <w:szCs w:val="22"/>
          <w:lang w:val="hr-HR"/>
        </w:rPr>
        <w:t> </w:t>
      </w:r>
      <w:r w:rsidRPr="00510442">
        <w:rPr>
          <w:szCs w:val="22"/>
          <w:lang w:val="hr-HR"/>
        </w:rPr>
        <w:t>bolesnika su prešla na višu dozu do 800</w:t>
      </w:r>
      <w:r w:rsidR="002044E9" w:rsidRPr="00510442">
        <w:rPr>
          <w:color w:val="000000"/>
          <w:szCs w:val="22"/>
          <w:lang w:val="hr-HR"/>
        </w:rPr>
        <w:t> </w:t>
      </w:r>
      <w:r w:rsidRPr="00510442">
        <w:rPr>
          <w:szCs w:val="22"/>
          <w:lang w:val="hr-HR"/>
        </w:rPr>
        <w:t xml:space="preserve">mg </w:t>
      </w:r>
      <w:r w:rsidR="004D7EB8" w:rsidRPr="00510442">
        <w:rPr>
          <w:szCs w:val="22"/>
          <w:lang w:val="hr-HR"/>
        </w:rPr>
        <w:t xml:space="preserve">na dan </w:t>
      </w:r>
      <w:r w:rsidRPr="00510442">
        <w:rPr>
          <w:szCs w:val="22"/>
          <w:lang w:val="hr-HR"/>
        </w:rPr>
        <w:t>te ih je dvoje ponovno postiglo citogenetski odgovor (1</w:t>
      </w:r>
      <w:r w:rsidR="002044E9" w:rsidRPr="00510442">
        <w:rPr>
          <w:color w:val="000000"/>
          <w:szCs w:val="22"/>
          <w:lang w:val="hr-HR"/>
        </w:rPr>
        <w:t> </w:t>
      </w:r>
      <w:r w:rsidRPr="00510442">
        <w:rPr>
          <w:szCs w:val="22"/>
          <w:lang w:val="hr-HR"/>
        </w:rPr>
        <w:t>djelomični i 1</w:t>
      </w:r>
      <w:r w:rsidR="002044E9" w:rsidRPr="00510442">
        <w:rPr>
          <w:color w:val="000000"/>
          <w:szCs w:val="22"/>
          <w:lang w:val="hr-HR"/>
        </w:rPr>
        <w:t> </w:t>
      </w:r>
      <w:r w:rsidRPr="00510442">
        <w:rPr>
          <w:szCs w:val="22"/>
          <w:lang w:val="hr-HR"/>
        </w:rPr>
        <w:t>potpuni, a taj je također postigao i molekularni odgovor), dok je od 7</w:t>
      </w:r>
      <w:r w:rsidR="002044E9" w:rsidRPr="00510442">
        <w:rPr>
          <w:color w:val="000000"/>
          <w:szCs w:val="22"/>
          <w:lang w:val="hr-HR"/>
        </w:rPr>
        <w:t> </w:t>
      </w:r>
      <w:r w:rsidRPr="00510442">
        <w:rPr>
          <w:szCs w:val="22"/>
          <w:lang w:val="hr-HR"/>
        </w:rPr>
        <w:t xml:space="preserve">bolesnika koji nisu prešli na višu dozu samo jedan ponovno postigao potpuni citogenetski odgovor. </w:t>
      </w:r>
      <w:r w:rsidR="00FA12B9" w:rsidRPr="00510442">
        <w:rPr>
          <w:szCs w:val="22"/>
          <w:lang w:val="hr-HR"/>
        </w:rPr>
        <w:t xml:space="preserve">Postotak </w:t>
      </w:r>
      <w:r w:rsidRPr="00510442">
        <w:rPr>
          <w:szCs w:val="22"/>
          <w:lang w:val="hr-HR"/>
        </w:rPr>
        <w:t>nekih nuspojava bio je viši u 40</w:t>
      </w:r>
      <w:r w:rsidR="002044E9" w:rsidRPr="00510442">
        <w:rPr>
          <w:color w:val="000000"/>
          <w:szCs w:val="22"/>
          <w:lang w:val="hr-HR"/>
        </w:rPr>
        <w:t> </w:t>
      </w:r>
      <w:r w:rsidRPr="00510442">
        <w:rPr>
          <w:szCs w:val="22"/>
          <w:lang w:val="hr-HR"/>
        </w:rPr>
        <w:t>bolesnika u kojih je doza povećana na 800</w:t>
      </w:r>
      <w:r w:rsidR="002044E9" w:rsidRPr="00510442">
        <w:rPr>
          <w:color w:val="000000"/>
          <w:szCs w:val="22"/>
          <w:lang w:val="hr-HR"/>
        </w:rPr>
        <w:t> </w:t>
      </w:r>
      <w:r w:rsidRPr="00510442">
        <w:rPr>
          <w:szCs w:val="22"/>
          <w:lang w:val="hr-HR"/>
        </w:rPr>
        <w:t xml:space="preserve">mg </w:t>
      </w:r>
      <w:r w:rsidR="004D7EB8" w:rsidRPr="00510442">
        <w:rPr>
          <w:szCs w:val="22"/>
          <w:lang w:val="hr-HR"/>
        </w:rPr>
        <w:t>na dan</w:t>
      </w:r>
      <w:r w:rsidRPr="00510442">
        <w:rPr>
          <w:szCs w:val="22"/>
          <w:lang w:val="hr-HR"/>
        </w:rPr>
        <w:t>, u usporedbi s populacijom bolesnika prije povećanja doze (n=551). Češće nuspojave su uključivale gastrointestinalna krvarenja, konjunktivitis i povišenje transaminaza ili bilirubina. Ostale nuspojave su zabilježene s nižom ili istom učestalošću.</w:t>
      </w:r>
    </w:p>
    <w:p w14:paraId="0DA5ED91" w14:textId="77777777" w:rsidR="00E636F4" w:rsidRPr="00510442" w:rsidRDefault="00E636F4" w:rsidP="0091773C">
      <w:pPr>
        <w:pStyle w:val="Text"/>
        <w:widowControl w:val="0"/>
        <w:spacing w:before="0"/>
        <w:jc w:val="left"/>
        <w:rPr>
          <w:color w:val="000000"/>
          <w:sz w:val="22"/>
          <w:szCs w:val="22"/>
          <w:lang w:val="hr-HR"/>
        </w:rPr>
      </w:pPr>
    </w:p>
    <w:p w14:paraId="31978F52" w14:textId="77777777" w:rsidR="007303D8" w:rsidRPr="00510442" w:rsidRDefault="007303D8" w:rsidP="009B5630">
      <w:pPr>
        <w:spacing w:line="240" w:lineRule="auto"/>
        <w:rPr>
          <w:szCs w:val="22"/>
          <w:lang w:val="hr-HR"/>
        </w:rPr>
      </w:pPr>
      <w:r w:rsidRPr="00510442">
        <w:rPr>
          <w:i/>
          <w:szCs w:val="22"/>
          <w:lang w:val="hr-HR"/>
        </w:rPr>
        <w:t xml:space="preserve">Kronična faza, neuspjeh </w:t>
      </w:r>
      <w:r w:rsidR="004664CE" w:rsidRPr="00510442">
        <w:rPr>
          <w:i/>
          <w:szCs w:val="22"/>
          <w:lang w:val="hr-HR"/>
        </w:rPr>
        <w:t>i</w:t>
      </w:r>
      <w:r w:rsidRPr="00510442">
        <w:rPr>
          <w:i/>
          <w:szCs w:val="22"/>
          <w:lang w:val="hr-HR"/>
        </w:rPr>
        <w:t>nterferona</w:t>
      </w:r>
      <w:r w:rsidRPr="00510442">
        <w:rPr>
          <w:szCs w:val="22"/>
          <w:lang w:val="hr-HR"/>
        </w:rPr>
        <w:t>: 532</w:t>
      </w:r>
      <w:r w:rsidRPr="00510442">
        <w:rPr>
          <w:color w:val="000000"/>
          <w:szCs w:val="22"/>
          <w:lang w:val="hr-HR"/>
        </w:rPr>
        <w:t> </w:t>
      </w:r>
      <w:r w:rsidRPr="00510442">
        <w:rPr>
          <w:szCs w:val="22"/>
          <w:lang w:val="hr-HR"/>
        </w:rPr>
        <w:t>odrasla bolesnika liječena su s početnom dozom od 400</w:t>
      </w:r>
      <w:r w:rsidRPr="00510442">
        <w:rPr>
          <w:color w:val="000000"/>
          <w:szCs w:val="22"/>
          <w:lang w:val="hr-HR"/>
        </w:rPr>
        <w:t> </w:t>
      </w:r>
      <w:r w:rsidRPr="00510442">
        <w:rPr>
          <w:szCs w:val="22"/>
          <w:lang w:val="hr-HR"/>
        </w:rPr>
        <w:t xml:space="preserve">mg. Bolesnici su bili raspoređeni u tri glavne kategorije: hematološki neuspjeh (29%), citogenetski neuspjeh (35%) ili nepodnošenje interferona (36%). Bolesnici su prethodno primali IFN terapiju u </w:t>
      </w:r>
      <w:r w:rsidR="00ED7C14" w:rsidRPr="00510442">
        <w:rPr>
          <w:szCs w:val="22"/>
          <w:lang w:val="hr-HR"/>
        </w:rPr>
        <w:t>medijanu trajanja</w:t>
      </w:r>
      <w:r w:rsidRPr="00510442">
        <w:rPr>
          <w:szCs w:val="22"/>
          <w:lang w:val="hr-HR"/>
        </w:rPr>
        <w:t xml:space="preserve"> od 14</w:t>
      </w:r>
      <w:r w:rsidRPr="00510442">
        <w:rPr>
          <w:color w:val="000000"/>
          <w:szCs w:val="22"/>
          <w:lang w:val="hr-HR"/>
        </w:rPr>
        <w:t> </w:t>
      </w:r>
      <w:r w:rsidRPr="00510442">
        <w:rPr>
          <w:szCs w:val="22"/>
          <w:lang w:val="hr-HR"/>
        </w:rPr>
        <w:t>mjeseci u dozama ≥25</w:t>
      </w:r>
      <w:r w:rsidRPr="00510442">
        <w:rPr>
          <w:color w:val="000000"/>
          <w:szCs w:val="22"/>
          <w:lang w:val="hr-HR"/>
        </w:rPr>
        <w:t> </w:t>
      </w:r>
      <w:r w:rsidRPr="00510442">
        <w:rPr>
          <w:szCs w:val="22"/>
          <w:lang w:val="hr-HR"/>
        </w:rPr>
        <w:t>x</w:t>
      </w:r>
      <w:r w:rsidRPr="00510442">
        <w:rPr>
          <w:color w:val="000000"/>
          <w:szCs w:val="22"/>
          <w:lang w:val="hr-HR"/>
        </w:rPr>
        <w:t> </w:t>
      </w:r>
      <w:r w:rsidRPr="00510442">
        <w:rPr>
          <w:szCs w:val="22"/>
          <w:lang w:val="hr-HR"/>
        </w:rPr>
        <w:t>10</w:t>
      </w:r>
      <w:r w:rsidRPr="00510442">
        <w:rPr>
          <w:szCs w:val="22"/>
          <w:vertAlign w:val="superscript"/>
          <w:lang w:val="hr-HR"/>
        </w:rPr>
        <w:t>6</w:t>
      </w:r>
      <w:r w:rsidRPr="00510442">
        <w:rPr>
          <w:color w:val="000000"/>
          <w:szCs w:val="22"/>
          <w:lang w:val="hr-HR"/>
        </w:rPr>
        <w:t> </w:t>
      </w:r>
      <w:r w:rsidRPr="00510442">
        <w:rPr>
          <w:szCs w:val="22"/>
          <w:lang w:val="hr-HR"/>
        </w:rPr>
        <w:t xml:space="preserve">IU/tjedan i svi su bili u završnoj kroničnoj fazi, sa </w:t>
      </w:r>
      <w:r w:rsidR="00ED7C14" w:rsidRPr="00510442">
        <w:rPr>
          <w:szCs w:val="22"/>
          <w:lang w:val="hr-HR"/>
        </w:rPr>
        <w:t>medijanom vremena</w:t>
      </w:r>
      <w:r w:rsidRPr="00510442">
        <w:rPr>
          <w:szCs w:val="22"/>
          <w:lang w:val="hr-HR"/>
        </w:rPr>
        <w:t xml:space="preserve"> od postavljanja dijagnoze od 32</w:t>
      </w:r>
      <w:r w:rsidRPr="00510442">
        <w:rPr>
          <w:color w:val="000000"/>
          <w:szCs w:val="22"/>
          <w:lang w:val="hr-HR"/>
        </w:rPr>
        <w:t> </w:t>
      </w:r>
      <w:r w:rsidRPr="00510442">
        <w:rPr>
          <w:szCs w:val="22"/>
          <w:lang w:val="hr-HR"/>
        </w:rPr>
        <w:t>mjeseca. Primarna varijabla djelotvornosti ispitivanja bila je stopa većeg citogenetskog odgovora (potpuni plus djelomični odgovor, 0 do 35% Ph+ metafaza u koštanoj srži).</w:t>
      </w:r>
    </w:p>
    <w:p w14:paraId="1E6206BF" w14:textId="77777777" w:rsidR="007303D8" w:rsidRPr="00510442" w:rsidRDefault="007303D8" w:rsidP="009B5630">
      <w:pPr>
        <w:spacing w:line="240" w:lineRule="auto"/>
        <w:rPr>
          <w:szCs w:val="22"/>
          <w:lang w:val="hr-HR"/>
        </w:rPr>
      </w:pPr>
    </w:p>
    <w:p w14:paraId="31A98B94" w14:textId="77777777" w:rsidR="007303D8" w:rsidRPr="00510442" w:rsidRDefault="007303D8" w:rsidP="009B5630">
      <w:pPr>
        <w:spacing w:line="240" w:lineRule="auto"/>
        <w:rPr>
          <w:szCs w:val="22"/>
          <w:lang w:val="hr-HR"/>
        </w:rPr>
      </w:pPr>
      <w:r w:rsidRPr="00510442">
        <w:rPr>
          <w:szCs w:val="22"/>
          <w:lang w:val="hr-HR"/>
        </w:rPr>
        <w:t>U ovom je ispitivanju kod 65% bolesnika postignut veliki citogenetski odgovor koji je bio potpun u 53% (potvrđeno 43%) bolesnika (Tablica</w:t>
      </w:r>
      <w:r w:rsidRPr="00510442">
        <w:rPr>
          <w:color w:val="000000"/>
          <w:szCs w:val="22"/>
          <w:lang w:val="hr-HR"/>
        </w:rPr>
        <w:t> </w:t>
      </w:r>
      <w:r w:rsidR="00A43561" w:rsidRPr="00510442">
        <w:rPr>
          <w:szCs w:val="22"/>
          <w:lang w:val="hr-HR"/>
        </w:rPr>
        <w:t>3</w:t>
      </w:r>
      <w:r w:rsidRPr="00510442">
        <w:rPr>
          <w:szCs w:val="22"/>
          <w:lang w:val="hr-HR"/>
        </w:rPr>
        <w:t>). Potpuni je hematološki odgovor postignut u 95% bolesnika.</w:t>
      </w:r>
    </w:p>
    <w:p w14:paraId="505C7D76" w14:textId="77777777" w:rsidR="009B57ED" w:rsidRPr="00510442" w:rsidRDefault="009B57ED" w:rsidP="0091773C">
      <w:pPr>
        <w:pStyle w:val="EndnoteText"/>
        <w:widowControl w:val="0"/>
        <w:tabs>
          <w:tab w:val="clear" w:pos="567"/>
        </w:tabs>
        <w:rPr>
          <w:color w:val="000000"/>
          <w:szCs w:val="22"/>
          <w:lang w:val="hr-HR"/>
        </w:rPr>
      </w:pPr>
    </w:p>
    <w:p w14:paraId="074609C3" w14:textId="77777777" w:rsidR="002950E0" w:rsidRPr="00510442" w:rsidRDefault="002950E0" w:rsidP="009B5630">
      <w:pPr>
        <w:spacing w:line="240" w:lineRule="auto"/>
        <w:rPr>
          <w:szCs w:val="22"/>
          <w:lang w:val="hr-HR"/>
        </w:rPr>
      </w:pPr>
      <w:r w:rsidRPr="00510442">
        <w:rPr>
          <w:i/>
          <w:szCs w:val="22"/>
          <w:lang w:val="hr-HR"/>
        </w:rPr>
        <w:t>Ubrzana faza</w:t>
      </w:r>
      <w:r w:rsidRPr="00510442">
        <w:rPr>
          <w:szCs w:val="22"/>
          <w:lang w:val="hr-HR"/>
        </w:rPr>
        <w:t>: uključeno je 235</w:t>
      </w:r>
      <w:r w:rsidRPr="00510442">
        <w:rPr>
          <w:color w:val="000000"/>
          <w:szCs w:val="22"/>
          <w:lang w:val="hr-HR"/>
        </w:rPr>
        <w:t> </w:t>
      </w:r>
      <w:r w:rsidRPr="00510442">
        <w:rPr>
          <w:szCs w:val="22"/>
          <w:lang w:val="hr-HR"/>
        </w:rPr>
        <w:t>odraslih bolesnika s bolešću u ubrzanoj fazi. Prvih je 77</w:t>
      </w:r>
      <w:r w:rsidRPr="00510442">
        <w:rPr>
          <w:color w:val="000000"/>
          <w:szCs w:val="22"/>
          <w:lang w:val="hr-HR"/>
        </w:rPr>
        <w:t> </w:t>
      </w:r>
      <w:r w:rsidRPr="00510442">
        <w:rPr>
          <w:szCs w:val="22"/>
          <w:lang w:val="hr-HR"/>
        </w:rPr>
        <w:t>bolesnika počelo s dozom od 400</w:t>
      </w:r>
      <w:r w:rsidRPr="00510442">
        <w:rPr>
          <w:color w:val="000000"/>
          <w:szCs w:val="22"/>
          <w:lang w:val="hr-HR"/>
        </w:rPr>
        <w:t> </w:t>
      </w:r>
      <w:r w:rsidRPr="00510442">
        <w:rPr>
          <w:szCs w:val="22"/>
          <w:lang w:val="hr-HR"/>
        </w:rPr>
        <w:t>mg, protokol je naknadno promijenjen tako da je dozvoljavao veće doziranje, pa je ostalih 158</w:t>
      </w:r>
      <w:r w:rsidRPr="00510442">
        <w:rPr>
          <w:color w:val="000000"/>
          <w:szCs w:val="22"/>
          <w:lang w:val="hr-HR"/>
        </w:rPr>
        <w:t> </w:t>
      </w:r>
      <w:r w:rsidRPr="00510442">
        <w:rPr>
          <w:szCs w:val="22"/>
          <w:lang w:val="hr-HR"/>
        </w:rPr>
        <w:t>bolesnika započelo s dozom od 600</w:t>
      </w:r>
      <w:r w:rsidRPr="00510442">
        <w:rPr>
          <w:color w:val="000000"/>
          <w:szCs w:val="22"/>
          <w:lang w:val="hr-HR"/>
        </w:rPr>
        <w:t> </w:t>
      </w:r>
      <w:r w:rsidRPr="00510442">
        <w:rPr>
          <w:szCs w:val="22"/>
          <w:lang w:val="hr-HR"/>
        </w:rPr>
        <w:t>mg.</w:t>
      </w:r>
    </w:p>
    <w:p w14:paraId="24F134EA" w14:textId="77777777" w:rsidR="002950E0" w:rsidRPr="00510442" w:rsidRDefault="002950E0" w:rsidP="009B5630">
      <w:pPr>
        <w:spacing w:line="240" w:lineRule="auto"/>
        <w:rPr>
          <w:szCs w:val="22"/>
          <w:lang w:val="hr-HR"/>
        </w:rPr>
      </w:pPr>
    </w:p>
    <w:p w14:paraId="5487BBE4" w14:textId="77777777" w:rsidR="002950E0" w:rsidRPr="00510442" w:rsidRDefault="002950E0" w:rsidP="009B5630">
      <w:pPr>
        <w:spacing w:line="240" w:lineRule="auto"/>
        <w:rPr>
          <w:szCs w:val="22"/>
          <w:lang w:val="hr-HR"/>
        </w:rPr>
      </w:pPr>
      <w:r w:rsidRPr="00510442">
        <w:rPr>
          <w:szCs w:val="22"/>
          <w:lang w:val="hr-HR"/>
        </w:rPr>
        <w:t xml:space="preserve">Primarna varijabla djelotvornosti bila je </w:t>
      </w:r>
      <w:r w:rsidR="0037650C" w:rsidRPr="00510442">
        <w:rPr>
          <w:szCs w:val="22"/>
          <w:lang w:val="hr-HR"/>
        </w:rPr>
        <w:t xml:space="preserve">stopa </w:t>
      </w:r>
      <w:r w:rsidRPr="00510442">
        <w:rPr>
          <w:szCs w:val="22"/>
          <w:lang w:val="hr-HR"/>
        </w:rPr>
        <w:t xml:space="preserve">hematološkog odgovora, koja je zabilježena bilo kao potpuni hematološki odgovor, bez dokaza leukemije (tj. klirens blasta iz koštane srži i krvi, ali bez potpunog oporavka periferne krvi kao kod potpunih odgovora), ili kao vraćanje na kroničnu fazu </w:t>
      </w:r>
      <w:r w:rsidR="00B655F5" w:rsidRPr="00510442">
        <w:rPr>
          <w:szCs w:val="22"/>
          <w:lang w:val="hr-HR"/>
        </w:rPr>
        <w:t>K</w:t>
      </w:r>
      <w:r w:rsidRPr="00510442">
        <w:rPr>
          <w:szCs w:val="22"/>
          <w:lang w:val="hr-HR"/>
        </w:rPr>
        <w:t>ML-a. Potvrđeni hematološki odgovor je postignut u 71,5% bolesnika (Tablica</w:t>
      </w:r>
      <w:r w:rsidRPr="00510442">
        <w:rPr>
          <w:color w:val="000000"/>
          <w:szCs w:val="22"/>
          <w:lang w:val="hr-HR"/>
        </w:rPr>
        <w:t> </w:t>
      </w:r>
      <w:r w:rsidR="00A43561" w:rsidRPr="00510442">
        <w:rPr>
          <w:szCs w:val="22"/>
          <w:lang w:val="hr-HR"/>
        </w:rPr>
        <w:t>3</w:t>
      </w:r>
      <w:r w:rsidRPr="00510442">
        <w:rPr>
          <w:szCs w:val="22"/>
          <w:lang w:val="hr-HR"/>
        </w:rPr>
        <w:t>). Važno je napomenuti da je 27,7% bolesnika također postiglo veliki citogenetski odgovor, koji je bio potpun u 20,4% (potvrđeno 16%) bolesnika. Za bolesnike liječene dozom od 600</w:t>
      </w:r>
      <w:r w:rsidRPr="00510442">
        <w:rPr>
          <w:color w:val="000000"/>
          <w:szCs w:val="22"/>
          <w:lang w:val="hr-HR"/>
        </w:rPr>
        <w:t> </w:t>
      </w:r>
      <w:r w:rsidRPr="00510442">
        <w:rPr>
          <w:szCs w:val="22"/>
          <w:lang w:val="hr-HR"/>
        </w:rPr>
        <w:t xml:space="preserve">mg, trenutne procjene za </w:t>
      </w:r>
      <w:r w:rsidR="00ED7C14" w:rsidRPr="00510442">
        <w:rPr>
          <w:szCs w:val="22"/>
          <w:lang w:val="hr-HR"/>
        </w:rPr>
        <w:t>medijan vrijednosti</w:t>
      </w:r>
      <w:r w:rsidRPr="00510442">
        <w:rPr>
          <w:szCs w:val="22"/>
          <w:lang w:val="hr-HR"/>
        </w:rPr>
        <w:t xml:space="preserve"> preživlj</w:t>
      </w:r>
      <w:r w:rsidR="004664CE" w:rsidRPr="00510442">
        <w:rPr>
          <w:szCs w:val="22"/>
          <w:lang w:val="hr-HR"/>
        </w:rPr>
        <w:t>e</w:t>
      </w:r>
      <w:r w:rsidRPr="00510442">
        <w:rPr>
          <w:szCs w:val="22"/>
          <w:lang w:val="hr-HR"/>
        </w:rPr>
        <w:t>nja bez progresije te ukupno preživlj</w:t>
      </w:r>
      <w:r w:rsidR="004664CE" w:rsidRPr="00510442">
        <w:rPr>
          <w:szCs w:val="22"/>
          <w:lang w:val="hr-HR"/>
        </w:rPr>
        <w:t>e</w:t>
      </w:r>
      <w:r w:rsidRPr="00510442">
        <w:rPr>
          <w:szCs w:val="22"/>
          <w:lang w:val="hr-HR"/>
        </w:rPr>
        <w:t>nje iznose 22,9, odnosno 42,5</w:t>
      </w:r>
      <w:r w:rsidRPr="00510442">
        <w:rPr>
          <w:color w:val="000000"/>
          <w:szCs w:val="22"/>
          <w:lang w:val="hr-HR"/>
        </w:rPr>
        <w:t> </w:t>
      </w:r>
      <w:r w:rsidRPr="00510442">
        <w:rPr>
          <w:szCs w:val="22"/>
          <w:lang w:val="hr-HR"/>
        </w:rPr>
        <w:t>mjeseca.</w:t>
      </w:r>
    </w:p>
    <w:p w14:paraId="763FED38" w14:textId="77777777" w:rsidR="009B57ED" w:rsidRPr="00510442" w:rsidRDefault="009B57ED" w:rsidP="0091773C">
      <w:pPr>
        <w:pStyle w:val="EndnoteText"/>
        <w:widowControl w:val="0"/>
        <w:tabs>
          <w:tab w:val="clear" w:pos="567"/>
        </w:tabs>
        <w:rPr>
          <w:color w:val="000000"/>
          <w:szCs w:val="22"/>
          <w:lang w:val="hr-HR"/>
        </w:rPr>
      </w:pPr>
    </w:p>
    <w:p w14:paraId="0D7C83EB" w14:textId="77777777" w:rsidR="002950E0" w:rsidRPr="00510442" w:rsidRDefault="002950E0" w:rsidP="009B5630">
      <w:pPr>
        <w:spacing w:line="240" w:lineRule="auto"/>
        <w:rPr>
          <w:szCs w:val="22"/>
          <w:lang w:val="hr-HR"/>
        </w:rPr>
      </w:pPr>
      <w:r w:rsidRPr="00510442">
        <w:rPr>
          <w:i/>
          <w:szCs w:val="22"/>
          <w:lang w:val="hr-HR"/>
        </w:rPr>
        <w:t>Mijeloična blastična kriza</w:t>
      </w:r>
      <w:r w:rsidRPr="00510442">
        <w:rPr>
          <w:szCs w:val="22"/>
          <w:lang w:val="hr-HR"/>
        </w:rPr>
        <w:t>: u ispitivanje je uključeno 260</w:t>
      </w:r>
      <w:r w:rsidRPr="00510442">
        <w:rPr>
          <w:color w:val="000000"/>
          <w:szCs w:val="22"/>
          <w:lang w:val="hr-HR"/>
        </w:rPr>
        <w:t> </w:t>
      </w:r>
      <w:r w:rsidRPr="00510442">
        <w:rPr>
          <w:szCs w:val="22"/>
          <w:lang w:val="hr-HR"/>
        </w:rPr>
        <w:t>bolesnika s mijeloičnom blastičnom krizom. Njih je 95 (37%) prethodno primilo kemoterapiju zbog liječenja bilo ubrzane faze, bilo blastične krize (</w:t>
      </w:r>
      <w:r w:rsidR="005A3589" w:rsidRPr="00510442">
        <w:rPr>
          <w:lang w:val="hr-HR"/>
        </w:rPr>
        <w:t>„</w:t>
      </w:r>
      <w:r w:rsidRPr="00510442">
        <w:rPr>
          <w:szCs w:val="22"/>
          <w:lang w:val="hr-HR"/>
        </w:rPr>
        <w:t>prethodno liječeni bolesnici</w:t>
      </w:r>
      <w:r w:rsidR="005A3589" w:rsidRPr="00510442">
        <w:rPr>
          <w:lang w:val="hr-HR"/>
        </w:rPr>
        <w:t>“</w:t>
      </w:r>
      <w:r w:rsidRPr="00510442">
        <w:rPr>
          <w:szCs w:val="22"/>
          <w:lang w:val="hr-HR"/>
        </w:rPr>
        <w:t>), a 165 (63%) ispitanika nije (</w:t>
      </w:r>
      <w:r w:rsidR="005A3589" w:rsidRPr="00510442">
        <w:rPr>
          <w:lang w:val="hr-HR"/>
        </w:rPr>
        <w:t>„</w:t>
      </w:r>
      <w:r w:rsidRPr="00510442">
        <w:rPr>
          <w:szCs w:val="22"/>
          <w:lang w:val="hr-HR"/>
        </w:rPr>
        <w:t>neliječeni bolesnici</w:t>
      </w:r>
      <w:r w:rsidR="005A3589" w:rsidRPr="00510442">
        <w:rPr>
          <w:lang w:val="hr-HR"/>
        </w:rPr>
        <w:t>“</w:t>
      </w:r>
      <w:r w:rsidRPr="00510442">
        <w:rPr>
          <w:szCs w:val="22"/>
          <w:lang w:val="hr-HR"/>
        </w:rPr>
        <w:t>). Kod prvih 37</w:t>
      </w:r>
      <w:r w:rsidRPr="00510442">
        <w:rPr>
          <w:color w:val="000000"/>
          <w:szCs w:val="22"/>
          <w:lang w:val="hr-HR"/>
        </w:rPr>
        <w:t> </w:t>
      </w:r>
      <w:r w:rsidRPr="00510442">
        <w:rPr>
          <w:szCs w:val="22"/>
          <w:lang w:val="hr-HR"/>
        </w:rPr>
        <w:t>bolesnika liječenje je započelo s dozom od 400</w:t>
      </w:r>
      <w:r w:rsidRPr="00510442">
        <w:rPr>
          <w:color w:val="000000"/>
          <w:szCs w:val="22"/>
          <w:lang w:val="hr-HR"/>
        </w:rPr>
        <w:t> </w:t>
      </w:r>
      <w:r w:rsidRPr="00510442">
        <w:rPr>
          <w:szCs w:val="22"/>
          <w:lang w:val="hr-HR"/>
        </w:rPr>
        <w:t>mg, protokol je naknadno promijenjen tako da je dozvoljavao veće doziranje, pa je ostalih 223</w:t>
      </w:r>
      <w:r w:rsidRPr="00510442">
        <w:rPr>
          <w:color w:val="000000"/>
          <w:szCs w:val="22"/>
          <w:lang w:val="hr-HR"/>
        </w:rPr>
        <w:t> </w:t>
      </w:r>
      <w:r w:rsidRPr="00510442">
        <w:rPr>
          <w:szCs w:val="22"/>
          <w:lang w:val="hr-HR"/>
        </w:rPr>
        <w:t>bolesnika započelo s dozom od 600</w:t>
      </w:r>
      <w:r w:rsidRPr="00510442">
        <w:rPr>
          <w:color w:val="000000"/>
          <w:szCs w:val="22"/>
          <w:lang w:val="hr-HR"/>
        </w:rPr>
        <w:t> </w:t>
      </w:r>
      <w:r w:rsidRPr="00510442">
        <w:rPr>
          <w:szCs w:val="22"/>
          <w:lang w:val="hr-HR"/>
        </w:rPr>
        <w:t>mg.</w:t>
      </w:r>
    </w:p>
    <w:p w14:paraId="7CDD8A89" w14:textId="77777777" w:rsidR="002950E0" w:rsidRPr="00510442" w:rsidRDefault="002950E0" w:rsidP="009B5630">
      <w:pPr>
        <w:spacing w:line="240" w:lineRule="auto"/>
        <w:rPr>
          <w:szCs w:val="22"/>
          <w:lang w:val="hr-HR"/>
        </w:rPr>
      </w:pPr>
    </w:p>
    <w:p w14:paraId="5A18A480" w14:textId="77777777" w:rsidR="002950E0" w:rsidRPr="00510442" w:rsidRDefault="002950E0" w:rsidP="009B5630">
      <w:pPr>
        <w:spacing w:line="240" w:lineRule="auto"/>
        <w:rPr>
          <w:szCs w:val="22"/>
          <w:lang w:val="hr-HR"/>
        </w:rPr>
      </w:pPr>
      <w:r w:rsidRPr="00510442">
        <w:rPr>
          <w:szCs w:val="22"/>
          <w:lang w:val="hr-HR"/>
        </w:rPr>
        <w:t xml:space="preserve">Primarna varijabla djelotvornosti bila je </w:t>
      </w:r>
      <w:r w:rsidR="0037650C" w:rsidRPr="00510442">
        <w:rPr>
          <w:szCs w:val="22"/>
          <w:lang w:val="hr-HR"/>
        </w:rPr>
        <w:t xml:space="preserve">stopa </w:t>
      </w:r>
      <w:r w:rsidRPr="00510442">
        <w:rPr>
          <w:szCs w:val="22"/>
          <w:lang w:val="hr-HR"/>
        </w:rPr>
        <w:t xml:space="preserve">hematološkog odgovora, koja je zabilježena ili kao potpuni hematološki odgovor, bez dokaza leukemije, ili kao vraćanje na kroničnu fazu </w:t>
      </w:r>
      <w:r w:rsidR="00B655F5" w:rsidRPr="00510442">
        <w:rPr>
          <w:szCs w:val="22"/>
          <w:lang w:val="hr-HR"/>
        </w:rPr>
        <w:t>K</w:t>
      </w:r>
      <w:r w:rsidRPr="00510442">
        <w:rPr>
          <w:szCs w:val="22"/>
          <w:lang w:val="hr-HR"/>
        </w:rPr>
        <w:t xml:space="preserve">ML-a, uz primjenu istih kriterija kao i kod ispitivanja u ubrzanoj fazi. U tom je ispitivanju 31% bolesnika postiglo hematološki odgovor (36% u skupini prethodno neliječenih bolesnika i 22% u skupini prethodno liječenih bolesnika). </w:t>
      </w:r>
      <w:r w:rsidR="0037650C" w:rsidRPr="00510442">
        <w:rPr>
          <w:szCs w:val="22"/>
          <w:lang w:val="hr-HR"/>
        </w:rPr>
        <w:t xml:space="preserve">Stopa </w:t>
      </w:r>
      <w:r w:rsidRPr="00510442">
        <w:rPr>
          <w:szCs w:val="22"/>
          <w:lang w:val="hr-HR"/>
        </w:rPr>
        <w:t>odgovora također je bila viša u bolesnika koji su liječeni s dozom od 600</w:t>
      </w:r>
      <w:r w:rsidR="00FB6F17" w:rsidRPr="00510442">
        <w:rPr>
          <w:color w:val="000000"/>
          <w:szCs w:val="22"/>
          <w:lang w:val="hr-HR"/>
        </w:rPr>
        <w:t> </w:t>
      </w:r>
      <w:r w:rsidRPr="00510442">
        <w:rPr>
          <w:szCs w:val="22"/>
          <w:lang w:val="hr-HR"/>
        </w:rPr>
        <w:t>mg (33%) u usporedbi s bolesnicima koji su liječeni s 400</w:t>
      </w:r>
      <w:r w:rsidR="00FB6F17" w:rsidRPr="00510442">
        <w:rPr>
          <w:color w:val="000000"/>
          <w:szCs w:val="22"/>
          <w:lang w:val="hr-HR"/>
        </w:rPr>
        <w:t> </w:t>
      </w:r>
      <w:r w:rsidRPr="00510442">
        <w:rPr>
          <w:szCs w:val="22"/>
          <w:lang w:val="hr-HR"/>
        </w:rPr>
        <w:t xml:space="preserve">mg (16%, p=0,0220). Trenutna procjena </w:t>
      </w:r>
      <w:r w:rsidR="003D3F5C" w:rsidRPr="00510442">
        <w:rPr>
          <w:szCs w:val="22"/>
          <w:lang w:val="hr-HR"/>
        </w:rPr>
        <w:t xml:space="preserve">medijana vrijednosti </w:t>
      </w:r>
      <w:r w:rsidRPr="00510442">
        <w:rPr>
          <w:szCs w:val="22"/>
          <w:lang w:val="hr-HR"/>
        </w:rPr>
        <w:t>preživlj</w:t>
      </w:r>
      <w:r w:rsidR="005B7EFE" w:rsidRPr="00510442">
        <w:rPr>
          <w:szCs w:val="22"/>
          <w:lang w:val="hr-HR"/>
        </w:rPr>
        <w:t>e</w:t>
      </w:r>
      <w:r w:rsidRPr="00510442">
        <w:rPr>
          <w:szCs w:val="22"/>
          <w:lang w:val="hr-HR"/>
        </w:rPr>
        <w:t>nja prethodno neliječenih i liječenih bolesnika iznosila je 7,7, odnosno 4,7</w:t>
      </w:r>
      <w:r w:rsidR="00FB6F17" w:rsidRPr="00510442">
        <w:rPr>
          <w:color w:val="000000"/>
          <w:szCs w:val="22"/>
          <w:lang w:val="hr-HR"/>
        </w:rPr>
        <w:t> </w:t>
      </w:r>
      <w:r w:rsidRPr="00510442">
        <w:rPr>
          <w:szCs w:val="22"/>
          <w:lang w:val="hr-HR"/>
        </w:rPr>
        <w:t>mjeseci.</w:t>
      </w:r>
    </w:p>
    <w:p w14:paraId="7E6BB0B7" w14:textId="77777777" w:rsidR="002950E0" w:rsidRPr="00510442" w:rsidRDefault="002950E0" w:rsidP="009B5630">
      <w:pPr>
        <w:spacing w:line="240" w:lineRule="auto"/>
        <w:rPr>
          <w:i/>
          <w:szCs w:val="22"/>
          <w:lang w:val="hr-HR"/>
        </w:rPr>
      </w:pPr>
    </w:p>
    <w:p w14:paraId="0467641B" w14:textId="77777777" w:rsidR="002950E0" w:rsidRPr="00510442" w:rsidRDefault="002950E0" w:rsidP="009B5630">
      <w:pPr>
        <w:spacing w:line="240" w:lineRule="auto"/>
        <w:rPr>
          <w:szCs w:val="22"/>
          <w:lang w:val="hr-HR"/>
        </w:rPr>
      </w:pPr>
      <w:r w:rsidRPr="00510442">
        <w:rPr>
          <w:i/>
          <w:szCs w:val="22"/>
          <w:lang w:val="hr-HR"/>
        </w:rPr>
        <w:t>Limfatična blastična kriza</w:t>
      </w:r>
      <w:r w:rsidRPr="00510442">
        <w:rPr>
          <w:szCs w:val="22"/>
          <w:lang w:val="hr-HR"/>
        </w:rPr>
        <w:t>: U ispitivanjima faze I uključen je ograničeni broj bolesnika (n=10). Stopa hematološkog odgovora bila je 70% uz trajanje od 2 do 3</w:t>
      </w:r>
      <w:r w:rsidR="00FB6F17" w:rsidRPr="00510442">
        <w:rPr>
          <w:color w:val="000000"/>
          <w:szCs w:val="22"/>
          <w:lang w:val="hr-HR"/>
        </w:rPr>
        <w:t> </w:t>
      </w:r>
      <w:r w:rsidRPr="00510442">
        <w:rPr>
          <w:szCs w:val="22"/>
          <w:lang w:val="hr-HR"/>
        </w:rPr>
        <w:t>mjeseca.</w:t>
      </w:r>
    </w:p>
    <w:p w14:paraId="0D780A99" w14:textId="77777777" w:rsidR="009B57ED" w:rsidRPr="00510442" w:rsidRDefault="009B57ED" w:rsidP="0091773C">
      <w:pPr>
        <w:pStyle w:val="EndnoteText"/>
        <w:widowControl w:val="0"/>
        <w:tabs>
          <w:tab w:val="clear" w:pos="567"/>
        </w:tabs>
        <w:rPr>
          <w:color w:val="000000"/>
          <w:szCs w:val="22"/>
          <w:lang w:val="hr-HR"/>
        </w:rPr>
      </w:pPr>
    </w:p>
    <w:p w14:paraId="513B3831" w14:textId="77777777" w:rsidR="009B57ED" w:rsidRPr="00510442" w:rsidRDefault="009B57ED" w:rsidP="003179A4">
      <w:pPr>
        <w:pStyle w:val="EndnoteText"/>
        <w:keepNext/>
        <w:widowControl w:val="0"/>
        <w:tabs>
          <w:tab w:val="clear" w:pos="567"/>
        </w:tabs>
        <w:ind w:left="1134" w:hanging="1134"/>
        <w:rPr>
          <w:color w:val="000000"/>
          <w:szCs w:val="22"/>
          <w:lang w:val="hr-HR"/>
        </w:rPr>
      </w:pPr>
      <w:r w:rsidRPr="00510442">
        <w:rPr>
          <w:b/>
          <w:color w:val="000000"/>
          <w:szCs w:val="22"/>
          <w:lang w:val="hr-HR"/>
        </w:rPr>
        <w:t>Tabl</w:t>
      </w:r>
      <w:r w:rsidR="00FB6F17" w:rsidRPr="00510442">
        <w:rPr>
          <w:b/>
          <w:color w:val="000000"/>
          <w:szCs w:val="22"/>
          <w:lang w:val="hr-HR"/>
        </w:rPr>
        <w:t>ica</w:t>
      </w:r>
      <w:r w:rsidRPr="00510442">
        <w:rPr>
          <w:b/>
          <w:color w:val="000000"/>
          <w:szCs w:val="22"/>
          <w:lang w:val="hr-HR"/>
        </w:rPr>
        <w:t> </w:t>
      </w:r>
      <w:r w:rsidR="00A43561" w:rsidRPr="00510442">
        <w:rPr>
          <w:b/>
          <w:color w:val="000000"/>
          <w:szCs w:val="22"/>
          <w:lang w:val="hr-HR"/>
        </w:rPr>
        <w:t>3</w:t>
      </w:r>
      <w:r w:rsidRPr="00510442">
        <w:rPr>
          <w:b/>
          <w:color w:val="000000"/>
          <w:szCs w:val="22"/>
          <w:lang w:val="hr-HR"/>
        </w:rPr>
        <w:tab/>
      </w:r>
      <w:r w:rsidR="00FB6F17" w:rsidRPr="00510442">
        <w:rPr>
          <w:b/>
          <w:szCs w:val="22"/>
          <w:lang w:val="hr-HR"/>
        </w:rPr>
        <w:t xml:space="preserve">Odgovor u ispitivanjima </w:t>
      </w:r>
      <w:r w:rsidR="001B1D96" w:rsidRPr="00510442">
        <w:rPr>
          <w:b/>
          <w:szCs w:val="22"/>
          <w:lang w:val="hr-HR"/>
        </w:rPr>
        <w:t>K</w:t>
      </w:r>
      <w:r w:rsidR="00FB6F17" w:rsidRPr="00510442">
        <w:rPr>
          <w:b/>
          <w:szCs w:val="22"/>
          <w:lang w:val="hr-HR"/>
        </w:rPr>
        <w:t>ML-a u odraslih</w:t>
      </w:r>
    </w:p>
    <w:p w14:paraId="67E79ADF" w14:textId="77777777" w:rsidR="009B57ED" w:rsidRPr="00510442" w:rsidRDefault="009B57ED" w:rsidP="003179A4">
      <w:pPr>
        <w:pStyle w:val="EndnoteText"/>
        <w:keepNext/>
        <w:widowControl w:val="0"/>
        <w:tabs>
          <w:tab w:val="clear" w:pos="567"/>
        </w:tabs>
        <w:rPr>
          <w:color w:val="000000"/>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5"/>
        <w:gridCol w:w="2040"/>
        <w:gridCol w:w="1985"/>
        <w:gridCol w:w="1929"/>
      </w:tblGrid>
      <w:tr w:rsidR="009B57ED" w:rsidRPr="00510442" w14:paraId="30252AA0" w14:textId="77777777" w:rsidTr="003179A4">
        <w:trPr>
          <w:cantSplit/>
        </w:trPr>
        <w:tc>
          <w:tcPr>
            <w:tcW w:w="3085" w:type="dxa"/>
            <w:tcBorders>
              <w:bottom w:val="nil"/>
            </w:tcBorders>
          </w:tcPr>
          <w:p w14:paraId="3B2D4C81" w14:textId="77777777" w:rsidR="009B57ED" w:rsidRPr="00510442" w:rsidRDefault="009B57ED" w:rsidP="003179A4">
            <w:pPr>
              <w:pStyle w:val="EndnoteText"/>
              <w:keepNext/>
              <w:widowControl w:val="0"/>
              <w:tabs>
                <w:tab w:val="clear" w:pos="567"/>
              </w:tabs>
              <w:rPr>
                <w:color w:val="000000"/>
                <w:szCs w:val="22"/>
                <w:lang w:val="hr-HR"/>
              </w:rPr>
            </w:pPr>
          </w:p>
        </w:tc>
        <w:tc>
          <w:tcPr>
            <w:tcW w:w="2040" w:type="dxa"/>
            <w:tcBorders>
              <w:bottom w:val="nil"/>
            </w:tcBorders>
          </w:tcPr>
          <w:p w14:paraId="53DCD57E" w14:textId="77777777" w:rsidR="009B57ED" w:rsidRPr="00510442" w:rsidRDefault="009B57ED" w:rsidP="003179A4">
            <w:pPr>
              <w:pStyle w:val="EndnoteText"/>
              <w:keepNext/>
              <w:widowControl w:val="0"/>
              <w:tabs>
                <w:tab w:val="clear" w:pos="567"/>
              </w:tabs>
              <w:ind w:left="-108" w:right="-53"/>
              <w:jc w:val="center"/>
              <w:rPr>
                <w:color w:val="000000"/>
                <w:szCs w:val="22"/>
                <w:lang w:val="hr-HR"/>
              </w:rPr>
            </w:pPr>
            <w:r w:rsidRPr="00510442">
              <w:rPr>
                <w:color w:val="000000"/>
                <w:szCs w:val="22"/>
                <w:lang w:val="hr-HR"/>
              </w:rPr>
              <w:t>Stud</w:t>
            </w:r>
            <w:r w:rsidR="00FB6F17" w:rsidRPr="00510442">
              <w:rPr>
                <w:color w:val="000000"/>
                <w:szCs w:val="22"/>
                <w:lang w:val="hr-HR"/>
              </w:rPr>
              <w:t>ija</w:t>
            </w:r>
            <w:r w:rsidRPr="00510442">
              <w:rPr>
                <w:color w:val="000000"/>
                <w:szCs w:val="22"/>
                <w:lang w:val="hr-HR"/>
              </w:rPr>
              <w:t xml:space="preserve"> 0110</w:t>
            </w:r>
          </w:p>
          <w:p w14:paraId="59F71A70" w14:textId="77777777" w:rsidR="009B57ED" w:rsidRPr="00510442" w:rsidRDefault="009B57ED" w:rsidP="003179A4">
            <w:pPr>
              <w:pStyle w:val="Table"/>
              <w:keepLines w:val="0"/>
              <w:spacing w:before="0" w:after="0"/>
              <w:ind w:left="-108" w:right="-53"/>
              <w:jc w:val="center"/>
              <w:rPr>
                <w:rFonts w:ascii="Times New Roman" w:hAnsi="Times New Roman"/>
                <w:color w:val="000000"/>
                <w:sz w:val="22"/>
                <w:szCs w:val="22"/>
                <w:lang w:val="hr-HR"/>
              </w:rPr>
            </w:pPr>
            <w:r w:rsidRPr="00510442">
              <w:rPr>
                <w:rFonts w:ascii="Times New Roman" w:hAnsi="Times New Roman"/>
                <w:color w:val="000000"/>
                <w:sz w:val="22"/>
                <w:szCs w:val="22"/>
                <w:lang w:val="hr-HR"/>
              </w:rPr>
              <w:t>37-</w:t>
            </w:r>
            <w:r w:rsidR="00FB6F17" w:rsidRPr="00510442">
              <w:rPr>
                <w:rFonts w:ascii="Times New Roman" w:hAnsi="Times New Roman"/>
                <w:sz w:val="22"/>
                <w:szCs w:val="22"/>
                <w:lang w:val="hr-HR"/>
              </w:rPr>
              <w:t>mjesečni podaci</w:t>
            </w:r>
          </w:p>
          <w:p w14:paraId="77BE2874" w14:textId="77777777" w:rsidR="009B57ED" w:rsidRPr="00510442" w:rsidRDefault="00FB6F17" w:rsidP="003179A4">
            <w:pPr>
              <w:pStyle w:val="EndnoteText"/>
              <w:keepNext/>
              <w:widowControl w:val="0"/>
              <w:tabs>
                <w:tab w:val="clear" w:pos="567"/>
              </w:tabs>
              <w:ind w:left="-108" w:right="-53"/>
              <w:jc w:val="center"/>
              <w:rPr>
                <w:color w:val="000000"/>
                <w:szCs w:val="22"/>
                <w:lang w:val="hr-HR"/>
              </w:rPr>
            </w:pPr>
            <w:r w:rsidRPr="00510442">
              <w:rPr>
                <w:szCs w:val="22"/>
                <w:lang w:val="hr-HR"/>
              </w:rPr>
              <w:t>Kronična faza, neuspjeh IFN terapije</w:t>
            </w:r>
          </w:p>
          <w:p w14:paraId="5522EE50" w14:textId="77777777" w:rsidR="009B57ED" w:rsidRPr="00510442" w:rsidRDefault="009B57ED" w:rsidP="003179A4">
            <w:pPr>
              <w:pStyle w:val="EndnoteText"/>
              <w:keepNext/>
              <w:widowControl w:val="0"/>
              <w:tabs>
                <w:tab w:val="clear" w:pos="567"/>
              </w:tabs>
              <w:ind w:left="-108" w:right="-53"/>
              <w:jc w:val="center"/>
              <w:rPr>
                <w:color w:val="000000"/>
                <w:szCs w:val="22"/>
                <w:lang w:val="hr-HR"/>
              </w:rPr>
            </w:pPr>
            <w:r w:rsidRPr="00510442">
              <w:rPr>
                <w:color w:val="000000"/>
                <w:szCs w:val="22"/>
                <w:lang w:val="hr-HR"/>
              </w:rPr>
              <w:t>(n=532)</w:t>
            </w:r>
          </w:p>
        </w:tc>
        <w:tc>
          <w:tcPr>
            <w:tcW w:w="1985" w:type="dxa"/>
            <w:tcBorders>
              <w:bottom w:val="nil"/>
            </w:tcBorders>
          </w:tcPr>
          <w:p w14:paraId="381D5CCA" w14:textId="77777777" w:rsidR="009B57ED" w:rsidRPr="00510442" w:rsidRDefault="00FB6F17" w:rsidP="003179A4">
            <w:pPr>
              <w:pStyle w:val="EndnoteText"/>
              <w:keepNext/>
              <w:widowControl w:val="0"/>
              <w:tabs>
                <w:tab w:val="clear" w:pos="567"/>
              </w:tabs>
              <w:jc w:val="center"/>
              <w:rPr>
                <w:color w:val="000000"/>
                <w:szCs w:val="22"/>
                <w:lang w:val="hr-HR"/>
              </w:rPr>
            </w:pPr>
            <w:r w:rsidRPr="00510442">
              <w:rPr>
                <w:color w:val="000000"/>
                <w:szCs w:val="22"/>
                <w:lang w:val="hr-HR"/>
              </w:rPr>
              <w:t xml:space="preserve">Studija </w:t>
            </w:r>
            <w:r w:rsidR="009B57ED" w:rsidRPr="00510442">
              <w:rPr>
                <w:color w:val="000000"/>
                <w:szCs w:val="22"/>
                <w:lang w:val="hr-HR"/>
              </w:rPr>
              <w:t>0109</w:t>
            </w:r>
          </w:p>
          <w:p w14:paraId="597D702C" w14:textId="77777777" w:rsidR="009B57ED" w:rsidRPr="00510442" w:rsidRDefault="009B57ED" w:rsidP="003179A4">
            <w:pPr>
              <w:pStyle w:val="EndnoteText"/>
              <w:keepNext/>
              <w:widowControl w:val="0"/>
              <w:tabs>
                <w:tab w:val="clear" w:pos="567"/>
              </w:tabs>
              <w:ind w:left="-163" w:right="-194"/>
              <w:jc w:val="center"/>
              <w:rPr>
                <w:color w:val="000000"/>
                <w:szCs w:val="22"/>
                <w:lang w:val="hr-HR"/>
              </w:rPr>
            </w:pPr>
            <w:r w:rsidRPr="00510442">
              <w:rPr>
                <w:color w:val="000000"/>
                <w:szCs w:val="22"/>
                <w:lang w:val="hr-HR"/>
              </w:rPr>
              <w:t>40</w:t>
            </w:r>
            <w:r w:rsidR="0034380D" w:rsidRPr="00510442">
              <w:rPr>
                <w:color w:val="000000"/>
                <w:szCs w:val="22"/>
                <w:lang w:val="hr-HR"/>
              </w:rPr>
              <w:t>,</w:t>
            </w:r>
            <w:r w:rsidRPr="00510442">
              <w:rPr>
                <w:color w:val="000000"/>
                <w:szCs w:val="22"/>
                <w:lang w:val="hr-HR"/>
              </w:rPr>
              <w:t>5-</w:t>
            </w:r>
            <w:r w:rsidR="00FB6F17" w:rsidRPr="00510442">
              <w:rPr>
                <w:szCs w:val="22"/>
                <w:lang w:val="hr-HR"/>
              </w:rPr>
              <w:t>mjesečni podaci</w:t>
            </w:r>
          </w:p>
          <w:p w14:paraId="3C452A11" w14:textId="77777777" w:rsidR="009B57ED" w:rsidRPr="00510442" w:rsidRDefault="00FB6F17" w:rsidP="003179A4">
            <w:pPr>
              <w:pStyle w:val="EndnoteText"/>
              <w:keepNext/>
              <w:widowControl w:val="0"/>
              <w:tabs>
                <w:tab w:val="clear" w:pos="567"/>
              </w:tabs>
              <w:jc w:val="center"/>
              <w:rPr>
                <w:color w:val="000000"/>
                <w:szCs w:val="22"/>
                <w:lang w:val="hr-HR"/>
              </w:rPr>
            </w:pPr>
            <w:r w:rsidRPr="00510442">
              <w:rPr>
                <w:szCs w:val="22"/>
                <w:lang w:val="hr-HR"/>
              </w:rPr>
              <w:t>Ubrzana faza</w:t>
            </w:r>
          </w:p>
          <w:p w14:paraId="446B9F19" w14:textId="77777777" w:rsidR="009B57ED" w:rsidRPr="00510442" w:rsidRDefault="009B57ED" w:rsidP="003179A4">
            <w:pPr>
              <w:pStyle w:val="EndnoteText"/>
              <w:keepNext/>
              <w:widowControl w:val="0"/>
              <w:tabs>
                <w:tab w:val="clear" w:pos="567"/>
              </w:tabs>
              <w:jc w:val="center"/>
              <w:rPr>
                <w:color w:val="000000"/>
                <w:szCs w:val="22"/>
                <w:lang w:val="hr-HR"/>
              </w:rPr>
            </w:pPr>
            <w:r w:rsidRPr="00510442">
              <w:rPr>
                <w:color w:val="000000"/>
                <w:szCs w:val="22"/>
                <w:lang w:val="hr-HR"/>
              </w:rPr>
              <w:t>(n=235)</w:t>
            </w:r>
          </w:p>
        </w:tc>
        <w:tc>
          <w:tcPr>
            <w:tcW w:w="1929" w:type="dxa"/>
            <w:tcBorders>
              <w:bottom w:val="nil"/>
            </w:tcBorders>
          </w:tcPr>
          <w:p w14:paraId="6FC36283" w14:textId="77777777" w:rsidR="009B57ED" w:rsidRPr="00510442" w:rsidRDefault="00FB6F17" w:rsidP="003179A4">
            <w:pPr>
              <w:pStyle w:val="EndnoteText"/>
              <w:keepNext/>
              <w:widowControl w:val="0"/>
              <w:tabs>
                <w:tab w:val="clear" w:pos="567"/>
              </w:tabs>
              <w:jc w:val="center"/>
              <w:rPr>
                <w:color w:val="000000"/>
                <w:szCs w:val="22"/>
                <w:lang w:val="hr-HR"/>
              </w:rPr>
            </w:pPr>
            <w:r w:rsidRPr="00510442">
              <w:rPr>
                <w:color w:val="000000"/>
                <w:szCs w:val="22"/>
                <w:lang w:val="hr-HR"/>
              </w:rPr>
              <w:t xml:space="preserve">Studija </w:t>
            </w:r>
            <w:r w:rsidR="009B57ED" w:rsidRPr="00510442">
              <w:rPr>
                <w:color w:val="000000"/>
                <w:szCs w:val="22"/>
                <w:lang w:val="hr-HR"/>
              </w:rPr>
              <w:t>0102</w:t>
            </w:r>
          </w:p>
          <w:p w14:paraId="35A73307" w14:textId="77777777" w:rsidR="009B57ED" w:rsidRPr="00510442" w:rsidRDefault="009B57ED" w:rsidP="003179A4">
            <w:pPr>
              <w:pStyle w:val="EndnoteText"/>
              <w:keepNext/>
              <w:widowControl w:val="0"/>
              <w:tabs>
                <w:tab w:val="clear" w:pos="567"/>
              </w:tabs>
              <w:ind w:left="-164" w:right="-108"/>
              <w:jc w:val="center"/>
              <w:rPr>
                <w:color w:val="000000"/>
                <w:szCs w:val="22"/>
                <w:lang w:val="hr-HR"/>
              </w:rPr>
            </w:pPr>
            <w:r w:rsidRPr="00510442">
              <w:rPr>
                <w:color w:val="000000"/>
                <w:szCs w:val="22"/>
                <w:lang w:val="hr-HR"/>
              </w:rPr>
              <w:t>38-</w:t>
            </w:r>
            <w:r w:rsidR="00FB6F17" w:rsidRPr="00510442">
              <w:rPr>
                <w:szCs w:val="22"/>
                <w:lang w:val="hr-HR"/>
              </w:rPr>
              <w:t>mjesečni podaci</w:t>
            </w:r>
          </w:p>
          <w:p w14:paraId="6A5D5BB2" w14:textId="77777777" w:rsidR="009B57ED" w:rsidRPr="00510442" w:rsidRDefault="00FB6F17" w:rsidP="003179A4">
            <w:pPr>
              <w:pStyle w:val="EndnoteText"/>
              <w:keepNext/>
              <w:widowControl w:val="0"/>
              <w:tabs>
                <w:tab w:val="clear" w:pos="567"/>
              </w:tabs>
              <w:jc w:val="center"/>
              <w:rPr>
                <w:color w:val="000000"/>
                <w:szCs w:val="22"/>
                <w:lang w:val="hr-HR"/>
              </w:rPr>
            </w:pPr>
            <w:r w:rsidRPr="00510442">
              <w:rPr>
                <w:szCs w:val="22"/>
                <w:lang w:val="hr-HR"/>
              </w:rPr>
              <w:t>Mijeloična blastična kriza</w:t>
            </w:r>
          </w:p>
          <w:p w14:paraId="1A93B8CC" w14:textId="77777777" w:rsidR="009B57ED" w:rsidRPr="00510442" w:rsidRDefault="009B57ED" w:rsidP="003179A4">
            <w:pPr>
              <w:pStyle w:val="EndnoteText"/>
              <w:keepNext/>
              <w:widowControl w:val="0"/>
              <w:tabs>
                <w:tab w:val="clear" w:pos="567"/>
              </w:tabs>
              <w:jc w:val="center"/>
              <w:rPr>
                <w:color w:val="000000"/>
                <w:szCs w:val="22"/>
                <w:lang w:val="hr-HR"/>
              </w:rPr>
            </w:pPr>
            <w:r w:rsidRPr="00510442">
              <w:rPr>
                <w:color w:val="000000"/>
                <w:szCs w:val="22"/>
                <w:lang w:val="hr-HR"/>
              </w:rPr>
              <w:t>(n=260)</w:t>
            </w:r>
          </w:p>
        </w:tc>
      </w:tr>
      <w:tr w:rsidR="009B57ED" w:rsidRPr="00510442" w14:paraId="6E8482CF" w14:textId="77777777" w:rsidTr="003179A4">
        <w:trPr>
          <w:cantSplit/>
        </w:trPr>
        <w:tc>
          <w:tcPr>
            <w:tcW w:w="3085" w:type="dxa"/>
            <w:tcBorders>
              <w:bottom w:val="nil"/>
            </w:tcBorders>
          </w:tcPr>
          <w:p w14:paraId="1CE0FEAA" w14:textId="77777777" w:rsidR="009B57ED" w:rsidRPr="00510442" w:rsidRDefault="009B57ED" w:rsidP="003179A4">
            <w:pPr>
              <w:pStyle w:val="EndnoteText"/>
              <w:keepNext/>
              <w:widowControl w:val="0"/>
              <w:tabs>
                <w:tab w:val="clear" w:pos="567"/>
              </w:tabs>
              <w:rPr>
                <w:color w:val="000000"/>
                <w:szCs w:val="22"/>
                <w:lang w:val="hr-HR"/>
              </w:rPr>
            </w:pPr>
          </w:p>
        </w:tc>
        <w:tc>
          <w:tcPr>
            <w:tcW w:w="5954" w:type="dxa"/>
            <w:gridSpan w:val="3"/>
            <w:tcBorders>
              <w:bottom w:val="nil"/>
            </w:tcBorders>
          </w:tcPr>
          <w:p w14:paraId="7E967E9F" w14:textId="77777777" w:rsidR="009B57ED" w:rsidRPr="00510442" w:rsidRDefault="009B57ED" w:rsidP="003179A4">
            <w:pPr>
              <w:pStyle w:val="EndnoteText"/>
              <w:keepNext/>
              <w:widowControl w:val="0"/>
              <w:tabs>
                <w:tab w:val="clear" w:pos="567"/>
              </w:tabs>
              <w:jc w:val="center"/>
              <w:rPr>
                <w:color w:val="000000"/>
                <w:szCs w:val="22"/>
                <w:lang w:val="hr-HR"/>
              </w:rPr>
            </w:pPr>
            <w:r w:rsidRPr="00510442">
              <w:rPr>
                <w:color w:val="000000"/>
                <w:szCs w:val="22"/>
                <w:lang w:val="hr-HR"/>
              </w:rPr>
              <w:t xml:space="preserve">% </w:t>
            </w:r>
            <w:r w:rsidR="00AE7C83" w:rsidRPr="00510442">
              <w:rPr>
                <w:szCs w:val="22"/>
                <w:lang w:val="hr-HR"/>
              </w:rPr>
              <w:t xml:space="preserve">bolesnika </w:t>
            </w:r>
            <w:r w:rsidRPr="00510442">
              <w:rPr>
                <w:color w:val="000000"/>
                <w:szCs w:val="22"/>
                <w:lang w:val="hr-HR"/>
              </w:rPr>
              <w:t>(CI</w:t>
            </w:r>
            <w:r w:rsidRPr="00510442">
              <w:rPr>
                <w:color w:val="000000"/>
                <w:szCs w:val="22"/>
                <w:vertAlign w:val="subscript"/>
                <w:lang w:val="hr-HR"/>
              </w:rPr>
              <w:t>95%</w:t>
            </w:r>
            <w:r w:rsidRPr="00510442">
              <w:rPr>
                <w:color w:val="000000"/>
                <w:szCs w:val="22"/>
                <w:lang w:val="hr-HR"/>
              </w:rPr>
              <w:t>)</w:t>
            </w:r>
          </w:p>
        </w:tc>
      </w:tr>
      <w:tr w:rsidR="009B57ED" w:rsidRPr="00510442" w14:paraId="07778991" w14:textId="77777777" w:rsidTr="003179A4">
        <w:trPr>
          <w:cantSplit/>
        </w:trPr>
        <w:tc>
          <w:tcPr>
            <w:tcW w:w="3085" w:type="dxa"/>
            <w:tcBorders>
              <w:bottom w:val="nil"/>
            </w:tcBorders>
          </w:tcPr>
          <w:p w14:paraId="6C9B3283" w14:textId="77777777" w:rsidR="009B57ED" w:rsidRPr="00510442" w:rsidRDefault="00AE7C83" w:rsidP="003179A4">
            <w:pPr>
              <w:pStyle w:val="EndnoteText"/>
              <w:keepNext/>
              <w:widowControl w:val="0"/>
              <w:tabs>
                <w:tab w:val="clear" w:pos="567"/>
              </w:tabs>
              <w:rPr>
                <w:color w:val="000000"/>
                <w:szCs w:val="22"/>
                <w:lang w:val="hr-HR"/>
              </w:rPr>
            </w:pPr>
            <w:r w:rsidRPr="00510442">
              <w:rPr>
                <w:szCs w:val="22"/>
                <w:lang w:val="hr-HR"/>
              </w:rPr>
              <w:t>Hematološki odgovor</w:t>
            </w:r>
            <w:r w:rsidRPr="00510442">
              <w:rPr>
                <w:szCs w:val="22"/>
                <w:vertAlign w:val="superscript"/>
                <w:lang w:val="hr-HR"/>
              </w:rPr>
              <w:t>1</w:t>
            </w:r>
          </w:p>
        </w:tc>
        <w:tc>
          <w:tcPr>
            <w:tcW w:w="2040" w:type="dxa"/>
            <w:tcBorders>
              <w:bottom w:val="nil"/>
            </w:tcBorders>
          </w:tcPr>
          <w:p w14:paraId="18EDBA69" w14:textId="77777777" w:rsidR="009B57ED" w:rsidRPr="00510442" w:rsidRDefault="009B57ED" w:rsidP="003179A4">
            <w:pPr>
              <w:pStyle w:val="EndnoteText"/>
              <w:keepNext/>
              <w:widowControl w:val="0"/>
              <w:tabs>
                <w:tab w:val="clear" w:pos="567"/>
              </w:tabs>
              <w:jc w:val="center"/>
              <w:rPr>
                <w:color w:val="000000"/>
                <w:szCs w:val="22"/>
                <w:lang w:val="hr-HR"/>
              </w:rPr>
            </w:pPr>
            <w:r w:rsidRPr="00510442">
              <w:rPr>
                <w:color w:val="000000"/>
                <w:szCs w:val="22"/>
                <w:lang w:val="hr-HR"/>
              </w:rPr>
              <w:t>95% (92</w:t>
            </w:r>
            <w:r w:rsidR="00AE7C83" w:rsidRPr="00510442">
              <w:rPr>
                <w:color w:val="000000"/>
                <w:szCs w:val="22"/>
                <w:lang w:val="hr-HR"/>
              </w:rPr>
              <w:t>,</w:t>
            </w:r>
            <w:r w:rsidRPr="00510442">
              <w:rPr>
                <w:color w:val="000000"/>
                <w:szCs w:val="22"/>
                <w:lang w:val="hr-HR"/>
              </w:rPr>
              <w:t>3</w:t>
            </w:r>
            <w:r w:rsidR="00B3500D" w:rsidRPr="00510442">
              <w:rPr>
                <w:color w:val="000000"/>
                <w:szCs w:val="22"/>
                <w:lang w:val="hr-HR"/>
              </w:rPr>
              <w:noBreakHyphen/>
            </w:r>
            <w:r w:rsidRPr="00510442">
              <w:rPr>
                <w:color w:val="000000"/>
                <w:szCs w:val="22"/>
                <w:lang w:val="hr-HR"/>
              </w:rPr>
              <w:t>96</w:t>
            </w:r>
            <w:r w:rsidR="00AE7C83" w:rsidRPr="00510442">
              <w:rPr>
                <w:color w:val="000000"/>
                <w:szCs w:val="22"/>
                <w:lang w:val="hr-HR"/>
              </w:rPr>
              <w:t>,</w:t>
            </w:r>
            <w:r w:rsidRPr="00510442">
              <w:rPr>
                <w:color w:val="000000"/>
                <w:szCs w:val="22"/>
                <w:lang w:val="hr-HR"/>
              </w:rPr>
              <w:t>3)</w:t>
            </w:r>
          </w:p>
        </w:tc>
        <w:tc>
          <w:tcPr>
            <w:tcW w:w="1985" w:type="dxa"/>
            <w:tcBorders>
              <w:bottom w:val="nil"/>
            </w:tcBorders>
          </w:tcPr>
          <w:p w14:paraId="73151A7E" w14:textId="77777777" w:rsidR="009B57ED" w:rsidRPr="00510442" w:rsidRDefault="009B57ED" w:rsidP="003179A4">
            <w:pPr>
              <w:pStyle w:val="EndnoteText"/>
              <w:keepNext/>
              <w:widowControl w:val="0"/>
              <w:tabs>
                <w:tab w:val="clear" w:pos="567"/>
              </w:tabs>
              <w:jc w:val="center"/>
              <w:rPr>
                <w:color w:val="000000"/>
                <w:szCs w:val="22"/>
                <w:lang w:val="hr-HR"/>
              </w:rPr>
            </w:pPr>
            <w:r w:rsidRPr="00510442">
              <w:rPr>
                <w:color w:val="000000"/>
                <w:szCs w:val="22"/>
                <w:lang w:val="hr-HR"/>
              </w:rPr>
              <w:t>71% (65</w:t>
            </w:r>
            <w:r w:rsidR="00AE7C83" w:rsidRPr="00510442">
              <w:rPr>
                <w:color w:val="000000"/>
                <w:szCs w:val="22"/>
                <w:lang w:val="hr-HR"/>
              </w:rPr>
              <w:t>,</w:t>
            </w:r>
            <w:r w:rsidRPr="00510442">
              <w:rPr>
                <w:color w:val="000000"/>
                <w:szCs w:val="22"/>
                <w:lang w:val="hr-HR"/>
              </w:rPr>
              <w:t>3</w:t>
            </w:r>
            <w:r w:rsidR="00B3500D" w:rsidRPr="00510442">
              <w:rPr>
                <w:color w:val="000000"/>
                <w:szCs w:val="22"/>
                <w:lang w:val="hr-HR"/>
              </w:rPr>
              <w:noBreakHyphen/>
            </w:r>
            <w:r w:rsidRPr="00510442">
              <w:rPr>
                <w:color w:val="000000"/>
                <w:szCs w:val="22"/>
                <w:lang w:val="hr-HR"/>
              </w:rPr>
              <w:t>77</w:t>
            </w:r>
            <w:r w:rsidR="00AE7C83" w:rsidRPr="00510442">
              <w:rPr>
                <w:color w:val="000000"/>
                <w:szCs w:val="22"/>
                <w:lang w:val="hr-HR"/>
              </w:rPr>
              <w:t>,</w:t>
            </w:r>
            <w:r w:rsidRPr="00510442">
              <w:rPr>
                <w:color w:val="000000"/>
                <w:szCs w:val="22"/>
                <w:lang w:val="hr-HR"/>
              </w:rPr>
              <w:t>2)</w:t>
            </w:r>
          </w:p>
        </w:tc>
        <w:tc>
          <w:tcPr>
            <w:tcW w:w="1929" w:type="dxa"/>
            <w:tcBorders>
              <w:bottom w:val="nil"/>
            </w:tcBorders>
          </w:tcPr>
          <w:p w14:paraId="0BA65780" w14:textId="77777777" w:rsidR="009B57ED" w:rsidRPr="00510442" w:rsidRDefault="009B57ED" w:rsidP="003179A4">
            <w:pPr>
              <w:pStyle w:val="EndnoteText"/>
              <w:keepNext/>
              <w:widowControl w:val="0"/>
              <w:tabs>
                <w:tab w:val="clear" w:pos="567"/>
              </w:tabs>
              <w:jc w:val="center"/>
              <w:rPr>
                <w:color w:val="000000"/>
                <w:szCs w:val="22"/>
                <w:lang w:val="hr-HR"/>
              </w:rPr>
            </w:pPr>
            <w:r w:rsidRPr="00510442">
              <w:rPr>
                <w:color w:val="000000"/>
                <w:szCs w:val="22"/>
                <w:lang w:val="hr-HR"/>
              </w:rPr>
              <w:t>31% (25</w:t>
            </w:r>
            <w:r w:rsidR="00AE7C83" w:rsidRPr="00510442">
              <w:rPr>
                <w:color w:val="000000"/>
                <w:szCs w:val="22"/>
                <w:lang w:val="hr-HR"/>
              </w:rPr>
              <w:t>,</w:t>
            </w:r>
            <w:r w:rsidRPr="00510442">
              <w:rPr>
                <w:color w:val="000000"/>
                <w:szCs w:val="22"/>
                <w:lang w:val="hr-HR"/>
              </w:rPr>
              <w:t>2</w:t>
            </w:r>
            <w:r w:rsidR="00B3500D" w:rsidRPr="00510442">
              <w:rPr>
                <w:color w:val="000000"/>
                <w:szCs w:val="22"/>
                <w:lang w:val="hr-HR"/>
              </w:rPr>
              <w:noBreakHyphen/>
            </w:r>
            <w:r w:rsidRPr="00510442">
              <w:rPr>
                <w:color w:val="000000"/>
                <w:szCs w:val="22"/>
                <w:lang w:val="hr-HR"/>
              </w:rPr>
              <w:t>36</w:t>
            </w:r>
            <w:r w:rsidR="00AE7C83" w:rsidRPr="00510442">
              <w:rPr>
                <w:color w:val="000000"/>
                <w:szCs w:val="22"/>
                <w:lang w:val="hr-HR"/>
              </w:rPr>
              <w:t>,</w:t>
            </w:r>
            <w:r w:rsidRPr="00510442">
              <w:rPr>
                <w:color w:val="000000"/>
                <w:szCs w:val="22"/>
                <w:lang w:val="hr-HR"/>
              </w:rPr>
              <w:t>8)</w:t>
            </w:r>
          </w:p>
        </w:tc>
      </w:tr>
      <w:tr w:rsidR="009B57ED" w:rsidRPr="00510442" w14:paraId="75CA28BB" w14:textId="77777777" w:rsidTr="003179A4">
        <w:trPr>
          <w:cantSplit/>
        </w:trPr>
        <w:tc>
          <w:tcPr>
            <w:tcW w:w="3085" w:type="dxa"/>
            <w:tcBorders>
              <w:top w:val="nil"/>
              <w:bottom w:val="nil"/>
            </w:tcBorders>
          </w:tcPr>
          <w:p w14:paraId="0FE53EC5" w14:textId="77777777" w:rsidR="009B57ED" w:rsidRPr="00510442" w:rsidRDefault="00AE7C83" w:rsidP="003179A4">
            <w:pPr>
              <w:pStyle w:val="EndnoteText"/>
              <w:keepNext/>
              <w:widowControl w:val="0"/>
              <w:tabs>
                <w:tab w:val="clear" w:pos="567"/>
              </w:tabs>
              <w:ind w:left="284"/>
              <w:rPr>
                <w:color w:val="000000"/>
                <w:szCs w:val="22"/>
                <w:lang w:val="hr-HR"/>
              </w:rPr>
            </w:pPr>
            <w:r w:rsidRPr="00510442">
              <w:rPr>
                <w:szCs w:val="22"/>
                <w:lang w:val="hr-HR"/>
              </w:rPr>
              <w:t>Potpuni hematološki odgovor (CHR)</w:t>
            </w:r>
          </w:p>
        </w:tc>
        <w:tc>
          <w:tcPr>
            <w:tcW w:w="2040" w:type="dxa"/>
            <w:tcBorders>
              <w:top w:val="nil"/>
              <w:bottom w:val="nil"/>
            </w:tcBorders>
          </w:tcPr>
          <w:p w14:paraId="68A5BCCB" w14:textId="77777777" w:rsidR="009B57ED" w:rsidRPr="00510442" w:rsidRDefault="009B57ED" w:rsidP="003179A4">
            <w:pPr>
              <w:pStyle w:val="EndnoteText"/>
              <w:keepNext/>
              <w:widowControl w:val="0"/>
              <w:tabs>
                <w:tab w:val="clear" w:pos="567"/>
              </w:tabs>
              <w:jc w:val="center"/>
              <w:rPr>
                <w:color w:val="000000"/>
                <w:szCs w:val="22"/>
                <w:lang w:val="hr-HR"/>
              </w:rPr>
            </w:pPr>
            <w:r w:rsidRPr="00510442">
              <w:rPr>
                <w:color w:val="000000"/>
                <w:szCs w:val="22"/>
                <w:lang w:val="hr-HR"/>
              </w:rPr>
              <w:t>95%</w:t>
            </w:r>
          </w:p>
        </w:tc>
        <w:tc>
          <w:tcPr>
            <w:tcW w:w="1985" w:type="dxa"/>
            <w:tcBorders>
              <w:top w:val="nil"/>
              <w:bottom w:val="nil"/>
            </w:tcBorders>
          </w:tcPr>
          <w:p w14:paraId="39489E8C" w14:textId="77777777" w:rsidR="009B57ED" w:rsidRPr="00510442" w:rsidRDefault="009B57ED" w:rsidP="003179A4">
            <w:pPr>
              <w:pStyle w:val="EndnoteText"/>
              <w:keepNext/>
              <w:widowControl w:val="0"/>
              <w:tabs>
                <w:tab w:val="clear" w:pos="567"/>
              </w:tabs>
              <w:jc w:val="center"/>
              <w:rPr>
                <w:color w:val="000000"/>
                <w:szCs w:val="22"/>
                <w:lang w:val="hr-HR"/>
              </w:rPr>
            </w:pPr>
            <w:r w:rsidRPr="00510442">
              <w:rPr>
                <w:color w:val="000000"/>
                <w:szCs w:val="22"/>
                <w:lang w:val="hr-HR"/>
              </w:rPr>
              <w:t>42%</w:t>
            </w:r>
          </w:p>
        </w:tc>
        <w:tc>
          <w:tcPr>
            <w:tcW w:w="1929" w:type="dxa"/>
            <w:tcBorders>
              <w:top w:val="nil"/>
              <w:bottom w:val="nil"/>
            </w:tcBorders>
          </w:tcPr>
          <w:p w14:paraId="31F742CB" w14:textId="77777777" w:rsidR="009B57ED" w:rsidRPr="00510442" w:rsidRDefault="009B57ED" w:rsidP="003179A4">
            <w:pPr>
              <w:pStyle w:val="EndnoteText"/>
              <w:keepNext/>
              <w:widowControl w:val="0"/>
              <w:tabs>
                <w:tab w:val="clear" w:pos="567"/>
              </w:tabs>
              <w:jc w:val="center"/>
              <w:rPr>
                <w:color w:val="000000"/>
                <w:szCs w:val="22"/>
                <w:lang w:val="hr-HR"/>
              </w:rPr>
            </w:pPr>
            <w:r w:rsidRPr="00510442">
              <w:rPr>
                <w:color w:val="000000"/>
                <w:szCs w:val="22"/>
                <w:lang w:val="hr-HR"/>
              </w:rPr>
              <w:t>8%</w:t>
            </w:r>
          </w:p>
        </w:tc>
      </w:tr>
      <w:tr w:rsidR="009B57ED" w:rsidRPr="00510442" w14:paraId="7FB5949B" w14:textId="77777777" w:rsidTr="003179A4">
        <w:trPr>
          <w:cantSplit/>
        </w:trPr>
        <w:tc>
          <w:tcPr>
            <w:tcW w:w="3085" w:type="dxa"/>
            <w:tcBorders>
              <w:top w:val="nil"/>
              <w:bottom w:val="nil"/>
            </w:tcBorders>
          </w:tcPr>
          <w:p w14:paraId="6789769B" w14:textId="77777777" w:rsidR="009B57ED" w:rsidRPr="00510442" w:rsidRDefault="00AE7C83" w:rsidP="003179A4">
            <w:pPr>
              <w:pStyle w:val="EndnoteText"/>
              <w:keepNext/>
              <w:widowControl w:val="0"/>
              <w:tabs>
                <w:tab w:val="clear" w:pos="567"/>
              </w:tabs>
              <w:ind w:left="284"/>
              <w:rPr>
                <w:color w:val="000000"/>
                <w:szCs w:val="22"/>
                <w:lang w:val="hr-HR"/>
              </w:rPr>
            </w:pPr>
            <w:r w:rsidRPr="00510442">
              <w:rPr>
                <w:szCs w:val="22"/>
                <w:lang w:val="hr-HR"/>
              </w:rPr>
              <w:t>Nema dokaza leukemije</w:t>
            </w:r>
            <w:r w:rsidRPr="00510442">
              <w:rPr>
                <w:color w:val="000000"/>
                <w:szCs w:val="22"/>
                <w:lang w:val="hr-HR"/>
              </w:rPr>
              <w:t xml:space="preserve"> </w:t>
            </w:r>
            <w:r w:rsidR="009B57ED" w:rsidRPr="00510442">
              <w:rPr>
                <w:color w:val="000000"/>
                <w:szCs w:val="22"/>
                <w:lang w:val="hr-HR"/>
              </w:rPr>
              <w:t>(NEL)</w:t>
            </w:r>
          </w:p>
        </w:tc>
        <w:tc>
          <w:tcPr>
            <w:tcW w:w="2040" w:type="dxa"/>
            <w:tcBorders>
              <w:top w:val="nil"/>
              <w:bottom w:val="nil"/>
            </w:tcBorders>
          </w:tcPr>
          <w:p w14:paraId="1F980F12" w14:textId="77777777" w:rsidR="009B57ED" w:rsidRPr="00510442" w:rsidRDefault="00AE7C83" w:rsidP="003179A4">
            <w:pPr>
              <w:pStyle w:val="EndnoteText"/>
              <w:keepNext/>
              <w:widowControl w:val="0"/>
              <w:tabs>
                <w:tab w:val="clear" w:pos="567"/>
              </w:tabs>
              <w:jc w:val="center"/>
              <w:rPr>
                <w:color w:val="000000"/>
                <w:szCs w:val="22"/>
                <w:lang w:val="hr-HR"/>
              </w:rPr>
            </w:pPr>
            <w:r w:rsidRPr="00510442">
              <w:rPr>
                <w:szCs w:val="22"/>
                <w:lang w:val="hr-HR"/>
              </w:rPr>
              <w:t>nije primjenjivo</w:t>
            </w:r>
          </w:p>
        </w:tc>
        <w:tc>
          <w:tcPr>
            <w:tcW w:w="1985" w:type="dxa"/>
            <w:tcBorders>
              <w:top w:val="nil"/>
              <w:bottom w:val="nil"/>
            </w:tcBorders>
          </w:tcPr>
          <w:p w14:paraId="2786FB8F" w14:textId="77777777" w:rsidR="009B57ED" w:rsidRPr="00510442" w:rsidRDefault="009B57ED" w:rsidP="003179A4">
            <w:pPr>
              <w:pStyle w:val="EndnoteText"/>
              <w:keepNext/>
              <w:widowControl w:val="0"/>
              <w:tabs>
                <w:tab w:val="clear" w:pos="567"/>
              </w:tabs>
              <w:jc w:val="center"/>
              <w:rPr>
                <w:color w:val="000000"/>
                <w:szCs w:val="22"/>
                <w:lang w:val="hr-HR"/>
              </w:rPr>
            </w:pPr>
            <w:r w:rsidRPr="00510442">
              <w:rPr>
                <w:color w:val="000000"/>
                <w:szCs w:val="22"/>
                <w:lang w:val="hr-HR"/>
              </w:rPr>
              <w:t>12%</w:t>
            </w:r>
          </w:p>
        </w:tc>
        <w:tc>
          <w:tcPr>
            <w:tcW w:w="1929" w:type="dxa"/>
            <w:tcBorders>
              <w:top w:val="nil"/>
              <w:bottom w:val="nil"/>
            </w:tcBorders>
          </w:tcPr>
          <w:p w14:paraId="006D6483" w14:textId="77777777" w:rsidR="009B57ED" w:rsidRPr="00510442" w:rsidRDefault="009B57ED" w:rsidP="003179A4">
            <w:pPr>
              <w:pStyle w:val="EndnoteText"/>
              <w:keepNext/>
              <w:widowControl w:val="0"/>
              <w:tabs>
                <w:tab w:val="clear" w:pos="567"/>
              </w:tabs>
              <w:jc w:val="center"/>
              <w:rPr>
                <w:color w:val="000000"/>
                <w:szCs w:val="22"/>
                <w:lang w:val="hr-HR"/>
              </w:rPr>
            </w:pPr>
            <w:r w:rsidRPr="00510442">
              <w:rPr>
                <w:color w:val="000000"/>
                <w:szCs w:val="22"/>
                <w:lang w:val="hr-HR"/>
              </w:rPr>
              <w:t>5%</w:t>
            </w:r>
          </w:p>
        </w:tc>
      </w:tr>
      <w:tr w:rsidR="009B57ED" w:rsidRPr="00510442" w14:paraId="73AD959A" w14:textId="77777777" w:rsidTr="003179A4">
        <w:trPr>
          <w:cantSplit/>
        </w:trPr>
        <w:tc>
          <w:tcPr>
            <w:tcW w:w="3085" w:type="dxa"/>
            <w:tcBorders>
              <w:top w:val="nil"/>
              <w:bottom w:val="nil"/>
            </w:tcBorders>
          </w:tcPr>
          <w:p w14:paraId="74130627" w14:textId="77777777" w:rsidR="009B57ED" w:rsidRPr="00510442" w:rsidRDefault="00AE7C83" w:rsidP="003179A4">
            <w:pPr>
              <w:pStyle w:val="EndnoteText"/>
              <w:keepNext/>
              <w:widowControl w:val="0"/>
              <w:tabs>
                <w:tab w:val="clear" w:pos="567"/>
              </w:tabs>
              <w:ind w:left="284"/>
              <w:rPr>
                <w:color w:val="000000"/>
                <w:szCs w:val="22"/>
                <w:lang w:val="hr-HR"/>
              </w:rPr>
            </w:pPr>
            <w:r w:rsidRPr="00510442">
              <w:rPr>
                <w:szCs w:val="22"/>
                <w:lang w:val="hr-HR"/>
              </w:rPr>
              <w:t xml:space="preserve">Vraćanje na kroničnu fazu </w:t>
            </w:r>
            <w:r w:rsidR="009B57ED" w:rsidRPr="00510442">
              <w:rPr>
                <w:color w:val="000000"/>
                <w:szCs w:val="22"/>
                <w:lang w:val="hr-HR"/>
              </w:rPr>
              <w:t>(</w:t>
            </w:r>
            <w:smartTag w:uri="urn:schemas-microsoft-com:office:smarttags" w:element="stockticker">
              <w:r w:rsidR="009B57ED" w:rsidRPr="00510442">
                <w:rPr>
                  <w:color w:val="000000"/>
                  <w:szCs w:val="22"/>
                  <w:lang w:val="hr-HR"/>
                </w:rPr>
                <w:t>RTC</w:t>
              </w:r>
            </w:smartTag>
            <w:r w:rsidR="009B57ED" w:rsidRPr="00510442">
              <w:rPr>
                <w:color w:val="000000"/>
                <w:szCs w:val="22"/>
                <w:lang w:val="hr-HR"/>
              </w:rPr>
              <w:t>)</w:t>
            </w:r>
          </w:p>
        </w:tc>
        <w:tc>
          <w:tcPr>
            <w:tcW w:w="2040" w:type="dxa"/>
            <w:tcBorders>
              <w:top w:val="nil"/>
              <w:bottom w:val="nil"/>
            </w:tcBorders>
          </w:tcPr>
          <w:p w14:paraId="18DFF7B0" w14:textId="77777777" w:rsidR="009B57ED" w:rsidRPr="00510442" w:rsidRDefault="00AE7C83" w:rsidP="003179A4">
            <w:pPr>
              <w:pStyle w:val="EndnoteText"/>
              <w:keepNext/>
              <w:widowControl w:val="0"/>
              <w:tabs>
                <w:tab w:val="clear" w:pos="567"/>
              </w:tabs>
              <w:jc w:val="center"/>
              <w:rPr>
                <w:color w:val="000000"/>
                <w:szCs w:val="22"/>
                <w:lang w:val="hr-HR"/>
              </w:rPr>
            </w:pPr>
            <w:r w:rsidRPr="00510442">
              <w:rPr>
                <w:szCs w:val="22"/>
                <w:lang w:val="hr-HR"/>
              </w:rPr>
              <w:t>nije primjenjivo</w:t>
            </w:r>
          </w:p>
        </w:tc>
        <w:tc>
          <w:tcPr>
            <w:tcW w:w="1985" w:type="dxa"/>
            <w:tcBorders>
              <w:top w:val="nil"/>
              <w:bottom w:val="nil"/>
            </w:tcBorders>
          </w:tcPr>
          <w:p w14:paraId="632DD59B" w14:textId="77777777" w:rsidR="009B57ED" w:rsidRPr="00510442" w:rsidRDefault="009B57ED" w:rsidP="003179A4">
            <w:pPr>
              <w:pStyle w:val="EndnoteText"/>
              <w:keepNext/>
              <w:widowControl w:val="0"/>
              <w:tabs>
                <w:tab w:val="clear" w:pos="567"/>
              </w:tabs>
              <w:jc w:val="center"/>
              <w:rPr>
                <w:color w:val="000000"/>
                <w:szCs w:val="22"/>
                <w:lang w:val="hr-HR"/>
              </w:rPr>
            </w:pPr>
            <w:r w:rsidRPr="00510442">
              <w:rPr>
                <w:color w:val="000000"/>
                <w:szCs w:val="22"/>
                <w:lang w:val="hr-HR"/>
              </w:rPr>
              <w:t>17%</w:t>
            </w:r>
          </w:p>
        </w:tc>
        <w:tc>
          <w:tcPr>
            <w:tcW w:w="1929" w:type="dxa"/>
            <w:tcBorders>
              <w:top w:val="nil"/>
              <w:bottom w:val="nil"/>
            </w:tcBorders>
          </w:tcPr>
          <w:p w14:paraId="70687DC3" w14:textId="77777777" w:rsidR="009B57ED" w:rsidRPr="00510442" w:rsidRDefault="009B57ED" w:rsidP="003179A4">
            <w:pPr>
              <w:pStyle w:val="EndnoteText"/>
              <w:keepNext/>
              <w:widowControl w:val="0"/>
              <w:tabs>
                <w:tab w:val="clear" w:pos="567"/>
              </w:tabs>
              <w:jc w:val="center"/>
              <w:rPr>
                <w:color w:val="000000"/>
                <w:szCs w:val="22"/>
                <w:lang w:val="hr-HR"/>
              </w:rPr>
            </w:pPr>
            <w:r w:rsidRPr="00510442">
              <w:rPr>
                <w:color w:val="000000"/>
                <w:szCs w:val="22"/>
                <w:lang w:val="hr-HR"/>
              </w:rPr>
              <w:t>18%</w:t>
            </w:r>
          </w:p>
        </w:tc>
      </w:tr>
      <w:tr w:rsidR="009B57ED" w:rsidRPr="00510442" w14:paraId="7E32D24A" w14:textId="77777777" w:rsidTr="003179A4">
        <w:trPr>
          <w:cantSplit/>
        </w:trPr>
        <w:tc>
          <w:tcPr>
            <w:tcW w:w="3085" w:type="dxa"/>
            <w:tcBorders>
              <w:bottom w:val="nil"/>
            </w:tcBorders>
          </w:tcPr>
          <w:p w14:paraId="65512736" w14:textId="77777777" w:rsidR="009B57ED" w:rsidRPr="00510442" w:rsidRDefault="00AE7C83" w:rsidP="003179A4">
            <w:pPr>
              <w:pStyle w:val="EndnoteText"/>
              <w:keepNext/>
              <w:widowControl w:val="0"/>
              <w:tabs>
                <w:tab w:val="clear" w:pos="567"/>
              </w:tabs>
              <w:rPr>
                <w:color w:val="000000"/>
                <w:szCs w:val="22"/>
                <w:lang w:val="hr-HR"/>
              </w:rPr>
            </w:pPr>
            <w:r w:rsidRPr="00510442">
              <w:rPr>
                <w:szCs w:val="22"/>
                <w:lang w:val="hr-HR"/>
              </w:rPr>
              <w:t>Veliki citogenetski odgovor</w:t>
            </w:r>
            <w:r w:rsidRPr="00510442">
              <w:rPr>
                <w:szCs w:val="22"/>
                <w:vertAlign w:val="superscript"/>
                <w:lang w:val="hr-HR"/>
              </w:rPr>
              <w:t>2</w:t>
            </w:r>
          </w:p>
        </w:tc>
        <w:tc>
          <w:tcPr>
            <w:tcW w:w="2040" w:type="dxa"/>
            <w:tcBorders>
              <w:bottom w:val="nil"/>
            </w:tcBorders>
          </w:tcPr>
          <w:p w14:paraId="755A1C9A" w14:textId="77777777" w:rsidR="009B57ED" w:rsidRPr="00510442" w:rsidRDefault="009B57ED" w:rsidP="003179A4">
            <w:pPr>
              <w:pStyle w:val="EndnoteText"/>
              <w:keepNext/>
              <w:widowControl w:val="0"/>
              <w:tabs>
                <w:tab w:val="clear" w:pos="567"/>
              </w:tabs>
              <w:jc w:val="center"/>
              <w:rPr>
                <w:color w:val="000000"/>
                <w:szCs w:val="22"/>
                <w:lang w:val="hr-HR"/>
              </w:rPr>
            </w:pPr>
            <w:r w:rsidRPr="00510442">
              <w:rPr>
                <w:color w:val="000000"/>
                <w:szCs w:val="22"/>
                <w:lang w:val="hr-HR"/>
              </w:rPr>
              <w:t>65% (61</w:t>
            </w:r>
            <w:r w:rsidR="00AE7C83" w:rsidRPr="00510442">
              <w:rPr>
                <w:color w:val="000000"/>
                <w:szCs w:val="22"/>
                <w:lang w:val="hr-HR"/>
              </w:rPr>
              <w:t>,</w:t>
            </w:r>
            <w:r w:rsidRPr="00510442">
              <w:rPr>
                <w:color w:val="000000"/>
                <w:szCs w:val="22"/>
                <w:lang w:val="hr-HR"/>
              </w:rPr>
              <w:t>2</w:t>
            </w:r>
            <w:r w:rsidR="00B3500D" w:rsidRPr="00510442">
              <w:rPr>
                <w:color w:val="000000"/>
                <w:szCs w:val="22"/>
                <w:lang w:val="hr-HR"/>
              </w:rPr>
              <w:noBreakHyphen/>
            </w:r>
            <w:r w:rsidRPr="00510442">
              <w:rPr>
                <w:color w:val="000000"/>
                <w:szCs w:val="22"/>
                <w:lang w:val="hr-HR"/>
              </w:rPr>
              <w:t>69</w:t>
            </w:r>
            <w:r w:rsidR="00AE7C83" w:rsidRPr="00510442">
              <w:rPr>
                <w:color w:val="000000"/>
                <w:szCs w:val="22"/>
                <w:lang w:val="hr-HR"/>
              </w:rPr>
              <w:t>,</w:t>
            </w:r>
            <w:r w:rsidRPr="00510442">
              <w:rPr>
                <w:color w:val="000000"/>
                <w:szCs w:val="22"/>
                <w:lang w:val="hr-HR"/>
              </w:rPr>
              <w:t>5)</w:t>
            </w:r>
          </w:p>
        </w:tc>
        <w:tc>
          <w:tcPr>
            <w:tcW w:w="1985" w:type="dxa"/>
            <w:tcBorders>
              <w:bottom w:val="nil"/>
            </w:tcBorders>
          </w:tcPr>
          <w:p w14:paraId="1D0845EB" w14:textId="77777777" w:rsidR="009B57ED" w:rsidRPr="00510442" w:rsidRDefault="009B57ED" w:rsidP="003179A4">
            <w:pPr>
              <w:pStyle w:val="EndnoteText"/>
              <w:keepNext/>
              <w:widowControl w:val="0"/>
              <w:tabs>
                <w:tab w:val="clear" w:pos="567"/>
              </w:tabs>
              <w:jc w:val="center"/>
              <w:rPr>
                <w:color w:val="000000"/>
                <w:szCs w:val="22"/>
                <w:lang w:val="hr-HR"/>
              </w:rPr>
            </w:pPr>
            <w:r w:rsidRPr="00510442">
              <w:rPr>
                <w:color w:val="000000"/>
                <w:szCs w:val="22"/>
                <w:lang w:val="hr-HR"/>
              </w:rPr>
              <w:t>28% (22</w:t>
            </w:r>
            <w:r w:rsidR="00D02FCC" w:rsidRPr="00510442">
              <w:rPr>
                <w:color w:val="000000"/>
                <w:szCs w:val="22"/>
                <w:lang w:val="hr-HR"/>
              </w:rPr>
              <w:t>,</w:t>
            </w:r>
            <w:r w:rsidRPr="00510442">
              <w:rPr>
                <w:color w:val="000000"/>
                <w:szCs w:val="22"/>
                <w:lang w:val="hr-HR"/>
              </w:rPr>
              <w:t>0</w:t>
            </w:r>
            <w:r w:rsidR="00B3500D" w:rsidRPr="00510442">
              <w:rPr>
                <w:color w:val="000000"/>
                <w:szCs w:val="22"/>
                <w:lang w:val="hr-HR"/>
              </w:rPr>
              <w:noBreakHyphen/>
            </w:r>
            <w:r w:rsidRPr="00510442">
              <w:rPr>
                <w:color w:val="000000"/>
                <w:szCs w:val="22"/>
                <w:lang w:val="hr-HR"/>
              </w:rPr>
              <w:t>33</w:t>
            </w:r>
            <w:r w:rsidR="00D02FCC" w:rsidRPr="00510442">
              <w:rPr>
                <w:color w:val="000000"/>
                <w:szCs w:val="22"/>
                <w:lang w:val="hr-HR"/>
              </w:rPr>
              <w:t>,</w:t>
            </w:r>
            <w:r w:rsidRPr="00510442">
              <w:rPr>
                <w:color w:val="000000"/>
                <w:szCs w:val="22"/>
                <w:lang w:val="hr-HR"/>
              </w:rPr>
              <w:t>9)</w:t>
            </w:r>
          </w:p>
        </w:tc>
        <w:tc>
          <w:tcPr>
            <w:tcW w:w="1929" w:type="dxa"/>
            <w:tcBorders>
              <w:bottom w:val="nil"/>
            </w:tcBorders>
          </w:tcPr>
          <w:p w14:paraId="616F1984" w14:textId="77777777" w:rsidR="009B57ED" w:rsidRPr="00510442" w:rsidRDefault="009B57ED" w:rsidP="003179A4">
            <w:pPr>
              <w:pStyle w:val="EndnoteText"/>
              <w:keepNext/>
              <w:widowControl w:val="0"/>
              <w:tabs>
                <w:tab w:val="clear" w:pos="567"/>
              </w:tabs>
              <w:jc w:val="center"/>
              <w:rPr>
                <w:color w:val="000000"/>
                <w:szCs w:val="22"/>
                <w:lang w:val="hr-HR"/>
              </w:rPr>
            </w:pPr>
            <w:r w:rsidRPr="00510442">
              <w:rPr>
                <w:color w:val="000000"/>
                <w:szCs w:val="22"/>
                <w:lang w:val="hr-HR"/>
              </w:rPr>
              <w:t>15% (11</w:t>
            </w:r>
            <w:r w:rsidR="00D02FCC" w:rsidRPr="00510442">
              <w:rPr>
                <w:color w:val="000000"/>
                <w:szCs w:val="22"/>
                <w:lang w:val="hr-HR"/>
              </w:rPr>
              <w:t>,</w:t>
            </w:r>
            <w:r w:rsidRPr="00510442">
              <w:rPr>
                <w:color w:val="000000"/>
                <w:szCs w:val="22"/>
                <w:lang w:val="hr-HR"/>
              </w:rPr>
              <w:t>2</w:t>
            </w:r>
            <w:r w:rsidR="00B3500D" w:rsidRPr="00510442">
              <w:rPr>
                <w:color w:val="000000"/>
                <w:szCs w:val="22"/>
                <w:lang w:val="hr-HR"/>
              </w:rPr>
              <w:noBreakHyphen/>
            </w:r>
            <w:r w:rsidRPr="00510442">
              <w:rPr>
                <w:color w:val="000000"/>
                <w:szCs w:val="22"/>
                <w:lang w:val="hr-HR"/>
              </w:rPr>
              <w:t>20</w:t>
            </w:r>
            <w:r w:rsidR="00D02FCC" w:rsidRPr="00510442">
              <w:rPr>
                <w:color w:val="000000"/>
                <w:szCs w:val="22"/>
                <w:lang w:val="hr-HR"/>
              </w:rPr>
              <w:t>,</w:t>
            </w:r>
            <w:r w:rsidRPr="00510442">
              <w:rPr>
                <w:color w:val="000000"/>
                <w:szCs w:val="22"/>
                <w:lang w:val="hr-HR"/>
              </w:rPr>
              <w:t>4)</w:t>
            </w:r>
          </w:p>
        </w:tc>
      </w:tr>
      <w:tr w:rsidR="009B57ED" w:rsidRPr="00510442" w14:paraId="75B2E7B1" w14:textId="77777777" w:rsidTr="003179A4">
        <w:trPr>
          <w:cantSplit/>
        </w:trPr>
        <w:tc>
          <w:tcPr>
            <w:tcW w:w="3085" w:type="dxa"/>
            <w:tcBorders>
              <w:top w:val="nil"/>
              <w:bottom w:val="nil"/>
            </w:tcBorders>
          </w:tcPr>
          <w:p w14:paraId="7EBA4BF4" w14:textId="77777777" w:rsidR="009B57ED" w:rsidRPr="00510442" w:rsidRDefault="00AE7C83" w:rsidP="003179A4">
            <w:pPr>
              <w:pStyle w:val="EndnoteText"/>
              <w:keepNext/>
              <w:widowControl w:val="0"/>
              <w:tabs>
                <w:tab w:val="clear" w:pos="567"/>
              </w:tabs>
              <w:ind w:left="284"/>
              <w:rPr>
                <w:color w:val="000000"/>
                <w:szCs w:val="22"/>
                <w:lang w:val="hr-HR"/>
              </w:rPr>
            </w:pPr>
            <w:r w:rsidRPr="00510442">
              <w:rPr>
                <w:szCs w:val="22"/>
                <w:lang w:val="hr-HR"/>
              </w:rPr>
              <w:t>Potpuni</w:t>
            </w:r>
          </w:p>
        </w:tc>
        <w:tc>
          <w:tcPr>
            <w:tcW w:w="2040" w:type="dxa"/>
            <w:tcBorders>
              <w:top w:val="nil"/>
              <w:bottom w:val="nil"/>
            </w:tcBorders>
          </w:tcPr>
          <w:p w14:paraId="4C00BF35" w14:textId="77777777" w:rsidR="009B57ED" w:rsidRPr="00510442" w:rsidRDefault="009B57ED" w:rsidP="003179A4">
            <w:pPr>
              <w:pStyle w:val="EndnoteText"/>
              <w:keepNext/>
              <w:widowControl w:val="0"/>
              <w:tabs>
                <w:tab w:val="clear" w:pos="567"/>
              </w:tabs>
              <w:jc w:val="center"/>
              <w:rPr>
                <w:color w:val="000000"/>
                <w:szCs w:val="22"/>
                <w:lang w:val="hr-HR"/>
              </w:rPr>
            </w:pPr>
            <w:r w:rsidRPr="00510442">
              <w:rPr>
                <w:color w:val="000000"/>
                <w:szCs w:val="22"/>
                <w:lang w:val="hr-HR"/>
              </w:rPr>
              <w:t>53%</w:t>
            </w:r>
          </w:p>
        </w:tc>
        <w:tc>
          <w:tcPr>
            <w:tcW w:w="1985" w:type="dxa"/>
            <w:tcBorders>
              <w:top w:val="nil"/>
              <w:bottom w:val="nil"/>
            </w:tcBorders>
          </w:tcPr>
          <w:p w14:paraId="53B43FED" w14:textId="77777777" w:rsidR="009B57ED" w:rsidRPr="00510442" w:rsidRDefault="009B57ED" w:rsidP="003179A4">
            <w:pPr>
              <w:pStyle w:val="EndnoteText"/>
              <w:keepNext/>
              <w:widowControl w:val="0"/>
              <w:tabs>
                <w:tab w:val="clear" w:pos="567"/>
              </w:tabs>
              <w:jc w:val="center"/>
              <w:rPr>
                <w:color w:val="000000"/>
                <w:szCs w:val="22"/>
                <w:lang w:val="hr-HR"/>
              </w:rPr>
            </w:pPr>
            <w:r w:rsidRPr="00510442">
              <w:rPr>
                <w:color w:val="000000"/>
                <w:szCs w:val="22"/>
                <w:lang w:val="hr-HR"/>
              </w:rPr>
              <w:t>20%</w:t>
            </w:r>
          </w:p>
        </w:tc>
        <w:tc>
          <w:tcPr>
            <w:tcW w:w="1929" w:type="dxa"/>
            <w:tcBorders>
              <w:top w:val="nil"/>
              <w:bottom w:val="nil"/>
            </w:tcBorders>
          </w:tcPr>
          <w:p w14:paraId="4505419C" w14:textId="77777777" w:rsidR="009B57ED" w:rsidRPr="00510442" w:rsidRDefault="009B57ED" w:rsidP="003179A4">
            <w:pPr>
              <w:pStyle w:val="EndnoteText"/>
              <w:keepNext/>
              <w:widowControl w:val="0"/>
              <w:tabs>
                <w:tab w:val="clear" w:pos="567"/>
              </w:tabs>
              <w:jc w:val="center"/>
              <w:rPr>
                <w:color w:val="000000"/>
                <w:szCs w:val="22"/>
                <w:lang w:val="hr-HR"/>
              </w:rPr>
            </w:pPr>
            <w:r w:rsidRPr="00510442">
              <w:rPr>
                <w:color w:val="000000"/>
                <w:szCs w:val="22"/>
                <w:lang w:val="hr-HR"/>
              </w:rPr>
              <w:t>7%</w:t>
            </w:r>
          </w:p>
        </w:tc>
      </w:tr>
      <w:tr w:rsidR="009B57ED" w:rsidRPr="00510442" w14:paraId="73632B5E" w14:textId="77777777" w:rsidTr="003179A4">
        <w:trPr>
          <w:cantSplit/>
        </w:trPr>
        <w:tc>
          <w:tcPr>
            <w:tcW w:w="3085" w:type="dxa"/>
            <w:tcBorders>
              <w:top w:val="nil"/>
              <w:bottom w:val="nil"/>
            </w:tcBorders>
          </w:tcPr>
          <w:p w14:paraId="6B6F7253" w14:textId="77777777" w:rsidR="009B57ED" w:rsidRPr="00510442" w:rsidRDefault="00AE7C83" w:rsidP="003179A4">
            <w:pPr>
              <w:pStyle w:val="BodyTextIndent2"/>
              <w:keepNext/>
              <w:widowControl w:val="0"/>
              <w:tabs>
                <w:tab w:val="clear" w:pos="567"/>
              </w:tabs>
              <w:spacing w:line="240" w:lineRule="auto"/>
              <w:ind w:left="284" w:firstLine="0"/>
              <w:jc w:val="left"/>
              <w:rPr>
                <w:b w:val="0"/>
                <w:color w:val="000000"/>
                <w:szCs w:val="22"/>
                <w:lang w:val="hr-HR"/>
              </w:rPr>
            </w:pPr>
            <w:r w:rsidRPr="00510442">
              <w:rPr>
                <w:b w:val="0"/>
                <w:szCs w:val="22"/>
                <w:lang w:val="hr-HR"/>
              </w:rPr>
              <w:t>(Potvrđeni</w:t>
            </w:r>
            <w:r w:rsidRPr="00510442">
              <w:rPr>
                <w:b w:val="0"/>
                <w:szCs w:val="22"/>
                <w:vertAlign w:val="superscript"/>
                <w:lang w:val="hr-HR"/>
              </w:rPr>
              <w:t>3</w:t>
            </w:r>
            <w:r w:rsidR="009B57ED" w:rsidRPr="00510442">
              <w:rPr>
                <w:b w:val="0"/>
                <w:color w:val="000000"/>
                <w:szCs w:val="22"/>
                <w:lang w:val="hr-HR"/>
              </w:rPr>
              <w:t>) [95% CI]</w:t>
            </w:r>
          </w:p>
        </w:tc>
        <w:tc>
          <w:tcPr>
            <w:tcW w:w="2040" w:type="dxa"/>
            <w:tcBorders>
              <w:top w:val="nil"/>
              <w:bottom w:val="nil"/>
            </w:tcBorders>
          </w:tcPr>
          <w:p w14:paraId="2D81D244" w14:textId="77777777" w:rsidR="009B57ED" w:rsidRPr="00510442" w:rsidRDefault="009B57ED" w:rsidP="003179A4">
            <w:pPr>
              <w:pStyle w:val="BodyTextIndent2"/>
              <w:keepNext/>
              <w:widowControl w:val="0"/>
              <w:tabs>
                <w:tab w:val="clear" w:pos="567"/>
              </w:tabs>
              <w:spacing w:line="240" w:lineRule="auto"/>
              <w:jc w:val="center"/>
              <w:rPr>
                <w:b w:val="0"/>
                <w:color w:val="000000"/>
                <w:szCs w:val="22"/>
                <w:lang w:val="hr-HR"/>
              </w:rPr>
            </w:pPr>
            <w:r w:rsidRPr="00510442">
              <w:rPr>
                <w:b w:val="0"/>
                <w:color w:val="000000"/>
                <w:szCs w:val="22"/>
                <w:lang w:val="hr-HR"/>
              </w:rPr>
              <w:t>(43%) [38</w:t>
            </w:r>
            <w:r w:rsidR="00AE7C83" w:rsidRPr="00510442">
              <w:rPr>
                <w:b w:val="0"/>
                <w:color w:val="000000"/>
                <w:szCs w:val="22"/>
                <w:lang w:val="hr-HR"/>
              </w:rPr>
              <w:t>,</w:t>
            </w:r>
            <w:r w:rsidRPr="00510442">
              <w:rPr>
                <w:b w:val="0"/>
                <w:color w:val="000000"/>
                <w:szCs w:val="22"/>
                <w:lang w:val="hr-HR"/>
              </w:rPr>
              <w:t>6</w:t>
            </w:r>
            <w:r w:rsidR="00B3500D" w:rsidRPr="00510442">
              <w:rPr>
                <w:b w:val="0"/>
                <w:color w:val="000000"/>
                <w:szCs w:val="22"/>
                <w:lang w:val="hr-HR"/>
              </w:rPr>
              <w:noBreakHyphen/>
            </w:r>
            <w:r w:rsidRPr="00510442">
              <w:rPr>
                <w:b w:val="0"/>
                <w:color w:val="000000"/>
                <w:szCs w:val="22"/>
                <w:lang w:val="hr-HR"/>
              </w:rPr>
              <w:t>47</w:t>
            </w:r>
            <w:r w:rsidR="00AE7C83" w:rsidRPr="00510442">
              <w:rPr>
                <w:b w:val="0"/>
                <w:color w:val="000000"/>
                <w:szCs w:val="22"/>
                <w:lang w:val="hr-HR"/>
              </w:rPr>
              <w:t>,</w:t>
            </w:r>
            <w:r w:rsidRPr="00510442">
              <w:rPr>
                <w:b w:val="0"/>
                <w:color w:val="000000"/>
                <w:szCs w:val="22"/>
                <w:lang w:val="hr-HR"/>
              </w:rPr>
              <w:t>2]</w:t>
            </w:r>
          </w:p>
        </w:tc>
        <w:tc>
          <w:tcPr>
            <w:tcW w:w="1985" w:type="dxa"/>
            <w:tcBorders>
              <w:top w:val="nil"/>
              <w:bottom w:val="nil"/>
            </w:tcBorders>
          </w:tcPr>
          <w:p w14:paraId="686C34C5" w14:textId="77777777" w:rsidR="009B57ED" w:rsidRPr="00510442" w:rsidRDefault="009B57ED" w:rsidP="003179A4">
            <w:pPr>
              <w:pStyle w:val="BodyTextIndent2"/>
              <w:keepNext/>
              <w:widowControl w:val="0"/>
              <w:tabs>
                <w:tab w:val="clear" w:pos="567"/>
              </w:tabs>
              <w:spacing w:line="240" w:lineRule="auto"/>
              <w:jc w:val="center"/>
              <w:rPr>
                <w:b w:val="0"/>
                <w:color w:val="000000"/>
                <w:szCs w:val="22"/>
                <w:lang w:val="hr-HR"/>
              </w:rPr>
            </w:pPr>
            <w:r w:rsidRPr="00510442">
              <w:rPr>
                <w:b w:val="0"/>
                <w:color w:val="000000"/>
                <w:szCs w:val="22"/>
                <w:lang w:val="hr-HR"/>
              </w:rPr>
              <w:t>(16%) [11</w:t>
            </w:r>
            <w:r w:rsidR="00AE7C83" w:rsidRPr="00510442">
              <w:rPr>
                <w:b w:val="0"/>
                <w:color w:val="000000"/>
                <w:szCs w:val="22"/>
                <w:lang w:val="hr-HR"/>
              </w:rPr>
              <w:t>,</w:t>
            </w:r>
            <w:r w:rsidRPr="00510442">
              <w:rPr>
                <w:b w:val="0"/>
                <w:color w:val="000000"/>
                <w:szCs w:val="22"/>
                <w:lang w:val="hr-HR"/>
              </w:rPr>
              <w:t>3</w:t>
            </w:r>
            <w:r w:rsidR="00B3500D" w:rsidRPr="00510442">
              <w:rPr>
                <w:b w:val="0"/>
                <w:color w:val="000000"/>
                <w:szCs w:val="22"/>
                <w:lang w:val="hr-HR"/>
              </w:rPr>
              <w:noBreakHyphen/>
            </w:r>
            <w:r w:rsidRPr="00510442">
              <w:rPr>
                <w:b w:val="0"/>
                <w:color w:val="000000"/>
                <w:szCs w:val="22"/>
                <w:lang w:val="hr-HR"/>
              </w:rPr>
              <w:t>21</w:t>
            </w:r>
            <w:r w:rsidR="00AE7C83" w:rsidRPr="00510442">
              <w:rPr>
                <w:b w:val="0"/>
                <w:color w:val="000000"/>
                <w:szCs w:val="22"/>
                <w:lang w:val="hr-HR"/>
              </w:rPr>
              <w:t>,</w:t>
            </w:r>
            <w:r w:rsidRPr="00510442">
              <w:rPr>
                <w:b w:val="0"/>
                <w:color w:val="000000"/>
                <w:szCs w:val="22"/>
                <w:lang w:val="hr-HR"/>
              </w:rPr>
              <w:t>0]</w:t>
            </w:r>
          </w:p>
        </w:tc>
        <w:tc>
          <w:tcPr>
            <w:tcW w:w="1929" w:type="dxa"/>
            <w:tcBorders>
              <w:top w:val="nil"/>
              <w:bottom w:val="nil"/>
            </w:tcBorders>
          </w:tcPr>
          <w:p w14:paraId="1A316101" w14:textId="77777777" w:rsidR="009B57ED" w:rsidRPr="00510442" w:rsidRDefault="009B57ED" w:rsidP="003179A4">
            <w:pPr>
              <w:pStyle w:val="BodyTextIndent2"/>
              <w:keepNext/>
              <w:widowControl w:val="0"/>
              <w:tabs>
                <w:tab w:val="clear" w:pos="567"/>
              </w:tabs>
              <w:spacing w:line="240" w:lineRule="auto"/>
              <w:jc w:val="center"/>
              <w:rPr>
                <w:b w:val="0"/>
                <w:color w:val="000000"/>
                <w:szCs w:val="22"/>
                <w:lang w:val="hr-HR"/>
              </w:rPr>
            </w:pPr>
            <w:r w:rsidRPr="00510442">
              <w:rPr>
                <w:b w:val="0"/>
                <w:color w:val="000000"/>
                <w:szCs w:val="22"/>
                <w:lang w:val="hr-HR"/>
              </w:rPr>
              <w:t>(2%) [0</w:t>
            </w:r>
            <w:r w:rsidR="00AE7C83" w:rsidRPr="00510442">
              <w:rPr>
                <w:b w:val="0"/>
                <w:color w:val="000000"/>
                <w:szCs w:val="22"/>
                <w:lang w:val="hr-HR"/>
              </w:rPr>
              <w:t>,</w:t>
            </w:r>
            <w:r w:rsidRPr="00510442">
              <w:rPr>
                <w:b w:val="0"/>
                <w:color w:val="000000"/>
                <w:szCs w:val="22"/>
                <w:lang w:val="hr-HR"/>
              </w:rPr>
              <w:t>6</w:t>
            </w:r>
            <w:r w:rsidR="00B3500D" w:rsidRPr="00510442">
              <w:rPr>
                <w:b w:val="0"/>
                <w:color w:val="000000"/>
                <w:szCs w:val="22"/>
                <w:lang w:val="hr-HR"/>
              </w:rPr>
              <w:noBreakHyphen/>
            </w:r>
            <w:r w:rsidRPr="00510442">
              <w:rPr>
                <w:b w:val="0"/>
                <w:color w:val="000000"/>
                <w:szCs w:val="22"/>
                <w:lang w:val="hr-HR"/>
              </w:rPr>
              <w:t>4</w:t>
            </w:r>
            <w:r w:rsidR="00AE7C83" w:rsidRPr="00510442">
              <w:rPr>
                <w:b w:val="0"/>
                <w:color w:val="000000"/>
                <w:szCs w:val="22"/>
                <w:lang w:val="hr-HR"/>
              </w:rPr>
              <w:t>,</w:t>
            </w:r>
            <w:r w:rsidRPr="00510442">
              <w:rPr>
                <w:b w:val="0"/>
                <w:color w:val="000000"/>
                <w:szCs w:val="22"/>
                <w:lang w:val="hr-HR"/>
              </w:rPr>
              <w:t>4]</w:t>
            </w:r>
          </w:p>
        </w:tc>
      </w:tr>
      <w:tr w:rsidR="009B57ED" w:rsidRPr="00510442" w14:paraId="0F739A7E" w14:textId="77777777" w:rsidTr="003179A4">
        <w:trPr>
          <w:cantSplit/>
        </w:trPr>
        <w:tc>
          <w:tcPr>
            <w:tcW w:w="3085" w:type="dxa"/>
            <w:tcBorders>
              <w:top w:val="nil"/>
              <w:bottom w:val="nil"/>
            </w:tcBorders>
          </w:tcPr>
          <w:p w14:paraId="3E83A458" w14:textId="77777777" w:rsidR="009B57ED" w:rsidRPr="00510442" w:rsidRDefault="00AE7C83" w:rsidP="003179A4">
            <w:pPr>
              <w:pStyle w:val="EndnoteText"/>
              <w:keepNext/>
              <w:widowControl w:val="0"/>
              <w:tabs>
                <w:tab w:val="clear" w:pos="567"/>
              </w:tabs>
              <w:ind w:left="284"/>
              <w:rPr>
                <w:color w:val="000000"/>
                <w:szCs w:val="22"/>
                <w:lang w:val="hr-HR"/>
              </w:rPr>
            </w:pPr>
            <w:r w:rsidRPr="00510442">
              <w:rPr>
                <w:szCs w:val="22"/>
                <w:lang w:val="hr-HR"/>
              </w:rPr>
              <w:t>Djelomični</w:t>
            </w:r>
          </w:p>
        </w:tc>
        <w:tc>
          <w:tcPr>
            <w:tcW w:w="2040" w:type="dxa"/>
            <w:tcBorders>
              <w:top w:val="nil"/>
              <w:bottom w:val="nil"/>
            </w:tcBorders>
          </w:tcPr>
          <w:p w14:paraId="5B448CB9" w14:textId="77777777" w:rsidR="009B57ED" w:rsidRPr="00510442" w:rsidRDefault="009B57ED" w:rsidP="003179A4">
            <w:pPr>
              <w:pStyle w:val="EndnoteText"/>
              <w:keepNext/>
              <w:widowControl w:val="0"/>
              <w:tabs>
                <w:tab w:val="clear" w:pos="567"/>
              </w:tabs>
              <w:jc w:val="center"/>
              <w:rPr>
                <w:color w:val="000000"/>
                <w:szCs w:val="22"/>
                <w:lang w:val="hr-HR"/>
              </w:rPr>
            </w:pPr>
            <w:r w:rsidRPr="00510442">
              <w:rPr>
                <w:color w:val="000000"/>
                <w:szCs w:val="22"/>
                <w:lang w:val="hr-HR"/>
              </w:rPr>
              <w:t>12%</w:t>
            </w:r>
          </w:p>
        </w:tc>
        <w:tc>
          <w:tcPr>
            <w:tcW w:w="1985" w:type="dxa"/>
            <w:tcBorders>
              <w:top w:val="nil"/>
              <w:bottom w:val="nil"/>
            </w:tcBorders>
          </w:tcPr>
          <w:p w14:paraId="6FD77D5B" w14:textId="77777777" w:rsidR="009B57ED" w:rsidRPr="00510442" w:rsidRDefault="009B57ED" w:rsidP="003179A4">
            <w:pPr>
              <w:pStyle w:val="EndnoteText"/>
              <w:keepNext/>
              <w:widowControl w:val="0"/>
              <w:tabs>
                <w:tab w:val="clear" w:pos="567"/>
              </w:tabs>
              <w:jc w:val="center"/>
              <w:rPr>
                <w:color w:val="000000"/>
                <w:szCs w:val="22"/>
                <w:lang w:val="hr-HR"/>
              </w:rPr>
            </w:pPr>
            <w:r w:rsidRPr="00510442">
              <w:rPr>
                <w:color w:val="000000"/>
                <w:szCs w:val="22"/>
                <w:lang w:val="hr-HR"/>
              </w:rPr>
              <w:t>7%</w:t>
            </w:r>
          </w:p>
        </w:tc>
        <w:tc>
          <w:tcPr>
            <w:tcW w:w="1929" w:type="dxa"/>
            <w:tcBorders>
              <w:top w:val="nil"/>
              <w:bottom w:val="nil"/>
            </w:tcBorders>
          </w:tcPr>
          <w:p w14:paraId="38F0F855" w14:textId="77777777" w:rsidR="009B57ED" w:rsidRPr="00510442" w:rsidRDefault="009B57ED" w:rsidP="003179A4">
            <w:pPr>
              <w:pStyle w:val="EndnoteText"/>
              <w:keepNext/>
              <w:widowControl w:val="0"/>
              <w:tabs>
                <w:tab w:val="clear" w:pos="567"/>
              </w:tabs>
              <w:jc w:val="center"/>
              <w:rPr>
                <w:color w:val="000000"/>
                <w:szCs w:val="22"/>
                <w:lang w:val="hr-HR"/>
              </w:rPr>
            </w:pPr>
            <w:r w:rsidRPr="00510442">
              <w:rPr>
                <w:color w:val="000000"/>
                <w:szCs w:val="22"/>
                <w:lang w:val="hr-HR"/>
              </w:rPr>
              <w:t>8%</w:t>
            </w:r>
          </w:p>
        </w:tc>
      </w:tr>
      <w:tr w:rsidR="009B57ED" w:rsidRPr="00F410C8" w14:paraId="1B6E3C3C" w14:textId="77777777" w:rsidTr="003179A4">
        <w:trPr>
          <w:cantSplit/>
        </w:trPr>
        <w:tc>
          <w:tcPr>
            <w:tcW w:w="9039" w:type="dxa"/>
            <w:gridSpan w:val="4"/>
            <w:tcBorders>
              <w:top w:val="single" w:sz="4" w:space="0" w:color="auto"/>
              <w:bottom w:val="single" w:sz="4" w:space="0" w:color="auto"/>
            </w:tcBorders>
          </w:tcPr>
          <w:p w14:paraId="60FA7D6F" w14:textId="77777777" w:rsidR="009B57ED" w:rsidRPr="00510442" w:rsidRDefault="00AE7C83" w:rsidP="0091773C">
            <w:pPr>
              <w:pStyle w:val="Table"/>
              <w:keepNext w:val="0"/>
              <w:keepLines w:val="0"/>
              <w:widowControl w:val="0"/>
              <w:spacing w:before="0" w:after="0"/>
              <w:rPr>
                <w:rFonts w:ascii="Times New Roman" w:hAnsi="Times New Roman"/>
                <w:b/>
                <w:color w:val="000000"/>
                <w:sz w:val="22"/>
                <w:szCs w:val="22"/>
                <w:lang w:val="hr-HR"/>
              </w:rPr>
            </w:pPr>
            <w:r w:rsidRPr="00510442">
              <w:rPr>
                <w:rFonts w:ascii="Times New Roman" w:hAnsi="Times New Roman"/>
                <w:b/>
                <w:sz w:val="22"/>
                <w:szCs w:val="22"/>
                <w:vertAlign w:val="superscript"/>
                <w:lang w:val="hr-HR"/>
              </w:rPr>
              <w:t>1</w:t>
            </w:r>
            <w:r w:rsidRPr="00510442">
              <w:rPr>
                <w:rFonts w:ascii="Times New Roman" w:hAnsi="Times New Roman"/>
                <w:sz w:val="22"/>
                <w:szCs w:val="22"/>
                <w:lang w:val="hr-HR"/>
              </w:rPr>
              <w:t xml:space="preserve"> </w:t>
            </w:r>
            <w:r w:rsidRPr="00510442">
              <w:rPr>
                <w:rFonts w:ascii="Times New Roman" w:hAnsi="Times New Roman"/>
                <w:b/>
                <w:sz w:val="22"/>
                <w:szCs w:val="22"/>
                <w:lang w:val="hr-HR"/>
              </w:rPr>
              <w:t>Kriteriji hematološkog odgovora (svi se odgovori moraju potvrditi nakon ≥4</w:t>
            </w:r>
            <w:r w:rsidRPr="00510442">
              <w:rPr>
                <w:rFonts w:ascii="Times New Roman" w:hAnsi="Times New Roman"/>
                <w:b/>
                <w:color w:val="000000"/>
                <w:sz w:val="22"/>
                <w:szCs w:val="22"/>
                <w:lang w:val="hr-HR"/>
              </w:rPr>
              <w:t> </w:t>
            </w:r>
            <w:r w:rsidRPr="00510442">
              <w:rPr>
                <w:rFonts w:ascii="Times New Roman" w:hAnsi="Times New Roman"/>
                <w:b/>
                <w:sz w:val="22"/>
                <w:szCs w:val="22"/>
                <w:lang w:val="hr-HR"/>
              </w:rPr>
              <w:t>tjedna):</w:t>
            </w:r>
          </w:p>
          <w:p w14:paraId="04AAE4DE" w14:textId="77777777" w:rsidR="009B57ED" w:rsidRPr="00510442" w:rsidRDefault="009B57ED" w:rsidP="0091773C">
            <w:pPr>
              <w:pStyle w:val="Table"/>
              <w:keepNext w:val="0"/>
              <w:keepLines w:val="0"/>
              <w:widowControl w:val="0"/>
              <w:tabs>
                <w:tab w:val="clear" w:pos="284"/>
              </w:tabs>
              <w:spacing w:before="0" w:after="0"/>
              <w:ind w:left="567" w:hanging="567"/>
              <w:rPr>
                <w:rFonts w:ascii="Times New Roman" w:hAnsi="Times New Roman"/>
                <w:color w:val="000000"/>
                <w:sz w:val="22"/>
                <w:szCs w:val="22"/>
                <w:lang w:val="hr-HR"/>
              </w:rPr>
            </w:pPr>
            <w:smartTag w:uri="urn:schemas-microsoft-com:office:smarttags" w:element="stockticker">
              <w:r w:rsidRPr="00510442">
                <w:rPr>
                  <w:rFonts w:ascii="Times New Roman" w:hAnsi="Times New Roman"/>
                  <w:color w:val="000000"/>
                  <w:sz w:val="22"/>
                  <w:szCs w:val="22"/>
                  <w:lang w:val="hr-HR"/>
                </w:rPr>
                <w:t>CHR</w:t>
              </w:r>
            </w:smartTag>
            <w:r w:rsidRPr="00510442">
              <w:rPr>
                <w:rFonts w:ascii="Times New Roman" w:hAnsi="Times New Roman"/>
                <w:color w:val="000000"/>
                <w:sz w:val="22"/>
                <w:szCs w:val="22"/>
                <w:lang w:val="hr-HR"/>
              </w:rPr>
              <w:t>:</w:t>
            </w:r>
            <w:r w:rsidRPr="00510442">
              <w:rPr>
                <w:rFonts w:ascii="Times New Roman" w:hAnsi="Times New Roman"/>
                <w:color w:val="000000"/>
                <w:sz w:val="22"/>
                <w:szCs w:val="22"/>
                <w:lang w:val="hr-HR"/>
              </w:rPr>
              <w:tab/>
            </w:r>
            <w:r w:rsidR="00AE7C83" w:rsidRPr="00510442">
              <w:rPr>
                <w:rFonts w:ascii="Times New Roman" w:hAnsi="Times New Roman"/>
                <w:sz w:val="22"/>
                <w:szCs w:val="22"/>
                <w:lang w:val="hr-HR"/>
              </w:rPr>
              <w:t>Studija 0110 [WBC &lt;10</w:t>
            </w:r>
            <w:r w:rsidR="00AE7C83" w:rsidRPr="00510442">
              <w:rPr>
                <w:rFonts w:ascii="Times New Roman" w:hAnsi="Times New Roman"/>
                <w:b/>
                <w:color w:val="000000"/>
                <w:sz w:val="22"/>
                <w:szCs w:val="22"/>
                <w:lang w:val="hr-HR"/>
              </w:rPr>
              <w:t> </w:t>
            </w:r>
            <w:r w:rsidR="00AE7C83" w:rsidRPr="00510442">
              <w:rPr>
                <w:rFonts w:ascii="Times New Roman" w:hAnsi="Times New Roman"/>
                <w:sz w:val="22"/>
                <w:szCs w:val="22"/>
                <w:lang w:val="hr-HR"/>
              </w:rPr>
              <w:t>x</w:t>
            </w:r>
            <w:r w:rsidR="00AE7C83" w:rsidRPr="00510442">
              <w:rPr>
                <w:rFonts w:ascii="Times New Roman" w:hAnsi="Times New Roman"/>
                <w:b/>
                <w:color w:val="000000"/>
                <w:sz w:val="22"/>
                <w:szCs w:val="22"/>
                <w:lang w:val="hr-HR"/>
              </w:rPr>
              <w:t> </w:t>
            </w:r>
            <w:r w:rsidR="00AE7C83" w:rsidRPr="00510442">
              <w:rPr>
                <w:rFonts w:ascii="Times New Roman" w:hAnsi="Times New Roman"/>
                <w:sz w:val="22"/>
                <w:szCs w:val="22"/>
                <w:lang w:val="hr-HR"/>
              </w:rPr>
              <w:t>10</w:t>
            </w:r>
            <w:r w:rsidR="00AE7C83" w:rsidRPr="00510442">
              <w:rPr>
                <w:rFonts w:ascii="Times New Roman" w:hAnsi="Times New Roman"/>
                <w:sz w:val="22"/>
                <w:szCs w:val="22"/>
                <w:vertAlign w:val="superscript"/>
                <w:lang w:val="hr-HR"/>
              </w:rPr>
              <w:t>9</w:t>
            </w:r>
            <w:r w:rsidR="00AE7C83" w:rsidRPr="00510442">
              <w:rPr>
                <w:rFonts w:ascii="Times New Roman" w:hAnsi="Times New Roman"/>
                <w:sz w:val="22"/>
                <w:szCs w:val="22"/>
                <w:lang w:val="hr-HR"/>
              </w:rPr>
              <w:t>/l, trombociti &lt;450</w:t>
            </w:r>
            <w:r w:rsidR="00AE7C83" w:rsidRPr="00510442">
              <w:rPr>
                <w:rFonts w:ascii="Times New Roman" w:hAnsi="Times New Roman"/>
                <w:b/>
                <w:color w:val="000000"/>
                <w:sz w:val="22"/>
                <w:szCs w:val="22"/>
                <w:lang w:val="hr-HR"/>
              </w:rPr>
              <w:t> </w:t>
            </w:r>
            <w:r w:rsidR="00AE7C83" w:rsidRPr="00510442">
              <w:rPr>
                <w:rFonts w:ascii="Times New Roman" w:hAnsi="Times New Roman"/>
                <w:sz w:val="22"/>
                <w:szCs w:val="22"/>
                <w:lang w:val="hr-HR"/>
              </w:rPr>
              <w:t>x</w:t>
            </w:r>
            <w:r w:rsidR="00AE7C83" w:rsidRPr="00510442">
              <w:rPr>
                <w:rFonts w:ascii="Times New Roman" w:hAnsi="Times New Roman"/>
                <w:b/>
                <w:color w:val="000000"/>
                <w:sz w:val="22"/>
                <w:szCs w:val="22"/>
                <w:lang w:val="hr-HR"/>
              </w:rPr>
              <w:t> </w:t>
            </w:r>
            <w:r w:rsidR="00AE7C83" w:rsidRPr="00510442">
              <w:rPr>
                <w:rFonts w:ascii="Times New Roman" w:hAnsi="Times New Roman"/>
                <w:sz w:val="22"/>
                <w:szCs w:val="22"/>
                <w:lang w:val="hr-HR"/>
              </w:rPr>
              <w:t>10</w:t>
            </w:r>
            <w:r w:rsidR="00AE7C83" w:rsidRPr="00510442">
              <w:rPr>
                <w:rFonts w:ascii="Times New Roman" w:hAnsi="Times New Roman"/>
                <w:sz w:val="22"/>
                <w:szCs w:val="22"/>
                <w:vertAlign w:val="superscript"/>
                <w:lang w:val="hr-HR"/>
              </w:rPr>
              <w:t>9</w:t>
            </w:r>
            <w:r w:rsidR="00AE7C83" w:rsidRPr="00510442">
              <w:rPr>
                <w:rFonts w:ascii="Times New Roman" w:hAnsi="Times New Roman"/>
                <w:sz w:val="22"/>
                <w:szCs w:val="22"/>
                <w:lang w:val="hr-HR"/>
              </w:rPr>
              <w:t>/l, mijelociti+metamijelociti &lt;5% u krvi, u krvi nema blasta i promijelocita, bazofili &lt;20%, nema ekstramedularne zahvaćenosti], a u studijama 0102 i 0109 [A</w:t>
            </w:r>
            <w:r w:rsidR="00456BB9" w:rsidRPr="00510442">
              <w:rPr>
                <w:rFonts w:ascii="Times New Roman" w:hAnsi="Times New Roman"/>
                <w:sz w:val="22"/>
                <w:szCs w:val="22"/>
                <w:lang w:val="hr-HR"/>
              </w:rPr>
              <w:t>B</w:t>
            </w:r>
            <w:r w:rsidR="00AE7C83" w:rsidRPr="00510442">
              <w:rPr>
                <w:rFonts w:ascii="Times New Roman" w:hAnsi="Times New Roman"/>
                <w:sz w:val="22"/>
                <w:szCs w:val="22"/>
                <w:lang w:val="hr-HR"/>
              </w:rPr>
              <w:t>N ≥1,5</w:t>
            </w:r>
            <w:r w:rsidR="00AE7C83" w:rsidRPr="00510442">
              <w:rPr>
                <w:rFonts w:ascii="Times New Roman" w:hAnsi="Times New Roman"/>
                <w:b/>
                <w:color w:val="000000"/>
                <w:sz w:val="22"/>
                <w:szCs w:val="22"/>
                <w:lang w:val="hr-HR"/>
              </w:rPr>
              <w:t> </w:t>
            </w:r>
            <w:r w:rsidR="00AE7C83" w:rsidRPr="00510442">
              <w:rPr>
                <w:rFonts w:ascii="Times New Roman" w:hAnsi="Times New Roman"/>
                <w:sz w:val="22"/>
                <w:szCs w:val="22"/>
                <w:lang w:val="hr-HR"/>
              </w:rPr>
              <w:t>x</w:t>
            </w:r>
            <w:r w:rsidR="00AE7C83" w:rsidRPr="00510442">
              <w:rPr>
                <w:rFonts w:ascii="Times New Roman" w:hAnsi="Times New Roman"/>
                <w:b/>
                <w:color w:val="000000"/>
                <w:sz w:val="22"/>
                <w:szCs w:val="22"/>
                <w:lang w:val="hr-HR"/>
              </w:rPr>
              <w:t> </w:t>
            </w:r>
            <w:r w:rsidR="00AE7C83" w:rsidRPr="00510442">
              <w:rPr>
                <w:rFonts w:ascii="Times New Roman" w:hAnsi="Times New Roman"/>
                <w:sz w:val="22"/>
                <w:szCs w:val="22"/>
                <w:lang w:val="hr-HR"/>
              </w:rPr>
              <w:t>10</w:t>
            </w:r>
            <w:r w:rsidR="00AE7C83" w:rsidRPr="00510442">
              <w:rPr>
                <w:rFonts w:ascii="Times New Roman" w:hAnsi="Times New Roman"/>
                <w:sz w:val="22"/>
                <w:szCs w:val="22"/>
                <w:vertAlign w:val="superscript"/>
                <w:lang w:val="hr-HR"/>
              </w:rPr>
              <w:t>9</w:t>
            </w:r>
            <w:r w:rsidR="00AE7C83" w:rsidRPr="00510442">
              <w:rPr>
                <w:rFonts w:ascii="Times New Roman" w:hAnsi="Times New Roman"/>
                <w:sz w:val="22"/>
                <w:szCs w:val="22"/>
                <w:lang w:val="hr-HR"/>
              </w:rPr>
              <w:t>/l, trombociti ≥100</w:t>
            </w:r>
            <w:r w:rsidR="00AE7C83" w:rsidRPr="00510442">
              <w:rPr>
                <w:rFonts w:ascii="Times New Roman" w:hAnsi="Times New Roman"/>
                <w:b/>
                <w:color w:val="000000"/>
                <w:sz w:val="22"/>
                <w:szCs w:val="22"/>
                <w:lang w:val="hr-HR"/>
              </w:rPr>
              <w:t> </w:t>
            </w:r>
            <w:r w:rsidR="00AE7C83" w:rsidRPr="00510442">
              <w:rPr>
                <w:rFonts w:ascii="Times New Roman" w:hAnsi="Times New Roman"/>
                <w:sz w:val="22"/>
                <w:szCs w:val="22"/>
                <w:lang w:val="hr-HR"/>
              </w:rPr>
              <w:t>x</w:t>
            </w:r>
            <w:r w:rsidR="00AE7C83" w:rsidRPr="00510442">
              <w:rPr>
                <w:rFonts w:ascii="Times New Roman" w:hAnsi="Times New Roman"/>
                <w:b/>
                <w:color w:val="000000"/>
                <w:sz w:val="22"/>
                <w:szCs w:val="22"/>
                <w:lang w:val="hr-HR"/>
              </w:rPr>
              <w:t> </w:t>
            </w:r>
            <w:r w:rsidR="00AE7C83" w:rsidRPr="00510442">
              <w:rPr>
                <w:rFonts w:ascii="Times New Roman" w:hAnsi="Times New Roman"/>
                <w:sz w:val="22"/>
                <w:szCs w:val="22"/>
                <w:lang w:val="hr-HR"/>
              </w:rPr>
              <w:t>10</w:t>
            </w:r>
            <w:r w:rsidR="00AE7C83" w:rsidRPr="00510442">
              <w:rPr>
                <w:rFonts w:ascii="Times New Roman" w:hAnsi="Times New Roman"/>
                <w:sz w:val="22"/>
                <w:szCs w:val="22"/>
                <w:vertAlign w:val="superscript"/>
                <w:lang w:val="hr-HR"/>
              </w:rPr>
              <w:t>9</w:t>
            </w:r>
            <w:r w:rsidR="00AE7C83" w:rsidRPr="00510442">
              <w:rPr>
                <w:rFonts w:ascii="Times New Roman" w:hAnsi="Times New Roman"/>
                <w:sz w:val="22"/>
                <w:szCs w:val="22"/>
                <w:lang w:val="hr-HR"/>
              </w:rPr>
              <w:t xml:space="preserve">/l, nema blasta u krvi, blasti u </w:t>
            </w:r>
            <w:r w:rsidR="002636D9" w:rsidRPr="00510442">
              <w:rPr>
                <w:rFonts w:ascii="Times New Roman" w:hAnsi="Times New Roman"/>
                <w:sz w:val="22"/>
                <w:szCs w:val="22"/>
                <w:lang w:val="hr-HR"/>
              </w:rPr>
              <w:t xml:space="preserve">KS </w:t>
            </w:r>
            <w:r w:rsidR="00AE7C83" w:rsidRPr="00510442">
              <w:rPr>
                <w:rFonts w:ascii="Times New Roman" w:hAnsi="Times New Roman"/>
                <w:sz w:val="22"/>
                <w:szCs w:val="22"/>
                <w:lang w:val="hr-HR"/>
              </w:rPr>
              <w:t>&lt;5% i nema ekstramedularne bolesti]</w:t>
            </w:r>
          </w:p>
          <w:p w14:paraId="2B1ACE73" w14:textId="77777777" w:rsidR="009B57ED" w:rsidRPr="00510442" w:rsidRDefault="009B57ED" w:rsidP="0091773C">
            <w:pPr>
              <w:pStyle w:val="Table"/>
              <w:keepNext w:val="0"/>
              <w:keepLines w:val="0"/>
              <w:widowControl w:val="0"/>
              <w:tabs>
                <w:tab w:val="clear" w:pos="284"/>
              </w:tabs>
              <w:spacing w:before="0" w:after="0"/>
              <w:ind w:left="567" w:hanging="567"/>
              <w:rPr>
                <w:rFonts w:ascii="Times New Roman" w:hAnsi="Times New Roman"/>
                <w:color w:val="000000"/>
                <w:sz w:val="22"/>
                <w:szCs w:val="22"/>
                <w:lang w:val="hr-HR"/>
              </w:rPr>
            </w:pPr>
            <w:r w:rsidRPr="00510442">
              <w:rPr>
                <w:rFonts w:ascii="Times New Roman" w:hAnsi="Times New Roman"/>
                <w:color w:val="000000"/>
                <w:sz w:val="22"/>
                <w:szCs w:val="22"/>
                <w:lang w:val="hr-HR"/>
              </w:rPr>
              <w:t>NEL</w:t>
            </w:r>
            <w:r w:rsidRPr="00510442">
              <w:rPr>
                <w:rFonts w:ascii="Times New Roman" w:hAnsi="Times New Roman"/>
                <w:color w:val="000000"/>
                <w:sz w:val="22"/>
                <w:szCs w:val="22"/>
                <w:lang w:val="hr-HR"/>
              </w:rPr>
              <w:tab/>
            </w:r>
            <w:r w:rsidR="00AE7C83" w:rsidRPr="00510442">
              <w:rPr>
                <w:rFonts w:ascii="Times New Roman" w:hAnsi="Times New Roman"/>
                <w:sz w:val="22"/>
                <w:szCs w:val="22"/>
                <w:lang w:val="hr-HR"/>
              </w:rPr>
              <w:t>Isti kriteriji kao za CHR, ali je A</w:t>
            </w:r>
            <w:r w:rsidR="00456BB9" w:rsidRPr="00510442">
              <w:rPr>
                <w:rFonts w:ascii="Times New Roman" w:hAnsi="Times New Roman"/>
                <w:sz w:val="22"/>
                <w:szCs w:val="22"/>
                <w:lang w:val="hr-HR"/>
              </w:rPr>
              <w:t>B</w:t>
            </w:r>
            <w:r w:rsidR="00AE7C83" w:rsidRPr="00510442">
              <w:rPr>
                <w:rFonts w:ascii="Times New Roman" w:hAnsi="Times New Roman"/>
                <w:sz w:val="22"/>
                <w:szCs w:val="22"/>
                <w:lang w:val="hr-HR"/>
              </w:rPr>
              <w:t>N</w:t>
            </w:r>
            <w:r w:rsidR="00AE7C83" w:rsidRPr="00510442">
              <w:rPr>
                <w:rFonts w:ascii="Times New Roman" w:hAnsi="Times New Roman"/>
                <w:color w:val="000000"/>
                <w:sz w:val="22"/>
                <w:szCs w:val="22"/>
                <w:lang w:val="hr-HR"/>
              </w:rPr>
              <w:t xml:space="preserve"> </w:t>
            </w:r>
            <w:r w:rsidRPr="00307897">
              <w:rPr>
                <w:rFonts w:ascii="Times New Roman" w:hAnsi="Times New Roman"/>
                <w:color w:val="000000"/>
                <w:sz w:val="22"/>
                <w:szCs w:val="22"/>
                <w:lang w:val="hr-HR"/>
              </w:rPr>
              <w:sym w:font="Symbol" w:char="F0B3"/>
            </w:r>
            <w:r w:rsidRPr="00307897">
              <w:rPr>
                <w:rFonts w:ascii="Times New Roman" w:hAnsi="Times New Roman"/>
                <w:color w:val="000000"/>
                <w:sz w:val="22"/>
                <w:szCs w:val="22"/>
                <w:lang w:val="hr-HR"/>
              </w:rPr>
              <w:t>1 x 10</w:t>
            </w:r>
            <w:r w:rsidRPr="00307897">
              <w:rPr>
                <w:rFonts w:ascii="Times New Roman" w:hAnsi="Times New Roman"/>
                <w:color w:val="000000"/>
                <w:sz w:val="22"/>
                <w:szCs w:val="22"/>
                <w:vertAlign w:val="superscript"/>
                <w:lang w:val="hr-HR"/>
              </w:rPr>
              <w:t>9</w:t>
            </w:r>
            <w:r w:rsidRPr="00A00164">
              <w:rPr>
                <w:rFonts w:ascii="Times New Roman" w:hAnsi="Times New Roman"/>
                <w:color w:val="000000"/>
                <w:sz w:val="22"/>
                <w:szCs w:val="22"/>
                <w:lang w:val="hr-HR"/>
              </w:rPr>
              <w:t>/l</w:t>
            </w:r>
            <w:r w:rsidR="00AE7C83" w:rsidRPr="00973BDD">
              <w:rPr>
                <w:rFonts w:ascii="Times New Roman" w:hAnsi="Times New Roman"/>
                <w:sz w:val="22"/>
                <w:szCs w:val="22"/>
                <w:lang w:val="hr-HR"/>
              </w:rPr>
              <w:t xml:space="preserve">, a trombociti </w:t>
            </w:r>
            <w:r w:rsidRPr="00307897">
              <w:rPr>
                <w:rFonts w:ascii="Times New Roman" w:hAnsi="Times New Roman"/>
                <w:color w:val="000000"/>
                <w:sz w:val="22"/>
                <w:szCs w:val="22"/>
                <w:lang w:val="hr-HR"/>
              </w:rPr>
              <w:sym w:font="Symbol" w:char="F0B3"/>
            </w:r>
            <w:r w:rsidRPr="00307897">
              <w:rPr>
                <w:rFonts w:ascii="Times New Roman" w:hAnsi="Times New Roman"/>
                <w:color w:val="000000"/>
                <w:sz w:val="22"/>
                <w:szCs w:val="22"/>
                <w:lang w:val="hr-HR"/>
              </w:rPr>
              <w:t>20 x 10</w:t>
            </w:r>
            <w:r w:rsidRPr="00307897">
              <w:rPr>
                <w:rFonts w:ascii="Times New Roman" w:hAnsi="Times New Roman"/>
                <w:color w:val="000000"/>
                <w:sz w:val="22"/>
                <w:szCs w:val="22"/>
                <w:vertAlign w:val="superscript"/>
                <w:lang w:val="hr-HR"/>
              </w:rPr>
              <w:t>9</w:t>
            </w:r>
            <w:r w:rsidRPr="00A00164">
              <w:rPr>
                <w:rFonts w:ascii="Times New Roman" w:hAnsi="Times New Roman"/>
                <w:color w:val="000000"/>
                <w:sz w:val="22"/>
                <w:szCs w:val="22"/>
                <w:lang w:val="hr-HR"/>
              </w:rPr>
              <w:t>/l (</w:t>
            </w:r>
            <w:r w:rsidR="00AE7C83" w:rsidRPr="00973BDD">
              <w:rPr>
                <w:rFonts w:ascii="Times New Roman" w:hAnsi="Times New Roman"/>
                <w:color w:val="000000"/>
                <w:sz w:val="22"/>
                <w:szCs w:val="22"/>
                <w:lang w:val="hr-HR"/>
              </w:rPr>
              <w:t xml:space="preserve">samo </w:t>
            </w:r>
            <w:r w:rsidRPr="000B51EB">
              <w:rPr>
                <w:rFonts w:ascii="Times New Roman" w:hAnsi="Times New Roman"/>
                <w:color w:val="000000"/>
                <w:sz w:val="22"/>
                <w:szCs w:val="22"/>
                <w:lang w:val="hr-HR"/>
              </w:rPr>
              <w:t xml:space="preserve">0102 </w:t>
            </w:r>
            <w:r w:rsidR="00AE7C83" w:rsidRPr="00510442">
              <w:rPr>
                <w:rFonts w:ascii="Times New Roman" w:hAnsi="Times New Roman"/>
                <w:color w:val="000000"/>
                <w:sz w:val="22"/>
                <w:szCs w:val="22"/>
                <w:lang w:val="hr-HR"/>
              </w:rPr>
              <w:t>i</w:t>
            </w:r>
            <w:r w:rsidRPr="00510442">
              <w:rPr>
                <w:rFonts w:ascii="Times New Roman" w:hAnsi="Times New Roman"/>
                <w:color w:val="000000"/>
                <w:sz w:val="22"/>
                <w:szCs w:val="22"/>
                <w:lang w:val="hr-HR"/>
              </w:rPr>
              <w:t xml:space="preserve"> 0109)</w:t>
            </w:r>
          </w:p>
          <w:p w14:paraId="3E6ED54A" w14:textId="77777777" w:rsidR="009B57ED" w:rsidRPr="00510442" w:rsidRDefault="009B57ED" w:rsidP="0091773C">
            <w:pPr>
              <w:pStyle w:val="Table"/>
              <w:keepNext w:val="0"/>
              <w:keepLines w:val="0"/>
              <w:widowControl w:val="0"/>
              <w:tabs>
                <w:tab w:val="clear" w:pos="284"/>
              </w:tabs>
              <w:spacing w:before="0" w:after="0"/>
              <w:ind w:left="567" w:hanging="567"/>
              <w:rPr>
                <w:rFonts w:ascii="Times New Roman" w:hAnsi="Times New Roman"/>
                <w:color w:val="000000"/>
                <w:sz w:val="22"/>
                <w:szCs w:val="22"/>
                <w:lang w:val="hr-HR"/>
              </w:rPr>
            </w:pPr>
            <w:smartTag w:uri="urn:schemas-microsoft-com:office:smarttags" w:element="stockticker">
              <w:r w:rsidRPr="00510442">
                <w:rPr>
                  <w:rFonts w:ascii="Times New Roman" w:hAnsi="Times New Roman"/>
                  <w:color w:val="000000"/>
                  <w:sz w:val="22"/>
                  <w:szCs w:val="22"/>
                  <w:lang w:val="hr-HR"/>
                </w:rPr>
                <w:t>RTC</w:t>
              </w:r>
            </w:smartTag>
            <w:r w:rsidRPr="00510442">
              <w:rPr>
                <w:rFonts w:ascii="Times New Roman" w:hAnsi="Times New Roman"/>
                <w:color w:val="000000"/>
                <w:sz w:val="22"/>
                <w:szCs w:val="22"/>
                <w:lang w:val="hr-HR"/>
              </w:rPr>
              <w:tab/>
              <w:t xml:space="preserve">&lt;15% </w:t>
            </w:r>
            <w:r w:rsidR="00AE7C83" w:rsidRPr="00510442">
              <w:rPr>
                <w:rFonts w:ascii="Times New Roman" w:hAnsi="Times New Roman"/>
                <w:sz w:val="22"/>
                <w:szCs w:val="22"/>
                <w:lang w:val="hr-HR"/>
              </w:rPr>
              <w:t xml:space="preserve">blasta u </w:t>
            </w:r>
            <w:r w:rsidR="002636D9" w:rsidRPr="00510442">
              <w:rPr>
                <w:rFonts w:ascii="Times New Roman" w:hAnsi="Times New Roman"/>
                <w:sz w:val="22"/>
                <w:szCs w:val="22"/>
                <w:lang w:val="hr-HR"/>
              </w:rPr>
              <w:t xml:space="preserve">KS </w:t>
            </w:r>
            <w:r w:rsidR="00AE7C83" w:rsidRPr="00510442">
              <w:rPr>
                <w:rFonts w:ascii="Times New Roman" w:hAnsi="Times New Roman"/>
                <w:sz w:val="22"/>
                <w:szCs w:val="22"/>
                <w:lang w:val="hr-HR"/>
              </w:rPr>
              <w:t>i P</w:t>
            </w:r>
            <w:r w:rsidR="002636D9" w:rsidRPr="00510442">
              <w:rPr>
                <w:rFonts w:ascii="Times New Roman" w:hAnsi="Times New Roman"/>
                <w:sz w:val="22"/>
                <w:szCs w:val="22"/>
                <w:lang w:val="hr-HR"/>
              </w:rPr>
              <w:t>K</w:t>
            </w:r>
            <w:r w:rsidRPr="00510442">
              <w:rPr>
                <w:rFonts w:ascii="Times New Roman" w:hAnsi="Times New Roman"/>
                <w:color w:val="000000"/>
                <w:sz w:val="22"/>
                <w:szCs w:val="22"/>
                <w:lang w:val="hr-HR"/>
              </w:rPr>
              <w:t xml:space="preserve">, &lt;30% </w:t>
            </w:r>
            <w:r w:rsidR="00AE7C83" w:rsidRPr="00510442">
              <w:rPr>
                <w:rFonts w:ascii="Times New Roman" w:hAnsi="Times New Roman"/>
                <w:sz w:val="22"/>
                <w:szCs w:val="22"/>
                <w:lang w:val="hr-HR"/>
              </w:rPr>
              <w:t xml:space="preserve">blasta+promijelocita u </w:t>
            </w:r>
            <w:r w:rsidR="002636D9" w:rsidRPr="00510442">
              <w:rPr>
                <w:rFonts w:ascii="Times New Roman" w:hAnsi="Times New Roman"/>
                <w:sz w:val="22"/>
                <w:szCs w:val="22"/>
                <w:lang w:val="hr-HR"/>
              </w:rPr>
              <w:t xml:space="preserve">KS </w:t>
            </w:r>
            <w:r w:rsidR="00AE7C83" w:rsidRPr="00510442">
              <w:rPr>
                <w:rFonts w:ascii="Times New Roman" w:hAnsi="Times New Roman"/>
                <w:sz w:val="22"/>
                <w:szCs w:val="22"/>
                <w:lang w:val="hr-HR"/>
              </w:rPr>
              <w:t>i P</w:t>
            </w:r>
            <w:r w:rsidR="002636D9" w:rsidRPr="00510442">
              <w:rPr>
                <w:rFonts w:ascii="Times New Roman" w:hAnsi="Times New Roman"/>
                <w:sz w:val="22"/>
                <w:szCs w:val="22"/>
                <w:lang w:val="hr-HR"/>
              </w:rPr>
              <w:t>K</w:t>
            </w:r>
            <w:r w:rsidRPr="00510442">
              <w:rPr>
                <w:rFonts w:ascii="Times New Roman" w:hAnsi="Times New Roman"/>
                <w:color w:val="000000"/>
                <w:sz w:val="22"/>
                <w:szCs w:val="22"/>
                <w:lang w:val="hr-HR"/>
              </w:rPr>
              <w:t xml:space="preserve">, &lt;20% </w:t>
            </w:r>
            <w:r w:rsidR="00AE7C83" w:rsidRPr="00510442">
              <w:rPr>
                <w:rFonts w:ascii="Times New Roman" w:hAnsi="Times New Roman"/>
                <w:sz w:val="22"/>
                <w:szCs w:val="22"/>
                <w:lang w:val="hr-HR"/>
              </w:rPr>
              <w:t>bazofila u P</w:t>
            </w:r>
            <w:r w:rsidR="002636D9" w:rsidRPr="00510442">
              <w:rPr>
                <w:rFonts w:ascii="Times New Roman" w:hAnsi="Times New Roman"/>
                <w:sz w:val="22"/>
                <w:szCs w:val="22"/>
                <w:lang w:val="hr-HR"/>
              </w:rPr>
              <w:t>K</w:t>
            </w:r>
            <w:r w:rsidRPr="00510442">
              <w:rPr>
                <w:rFonts w:ascii="Times New Roman" w:hAnsi="Times New Roman"/>
                <w:color w:val="000000"/>
                <w:sz w:val="22"/>
                <w:szCs w:val="22"/>
                <w:lang w:val="hr-HR"/>
              </w:rPr>
              <w:t xml:space="preserve">, </w:t>
            </w:r>
            <w:r w:rsidR="00AE7C83" w:rsidRPr="00510442">
              <w:rPr>
                <w:rFonts w:ascii="Times New Roman" w:hAnsi="Times New Roman"/>
                <w:sz w:val="22"/>
                <w:szCs w:val="22"/>
                <w:lang w:val="hr-HR"/>
              </w:rPr>
              <w:t>nema ekstramedularne bolesti osim u slezeni i jetri (samo za 0102 i 0109).</w:t>
            </w:r>
          </w:p>
          <w:p w14:paraId="3CF9449C" w14:textId="77777777" w:rsidR="009B57ED" w:rsidRPr="00510442" w:rsidRDefault="002636D9" w:rsidP="00422F71">
            <w:pPr>
              <w:pStyle w:val="Table"/>
              <w:keepNext w:val="0"/>
              <w:keepLines w:val="0"/>
              <w:widowControl w:val="0"/>
              <w:tabs>
                <w:tab w:val="clear" w:pos="284"/>
              </w:tabs>
              <w:spacing w:before="0" w:after="0"/>
              <w:ind w:left="567" w:hanging="567"/>
              <w:rPr>
                <w:rFonts w:ascii="Times New Roman" w:hAnsi="Times New Roman"/>
                <w:color w:val="000000"/>
                <w:sz w:val="22"/>
                <w:szCs w:val="22"/>
                <w:lang w:val="hr-HR"/>
              </w:rPr>
            </w:pPr>
            <w:r w:rsidRPr="00510442">
              <w:rPr>
                <w:rFonts w:ascii="Times New Roman" w:hAnsi="Times New Roman"/>
                <w:color w:val="000000"/>
                <w:sz w:val="22"/>
                <w:szCs w:val="22"/>
                <w:lang w:val="hr-HR"/>
              </w:rPr>
              <w:t>KS</w:t>
            </w:r>
            <w:r w:rsidR="009B57ED" w:rsidRPr="00510442">
              <w:rPr>
                <w:rFonts w:ascii="Times New Roman" w:hAnsi="Times New Roman"/>
                <w:color w:val="000000"/>
                <w:sz w:val="22"/>
                <w:szCs w:val="22"/>
                <w:lang w:val="hr-HR"/>
              </w:rPr>
              <w:t xml:space="preserve"> = </w:t>
            </w:r>
            <w:r w:rsidR="00AE7C83" w:rsidRPr="00510442">
              <w:rPr>
                <w:rFonts w:ascii="Times New Roman" w:hAnsi="Times New Roman"/>
                <w:sz w:val="22"/>
                <w:szCs w:val="22"/>
                <w:lang w:val="hr-HR"/>
              </w:rPr>
              <w:t>koštana srž</w:t>
            </w:r>
            <w:r w:rsidR="009B57ED" w:rsidRPr="00510442">
              <w:rPr>
                <w:rFonts w:ascii="Times New Roman" w:hAnsi="Times New Roman"/>
                <w:color w:val="000000"/>
                <w:sz w:val="22"/>
                <w:szCs w:val="22"/>
                <w:lang w:val="hr-HR"/>
              </w:rPr>
              <w:t>, P</w:t>
            </w:r>
            <w:r w:rsidRPr="00510442">
              <w:rPr>
                <w:rFonts w:ascii="Times New Roman" w:hAnsi="Times New Roman"/>
                <w:color w:val="000000"/>
                <w:sz w:val="22"/>
                <w:szCs w:val="22"/>
                <w:lang w:val="hr-HR"/>
              </w:rPr>
              <w:t>K</w:t>
            </w:r>
            <w:r w:rsidR="009B57ED" w:rsidRPr="00510442">
              <w:rPr>
                <w:rFonts w:ascii="Times New Roman" w:hAnsi="Times New Roman"/>
                <w:color w:val="000000"/>
                <w:sz w:val="22"/>
                <w:szCs w:val="22"/>
                <w:lang w:val="hr-HR"/>
              </w:rPr>
              <w:t xml:space="preserve"> = </w:t>
            </w:r>
            <w:r w:rsidR="00AE7C83" w:rsidRPr="00510442">
              <w:rPr>
                <w:rFonts w:ascii="Times New Roman" w:hAnsi="Times New Roman"/>
                <w:sz w:val="22"/>
                <w:szCs w:val="22"/>
                <w:lang w:val="hr-HR"/>
              </w:rPr>
              <w:t>periferna krv</w:t>
            </w:r>
          </w:p>
          <w:p w14:paraId="41C9EE83" w14:textId="77777777" w:rsidR="009B57ED" w:rsidRPr="00510442" w:rsidRDefault="009B57ED" w:rsidP="00422F71">
            <w:pPr>
              <w:pStyle w:val="Table"/>
              <w:keepNext w:val="0"/>
              <w:keepLines w:val="0"/>
              <w:widowControl w:val="0"/>
              <w:spacing w:before="0" w:after="0"/>
              <w:rPr>
                <w:rFonts w:ascii="Times New Roman" w:hAnsi="Times New Roman"/>
                <w:color w:val="000000"/>
                <w:sz w:val="22"/>
                <w:szCs w:val="22"/>
                <w:lang w:val="hr-HR"/>
              </w:rPr>
            </w:pPr>
            <w:r w:rsidRPr="00510442">
              <w:rPr>
                <w:rFonts w:ascii="Times New Roman" w:hAnsi="Times New Roman"/>
                <w:b/>
                <w:color w:val="000000"/>
                <w:sz w:val="22"/>
                <w:szCs w:val="22"/>
                <w:vertAlign w:val="superscript"/>
                <w:lang w:val="hr-HR"/>
              </w:rPr>
              <w:t xml:space="preserve">2 </w:t>
            </w:r>
            <w:r w:rsidR="00AE7C83" w:rsidRPr="00510442">
              <w:rPr>
                <w:rFonts w:ascii="Times New Roman" w:hAnsi="Times New Roman"/>
                <w:b/>
                <w:sz w:val="22"/>
                <w:szCs w:val="22"/>
                <w:lang w:val="hr-HR"/>
              </w:rPr>
              <w:t>Kriteriji citogenetskog odgovora</w:t>
            </w:r>
            <w:r w:rsidRPr="00510442">
              <w:rPr>
                <w:rFonts w:ascii="Times New Roman" w:hAnsi="Times New Roman"/>
                <w:b/>
                <w:color w:val="000000"/>
                <w:sz w:val="22"/>
                <w:szCs w:val="22"/>
                <w:lang w:val="hr-HR"/>
              </w:rPr>
              <w:t>:</w:t>
            </w:r>
          </w:p>
          <w:p w14:paraId="7ACFE942" w14:textId="77777777" w:rsidR="009B57ED" w:rsidRPr="00510442" w:rsidRDefault="00CE3410" w:rsidP="00A74D02">
            <w:pPr>
              <w:pStyle w:val="EndnoteText"/>
              <w:widowControl w:val="0"/>
              <w:tabs>
                <w:tab w:val="clear" w:pos="567"/>
              </w:tabs>
              <w:rPr>
                <w:color w:val="000000"/>
                <w:szCs w:val="22"/>
                <w:lang w:val="hr-HR"/>
              </w:rPr>
            </w:pPr>
            <w:r w:rsidRPr="00510442">
              <w:rPr>
                <w:szCs w:val="22"/>
                <w:lang w:val="hr-HR"/>
              </w:rPr>
              <w:t>Veliki odgovor je kombinacija potpunih i djelomičnih odgovora: potpuni (0% Ph+ metafaza), djelomični (1</w:t>
            </w:r>
            <w:r w:rsidR="00B3500D" w:rsidRPr="00510442">
              <w:rPr>
                <w:color w:val="000000"/>
                <w:szCs w:val="22"/>
                <w:lang w:val="hr-HR"/>
              </w:rPr>
              <w:noBreakHyphen/>
            </w:r>
            <w:r w:rsidRPr="00510442">
              <w:rPr>
                <w:szCs w:val="22"/>
                <w:lang w:val="hr-HR"/>
              </w:rPr>
              <w:t>35%)</w:t>
            </w:r>
          </w:p>
          <w:p w14:paraId="153488BB" w14:textId="77777777" w:rsidR="009B57ED" w:rsidRPr="00510442" w:rsidRDefault="009B57ED" w:rsidP="007F1BD0">
            <w:pPr>
              <w:pStyle w:val="EndnoteText"/>
              <w:widowControl w:val="0"/>
              <w:tabs>
                <w:tab w:val="clear" w:pos="567"/>
              </w:tabs>
              <w:rPr>
                <w:color w:val="000000"/>
                <w:szCs w:val="22"/>
                <w:lang w:val="hr-HR"/>
              </w:rPr>
            </w:pPr>
            <w:r w:rsidRPr="00510442">
              <w:rPr>
                <w:color w:val="000000"/>
                <w:szCs w:val="22"/>
                <w:vertAlign w:val="superscript"/>
                <w:lang w:val="hr-HR"/>
              </w:rPr>
              <w:t>3</w:t>
            </w:r>
            <w:r w:rsidRPr="00510442">
              <w:rPr>
                <w:color w:val="000000"/>
                <w:szCs w:val="22"/>
                <w:lang w:val="hr-HR"/>
              </w:rPr>
              <w:t xml:space="preserve"> </w:t>
            </w:r>
            <w:r w:rsidR="00CE3410" w:rsidRPr="00510442">
              <w:rPr>
                <w:szCs w:val="22"/>
                <w:lang w:val="hr-HR"/>
              </w:rPr>
              <w:t>Potpuni citogenetski odgovor potvrđen drugom citogenetskom procjenom koštane srži koja je provedena najmanje jedan mjesec nakon početnog ispitivanja koštane srži</w:t>
            </w:r>
            <w:r w:rsidRPr="00510442">
              <w:rPr>
                <w:color w:val="000000"/>
                <w:szCs w:val="22"/>
                <w:lang w:val="hr-HR"/>
              </w:rPr>
              <w:t>.</w:t>
            </w:r>
          </w:p>
        </w:tc>
      </w:tr>
    </w:tbl>
    <w:p w14:paraId="6F099C84" w14:textId="77777777" w:rsidR="009B57ED" w:rsidRPr="00510442" w:rsidRDefault="009B57ED" w:rsidP="0091773C">
      <w:pPr>
        <w:pStyle w:val="EndnoteText"/>
        <w:widowControl w:val="0"/>
        <w:tabs>
          <w:tab w:val="clear" w:pos="567"/>
        </w:tabs>
        <w:rPr>
          <w:color w:val="000000"/>
          <w:szCs w:val="22"/>
          <w:lang w:val="hr-HR"/>
        </w:rPr>
      </w:pPr>
    </w:p>
    <w:p w14:paraId="5EC6622C" w14:textId="63DEC779" w:rsidR="00F06833" w:rsidRPr="00510442" w:rsidRDefault="00F06833" w:rsidP="009B5630">
      <w:pPr>
        <w:spacing w:line="240" w:lineRule="auto"/>
        <w:rPr>
          <w:szCs w:val="22"/>
          <w:lang w:val="hr-HR"/>
        </w:rPr>
      </w:pPr>
      <w:r w:rsidRPr="00510442">
        <w:rPr>
          <w:i/>
          <w:szCs w:val="22"/>
          <w:lang w:val="hr-HR"/>
        </w:rPr>
        <w:t>Pedijatrijski bolesnici</w:t>
      </w:r>
      <w:r w:rsidRPr="00510442">
        <w:rPr>
          <w:szCs w:val="22"/>
          <w:lang w:val="hr-HR"/>
        </w:rPr>
        <w:t>: u ispitivanje faze I s povišenjem doze, uključeno je ukupno 26</w:t>
      </w:r>
      <w:r w:rsidRPr="00510442">
        <w:rPr>
          <w:color w:val="000000"/>
          <w:szCs w:val="22"/>
          <w:lang w:val="hr-HR"/>
        </w:rPr>
        <w:t> </w:t>
      </w:r>
      <w:r w:rsidRPr="00510442">
        <w:rPr>
          <w:szCs w:val="22"/>
          <w:lang w:val="hr-HR"/>
        </w:rPr>
        <w:t>pedijatrijskih bolesnika u dobi &lt;18</w:t>
      </w:r>
      <w:r w:rsidRPr="00510442">
        <w:rPr>
          <w:color w:val="000000"/>
          <w:szCs w:val="22"/>
          <w:lang w:val="hr-HR"/>
        </w:rPr>
        <w:t> </w:t>
      </w:r>
      <w:r w:rsidRPr="00510442">
        <w:rPr>
          <w:szCs w:val="22"/>
          <w:lang w:val="hr-HR"/>
        </w:rPr>
        <w:t xml:space="preserve">godina bilo s kroničnom fazom </w:t>
      </w:r>
      <w:r w:rsidR="00B655F5" w:rsidRPr="00510442">
        <w:rPr>
          <w:szCs w:val="22"/>
          <w:lang w:val="hr-HR"/>
        </w:rPr>
        <w:t>K</w:t>
      </w:r>
      <w:r w:rsidRPr="00510442">
        <w:rPr>
          <w:szCs w:val="22"/>
          <w:lang w:val="hr-HR"/>
        </w:rPr>
        <w:t xml:space="preserve">ML-a (n=11), bilo s </w:t>
      </w:r>
      <w:r w:rsidR="00B655F5" w:rsidRPr="00510442">
        <w:rPr>
          <w:szCs w:val="22"/>
          <w:lang w:val="hr-HR"/>
        </w:rPr>
        <w:t>K</w:t>
      </w:r>
      <w:r w:rsidRPr="00510442">
        <w:rPr>
          <w:szCs w:val="22"/>
          <w:lang w:val="hr-HR"/>
        </w:rPr>
        <w:t xml:space="preserve">ML-om u blastičnoj krizi ili Ph+ akutnim leukemijama (n=15). To je bila populacija bolesnika koja je ranije intenzivno liječena, budući da ih je 46% ranije primilo transplantaciju koštane srži (BMT), a 73% kemoterapiju s više </w:t>
      </w:r>
      <w:r w:rsidRPr="00510442">
        <w:rPr>
          <w:szCs w:val="22"/>
          <w:lang w:val="hr-HR"/>
        </w:rPr>
        <w:lastRenderedPageBreak/>
        <w:t xml:space="preserve">lijekova. Bolesnici su liječeni dozama </w:t>
      </w:r>
      <w:r w:rsidR="00512481" w:rsidRPr="00512481">
        <w:rPr>
          <w:szCs w:val="22"/>
          <w:lang w:val="hr-HR"/>
        </w:rPr>
        <w:t xml:space="preserve">lijeka </w:t>
      </w:r>
      <w:r w:rsidRPr="00510442">
        <w:rPr>
          <w:szCs w:val="22"/>
          <w:lang w:val="hr-HR"/>
        </w:rPr>
        <w:t>Glivec od 260</w:t>
      </w:r>
      <w:r w:rsidRPr="00510442">
        <w:rPr>
          <w:color w:val="000000"/>
          <w:szCs w:val="22"/>
          <w:lang w:val="hr-HR"/>
        </w:rPr>
        <w:t> </w:t>
      </w:r>
      <w:r w:rsidRPr="00510442">
        <w:rPr>
          <w:szCs w:val="22"/>
          <w:lang w:val="hr-HR"/>
        </w:rPr>
        <w:t>mg/m</w:t>
      </w:r>
      <w:r w:rsidRPr="00510442">
        <w:rPr>
          <w:szCs w:val="22"/>
          <w:vertAlign w:val="superscript"/>
          <w:lang w:val="hr-HR"/>
        </w:rPr>
        <w:t>2</w:t>
      </w:r>
      <w:r w:rsidRPr="00510442">
        <w:rPr>
          <w:szCs w:val="22"/>
          <w:lang w:val="hr-HR"/>
        </w:rPr>
        <w:t>/dan (n=5), 340</w:t>
      </w:r>
      <w:r w:rsidRPr="00510442">
        <w:rPr>
          <w:color w:val="000000"/>
          <w:szCs w:val="22"/>
          <w:lang w:val="hr-HR"/>
        </w:rPr>
        <w:t> </w:t>
      </w:r>
      <w:r w:rsidRPr="00510442">
        <w:rPr>
          <w:szCs w:val="22"/>
          <w:lang w:val="hr-HR"/>
        </w:rPr>
        <w:t>mg/m</w:t>
      </w:r>
      <w:r w:rsidRPr="00510442">
        <w:rPr>
          <w:szCs w:val="22"/>
          <w:vertAlign w:val="superscript"/>
          <w:lang w:val="hr-HR"/>
        </w:rPr>
        <w:t>2</w:t>
      </w:r>
      <w:r w:rsidRPr="00510442">
        <w:rPr>
          <w:szCs w:val="22"/>
          <w:lang w:val="hr-HR"/>
        </w:rPr>
        <w:t>/dan (n=9), 440</w:t>
      </w:r>
      <w:r w:rsidRPr="00510442">
        <w:rPr>
          <w:color w:val="000000"/>
          <w:szCs w:val="22"/>
          <w:lang w:val="hr-HR"/>
        </w:rPr>
        <w:t> </w:t>
      </w:r>
      <w:r w:rsidRPr="00510442">
        <w:rPr>
          <w:szCs w:val="22"/>
          <w:lang w:val="hr-HR"/>
        </w:rPr>
        <w:t>mg/m</w:t>
      </w:r>
      <w:r w:rsidRPr="00510442">
        <w:rPr>
          <w:szCs w:val="22"/>
          <w:vertAlign w:val="superscript"/>
          <w:lang w:val="hr-HR"/>
        </w:rPr>
        <w:t>2</w:t>
      </w:r>
      <w:r w:rsidRPr="00510442">
        <w:rPr>
          <w:szCs w:val="22"/>
          <w:lang w:val="hr-HR"/>
        </w:rPr>
        <w:t>/dan (n=7), te 570</w:t>
      </w:r>
      <w:r w:rsidRPr="00510442">
        <w:rPr>
          <w:color w:val="000000"/>
          <w:szCs w:val="22"/>
          <w:lang w:val="hr-HR"/>
        </w:rPr>
        <w:t> </w:t>
      </w:r>
      <w:r w:rsidRPr="00510442">
        <w:rPr>
          <w:szCs w:val="22"/>
          <w:lang w:val="hr-HR"/>
        </w:rPr>
        <w:t>mg/m</w:t>
      </w:r>
      <w:r w:rsidRPr="00510442">
        <w:rPr>
          <w:szCs w:val="22"/>
          <w:vertAlign w:val="superscript"/>
          <w:lang w:val="hr-HR"/>
        </w:rPr>
        <w:t>2</w:t>
      </w:r>
      <w:r w:rsidRPr="00510442">
        <w:rPr>
          <w:szCs w:val="22"/>
          <w:lang w:val="hr-HR"/>
        </w:rPr>
        <w:t>/dan (n=5). Od 9</w:t>
      </w:r>
      <w:r w:rsidRPr="00510442">
        <w:rPr>
          <w:color w:val="000000"/>
          <w:szCs w:val="22"/>
          <w:lang w:val="hr-HR"/>
        </w:rPr>
        <w:t> </w:t>
      </w:r>
      <w:r w:rsidRPr="00510442">
        <w:rPr>
          <w:szCs w:val="22"/>
          <w:lang w:val="hr-HR"/>
        </w:rPr>
        <w:t xml:space="preserve">bolesnika s kroničnom fazom </w:t>
      </w:r>
      <w:r w:rsidR="00B655F5" w:rsidRPr="00510442">
        <w:rPr>
          <w:szCs w:val="22"/>
          <w:lang w:val="hr-HR"/>
        </w:rPr>
        <w:t>K</w:t>
      </w:r>
      <w:r w:rsidRPr="00510442">
        <w:rPr>
          <w:szCs w:val="22"/>
          <w:lang w:val="hr-HR"/>
        </w:rPr>
        <w:t>ML-a i raspoloživim citogenetskim podacima, 4 (44%) i 3</w:t>
      </w:r>
      <w:r w:rsidRPr="00510442">
        <w:rPr>
          <w:color w:val="000000"/>
          <w:szCs w:val="22"/>
          <w:lang w:val="hr-HR"/>
        </w:rPr>
        <w:t> </w:t>
      </w:r>
      <w:r w:rsidRPr="00510442">
        <w:rPr>
          <w:szCs w:val="22"/>
          <w:lang w:val="hr-HR"/>
        </w:rPr>
        <w:t>(33%) je postiglo potpuni, odnosno djelomični citogenetski odgovor, za stopu MCyR-a od 77%.</w:t>
      </w:r>
    </w:p>
    <w:p w14:paraId="7BB11350" w14:textId="77777777" w:rsidR="00F06833" w:rsidRPr="00510442" w:rsidRDefault="00F06833" w:rsidP="009B5630">
      <w:pPr>
        <w:spacing w:line="240" w:lineRule="auto"/>
        <w:rPr>
          <w:szCs w:val="22"/>
          <w:lang w:val="hr-HR"/>
        </w:rPr>
      </w:pPr>
    </w:p>
    <w:p w14:paraId="533EE264" w14:textId="6C4FBD16" w:rsidR="00F06833" w:rsidRPr="00510442" w:rsidRDefault="00F06833" w:rsidP="009B5630">
      <w:pPr>
        <w:spacing w:line="240" w:lineRule="auto"/>
        <w:rPr>
          <w:szCs w:val="22"/>
          <w:lang w:val="hr-HR"/>
        </w:rPr>
      </w:pPr>
      <w:r w:rsidRPr="00510442">
        <w:rPr>
          <w:szCs w:val="22"/>
          <w:lang w:val="hr-HR"/>
        </w:rPr>
        <w:t>Ukupno 51</w:t>
      </w:r>
      <w:r w:rsidRPr="00510442">
        <w:rPr>
          <w:color w:val="000000"/>
          <w:szCs w:val="22"/>
          <w:lang w:val="hr-HR"/>
        </w:rPr>
        <w:t> </w:t>
      </w:r>
      <w:r w:rsidRPr="00510442">
        <w:rPr>
          <w:szCs w:val="22"/>
          <w:lang w:val="hr-HR"/>
        </w:rPr>
        <w:t xml:space="preserve">pedijatrijski bolesnik s novodijagnosticiranim i neliječenim </w:t>
      </w:r>
      <w:r w:rsidR="00B655F5" w:rsidRPr="00510442">
        <w:rPr>
          <w:szCs w:val="22"/>
          <w:lang w:val="hr-HR"/>
        </w:rPr>
        <w:t>K</w:t>
      </w:r>
      <w:r w:rsidRPr="00510442">
        <w:rPr>
          <w:szCs w:val="22"/>
          <w:lang w:val="hr-HR"/>
        </w:rPr>
        <w:t>ML-om u kroničnoj fazi je uključen u otvoreno, multicentrično, ispitivanje faze II s jednim krakom. Bolesnici su liječeni s 340</w:t>
      </w:r>
      <w:r w:rsidRPr="00510442">
        <w:rPr>
          <w:color w:val="000000"/>
          <w:szCs w:val="22"/>
          <w:lang w:val="hr-HR"/>
        </w:rPr>
        <w:t> </w:t>
      </w:r>
      <w:r w:rsidRPr="00510442">
        <w:rPr>
          <w:szCs w:val="22"/>
          <w:lang w:val="hr-HR"/>
        </w:rPr>
        <w:t>mg/m</w:t>
      </w:r>
      <w:r w:rsidRPr="00510442">
        <w:rPr>
          <w:szCs w:val="22"/>
          <w:vertAlign w:val="superscript"/>
          <w:lang w:val="hr-HR"/>
        </w:rPr>
        <w:t>2</w:t>
      </w:r>
      <w:r w:rsidRPr="00510442">
        <w:rPr>
          <w:szCs w:val="22"/>
          <w:lang w:val="hr-HR"/>
        </w:rPr>
        <w:t xml:space="preserve">/dan </w:t>
      </w:r>
      <w:r w:rsidR="00512481" w:rsidRPr="00512481">
        <w:rPr>
          <w:szCs w:val="22"/>
          <w:lang w:val="hr-HR"/>
        </w:rPr>
        <w:t xml:space="preserve">lijeka </w:t>
      </w:r>
      <w:r w:rsidRPr="00510442">
        <w:rPr>
          <w:szCs w:val="22"/>
          <w:lang w:val="hr-HR"/>
        </w:rPr>
        <w:t xml:space="preserve">Glivec, bez prekida u odsutnosti toksičnosti vezane uz dozu. Liječenje </w:t>
      </w:r>
      <w:r w:rsidR="00951360">
        <w:rPr>
          <w:szCs w:val="22"/>
          <w:lang w:val="hr-HR"/>
        </w:rPr>
        <w:t xml:space="preserve">lijekom </w:t>
      </w:r>
      <w:r w:rsidRPr="00510442">
        <w:rPr>
          <w:szCs w:val="22"/>
          <w:lang w:val="hr-HR"/>
        </w:rPr>
        <w:t xml:space="preserve">Glivec izazvalo je brzi odgovor u novodijagnosticiranih pedijatrijskih </w:t>
      </w:r>
      <w:r w:rsidR="00B655F5" w:rsidRPr="00510442">
        <w:rPr>
          <w:szCs w:val="22"/>
          <w:lang w:val="hr-HR"/>
        </w:rPr>
        <w:t>K</w:t>
      </w:r>
      <w:r w:rsidRPr="00510442">
        <w:rPr>
          <w:szCs w:val="22"/>
          <w:lang w:val="hr-HR"/>
        </w:rPr>
        <w:t>ML bolesnika sa CHR-om od 78% nakon 8</w:t>
      </w:r>
      <w:r w:rsidRPr="00510442">
        <w:rPr>
          <w:color w:val="000000"/>
          <w:szCs w:val="22"/>
          <w:lang w:val="hr-HR"/>
        </w:rPr>
        <w:t> </w:t>
      </w:r>
      <w:r w:rsidRPr="00510442">
        <w:rPr>
          <w:szCs w:val="22"/>
          <w:lang w:val="hr-HR"/>
        </w:rPr>
        <w:t xml:space="preserve">tjedana terapije. Visoka stopa </w:t>
      </w:r>
      <w:smartTag w:uri="urn:schemas-microsoft-com:office:smarttags" w:element="stockticker">
        <w:r w:rsidRPr="00510442">
          <w:rPr>
            <w:szCs w:val="22"/>
            <w:lang w:val="hr-HR"/>
          </w:rPr>
          <w:t>CHR</w:t>
        </w:r>
      </w:smartTag>
      <w:r w:rsidRPr="00510442">
        <w:rPr>
          <w:szCs w:val="22"/>
          <w:lang w:val="hr-HR"/>
        </w:rPr>
        <w:t>-a je praćena razvojem potpunog citogenetskog odgovora (CCyR) od 65% što je usporedivo s rezultatima dobivenim u odraslih. Osim toga, djelomični citogenetski odgovor (PCyR) uočen je u 16%, a veliki citogenetski odgovor (MCyR) u 81%. Većina bolesnika koja je postigla CCyR razvila je CCyR između 3 i 10</w:t>
      </w:r>
      <w:r w:rsidRPr="00510442">
        <w:rPr>
          <w:color w:val="000000"/>
          <w:szCs w:val="22"/>
          <w:lang w:val="hr-HR"/>
        </w:rPr>
        <w:t> </w:t>
      </w:r>
      <w:r w:rsidRPr="00510442">
        <w:rPr>
          <w:szCs w:val="22"/>
          <w:lang w:val="hr-HR"/>
        </w:rPr>
        <w:t xml:space="preserve">mjeseci, uz </w:t>
      </w:r>
      <w:r w:rsidR="00ED7C14" w:rsidRPr="00510442">
        <w:rPr>
          <w:szCs w:val="22"/>
          <w:lang w:val="hr-HR"/>
        </w:rPr>
        <w:t xml:space="preserve">medijan vremena </w:t>
      </w:r>
      <w:r w:rsidRPr="00510442">
        <w:rPr>
          <w:szCs w:val="22"/>
          <w:lang w:val="hr-HR"/>
        </w:rPr>
        <w:t>do odgovora od 5,6</w:t>
      </w:r>
      <w:r w:rsidRPr="00510442">
        <w:rPr>
          <w:color w:val="000000"/>
          <w:szCs w:val="22"/>
          <w:lang w:val="hr-HR"/>
        </w:rPr>
        <w:t> </w:t>
      </w:r>
      <w:r w:rsidRPr="00510442">
        <w:rPr>
          <w:szCs w:val="22"/>
          <w:lang w:val="hr-HR"/>
        </w:rPr>
        <w:t>mjeseci temeljeno na Kaplan-Meierovoj procjeni.</w:t>
      </w:r>
    </w:p>
    <w:p w14:paraId="2E7FF9C2" w14:textId="77777777" w:rsidR="00F06833" w:rsidRPr="00510442" w:rsidRDefault="00F06833" w:rsidP="009B5630">
      <w:pPr>
        <w:spacing w:line="240" w:lineRule="auto"/>
        <w:rPr>
          <w:szCs w:val="22"/>
          <w:u w:val="single"/>
          <w:lang w:val="hr-HR"/>
        </w:rPr>
      </w:pPr>
    </w:p>
    <w:p w14:paraId="7E9D62BC" w14:textId="77777777" w:rsidR="00F06833" w:rsidRPr="00510442" w:rsidRDefault="00F06833" w:rsidP="009B5630">
      <w:pPr>
        <w:autoSpaceDE w:val="0"/>
        <w:autoSpaceDN w:val="0"/>
        <w:adjustRightInd w:val="0"/>
        <w:spacing w:line="240" w:lineRule="auto"/>
        <w:rPr>
          <w:color w:val="000000"/>
          <w:szCs w:val="22"/>
          <w:lang w:val="hr-HR"/>
        </w:rPr>
      </w:pPr>
      <w:r w:rsidRPr="00510442">
        <w:rPr>
          <w:color w:val="000000"/>
          <w:szCs w:val="22"/>
          <w:lang w:val="hr-HR"/>
        </w:rPr>
        <w:t xml:space="preserve">Europska Agencija za lijekove </w:t>
      </w:r>
      <w:r w:rsidR="00781C79" w:rsidRPr="00510442">
        <w:rPr>
          <w:rFonts w:eastAsia="SimSun"/>
          <w:szCs w:val="22"/>
          <w:lang w:val="hr-HR" w:eastAsia="zh-CN"/>
        </w:rPr>
        <w:t>izuzela</w:t>
      </w:r>
      <w:r w:rsidRPr="00510442">
        <w:rPr>
          <w:color w:val="000000"/>
          <w:szCs w:val="22"/>
          <w:lang w:val="hr-HR"/>
        </w:rPr>
        <w:t xml:space="preserve"> </w:t>
      </w:r>
      <w:r w:rsidR="003B6316" w:rsidRPr="00510442">
        <w:rPr>
          <w:color w:val="000000"/>
          <w:szCs w:val="22"/>
          <w:lang w:val="hr-HR"/>
        </w:rPr>
        <w:t xml:space="preserve">je </w:t>
      </w:r>
      <w:r w:rsidRPr="00510442">
        <w:rPr>
          <w:color w:val="000000"/>
          <w:szCs w:val="22"/>
          <w:lang w:val="hr-HR"/>
        </w:rPr>
        <w:t xml:space="preserve">obvezu podnošenja rezultata ispitivanja </w:t>
      </w:r>
      <w:r w:rsidR="00781C79" w:rsidRPr="00510442">
        <w:rPr>
          <w:color w:val="000000"/>
          <w:szCs w:val="22"/>
          <w:lang w:val="hr-HR"/>
        </w:rPr>
        <w:t>lijeka</w:t>
      </w:r>
      <w:r w:rsidRPr="00510442">
        <w:rPr>
          <w:color w:val="000000"/>
          <w:szCs w:val="22"/>
          <w:lang w:val="hr-HR"/>
        </w:rPr>
        <w:t xml:space="preserve"> Glivec u svim podskupinama pedijatrijske populacije s kroničnom mijeloičnom leukemijom s pozitivnim Philadelphia kromosomom (bcr-abl translokacija) (vidjeti dio 4.2 za informacije o pedijatrijskoj primjeni).</w:t>
      </w:r>
    </w:p>
    <w:p w14:paraId="76E1CFA3" w14:textId="77777777" w:rsidR="00657FAB" w:rsidRPr="00510442" w:rsidRDefault="00657FAB" w:rsidP="0091773C">
      <w:pPr>
        <w:pStyle w:val="EndnoteText"/>
        <w:widowControl w:val="0"/>
        <w:rPr>
          <w:color w:val="000000"/>
          <w:szCs w:val="22"/>
          <w:lang w:val="hr-HR"/>
        </w:rPr>
      </w:pPr>
    </w:p>
    <w:p w14:paraId="4FE79E78" w14:textId="77777777" w:rsidR="00182DB5" w:rsidRPr="00510442" w:rsidRDefault="00182DB5" w:rsidP="003179A4">
      <w:pPr>
        <w:keepNext/>
        <w:spacing w:line="240" w:lineRule="auto"/>
        <w:outlineLvl w:val="0"/>
        <w:rPr>
          <w:szCs w:val="22"/>
          <w:u w:val="single"/>
          <w:lang w:val="hr-HR"/>
        </w:rPr>
      </w:pPr>
      <w:r w:rsidRPr="00510442">
        <w:rPr>
          <w:szCs w:val="22"/>
          <w:u w:val="single"/>
          <w:lang w:val="hr-HR"/>
        </w:rPr>
        <w:t>Klinička ispitivanja kod Ph+ ALL-a</w:t>
      </w:r>
    </w:p>
    <w:p w14:paraId="03B73DFC" w14:textId="77777777" w:rsidR="00182DB5" w:rsidRPr="00510442" w:rsidRDefault="00182DB5" w:rsidP="0091773C">
      <w:pPr>
        <w:pStyle w:val="Text"/>
        <w:spacing w:before="0"/>
        <w:jc w:val="left"/>
        <w:rPr>
          <w:sz w:val="22"/>
          <w:szCs w:val="22"/>
          <w:lang w:val="hr-HR"/>
        </w:rPr>
      </w:pPr>
      <w:r w:rsidRPr="00510442">
        <w:rPr>
          <w:i/>
          <w:color w:val="000000"/>
          <w:sz w:val="22"/>
          <w:szCs w:val="22"/>
          <w:lang w:val="hr-HR"/>
        </w:rPr>
        <w:t xml:space="preserve">Novodijagnosticirani Ph+ </w:t>
      </w:r>
      <w:smartTag w:uri="urn:schemas-microsoft-com:office:smarttags" w:element="stockticker">
        <w:r w:rsidRPr="00510442">
          <w:rPr>
            <w:i/>
            <w:color w:val="000000"/>
            <w:sz w:val="22"/>
            <w:szCs w:val="22"/>
            <w:lang w:val="hr-HR"/>
          </w:rPr>
          <w:t>ALL</w:t>
        </w:r>
      </w:smartTag>
      <w:r w:rsidRPr="00510442">
        <w:rPr>
          <w:color w:val="000000"/>
          <w:sz w:val="22"/>
          <w:szCs w:val="22"/>
          <w:lang w:val="hr-HR"/>
        </w:rPr>
        <w:t xml:space="preserve">: </w:t>
      </w:r>
      <w:r w:rsidRPr="00510442">
        <w:rPr>
          <w:sz w:val="22"/>
          <w:szCs w:val="22"/>
          <w:lang w:val="hr-HR"/>
        </w:rPr>
        <w:t>U kontroliranom ispitivanju (ADE10) imatiniba u odnosu na kemoterapiju u 55</w:t>
      </w:r>
      <w:r w:rsidRPr="00510442">
        <w:rPr>
          <w:color w:val="000000"/>
          <w:sz w:val="22"/>
          <w:szCs w:val="22"/>
          <w:lang w:val="hr-HR"/>
        </w:rPr>
        <w:t> </w:t>
      </w:r>
      <w:r w:rsidRPr="00510442">
        <w:rPr>
          <w:sz w:val="22"/>
          <w:szCs w:val="22"/>
          <w:lang w:val="hr-HR"/>
        </w:rPr>
        <w:t>novodijagnosticiranih bolesnika u dobi od 55</w:t>
      </w:r>
      <w:r w:rsidRPr="00510442">
        <w:rPr>
          <w:color w:val="000000"/>
          <w:sz w:val="22"/>
          <w:szCs w:val="22"/>
          <w:lang w:val="hr-HR"/>
        </w:rPr>
        <w:t> </w:t>
      </w:r>
      <w:r w:rsidRPr="00510442">
        <w:rPr>
          <w:sz w:val="22"/>
          <w:szCs w:val="22"/>
          <w:lang w:val="hr-HR"/>
        </w:rPr>
        <w:t>godina i više, imatinib korišten samostalno izazvao je značajno višu stopu potpunog hematološkog odgovora nego kemoterapija (96,3% u odnosu na 50%; p=0,0001). Kada je terapija imatinibom primijenjena bolesnicima koji nisu odgovarali ili su slabo odgovarali na kemoterapiju, 9 od 11</w:t>
      </w:r>
      <w:r w:rsidRPr="00510442">
        <w:rPr>
          <w:color w:val="000000"/>
          <w:sz w:val="22"/>
          <w:szCs w:val="22"/>
          <w:lang w:val="hr-HR"/>
        </w:rPr>
        <w:t> </w:t>
      </w:r>
      <w:r w:rsidRPr="00510442">
        <w:rPr>
          <w:sz w:val="22"/>
          <w:szCs w:val="22"/>
          <w:lang w:val="hr-HR"/>
        </w:rPr>
        <w:t>bolesnika (81,8%) postiglo je potpuni hematološki odgovor. Ovaj klinički učinak povezan je s većim smanjenjem u bcr-abl transkripciji u bolesnika liječenih imatinibom, nego u kraku koji je primao kemoterapiju, nakon 2</w:t>
      </w:r>
      <w:r w:rsidRPr="00510442">
        <w:rPr>
          <w:color w:val="000000"/>
          <w:sz w:val="22"/>
          <w:szCs w:val="22"/>
          <w:lang w:val="hr-HR"/>
        </w:rPr>
        <w:t> </w:t>
      </w:r>
      <w:r w:rsidRPr="00510442">
        <w:rPr>
          <w:sz w:val="22"/>
          <w:szCs w:val="22"/>
          <w:lang w:val="hr-HR"/>
        </w:rPr>
        <w:t>tjedna terapije (p=0,02). Svi su bolesnici primili imatinib i konsolidacijsku kemoterapiju (vidjeti Tablicu</w:t>
      </w:r>
      <w:r w:rsidRPr="00510442">
        <w:rPr>
          <w:color w:val="000000"/>
          <w:sz w:val="22"/>
          <w:szCs w:val="22"/>
          <w:lang w:val="hr-HR"/>
        </w:rPr>
        <w:t> </w:t>
      </w:r>
      <w:r w:rsidR="00A43561" w:rsidRPr="00510442">
        <w:rPr>
          <w:sz w:val="22"/>
          <w:szCs w:val="22"/>
          <w:lang w:val="hr-HR"/>
        </w:rPr>
        <w:t>4</w:t>
      </w:r>
      <w:r w:rsidRPr="00510442">
        <w:rPr>
          <w:sz w:val="22"/>
          <w:szCs w:val="22"/>
          <w:lang w:val="hr-HR"/>
        </w:rPr>
        <w:t>) nakon indukcije, a razine bcr-abl transkripcije bile su identične u dva kraka nakon 8</w:t>
      </w:r>
      <w:r w:rsidRPr="00510442">
        <w:rPr>
          <w:color w:val="000000"/>
          <w:sz w:val="22"/>
          <w:szCs w:val="22"/>
          <w:lang w:val="hr-HR"/>
        </w:rPr>
        <w:t> </w:t>
      </w:r>
      <w:r w:rsidRPr="00510442">
        <w:rPr>
          <w:sz w:val="22"/>
          <w:szCs w:val="22"/>
          <w:lang w:val="hr-HR"/>
        </w:rPr>
        <w:t xml:space="preserve">tjedana. </w:t>
      </w:r>
      <w:r w:rsidRPr="00510442">
        <w:rPr>
          <w:rFonts w:eastAsia="MS Mincho"/>
          <w:color w:val="000000"/>
          <w:sz w:val="22"/>
          <w:szCs w:val="22"/>
          <w:lang w:val="hr-HR" w:eastAsia="ja-JP"/>
        </w:rPr>
        <w:t>Kao što se očekivalo na temelju dizajna studije, nije uočena razlika u trajanju remisije, preživlj</w:t>
      </w:r>
      <w:r w:rsidR="009D0422" w:rsidRPr="00510442">
        <w:rPr>
          <w:rFonts w:eastAsia="MS Mincho"/>
          <w:color w:val="000000"/>
          <w:sz w:val="22"/>
          <w:szCs w:val="22"/>
          <w:lang w:val="hr-HR" w:eastAsia="ja-JP"/>
        </w:rPr>
        <w:t>e</w:t>
      </w:r>
      <w:r w:rsidRPr="00510442">
        <w:rPr>
          <w:rFonts w:eastAsia="MS Mincho"/>
          <w:color w:val="000000"/>
          <w:sz w:val="22"/>
          <w:szCs w:val="22"/>
          <w:lang w:val="hr-HR" w:eastAsia="ja-JP"/>
        </w:rPr>
        <w:t>nju bez bolesti ili ukupnom preživlj</w:t>
      </w:r>
      <w:r w:rsidR="00900BD3" w:rsidRPr="00510442">
        <w:rPr>
          <w:rFonts w:eastAsia="MS Mincho"/>
          <w:color w:val="000000"/>
          <w:sz w:val="22"/>
          <w:szCs w:val="22"/>
          <w:lang w:val="hr-HR" w:eastAsia="ja-JP"/>
        </w:rPr>
        <w:t>e</w:t>
      </w:r>
      <w:r w:rsidRPr="00510442">
        <w:rPr>
          <w:rFonts w:eastAsia="MS Mincho"/>
          <w:color w:val="000000"/>
          <w:sz w:val="22"/>
          <w:szCs w:val="22"/>
          <w:lang w:val="hr-HR" w:eastAsia="ja-JP"/>
        </w:rPr>
        <w:t>nju, premda su bolesnici s potpunim molekularnim odgovorom i s minimalnom rezidualnom bolešću imali bolji ishod u smislu dužine remisije (p=0,01) i preživlj</w:t>
      </w:r>
      <w:r w:rsidR="00DA1EC4" w:rsidRPr="00510442">
        <w:rPr>
          <w:rFonts w:eastAsia="MS Mincho"/>
          <w:color w:val="000000"/>
          <w:sz w:val="22"/>
          <w:szCs w:val="22"/>
          <w:lang w:val="hr-HR" w:eastAsia="ja-JP"/>
        </w:rPr>
        <w:t>e</w:t>
      </w:r>
      <w:r w:rsidRPr="00510442">
        <w:rPr>
          <w:rFonts w:eastAsia="MS Mincho"/>
          <w:color w:val="000000"/>
          <w:sz w:val="22"/>
          <w:szCs w:val="22"/>
          <w:lang w:val="hr-HR" w:eastAsia="ja-JP"/>
        </w:rPr>
        <w:t>nja bez bolesti (p=0,02)</w:t>
      </w:r>
      <w:r w:rsidRPr="00510442">
        <w:rPr>
          <w:sz w:val="22"/>
          <w:szCs w:val="22"/>
          <w:lang w:val="hr-HR"/>
        </w:rPr>
        <w:t>.</w:t>
      </w:r>
    </w:p>
    <w:p w14:paraId="27D19E9A" w14:textId="77777777" w:rsidR="00182DB5" w:rsidRPr="00510442" w:rsidRDefault="00182DB5" w:rsidP="00422F71">
      <w:pPr>
        <w:pStyle w:val="Text"/>
        <w:spacing w:before="0"/>
        <w:jc w:val="left"/>
        <w:rPr>
          <w:sz w:val="22"/>
          <w:szCs w:val="22"/>
          <w:lang w:val="hr-HR"/>
        </w:rPr>
      </w:pPr>
    </w:p>
    <w:p w14:paraId="2FBE3A4F" w14:textId="77777777" w:rsidR="00182DB5" w:rsidRPr="00510442" w:rsidRDefault="00182DB5" w:rsidP="00422F71">
      <w:pPr>
        <w:pStyle w:val="EndnoteText"/>
        <w:widowControl w:val="0"/>
        <w:rPr>
          <w:szCs w:val="22"/>
          <w:lang w:val="hr-HR"/>
        </w:rPr>
      </w:pPr>
      <w:r w:rsidRPr="00510442">
        <w:rPr>
          <w:szCs w:val="22"/>
          <w:lang w:val="hr-HR"/>
        </w:rPr>
        <w:t>Rezultati uočeni u populaciji od 211</w:t>
      </w:r>
      <w:r w:rsidRPr="00510442">
        <w:rPr>
          <w:color w:val="000000"/>
          <w:szCs w:val="22"/>
          <w:lang w:val="hr-HR"/>
        </w:rPr>
        <w:t> </w:t>
      </w:r>
      <w:r w:rsidRPr="00510442">
        <w:rPr>
          <w:szCs w:val="22"/>
          <w:lang w:val="hr-HR"/>
        </w:rPr>
        <w:t xml:space="preserve">novodijagnosticiranih Ph+ </w:t>
      </w:r>
      <w:smartTag w:uri="urn:schemas-microsoft-com:office:smarttags" w:element="stockticker">
        <w:r w:rsidRPr="00510442">
          <w:rPr>
            <w:szCs w:val="22"/>
            <w:lang w:val="hr-HR"/>
          </w:rPr>
          <w:t>ALL</w:t>
        </w:r>
      </w:smartTag>
      <w:r w:rsidRPr="00510442">
        <w:rPr>
          <w:szCs w:val="22"/>
          <w:lang w:val="hr-HR"/>
        </w:rPr>
        <w:t xml:space="preserve"> bolesnika u četiri nekontrolirana klinička ispitivanja (AAU02, ADE04, AJP01 i AUS01) su u skladu s rezultatima opisanim gore. Imatinib u kombinaciji s indukcijskom kemoterapijom (vidjeti Tablicu</w:t>
      </w:r>
      <w:r w:rsidRPr="00510442">
        <w:rPr>
          <w:color w:val="000000"/>
          <w:szCs w:val="22"/>
          <w:lang w:val="hr-HR"/>
        </w:rPr>
        <w:t> </w:t>
      </w:r>
      <w:r w:rsidR="00A43561" w:rsidRPr="00510442">
        <w:rPr>
          <w:szCs w:val="22"/>
          <w:lang w:val="hr-HR"/>
        </w:rPr>
        <w:t>4</w:t>
      </w:r>
      <w:r w:rsidRPr="00510442">
        <w:rPr>
          <w:szCs w:val="22"/>
          <w:lang w:val="hr-HR"/>
        </w:rPr>
        <w:t xml:space="preserve">) rezultira postizanjem </w:t>
      </w:r>
      <w:r w:rsidR="002367DC" w:rsidRPr="00510442">
        <w:rPr>
          <w:szCs w:val="22"/>
          <w:lang w:val="hr-HR"/>
        </w:rPr>
        <w:t xml:space="preserve">stope </w:t>
      </w:r>
      <w:r w:rsidRPr="00510442">
        <w:rPr>
          <w:szCs w:val="22"/>
          <w:lang w:val="hr-HR"/>
        </w:rPr>
        <w:t>potpunog hematološkog odgovora od 93% (147 od 158</w:t>
      </w:r>
      <w:r w:rsidR="008A1AF5" w:rsidRPr="00510442">
        <w:rPr>
          <w:color w:val="000000"/>
          <w:szCs w:val="22"/>
          <w:lang w:val="hr-HR"/>
        </w:rPr>
        <w:t> </w:t>
      </w:r>
      <w:r w:rsidRPr="00510442">
        <w:rPr>
          <w:szCs w:val="22"/>
          <w:lang w:val="hr-HR"/>
        </w:rPr>
        <w:t xml:space="preserve">procijenjenih bolesnika) i </w:t>
      </w:r>
      <w:r w:rsidR="002367DC" w:rsidRPr="00510442">
        <w:rPr>
          <w:szCs w:val="22"/>
          <w:lang w:val="hr-HR"/>
        </w:rPr>
        <w:t xml:space="preserve">stope </w:t>
      </w:r>
      <w:r w:rsidRPr="00510442">
        <w:rPr>
          <w:szCs w:val="22"/>
          <w:lang w:val="hr-HR"/>
        </w:rPr>
        <w:t>velikog citogenetskog odgovora od 90% (19 od 21</w:t>
      </w:r>
      <w:r w:rsidR="008A1AF5" w:rsidRPr="00510442">
        <w:rPr>
          <w:color w:val="000000"/>
          <w:szCs w:val="22"/>
          <w:lang w:val="hr-HR"/>
        </w:rPr>
        <w:t> </w:t>
      </w:r>
      <w:r w:rsidRPr="00510442">
        <w:rPr>
          <w:szCs w:val="22"/>
          <w:lang w:val="hr-HR"/>
        </w:rPr>
        <w:t>procijenjenog bolesnika). Potpuni molekularni odgovor postignut je u 48% (49 od 102</w:t>
      </w:r>
      <w:r w:rsidR="008A1AF5" w:rsidRPr="00510442">
        <w:rPr>
          <w:color w:val="000000"/>
          <w:szCs w:val="22"/>
          <w:lang w:val="hr-HR"/>
        </w:rPr>
        <w:t> </w:t>
      </w:r>
      <w:r w:rsidRPr="00510442">
        <w:rPr>
          <w:szCs w:val="22"/>
          <w:lang w:val="hr-HR"/>
        </w:rPr>
        <w:t>procijenjena bolesnika).</w:t>
      </w:r>
      <w:r w:rsidRPr="00510442">
        <w:rPr>
          <w:color w:val="000000"/>
          <w:szCs w:val="22"/>
          <w:lang w:val="hr-HR"/>
        </w:rPr>
        <w:t xml:space="preserve"> Preživlj</w:t>
      </w:r>
      <w:r w:rsidR="00DA1EC4" w:rsidRPr="00510442">
        <w:rPr>
          <w:color w:val="000000"/>
          <w:szCs w:val="22"/>
          <w:lang w:val="hr-HR"/>
        </w:rPr>
        <w:t>e</w:t>
      </w:r>
      <w:r w:rsidRPr="00510442">
        <w:rPr>
          <w:color w:val="000000"/>
          <w:szCs w:val="22"/>
          <w:lang w:val="hr-HR"/>
        </w:rPr>
        <w:t>nje bez bolesti (</w:t>
      </w:r>
      <w:smartTag w:uri="urn:schemas-microsoft-com:office:smarttags" w:element="stockticker">
        <w:r w:rsidRPr="00510442">
          <w:rPr>
            <w:color w:val="000000"/>
            <w:szCs w:val="22"/>
            <w:lang w:val="hr-HR"/>
          </w:rPr>
          <w:t>DFS</w:t>
        </w:r>
      </w:smartTag>
      <w:r w:rsidRPr="00510442">
        <w:rPr>
          <w:color w:val="000000"/>
          <w:szCs w:val="22"/>
          <w:lang w:val="hr-HR"/>
        </w:rPr>
        <w:t>) i ukupno preživlj</w:t>
      </w:r>
      <w:r w:rsidR="00DA1EC4" w:rsidRPr="00510442">
        <w:rPr>
          <w:color w:val="000000"/>
          <w:szCs w:val="22"/>
          <w:lang w:val="hr-HR"/>
        </w:rPr>
        <w:t>e</w:t>
      </w:r>
      <w:r w:rsidRPr="00510442">
        <w:rPr>
          <w:color w:val="000000"/>
          <w:szCs w:val="22"/>
          <w:lang w:val="hr-HR"/>
        </w:rPr>
        <w:t xml:space="preserve">nje (OS) stalno premašuju </w:t>
      </w:r>
      <w:r w:rsidR="00DC16FD" w:rsidRPr="00510442">
        <w:rPr>
          <w:color w:val="000000"/>
          <w:szCs w:val="22"/>
          <w:lang w:val="hr-HR"/>
        </w:rPr>
        <w:t xml:space="preserve">1 </w:t>
      </w:r>
      <w:r w:rsidRPr="00510442">
        <w:rPr>
          <w:color w:val="000000"/>
          <w:szCs w:val="22"/>
          <w:lang w:val="hr-HR"/>
        </w:rPr>
        <w:t>godinu te su superiorni nad prethodnim kontrolama (</w:t>
      </w:r>
      <w:smartTag w:uri="urn:schemas-microsoft-com:office:smarttags" w:element="stockticker">
        <w:r w:rsidRPr="00510442">
          <w:rPr>
            <w:color w:val="000000"/>
            <w:szCs w:val="22"/>
            <w:lang w:val="hr-HR"/>
          </w:rPr>
          <w:t>DFS</w:t>
        </w:r>
      </w:smartTag>
      <w:r w:rsidRPr="00510442">
        <w:rPr>
          <w:color w:val="000000"/>
          <w:szCs w:val="22"/>
          <w:lang w:val="hr-HR"/>
        </w:rPr>
        <w:t xml:space="preserve"> p&lt;0,001; OS p&lt;0,0001) u dva ispitivanja (AJP01 i AUS01).</w:t>
      </w:r>
    </w:p>
    <w:p w14:paraId="2FCFC3AA" w14:textId="77777777" w:rsidR="00657FAB" w:rsidRPr="00510442" w:rsidRDefault="00657FAB" w:rsidP="00A74D02">
      <w:pPr>
        <w:pStyle w:val="EndnoteText"/>
        <w:widowControl w:val="0"/>
        <w:rPr>
          <w:color w:val="000000"/>
          <w:szCs w:val="22"/>
          <w:lang w:val="hr-HR"/>
        </w:rPr>
      </w:pPr>
    </w:p>
    <w:p w14:paraId="509217DD" w14:textId="77777777" w:rsidR="00657FAB" w:rsidRPr="00510442" w:rsidRDefault="00657FAB" w:rsidP="003179A4">
      <w:pPr>
        <w:pStyle w:val="EndnoteText"/>
        <w:keepNext/>
        <w:widowControl w:val="0"/>
        <w:tabs>
          <w:tab w:val="clear" w:pos="567"/>
        </w:tabs>
        <w:ind w:left="1134" w:hanging="1134"/>
        <w:rPr>
          <w:b/>
          <w:bCs/>
          <w:color w:val="000000"/>
          <w:szCs w:val="22"/>
          <w:lang w:val="hr-HR"/>
        </w:rPr>
      </w:pPr>
      <w:r w:rsidRPr="00510442">
        <w:rPr>
          <w:b/>
          <w:bCs/>
          <w:color w:val="000000"/>
          <w:szCs w:val="22"/>
          <w:lang w:val="hr-HR"/>
        </w:rPr>
        <w:lastRenderedPageBreak/>
        <w:t>Tabl</w:t>
      </w:r>
      <w:r w:rsidR="008A1AF5" w:rsidRPr="00510442">
        <w:rPr>
          <w:b/>
          <w:bCs/>
          <w:color w:val="000000"/>
          <w:szCs w:val="22"/>
          <w:lang w:val="hr-HR"/>
        </w:rPr>
        <w:t>ica</w:t>
      </w:r>
      <w:r w:rsidRPr="00510442">
        <w:rPr>
          <w:b/>
          <w:bCs/>
          <w:color w:val="000000"/>
          <w:szCs w:val="22"/>
          <w:lang w:val="hr-HR"/>
        </w:rPr>
        <w:t> </w:t>
      </w:r>
      <w:r w:rsidR="00A43561" w:rsidRPr="00510442">
        <w:rPr>
          <w:b/>
          <w:bCs/>
          <w:color w:val="000000"/>
          <w:szCs w:val="22"/>
          <w:lang w:val="hr-HR"/>
        </w:rPr>
        <w:t>4</w:t>
      </w:r>
      <w:r w:rsidRPr="00510442">
        <w:rPr>
          <w:b/>
          <w:bCs/>
          <w:color w:val="000000"/>
          <w:szCs w:val="22"/>
          <w:lang w:val="hr-HR"/>
        </w:rPr>
        <w:tab/>
      </w:r>
      <w:r w:rsidR="008A1AF5" w:rsidRPr="00510442">
        <w:rPr>
          <w:b/>
          <w:szCs w:val="22"/>
          <w:lang w:val="hr-HR"/>
        </w:rPr>
        <w:t>Režim kemoterapije korišten u kombinaciji s imatinibom</w:t>
      </w:r>
    </w:p>
    <w:p w14:paraId="0FAA6197" w14:textId="77777777" w:rsidR="00657FAB" w:rsidRPr="00510442" w:rsidRDefault="00657FAB" w:rsidP="003179A4">
      <w:pPr>
        <w:pStyle w:val="EndnoteText"/>
        <w:keepNext/>
        <w:widowControl w:val="0"/>
        <w:rPr>
          <w:color w:val="000000"/>
          <w:szCs w:val="22"/>
          <w:lang w:val="hr-HR"/>
        </w:rPr>
      </w:pPr>
    </w:p>
    <w:tbl>
      <w:tblPr>
        <w:tblW w:w="8880" w:type="dxa"/>
        <w:tblInd w:w="228" w:type="dxa"/>
        <w:tblBorders>
          <w:top w:val="single" w:sz="4" w:space="0" w:color="auto"/>
          <w:bottom w:val="single" w:sz="4" w:space="0" w:color="auto"/>
        </w:tblBorders>
        <w:tblLayout w:type="fixed"/>
        <w:tblLook w:val="0000" w:firstRow="0" w:lastRow="0" w:firstColumn="0" w:lastColumn="0" w:noHBand="0" w:noVBand="0"/>
      </w:tblPr>
      <w:tblGrid>
        <w:gridCol w:w="2148"/>
        <w:gridCol w:w="2652"/>
        <w:gridCol w:w="1080"/>
        <w:gridCol w:w="1380"/>
        <w:gridCol w:w="1620"/>
      </w:tblGrid>
      <w:tr w:rsidR="00657FAB" w:rsidRPr="00510442" w14:paraId="355A525C" w14:textId="77777777">
        <w:tc>
          <w:tcPr>
            <w:tcW w:w="2148" w:type="dxa"/>
            <w:tcBorders>
              <w:top w:val="single" w:sz="4" w:space="0" w:color="auto"/>
              <w:bottom w:val="single" w:sz="4" w:space="0" w:color="auto"/>
            </w:tcBorders>
            <w:shd w:val="clear" w:color="auto" w:fill="auto"/>
          </w:tcPr>
          <w:p w14:paraId="166E8B57" w14:textId="77777777" w:rsidR="00657FAB" w:rsidRPr="00510442" w:rsidRDefault="00657FAB" w:rsidP="003179A4">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b/>
                <w:color w:val="000000"/>
                <w:sz w:val="22"/>
                <w:szCs w:val="22"/>
                <w:lang w:val="hr-HR"/>
              </w:rPr>
              <w:t>Stud</w:t>
            </w:r>
            <w:r w:rsidR="008A1AF5" w:rsidRPr="00510442">
              <w:rPr>
                <w:rFonts w:ascii="Times New Roman" w:hAnsi="Times New Roman"/>
                <w:b/>
                <w:color w:val="000000"/>
                <w:sz w:val="22"/>
                <w:szCs w:val="22"/>
                <w:lang w:val="hr-HR"/>
              </w:rPr>
              <w:t>ija</w:t>
            </w:r>
            <w:r w:rsidRPr="00510442">
              <w:rPr>
                <w:rFonts w:ascii="Times New Roman" w:hAnsi="Times New Roman"/>
                <w:b/>
                <w:color w:val="000000"/>
                <w:sz w:val="22"/>
                <w:szCs w:val="22"/>
                <w:lang w:val="hr-HR"/>
              </w:rPr>
              <w:t xml:space="preserve"> ADE10</w:t>
            </w:r>
          </w:p>
        </w:tc>
        <w:tc>
          <w:tcPr>
            <w:tcW w:w="6732" w:type="dxa"/>
            <w:gridSpan w:val="4"/>
            <w:tcBorders>
              <w:top w:val="single" w:sz="4" w:space="0" w:color="auto"/>
              <w:bottom w:val="single" w:sz="4" w:space="0" w:color="auto"/>
            </w:tcBorders>
            <w:shd w:val="clear" w:color="auto" w:fill="auto"/>
          </w:tcPr>
          <w:p w14:paraId="29E445E6" w14:textId="77777777" w:rsidR="00657FAB" w:rsidRPr="00510442" w:rsidRDefault="00657FAB" w:rsidP="003179A4">
            <w:pPr>
              <w:pStyle w:val="Table"/>
              <w:keepLines w:val="0"/>
              <w:widowControl w:val="0"/>
              <w:spacing w:before="0" w:after="0"/>
              <w:rPr>
                <w:rFonts w:ascii="Times New Roman" w:hAnsi="Times New Roman"/>
                <w:color w:val="000000"/>
                <w:sz w:val="22"/>
                <w:szCs w:val="22"/>
                <w:lang w:val="hr-HR"/>
              </w:rPr>
            </w:pPr>
          </w:p>
        </w:tc>
      </w:tr>
      <w:tr w:rsidR="00657FAB" w:rsidRPr="00510442" w14:paraId="22754A88" w14:textId="77777777">
        <w:tc>
          <w:tcPr>
            <w:tcW w:w="2148" w:type="dxa"/>
            <w:tcBorders>
              <w:top w:val="single" w:sz="4" w:space="0" w:color="auto"/>
              <w:bottom w:val="single" w:sz="4" w:space="0" w:color="auto"/>
            </w:tcBorders>
            <w:shd w:val="clear" w:color="auto" w:fill="auto"/>
          </w:tcPr>
          <w:p w14:paraId="65166A09" w14:textId="77777777" w:rsidR="00657FAB" w:rsidRPr="00510442" w:rsidRDefault="008A1AF5" w:rsidP="003179A4">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sz w:val="22"/>
                <w:szCs w:val="22"/>
                <w:lang w:val="hr-HR"/>
              </w:rPr>
              <w:t>Predfaza</w:t>
            </w:r>
          </w:p>
        </w:tc>
        <w:tc>
          <w:tcPr>
            <w:tcW w:w="6732" w:type="dxa"/>
            <w:gridSpan w:val="4"/>
            <w:tcBorders>
              <w:top w:val="single" w:sz="4" w:space="0" w:color="auto"/>
              <w:bottom w:val="single" w:sz="4" w:space="0" w:color="auto"/>
            </w:tcBorders>
            <w:shd w:val="clear" w:color="auto" w:fill="auto"/>
          </w:tcPr>
          <w:p w14:paraId="27EEDA93" w14:textId="77777777" w:rsidR="00110C04" w:rsidRPr="00510442" w:rsidRDefault="00657FAB" w:rsidP="003179A4">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DEX 10 mg/m</w:t>
            </w:r>
            <w:r w:rsidRPr="00510442">
              <w:rPr>
                <w:rFonts w:ascii="Times New Roman" w:hAnsi="Times New Roman"/>
                <w:color w:val="000000"/>
                <w:sz w:val="22"/>
                <w:szCs w:val="22"/>
                <w:vertAlign w:val="superscript"/>
                <w:lang w:val="hr-HR"/>
              </w:rPr>
              <w:t>2</w:t>
            </w:r>
            <w:r w:rsidRPr="00510442">
              <w:rPr>
                <w:rFonts w:ascii="Times New Roman" w:hAnsi="Times New Roman"/>
                <w:color w:val="000000"/>
                <w:sz w:val="22"/>
                <w:szCs w:val="22"/>
                <w:lang w:val="hr-HR"/>
              </w:rPr>
              <w:t xml:space="preserve"> </w:t>
            </w:r>
            <w:r w:rsidR="00541C00" w:rsidRPr="00510442">
              <w:rPr>
                <w:rFonts w:ascii="Times New Roman" w:hAnsi="Times New Roman"/>
                <w:color w:val="000000"/>
                <w:sz w:val="22"/>
                <w:szCs w:val="22"/>
                <w:lang w:val="hr-HR"/>
              </w:rPr>
              <w:t>per</w:t>
            </w:r>
            <w:r w:rsidRPr="00510442">
              <w:rPr>
                <w:rFonts w:ascii="Times New Roman" w:hAnsi="Times New Roman"/>
                <w:color w:val="000000"/>
                <w:sz w:val="22"/>
                <w:szCs w:val="22"/>
                <w:lang w:val="hr-HR"/>
              </w:rPr>
              <w:t>oral</w:t>
            </w:r>
            <w:r w:rsidR="008A1AF5" w:rsidRPr="00510442">
              <w:rPr>
                <w:rFonts w:ascii="Times New Roman" w:hAnsi="Times New Roman"/>
                <w:color w:val="000000"/>
                <w:sz w:val="22"/>
                <w:szCs w:val="22"/>
                <w:lang w:val="hr-HR"/>
              </w:rPr>
              <w:t>no</w:t>
            </w:r>
            <w:r w:rsidRPr="00510442">
              <w:rPr>
                <w:rFonts w:ascii="Times New Roman" w:hAnsi="Times New Roman"/>
                <w:color w:val="000000"/>
                <w:sz w:val="22"/>
                <w:szCs w:val="22"/>
                <w:lang w:val="hr-HR"/>
              </w:rPr>
              <w:t>, da</w:t>
            </w:r>
            <w:r w:rsidR="008A1AF5" w:rsidRPr="00510442">
              <w:rPr>
                <w:rFonts w:ascii="Times New Roman" w:hAnsi="Times New Roman"/>
                <w:color w:val="000000"/>
                <w:sz w:val="22"/>
                <w:szCs w:val="22"/>
                <w:lang w:val="hr-HR"/>
              </w:rPr>
              <w:t>ni</w:t>
            </w:r>
            <w:r w:rsidRPr="00510442">
              <w:rPr>
                <w:rFonts w:ascii="Times New Roman" w:hAnsi="Times New Roman"/>
                <w:color w:val="000000"/>
                <w:sz w:val="22"/>
                <w:szCs w:val="22"/>
                <w:lang w:val="hr-HR"/>
              </w:rPr>
              <w:t> 1</w:t>
            </w:r>
            <w:r w:rsidR="0065152B" w:rsidRPr="00510442">
              <w:rPr>
                <w:rFonts w:ascii="Times New Roman" w:hAnsi="Times New Roman"/>
                <w:color w:val="000000"/>
                <w:sz w:val="22"/>
                <w:szCs w:val="22"/>
                <w:lang w:val="hr-HR"/>
              </w:rPr>
              <w:noBreakHyphen/>
            </w:r>
            <w:r w:rsidRPr="00510442">
              <w:rPr>
                <w:rFonts w:ascii="Times New Roman" w:hAnsi="Times New Roman"/>
                <w:color w:val="000000"/>
                <w:sz w:val="22"/>
                <w:szCs w:val="22"/>
                <w:lang w:val="hr-HR"/>
              </w:rPr>
              <w:t>5;</w:t>
            </w:r>
          </w:p>
          <w:p w14:paraId="1144042F" w14:textId="77777777" w:rsidR="00110C04" w:rsidRPr="00510442" w:rsidRDefault="00657FAB" w:rsidP="003179A4">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CP 200 mg/m</w:t>
            </w:r>
            <w:r w:rsidRPr="00510442">
              <w:rPr>
                <w:rFonts w:ascii="Times New Roman" w:hAnsi="Times New Roman"/>
                <w:color w:val="000000"/>
                <w:sz w:val="22"/>
                <w:szCs w:val="22"/>
                <w:vertAlign w:val="superscript"/>
                <w:lang w:val="hr-HR"/>
              </w:rPr>
              <w:t>2</w:t>
            </w:r>
            <w:r w:rsidRPr="00510442">
              <w:rPr>
                <w:rFonts w:ascii="Times New Roman" w:hAnsi="Times New Roman"/>
                <w:color w:val="000000"/>
                <w:sz w:val="22"/>
                <w:szCs w:val="22"/>
                <w:lang w:val="hr-HR"/>
              </w:rPr>
              <w:t xml:space="preserve"> i.v., da</w:t>
            </w:r>
            <w:r w:rsidR="008A1AF5" w:rsidRPr="00510442">
              <w:rPr>
                <w:rFonts w:ascii="Times New Roman" w:hAnsi="Times New Roman"/>
                <w:color w:val="000000"/>
                <w:sz w:val="22"/>
                <w:szCs w:val="22"/>
                <w:lang w:val="hr-HR"/>
              </w:rPr>
              <w:t>ni</w:t>
            </w:r>
            <w:r w:rsidRPr="00510442">
              <w:rPr>
                <w:rFonts w:ascii="Times New Roman" w:hAnsi="Times New Roman"/>
                <w:color w:val="000000"/>
                <w:sz w:val="22"/>
                <w:szCs w:val="22"/>
                <w:lang w:val="hr-HR"/>
              </w:rPr>
              <w:t> 3, 4, 5;</w:t>
            </w:r>
          </w:p>
          <w:p w14:paraId="79613D30" w14:textId="77777777" w:rsidR="00657FAB" w:rsidRPr="00510442" w:rsidRDefault="00657FAB" w:rsidP="003179A4">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MTX 12 mg intrat</w:t>
            </w:r>
            <w:r w:rsidR="008A1AF5" w:rsidRPr="00510442">
              <w:rPr>
                <w:rFonts w:ascii="Times New Roman" w:hAnsi="Times New Roman"/>
                <w:color w:val="000000"/>
                <w:sz w:val="22"/>
                <w:szCs w:val="22"/>
                <w:lang w:val="hr-HR"/>
              </w:rPr>
              <w:t>ekalno</w:t>
            </w:r>
            <w:r w:rsidRPr="00510442">
              <w:rPr>
                <w:rFonts w:ascii="Times New Roman" w:hAnsi="Times New Roman"/>
                <w:color w:val="000000"/>
                <w:sz w:val="22"/>
                <w:szCs w:val="22"/>
                <w:lang w:val="hr-HR"/>
              </w:rPr>
              <w:t>, da</w:t>
            </w:r>
            <w:r w:rsidR="008A1AF5" w:rsidRPr="00510442">
              <w:rPr>
                <w:rFonts w:ascii="Times New Roman" w:hAnsi="Times New Roman"/>
                <w:color w:val="000000"/>
                <w:sz w:val="22"/>
                <w:szCs w:val="22"/>
                <w:lang w:val="hr-HR"/>
              </w:rPr>
              <w:t>n</w:t>
            </w:r>
            <w:r w:rsidRPr="00510442">
              <w:rPr>
                <w:rFonts w:ascii="Times New Roman" w:hAnsi="Times New Roman"/>
                <w:color w:val="000000"/>
                <w:sz w:val="22"/>
                <w:szCs w:val="22"/>
                <w:lang w:val="hr-HR"/>
              </w:rPr>
              <w:t> 1</w:t>
            </w:r>
          </w:p>
        </w:tc>
      </w:tr>
      <w:tr w:rsidR="00657FAB" w:rsidRPr="00510442" w14:paraId="7061DE43" w14:textId="77777777">
        <w:tc>
          <w:tcPr>
            <w:tcW w:w="2148" w:type="dxa"/>
            <w:tcBorders>
              <w:top w:val="single" w:sz="4" w:space="0" w:color="auto"/>
              <w:bottom w:val="single" w:sz="4" w:space="0" w:color="auto"/>
            </w:tcBorders>
            <w:shd w:val="clear" w:color="auto" w:fill="auto"/>
          </w:tcPr>
          <w:p w14:paraId="08B9130F" w14:textId="77777777" w:rsidR="00657FAB" w:rsidRPr="00510442" w:rsidRDefault="008A1AF5" w:rsidP="003179A4">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sz w:val="22"/>
                <w:szCs w:val="22"/>
                <w:lang w:val="hr-HR"/>
              </w:rPr>
              <w:t>Indukcija remisije</w:t>
            </w:r>
          </w:p>
        </w:tc>
        <w:tc>
          <w:tcPr>
            <w:tcW w:w="6732" w:type="dxa"/>
            <w:gridSpan w:val="4"/>
            <w:tcBorders>
              <w:top w:val="single" w:sz="4" w:space="0" w:color="auto"/>
              <w:bottom w:val="single" w:sz="4" w:space="0" w:color="auto"/>
            </w:tcBorders>
            <w:shd w:val="clear" w:color="auto" w:fill="auto"/>
          </w:tcPr>
          <w:p w14:paraId="3F1CDD26" w14:textId="77777777" w:rsidR="00110C04" w:rsidRPr="00510442" w:rsidRDefault="00657FAB" w:rsidP="003179A4">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DEX 10 mg/m</w:t>
            </w:r>
            <w:r w:rsidRPr="00510442">
              <w:rPr>
                <w:rFonts w:ascii="Times New Roman" w:hAnsi="Times New Roman"/>
                <w:color w:val="000000"/>
                <w:sz w:val="22"/>
                <w:szCs w:val="22"/>
                <w:vertAlign w:val="superscript"/>
                <w:lang w:val="hr-HR"/>
              </w:rPr>
              <w:t>2</w:t>
            </w:r>
            <w:r w:rsidRPr="00510442">
              <w:rPr>
                <w:rFonts w:ascii="Times New Roman" w:hAnsi="Times New Roman"/>
                <w:color w:val="000000"/>
                <w:sz w:val="22"/>
                <w:szCs w:val="22"/>
                <w:lang w:val="hr-HR"/>
              </w:rPr>
              <w:t xml:space="preserve"> </w:t>
            </w:r>
            <w:r w:rsidR="00541C00" w:rsidRPr="00510442">
              <w:rPr>
                <w:rFonts w:ascii="Times New Roman" w:hAnsi="Times New Roman"/>
                <w:color w:val="000000"/>
                <w:sz w:val="22"/>
                <w:szCs w:val="22"/>
                <w:lang w:val="hr-HR"/>
              </w:rPr>
              <w:t>per</w:t>
            </w:r>
            <w:r w:rsidRPr="00510442">
              <w:rPr>
                <w:rFonts w:ascii="Times New Roman" w:hAnsi="Times New Roman"/>
                <w:color w:val="000000"/>
                <w:sz w:val="22"/>
                <w:szCs w:val="22"/>
                <w:lang w:val="hr-HR"/>
              </w:rPr>
              <w:t>oral</w:t>
            </w:r>
            <w:r w:rsidR="008A1AF5" w:rsidRPr="00510442">
              <w:rPr>
                <w:rFonts w:ascii="Times New Roman" w:hAnsi="Times New Roman"/>
                <w:color w:val="000000"/>
                <w:sz w:val="22"/>
                <w:szCs w:val="22"/>
                <w:lang w:val="hr-HR"/>
              </w:rPr>
              <w:t>no</w:t>
            </w:r>
            <w:r w:rsidRPr="00510442">
              <w:rPr>
                <w:rFonts w:ascii="Times New Roman" w:hAnsi="Times New Roman"/>
                <w:color w:val="000000"/>
                <w:sz w:val="22"/>
                <w:szCs w:val="22"/>
                <w:lang w:val="hr-HR"/>
              </w:rPr>
              <w:t>, da</w:t>
            </w:r>
            <w:r w:rsidR="008A1AF5" w:rsidRPr="00510442">
              <w:rPr>
                <w:rFonts w:ascii="Times New Roman" w:hAnsi="Times New Roman"/>
                <w:color w:val="000000"/>
                <w:sz w:val="22"/>
                <w:szCs w:val="22"/>
                <w:lang w:val="hr-HR"/>
              </w:rPr>
              <w:t>ni</w:t>
            </w:r>
            <w:r w:rsidRPr="00510442">
              <w:rPr>
                <w:rFonts w:ascii="Times New Roman" w:hAnsi="Times New Roman"/>
                <w:color w:val="000000"/>
                <w:sz w:val="22"/>
                <w:szCs w:val="22"/>
                <w:lang w:val="hr-HR"/>
              </w:rPr>
              <w:t> 6</w:t>
            </w:r>
            <w:r w:rsidR="0065152B" w:rsidRPr="00510442">
              <w:rPr>
                <w:rFonts w:ascii="Times New Roman" w:hAnsi="Times New Roman"/>
                <w:color w:val="000000"/>
                <w:sz w:val="22"/>
                <w:szCs w:val="22"/>
                <w:lang w:val="hr-HR"/>
              </w:rPr>
              <w:noBreakHyphen/>
            </w:r>
            <w:r w:rsidRPr="00510442">
              <w:rPr>
                <w:rFonts w:ascii="Times New Roman" w:hAnsi="Times New Roman"/>
                <w:color w:val="000000"/>
                <w:sz w:val="22"/>
                <w:szCs w:val="22"/>
                <w:lang w:val="hr-HR"/>
              </w:rPr>
              <w:t>7, 13</w:t>
            </w:r>
            <w:r w:rsidR="0065152B" w:rsidRPr="00510442">
              <w:rPr>
                <w:rFonts w:ascii="Times New Roman" w:hAnsi="Times New Roman"/>
                <w:color w:val="000000"/>
                <w:sz w:val="22"/>
                <w:szCs w:val="22"/>
                <w:lang w:val="hr-HR"/>
              </w:rPr>
              <w:noBreakHyphen/>
            </w:r>
            <w:r w:rsidRPr="00510442">
              <w:rPr>
                <w:rFonts w:ascii="Times New Roman" w:hAnsi="Times New Roman"/>
                <w:color w:val="000000"/>
                <w:sz w:val="22"/>
                <w:szCs w:val="22"/>
                <w:lang w:val="hr-HR"/>
              </w:rPr>
              <w:t>16;</w:t>
            </w:r>
          </w:p>
          <w:p w14:paraId="515CC535" w14:textId="77777777" w:rsidR="00110C04" w:rsidRPr="00510442" w:rsidRDefault="00657FAB" w:rsidP="003179A4">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VCR 1 mg i.v., da</w:t>
            </w:r>
            <w:r w:rsidR="008A1AF5" w:rsidRPr="00510442">
              <w:rPr>
                <w:rFonts w:ascii="Times New Roman" w:hAnsi="Times New Roman"/>
                <w:color w:val="000000"/>
                <w:sz w:val="22"/>
                <w:szCs w:val="22"/>
                <w:lang w:val="hr-HR"/>
              </w:rPr>
              <w:t>ni</w:t>
            </w:r>
            <w:r w:rsidRPr="00510442">
              <w:rPr>
                <w:rFonts w:ascii="Times New Roman" w:hAnsi="Times New Roman"/>
                <w:color w:val="000000"/>
                <w:sz w:val="22"/>
                <w:szCs w:val="22"/>
                <w:lang w:val="hr-HR"/>
              </w:rPr>
              <w:t> 7, 14;</w:t>
            </w:r>
          </w:p>
          <w:p w14:paraId="6F066A40" w14:textId="77777777" w:rsidR="00110C04" w:rsidRPr="00510442" w:rsidRDefault="00657FAB" w:rsidP="003179A4">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IDA 8 mg/m</w:t>
            </w:r>
            <w:r w:rsidRPr="00510442">
              <w:rPr>
                <w:rFonts w:ascii="Times New Roman" w:hAnsi="Times New Roman"/>
                <w:color w:val="000000"/>
                <w:sz w:val="22"/>
                <w:szCs w:val="22"/>
                <w:vertAlign w:val="superscript"/>
                <w:lang w:val="hr-HR"/>
              </w:rPr>
              <w:t>2</w:t>
            </w:r>
            <w:r w:rsidRPr="00510442">
              <w:rPr>
                <w:rFonts w:ascii="Times New Roman" w:hAnsi="Times New Roman"/>
                <w:color w:val="000000"/>
                <w:sz w:val="22"/>
                <w:szCs w:val="22"/>
                <w:lang w:val="hr-HR"/>
              </w:rPr>
              <w:t xml:space="preserve"> i.v. (0</w:t>
            </w:r>
            <w:r w:rsidR="008A1AF5" w:rsidRPr="00510442">
              <w:rPr>
                <w:rFonts w:ascii="Times New Roman" w:hAnsi="Times New Roman"/>
                <w:color w:val="000000"/>
                <w:sz w:val="22"/>
                <w:szCs w:val="22"/>
                <w:lang w:val="hr-HR"/>
              </w:rPr>
              <w:t>,</w:t>
            </w:r>
            <w:r w:rsidRPr="00510442">
              <w:rPr>
                <w:rFonts w:ascii="Times New Roman" w:hAnsi="Times New Roman"/>
                <w:color w:val="000000"/>
                <w:sz w:val="22"/>
                <w:szCs w:val="22"/>
                <w:lang w:val="hr-HR"/>
              </w:rPr>
              <w:t>5 h), da</w:t>
            </w:r>
            <w:r w:rsidR="008A1AF5" w:rsidRPr="00510442">
              <w:rPr>
                <w:rFonts w:ascii="Times New Roman" w:hAnsi="Times New Roman"/>
                <w:color w:val="000000"/>
                <w:sz w:val="22"/>
                <w:szCs w:val="22"/>
                <w:lang w:val="hr-HR"/>
              </w:rPr>
              <w:t>ni</w:t>
            </w:r>
            <w:r w:rsidRPr="00510442">
              <w:rPr>
                <w:rFonts w:ascii="Times New Roman" w:hAnsi="Times New Roman"/>
                <w:color w:val="000000"/>
                <w:sz w:val="22"/>
                <w:szCs w:val="22"/>
                <w:lang w:val="hr-HR"/>
              </w:rPr>
              <w:t> 7, 8, 14, 15;</w:t>
            </w:r>
          </w:p>
          <w:p w14:paraId="64271DF2" w14:textId="77777777" w:rsidR="00110C04" w:rsidRPr="00510442" w:rsidRDefault="00657FAB" w:rsidP="003179A4">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CP 500 mg/m</w:t>
            </w:r>
            <w:r w:rsidRPr="00510442">
              <w:rPr>
                <w:rFonts w:ascii="Times New Roman" w:hAnsi="Times New Roman"/>
                <w:color w:val="000000"/>
                <w:sz w:val="22"/>
                <w:szCs w:val="22"/>
                <w:vertAlign w:val="superscript"/>
                <w:lang w:val="hr-HR"/>
              </w:rPr>
              <w:t>2</w:t>
            </w:r>
            <w:r w:rsidRPr="00510442">
              <w:rPr>
                <w:rFonts w:ascii="Times New Roman" w:hAnsi="Times New Roman"/>
                <w:color w:val="000000"/>
                <w:sz w:val="22"/>
                <w:szCs w:val="22"/>
                <w:lang w:val="hr-HR"/>
              </w:rPr>
              <w:t xml:space="preserve"> i.v.(1 h) da</w:t>
            </w:r>
            <w:r w:rsidR="008A1AF5" w:rsidRPr="00510442">
              <w:rPr>
                <w:rFonts w:ascii="Times New Roman" w:hAnsi="Times New Roman"/>
                <w:color w:val="000000"/>
                <w:sz w:val="22"/>
                <w:szCs w:val="22"/>
                <w:lang w:val="hr-HR"/>
              </w:rPr>
              <w:t>n</w:t>
            </w:r>
            <w:r w:rsidRPr="00510442">
              <w:rPr>
                <w:rFonts w:ascii="Times New Roman" w:hAnsi="Times New Roman"/>
                <w:color w:val="000000"/>
                <w:sz w:val="22"/>
                <w:szCs w:val="22"/>
                <w:lang w:val="hr-HR"/>
              </w:rPr>
              <w:t> 1;</w:t>
            </w:r>
          </w:p>
          <w:p w14:paraId="4BB4C121" w14:textId="77777777" w:rsidR="00657FAB" w:rsidRPr="00510442" w:rsidRDefault="00657FAB" w:rsidP="003179A4">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Ara-C 60 mg/m</w:t>
            </w:r>
            <w:r w:rsidRPr="00510442">
              <w:rPr>
                <w:rFonts w:ascii="Times New Roman" w:hAnsi="Times New Roman"/>
                <w:color w:val="000000"/>
                <w:sz w:val="22"/>
                <w:szCs w:val="22"/>
                <w:vertAlign w:val="superscript"/>
                <w:lang w:val="hr-HR"/>
              </w:rPr>
              <w:t>2</w:t>
            </w:r>
            <w:r w:rsidRPr="00510442">
              <w:rPr>
                <w:rFonts w:ascii="Times New Roman" w:hAnsi="Times New Roman"/>
                <w:color w:val="000000"/>
                <w:sz w:val="22"/>
                <w:szCs w:val="22"/>
                <w:lang w:val="hr-HR"/>
              </w:rPr>
              <w:t xml:space="preserve"> i.v., da</w:t>
            </w:r>
            <w:r w:rsidR="008A1AF5" w:rsidRPr="00510442">
              <w:rPr>
                <w:rFonts w:ascii="Times New Roman" w:hAnsi="Times New Roman"/>
                <w:color w:val="000000"/>
                <w:sz w:val="22"/>
                <w:szCs w:val="22"/>
                <w:lang w:val="hr-HR"/>
              </w:rPr>
              <w:t>ni</w:t>
            </w:r>
            <w:r w:rsidRPr="00510442">
              <w:rPr>
                <w:rFonts w:ascii="Times New Roman" w:hAnsi="Times New Roman"/>
                <w:color w:val="000000"/>
                <w:sz w:val="22"/>
                <w:szCs w:val="22"/>
                <w:lang w:val="hr-HR"/>
              </w:rPr>
              <w:t> 22</w:t>
            </w:r>
            <w:r w:rsidR="0065152B" w:rsidRPr="00510442">
              <w:rPr>
                <w:rFonts w:ascii="Times New Roman" w:hAnsi="Times New Roman"/>
                <w:color w:val="000000"/>
                <w:sz w:val="22"/>
                <w:szCs w:val="22"/>
                <w:lang w:val="hr-HR"/>
              </w:rPr>
              <w:noBreakHyphen/>
            </w:r>
            <w:r w:rsidRPr="00510442">
              <w:rPr>
                <w:rFonts w:ascii="Times New Roman" w:hAnsi="Times New Roman"/>
                <w:color w:val="000000"/>
                <w:sz w:val="22"/>
                <w:szCs w:val="22"/>
                <w:lang w:val="hr-HR"/>
              </w:rPr>
              <w:t>25, 29</w:t>
            </w:r>
            <w:r w:rsidR="0065152B" w:rsidRPr="00510442">
              <w:rPr>
                <w:rFonts w:ascii="Times New Roman" w:hAnsi="Times New Roman"/>
                <w:color w:val="000000"/>
                <w:sz w:val="22"/>
                <w:szCs w:val="22"/>
                <w:lang w:val="hr-HR"/>
              </w:rPr>
              <w:noBreakHyphen/>
            </w:r>
            <w:r w:rsidRPr="00510442">
              <w:rPr>
                <w:rFonts w:ascii="Times New Roman" w:hAnsi="Times New Roman"/>
                <w:color w:val="000000"/>
                <w:sz w:val="22"/>
                <w:szCs w:val="22"/>
                <w:lang w:val="hr-HR"/>
              </w:rPr>
              <w:t>32</w:t>
            </w:r>
          </w:p>
        </w:tc>
      </w:tr>
      <w:tr w:rsidR="00657FAB" w:rsidRPr="00510442" w14:paraId="71235A95" w14:textId="77777777">
        <w:tc>
          <w:tcPr>
            <w:tcW w:w="2148" w:type="dxa"/>
            <w:tcBorders>
              <w:top w:val="single" w:sz="4" w:space="0" w:color="auto"/>
              <w:bottom w:val="single" w:sz="4" w:space="0" w:color="auto"/>
            </w:tcBorders>
            <w:shd w:val="clear" w:color="auto" w:fill="auto"/>
          </w:tcPr>
          <w:p w14:paraId="759890EB" w14:textId="77777777" w:rsidR="00657FAB" w:rsidRPr="00510442" w:rsidRDefault="008A1AF5" w:rsidP="003179A4">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sz w:val="22"/>
                <w:szCs w:val="22"/>
                <w:lang w:val="hr-HR"/>
              </w:rPr>
              <w:t>Konsolidacijska terapija I, III, V</w:t>
            </w:r>
          </w:p>
        </w:tc>
        <w:tc>
          <w:tcPr>
            <w:tcW w:w="6732" w:type="dxa"/>
            <w:gridSpan w:val="4"/>
            <w:tcBorders>
              <w:top w:val="single" w:sz="4" w:space="0" w:color="auto"/>
              <w:bottom w:val="single" w:sz="4" w:space="0" w:color="auto"/>
            </w:tcBorders>
            <w:shd w:val="clear" w:color="auto" w:fill="auto"/>
          </w:tcPr>
          <w:p w14:paraId="78FC8CD1" w14:textId="77777777" w:rsidR="00110C04" w:rsidRPr="00510442" w:rsidRDefault="00657FAB" w:rsidP="003179A4">
            <w:pPr>
              <w:pStyle w:val="Table"/>
              <w:keepLines w:val="0"/>
              <w:widowControl w:val="0"/>
              <w:spacing w:before="0" w:after="0"/>
              <w:rPr>
                <w:rFonts w:ascii="Times New Roman" w:hAnsi="Times New Roman"/>
                <w:color w:val="000000"/>
                <w:sz w:val="22"/>
                <w:szCs w:val="22"/>
                <w:lang w:val="hr-HR"/>
              </w:rPr>
            </w:pPr>
            <w:smartTag w:uri="urn:schemas-microsoft-com:office:smarttags" w:element="stockticker">
              <w:r w:rsidRPr="00510442">
                <w:rPr>
                  <w:rFonts w:ascii="Times New Roman" w:hAnsi="Times New Roman"/>
                  <w:color w:val="000000"/>
                  <w:sz w:val="22"/>
                  <w:szCs w:val="22"/>
                  <w:lang w:val="hr-HR"/>
                </w:rPr>
                <w:t>MTX</w:t>
              </w:r>
            </w:smartTag>
            <w:r w:rsidRPr="00510442">
              <w:rPr>
                <w:rFonts w:ascii="Times New Roman" w:hAnsi="Times New Roman"/>
                <w:color w:val="000000"/>
                <w:sz w:val="22"/>
                <w:szCs w:val="22"/>
                <w:lang w:val="hr-HR"/>
              </w:rPr>
              <w:t xml:space="preserve"> 500 mg/m</w:t>
            </w:r>
            <w:r w:rsidRPr="00510442">
              <w:rPr>
                <w:rFonts w:ascii="Times New Roman" w:hAnsi="Times New Roman"/>
                <w:color w:val="000000"/>
                <w:sz w:val="22"/>
                <w:szCs w:val="22"/>
                <w:vertAlign w:val="superscript"/>
                <w:lang w:val="hr-HR"/>
              </w:rPr>
              <w:t>2</w:t>
            </w:r>
            <w:r w:rsidRPr="00510442">
              <w:rPr>
                <w:rFonts w:ascii="Times New Roman" w:hAnsi="Times New Roman"/>
                <w:color w:val="000000"/>
                <w:sz w:val="22"/>
                <w:szCs w:val="22"/>
                <w:lang w:val="hr-HR"/>
              </w:rPr>
              <w:t xml:space="preserve"> i.v. (24 h), da</w:t>
            </w:r>
            <w:r w:rsidR="008A1AF5" w:rsidRPr="00510442">
              <w:rPr>
                <w:rFonts w:ascii="Times New Roman" w:hAnsi="Times New Roman"/>
                <w:color w:val="000000"/>
                <w:sz w:val="22"/>
                <w:szCs w:val="22"/>
                <w:lang w:val="hr-HR"/>
              </w:rPr>
              <w:t>ni</w:t>
            </w:r>
            <w:r w:rsidRPr="00510442">
              <w:rPr>
                <w:rFonts w:ascii="Times New Roman" w:hAnsi="Times New Roman"/>
                <w:color w:val="000000"/>
                <w:sz w:val="22"/>
                <w:szCs w:val="22"/>
                <w:lang w:val="hr-HR"/>
              </w:rPr>
              <w:t> 1, 15;</w:t>
            </w:r>
          </w:p>
          <w:p w14:paraId="0BB31B1A" w14:textId="77777777" w:rsidR="00657FAB" w:rsidRPr="00510442" w:rsidRDefault="00657FAB" w:rsidP="003179A4">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6-MP 25 mg/m</w:t>
            </w:r>
            <w:r w:rsidRPr="00510442">
              <w:rPr>
                <w:rFonts w:ascii="Times New Roman" w:hAnsi="Times New Roman"/>
                <w:color w:val="000000"/>
                <w:sz w:val="22"/>
                <w:szCs w:val="22"/>
                <w:vertAlign w:val="superscript"/>
                <w:lang w:val="hr-HR"/>
              </w:rPr>
              <w:t>2</w:t>
            </w:r>
            <w:r w:rsidRPr="00510442">
              <w:rPr>
                <w:rFonts w:ascii="Times New Roman" w:hAnsi="Times New Roman"/>
                <w:color w:val="000000"/>
                <w:sz w:val="22"/>
                <w:szCs w:val="22"/>
                <w:lang w:val="hr-HR"/>
              </w:rPr>
              <w:t xml:space="preserve"> </w:t>
            </w:r>
            <w:r w:rsidR="00541C00" w:rsidRPr="00510442">
              <w:rPr>
                <w:rFonts w:ascii="Times New Roman" w:hAnsi="Times New Roman"/>
                <w:color w:val="000000"/>
                <w:sz w:val="22"/>
                <w:szCs w:val="22"/>
                <w:lang w:val="hr-HR"/>
              </w:rPr>
              <w:t>per</w:t>
            </w:r>
            <w:r w:rsidRPr="00510442">
              <w:rPr>
                <w:rFonts w:ascii="Times New Roman" w:hAnsi="Times New Roman"/>
                <w:color w:val="000000"/>
                <w:sz w:val="22"/>
                <w:szCs w:val="22"/>
                <w:lang w:val="hr-HR"/>
              </w:rPr>
              <w:t>oral</w:t>
            </w:r>
            <w:r w:rsidR="008A1AF5" w:rsidRPr="00510442">
              <w:rPr>
                <w:rFonts w:ascii="Times New Roman" w:hAnsi="Times New Roman"/>
                <w:color w:val="000000"/>
                <w:sz w:val="22"/>
                <w:szCs w:val="22"/>
                <w:lang w:val="hr-HR"/>
              </w:rPr>
              <w:t>no</w:t>
            </w:r>
            <w:r w:rsidRPr="00510442">
              <w:rPr>
                <w:rFonts w:ascii="Times New Roman" w:hAnsi="Times New Roman"/>
                <w:color w:val="000000"/>
                <w:sz w:val="22"/>
                <w:szCs w:val="22"/>
                <w:lang w:val="hr-HR"/>
              </w:rPr>
              <w:t>, da</w:t>
            </w:r>
            <w:r w:rsidR="008A1AF5" w:rsidRPr="00510442">
              <w:rPr>
                <w:rFonts w:ascii="Times New Roman" w:hAnsi="Times New Roman"/>
                <w:color w:val="000000"/>
                <w:sz w:val="22"/>
                <w:szCs w:val="22"/>
                <w:lang w:val="hr-HR"/>
              </w:rPr>
              <w:t>ni</w:t>
            </w:r>
            <w:r w:rsidRPr="00510442">
              <w:rPr>
                <w:rFonts w:ascii="Times New Roman" w:hAnsi="Times New Roman"/>
                <w:color w:val="000000"/>
                <w:sz w:val="22"/>
                <w:szCs w:val="22"/>
                <w:lang w:val="hr-HR"/>
              </w:rPr>
              <w:t> 1</w:t>
            </w:r>
            <w:r w:rsidR="0065152B" w:rsidRPr="00510442">
              <w:rPr>
                <w:rFonts w:ascii="Times New Roman" w:hAnsi="Times New Roman"/>
                <w:color w:val="000000"/>
                <w:sz w:val="22"/>
                <w:szCs w:val="22"/>
                <w:lang w:val="hr-HR"/>
              </w:rPr>
              <w:noBreakHyphen/>
            </w:r>
            <w:r w:rsidRPr="00510442">
              <w:rPr>
                <w:rFonts w:ascii="Times New Roman" w:hAnsi="Times New Roman"/>
                <w:color w:val="000000"/>
                <w:sz w:val="22"/>
                <w:szCs w:val="22"/>
                <w:lang w:val="hr-HR"/>
              </w:rPr>
              <w:t>20</w:t>
            </w:r>
          </w:p>
        </w:tc>
      </w:tr>
      <w:tr w:rsidR="00657FAB" w:rsidRPr="00F410C8" w14:paraId="34B93A8F" w14:textId="77777777">
        <w:tc>
          <w:tcPr>
            <w:tcW w:w="2148" w:type="dxa"/>
            <w:tcBorders>
              <w:top w:val="single" w:sz="4" w:space="0" w:color="auto"/>
              <w:bottom w:val="single" w:sz="4" w:space="0" w:color="auto"/>
            </w:tcBorders>
            <w:shd w:val="clear" w:color="auto" w:fill="auto"/>
          </w:tcPr>
          <w:p w14:paraId="7456F16C" w14:textId="77777777" w:rsidR="00657FAB" w:rsidRPr="00510442" w:rsidRDefault="008A1AF5" w:rsidP="003179A4">
            <w:pPr>
              <w:pStyle w:val="Table"/>
              <w:keepNext w:val="0"/>
              <w:keepLines w:val="0"/>
              <w:widowControl w:val="0"/>
              <w:spacing w:before="0" w:after="0"/>
              <w:rPr>
                <w:rFonts w:ascii="Times New Roman" w:hAnsi="Times New Roman"/>
                <w:color w:val="000000"/>
                <w:sz w:val="22"/>
                <w:szCs w:val="22"/>
                <w:lang w:val="hr-HR"/>
              </w:rPr>
            </w:pPr>
            <w:r w:rsidRPr="00510442">
              <w:rPr>
                <w:rFonts w:ascii="Times New Roman" w:hAnsi="Times New Roman"/>
                <w:sz w:val="22"/>
                <w:szCs w:val="22"/>
                <w:lang w:val="hr-HR"/>
              </w:rPr>
              <w:t>Konsolidacijska terapija II, IV</w:t>
            </w:r>
          </w:p>
        </w:tc>
        <w:tc>
          <w:tcPr>
            <w:tcW w:w="6732" w:type="dxa"/>
            <w:gridSpan w:val="4"/>
            <w:tcBorders>
              <w:top w:val="single" w:sz="4" w:space="0" w:color="auto"/>
              <w:bottom w:val="single" w:sz="4" w:space="0" w:color="auto"/>
            </w:tcBorders>
            <w:shd w:val="clear" w:color="auto" w:fill="auto"/>
          </w:tcPr>
          <w:p w14:paraId="4678C0A2" w14:textId="77777777" w:rsidR="00110C04" w:rsidRPr="00510442" w:rsidRDefault="00657FAB" w:rsidP="003179A4">
            <w:pPr>
              <w:pStyle w:val="Table"/>
              <w:keepNext w:val="0"/>
              <w:keepLines w:val="0"/>
              <w:widowControl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Ara-C 75 mg/m</w:t>
            </w:r>
            <w:r w:rsidRPr="00510442">
              <w:rPr>
                <w:rFonts w:ascii="Times New Roman" w:hAnsi="Times New Roman"/>
                <w:color w:val="000000"/>
                <w:sz w:val="22"/>
                <w:szCs w:val="22"/>
                <w:vertAlign w:val="superscript"/>
                <w:lang w:val="hr-HR"/>
              </w:rPr>
              <w:t>2</w:t>
            </w:r>
            <w:r w:rsidRPr="00510442">
              <w:rPr>
                <w:rFonts w:ascii="Times New Roman" w:hAnsi="Times New Roman"/>
                <w:color w:val="000000"/>
                <w:sz w:val="22"/>
                <w:szCs w:val="22"/>
                <w:lang w:val="hr-HR"/>
              </w:rPr>
              <w:t xml:space="preserve"> i.v. (1 h), da</w:t>
            </w:r>
            <w:r w:rsidR="008A1AF5" w:rsidRPr="00510442">
              <w:rPr>
                <w:rFonts w:ascii="Times New Roman" w:hAnsi="Times New Roman"/>
                <w:color w:val="000000"/>
                <w:sz w:val="22"/>
                <w:szCs w:val="22"/>
                <w:lang w:val="hr-HR"/>
              </w:rPr>
              <w:t>ni</w:t>
            </w:r>
            <w:r w:rsidRPr="00510442">
              <w:rPr>
                <w:rFonts w:ascii="Times New Roman" w:hAnsi="Times New Roman"/>
                <w:color w:val="000000"/>
                <w:sz w:val="22"/>
                <w:szCs w:val="22"/>
                <w:lang w:val="hr-HR"/>
              </w:rPr>
              <w:t> 1</w:t>
            </w:r>
            <w:r w:rsidR="0065152B" w:rsidRPr="00510442">
              <w:rPr>
                <w:rFonts w:ascii="Times New Roman" w:hAnsi="Times New Roman"/>
                <w:color w:val="000000"/>
                <w:sz w:val="22"/>
                <w:szCs w:val="22"/>
                <w:lang w:val="hr-HR"/>
              </w:rPr>
              <w:noBreakHyphen/>
            </w:r>
            <w:r w:rsidRPr="00510442">
              <w:rPr>
                <w:rFonts w:ascii="Times New Roman" w:hAnsi="Times New Roman"/>
                <w:color w:val="000000"/>
                <w:sz w:val="22"/>
                <w:szCs w:val="22"/>
                <w:lang w:val="hr-HR"/>
              </w:rPr>
              <w:t>5;</w:t>
            </w:r>
          </w:p>
          <w:p w14:paraId="2182DF32" w14:textId="77777777" w:rsidR="00657FAB" w:rsidRPr="00510442" w:rsidRDefault="00657FAB" w:rsidP="003179A4">
            <w:pPr>
              <w:pStyle w:val="Table"/>
              <w:keepNext w:val="0"/>
              <w:keepLines w:val="0"/>
              <w:widowControl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VM26 60 mg/m</w:t>
            </w:r>
            <w:r w:rsidRPr="00510442">
              <w:rPr>
                <w:rFonts w:ascii="Times New Roman" w:hAnsi="Times New Roman"/>
                <w:color w:val="000000"/>
                <w:sz w:val="22"/>
                <w:szCs w:val="22"/>
                <w:vertAlign w:val="superscript"/>
                <w:lang w:val="hr-HR"/>
              </w:rPr>
              <w:t>2</w:t>
            </w:r>
            <w:r w:rsidRPr="00510442">
              <w:rPr>
                <w:rFonts w:ascii="Times New Roman" w:hAnsi="Times New Roman"/>
                <w:color w:val="000000"/>
                <w:sz w:val="22"/>
                <w:szCs w:val="22"/>
                <w:lang w:val="hr-HR"/>
              </w:rPr>
              <w:t xml:space="preserve"> i.v. (1 h), da</w:t>
            </w:r>
            <w:r w:rsidR="008A1AF5" w:rsidRPr="00510442">
              <w:rPr>
                <w:rFonts w:ascii="Times New Roman" w:hAnsi="Times New Roman"/>
                <w:color w:val="000000"/>
                <w:sz w:val="22"/>
                <w:szCs w:val="22"/>
                <w:lang w:val="hr-HR"/>
              </w:rPr>
              <w:t>ni</w:t>
            </w:r>
            <w:r w:rsidRPr="00510442">
              <w:rPr>
                <w:rFonts w:ascii="Times New Roman" w:hAnsi="Times New Roman"/>
                <w:color w:val="000000"/>
                <w:sz w:val="22"/>
                <w:szCs w:val="22"/>
                <w:lang w:val="hr-HR"/>
              </w:rPr>
              <w:t> 1</w:t>
            </w:r>
            <w:r w:rsidR="0065152B" w:rsidRPr="00510442">
              <w:rPr>
                <w:rFonts w:ascii="Times New Roman" w:hAnsi="Times New Roman"/>
                <w:color w:val="000000"/>
                <w:sz w:val="22"/>
                <w:szCs w:val="22"/>
                <w:lang w:val="hr-HR"/>
              </w:rPr>
              <w:noBreakHyphen/>
            </w:r>
            <w:r w:rsidRPr="00510442">
              <w:rPr>
                <w:rFonts w:ascii="Times New Roman" w:hAnsi="Times New Roman"/>
                <w:color w:val="000000"/>
                <w:sz w:val="22"/>
                <w:szCs w:val="22"/>
                <w:lang w:val="hr-HR"/>
              </w:rPr>
              <w:t>5</w:t>
            </w:r>
          </w:p>
        </w:tc>
      </w:tr>
      <w:tr w:rsidR="00657FAB" w:rsidRPr="00510442" w14:paraId="3F90225B" w14:textId="77777777">
        <w:tc>
          <w:tcPr>
            <w:tcW w:w="2148" w:type="dxa"/>
            <w:tcBorders>
              <w:top w:val="single" w:sz="4" w:space="0" w:color="auto"/>
              <w:bottom w:val="single" w:sz="4" w:space="0" w:color="auto"/>
            </w:tcBorders>
            <w:shd w:val="clear" w:color="auto" w:fill="auto"/>
          </w:tcPr>
          <w:p w14:paraId="41085F09" w14:textId="77777777" w:rsidR="00657FAB" w:rsidRPr="00510442" w:rsidRDefault="0092226E" w:rsidP="003179A4">
            <w:pPr>
              <w:pStyle w:val="Table"/>
              <w:keepLines w:val="0"/>
              <w:widowControl w:val="0"/>
              <w:spacing w:before="0" w:after="0"/>
              <w:rPr>
                <w:rFonts w:ascii="Times New Roman" w:hAnsi="Times New Roman"/>
                <w:b/>
                <w:color w:val="000000"/>
                <w:sz w:val="22"/>
                <w:szCs w:val="22"/>
                <w:lang w:val="hr-HR"/>
              </w:rPr>
            </w:pPr>
            <w:r w:rsidRPr="00510442">
              <w:rPr>
                <w:rFonts w:ascii="Times New Roman" w:hAnsi="Times New Roman"/>
                <w:b/>
                <w:sz w:val="22"/>
                <w:szCs w:val="22"/>
                <w:lang w:val="hr-HR"/>
              </w:rPr>
              <w:t xml:space="preserve">Studija </w:t>
            </w:r>
            <w:r w:rsidR="00657FAB" w:rsidRPr="00510442">
              <w:rPr>
                <w:rFonts w:ascii="Times New Roman" w:hAnsi="Times New Roman"/>
                <w:b/>
                <w:color w:val="000000"/>
                <w:sz w:val="22"/>
                <w:szCs w:val="22"/>
                <w:lang w:val="hr-HR"/>
              </w:rPr>
              <w:t>AAU02</w:t>
            </w:r>
          </w:p>
        </w:tc>
        <w:tc>
          <w:tcPr>
            <w:tcW w:w="2652" w:type="dxa"/>
            <w:tcBorders>
              <w:top w:val="single" w:sz="4" w:space="0" w:color="auto"/>
              <w:bottom w:val="single" w:sz="4" w:space="0" w:color="auto"/>
            </w:tcBorders>
            <w:shd w:val="clear" w:color="auto" w:fill="auto"/>
          </w:tcPr>
          <w:p w14:paraId="7932A300" w14:textId="77777777" w:rsidR="00657FAB" w:rsidRPr="00510442" w:rsidRDefault="00657FAB" w:rsidP="003179A4">
            <w:pPr>
              <w:pStyle w:val="Table"/>
              <w:keepLines w:val="0"/>
              <w:widowControl w:val="0"/>
              <w:spacing w:before="0" w:after="0"/>
              <w:rPr>
                <w:rFonts w:ascii="Times New Roman" w:hAnsi="Times New Roman"/>
                <w:color w:val="000000"/>
                <w:sz w:val="22"/>
                <w:szCs w:val="22"/>
                <w:lang w:val="hr-HR"/>
              </w:rPr>
            </w:pPr>
          </w:p>
        </w:tc>
        <w:tc>
          <w:tcPr>
            <w:tcW w:w="1080" w:type="dxa"/>
            <w:tcBorders>
              <w:top w:val="single" w:sz="4" w:space="0" w:color="auto"/>
              <w:bottom w:val="single" w:sz="4" w:space="0" w:color="auto"/>
            </w:tcBorders>
          </w:tcPr>
          <w:p w14:paraId="26A422D3" w14:textId="77777777" w:rsidR="00657FAB" w:rsidRPr="00510442" w:rsidRDefault="00657FAB" w:rsidP="003179A4">
            <w:pPr>
              <w:pStyle w:val="Table"/>
              <w:keepLines w:val="0"/>
              <w:widowControl w:val="0"/>
              <w:spacing w:before="0" w:after="0"/>
              <w:rPr>
                <w:rFonts w:ascii="Times New Roman" w:hAnsi="Times New Roman"/>
                <w:color w:val="000000"/>
                <w:sz w:val="22"/>
                <w:szCs w:val="22"/>
                <w:lang w:val="hr-HR"/>
              </w:rPr>
            </w:pPr>
          </w:p>
        </w:tc>
        <w:tc>
          <w:tcPr>
            <w:tcW w:w="1380" w:type="dxa"/>
            <w:tcBorders>
              <w:top w:val="single" w:sz="4" w:space="0" w:color="auto"/>
              <w:bottom w:val="single" w:sz="4" w:space="0" w:color="auto"/>
            </w:tcBorders>
          </w:tcPr>
          <w:p w14:paraId="01D8BAD1" w14:textId="77777777" w:rsidR="00657FAB" w:rsidRPr="00510442" w:rsidRDefault="00657FAB" w:rsidP="003179A4">
            <w:pPr>
              <w:pStyle w:val="Table"/>
              <w:keepLines w:val="0"/>
              <w:widowControl w:val="0"/>
              <w:spacing w:before="0" w:after="0"/>
              <w:rPr>
                <w:rFonts w:ascii="Times New Roman" w:hAnsi="Times New Roman"/>
                <w:color w:val="000000"/>
                <w:sz w:val="22"/>
                <w:szCs w:val="22"/>
                <w:lang w:val="hr-HR"/>
              </w:rPr>
            </w:pPr>
          </w:p>
        </w:tc>
        <w:tc>
          <w:tcPr>
            <w:tcW w:w="1620" w:type="dxa"/>
            <w:tcBorders>
              <w:top w:val="single" w:sz="4" w:space="0" w:color="auto"/>
              <w:bottom w:val="single" w:sz="4" w:space="0" w:color="auto"/>
            </w:tcBorders>
          </w:tcPr>
          <w:p w14:paraId="7283A64F" w14:textId="77777777" w:rsidR="00657FAB" w:rsidRPr="00510442" w:rsidRDefault="00657FAB" w:rsidP="003179A4">
            <w:pPr>
              <w:pStyle w:val="Table"/>
              <w:keepLines w:val="0"/>
              <w:widowControl w:val="0"/>
              <w:spacing w:before="0" w:after="0"/>
              <w:rPr>
                <w:rFonts w:ascii="Times New Roman" w:hAnsi="Times New Roman"/>
                <w:color w:val="000000"/>
                <w:sz w:val="22"/>
                <w:szCs w:val="22"/>
                <w:lang w:val="hr-HR"/>
              </w:rPr>
            </w:pPr>
          </w:p>
        </w:tc>
      </w:tr>
      <w:tr w:rsidR="00657FAB" w:rsidRPr="00510442" w14:paraId="17B61654" w14:textId="77777777">
        <w:tc>
          <w:tcPr>
            <w:tcW w:w="2148" w:type="dxa"/>
            <w:tcBorders>
              <w:top w:val="single" w:sz="4" w:space="0" w:color="auto"/>
              <w:bottom w:val="single" w:sz="4" w:space="0" w:color="auto"/>
            </w:tcBorders>
            <w:shd w:val="clear" w:color="auto" w:fill="auto"/>
          </w:tcPr>
          <w:p w14:paraId="1782DEFE" w14:textId="77777777" w:rsidR="00657FAB" w:rsidRPr="00510442" w:rsidRDefault="0092226E" w:rsidP="003179A4">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sz w:val="22"/>
                <w:szCs w:val="22"/>
                <w:lang w:val="hr-HR"/>
              </w:rPr>
              <w:t>Indukcijska terapija (</w:t>
            </w:r>
            <w:r w:rsidRPr="00510442">
              <w:rPr>
                <w:rFonts w:ascii="Times New Roman" w:hAnsi="Times New Roman"/>
                <w:i/>
                <w:sz w:val="22"/>
                <w:szCs w:val="22"/>
                <w:lang w:val="hr-HR"/>
              </w:rPr>
              <w:t>de novo</w:t>
            </w:r>
            <w:r w:rsidRPr="00510442">
              <w:rPr>
                <w:rFonts w:ascii="Times New Roman" w:hAnsi="Times New Roman"/>
                <w:sz w:val="22"/>
                <w:szCs w:val="22"/>
                <w:lang w:val="hr-HR"/>
              </w:rPr>
              <w:t xml:space="preserve"> Ph+ ALL)</w:t>
            </w:r>
          </w:p>
        </w:tc>
        <w:tc>
          <w:tcPr>
            <w:tcW w:w="6732" w:type="dxa"/>
            <w:gridSpan w:val="4"/>
            <w:tcBorders>
              <w:top w:val="single" w:sz="4" w:space="0" w:color="auto"/>
              <w:bottom w:val="single" w:sz="4" w:space="0" w:color="auto"/>
            </w:tcBorders>
            <w:shd w:val="clear" w:color="auto" w:fill="auto"/>
          </w:tcPr>
          <w:p w14:paraId="12B17943" w14:textId="77777777" w:rsidR="00110C04" w:rsidRPr="00510442" w:rsidRDefault="00657FAB" w:rsidP="003179A4">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Daunorubicin 30 mg/m</w:t>
            </w:r>
            <w:r w:rsidRPr="00510442">
              <w:rPr>
                <w:rFonts w:ascii="Times New Roman" w:hAnsi="Times New Roman"/>
                <w:color w:val="000000"/>
                <w:sz w:val="22"/>
                <w:szCs w:val="22"/>
                <w:vertAlign w:val="superscript"/>
                <w:lang w:val="hr-HR"/>
              </w:rPr>
              <w:t>2</w:t>
            </w:r>
            <w:r w:rsidRPr="00510442">
              <w:rPr>
                <w:rFonts w:ascii="Times New Roman" w:hAnsi="Times New Roman"/>
                <w:color w:val="000000"/>
                <w:sz w:val="22"/>
                <w:szCs w:val="22"/>
                <w:lang w:val="hr-HR"/>
              </w:rPr>
              <w:t xml:space="preserve"> i.v., da</w:t>
            </w:r>
            <w:r w:rsidR="008A1AF5" w:rsidRPr="00510442">
              <w:rPr>
                <w:rFonts w:ascii="Times New Roman" w:hAnsi="Times New Roman"/>
                <w:color w:val="000000"/>
                <w:sz w:val="22"/>
                <w:szCs w:val="22"/>
                <w:lang w:val="hr-HR"/>
              </w:rPr>
              <w:t>ni</w:t>
            </w:r>
            <w:r w:rsidR="001045C5" w:rsidRPr="00510442">
              <w:rPr>
                <w:rFonts w:ascii="Times New Roman" w:hAnsi="Times New Roman"/>
                <w:color w:val="000000"/>
                <w:sz w:val="22"/>
                <w:szCs w:val="22"/>
                <w:lang w:val="hr-HR"/>
              </w:rPr>
              <w:t> </w:t>
            </w:r>
            <w:r w:rsidRPr="00510442">
              <w:rPr>
                <w:rFonts w:ascii="Times New Roman" w:hAnsi="Times New Roman"/>
                <w:color w:val="000000"/>
                <w:sz w:val="22"/>
                <w:szCs w:val="22"/>
                <w:lang w:val="hr-HR"/>
              </w:rPr>
              <w:t>1</w:t>
            </w:r>
            <w:r w:rsidR="0065152B" w:rsidRPr="00510442">
              <w:rPr>
                <w:rFonts w:ascii="Times New Roman" w:hAnsi="Times New Roman"/>
                <w:color w:val="000000"/>
                <w:sz w:val="22"/>
                <w:szCs w:val="22"/>
                <w:lang w:val="hr-HR"/>
              </w:rPr>
              <w:noBreakHyphen/>
            </w:r>
            <w:r w:rsidRPr="00510442">
              <w:rPr>
                <w:rFonts w:ascii="Times New Roman" w:hAnsi="Times New Roman"/>
                <w:color w:val="000000"/>
                <w:sz w:val="22"/>
                <w:szCs w:val="22"/>
                <w:lang w:val="hr-HR"/>
              </w:rPr>
              <w:t>3, 15</w:t>
            </w:r>
            <w:r w:rsidR="0065152B" w:rsidRPr="00510442">
              <w:rPr>
                <w:rFonts w:ascii="Times New Roman" w:hAnsi="Times New Roman"/>
                <w:color w:val="000000"/>
                <w:sz w:val="22"/>
                <w:szCs w:val="22"/>
                <w:lang w:val="hr-HR"/>
              </w:rPr>
              <w:noBreakHyphen/>
            </w:r>
            <w:r w:rsidRPr="00510442">
              <w:rPr>
                <w:rFonts w:ascii="Times New Roman" w:hAnsi="Times New Roman"/>
                <w:color w:val="000000"/>
                <w:sz w:val="22"/>
                <w:szCs w:val="22"/>
                <w:lang w:val="hr-HR"/>
              </w:rPr>
              <w:t>16;</w:t>
            </w:r>
          </w:p>
          <w:p w14:paraId="3D85C1A7" w14:textId="77777777" w:rsidR="00110C04" w:rsidRPr="00510442" w:rsidRDefault="00657FAB" w:rsidP="003179A4">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 xml:space="preserve">VCR 2 mg </w:t>
            </w:r>
            <w:r w:rsidR="008A1AF5" w:rsidRPr="00510442">
              <w:rPr>
                <w:rFonts w:ascii="Times New Roman" w:hAnsi="Times New Roman"/>
                <w:sz w:val="22"/>
                <w:szCs w:val="22"/>
                <w:lang w:val="hr-HR"/>
              </w:rPr>
              <w:t xml:space="preserve">ukupna doza </w:t>
            </w:r>
            <w:r w:rsidRPr="00510442">
              <w:rPr>
                <w:rFonts w:ascii="Times New Roman" w:hAnsi="Times New Roman"/>
                <w:color w:val="000000"/>
                <w:sz w:val="22"/>
                <w:szCs w:val="22"/>
                <w:lang w:val="hr-HR"/>
              </w:rPr>
              <w:t>i.v., da</w:t>
            </w:r>
            <w:r w:rsidR="008A1AF5" w:rsidRPr="00510442">
              <w:rPr>
                <w:rFonts w:ascii="Times New Roman" w:hAnsi="Times New Roman"/>
                <w:color w:val="000000"/>
                <w:sz w:val="22"/>
                <w:szCs w:val="22"/>
                <w:lang w:val="hr-HR"/>
              </w:rPr>
              <w:t>ni</w:t>
            </w:r>
            <w:r w:rsidRPr="00510442">
              <w:rPr>
                <w:rFonts w:ascii="Times New Roman" w:hAnsi="Times New Roman"/>
                <w:color w:val="000000"/>
                <w:sz w:val="22"/>
                <w:szCs w:val="22"/>
                <w:lang w:val="hr-HR"/>
              </w:rPr>
              <w:t> 1, 8, 15, 22;</w:t>
            </w:r>
          </w:p>
          <w:p w14:paraId="4F62F3FE" w14:textId="77777777" w:rsidR="00110C04" w:rsidRPr="00510442" w:rsidRDefault="00657FAB" w:rsidP="003179A4">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CP 750 mg/m</w:t>
            </w:r>
            <w:r w:rsidRPr="00510442">
              <w:rPr>
                <w:rFonts w:ascii="Times New Roman" w:hAnsi="Times New Roman"/>
                <w:color w:val="000000"/>
                <w:sz w:val="22"/>
                <w:szCs w:val="22"/>
                <w:vertAlign w:val="superscript"/>
                <w:lang w:val="hr-HR"/>
              </w:rPr>
              <w:t>2</w:t>
            </w:r>
            <w:r w:rsidRPr="00510442">
              <w:rPr>
                <w:rFonts w:ascii="Times New Roman" w:hAnsi="Times New Roman"/>
                <w:color w:val="000000"/>
                <w:sz w:val="22"/>
                <w:szCs w:val="22"/>
                <w:lang w:val="hr-HR"/>
              </w:rPr>
              <w:t xml:space="preserve"> i.v., da</w:t>
            </w:r>
            <w:r w:rsidR="008A1AF5" w:rsidRPr="00510442">
              <w:rPr>
                <w:rFonts w:ascii="Times New Roman" w:hAnsi="Times New Roman"/>
                <w:color w:val="000000"/>
                <w:sz w:val="22"/>
                <w:szCs w:val="22"/>
                <w:lang w:val="hr-HR"/>
              </w:rPr>
              <w:t>ni</w:t>
            </w:r>
            <w:r w:rsidR="001045C5" w:rsidRPr="00510442">
              <w:rPr>
                <w:rFonts w:ascii="Times New Roman" w:hAnsi="Times New Roman"/>
                <w:color w:val="000000"/>
                <w:sz w:val="22"/>
                <w:szCs w:val="22"/>
                <w:lang w:val="hr-HR"/>
              </w:rPr>
              <w:t> </w:t>
            </w:r>
            <w:r w:rsidRPr="00510442">
              <w:rPr>
                <w:rFonts w:ascii="Times New Roman" w:hAnsi="Times New Roman"/>
                <w:color w:val="000000"/>
                <w:sz w:val="22"/>
                <w:szCs w:val="22"/>
                <w:lang w:val="hr-HR"/>
              </w:rPr>
              <w:t>1, 8;</w:t>
            </w:r>
          </w:p>
          <w:p w14:paraId="22372653" w14:textId="77777777" w:rsidR="00110C04" w:rsidRPr="00510442" w:rsidRDefault="00110C04" w:rsidP="003179A4">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P</w:t>
            </w:r>
            <w:r w:rsidR="00657FAB" w:rsidRPr="00510442">
              <w:rPr>
                <w:rFonts w:ascii="Times New Roman" w:hAnsi="Times New Roman"/>
                <w:color w:val="000000"/>
                <w:sz w:val="22"/>
                <w:szCs w:val="22"/>
                <w:lang w:val="hr-HR"/>
              </w:rPr>
              <w:t>redni</w:t>
            </w:r>
            <w:r w:rsidR="008A1AF5" w:rsidRPr="00510442">
              <w:rPr>
                <w:rFonts w:ascii="Times New Roman" w:hAnsi="Times New Roman"/>
                <w:color w:val="000000"/>
                <w:sz w:val="22"/>
                <w:szCs w:val="22"/>
                <w:lang w:val="hr-HR"/>
              </w:rPr>
              <w:t>zon</w:t>
            </w:r>
            <w:r w:rsidR="00657FAB" w:rsidRPr="00510442">
              <w:rPr>
                <w:rFonts w:ascii="Times New Roman" w:hAnsi="Times New Roman"/>
                <w:color w:val="000000"/>
                <w:sz w:val="22"/>
                <w:szCs w:val="22"/>
                <w:lang w:val="hr-HR"/>
              </w:rPr>
              <w:t xml:space="preserve"> 60 mg/m</w:t>
            </w:r>
            <w:r w:rsidR="00657FAB" w:rsidRPr="00510442">
              <w:rPr>
                <w:rFonts w:ascii="Times New Roman" w:hAnsi="Times New Roman"/>
                <w:color w:val="000000"/>
                <w:sz w:val="22"/>
                <w:szCs w:val="22"/>
                <w:vertAlign w:val="superscript"/>
                <w:lang w:val="hr-HR"/>
              </w:rPr>
              <w:t>2</w:t>
            </w:r>
            <w:r w:rsidR="00657FAB" w:rsidRPr="00510442">
              <w:rPr>
                <w:rFonts w:ascii="Times New Roman" w:hAnsi="Times New Roman"/>
                <w:color w:val="000000"/>
                <w:sz w:val="22"/>
                <w:szCs w:val="22"/>
                <w:lang w:val="hr-HR"/>
              </w:rPr>
              <w:t xml:space="preserve"> </w:t>
            </w:r>
            <w:r w:rsidR="00541C00" w:rsidRPr="00510442">
              <w:rPr>
                <w:rFonts w:ascii="Times New Roman" w:hAnsi="Times New Roman"/>
                <w:color w:val="000000"/>
                <w:sz w:val="22"/>
                <w:szCs w:val="22"/>
                <w:lang w:val="hr-HR"/>
              </w:rPr>
              <w:t>per</w:t>
            </w:r>
            <w:r w:rsidR="00657FAB" w:rsidRPr="00510442">
              <w:rPr>
                <w:rFonts w:ascii="Times New Roman" w:hAnsi="Times New Roman"/>
                <w:color w:val="000000"/>
                <w:sz w:val="22"/>
                <w:szCs w:val="22"/>
                <w:lang w:val="hr-HR"/>
              </w:rPr>
              <w:t>oral</w:t>
            </w:r>
            <w:r w:rsidR="008A1AF5" w:rsidRPr="00510442">
              <w:rPr>
                <w:rFonts w:ascii="Times New Roman" w:hAnsi="Times New Roman"/>
                <w:color w:val="000000"/>
                <w:sz w:val="22"/>
                <w:szCs w:val="22"/>
                <w:lang w:val="hr-HR"/>
              </w:rPr>
              <w:t>no</w:t>
            </w:r>
            <w:r w:rsidR="00657FAB" w:rsidRPr="00510442">
              <w:rPr>
                <w:rFonts w:ascii="Times New Roman" w:hAnsi="Times New Roman"/>
                <w:color w:val="000000"/>
                <w:sz w:val="22"/>
                <w:szCs w:val="22"/>
                <w:lang w:val="hr-HR"/>
              </w:rPr>
              <w:t>, da</w:t>
            </w:r>
            <w:r w:rsidR="008A1AF5" w:rsidRPr="00510442">
              <w:rPr>
                <w:rFonts w:ascii="Times New Roman" w:hAnsi="Times New Roman"/>
                <w:color w:val="000000"/>
                <w:sz w:val="22"/>
                <w:szCs w:val="22"/>
                <w:lang w:val="hr-HR"/>
              </w:rPr>
              <w:t>ni</w:t>
            </w:r>
            <w:r w:rsidR="00657FAB" w:rsidRPr="00510442">
              <w:rPr>
                <w:rFonts w:ascii="Times New Roman" w:hAnsi="Times New Roman"/>
                <w:color w:val="000000"/>
                <w:sz w:val="22"/>
                <w:szCs w:val="22"/>
                <w:lang w:val="hr-HR"/>
              </w:rPr>
              <w:t> 1</w:t>
            </w:r>
            <w:r w:rsidR="0065152B" w:rsidRPr="00510442">
              <w:rPr>
                <w:rFonts w:ascii="Times New Roman" w:hAnsi="Times New Roman"/>
                <w:color w:val="000000"/>
                <w:sz w:val="22"/>
                <w:szCs w:val="22"/>
                <w:lang w:val="hr-HR"/>
              </w:rPr>
              <w:noBreakHyphen/>
            </w:r>
            <w:r w:rsidR="00657FAB" w:rsidRPr="00510442">
              <w:rPr>
                <w:rFonts w:ascii="Times New Roman" w:hAnsi="Times New Roman"/>
                <w:color w:val="000000"/>
                <w:sz w:val="22"/>
                <w:szCs w:val="22"/>
                <w:lang w:val="hr-HR"/>
              </w:rPr>
              <w:t>7, 15</w:t>
            </w:r>
            <w:r w:rsidR="0065152B" w:rsidRPr="00510442">
              <w:rPr>
                <w:rFonts w:ascii="Times New Roman" w:hAnsi="Times New Roman"/>
                <w:color w:val="000000"/>
                <w:sz w:val="22"/>
                <w:szCs w:val="22"/>
                <w:lang w:val="hr-HR"/>
              </w:rPr>
              <w:noBreakHyphen/>
            </w:r>
            <w:r w:rsidR="00657FAB" w:rsidRPr="00510442">
              <w:rPr>
                <w:rFonts w:ascii="Times New Roman" w:hAnsi="Times New Roman"/>
                <w:color w:val="000000"/>
                <w:sz w:val="22"/>
                <w:szCs w:val="22"/>
                <w:lang w:val="hr-HR"/>
              </w:rPr>
              <w:t>21;</w:t>
            </w:r>
          </w:p>
          <w:p w14:paraId="38C609D5" w14:textId="77777777" w:rsidR="00110C04" w:rsidRPr="00510442" w:rsidRDefault="00657FAB" w:rsidP="003179A4">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IDA 9 mg/m</w:t>
            </w:r>
            <w:r w:rsidRPr="00510442">
              <w:rPr>
                <w:rFonts w:ascii="Times New Roman" w:hAnsi="Times New Roman"/>
                <w:color w:val="000000"/>
                <w:sz w:val="22"/>
                <w:szCs w:val="22"/>
                <w:vertAlign w:val="superscript"/>
                <w:lang w:val="hr-HR"/>
              </w:rPr>
              <w:t>2</w:t>
            </w:r>
            <w:r w:rsidR="001045C5" w:rsidRPr="00510442">
              <w:rPr>
                <w:rFonts w:ascii="Times New Roman" w:hAnsi="Times New Roman"/>
                <w:color w:val="000000"/>
                <w:sz w:val="22"/>
                <w:szCs w:val="22"/>
                <w:lang w:val="hr-HR"/>
              </w:rPr>
              <w:t xml:space="preserve"> </w:t>
            </w:r>
            <w:r w:rsidR="00541C00" w:rsidRPr="00510442">
              <w:rPr>
                <w:rFonts w:ascii="Times New Roman" w:hAnsi="Times New Roman"/>
                <w:color w:val="000000"/>
                <w:sz w:val="22"/>
                <w:szCs w:val="22"/>
                <w:lang w:val="hr-HR"/>
              </w:rPr>
              <w:t>per</w:t>
            </w:r>
            <w:r w:rsidR="001045C5" w:rsidRPr="00510442">
              <w:rPr>
                <w:rFonts w:ascii="Times New Roman" w:hAnsi="Times New Roman"/>
                <w:color w:val="000000"/>
                <w:sz w:val="22"/>
                <w:szCs w:val="22"/>
                <w:lang w:val="hr-HR"/>
              </w:rPr>
              <w:t>oral</w:t>
            </w:r>
            <w:r w:rsidR="008A1AF5" w:rsidRPr="00510442">
              <w:rPr>
                <w:rFonts w:ascii="Times New Roman" w:hAnsi="Times New Roman"/>
                <w:color w:val="000000"/>
                <w:sz w:val="22"/>
                <w:szCs w:val="22"/>
                <w:lang w:val="hr-HR"/>
              </w:rPr>
              <w:t>no</w:t>
            </w:r>
            <w:r w:rsidR="001045C5" w:rsidRPr="00510442">
              <w:rPr>
                <w:rFonts w:ascii="Times New Roman" w:hAnsi="Times New Roman"/>
                <w:color w:val="000000"/>
                <w:sz w:val="22"/>
                <w:szCs w:val="22"/>
                <w:lang w:val="hr-HR"/>
              </w:rPr>
              <w:t>, da</w:t>
            </w:r>
            <w:r w:rsidR="008A1AF5" w:rsidRPr="00510442">
              <w:rPr>
                <w:rFonts w:ascii="Times New Roman" w:hAnsi="Times New Roman"/>
                <w:color w:val="000000"/>
                <w:sz w:val="22"/>
                <w:szCs w:val="22"/>
                <w:lang w:val="hr-HR"/>
              </w:rPr>
              <w:t>ni</w:t>
            </w:r>
            <w:r w:rsidR="001045C5" w:rsidRPr="00510442">
              <w:rPr>
                <w:rFonts w:ascii="Times New Roman" w:hAnsi="Times New Roman"/>
                <w:color w:val="000000"/>
                <w:sz w:val="22"/>
                <w:szCs w:val="22"/>
                <w:lang w:val="hr-HR"/>
              </w:rPr>
              <w:t> </w:t>
            </w:r>
            <w:r w:rsidRPr="00510442">
              <w:rPr>
                <w:rFonts w:ascii="Times New Roman" w:hAnsi="Times New Roman"/>
                <w:color w:val="000000"/>
                <w:sz w:val="22"/>
                <w:szCs w:val="22"/>
                <w:lang w:val="hr-HR"/>
              </w:rPr>
              <w:t>1</w:t>
            </w:r>
            <w:r w:rsidR="0065152B" w:rsidRPr="00510442">
              <w:rPr>
                <w:rFonts w:ascii="Times New Roman" w:hAnsi="Times New Roman"/>
                <w:color w:val="000000"/>
                <w:sz w:val="22"/>
                <w:szCs w:val="22"/>
                <w:lang w:val="hr-HR"/>
              </w:rPr>
              <w:noBreakHyphen/>
            </w:r>
            <w:r w:rsidRPr="00510442">
              <w:rPr>
                <w:rFonts w:ascii="Times New Roman" w:hAnsi="Times New Roman"/>
                <w:color w:val="000000"/>
                <w:sz w:val="22"/>
                <w:szCs w:val="22"/>
                <w:lang w:val="hr-HR"/>
              </w:rPr>
              <w:t>28;</w:t>
            </w:r>
          </w:p>
          <w:p w14:paraId="2073F564" w14:textId="77777777" w:rsidR="00795AD9" w:rsidRPr="00510442" w:rsidRDefault="00657FAB" w:rsidP="003179A4">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MTX 15 mg intrat</w:t>
            </w:r>
            <w:r w:rsidR="008A1AF5" w:rsidRPr="00510442">
              <w:rPr>
                <w:rFonts w:ascii="Times New Roman" w:hAnsi="Times New Roman"/>
                <w:color w:val="000000"/>
                <w:sz w:val="22"/>
                <w:szCs w:val="22"/>
                <w:lang w:val="hr-HR"/>
              </w:rPr>
              <w:t>ekalno</w:t>
            </w:r>
            <w:r w:rsidRPr="00510442">
              <w:rPr>
                <w:rFonts w:ascii="Times New Roman" w:hAnsi="Times New Roman"/>
                <w:color w:val="000000"/>
                <w:sz w:val="22"/>
                <w:szCs w:val="22"/>
                <w:lang w:val="hr-HR"/>
              </w:rPr>
              <w:t>, da</w:t>
            </w:r>
            <w:r w:rsidR="008A1AF5" w:rsidRPr="00510442">
              <w:rPr>
                <w:rFonts w:ascii="Times New Roman" w:hAnsi="Times New Roman"/>
                <w:color w:val="000000"/>
                <w:sz w:val="22"/>
                <w:szCs w:val="22"/>
                <w:lang w:val="hr-HR"/>
              </w:rPr>
              <w:t>ni</w:t>
            </w:r>
            <w:r w:rsidRPr="00510442">
              <w:rPr>
                <w:rFonts w:ascii="Times New Roman" w:hAnsi="Times New Roman"/>
                <w:color w:val="000000"/>
                <w:sz w:val="22"/>
                <w:szCs w:val="22"/>
                <w:lang w:val="hr-HR"/>
              </w:rPr>
              <w:t> 1, 8, 15, 22;</w:t>
            </w:r>
          </w:p>
          <w:p w14:paraId="1B99BBF9" w14:textId="77777777" w:rsidR="00795AD9" w:rsidRPr="00510442" w:rsidRDefault="00657FAB" w:rsidP="003179A4">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Ara-C 40 mg intrat</w:t>
            </w:r>
            <w:r w:rsidR="008A1AF5" w:rsidRPr="00510442">
              <w:rPr>
                <w:rFonts w:ascii="Times New Roman" w:hAnsi="Times New Roman"/>
                <w:color w:val="000000"/>
                <w:sz w:val="22"/>
                <w:szCs w:val="22"/>
                <w:lang w:val="hr-HR"/>
              </w:rPr>
              <w:t>ekalno</w:t>
            </w:r>
            <w:r w:rsidRPr="00510442">
              <w:rPr>
                <w:rFonts w:ascii="Times New Roman" w:hAnsi="Times New Roman"/>
                <w:color w:val="000000"/>
                <w:sz w:val="22"/>
                <w:szCs w:val="22"/>
                <w:lang w:val="hr-HR"/>
              </w:rPr>
              <w:t>, da</w:t>
            </w:r>
            <w:r w:rsidR="008A1AF5" w:rsidRPr="00510442">
              <w:rPr>
                <w:rFonts w:ascii="Times New Roman" w:hAnsi="Times New Roman"/>
                <w:color w:val="000000"/>
                <w:sz w:val="22"/>
                <w:szCs w:val="22"/>
                <w:lang w:val="hr-HR"/>
              </w:rPr>
              <w:t>ni</w:t>
            </w:r>
            <w:r w:rsidRPr="00510442">
              <w:rPr>
                <w:rFonts w:ascii="Times New Roman" w:hAnsi="Times New Roman"/>
                <w:color w:val="000000"/>
                <w:sz w:val="22"/>
                <w:szCs w:val="22"/>
                <w:lang w:val="hr-HR"/>
              </w:rPr>
              <w:t> 1, 8, 15, 22;</w:t>
            </w:r>
          </w:p>
          <w:p w14:paraId="73CCED3C" w14:textId="77777777" w:rsidR="00657FAB" w:rsidRPr="00510442" w:rsidRDefault="00795AD9" w:rsidP="003179A4">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sz w:val="22"/>
                <w:szCs w:val="22"/>
                <w:lang w:val="hr-HR"/>
              </w:rPr>
              <w:t>M</w:t>
            </w:r>
            <w:r w:rsidR="008A1AF5" w:rsidRPr="00510442">
              <w:rPr>
                <w:rFonts w:ascii="Times New Roman" w:hAnsi="Times New Roman"/>
                <w:sz w:val="22"/>
                <w:szCs w:val="22"/>
                <w:lang w:val="hr-HR"/>
              </w:rPr>
              <w:t xml:space="preserve">etilprednizolon </w:t>
            </w:r>
            <w:r w:rsidR="00657FAB" w:rsidRPr="00510442">
              <w:rPr>
                <w:rFonts w:ascii="Times New Roman" w:hAnsi="Times New Roman"/>
                <w:color w:val="000000"/>
                <w:sz w:val="22"/>
                <w:szCs w:val="22"/>
                <w:lang w:val="hr-HR"/>
              </w:rPr>
              <w:t>40 mg</w:t>
            </w:r>
            <w:r w:rsidR="001045C5" w:rsidRPr="00510442">
              <w:rPr>
                <w:rFonts w:ascii="Times New Roman" w:hAnsi="Times New Roman"/>
                <w:color w:val="000000"/>
                <w:sz w:val="22"/>
                <w:szCs w:val="22"/>
                <w:lang w:val="hr-HR"/>
              </w:rPr>
              <w:t xml:space="preserve"> intrat</w:t>
            </w:r>
            <w:r w:rsidR="008A1AF5" w:rsidRPr="00510442">
              <w:rPr>
                <w:rFonts w:ascii="Times New Roman" w:hAnsi="Times New Roman"/>
                <w:color w:val="000000"/>
                <w:sz w:val="22"/>
                <w:szCs w:val="22"/>
                <w:lang w:val="hr-HR"/>
              </w:rPr>
              <w:t>ekalno</w:t>
            </w:r>
            <w:r w:rsidR="001045C5" w:rsidRPr="00510442">
              <w:rPr>
                <w:rFonts w:ascii="Times New Roman" w:hAnsi="Times New Roman"/>
                <w:color w:val="000000"/>
                <w:sz w:val="22"/>
                <w:szCs w:val="22"/>
                <w:lang w:val="hr-HR"/>
              </w:rPr>
              <w:t>, da</w:t>
            </w:r>
            <w:r w:rsidR="008A1AF5" w:rsidRPr="00510442">
              <w:rPr>
                <w:rFonts w:ascii="Times New Roman" w:hAnsi="Times New Roman"/>
                <w:color w:val="000000"/>
                <w:sz w:val="22"/>
                <w:szCs w:val="22"/>
                <w:lang w:val="hr-HR"/>
              </w:rPr>
              <w:t>ni</w:t>
            </w:r>
            <w:r w:rsidR="001045C5" w:rsidRPr="00510442">
              <w:rPr>
                <w:rFonts w:ascii="Times New Roman" w:hAnsi="Times New Roman"/>
                <w:color w:val="000000"/>
                <w:sz w:val="22"/>
                <w:szCs w:val="22"/>
                <w:lang w:val="hr-HR"/>
              </w:rPr>
              <w:t> 1, 8, 15, 22</w:t>
            </w:r>
          </w:p>
        </w:tc>
      </w:tr>
      <w:tr w:rsidR="00657FAB" w:rsidRPr="00F410C8" w14:paraId="2D7C9496" w14:textId="77777777">
        <w:tc>
          <w:tcPr>
            <w:tcW w:w="2148" w:type="dxa"/>
            <w:tcBorders>
              <w:top w:val="single" w:sz="4" w:space="0" w:color="auto"/>
              <w:bottom w:val="single" w:sz="4" w:space="0" w:color="auto"/>
            </w:tcBorders>
            <w:shd w:val="clear" w:color="auto" w:fill="auto"/>
          </w:tcPr>
          <w:p w14:paraId="3F834DFC" w14:textId="77777777" w:rsidR="00657FAB" w:rsidRPr="00510442" w:rsidRDefault="0092226E" w:rsidP="009B5630">
            <w:pPr>
              <w:pStyle w:val="Table"/>
              <w:keepNext w:val="0"/>
              <w:widowControl w:val="0"/>
              <w:spacing w:before="0" w:after="0"/>
              <w:rPr>
                <w:rFonts w:ascii="Times New Roman" w:hAnsi="Times New Roman"/>
                <w:color w:val="000000"/>
                <w:sz w:val="22"/>
                <w:szCs w:val="22"/>
                <w:lang w:val="hr-HR"/>
              </w:rPr>
            </w:pPr>
            <w:r w:rsidRPr="00510442">
              <w:rPr>
                <w:rFonts w:ascii="Times New Roman" w:hAnsi="Times New Roman"/>
                <w:sz w:val="22"/>
                <w:szCs w:val="22"/>
                <w:lang w:val="hr-HR"/>
              </w:rPr>
              <w:t>Konsolidacija (</w:t>
            </w:r>
            <w:r w:rsidRPr="00510442">
              <w:rPr>
                <w:rFonts w:ascii="Times New Roman" w:hAnsi="Times New Roman"/>
                <w:i/>
                <w:sz w:val="22"/>
                <w:szCs w:val="22"/>
                <w:lang w:val="hr-HR"/>
              </w:rPr>
              <w:t>de novo</w:t>
            </w:r>
            <w:r w:rsidRPr="00510442">
              <w:rPr>
                <w:rFonts w:ascii="Times New Roman" w:hAnsi="Times New Roman"/>
                <w:sz w:val="22"/>
                <w:szCs w:val="22"/>
                <w:lang w:val="hr-HR"/>
              </w:rPr>
              <w:t xml:space="preserve"> Ph+ ALL)</w:t>
            </w:r>
          </w:p>
        </w:tc>
        <w:tc>
          <w:tcPr>
            <w:tcW w:w="6732" w:type="dxa"/>
            <w:gridSpan w:val="4"/>
            <w:tcBorders>
              <w:top w:val="single" w:sz="4" w:space="0" w:color="auto"/>
              <w:bottom w:val="single" w:sz="4" w:space="0" w:color="auto"/>
            </w:tcBorders>
            <w:shd w:val="clear" w:color="auto" w:fill="auto"/>
          </w:tcPr>
          <w:p w14:paraId="2B53A29A" w14:textId="77777777" w:rsidR="00795AD9" w:rsidRPr="00510442" w:rsidRDefault="00657FAB" w:rsidP="00795AD9">
            <w:pPr>
              <w:pStyle w:val="Table"/>
              <w:keepNext w:val="0"/>
              <w:widowControl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Ara-C 1000 mg/m</w:t>
            </w:r>
            <w:r w:rsidRPr="00510442">
              <w:rPr>
                <w:rFonts w:ascii="Times New Roman" w:hAnsi="Times New Roman"/>
                <w:color w:val="000000"/>
                <w:sz w:val="22"/>
                <w:szCs w:val="22"/>
                <w:vertAlign w:val="superscript"/>
                <w:lang w:val="hr-HR"/>
              </w:rPr>
              <w:t>2</w:t>
            </w:r>
            <w:r w:rsidRPr="00510442">
              <w:rPr>
                <w:rFonts w:ascii="Times New Roman" w:hAnsi="Times New Roman"/>
                <w:color w:val="000000"/>
                <w:sz w:val="22"/>
                <w:szCs w:val="22"/>
                <w:lang w:val="hr-HR"/>
              </w:rPr>
              <w:t>/12 h i.v.(3 h), da</w:t>
            </w:r>
            <w:r w:rsidR="0092226E" w:rsidRPr="00510442">
              <w:rPr>
                <w:rFonts w:ascii="Times New Roman" w:hAnsi="Times New Roman"/>
                <w:color w:val="000000"/>
                <w:sz w:val="22"/>
                <w:szCs w:val="22"/>
                <w:lang w:val="hr-HR"/>
              </w:rPr>
              <w:t>ni</w:t>
            </w:r>
            <w:r w:rsidRPr="00510442">
              <w:rPr>
                <w:rFonts w:ascii="Times New Roman" w:hAnsi="Times New Roman"/>
                <w:color w:val="000000"/>
                <w:sz w:val="22"/>
                <w:szCs w:val="22"/>
                <w:lang w:val="hr-HR"/>
              </w:rPr>
              <w:t> 1</w:t>
            </w:r>
            <w:r w:rsidR="0065152B" w:rsidRPr="00510442">
              <w:rPr>
                <w:rFonts w:ascii="Times New Roman" w:hAnsi="Times New Roman"/>
                <w:color w:val="000000"/>
                <w:sz w:val="22"/>
                <w:szCs w:val="22"/>
                <w:lang w:val="hr-HR"/>
              </w:rPr>
              <w:noBreakHyphen/>
            </w:r>
            <w:r w:rsidRPr="00510442">
              <w:rPr>
                <w:rFonts w:ascii="Times New Roman" w:hAnsi="Times New Roman"/>
                <w:color w:val="000000"/>
                <w:sz w:val="22"/>
                <w:szCs w:val="22"/>
                <w:lang w:val="hr-HR"/>
              </w:rPr>
              <w:t>4;</w:t>
            </w:r>
          </w:p>
          <w:p w14:paraId="4291B08F" w14:textId="77777777" w:rsidR="00795AD9" w:rsidRPr="00510442" w:rsidRDefault="00795AD9" w:rsidP="00795AD9">
            <w:pPr>
              <w:pStyle w:val="Table"/>
              <w:keepNext w:val="0"/>
              <w:widowControl w:val="0"/>
              <w:spacing w:before="0" w:after="0"/>
              <w:rPr>
                <w:rFonts w:ascii="Times New Roman" w:hAnsi="Times New Roman"/>
                <w:color w:val="000000"/>
                <w:sz w:val="22"/>
                <w:szCs w:val="22"/>
                <w:lang w:val="hr-HR"/>
              </w:rPr>
            </w:pPr>
            <w:r w:rsidRPr="00510442">
              <w:rPr>
                <w:rFonts w:ascii="Times New Roman" w:hAnsi="Times New Roman"/>
                <w:sz w:val="22"/>
                <w:szCs w:val="22"/>
                <w:lang w:val="hr-HR"/>
              </w:rPr>
              <w:t>M</w:t>
            </w:r>
            <w:r w:rsidR="0092226E" w:rsidRPr="00510442">
              <w:rPr>
                <w:rFonts w:ascii="Times New Roman" w:hAnsi="Times New Roman"/>
                <w:sz w:val="22"/>
                <w:szCs w:val="22"/>
                <w:lang w:val="hr-HR"/>
              </w:rPr>
              <w:t xml:space="preserve">itoksantron </w:t>
            </w:r>
            <w:r w:rsidR="00657FAB" w:rsidRPr="00510442">
              <w:rPr>
                <w:rFonts w:ascii="Times New Roman" w:hAnsi="Times New Roman"/>
                <w:color w:val="000000"/>
                <w:sz w:val="22"/>
                <w:szCs w:val="22"/>
                <w:lang w:val="hr-HR"/>
              </w:rPr>
              <w:t>10 mg/m</w:t>
            </w:r>
            <w:r w:rsidR="00657FAB" w:rsidRPr="00510442">
              <w:rPr>
                <w:rFonts w:ascii="Times New Roman" w:hAnsi="Times New Roman"/>
                <w:color w:val="000000"/>
                <w:sz w:val="22"/>
                <w:szCs w:val="22"/>
                <w:vertAlign w:val="superscript"/>
                <w:lang w:val="hr-HR"/>
              </w:rPr>
              <w:t>2</w:t>
            </w:r>
            <w:r w:rsidR="00657FAB" w:rsidRPr="00510442">
              <w:rPr>
                <w:rFonts w:ascii="Times New Roman" w:hAnsi="Times New Roman"/>
                <w:color w:val="000000"/>
                <w:sz w:val="22"/>
                <w:szCs w:val="22"/>
                <w:lang w:val="hr-HR"/>
              </w:rPr>
              <w:t xml:space="preserve"> i.v. da</w:t>
            </w:r>
            <w:r w:rsidR="003B443C" w:rsidRPr="00510442">
              <w:rPr>
                <w:rFonts w:ascii="Times New Roman" w:hAnsi="Times New Roman"/>
                <w:color w:val="000000"/>
                <w:sz w:val="22"/>
                <w:szCs w:val="22"/>
                <w:lang w:val="hr-HR"/>
              </w:rPr>
              <w:t>ni</w:t>
            </w:r>
            <w:r w:rsidR="00657FAB" w:rsidRPr="00510442">
              <w:rPr>
                <w:rFonts w:ascii="Times New Roman" w:hAnsi="Times New Roman"/>
                <w:color w:val="000000"/>
                <w:sz w:val="22"/>
                <w:szCs w:val="22"/>
                <w:lang w:val="hr-HR"/>
              </w:rPr>
              <w:t> 3</w:t>
            </w:r>
            <w:r w:rsidR="0065152B" w:rsidRPr="00510442">
              <w:rPr>
                <w:rFonts w:ascii="Times New Roman" w:hAnsi="Times New Roman"/>
                <w:color w:val="000000"/>
                <w:sz w:val="22"/>
                <w:szCs w:val="22"/>
                <w:lang w:val="hr-HR"/>
              </w:rPr>
              <w:noBreakHyphen/>
            </w:r>
            <w:r w:rsidR="00657FAB" w:rsidRPr="00510442">
              <w:rPr>
                <w:rFonts w:ascii="Times New Roman" w:hAnsi="Times New Roman"/>
                <w:color w:val="000000"/>
                <w:sz w:val="22"/>
                <w:szCs w:val="22"/>
                <w:lang w:val="hr-HR"/>
              </w:rPr>
              <w:t>5;</w:t>
            </w:r>
          </w:p>
          <w:p w14:paraId="6A2F23C8" w14:textId="77777777" w:rsidR="00657FAB" w:rsidRPr="00510442" w:rsidRDefault="00657FAB" w:rsidP="00795AD9">
            <w:pPr>
              <w:pStyle w:val="Table"/>
              <w:keepNext w:val="0"/>
              <w:widowControl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MTX 15 mg intrat</w:t>
            </w:r>
            <w:r w:rsidR="0092226E" w:rsidRPr="00510442">
              <w:rPr>
                <w:rFonts w:ascii="Times New Roman" w:hAnsi="Times New Roman"/>
                <w:color w:val="000000"/>
                <w:sz w:val="22"/>
                <w:szCs w:val="22"/>
                <w:lang w:val="hr-HR"/>
              </w:rPr>
              <w:t>ekalno</w:t>
            </w:r>
            <w:r w:rsidRPr="00510442">
              <w:rPr>
                <w:rFonts w:ascii="Times New Roman" w:hAnsi="Times New Roman"/>
                <w:color w:val="000000"/>
                <w:sz w:val="22"/>
                <w:szCs w:val="22"/>
                <w:lang w:val="hr-HR"/>
              </w:rPr>
              <w:t>, da</w:t>
            </w:r>
            <w:r w:rsidR="0092226E" w:rsidRPr="00510442">
              <w:rPr>
                <w:rFonts w:ascii="Times New Roman" w:hAnsi="Times New Roman"/>
                <w:color w:val="000000"/>
                <w:sz w:val="22"/>
                <w:szCs w:val="22"/>
                <w:lang w:val="hr-HR"/>
              </w:rPr>
              <w:t>n</w:t>
            </w:r>
            <w:r w:rsidRPr="00510442">
              <w:rPr>
                <w:rFonts w:ascii="Times New Roman" w:hAnsi="Times New Roman"/>
                <w:color w:val="000000"/>
                <w:sz w:val="22"/>
                <w:szCs w:val="22"/>
                <w:lang w:val="hr-HR"/>
              </w:rPr>
              <w:t xml:space="preserve"> 1; </w:t>
            </w:r>
            <w:r w:rsidR="0092226E" w:rsidRPr="00510442">
              <w:rPr>
                <w:rFonts w:ascii="Times New Roman" w:hAnsi="Times New Roman"/>
                <w:sz w:val="22"/>
                <w:szCs w:val="22"/>
                <w:lang w:val="hr-HR"/>
              </w:rPr>
              <w:t xml:space="preserve">metilprednizolon </w:t>
            </w:r>
            <w:r w:rsidRPr="00510442">
              <w:rPr>
                <w:rFonts w:ascii="Times New Roman" w:hAnsi="Times New Roman"/>
                <w:color w:val="000000"/>
                <w:sz w:val="22"/>
                <w:szCs w:val="22"/>
                <w:lang w:val="hr-HR"/>
              </w:rPr>
              <w:t xml:space="preserve">40 mg </w:t>
            </w:r>
            <w:r w:rsidR="0092226E" w:rsidRPr="00510442">
              <w:rPr>
                <w:rFonts w:ascii="Times New Roman" w:hAnsi="Times New Roman"/>
                <w:sz w:val="22"/>
                <w:szCs w:val="22"/>
                <w:lang w:val="hr-HR"/>
              </w:rPr>
              <w:t>intratekalno</w:t>
            </w:r>
            <w:r w:rsidRPr="00510442">
              <w:rPr>
                <w:rFonts w:ascii="Times New Roman" w:hAnsi="Times New Roman"/>
                <w:color w:val="000000"/>
                <w:sz w:val="22"/>
                <w:szCs w:val="22"/>
                <w:lang w:val="hr-HR"/>
              </w:rPr>
              <w:t>, da</w:t>
            </w:r>
            <w:r w:rsidR="0092226E" w:rsidRPr="00510442">
              <w:rPr>
                <w:rFonts w:ascii="Times New Roman" w:hAnsi="Times New Roman"/>
                <w:color w:val="000000"/>
                <w:sz w:val="22"/>
                <w:szCs w:val="22"/>
                <w:lang w:val="hr-HR"/>
              </w:rPr>
              <w:t>n</w:t>
            </w:r>
            <w:r w:rsidRPr="00510442">
              <w:rPr>
                <w:rFonts w:ascii="Times New Roman" w:hAnsi="Times New Roman"/>
                <w:color w:val="000000"/>
                <w:sz w:val="22"/>
                <w:szCs w:val="22"/>
                <w:lang w:val="hr-HR"/>
              </w:rPr>
              <w:t> 1</w:t>
            </w:r>
          </w:p>
        </w:tc>
      </w:tr>
      <w:tr w:rsidR="00657FAB" w:rsidRPr="00510442" w14:paraId="7D1131BB" w14:textId="77777777">
        <w:tc>
          <w:tcPr>
            <w:tcW w:w="4800" w:type="dxa"/>
            <w:gridSpan w:val="2"/>
            <w:tcBorders>
              <w:top w:val="single" w:sz="4" w:space="0" w:color="auto"/>
              <w:bottom w:val="single" w:sz="4" w:space="0" w:color="auto"/>
            </w:tcBorders>
            <w:shd w:val="clear" w:color="auto" w:fill="auto"/>
          </w:tcPr>
          <w:p w14:paraId="1F5D0BAC" w14:textId="77777777" w:rsidR="00657FAB" w:rsidRPr="00510442" w:rsidRDefault="0092226E" w:rsidP="003179A4">
            <w:pPr>
              <w:pStyle w:val="Table"/>
              <w:keepLines w:val="0"/>
              <w:widowControl w:val="0"/>
              <w:spacing w:before="0" w:after="0"/>
              <w:rPr>
                <w:rFonts w:ascii="Times New Roman" w:hAnsi="Times New Roman"/>
                <w:b/>
                <w:color w:val="000000"/>
                <w:sz w:val="22"/>
                <w:szCs w:val="22"/>
                <w:lang w:val="hr-HR"/>
              </w:rPr>
            </w:pPr>
            <w:r w:rsidRPr="00510442">
              <w:rPr>
                <w:rFonts w:ascii="Times New Roman" w:hAnsi="Times New Roman"/>
                <w:b/>
                <w:sz w:val="22"/>
                <w:szCs w:val="22"/>
                <w:lang w:val="hr-HR"/>
              </w:rPr>
              <w:t xml:space="preserve">Studija </w:t>
            </w:r>
            <w:r w:rsidR="00657FAB" w:rsidRPr="00510442">
              <w:rPr>
                <w:rFonts w:ascii="Times New Roman" w:hAnsi="Times New Roman"/>
                <w:b/>
                <w:color w:val="000000"/>
                <w:sz w:val="22"/>
                <w:szCs w:val="22"/>
                <w:lang w:val="hr-HR"/>
              </w:rPr>
              <w:t>ADE04</w:t>
            </w:r>
          </w:p>
        </w:tc>
        <w:tc>
          <w:tcPr>
            <w:tcW w:w="1080" w:type="dxa"/>
            <w:tcBorders>
              <w:top w:val="single" w:sz="4" w:space="0" w:color="auto"/>
              <w:bottom w:val="single" w:sz="4" w:space="0" w:color="auto"/>
            </w:tcBorders>
          </w:tcPr>
          <w:p w14:paraId="4F957C68" w14:textId="77777777" w:rsidR="00657FAB" w:rsidRPr="00510442" w:rsidRDefault="00657FAB" w:rsidP="003179A4">
            <w:pPr>
              <w:pStyle w:val="Table"/>
              <w:keepLines w:val="0"/>
              <w:widowControl w:val="0"/>
              <w:spacing w:before="0" w:after="0"/>
              <w:rPr>
                <w:rFonts w:ascii="Times New Roman" w:hAnsi="Times New Roman"/>
                <w:color w:val="000000"/>
                <w:sz w:val="22"/>
                <w:szCs w:val="22"/>
                <w:lang w:val="hr-HR"/>
              </w:rPr>
            </w:pPr>
          </w:p>
        </w:tc>
        <w:tc>
          <w:tcPr>
            <w:tcW w:w="1380" w:type="dxa"/>
            <w:tcBorders>
              <w:top w:val="single" w:sz="4" w:space="0" w:color="auto"/>
              <w:bottom w:val="single" w:sz="4" w:space="0" w:color="auto"/>
            </w:tcBorders>
          </w:tcPr>
          <w:p w14:paraId="34D28117" w14:textId="77777777" w:rsidR="00657FAB" w:rsidRPr="00510442" w:rsidRDefault="00657FAB" w:rsidP="003179A4">
            <w:pPr>
              <w:pStyle w:val="Table"/>
              <w:keepLines w:val="0"/>
              <w:widowControl w:val="0"/>
              <w:spacing w:before="0" w:after="0"/>
              <w:rPr>
                <w:rFonts w:ascii="Times New Roman" w:hAnsi="Times New Roman"/>
                <w:color w:val="000000"/>
                <w:sz w:val="22"/>
                <w:szCs w:val="22"/>
                <w:lang w:val="hr-HR"/>
              </w:rPr>
            </w:pPr>
          </w:p>
        </w:tc>
        <w:tc>
          <w:tcPr>
            <w:tcW w:w="1620" w:type="dxa"/>
            <w:tcBorders>
              <w:top w:val="single" w:sz="4" w:space="0" w:color="auto"/>
              <w:bottom w:val="single" w:sz="4" w:space="0" w:color="auto"/>
            </w:tcBorders>
          </w:tcPr>
          <w:p w14:paraId="0AAF2AFF" w14:textId="77777777" w:rsidR="00657FAB" w:rsidRPr="00510442" w:rsidRDefault="00657FAB" w:rsidP="003179A4">
            <w:pPr>
              <w:pStyle w:val="Table"/>
              <w:keepLines w:val="0"/>
              <w:widowControl w:val="0"/>
              <w:spacing w:before="0" w:after="0"/>
              <w:rPr>
                <w:rFonts w:ascii="Times New Roman" w:hAnsi="Times New Roman"/>
                <w:color w:val="000000"/>
                <w:sz w:val="22"/>
                <w:szCs w:val="22"/>
                <w:lang w:val="hr-HR"/>
              </w:rPr>
            </w:pPr>
          </w:p>
        </w:tc>
      </w:tr>
      <w:tr w:rsidR="00657FAB" w:rsidRPr="00510442" w14:paraId="549F020A" w14:textId="77777777">
        <w:tc>
          <w:tcPr>
            <w:tcW w:w="2148" w:type="dxa"/>
            <w:tcBorders>
              <w:top w:val="single" w:sz="4" w:space="0" w:color="auto"/>
              <w:bottom w:val="single" w:sz="4" w:space="0" w:color="auto"/>
            </w:tcBorders>
            <w:shd w:val="clear" w:color="auto" w:fill="auto"/>
          </w:tcPr>
          <w:p w14:paraId="17ADBC83" w14:textId="77777777" w:rsidR="00657FAB" w:rsidRPr="00510442" w:rsidRDefault="0092226E" w:rsidP="003179A4">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sz w:val="22"/>
                <w:szCs w:val="22"/>
                <w:lang w:val="hr-HR"/>
              </w:rPr>
              <w:t>Predfaza</w:t>
            </w:r>
          </w:p>
        </w:tc>
        <w:tc>
          <w:tcPr>
            <w:tcW w:w="6732" w:type="dxa"/>
            <w:gridSpan w:val="4"/>
            <w:tcBorders>
              <w:top w:val="single" w:sz="4" w:space="0" w:color="auto"/>
              <w:bottom w:val="single" w:sz="4" w:space="0" w:color="auto"/>
            </w:tcBorders>
            <w:shd w:val="clear" w:color="auto" w:fill="auto"/>
          </w:tcPr>
          <w:p w14:paraId="7F259E84" w14:textId="77777777" w:rsidR="00795AD9" w:rsidRPr="00510442" w:rsidRDefault="00657FAB" w:rsidP="003179A4">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DEX 10 mg/m</w:t>
            </w:r>
            <w:r w:rsidRPr="00510442">
              <w:rPr>
                <w:rFonts w:ascii="Times New Roman" w:hAnsi="Times New Roman"/>
                <w:color w:val="000000"/>
                <w:sz w:val="22"/>
                <w:szCs w:val="22"/>
                <w:vertAlign w:val="superscript"/>
                <w:lang w:val="hr-HR"/>
              </w:rPr>
              <w:t>2</w:t>
            </w:r>
            <w:r w:rsidRPr="00510442">
              <w:rPr>
                <w:rFonts w:ascii="Times New Roman" w:hAnsi="Times New Roman"/>
                <w:color w:val="000000"/>
                <w:sz w:val="22"/>
                <w:szCs w:val="22"/>
                <w:lang w:val="hr-HR"/>
              </w:rPr>
              <w:t xml:space="preserve"> </w:t>
            </w:r>
            <w:r w:rsidR="00541C00" w:rsidRPr="00510442">
              <w:rPr>
                <w:rFonts w:ascii="Times New Roman" w:hAnsi="Times New Roman"/>
                <w:color w:val="000000"/>
                <w:sz w:val="22"/>
                <w:szCs w:val="22"/>
                <w:lang w:val="hr-HR"/>
              </w:rPr>
              <w:t>per</w:t>
            </w:r>
            <w:r w:rsidRPr="00510442">
              <w:rPr>
                <w:rFonts w:ascii="Times New Roman" w:hAnsi="Times New Roman"/>
                <w:color w:val="000000"/>
                <w:sz w:val="22"/>
                <w:szCs w:val="22"/>
                <w:lang w:val="hr-HR"/>
              </w:rPr>
              <w:t>oral</w:t>
            </w:r>
            <w:r w:rsidR="0092226E" w:rsidRPr="00510442">
              <w:rPr>
                <w:rFonts w:ascii="Times New Roman" w:hAnsi="Times New Roman"/>
                <w:color w:val="000000"/>
                <w:sz w:val="22"/>
                <w:szCs w:val="22"/>
                <w:lang w:val="hr-HR"/>
              </w:rPr>
              <w:t>no</w:t>
            </w:r>
            <w:r w:rsidRPr="00510442">
              <w:rPr>
                <w:rFonts w:ascii="Times New Roman" w:hAnsi="Times New Roman"/>
                <w:color w:val="000000"/>
                <w:sz w:val="22"/>
                <w:szCs w:val="22"/>
                <w:lang w:val="hr-HR"/>
              </w:rPr>
              <w:t>, da</w:t>
            </w:r>
            <w:r w:rsidR="0092226E" w:rsidRPr="00510442">
              <w:rPr>
                <w:rFonts w:ascii="Times New Roman" w:hAnsi="Times New Roman"/>
                <w:color w:val="000000"/>
                <w:sz w:val="22"/>
                <w:szCs w:val="22"/>
                <w:lang w:val="hr-HR"/>
              </w:rPr>
              <w:t>ni</w:t>
            </w:r>
            <w:r w:rsidRPr="00510442">
              <w:rPr>
                <w:rFonts w:ascii="Times New Roman" w:hAnsi="Times New Roman"/>
                <w:color w:val="000000"/>
                <w:sz w:val="22"/>
                <w:szCs w:val="22"/>
                <w:lang w:val="hr-HR"/>
              </w:rPr>
              <w:t> 1</w:t>
            </w:r>
            <w:r w:rsidR="0065152B" w:rsidRPr="00510442">
              <w:rPr>
                <w:rFonts w:ascii="Times New Roman" w:hAnsi="Times New Roman"/>
                <w:color w:val="000000"/>
                <w:sz w:val="22"/>
                <w:szCs w:val="22"/>
                <w:lang w:val="hr-HR"/>
              </w:rPr>
              <w:noBreakHyphen/>
            </w:r>
            <w:r w:rsidRPr="00510442">
              <w:rPr>
                <w:rFonts w:ascii="Times New Roman" w:hAnsi="Times New Roman"/>
                <w:color w:val="000000"/>
                <w:sz w:val="22"/>
                <w:szCs w:val="22"/>
                <w:lang w:val="hr-HR"/>
              </w:rPr>
              <w:t>5;</w:t>
            </w:r>
          </w:p>
          <w:p w14:paraId="613F1F3E" w14:textId="77777777" w:rsidR="00795AD9" w:rsidRPr="00510442" w:rsidRDefault="00657FAB" w:rsidP="003179A4">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CP 200 mg/m</w:t>
            </w:r>
            <w:r w:rsidRPr="00510442">
              <w:rPr>
                <w:rFonts w:ascii="Times New Roman" w:hAnsi="Times New Roman"/>
                <w:color w:val="000000"/>
                <w:sz w:val="22"/>
                <w:szCs w:val="22"/>
                <w:vertAlign w:val="superscript"/>
                <w:lang w:val="hr-HR"/>
              </w:rPr>
              <w:t>2</w:t>
            </w:r>
            <w:r w:rsidRPr="00510442">
              <w:rPr>
                <w:rFonts w:ascii="Times New Roman" w:hAnsi="Times New Roman"/>
                <w:color w:val="000000"/>
                <w:sz w:val="22"/>
                <w:szCs w:val="22"/>
                <w:lang w:val="hr-HR"/>
              </w:rPr>
              <w:t xml:space="preserve"> i.v., da</w:t>
            </w:r>
            <w:r w:rsidR="0092226E" w:rsidRPr="00510442">
              <w:rPr>
                <w:rFonts w:ascii="Times New Roman" w:hAnsi="Times New Roman"/>
                <w:color w:val="000000"/>
                <w:sz w:val="22"/>
                <w:szCs w:val="22"/>
                <w:lang w:val="hr-HR"/>
              </w:rPr>
              <w:t>ni</w:t>
            </w:r>
            <w:r w:rsidRPr="00510442">
              <w:rPr>
                <w:rFonts w:ascii="Times New Roman" w:hAnsi="Times New Roman"/>
                <w:color w:val="000000"/>
                <w:sz w:val="22"/>
                <w:szCs w:val="22"/>
                <w:lang w:val="hr-HR"/>
              </w:rPr>
              <w:t> 3</w:t>
            </w:r>
            <w:r w:rsidR="0065152B" w:rsidRPr="00510442">
              <w:rPr>
                <w:rFonts w:ascii="Times New Roman" w:hAnsi="Times New Roman"/>
                <w:color w:val="000000"/>
                <w:sz w:val="22"/>
                <w:szCs w:val="22"/>
                <w:lang w:val="hr-HR"/>
              </w:rPr>
              <w:noBreakHyphen/>
            </w:r>
            <w:r w:rsidRPr="00510442">
              <w:rPr>
                <w:rFonts w:ascii="Times New Roman" w:hAnsi="Times New Roman"/>
                <w:color w:val="000000"/>
                <w:sz w:val="22"/>
                <w:szCs w:val="22"/>
                <w:lang w:val="hr-HR"/>
              </w:rPr>
              <w:t>5;</w:t>
            </w:r>
          </w:p>
          <w:p w14:paraId="4D9E7FF0" w14:textId="77777777" w:rsidR="00657FAB" w:rsidRPr="00510442" w:rsidRDefault="00657FAB" w:rsidP="003179A4">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 xml:space="preserve">MTX 15 mg </w:t>
            </w:r>
            <w:r w:rsidR="0092226E" w:rsidRPr="00510442">
              <w:rPr>
                <w:rFonts w:ascii="Times New Roman" w:hAnsi="Times New Roman"/>
                <w:sz w:val="22"/>
                <w:szCs w:val="22"/>
                <w:lang w:val="hr-HR"/>
              </w:rPr>
              <w:t>intratekalno</w:t>
            </w:r>
            <w:r w:rsidRPr="00510442">
              <w:rPr>
                <w:rFonts w:ascii="Times New Roman" w:hAnsi="Times New Roman"/>
                <w:color w:val="000000"/>
                <w:sz w:val="22"/>
                <w:szCs w:val="22"/>
                <w:lang w:val="hr-HR"/>
              </w:rPr>
              <w:t>, da</w:t>
            </w:r>
            <w:r w:rsidR="0092226E" w:rsidRPr="00510442">
              <w:rPr>
                <w:rFonts w:ascii="Times New Roman" w:hAnsi="Times New Roman"/>
                <w:color w:val="000000"/>
                <w:sz w:val="22"/>
                <w:szCs w:val="22"/>
                <w:lang w:val="hr-HR"/>
              </w:rPr>
              <w:t>n</w:t>
            </w:r>
            <w:r w:rsidRPr="00510442">
              <w:rPr>
                <w:rFonts w:ascii="Times New Roman" w:hAnsi="Times New Roman"/>
                <w:color w:val="000000"/>
                <w:sz w:val="22"/>
                <w:szCs w:val="22"/>
                <w:lang w:val="hr-HR"/>
              </w:rPr>
              <w:t> 1</w:t>
            </w:r>
          </w:p>
        </w:tc>
      </w:tr>
      <w:tr w:rsidR="00657FAB" w:rsidRPr="00F410C8" w14:paraId="762DE2FD" w14:textId="77777777">
        <w:tc>
          <w:tcPr>
            <w:tcW w:w="2148" w:type="dxa"/>
            <w:tcBorders>
              <w:top w:val="single" w:sz="4" w:space="0" w:color="auto"/>
              <w:bottom w:val="single" w:sz="4" w:space="0" w:color="auto"/>
            </w:tcBorders>
            <w:shd w:val="clear" w:color="auto" w:fill="auto"/>
          </w:tcPr>
          <w:p w14:paraId="731E0A07" w14:textId="77777777" w:rsidR="00657FAB" w:rsidRPr="00510442" w:rsidRDefault="0092226E" w:rsidP="003179A4">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sz w:val="22"/>
                <w:szCs w:val="22"/>
                <w:lang w:val="hr-HR"/>
              </w:rPr>
              <w:t>Indukcijska terapija I</w:t>
            </w:r>
          </w:p>
        </w:tc>
        <w:tc>
          <w:tcPr>
            <w:tcW w:w="6732" w:type="dxa"/>
            <w:gridSpan w:val="4"/>
            <w:tcBorders>
              <w:top w:val="single" w:sz="4" w:space="0" w:color="auto"/>
              <w:bottom w:val="single" w:sz="4" w:space="0" w:color="auto"/>
            </w:tcBorders>
            <w:shd w:val="clear" w:color="auto" w:fill="auto"/>
          </w:tcPr>
          <w:p w14:paraId="6273AAEC" w14:textId="77777777" w:rsidR="00795AD9" w:rsidRPr="00510442" w:rsidRDefault="00657FAB" w:rsidP="003179A4">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DEX 10 mg/m</w:t>
            </w:r>
            <w:r w:rsidRPr="00510442">
              <w:rPr>
                <w:rFonts w:ascii="Times New Roman" w:hAnsi="Times New Roman"/>
                <w:color w:val="000000"/>
                <w:sz w:val="22"/>
                <w:szCs w:val="22"/>
                <w:vertAlign w:val="superscript"/>
                <w:lang w:val="hr-HR"/>
              </w:rPr>
              <w:t>2</w:t>
            </w:r>
            <w:r w:rsidR="001045C5" w:rsidRPr="00510442">
              <w:rPr>
                <w:rFonts w:ascii="Times New Roman" w:hAnsi="Times New Roman"/>
                <w:color w:val="000000"/>
                <w:sz w:val="22"/>
                <w:szCs w:val="22"/>
                <w:lang w:val="hr-HR"/>
              </w:rPr>
              <w:t xml:space="preserve"> </w:t>
            </w:r>
            <w:r w:rsidR="00541C00" w:rsidRPr="00510442">
              <w:rPr>
                <w:rFonts w:ascii="Times New Roman" w:hAnsi="Times New Roman"/>
                <w:color w:val="000000"/>
                <w:sz w:val="22"/>
                <w:szCs w:val="22"/>
                <w:lang w:val="hr-HR"/>
              </w:rPr>
              <w:t>per</w:t>
            </w:r>
            <w:r w:rsidR="001045C5" w:rsidRPr="00510442">
              <w:rPr>
                <w:rFonts w:ascii="Times New Roman" w:hAnsi="Times New Roman"/>
                <w:color w:val="000000"/>
                <w:sz w:val="22"/>
                <w:szCs w:val="22"/>
                <w:lang w:val="hr-HR"/>
              </w:rPr>
              <w:t>oral</w:t>
            </w:r>
            <w:r w:rsidR="0092226E" w:rsidRPr="00510442">
              <w:rPr>
                <w:rFonts w:ascii="Times New Roman" w:hAnsi="Times New Roman"/>
                <w:color w:val="000000"/>
                <w:sz w:val="22"/>
                <w:szCs w:val="22"/>
                <w:lang w:val="hr-HR"/>
              </w:rPr>
              <w:t>no</w:t>
            </w:r>
            <w:r w:rsidR="001045C5" w:rsidRPr="00510442">
              <w:rPr>
                <w:rFonts w:ascii="Times New Roman" w:hAnsi="Times New Roman"/>
                <w:color w:val="000000"/>
                <w:sz w:val="22"/>
                <w:szCs w:val="22"/>
                <w:lang w:val="hr-HR"/>
              </w:rPr>
              <w:t>, da</w:t>
            </w:r>
            <w:r w:rsidR="0092226E" w:rsidRPr="00510442">
              <w:rPr>
                <w:rFonts w:ascii="Times New Roman" w:hAnsi="Times New Roman"/>
                <w:color w:val="000000"/>
                <w:sz w:val="22"/>
                <w:szCs w:val="22"/>
                <w:lang w:val="hr-HR"/>
              </w:rPr>
              <w:t>ni</w:t>
            </w:r>
            <w:r w:rsidR="001045C5" w:rsidRPr="00510442">
              <w:rPr>
                <w:rFonts w:ascii="Times New Roman" w:hAnsi="Times New Roman"/>
                <w:color w:val="000000"/>
                <w:sz w:val="22"/>
                <w:szCs w:val="22"/>
                <w:lang w:val="hr-HR"/>
              </w:rPr>
              <w:t> </w:t>
            </w:r>
            <w:r w:rsidRPr="00510442">
              <w:rPr>
                <w:rFonts w:ascii="Times New Roman" w:hAnsi="Times New Roman"/>
                <w:color w:val="000000"/>
                <w:sz w:val="22"/>
                <w:szCs w:val="22"/>
                <w:lang w:val="hr-HR"/>
              </w:rPr>
              <w:t>1</w:t>
            </w:r>
            <w:r w:rsidR="0065152B" w:rsidRPr="00510442">
              <w:rPr>
                <w:rFonts w:ascii="Times New Roman" w:hAnsi="Times New Roman"/>
                <w:color w:val="000000"/>
                <w:sz w:val="22"/>
                <w:szCs w:val="22"/>
                <w:lang w:val="hr-HR"/>
              </w:rPr>
              <w:noBreakHyphen/>
            </w:r>
            <w:r w:rsidRPr="00510442">
              <w:rPr>
                <w:rFonts w:ascii="Times New Roman" w:hAnsi="Times New Roman"/>
                <w:color w:val="000000"/>
                <w:sz w:val="22"/>
                <w:szCs w:val="22"/>
                <w:lang w:val="hr-HR"/>
              </w:rPr>
              <w:t>5;</w:t>
            </w:r>
          </w:p>
          <w:p w14:paraId="0A710DA8" w14:textId="77777777" w:rsidR="00795AD9" w:rsidRPr="00510442" w:rsidRDefault="00657FAB" w:rsidP="003179A4">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VCR 2 mg i.v., da</w:t>
            </w:r>
            <w:r w:rsidR="00D335E2" w:rsidRPr="00510442">
              <w:rPr>
                <w:rFonts w:ascii="Times New Roman" w:hAnsi="Times New Roman"/>
                <w:color w:val="000000"/>
                <w:sz w:val="22"/>
                <w:szCs w:val="22"/>
                <w:lang w:val="hr-HR"/>
              </w:rPr>
              <w:t>ni</w:t>
            </w:r>
            <w:r w:rsidRPr="00510442">
              <w:rPr>
                <w:rFonts w:ascii="Times New Roman" w:hAnsi="Times New Roman"/>
                <w:color w:val="000000"/>
                <w:sz w:val="22"/>
                <w:szCs w:val="22"/>
                <w:lang w:val="hr-HR"/>
              </w:rPr>
              <w:t> 6, 13, 20;</w:t>
            </w:r>
          </w:p>
          <w:p w14:paraId="2E25AB6B" w14:textId="77777777" w:rsidR="00657FAB" w:rsidRPr="00510442" w:rsidRDefault="00795AD9" w:rsidP="003179A4">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D</w:t>
            </w:r>
            <w:r w:rsidR="00657FAB" w:rsidRPr="00510442">
              <w:rPr>
                <w:rFonts w:ascii="Times New Roman" w:hAnsi="Times New Roman"/>
                <w:color w:val="000000"/>
                <w:sz w:val="22"/>
                <w:szCs w:val="22"/>
                <w:lang w:val="hr-HR"/>
              </w:rPr>
              <w:t>aunorubicin 45 mg</w:t>
            </w:r>
            <w:r w:rsidR="00EB5C92" w:rsidRPr="00510442">
              <w:rPr>
                <w:rFonts w:ascii="Times New Roman" w:hAnsi="Times New Roman"/>
                <w:color w:val="000000"/>
                <w:sz w:val="22"/>
                <w:szCs w:val="22"/>
                <w:lang w:val="hr-HR"/>
              </w:rPr>
              <w:t>/</w:t>
            </w:r>
            <w:r w:rsidR="00657FAB" w:rsidRPr="00510442">
              <w:rPr>
                <w:rFonts w:ascii="Times New Roman" w:hAnsi="Times New Roman"/>
                <w:color w:val="000000"/>
                <w:sz w:val="22"/>
                <w:szCs w:val="22"/>
                <w:lang w:val="hr-HR"/>
              </w:rPr>
              <w:t>m</w:t>
            </w:r>
            <w:r w:rsidR="00657FAB" w:rsidRPr="00510442">
              <w:rPr>
                <w:rFonts w:ascii="Times New Roman" w:hAnsi="Times New Roman"/>
                <w:color w:val="000000"/>
                <w:sz w:val="22"/>
                <w:szCs w:val="22"/>
                <w:vertAlign w:val="superscript"/>
                <w:lang w:val="hr-HR"/>
              </w:rPr>
              <w:t>2</w:t>
            </w:r>
            <w:r w:rsidR="00657FAB" w:rsidRPr="00510442">
              <w:rPr>
                <w:rFonts w:ascii="Times New Roman" w:hAnsi="Times New Roman"/>
                <w:color w:val="000000"/>
                <w:sz w:val="22"/>
                <w:szCs w:val="22"/>
                <w:lang w:val="hr-HR"/>
              </w:rPr>
              <w:t xml:space="preserve"> i.v., da</w:t>
            </w:r>
            <w:r w:rsidR="00D335E2" w:rsidRPr="00510442">
              <w:rPr>
                <w:rFonts w:ascii="Times New Roman" w:hAnsi="Times New Roman"/>
                <w:color w:val="000000"/>
                <w:sz w:val="22"/>
                <w:szCs w:val="22"/>
                <w:lang w:val="hr-HR"/>
              </w:rPr>
              <w:t>ni</w:t>
            </w:r>
            <w:r w:rsidR="00657FAB" w:rsidRPr="00510442">
              <w:rPr>
                <w:rFonts w:ascii="Times New Roman" w:hAnsi="Times New Roman"/>
                <w:color w:val="000000"/>
                <w:sz w:val="22"/>
                <w:szCs w:val="22"/>
                <w:lang w:val="hr-HR"/>
              </w:rPr>
              <w:t> 6</w:t>
            </w:r>
            <w:r w:rsidR="0065152B" w:rsidRPr="00510442">
              <w:rPr>
                <w:rFonts w:ascii="Times New Roman" w:hAnsi="Times New Roman"/>
                <w:color w:val="000000"/>
                <w:sz w:val="22"/>
                <w:szCs w:val="22"/>
                <w:lang w:val="hr-HR"/>
              </w:rPr>
              <w:noBreakHyphen/>
            </w:r>
            <w:r w:rsidR="00657FAB" w:rsidRPr="00510442">
              <w:rPr>
                <w:rFonts w:ascii="Times New Roman" w:hAnsi="Times New Roman"/>
                <w:color w:val="000000"/>
                <w:sz w:val="22"/>
                <w:szCs w:val="22"/>
                <w:lang w:val="hr-HR"/>
              </w:rPr>
              <w:t>7, 13</w:t>
            </w:r>
            <w:r w:rsidR="0065152B" w:rsidRPr="00510442">
              <w:rPr>
                <w:rFonts w:ascii="Times New Roman" w:hAnsi="Times New Roman"/>
                <w:color w:val="000000"/>
                <w:sz w:val="22"/>
                <w:szCs w:val="22"/>
                <w:lang w:val="hr-HR"/>
              </w:rPr>
              <w:noBreakHyphen/>
            </w:r>
            <w:r w:rsidR="00657FAB" w:rsidRPr="00510442">
              <w:rPr>
                <w:rFonts w:ascii="Times New Roman" w:hAnsi="Times New Roman"/>
                <w:color w:val="000000"/>
                <w:sz w:val="22"/>
                <w:szCs w:val="22"/>
                <w:lang w:val="hr-HR"/>
              </w:rPr>
              <w:t>14</w:t>
            </w:r>
          </w:p>
        </w:tc>
      </w:tr>
      <w:tr w:rsidR="00657FAB" w:rsidRPr="00510442" w14:paraId="7B220ADA" w14:textId="77777777">
        <w:tc>
          <w:tcPr>
            <w:tcW w:w="2148" w:type="dxa"/>
            <w:tcBorders>
              <w:top w:val="single" w:sz="4" w:space="0" w:color="auto"/>
              <w:bottom w:val="single" w:sz="4" w:space="0" w:color="auto"/>
            </w:tcBorders>
            <w:shd w:val="clear" w:color="auto" w:fill="auto"/>
          </w:tcPr>
          <w:p w14:paraId="5969E9D0" w14:textId="77777777" w:rsidR="00657FAB" w:rsidRPr="00510442" w:rsidRDefault="0092226E" w:rsidP="003179A4">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sz w:val="22"/>
                <w:szCs w:val="22"/>
                <w:lang w:val="hr-HR"/>
              </w:rPr>
              <w:t>Indukcijska terapija II</w:t>
            </w:r>
          </w:p>
        </w:tc>
        <w:tc>
          <w:tcPr>
            <w:tcW w:w="6732" w:type="dxa"/>
            <w:gridSpan w:val="4"/>
            <w:tcBorders>
              <w:top w:val="single" w:sz="4" w:space="0" w:color="auto"/>
              <w:bottom w:val="single" w:sz="4" w:space="0" w:color="auto"/>
            </w:tcBorders>
            <w:shd w:val="clear" w:color="auto" w:fill="auto"/>
          </w:tcPr>
          <w:p w14:paraId="4F3BAB9A" w14:textId="77777777" w:rsidR="00795AD9" w:rsidRPr="00510442" w:rsidRDefault="00657FAB" w:rsidP="003179A4">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CP 1 g/m</w:t>
            </w:r>
            <w:r w:rsidRPr="00510442">
              <w:rPr>
                <w:rFonts w:ascii="Times New Roman" w:hAnsi="Times New Roman"/>
                <w:color w:val="000000"/>
                <w:sz w:val="22"/>
                <w:szCs w:val="22"/>
                <w:vertAlign w:val="superscript"/>
                <w:lang w:val="hr-HR"/>
              </w:rPr>
              <w:t>2</w:t>
            </w:r>
            <w:r w:rsidRPr="00510442">
              <w:rPr>
                <w:rFonts w:ascii="Times New Roman" w:hAnsi="Times New Roman"/>
                <w:color w:val="000000"/>
                <w:sz w:val="22"/>
                <w:szCs w:val="22"/>
                <w:lang w:val="hr-HR"/>
              </w:rPr>
              <w:t xml:space="preserve"> i.v. (1 h), da</w:t>
            </w:r>
            <w:r w:rsidR="00D335E2" w:rsidRPr="00510442">
              <w:rPr>
                <w:rFonts w:ascii="Times New Roman" w:hAnsi="Times New Roman"/>
                <w:color w:val="000000"/>
                <w:sz w:val="22"/>
                <w:szCs w:val="22"/>
                <w:lang w:val="hr-HR"/>
              </w:rPr>
              <w:t>ni</w:t>
            </w:r>
            <w:r w:rsidRPr="00510442">
              <w:rPr>
                <w:rFonts w:ascii="Times New Roman" w:hAnsi="Times New Roman"/>
                <w:color w:val="000000"/>
                <w:sz w:val="22"/>
                <w:szCs w:val="22"/>
                <w:lang w:val="hr-HR"/>
              </w:rPr>
              <w:t> 26, 46;</w:t>
            </w:r>
          </w:p>
          <w:p w14:paraId="3F330105" w14:textId="77777777" w:rsidR="00795AD9" w:rsidRPr="00510442" w:rsidRDefault="00657FAB" w:rsidP="003179A4">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Ara-C 75 mg/m</w:t>
            </w:r>
            <w:r w:rsidRPr="00510442">
              <w:rPr>
                <w:rFonts w:ascii="Times New Roman" w:hAnsi="Times New Roman"/>
                <w:color w:val="000000"/>
                <w:sz w:val="22"/>
                <w:szCs w:val="22"/>
                <w:vertAlign w:val="superscript"/>
                <w:lang w:val="hr-HR"/>
              </w:rPr>
              <w:t>2</w:t>
            </w:r>
            <w:r w:rsidRPr="00510442">
              <w:rPr>
                <w:rFonts w:ascii="Times New Roman" w:hAnsi="Times New Roman"/>
                <w:color w:val="000000"/>
                <w:sz w:val="22"/>
                <w:szCs w:val="22"/>
                <w:lang w:val="hr-HR"/>
              </w:rPr>
              <w:t xml:space="preserve"> i.v. (1 h), da</w:t>
            </w:r>
            <w:r w:rsidR="00D335E2" w:rsidRPr="00510442">
              <w:rPr>
                <w:rFonts w:ascii="Times New Roman" w:hAnsi="Times New Roman"/>
                <w:color w:val="000000"/>
                <w:sz w:val="22"/>
                <w:szCs w:val="22"/>
                <w:lang w:val="hr-HR"/>
              </w:rPr>
              <w:t>ni</w:t>
            </w:r>
            <w:r w:rsidRPr="00510442">
              <w:rPr>
                <w:rFonts w:ascii="Times New Roman" w:hAnsi="Times New Roman"/>
                <w:color w:val="000000"/>
                <w:sz w:val="22"/>
                <w:szCs w:val="22"/>
                <w:lang w:val="hr-HR"/>
              </w:rPr>
              <w:t> 28</w:t>
            </w:r>
            <w:r w:rsidR="0065152B" w:rsidRPr="00510442">
              <w:rPr>
                <w:rFonts w:ascii="Times New Roman" w:hAnsi="Times New Roman"/>
                <w:color w:val="000000"/>
                <w:sz w:val="22"/>
                <w:szCs w:val="22"/>
                <w:lang w:val="hr-HR"/>
              </w:rPr>
              <w:noBreakHyphen/>
            </w:r>
            <w:r w:rsidRPr="00510442">
              <w:rPr>
                <w:rFonts w:ascii="Times New Roman" w:hAnsi="Times New Roman"/>
                <w:color w:val="000000"/>
                <w:sz w:val="22"/>
                <w:szCs w:val="22"/>
                <w:lang w:val="hr-HR"/>
              </w:rPr>
              <w:t>31, 35</w:t>
            </w:r>
            <w:r w:rsidR="0065152B" w:rsidRPr="00510442">
              <w:rPr>
                <w:rFonts w:ascii="Times New Roman" w:hAnsi="Times New Roman"/>
                <w:color w:val="000000"/>
                <w:sz w:val="22"/>
                <w:szCs w:val="22"/>
                <w:lang w:val="hr-HR"/>
              </w:rPr>
              <w:noBreakHyphen/>
            </w:r>
            <w:r w:rsidRPr="00510442">
              <w:rPr>
                <w:rFonts w:ascii="Times New Roman" w:hAnsi="Times New Roman"/>
                <w:color w:val="000000"/>
                <w:sz w:val="22"/>
                <w:szCs w:val="22"/>
                <w:lang w:val="hr-HR"/>
              </w:rPr>
              <w:t>38, 42</w:t>
            </w:r>
            <w:r w:rsidR="0065152B" w:rsidRPr="00510442">
              <w:rPr>
                <w:rFonts w:ascii="Times New Roman" w:hAnsi="Times New Roman"/>
                <w:color w:val="000000"/>
                <w:sz w:val="22"/>
                <w:szCs w:val="22"/>
                <w:lang w:val="hr-HR"/>
              </w:rPr>
              <w:noBreakHyphen/>
            </w:r>
            <w:r w:rsidRPr="00510442">
              <w:rPr>
                <w:rFonts w:ascii="Times New Roman" w:hAnsi="Times New Roman"/>
                <w:color w:val="000000"/>
                <w:sz w:val="22"/>
                <w:szCs w:val="22"/>
                <w:lang w:val="hr-HR"/>
              </w:rPr>
              <w:t>45;</w:t>
            </w:r>
          </w:p>
          <w:p w14:paraId="22BB00FF" w14:textId="77777777" w:rsidR="00657FAB" w:rsidRPr="00510442" w:rsidRDefault="00657FAB" w:rsidP="003179A4">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6-MP 60 mg/m</w:t>
            </w:r>
            <w:r w:rsidRPr="00510442">
              <w:rPr>
                <w:rFonts w:ascii="Times New Roman" w:hAnsi="Times New Roman"/>
                <w:color w:val="000000"/>
                <w:sz w:val="22"/>
                <w:szCs w:val="22"/>
                <w:vertAlign w:val="superscript"/>
                <w:lang w:val="hr-HR"/>
              </w:rPr>
              <w:t>2</w:t>
            </w:r>
            <w:r w:rsidRPr="00510442">
              <w:rPr>
                <w:rFonts w:ascii="Times New Roman" w:hAnsi="Times New Roman"/>
                <w:color w:val="000000"/>
                <w:sz w:val="22"/>
                <w:szCs w:val="22"/>
                <w:lang w:val="hr-HR"/>
              </w:rPr>
              <w:t xml:space="preserve"> </w:t>
            </w:r>
            <w:r w:rsidR="00541C00" w:rsidRPr="00510442">
              <w:rPr>
                <w:rFonts w:ascii="Times New Roman" w:hAnsi="Times New Roman"/>
                <w:color w:val="000000"/>
                <w:sz w:val="22"/>
                <w:szCs w:val="22"/>
                <w:lang w:val="hr-HR"/>
              </w:rPr>
              <w:t>per</w:t>
            </w:r>
            <w:r w:rsidRPr="00510442">
              <w:rPr>
                <w:rFonts w:ascii="Times New Roman" w:hAnsi="Times New Roman"/>
                <w:color w:val="000000"/>
                <w:sz w:val="22"/>
                <w:szCs w:val="22"/>
                <w:lang w:val="hr-HR"/>
              </w:rPr>
              <w:t>oral</w:t>
            </w:r>
            <w:r w:rsidR="00D335E2" w:rsidRPr="00510442">
              <w:rPr>
                <w:rFonts w:ascii="Times New Roman" w:hAnsi="Times New Roman"/>
                <w:color w:val="000000"/>
                <w:sz w:val="22"/>
                <w:szCs w:val="22"/>
                <w:lang w:val="hr-HR"/>
              </w:rPr>
              <w:t>no</w:t>
            </w:r>
            <w:r w:rsidRPr="00510442">
              <w:rPr>
                <w:rFonts w:ascii="Times New Roman" w:hAnsi="Times New Roman"/>
                <w:color w:val="000000"/>
                <w:sz w:val="22"/>
                <w:szCs w:val="22"/>
                <w:lang w:val="hr-HR"/>
              </w:rPr>
              <w:t>, da</w:t>
            </w:r>
            <w:r w:rsidR="00D335E2" w:rsidRPr="00510442">
              <w:rPr>
                <w:rFonts w:ascii="Times New Roman" w:hAnsi="Times New Roman"/>
                <w:color w:val="000000"/>
                <w:sz w:val="22"/>
                <w:szCs w:val="22"/>
                <w:lang w:val="hr-HR"/>
              </w:rPr>
              <w:t>ni</w:t>
            </w:r>
            <w:r w:rsidRPr="00510442">
              <w:rPr>
                <w:rFonts w:ascii="Times New Roman" w:hAnsi="Times New Roman"/>
                <w:color w:val="000000"/>
                <w:sz w:val="22"/>
                <w:szCs w:val="22"/>
                <w:lang w:val="hr-HR"/>
              </w:rPr>
              <w:t> 26</w:t>
            </w:r>
            <w:r w:rsidR="0065152B" w:rsidRPr="00510442">
              <w:rPr>
                <w:rFonts w:ascii="Times New Roman" w:hAnsi="Times New Roman"/>
                <w:color w:val="000000"/>
                <w:sz w:val="22"/>
                <w:szCs w:val="22"/>
                <w:lang w:val="hr-HR"/>
              </w:rPr>
              <w:noBreakHyphen/>
            </w:r>
            <w:r w:rsidRPr="00510442">
              <w:rPr>
                <w:rFonts w:ascii="Times New Roman" w:hAnsi="Times New Roman"/>
                <w:color w:val="000000"/>
                <w:sz w:val="22"/>
                <w:szCs w:val="22"/>
                <w:lang w:val="hr-HR"/>
              </w:rPr>
              <w:t>46</w:t>
            </w:r>
          </w:p>
        </w:tc>
      </w:tr>
      <w:tr w:rsidR="00657FAB" w:rsidRPr="00F410C8" w14:paraId="089FC717" w14:textId="77777777">
        <w:tc>
          <w:tcPr>
            <w:tcW w:w="2148" w:type="dxa"/>
            <w:tcBorders>
              <w:top w:val="nil"/>
              <w:bottom w:val="single" w:sz="4" w:space="0" w:color="auto"/>
            </w:tcBorders>
            <w:shd w:val="clear" w:color="auto" w:fill="auto"/>
          </w:tcPr>
          <w:p w14:paraId="640753B1" w14:textId="77777777" w:rsidR="00657FAB" w:rsidRPr="00510442" w:rsidRDefault="0092226E" w:rsidP="003179A4">
            <w:pPr>
              <w:pStyle w:val="Table"/>
              <w:keepNext w:val="0"/>
              <w:keepLines w:val="0"/>
              <w:widowControl w:val="0"/>
              <w:spacing w:before="0" w:after="0"/>
              <w:rPr>
                <w:rFonts w:ascii="Times New Roman" w:hAnsi="Times New Roman"/>
                <w:color w:val="000000"/>
                <w:sz w:val="22"/>
                <w:szCs w:val="22"/>
                <w:lang w:val="hr-HR"/>
              </w:rPr>
            </w:pPr>
            <w:r w:rsidRPr="00510442">
              <w:rPr>
                <w:rFonts w:ascii="Times New Roman" w:hAnsi="Times New Roman"/>
                <w:sz w:val="22"/>
                <w:szCs w:val="22"/>
                <w:lang w:val="hr-HR"/>
              </w:rPr>
              <w:t>Konsolidacijska terapija</w:t>
            </w:r>
          </w:p>
        </w:tc>
        <w:tc>
          <w:tcPr>
            <w:tcW w:w="6732" w:type="dxa"/>
            <w:gridSpan w:val="4"/>
            <w:tcBorders>
              <w:top w:val="nil"/>
              <w:bottom w:val="single" w:sz="4" w:space="0" w:color="auto"/>
            </w:tcBorders>
            <w:shd w:val="clear" w:color="auto" w:fill="auto"/>
          </w:tcPr>
          <w:p w14:paraId="082288F1" w14:textId="77777777" w:rsidR="00795AD9" w:rsidRPr="00510442" w:rsidRDefault="00657FAB" w:rsidP="003179A4">
            <w:pPr>
              <w:pStyle w:val="Table"/>
              <w:keepNext w:val="0"/>
              <w:keepLines w:val="0"/>
              <w:widowControl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DEX 10 mg/m</w:t>
            </w:r>
            <w:r w:rsidRPr="00510442">
              <w:rPr>
                <w:rFonts w:ascii="Times New Roman" w:hAnsi="Times New Roman"/>
                <w:color w:val="000000"/>
                <w:sz w:val="22"/>
                <w:szCs w:val="22"/>
                <w:vertAlign w:val="superscript"/>
                <w:lang w:val="hr-HR"/>
              </w:rPr>
              <w:t>2</w:t>
            </w:r>
            <w:r w:rsidR="001045C5" w:rsidRPr="00510442">
              <w:rPr>
                <w:rFonts w:ascii="Times New Roman" w:hAnsi="Times New Roman"/>
                <w:color w:val="000000"/>
                <w:sz w:val="22"/>
                <w:szCs w:val="22"/>
                <w:lang w:val="hr-HR"/>
              </w:rPr>
              <w:t xml:space="preserve"> </w:t>
            </w:r>
            <w:r w:rsidR="00541C00" w:rsidRPr="00510442">
              <w:rPr>
                <w:rFonts w:ascii="Times New Roman" w:hAnsi="Times New Roman"/>
                <w:color w:val="000000"/>
                <w:sz w:val="22"/>
                <w:szCs w:val="22"/>
                <w:lang w:val="hr-HR"/>
              </w:rPr>
              <w:t>per</w:t>
            </w:r>
            <w:r w:rsidR="001045C5" w:rsidRPr="00510442">
              <w:rPr>
                <w:rFonts w:ascii="Times New Roman" w:hAnsi="Times New Roman"/>
                <w:color w:val="000000"/>
                <w:sz w:val="22"/>
                <w:szCs w:val="22"/>
                <w:lang w:val="hr-HR"/>
              </w:rPr>
              <w:t>oral</w:t>
            </w:r>
            <w:r w:rsidR="00D335E2" w:rsidRPr="00510442">
              <w:rPr>
                <w:rFonts w:ascii="Times New Roman" w:hAnsi="Times New Roman"/>
                <w:color w:val="000000"/>
                <w:sz w:val="22"/>
                <w:szCs w:val="22"/>
                <w:lang w:val="hr-HR"/>
              </w:rPr>
              <w:t>no</w:t>
            </w:r>
            <w:r w:rsidR="001045C5" w:rsidRPr="00510442">
              <w:rPr>
                <w:rFonts w:ascii="Times New Roman" w:hAnsi="Times New Roman"/>
                <w:color w:val="000000"/>
                <w:sz w:val="22"/>
                <w:szCs w:val="22"/>
                <w:lang w:val="hr-HR"/>
              </w:rPr>
              <w:t>, da</w:t>
            </w:r>
            <w:r w:rsidR="00D335E2" w:rsidRPr="00510442">
              <w:rPr>
                <w:rFonts w:ascii="Times New Roman" w:hAnsi="Times New Roman"/>
                <w:color w:val="000000"/>
                <w:sz w:val="22"/>
                <w:szCs w:val="22"/>
                <w:lang w:val="hr-HR"/>
              </w:rPr>
              <w:t>ni</w:t>
            </w:r>
            <w:r w:rsidR="001045C5" w:rsidRPr="00510442">
              <w:rPr>
                <w:rFonts w:ascii="Times New Roman" w:hAnsi="Times New Roman"/>
                <w:color w:val="000000"/>
                <w:sz w:val="22"/>
                <w:szCs w:val="22"/>
                <w:lang w:val="hr-HR"/>
              </w:rPr>
              <w:t> </w:t>
            </w:r>
            <w:r w:rsidRPr="00510442">
              <w:rPr>
                <w:rFonts w:ascii="Times New Roman" w:hAnsi="Times New Roman"/>
                <w:color w:val="000000"/>
                <w:sz w:val="22"/>
                <w:szCs w:val="22"/>
                <w:lang w:val="hr-HR"/>
              </w:rPr>
              <w:t>1</w:t>
            </w:r>
            <w:r w:rsidR="0065152B" w:rsidRPr="00510442">
              <w:rPr>
                <w:rFonts w:ascii="Times New Roman" w:hAnsi="Times New Roman"/>
                <w:color w:val="000000"/>
                <w:sz w:val="22"/>
                <w:szCs w:val="22"/>
                <w:lang w:val="hr-HR"/>
              </w:rPr>
              <w:noBreakHyphen/>
            </w:r>
            <w:r w:rsidRPr="00510442">
              <w:rPr>
                <w:rFonts w:ascii="Times New Roman" w:hAnsi="Times New Roman"/>
                <w:color w:val="000000"/>
                <w:sz w:val="22"/>
                <w:szCs w:val="22"/>
                <w:lang w:val="hr-HR"/>
              </w:rPr>
              <w:t>5;</w:t>
            </w:r>
          </w:p>
          <w:p w14:paraId="2FEC3EA6" w14:textId="77777777" w:rsidR="00795AD9" w:rsidRPr="00510442" w:rsidRDefault="00795AD9" w:rsidP="003179A4">
            <w:pPr>
              <w:pStyle w:val="Table"/>
              <w:keepNext w:val="0"/>
              <w:keepLines w:val="0"/>
              <w:widowControl w:val="0"/>
              <w:spacing w:before="0" w:after="0"/>
              <w:rPr>
                <w:rFonts w:ascii="Times New Roman" w:hAnsi="Times New Roman"/>
                <w:color w:val="000000"/>
                <w:sz w:val="22"/>
                <w:szCs w:val="22"/>
                <w:lang w:val="hr-HR"/>
              </w:rPr>
            </w:pPr>
            <w:r w:rsidRPr="00510442">
              <w:rPr>
                <w:rFonts w:ascii="Times New Roman" w:hAnsi="Times New Roman"/>
                <w:sz w:val="22"/>
                <w:szCs w:val="22"/>
                <w:lang w:val="hr-HR"/>
              </w:rPr>
              <w:t>V</w:t>
            </w:r>
            <w:r w:rsidR="00D335E2" w:rsidRPr="00510442">
              <w:rPr>
                <w:rFonts w:ascii="Times New Roman" w:hAnsi="Times New Roman"/>
                <w:sz w:val="22"/>
                <w:szCs w:val="22"/>
                <w:lang w:val="hr-HR"/>
              </w:rPr>
              <w:t xml:space="preserve">indezin </w:t>
            </w:r>
            <w:r w:rsidR="00657FAB" w:rsidRPr="00510442">
              <w:rPr>
                <w:rFonts w:ascii="Times New Roman" w:hAnsi="Times New Roman"/>
                <w:color w:val="000000"/>
                <w:sz w:val="22"/>
                <w:szCs w:val="22"/>
                <w:lang w:val="hr-HR"/>
              </w:rPr>
              <w:t>3 mg/m</w:t>
            </w:r>
            <w:r w:rsidR="00657FAB" w:rsidRPr="00510442">
              <w:rPr>
                <w:rFonts w:ascii="Times New Roman" w:hAnsi="Times New Roman"/>
                <w:color w:val="000000"/>
                <w:sz w:val="22"/>
                <w:szCs w:val="22"/>
                <w:vertAlign w:val="superscript"/>
                <w:lang w:val="hr-HR"/>
              </w:rPr>
              <w:t>2</w:t>
            </w:r>
            <w:r w:rsidR="00657FAB" w:rsidRPr="00510442">
              <w:rPr>
                <w:rFonts w:ascii="Times New Roman" w:hAnsi="Times New Roman"/>
                <w:color w:val="000000"/>
                <w:sz w:val="22"/>
                <w:szCs w:val="22"/>
                <w:lang w:val="hr-HR"/>
              </w:rPr>
              <w:t xml:space="preserve"> i.v., da</w:t>
            </w:r>
            <w:r w:rsidR="00D335E2" w:rsidRPr="00510442">
              <w:rPr>
                <w:rFonts w:ascii="Times New Roman" w:hAnsi="Times New Roman"/>
                <w:color w:val="000000"/>
                <w:sz w:val="22"/>
                <w:szCs w:val="22"/>
                <w:lang w:val="hr-HR"/>
              </w:rPr>
              <w:t>n</w:t>
            </w:r>
            <w:r w:rsidR="00657FAB" w:rsidRPr="00510442">
              <w:rPr>
                <w:rFonts w:ascii="Times New Roman" w:hAnsi="Times New Roman"/>
                <w:color w:val="000000"/>
                <w:sz w:val="22"/>
                <w:szCs w:val="22"/>
                <w:lang w:val="hr-HR"/>
              </w:rPr>
              <w:t> 1;</w:t>
            </w:r>
          </w:p>
          <w:p w14:paraId="152C2985" w14:textId="77777777" w:rsidR="00795AD9" w:rsidRPr="00510442" w:rsidRDefault="00657FAB" w:rsidP="003179A4">
            <w:pPr>
              <w:pStyle w:val="Table"/>
              <w:keepNext w:val="0"/>
              <w:keepLines w:val="0"/>
              <w:widowControl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MTX 1</w:t>
            </w:r>
            <w:r w:rsidR="00534488" w:rsidRPr="00510442">
              <w:rPr>
                <w:rFonts w:ascii="Times New Roman" w:hAnsi="Times New Roman"/>
                <w:color w:val="000000"/>
                <w:sz w:val="22"/>
                <w:szCs w:val="22"/>
                <w:lang w:val="hr-HR"/>
              </w:rPr>
              <w:t>,</w:t>
            </w:r>
            <w:r w:rsidRPr="00510442">
              <w:rPr>
                <w:rFonts w:ascii="Times New Roman" w:hAnsi="Times New Roman"/>
                <w:color w:val="000000"/>
                <w:sz w:val="22"/>
                <w:szCs w:val="22"/>
                <w:lang w:val="hr-HR"/>
              </w:rPr>
              <w:t>5 g/m</w:t>
            </w:r>
            <w:r w:rsidRPr="00510442">
              <w:rPr>
                <w:rFonts w:ascii="Times New Roman" w:hAnsi="Times New Roman"/>
                <w:color w:val="000000"/>
                <w:sz w:val="22"/>
                <w:szCs w:val="22"/>
                <w:vertAlign w:val="superscript"/>
                <w:lang w:val="hr-HR"/>
              </w:rPr>
              <w:t>2</w:t>
            </w:r>
            <w:r w:rsidRPr="00510442">
              <w:rPr>
                <w:rFonts w:ascii="Times New Roman" w:hAnsi="Times New Roman"/>
                <w:color w:val="000000"/>
                <w:sz w:val="22"/>
                <w:szCs w:val="22"/>
                <w:lang w:val="hr-HR"/>
              </w:rPr>
              <w:t xml:space="preserve"> i.v. (24 h), da</w:t>
            </w:r>
            <w:r w:rsidR="00D335E2" w:rsidRPr="00510442">
              <w:rPr>
                <w:rFonts w:ascii="Times New Roman" w:hAnsi="Times New Roman"/>
                <w:color w:val="000000"/>
                <w:sz w:val="22"/>
                <w:szCs w:val="22"/>
                <w:lang w:val="hr-HR"/>
              </w:rPr>
              <w:t>n</w:t>
            </w:r>
            <w:r w:rsidRPr="00510442">
              <w:rPr>
                <w:rFonts w:ascii="Times New Roman" w:hAnsi="Times New Roman"/>
                <w:color w:val="000000"/>
                <w:sz w:val="22"/>
                <w:szCs w:val="22"/>
                <w:lang w:val="hr-HR"/>
              </w:rPr>
              <w:t> 1;</w:t>
            </w:r>
          </w:p>
          <w:p w14:paraId="5A41842B" w14:textId="77777777" w:rsidR="00795AD9" w:rsidRPr="00510442" w:rsidRDefault="00795AD9" w:rsidP="003179A4">
            <w:pPr>
              <w:pStyle w:val="Table"/>
              <w:keepNext w:val="0"/>
              <w:keepLines w:val="0"/>
              <w:widowControl w:val="0"/>
              <w:spacing w:before="0" w:after="0"/>
              <w:rPr>
                <w:rFonts w:ascii="Times New Roman" w:hAnsi="Times New Roman"/>
                <w:color w:val="000000"/>
                <w:sz w:val="22"/>
                <w:szCs w:val="22"/>
                <w:lang w:val="hr-HR"/>
              </w:rPr>
            </w:pPr>
            <w:r w:rsidRPr="00510442">
              <w:rPr>
                <w:rFonts w:ascii="Times New Roman" w:hAnsi="Times New Roman"/>
                <w:sz w:val="22"/>
                <w:szCs w:val="22"/>
                <w:lang w:val="hr-HR"/>
              </w:rPr>
              <w:t>E</w:t>
            </w:r>
            <w:r w:rsidR="00D335E2" w:rsidRPr="00510442">
              <w:rPr>
                <w:rFonts w:ascii="Times New Roman" w:hAnsi="Times New Roman"/>
                <w:sz w:val="22"/>
                <w:szCs w:val="22"/>
                <w:lang w:val="hr-HR"/>
              </w:rPr>
              <w:t xml:space="preserve">topozid </w:t>
            </w:r>
            <w:r w:rsidR="00657FAB" w:rsidRPr="00510442">
              <w:rPr>
                <w:rFonts w:ascii="Times New Roman" w:hAnsi="Times New Roman"/>
                <w:color w:val="000000"/>
                <w:sz w:val="22"/>
                <w:szCs w:val="22"/>
                <w:lang w:val="hr-HR"/>
              </w:rPr>
              <w:t>250 mg/m</w:t>
            </w:r>
            <w:r w:rsidR="00657FAB" w:rsidRPr="00510442">
              <w:rPr>
                <w:rFonts w:ascii="Times New Roman" w:hAnsi="Times New Roman"/>
                <w:color w:val="000000"/>
                <w:sz w:val="22"/>
                <w:szCs w:val="22"/>
                <w:vertAlign w:val="superscript"/>
                <w:lang w:val="hr-HR"/>
              </w:rPr>
              <w:t>2</w:t>
            </w:r>
            <w:r w:rsidR="00657FAB" w:rsidRPr="00510442">
              <w:rPr>
                <w:rFonts w:ascii="Times New Roman" w:hAnsi="Times New Roman"/>
                <w:color w:val="000000"/>
                <w:sz w:val="22"/>
                <w:szCs w:val="22"/>
                <w:lang w:val="hr-HR"/>
              </w:rPr>
              <w:t xml:space="preserve"> i.v. (1 h) da</w:t>
            </w:r>
            <w:r w:rsidR="00D335E2" w:rsidRPr="00510442">
              <w:rPr>
                <w:rFonts w:ascii="Times New Roman" w:hAnsi="Times New Roman"/>
                <w:color w:val="000000"/>
                <w:sz w:val="22"/>
                <w:szCs w:val="22"/>
                <w:lang w:val="hr-HR"/>
              </w:rPr>
              <w:t>ni</w:t>
            </w:r>
            <w:r w:rsidR="00657FAB" w:rsidRPr="00510442">
              <w:rPr>
                <w:rFonts w:ascii="Times New Roman" w:hAnsi="Times New Roman"/>
                <w:color w:val="000000"/>
                <w:sz w:val="22"/>
                <w:szCs w:val="22"/>
                <w:lang w:val="hr-HR"/>
              </w:rPr>
              <w:t> 4</w:t>
            </w:r>
            <w:r w:rsidR="0065152B" w:rsidRPr="00510442">
              <w:rPr>
                <w:rFonts w:ascii="Times New Roman" w:hAnsi="Times New Roman"/>
                <w:color w:val="000000"/>
                <w:sz w:val="22"/>
                <w:szCs w:val="22"/>
                <w:lang w:val="hr-HR"/>
              </w:rPr>
              <w:noBreakHyphen/>
            </w:r>
            <w:r w:rsidR="00657FAB" w:rsidRPr="00510442">
              <w:rPr>
                <w:rFonts w:ascii="Times New Roman" w:hAnsi="Times New Roman"/>
                <w:color w:val="000000"/>
                <w:sz w:val="22"/>
                <w:szCs w:val="22"/>
                <w:lang w:val="hr-HR"/>
              </w:rPr>
              <w:t>5;</w:t>
            </w:r>
          </w:p>
          <w:p w14:paraId="1E784FF2" w14:textId="77777777" w:rsidR="00657FAB" w:rsidRPr="00510442" w:rsidRDefault="00657FAB" w:rsidP="003179A4">
            <w:pPr>
              <w:pStyle w:val="Table"/>
              <w:keepNext w:val="0"/>
              <w:keepLines w:val="0"/>
              <w:widowControl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Ara-C 2x 2 g/m</w:t>
            </w:r>
            <w:r w:rsidRPr="00510442">
              <w:rPr>
                <w:rFonts w:ascii="Times New Roman" w:hAnsi="Times New Roman"/>
                <w:color w:val="000000"/>
                <w:sz w:val="22"/>
                <w:szCs w:val="22"/>
                <w:vertAlign w:val="superscript"/>
                <w:lang w:val="hr-HR"/>
              </w:rPr>
              <w:t>2</w:t>
            </w:r>
            <w:r w:rsidRPr="00510442">
              <w:rPr>
                <w:rFonts w:ascii="Times New Roman" w:hAnsi="Times New Roman"/>
                <w:color w:val="000000"/>
                <w:sz w:val="22"/>
                <w:szCs w:val="22"/>
                <w:lang w:val="hr-HR"/>
              </w:rPr>
              <w:t xml:space="preserve"> i.v. (3 h, </w:t>
            </w:r>
            <w:r w:rsidR="00C0579F" w:rsidRPr="00510442">
              <w:rPr>
                <w:rFonts w:ascii="Times New Roman" w:hAnsi="Times New Roman"/>
                <w:color w:val="000000"/>
                <w:sz w:val="22"/>
                <w:szCs w:val="22"/>
                <w:lang w:val="hr-HR"/>
              </w:rPr>
              <w:t>svakih</w:t>
            </w:r>
            <w:r w:rsidRPr="00510442">
              <w:rPr>
                <w:rFonts w:ascii="Times New Roman" w:hAnsi="Times New Roman"/>
                <w:color w:val="000000"/>
                <w:sz w:val="22"/>
                <w:szCs w:val="22"/>
                <w:lang w:val="hr-HR"/>
              </w:rPr>
              <w:t> 12 h), da</w:t>
            </w:r>
            <w:r w:rsidR="00D335E2" w:rsidRPr="00510442">
              <w:rPr>
                <w:rFonts w:ascii="Times New Roman" w:hAnsi="Times New Roman"/>
                <w:color w:val="000000"/>
                <w:sz w:val="22"/>
                <w:szCs w:val="22"/>
                <w:lang w:val="hr-HR"/>
              </w:rPr>
              <w:t>n</w:t>
            </w:r>
            <w:r w:rsidRPr="00510442">
              <w:rPr>
                <w:rFonts w:ascii="Times New Roman" w:hAnsi="Times New Roman"/>
                <w:color w:val="000000"/>
                <w:sz w:val="22"/>
                <w:szCs w:val="22"/>
                <w:lang w:val="hr-HR"/>
              </w:rPr>
              <w:t> 5</w:t>
            </w:r>
          </w:p>
        </w:tc>
      </w:tr>
      <w:tr w:rsidR="00657FAB" w:rsidRPr="00510442" w14:paraId="17DB672C" w14:textId="77777777">
        <w:tc>
          <w:tcPr>
            <w:tcW w:w="2148" w:type="dxa"/>
            <w:tcBorders>
              <w:top w:val="nil"/>
              <w:bottom w:val="single" w:sz="4" w:space="0" w:color="auto"/>
            </w:tcBorders>
            <w:shd w:val="clear" w:color="auto" w:fill="auto"/>
          </w:tcPr>
          <w:p w14:paraId="74A57E77" w14:textId="77777777" w:rsidR="00657FAB" w:rsidRPr="00510442" w:rsidRDefault="00AA5950" w:rsidP="003179A4">
            <w:pPr>
              <w:pStyle w:val="Table"/>
              <w:keepLines w:val="0"/>
              <w:widowControl w:val="0"/>
              <w:spacing w:before="0" w:after="0"/>
              <w:rPr>
                <w:rFonts w:ascii="Times New Roman" w:hAnsi="Times New Roman"/>
                <w:b/>
                <w:color w:val="000000"/>
                <w:sz w:val="22"/>
                <w:szCs w:val="22"/>
                <w:lang w:val="hr-HR"/>
              </w:rPr>
            </w:pPr>
            <w:r w:rsidRPr="00510442">
              <w:rPr>
                <w:rFonts w:ascii="Times New Roman" w:hAnsi="Times New Roman"/>
                <w:b/>
                <w:sz w:val="22"/>
                <w:szCs w:val="22"/>
                <w:lang w:val="hr-HR"/>
              </w:rPr>
              <w:t xml:space="preserve">Studija </w:t>
            </w:r>
            <w:r w:rsidR="00657FAB" w:rsidRPr="00510442">
              <w:rPr>
                <w:rFonts w:ascii="Times New Roman" w:hAnsi="Times New Roman"/>
                <w:b/>
                <w:color w:val="000000"/>
                <w:sz w:val="22"/>
                <w:szCs w:val="22"/>
                <w:lang w:val="hr-HR"/>
              </w:rPr>
              <w:t>AJP01</w:t>
            </w:r>
          </w:p>
        </w:tc>
        <w:tc>
          <w:tcPr>
            <w:tcW w:w="2652" w:type="dxa"/>
            <w:tcBorders>
              <w:top w:val="nil"/>
              <w:bottom w:val="single" w:sz="4" w:space="0" w:color="auto"/>
            </w:tcBorders>
            <w:shd w:val="clear" w:color="auto" w:fill="auto"/>
          </w:tcPr>
          <w:p w14:paraId="0BF19584" w14:textId="77777777" w:rsidR="00657FAB" w:rsidRPr="00510442" w:rsidRDefault="00657FAB" w:rsidP="003179A4">
            <w:pPr>
              <w:pStyle w:val="Table"/>
              <w:keepLines w:val="0"/>
              <w:widowControl w:val="0"/>
              <w:spacing w:before="0" w:after="0"/>
              <w:rPr>
                <w:rFonts w:ascii="Times New Roman" w:hAnsi="Times New Roman"/>
                <w:color w:val="000000"/>
                <w:sz w:val="22"/>
                <w:szCs w:val="22"/>
                <w:lang w:val="hr-HR"/>
              </w:rPr>
            </w:pPr>
          </w:p>
        </w:tc>
        <w:tc>
          <w:tcPr>
            <w:tcW w:w="1080" w:type="dxa"/>
            <w:tcBorders>
              <w:top w:val="nil"/>
              <w:bottom w:val="single" w:sz="4" w:space="0" w:color="auto"/>
            </w:tcBorders>
          </w:tcPr>
          <w:p w14:paraId="4E01AD36" w14:textId="77777777" w:rsidR="00657FAB" w:rsidRPr="00510442" w:rsidRDefault="00657FAB" w:rsidP="003179A4">
            <w:pPr>
              <w:pStyle w:val="Table"/>
              <w:keepLines w:val="0"/>
              <w:widowControl w:val="0"/>
              <w:spacing w:before="0" w:after="0"/>
              <w:rPr>
                <w:rFonts w:ascii="Times New Roman" w:hAnsi="Times New Roman"/>
                <w:color w:val="000000"/>
                <w:sz w:val="22"/>
                <w:szCs w:val="22"/>
                <w:lang w:val="hr-HR"/>
              </w:rPr>
            </w:pPr>
          </w:p>
        </w:tc>
        <w:tc>
          <w:tcPr>
            <w:tcW w:w="1380" w:type="dxa"/>
            <w:tcBorders>
              <w:top w:val="nil"/>
              <w:bottom w:val="single" w:sz="4" w:space="0" w:color="auto"/>
            </w:tcBorders>
          </w:tcPr>
          <w:p w14:paraId="315EDCAA" w14:textId="77777777" w:rsidR="00657FAB" w:rsidRPr="00510442" w:rsidRDefault="00657FAB" w:rsidP="003179A4">
            <w:pPr>
              <w:pStyle w:val="Table"/>
              <w:keepLines w:val="0"/>
              <w:widowControl w:val="0"/>
              <w:spacing w:before="0" w:after="0"/>
              <w:rPr>
                <w:rFonts w:ascii="Times New Roman" w:hAnsi="Times New Roman"/>
                <w:color w:val="000000"/>
                <w:sz w:val="22"/>
                <w:szCs w:val="22"/>
                <w:lang w:val="hr-HR"/>
              </w:rPr>
            </w:pPr>
          </w:p>
        </w:tc>
        <w:tc>
          <w:tcPr>
            <w:tcW w:w="1620" w:type="dxa"/>
            <w:tcBorders>
              <w:top w:val="nil"/>
              <w:bottom w:val="single" w:sz="4" w:space="0" w:color="auto"/>
            </w:tcBorders>
          </w:tcPr>
          <w:p w14:paraId="1F443CC0" w14:textId="77777777" w:rsidR="00657FAB" w:rsidRPr="00510442" w:rsidRDefault="00657FAB" w:rsidP="003179A4">
            <w:pPr>
              <w:pStyle w:val="Table"/>
              <w:keepLines w:val="0"/>
              <w:widowControl w:val="0"/>
              <w:spacing w:before="0" w:after="0"/>
              <w:rPr>
                <w:rFonts w:ascii="Times New Roman" w:hAnsi="Times New Roman"/>
                <w:color w:val="000000"/>
                <w:sz w:val="22"/>
                <w:szCs w:val="22"/>
                <w:lang w:val="hr-HR"/>
              </w:rPr>
            </w:pPr>
          </w:p>
        </w:tc>
      </w:tr>
      <w:tr w:rsidR="00AA5950" w:rsidRPr="00F410C8" w14:paraId="2355F0E1" w14:textId="77777777">
        <w:tc>
          <w:tcPr>
            <w:tcW w:w="2148" w:type="dxa"/>
            <w:tcBorders>
              <w:top w:val="nil"/>
              <w:bottom w:val="single" w:sz="4" w:space="0" w:color="auto"/>
            </w:tcBorders>
            <w:shd w:val="clear" w:color="auto" w:fill="auto"/>
          </w:tcPr>
          <w:p w14:paraId="5711B928" w14:textId="77777777" w:rsidR="00AA5950" w:rsidRPr="00510442" w:rsidRDefault="00AA5950" w:rsidP="003179A4">
            <w:pPr>
              <w:pStyle w:val="Table"/>
              <w:keepLines w:val="0"/>
              <w:widowControl w:val="0"/>
              <w:spacing w:before="0" w:after="0"/>
              <w:rPr>
                <w:rFonts w:ascii="Times New Roman" w:hAnsi="Times New Roman"/>
                <w:sz w:val="22"/>
                <w:szCs w:val="22"/>
                <w:lang w:val="hr-HR"/>
              </w:rPr>
            </w:pPr>
            <w:r w:rsidRPr="00510442">
              <w:rPr>
                <w:rFonts w:ascii="Times New Roman" w:hAnsi="Times New Roman"/>
                <w:sz w:val="22"/>
                <w:szCs w:val="22"/>
                <w:lang w:val="hr-HR"/>
              </w:rPr>
              <w:t>Indukcijska terapija</w:t>
            </w:r>
          </w:p>
        </w:tc>
        <w:tc>
          <w:tcPr>
            <w:tcW w:w="6732" w:type="dxa"/>
            <w:gridSpan w:val="4"/>
            <w:tcBorders>
              <w:top w:val="nil"/>
              <w:bottom w:val="single" w:sz="4" w:space="0" w:color="auto"/>
            </w:tcBorders>
            <w:shd w:val="clear" w:color="auto" w:fill="auto"/>
          </w:tcPr>
          <w:p w14:paraId="5DF919E2" w14:textId="77777777" w:rsidR="00795AD9" w:rsidRPr="00510442" w:rsidRDefault="00AA5950" w:rsidP="003179A4">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CP 1</w:t>
            </w:r>
            <w:r w:rsidR="00534488" w:rsidRPr="00510442">
              <w:rPr>
                <w:rFonts w:ascii="Times New Roman" w:hAnsi="Times New Roman"/>
                <w:color w:val="000000"/>
                <w:sz w:val="22"/>
                <w:szCs w:val="22"/>
                <w:lang w:val="hr-HR"/>
              </w:rPr>
              <w:t>,</w:t>
            </w:r>
            <w:r w:rsidRPr="00510442">
              <w:rPr>
                <w:rFonts w:ascii="Times New Roman" w:hAnsi="Times New Roman"/>
                <w:color w:val="000000"/>
                <w:sz w:val="22"/>
                <w:szCs w:val="22"/>
                <w:lang w:val="hr-HR"/>
              </w:rPr>
              <w:t>2 g/m</w:t>
            </w:r>
            <w:r w:rsidRPr="00510442">
              <w:rPr>
                <w:rFonts w:ascii="Times New Roman" w:hAnsi="Times New Roman"/>
                <w:color w:val="000000"/>
                <w:sz w:val="22"/>
                <w:szCs w:val="22"/>
                <w:vertAlign w:val="superscript"/>
                <w:lang w:val="hr-HR"/>
              </w:rPr>
              <w:t>2</w:t>
            </w:r>
            <w:r w:rsidRPr="00510442">
              <w:rPr>
                <w:rFonts w:ascii="Times New Roman" w:hAnsi="Times New Roman"/>
                <w:color w:val="000000"/>
                <w:sz w:val="22"/>
                <w:szCs w:val="22"/>
                <w:lang w:val="hr-HR"/>
              </w:rPr>
              <w:t xml:space="preserve"> i.v. (3 h), da</w:t>
            </w:r>
            <w:r w:rsidR="00534488" w:rsidRPr="00510442">
              <w:rPr>
                <w:rFonts w:ascii="Times New Roman" w:hAnsi="Times New Roman"/>
                <w:color w:val="000000"/>
                <w:sz w:val="22"/>
                <w:szCs w:val="22"/>
                <w:lang w:val="hr-HR"/>
              </w:rPr>
              <w:t>n</w:t>
            </w:r>
            <w:r w:rsidRPr="00510442">
              <w:rPr>
                <w:rFonts w:ascii="Times New Roman" w:hAnsi="Times New Roman"/>
                <w:color w:val="000000"/>
                <w:sz w:val="22"/>
                <w:szCs w:val="22"/>
                <w:lang w:val="hr-HR"/>
              </w:rPr>
              <w:t> 1;</w:t>
            </w:r>
          </w:p>
          <w:p w14:paraId="3862D196" w14:textId="77777777" w:rsidR="00795AD9" w:rsidRPr="00510442" w:rsidRDefault="00795AD9" w:rsidP="003179A4">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D</w:t>
            </w:r>
            <w:r w:rsidR="00AA5950" w:rsidRPr="00510442">
              <w:rPr>
                <w:rFonts w:ascii="Times New Roman" w:hAnsi="Times New Roman"/>
                <w:color w:val="000000"/>
                <w:sz w:val="22"/>
                <w:szCs w:val="22"/>
                <w:lang w:val="hr-HR"/>
              </w:rPr>
              <w:t>aunorubicin 60 mg/m</w:t>
            </w:r>
            <w:r w:rsidR="00AA5950" w:rsidRPr="00510442">
              <w:rPr>
                <w:rFonts w:ascii="Times New Roman" w:hAnsi="Times New Roman"/>
                <w:color w:val="000000"/>
                <w:sz w:val="22"/>
                <w:szCs w:val="22"/>
                <w:vertAlign w:val="superscript"/>
                <w:lang w:val="hr-HR"/>
              </w:rPr>
              <w:t>2</w:t>
            </w:r>
            <w:r w:rsidR="00AA5950" w:rsidRPr="00510442">
              <w:rPr>
                <w:rFonts w:ascii="Times New Roman" w:hAnsi="Times New Roman"/>
                <w:color w:val="000000"/>
                <w:sz w:val="22"/>
                <w:szCs w:val="22"/>
                <w:lang w:val="hr-HR"/>
              </w:rPr>
              <w:t xml:space="preserve"> i.v. (1 h), da</w:t>
            </w:r>
            <w:r w:rsidR="00534488" w:rsidRPr="00510442">
              <w:rPr>
                <w:rFonts w:ascii="Times New Roman" w:hAnsi="Times New Roman"/>
                <w:color w:val="000000"/>
                <w:sz w:val="22"/>
                <w:szCs w:val="22"/>
                <w:lang w:val="hr-HR"/>
              </w:rPr>
              <w:t>ni</w:t>
            </w:r>
            <w:r w:rsidR="00AA5950" w:rsidRPr="00510442">
              <w:rPr>
                <w:rFonts w:ascii="Times New Roman" w:hAnsi="Times New Roman"/>
                <w:color w:val="000000"/>
                <w:sz w:val="22"/>
                <w:szCs w:val="22"/>
                <w:lang w:val="hr-HR"/>
              </w:rPr>
              <w:t> 1</w:t>
            </w:r>
            <w:r w:rsidR="0065152B" w:rsidRPr="00510442">
              <w:rPr>
                <w:rFonts w:ascii="Times New Roman" w:hAnsi="Times New Roman"/>
                <w:color w:val="000000"/>
                <w:sz w:val="22"/>
                <w:szCs w:val="22"/>
                <w:lang w:val="hr-HR"/>
              </w:rPr>
              <w:noBreakHyphen/>
            </w:r>
            <w:r w:rsidR="00AA5950" w:rsidRPr="00510442">
              <w:rPr>
                <w:rFonts w:ascii="Times New Roman" w:hAnsi="Times New Roman"/>
                <w:color w:val="000000"/>
                <w:sz w:val="22"/>
                <w:szCs w:val="22"/>
                <w:lang w:val="hr-HR"/>
              </w:rPr>
              <w:t>3;</w:t>
            </w:r>
          </w:p>
          <w:p w14:paraId="420F4334" w14:textId="77777777" w:rsidR="00795AD9" w:rsidRPr="00510442" w:rsidRDefault="00795AD9" w:rsidP="003179A4">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sz w:val="22"/>
                <w:szCs w:val="22"/>
                <w:lang w:val="hr-HR"/>
              </w:rPr>
              <w:t>V</w:t>
            </w:r>
            <w:r w:rsidR="00534488" w:rsidRPr="00510442">
              <w:rPr>
                <w:rFonts w:ascii="Times New Roman" w:hAnsi="Times New Roman"/>
                <w:sz w:val="22"/>
                <w:szCs w:val="22"/>
                <w:lang w:val="hr-HR"/>
              </w:rPr>
              <w:t xml:space="preserve">inkristin </w:t>
            </w:r>
            <w:r w:rsidR="00AA5950" w:rsidRPr="00510442">
              <w:rPr>
                <w:rFonts w:ascii="Times New Roman" w:hAnsi="Times New Roman"/>
                <w:color w:val="000000"/>
                <w:sz w:val="22"/>
                <w:szCs w:val="22"/>
                <w:lang w:val="hr-HR"/>
              </w:rPr>
              <w:t>1</w:t>
            </w:r>
            <w:r w:rsidR="00534488" w:rsidRPr="00510442">
              <w:rPr>
                <w:rFonts w:ascii="Times New Roman" w:hAnsi="Times New Roman"/>
                <w:color w:val="000000"/>
                <w:sz w:val="22"/>
                <w:szCs w:val="22"/>
                <w:lang w:val="hr-HR"/>
              </w:rPr>
              <w:t>,</w:t>
            </w:r>
            <w:r w:rsidR="00AA5950" w:rsidRPr="00510442">
              <w:rPr>
                <w:rFonts w:ascii="Times New Roman" w:hAnsi="Times New Roman"/>
                <w:color w:val="000000"/>
                <w:sz w:val="22"/>
                <w:szCs w:val="22"/>
                <w:lang w:val="hr-HR"/>
              </w:rPr>
              <w:t>3 mg/m</w:t>
            </w:r>
            <w:r w:rsidR="00AA5950" w:rsidRPr="00510442">
              <w:rPr>
                <w:rFonts w:ascii="Times New Roman" w:hAnsi="Times New Roman"/>
                <w:color w:val="000000"/>
                <w:sz w:val="22"/>
                <w:szCs w:val="22"/>
                <w:vertAlign w:val="superscript"/>
                <w:lang w:val="hr-HR"/>
              </w:rPr>
              <w:t>2</w:t>
            </w:r>
            <w:r w:rsidR="00AA5950" w:rsidRPr="00510442">
              <w:rPr>
                <w:rFonts w:ascii="Times New Roman" w:hAnsi="Times New Roman"/>
                <w:color w:val="000000"/>
                <w:sz w:val="22"/>
                <w:szCs w:val="22"/>
                <w:lang w:val="hr-HR"/>
              </w:rPr>
              <w:t xml:space="preserve"> i.v., da</w:t>
            </w:r>
            <w:r w:rsidR="00534488" w:rsidRPr="00510442">
              <w:rPr>
                <w:rFonts w:ascii="Times New Roman" w:hAnsi="Times New Roman"/>
                <w:color w:val="000000"/>
                <w:sz w:val="22"/>
                <w:szCs w:val="22"/>
                <w:lang w:val="hr-HR"/>
              </w:rPr>
              <w:t>ni</w:t>
            </w:r>
            <w:r w:rsidR="00AA5950" w:rsidRPr="00510442">
              <w:rPr>
                <w:rFonts w:ascii="Times New Roman" w:hAnsi="Times New Roman"/>
                <w:color w:val="000000"/>
                <w:sz w:val="22"/>
                <w:szCs w:val="22"/>
                <w:lang w:val="hr-HR"/>
              </w:rPr>
              <w:t> 1, 8, 15, 21;</w:t>
            </w:r>
          </w:p>
          <w:p w14:paraId="5E920851" w14:textId="77777777" w:rsidR="00AA5950" w:rsidRPr="00510442" w:rsidRDefault="00795AD9" w:rsidP="003179A4">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sz w:val="22"/>
                <w:szCs w:val="22"/>
                <w:lang w:val="hr-HR"/>
              </w:rPr>
              <w:t>P</w:t>
            </w:r>
            <w:r w:rsidR="00534488" w:rsidRPr="00510442">
              <w:rPr>
                <w:rFonts w:ascii="Times New Roman" w:hAnsi="Times New Roman"/>
                <w:sz w:val="22"/>
                <w:szCs w:val="22"/>
                <w:lang w:val="hr-HR"/>
              </w:rPr>
              <w:t xml:space="preserve">rednizolon </w:t>
            </w:r>
            <w:r w:rsidR="00AA5950" w:rsidRPr="00510442">
              <w:rPr>
                <w:rFonts w:ascii="Times New Roman" w:hAnsi="Times New Roman"/>
                <w:color w:val="000000"/>
                <w:sz w:val="22"/>
                <w:szCs w:val="22"/>
                <w:lang w:val="hr-HR"/>
              </w:rPr>
              <w:t>60 mg/m</w:t>
            </w:r>
            <w:r w:rsidR="00AA5950" w:rsidRPr="00510442">
              <w:rPr>
                <w:rFonts w:ascii="Times New Roman" w:hAnsi="Times New Roman"/>
                <w:color w:val="000000"/>
                <w:sz w:val="22"/>
                <w:szCs w:val="22"/>
                <w:vertAlign w:val="superscript"/>
                <w:lang w:val="hr-HR"/>
              </w:rPr>
              <w:t>2</w:t>
            </w:r>
            <w:r w:rsidR="00AA5950" w:rsidRPr="00510442">
              <w:rPr>
                <w:rFonts w:ascii="Times New Roman" w:hAnsi="Times New Roman"/>
                <w:color w:val="000000"/>
                <w:sz w:val="22"/>
                <w:szCs w:val="22"/>
                <w:lang w:val="hr-HR"/>
              </w:rPr>
              <w:t>/da</w:t>
            </w:r>
            <w:r w:rsidR="00534488" w:rsidRPr="00510442">
              <w:rPr>
                <w:rFonts w:ascii="Times New Roman" w:hAnsi="Times New Roman"/>
                <w:color w:val="000000"/>
                <w:sz w:val="22"/>
                <w:szCs w:val="22"/>
                <w:lang w:val="hr-HR"/>
              </w:rPr>
              <w:t>n</w:t>
            </w:r>
            <w:r w:rsidR="00AA5950" w:rsidRPr="00510442">
              <w:rPr>
                <w:rFonts w:ascii="Times New Roman" w:hAnsi="Times New Roman"/>
                <w:color w:val="000000"/>
                <w:sz w:val="22"/>
                <w:szCs w:val="22"/>
                <w:lang w:val="hr-HR"/>
              </w:rPr>
              <w:t xml:space="preserve"> </w:t>
            </w:r>
            <w:r w:rsidR="00541C00" w:rsidRPr="00510442">
              <w:rPr>
                <w:rFonts w:ascii="Times New Roman" w:hAnsi="Times New Roman"/>
                <w:color w:val="000000"/>
                <w:sz w:val="22"/>
                <w:szCs w:val="22"/>
                <w:lang w:val="hr-HR"/>
              </w:rPr>
              <w:t>per</w:t>
            </w:r>
            <w:r w:rsidR="00AA5950" w:rsidRPr="00510442">
              <w:rPr>
                <w:rFonts w:ascii="Times New Roman" w:hAnsi="Times New Roman"/>
                <w:color w:val="000000"/>
                <w:sz w:val="22"/>
                <w:szCs w:val="22"/>
                <w:lang w:val="hr-HR"/>
              </w:rPr>
              <w:t>oral</w:t>
            </w:r>
            <w:r w:rsidR="00534488" w:rsidRPr="00510442">
              <w:rPr>
                <w:rFonts w:ascii="Times New Roman" w:hAnsi="Times New Roman"/>
                <w:color w:val="000000"/>
                <w:sz w:val="22"/>
                <w:szCs w:val="22"/>
                <w:lang w:val="hr-HR"/>
              </w:rPr>
              <w:t>no</w:t>
            </w:r>
          </w:p>
        </w:tc>
      </w:tr>
      <w:tr w:rsidR="00AA5950" w:rsidRPr="00F410C8" w14:paraId="4838655B" w14:textId="77777777">
        <w:tc>
          <w:tcPr>
            <w:tcW w:w="2148" w:type="dxa"/>
            <w:tcBorders>
              <w:top w:val="single" w:sz="4" w:space="0" w:color="auto"/>
              <w:bottom w:val="single" w:sz="4" w:space="0" w:color="auto"/>
            </w:tcBorders>
            <w:shd w:val="clear" w:color="auto" w:fill="auto"/>
          </w:tcPr>
          <w:p w14:paraId="3306BF55" w14:textId="77777777" w:rsidR="00AA5950" w:rsidRPr="00510442" w:rsidRDefault="00AA5950" w:rsidP="003179A4">
            <w:pPr>
              <w:pStyle w:val="Table"/>
              <w:keepLines w:val="0"/>
              <w:widowControl w:val="0"/>
              <w:tabs>
                <w:tab w:val="left" w:pos="0"/>
              </w:tabs>
              <w:spacing w:before="0" w:after="0"/>
              <w:rPr>
                <w:rFonts w:ascii="Times New Roman" w:hAnsi="Times New Roman"/>
                <w:sz w:val="22"/>
                <w:szCs w:val="22"/>
                <w:lang w:val="hr-HR"/>
              </w:rPr>
            </w:pPr>
            <w:r w:rsidRPr="00510442">
              <w:rPr>
                <w:rFonts w:ascii="Times New Roman" w:hAnsi="Times New Roman"/>
                <w:sz w:val="22"/>
                <w:szCs w:val="22"/>
                <w:lang w:val="hr-HR"/>
              </w:rPr>
              <w:t>Konsolidacijska terapija</w:t>
            </w:r>
          </w:p>
        </w:tc>
        <w:tc>
          <w:tcPr>
            <w:tcW w:w="6732" w:type="dxa"/>
            <w:gridSpan w:val="4"/>
            <w:tcBorders>
              <w:top w:val="single" w:sz="4" w:space="0" w:color="auto"/>
              <w:bottom w:val="single" w:sz="4" w:space="0" w:color="auto"/>
            </w:tcBorders>
            <w:shd w:val="clear" w:color="auto" w:fill="auto"/>
          </w:tcPr>
          <w:p w14:paraId="24E6E052" w14:textId="77777777" w:rsidR="00AA5950" w:rsidRPr="00510442" w:rsidRDefault="00534488" w:rsidP="003179A4">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sz w:val="22"/>
                <w:szCs w:val="22"/>
                <w:lang w:val="hr-HR"/>
              </w:rPr>
              <w:t xml:space="preserve">Izmjenični tijek kemoterapije: visoka doza kemoterapije s </w:t>
            </w:r>
            <w:r w:rsidR="00AA5950" w:rsidRPr="00510442">
              <w:rPr>
                <w:rFonts w:ascii="Times New Roman" w:hAnsi="Times New Roman"/>
                <w:color w:val="000000"/>
                <w:sz w:val="22"/>
                <w:szCs w:val="22"/>
                <w:lang w:val="hr-HR"/>
              </w:rPr>
              <w:t>MTX 1 g/m</w:t>
            </w:r>
            <w:r w:rsidR="00AA5950" w:rsidRPr="00510442">
              <w:rPr>
                <w:rFonts w:ascii="Times New Roman" w:hAnsi="Times New Roman"/>
                <w:color w:val="000000"/>
                <w:sz w:val="22"/>
                <w:szCs w:val="22"/>
                <w:vertAlign w:val="superscript"/>
                <w:lang w:val="hr-HR"/>
              </w:rPr>
              <w:t>2</w:t>
            </w:r>
            <w:r w:rsidR="00AA5950" w:rsidRPr="00510442">
              <w:rPr>
                <w:rFonts w:ascii="Times New Roman" w:hAnsi="Times New Roman"/>
                <w:color w:val="000000"/>
                <w:sz w:val="22"/>
                <w:szCs w:val="22"/>
                <w:lang w:val="hr-HR"/>
              </w:rPr>
              <w:t xml:space="preserve"> i.v. (24 h), da</w:t>
            </w:r>
            <w:r w:rsidRPr="00510442">
              <w:rPr>
                <w:rFonts w:ascii="Times New Roman" w:hAnsi="Times New Roman"/>
                <w:color w:val="000000"/>
                <w:sz w:val="22"/>
                <w:szCs w:val="22"/>
                <w:lang w:val="hr-HR"/>
              </w:rPr>
              <w:t>n</w:t>
            </w:r>
            <w:r w:rsidR="00AA5950" w:rsidRPr="00510442">
              <w:rPr>
                <w:rFonts w:ascii="Times New Roman" w:hAnsi="Times New Roman"/>
                <w:color w:val="000000"/>
                <w:sz w:val="22"/>
                <w:szCs w:val="22"/>
                <w:lang w:val="hr-HR"/>
              </w:rPr>
              <w:t xml:space="preserve"> 1, </w:t>
            </w:r>
            <w:r w:rsidRPr="00510442">
              <w:rPr>
                <w:rFonts w:ascii="Times New Roman" w:hAnsi="Times New Roman"/>
                <w:color w:val="000000"/>
                <w:sz w:val="22"/>
                <w:szCs w:val="22"/>
                <w:lang w:val="hr-HR"/>
              </w:rPr>
              <w:t>i</w:t>
            </w:r>
            <w:r w:rsidR="00AA5950" w:rsidRPr="00510442">
              <w:rPr>
                <w:rFonts w:ascii="Times New Roman" w:hAnsi="Times New Roman"/>
                <w:color w:val="000000"/>
                <w:sz w:val="22"/>
                <w:szCs w:val="22"/>
                <w:lang w:val="hr-HR"/>
              </w:rPr>
              <w:t xml:space="preserve"> Ara-C 2 g/m</w:t>
            </w:r>
            <w:r w:rsidR="00AA5950" w:rsidRPr="00510442">
              <w:rPr>
                <w:rFonts w:ascii="Times New Roman" w:hAnsi="Times New Roman"/>
                <w:color w:val="000000"/>
                <w:sz w:val="22"/>
                <w:szCs w:val="22"/>
                <w:vertAlign w:val="superscript"/>
                <w:lang w:val="hr-HR"/>
              </w:rPr>
              <w:t>2</w:t>
            </w:r>
            <w:r w:rsidR="00AA5950" w:rsidRPr="00510442">
              <w:rPr>
                <w:rFonts w:ascii="Times New Roman" w:hAnsi="Times New Roman"/>
                <w:color w:val="000000"/>
                <w:sz w:val="22"/>
                <w:szCs w:val="22"/>
                <w:lang w:val="hr-HR"/>
              </w:rPr>
              <w:t xml:space="preserve"> i.v. (</w:t>
            </w:r>
            <w:r w:rsidR="00C0579F" w:rsidRPr="00510442">
              <w:rPr>
                <w:rFonts w:ascii="Times New Roman" w:hAnsi="Times New Roman"/>
                <w:color w:val="000000"/>
                <w:sz w:val="22"/>
                <w:szCs w:val="22"/>
                <w:lang w:val="hr-HR"/>
              </w:rPr>
              <w:t>svakih</w:t>
            </w:r>
            <w:r w:rsidR="00AA5950" w:rsidRPr="00510442">
              <w:rPr>
                <w:rFonts w:ascii="Times New Roman" w:hAnsi="Times New Roman"/>
                <w:color w:val="000000"/>
                <w:sz w:val="22"/>
                <w:szCs w:val="22"/>
                <w:lang w:val="hr-HR"/>
              </w:rPr>
              <w:t> 12 h), da</w:t>
            </w:r>
            <w:r w:rsidRPr="00510442">
              <w:rPr>
                <w:rFonts w:ascii="Times New Roman" w:hAnsi="Times New Roman"/>
                <w:color w:val="000000"/>
                <w:sz w:val="22"/>
                <w:szCs w:val="22"/>
                <w:lang w:val="hr-HR"/>
              </w:rPr>
              <w:t>ni</w:t>
            </w:r>
            <w:r w:rsidR="00AA5950" w:rsidRPr="00510442">
              <w:rPr>
                <w:rFonts w:ascii="Times New Roman" w:hAnsi="Times New Roman"/>
                <w:color w:val="000000"/>
                <w:sz w:val="22"/>
                <w:szCs w:val="22"/>
                <w:lang w:val="hr-HR"/>
              </w:rPr>
              <w:t> 2</w:t>
            </w:r>
            <w:r w:rsidR="0065152B" w:rsidRPr="00510442">
              <w:rPr>
                <w:rFonts w:ascii="Times New Roman" w:hAnsi="Times New Roman"/>
                <w:color w:val="000000"/>
                <w:sz w:val="22"/>
                <w:szCs w:val="22"/>
                <w:lang w:val="hr-HR"/>
              </w:rPr>
              <w:noBreakHyphen/>
            </w:r>
            <w:r w:rsidR="00AA5950" w:rsidRPr="00510442">
              <w:rPr>
                <w:rFonts w:ascii="Times New Roman" w:hAnsi="Times New Roman"/>
                <w:color w:val="000000"/>
                <w:sz w:val="22"/>
                <w:szCs w:val="22"/>
                <w:lang w:val="hr-HR"/>
              </w:rPr>
              <w:t xml:space="preserve">3, </w:t>
            </w:r>
            <w:r w:rsidRPr="00510442">
              <w:rPr>
                <w:rFonts w:ascii="Times New Roman" w:hAnsi="Times New Roman"/>
                <w:color w:val="000000"/>
                <w:sz w:val="22"/>
                <w:szCs w:val="22"/>
                <w:lang w:val="hr-HR"/>
              </w:rPr>
              <w:t>kroz</w:t>
            </w:r>
            <w:r w:rsidR="00AA5950" w:rsidRPr="00510442">
              <w:rPr>
                <w:rFonts w:ascii="Times New Roman" w:hAnsi="Times New Roman"/>
                <w:color w:val="000000"/>
                <w:sz w:val="22"/>
                <w:szCs w:val="22"/>
                <w:lang w:val="hr-HR"/>
              </w:rPr>
              <w:t xml:space="preserve"> 4 c</w:t>
            </w:r>
            <w:r w:rsidRPr="00510442">
              <w:rPr>
                <w:rFonts w:ascii="Times New Roman" w:hAnsi="Times New Roman"/>
                <w:color w:val="000000"/>
                <w:sz w:val="22"/>
                <w:szCs w:val="22"/>
                <w:lang w:val="hr-HR"/>
              </w:rPr>
              <w:t>iklusa</w:t>
            </w:r>
          </w:p>
        </w:tc>
      </w:tr>
      <w:tr w:rsidR="00AA5950" w:rsidRPr="00510442" w14:paraId="3A39AB11" w14:textId="77777777">
        <w:tc>
          <w:tcPr>
            <w:tcW w:w="2148" w:type="dxa"/>
            <w:tcBorders>
              <w:top w:val="single" w:sz="4" w:space="0" w:color="auto"/>
              <w:bottom w:val="single" w:sz="4" w:space="0" w:color="auto"/>
            </w:tcBorders>
            <w:shd w:val="clear" w:color="auto" w:fill="auto"/>
          </w:tcPr>
          <w:p w14:paraId="36953D69" w14:textId="77777777" w:rsidR="00AA5950" w:rsidRPr="00510442" w:rsidRDefault="00AA5950" w:rsidP="003179A4">
            <w:pPr>
              <w:pStyle w:val="Table"/>
              <w:keepNext w:val="0"/>
              <w:keepLines w:val="0"/>
              <w:widowControl w:val="0"/>
              <w:tabs>
                <w:tab w:val="left" w:pos="0"/>
              </w:tabs>
              <w:spacing w:before="0" w:after="0"/>
              <w:rPr>
                <w:rFonts w:ascii="Times New Roman" w:hAnsi="Times New Roman"/>
                <w:sz w:val="22"/>
                <w:szCs w:val="22"/>
                <w:lang w:val="hr-HR"/>
              </w:rPr>
            </w:pPr>
            <w:r w:rsidRPr="00510442">
              <w:rPr>
                <w:rFonts w:ascii="Times New Roman" w:hAnsi="Times New Roman"/>
                <w:sz w:val="22"/>
                <w:szCs w:val="22"/>
                <w:lang w:val="hr-HR"/>
              </w:rPr>
              <w:t>Održavanje</w:t>
            </w:r>
          </w:p>
        </w:tc>
        <w:tc>
          <w:tcPr>
            <w:tcW w:w="6732" w:type="dxa"/>
            <w:gridSpan w:val="4"/>
            <w:tcBorders>
              <w:top w:val="single" w:sz="4" w:space="0" w:color="auto"/>
              <w:bottom w:val="single" w:sz="4" w:space="0" w:color="auto"/>
            </w:tcBorders>
            <w:shd w:val="clear" w:color="auto" w:fill="auto"/>
          </w:tcPr>
          <w:p w14:paraId="1661A775" w14:textId="77777777" w:rsidR="00795AD9" w:rsidRPr="00510442" w:rsidRDefault="00AA5950" w:rsidP="003179A4">
            <w:pPr>
              <w:pStyle w:val="Table"/>
              <w:keepNext w:val="0"/>
              <w:keepLines w:val="0"/>
              <w:widowControl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VCR 1</w:t>
            </w:r>
            <w:r w:rsidR="00534488" w:rsidRPr="00510442">
              <w:rPr>
                <w:rFonts w:ascii="Times New Roman" w:hAnsi="Times New Roman"/>
                <w:color w:val="000000"/>
                <w:sz w:val="22"/>
                <w:szCs w:val="22"/>
                <w:lang w:val="hr-HR"/>
              </w:rPr>
              <w:t>,</w:t>
            </w:r>
            <w:r w:rsidRPr="00510442">
              <w:rPr>
                <w:rFonts w:ascii="Times New Roman" w:hAnsi="Times New Roman"/>
                <w:color w:val="000000"/>
                <w:sz w:val="22"/>
                <w:szCs w:val="22"/>
                <w:lang w:val="hr-HR"/>
              </w:rPr>
              <w:t>3 g/m</w:t>
            </w:r>
            <w:r w:rsidRPr="00510442">
              <w:rPr>
                <w:rFonts w:ascii="Times New Roman" w:hAnsi="Times New Roman"/>
                <w:color w:val="000000"/>
                <w:sz w:val="22"/>
                <w:szCs w:val="22"/>
                <w:vertAlign w:val="superscript"/>
                <w:lang w:val="hr-HR"/>
              </w:rPr>
              <w:t>2</w:t>
            </w:r>
            <w:r w:rsidRPr="00510442">
              <w:rPr>
                <w:rFonts w:ascii="Times New Roman" w:hAnsi="Times New Roman"/>
                <w:color w:val="000000"/>
                <w:sz w:val="22"/>
                <w:szCs w:val="22"/>
                <w:lang w:val="hr-HR"/>
              </w:rPr>
              <w:t xml:space="preserve"> i.v., da</w:t>
            </w:r>
            <w:r w:rsidR="00534488" w:rsidRPr="00510442">
              <w:rPr>
                <w:rFonts w:ascii="Times New Roman" w:hAnsi="Times New Roman"/>
                <w:color w:val="000000"/>
                <w:sz w:val="22"/>
                <w:szCs w:val="22"/>
                <w:lang w:val="hr-HR"/>
              </w:rPr>
              <w:t>n</w:t>
            </w:r>
            <w:r w:rsidRPr="00510442">
              <w:rPr>
                <w:rFonts w:ascii="Times New Roman" w:hAnsi="Times New Roman"/>
                <w:color w:val="000000"/>
                <w:sz w:val="22"/>
                <w:szCs w:val="22"/>
                <w:lang w:val="hr-HR"/>
              </w:rPr>
              <w:t> 1;</w:t>
            </w:r>
          </w:p>
          <w:p w14:paraId="3B6203D4" w14:textId="77777777" w:rsidR="00AA5950" w:rsidRPr="00510442" w:rsidRDefault="00795AD9" w:rsidP="003179A4">
            <w:pPr>
              <w:pStyle w:val="Table"/>
              <w:keepNext w:val="0"/>
              <w:keepLines w:val="0"/>
              <w:widowControl w:val="0"/>
              <w:spacing w:before="0" w:after="0"/>
              <w:rPr>
                <w:rFonts w:ascii="Times New Roman" w:hAnsi="Times New Roman"/>
                <w:color w:val="000000"/>
                <w:sz w:val="22"/>
                <w:szCs w:val="22"/>
                <w:lang w:val="hr-HR"/>
              </w:rPr>
            </w:pPr>
            <w:r w:rsidRPr="00510442">
              <w:rPr>
                <w:rFonts w:ascii="Times New Roman" w:hAnsi="Times New Roman"/>
                <w:sz w:val="22"/>
                <w:szCs w:val="22"/>
                <w:lang w:val="hr-HR"/>
              </w:rPr>
              <w:t>P</w:t>
            </w:r>
            <w:r w:rsidR="00534488" w:rsidRPr="00510442">
              <w:rPr>
                <w:rFonts w:ascii="Times New Roman" w:hAnsi="Times New Roman"/>
                <w:sz w:val="22"/>
                <w:szCs w:val="22"/>
                <w:lang w:val="hr-HR"/>
              </w:rPr>
              <w:t xml:space="preserve">rednizolon </w:t>
            </w:r>
            <w:r w:rsidR="00AA5950" w:rsidRPr="00510442">
              <w:rPr>
                <w:rFonts w:ascii="Times New Roman" w:hAnsi="Times New Roman"/>
                <w:color w:val="000000"/>
                <w:sz w:val="22"/>
                <w:szCs w:val="22"/>
                <w:lang w:val="hr-HR"/>
              </w:rPr>
              <w:t>60 mg/m</w:t>
            </w:r>
            <w:r w:rsidR="00AA5950" w:rsidRPr="00510442">
              <w:rPr>
                <w:rFonts w:ascii="Times New Roman" w:hAnsi="Times New Roman"/>
                <w:color w:val="000000"/>
                <w:sz w:val="22"/>
                <w:szCs w:val="22"/>
                <w:vertAlign w:val="superscript"/>
                <w:lang w:val="hr-HR"/>
              </w:rPr>
              <w:t>2</w:t>
            </w:r>
            <w:r w:rsidR="00AA5950" w:rsidRPr="00510442">
              <w:rPr>
                <w:rFonts w:ascii="Times New Roman" w:hAnsi="Times New Roman"/>
                <w:color w:val="000000"/>
                <w:sz w:val="22"/>
                <w:szCs w:val="22"/>
                <w:lang w:val="hr-HR"/>
              </w:rPr>
              <w:t xml:space="preserve"> </w:t>
            </w:r>
            <w:r w:rsidR="00541C00" w:rsidRPr="00510442">
              <w:rPr>
                <w:rFonts w:ascii="Times New Roman" w:hAnsi="Times New Roman"/>
                <w:color w:val="000000"/>
                <w:sz w:val="22"/>
                <w:szCs w:val="22"/>
                <w:lang w:val="hr-HR"/>
              </w:rPr>
              <w:t>per</w:t>
            </w:r>
            <w:r w:rsidR="00AA5950" w:rsidRPr="00510442">
              <w:rPr>
                <w:rFonts w:ascii="Times New Roman" w:hAnsi="Times New Roman"/>
                <w:color w:val="000000"/>
                <w:sz w:val="22"/>
                <w:szCs w:val="22"/>
                <w:lang w:val="hr-HR"/>
              </w:rPr>
              <w:t>oral</w:t>
            </w:r>
            <w:r w:rsidR="00534488" w:rsidRPr="00510442">
              <w:rPr>
                <w:rFonts w:ascii="Times New Roman" w:hAnsi="Times New Roman"/>
                <w:color w:val="000000"/>
                <w:sz w:val="22"/>
                <w:szCs w:val="22"/>
                <w:lang w:val="hr-HR"/>
              </w:rPr>
              <w:t>no</w:t>
            </w:r>
            <w:r w:rsidR="00AA5950" w:rsidRPr="00510442">
              <w:rPr>
                <w:rFonts w:ascii="Times New Roman" w:hAnsi="Times New Roman"/>
                <w:color w:val="000000"/>
                <w:sz w:val="22"/>
                <w:szCs w:val="22"/>
                <w:lang w:val="hr-HR"/>
              </w:rPr>
              <w:t>, da</w:t>
            </w:r>
            <w:r w:rsidR="00534488" w:rsidRPr="00510442">
              <w:rPr>
                <w:rFonts w:ascii="Times New Roman" w:hAnsi="Times New Roman"/>
                <w:color w:val="000000"/>
                <w:sz w:val="22"/>
                <w:szCs w:val="22"/>
                <w:lang w:val="hr-HR"/>
              </w:rPr>
              <w:t>ni</w:t>
            </w:r>
            <w:r w:rsidR="00AA5950" w:rsidRPr="00510442">
              <w:rPr>
                <w:rFonts w:ascii="Times New Roman" w:hAnsi="Times New Roman"/>
                <w:color w:val="000000"/>
                <w:sz w:val="22"/>
                <w:szCs w:val="22"/>
                <w:lang w:val="hr-HR"/>
              </w:rPr>
              <w:t> 1</w:t>
            </w:r>
            <w:r w:rsidR="0065152B" w:rsidRPr="00510442">
              <w:rPr>
                <w:rFonts w:ascii="Times New Roman" w:hAnsi="Times New Roman"/>
                <w:color w:val="000000"/>
                <w:sz w:val="22"/>
                <w:szCs w:val="22"/>
                <w:lang w:val="hr-HR"/>
              </w:rPr>
              <w:noBreakHyphen/>
            </w:r>
            <w:r w:rsidR="00AA5950" w:rsidRPr="00510442">
              <w:rPr>
                <w:rFonts w:ascii="Times New Roman" w:hAnsi="Times New Roman"/>
                <w:color w:val="000000"/>
                <w:sz w:val="22"/>
                <w:szCs w:val="22"/>
                <w:lang w:val="hr-HR"/>
              </w:rPr>
              <w:t>5</w:t>
            </w:r>
          </w:p>
        </w:tc>
      </w:tr>
      <w:tr w:rsidR="00657FAB" w:rsidRPr="00510442" w14:paraId="22AA823A" w14:textId="77777777">
        <w:tc>
          <w:tcPr>
            <w:tcW w:w="4800" w:type="dxa"/>
            <w:gridSpan w:val="2"/>
            <w:tcBorders>
              <w:top w:val="single" w:sz="4" w:space="0" w:color="auto"/>
              <w:bottom w:val="single" w:sz="4" w:space="0" w:color="auto"/>
            </w:tcBorders>
            <w:shd w:val="clear" w:color="auto" w:fill="auto"/>
          </w:tcPr>
          <w:p w14:paraId="516476DA" w14:textId="77777777" w:rsidR="00657FAB" w:rsidRPr="00510442" w:rsidRDefault="00534488" w:rsidP="003179A4">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b/>
                <w:sz w:val="22"/>
                <w:szCs w:val="22"/>
                <w:lang w:val="hr-HR"/>
              </w:rPr>
              <w:lastRenderedPageBreak/>
              <w:t xml:space="preserve">Studija </w:t>
            </w:r>
            <w:r w:rsidR="00657FAB" w:rsidRPr="00510442">
              <w:rPr>
                <w:rFonts w:ascii="Times New Roman" w:hAnsi="Times New Roman"/>
                <w:b/>
                <w:color w:val="000000"/>
                <w:sz w:val="22"/>
                <w:szCs w:val="22"/>
                <w:lang w:val="hr-HR"/>
              </w:rPr>
              <w:t>AUS01</w:t>
            </w:r>
          </w:p>
        </w:tc>
        <w:tc>
          <w:tcPr>
            <w:tcW w:w="1080" w:type="dxa"/>
            <w:tcBorders>
              <w:top w:val="single" w:sz="4" w:space="0" w:color="auto"/>
              <w:bottom w:val="single" w:sz="4" w:space="0" w:color="auto"/>
            </w:tcBorders>
          </w:tcPr>
          <w:p w14:paraId="16307492" w14:textId="77777777" w:rsidR="00657FAB" w:rsidRPr="00510442" w:rsidRDefault="00657FAB" w:rsidP="003179A4">
            <w:pPr>
              <w:pStyle w:val="Table"/>
              <w:keepLines w:val="0"/>
              <w:widowControl w:val="0"/>
              <w:spacing w:before="0" w:after="0"/>
              <w:rPr>
                <w:rFonts w:ascii="Times New Roman" w:hAnsi="Times New Roman"/>
                <w:color w:val="000000"/>
                <w:sz w:val="22"/>
                <w:szCs w:val="22"/>
                <w:lang w:val="hr-HR"/>
              </w:rPr>
            </w:pPr>
          </w:p>
        </w:tc>
        <w:tc>
          <w:tcPr>
            <w:tcW w:w="1380" w:type="dxa"/>
            <w:tcBorders>
              <w:top w:val="single" w:sz="4" w:space="0" w:color="auto"/>
              <w:bottom w:val="single" w:sz="4" w:space="0" w:color="auto"/>
            </w:tcBorders>
          </w:tcPr>
          <w:p w14:paraId="5BF4C3AE" w14:textId="77777777" w:rsidR="00657FAB" w:rsidRPr="00510442" w:rsidRDefault="00657FAB" w:rsidP="003179A4">
            <w:pPr>
              <w:pStyle w:val="Table"/>
              <w:keepLines w:val="0"/>
              <w:widowControl w:val="0"/>
              <w:spacing w:before="0" w:after="0"/>
              <w:rPr>
                <w:rFonts w:ascii="Times New Roman" w:hAnsi="Times New Roman"/>
                <w:color w:val="000000"/>
                <w:sz w:val="22"/>
                <w:szCs w:val="22"/>
                <w:lang w:val="hr-HR"/>
              </w:rPr>
            </w:pPr>
          </w:p>
        </w:tc>
        <w:tc>
          <w:tcPr>
            <w:tcW w:w="1620" w:type="dxa"/>
            <w:tcBorders>
              <w:top w:val="single" w:sz="4" w:space="0" w:color="auto"/>
              <w:bottom w:val="single" w:sz="4" w:space="0" w:color="auto"/>
            </w:tcBorders>
          </w:tcPr>
          <w:p w14:paraId="5803BE5B" w14:textId="77777777" w:rsidR="00657FAB" w:rsidRPr="00510442" w:rsidRDefault="00657FAB" w:rsidP="003179A4">
            <w:pPr>
              <w:pStyle w:val="Table"/>
              <w:keepLines w:val="0"/>
              <w:widowControl w:val="0"/>
              <w:spacing w:before="0" w:after="0"/>
              <w:rPr>
                <w:rFonts w:ascii="Times New Roman" w:hAnsi="Times New Roman"/>
                <w:color w:val="000000"/>
                <w:sz w:val="22"/>
                <w:szCs w:val="22"/>
                <w:lang w:val="hr-HR"/>
              </w:rPr>
            </w:pPr>
          </w:p>
        </w:tc>
      </w:tr>
      <w:tr w:rsidR="00657FAB" w:rsidRPr="00F410C8" w14:paraId="4D08EBC0" w14:textId="77777777">
        <w:tc>
          <w:tcPr>
            <w:tcW w:w="2148" w:type="dxa"/>
            <w:tcBorders>
              <w:top w:val="single" w:sz="4" w:space="0" w:color="auto"/>
              <w:bottom w:val="single" w:sz="4" w:space="0" w:color="auto"/>
            </w:tcBorders>
            <w:shd w:val="clear" w:color="auto" w:fill="auto"/>
          </w:tcPr>
          <w:p w14:paraId="0252A465" w14:textId="77777777" w:rsidR="00657FAB" w:rsidRPr="00510442" w:rsidRDefault="00534488" w:rsidP="003179A4">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sz w:val="22"/>
                <w:szCs w:val="22"/>
                <w:lang w:val="hr-HR"/>
              </w:rPr>
              <w:t>Indukcijsko-konsolidacijska terapija</w:t>
            </w:r>
          </w:p>
        </w:tc>
        <w:tc>
          <w:tcPr>
            <w:tcW w:w="6732" w:type="dxa"/>
            <w:gridSpan w:val="4"/>
            <w:tcBorders>
              <w:top w:val="single" w:sz="4" w:space="0" w:color="auto"/>
              <w:bottom w:val="single" w:sz="4" w:space="0" w:color="auto"/>
            </w:tcBorders>
            <w:shd w:val="clear" w:color="auto" w:fill="auto"/>
          </w:tcPr>
          <w:p w14:paraId="37796872" w14:textId="77777777" w:rsidR="009F1EAE" w:rsidRPr="00510442" w:rsidRDefault="001103B7" w:rsidP="003179A4">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sz w:val="22"/>
                <w:szCs w:val="22"/>
                <w:lang w:val="hr-HR"/>
              </w:rPr>
              <w:t>Hiper</w:t>
            </w:r>
            <w:r w:rsidR="00657FAB" w:rsidRPr="00510442">
              <w:rPr>
                <w:rFonts w:ascii="Times New Roman" w:hAnsi="Times New Roman"/>
                <w:color w:val="000000"/>
                <w:sz w:val="22"/>
                <w:szCs w:val="22"/>
                <w:lang w:val="hr-HR"/>
              </w:rPr>
              <w:t>-CVAD re</w:t>
            </w:r>
            <w:r w:rsidRPr="00510442">
              <w:rPr>
                <w:rFonts w:ascii="Times New Roman" w:hAnsi="Times New Roman"/>
                <w:color w:val="000000"/>
                <w:sz w:val="22"/>
                <w:szCs w:val="22"/>
                <w:lang w:val="hr-HR"/>
              </w:rPr>
              <w:t>žim</w:t>
            </w:r>
            <w:r w:rsidR="00657FAB" w:rsidRPr="00510442">
              <w:rPr>
                <w:rFonts w:ascii="Times New Roman" w:hAnsi="Times New Roman"/>
                <w:color w:val="000000"/>
                <w:sz w:val="22"/>
                <w:szCs w:val="22"/>
                <w:lang w:val="hr-HR"/>
              </w:rPr>
              <w:t>: CP 300 mg/m</w:t>
            </w:r>
            <w:r w:rsidR="00657FAB" w:rsidRPr="00510442">
              <w:rPr>
                <w:rFonts w:ascii="Times New Roman" w:hAnsi="Times New Roman"/>
                <w:color w:val="000000"/>
                <w:sz w:val="22"/>
                <w:szCs w:val="22"/>
                <w:vertAlign w:val="superscript"/>
                <w:lang w:val="hr-HR"/>
              </w:rPr>
              <w:t>2</w:t>
            </w:r>
            <w:r w:rsidR="00657FAB" w:rsidRPr="00510442">
              <w:rPr>
                <w:rFonts w:ascii="Times New Roman" w:hAnsi="Times New Roman"/>
                <w:color w:val="000000"/>
                <w:sz w:val="22"/>
                <w:szCs w:val="22"/>
                <w:lang w:val="hr-HR"/>
              </w:rPr>
              <w:t xml:space="preserve"> i.v. (3 h, </w:t>
            </w:r>
            <w:r w:rsidR="00C0579F" w:rsidRPr="00510442">
              <w:rPr>
                <w:rFonts w:ascii="Times New Roman" w:hAnsi="Times New Roman"/>
                <w:color w:val="000000"/>
                <w:sz w:val="22"/>
                <w:szCs w:val="22"/>
                <w:lang w:val="hr-HR"/>
              </w:rPr>
              <w:t>svakih</w:t>
            </w:r>
            <w:r w:rsidR="00657FAB" w:rsidRPr="00510442">
              <w:rPr>
                <w:rFonts w:ascii="Times New Roman" w:hAnsi="Times New Roman"/>
                <w:color w:val="000000"/>
                <w:sz w:val="22"/>
                <w:szCs w:val="22"/>
                <w:lang w:val="hr-HR"/>
              </w:rPr>
              <w:t> 12 h), da</w:t>
            </w:r>
            <w:r w:rsidRPr="00510442">
              <w:rPr>
                <w:rFonts w:ascii="Times New Roman" w:hAnsi="Times New Roman"/>
                <w:color w:val="000000"/>
                <w:sz w:val="22"/>
                <w:szCs w:val="22"/>
                <w:lang w:val="hr-HR"/>
              </w:rPr>
              <w:t>ni</w:t>
            </w:r>
            <w:r w:rsidR="00657FAB" w:rsidRPr="00510442">
              <w:rPr>
                <w:rFonts w:ascii="Times New Roman" w:hAnsi="Times New Roman"/>
                <w:color w:val="000000"/>
                <w:sz w:val="22"/>
                <w:szCs w:val="22"/>
                <w:lang w:val="hr-HR"/>
              </w:rPr>
              <w:t> 1</w:t>
            </w:r>
            <w:r w:rsidR="0065152B" w:rsidRPr="00510442">
              <w:rPr>
                <w:rFonts w:ascii="Times New Roman" w:hAnsi="Times New Roman"/>
                <w:color w:val="000000"/>
                <w:sz w:val="22"/>
                <w:szCs w:val="22"/>
                <w:lang w:val="hr-HR"/>
              </w:rPr>
              <w:noBreakHyphen/>
            </w:r>
            <w:r w:rsidR="00657FAB" w:rsidRPr="00510442">
              <w:rPr>
                <w:rFonts w:ascii="Times New Roman" w:hAnsi="Times New Roman"/>
                <w:color w:val="000000"/>
                <w:sz w:val="22"/>
                <w:szCs w:val="22"/>
                <w:lang w:val="hr-HR"/>
              </w:rPr>
              <w:t>3;</w:t>
            </w:r>
          </w:p>
          <w:p w14:paraId="47A8A845" w14:textId="77777777" w:rsidR="00795AD9" w:rsidRPr="00510442" w:rsidRDefault="00795AD9" w:rsidP="003179A4">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sz w:val="22"/>
                <w:szCs w:val="22"/>
                <w:lang w:val="hr-HR"/>
              </w:rPr>
              <w:t>V</w:t>
            </w:r>
            <w:r w:rsidR="001103B7" w:rsidRPr="00510442">
              <w:rPr>
                <w:rFonts w:ascii="Times New Roman" w:hAnsi="Times New Roman"/>
                <w:sz w:val="22"/>
                <w:szCs w:val="22"/>
                <w:lang w:val="hr-HR"/>
              </w:rPr>
              <w:t xml:space="preserve">inkristin </w:t>
            </w:r>
            <w:r w:rsidR="00657FAB" w:rsidRPr="00510442">
              <w:rPr>
                <w:rFonts w:ascii="Times New Roman" w:hAnsi="Times New Roman"/>
                <w:color w:val="000000"/>
                <w:sz w:val="22"/>
                <w:szCs w:val="22"/>
                <w:lang w:val="hr-HR"/>
              </w:rPr>
              <w:t>2 mg i.v., da</w:t>
            </w:r>
            <w:r w:rsidR="001103B7" w:rsidRPr="00510442">
              <w:rPr>
                <w:rFonts w:ascii="Times New Roman" w:hAnsi="Times New Roman"/>
                <w:color w:val="000000"/>
                <w:sz w:val="22"/>
                <w:szCs w:val="22"/>
                <w:lang w:val="hr-HR"/>
              </w:rPr>
              <w:t>ni</w:t>
            </w:r>
            <w:r w:rsidR="00657FAB" w:rsidRPr="00510442">
              <w:rPr>
                <w:rFonts w:ascii="Times New Roman" w:hAnsi="Times New Roman"/>
                <w:color w:val="000000"/>
                <w:sz w:val="22"/>
                <w:szCs w:val="22"/>
                <w:lang w:val="hr-HR"/>
              </w:rPr>
              <w:t> 4, 11;</w:t>
            </w:r>
          </w:p>
          <w:p w14:paraId="2C4C3B28" w14:textId="77777777" w:rsidR="00795AD9" w:rsidRPr="00510442" w:rsidRDefault="00795AD9" w:rsidP="003179A4">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sz w:val="22"/>
                <w:szCs w:val="22"/>
                <w:lang w:val="hr-HR"/>
              </w:rPr>
              <w:t>D</w:t>
            </w:r>
            <w:r w:rsidR="001103B7" w:rsidRPr="00510442">
              <w:rPr>
                <w:rFonts w:ascii="Times New Roman" w:hAnsi="Times New Roman"/>
                <w:sz w:val="22"/>
                <w:szCs w:val="22"/>
                <w:lang w:val="hr-HR"/>
              </w:rPr>
              <w:t xml:space="preserve">oksorubicin </w:t>
            </w:r>
            <w:r w:rsidR="00657FAB" w:rsidRPr="00510442">
              <w:rPr>
                <w:rFonts w:ascii="Times New Roman" w:hAnsi="Times New Roman"/>
                <w:color w:val="000000"/>
                <w:sz w:val="22"/>
                <w:szCs w:val="22"/>
                <w:lang w:val="hr-HR"/>
              </w:rPr>
              <w:t>50 mg/m</w:t>
            </w:r>
            <w:r w:rsidR="00657FAB" w:rsidRPr="00510442">
              <w:rPr>
                <w:rFonts w:ascii="Times New Roman" w:hAnsi="Times New Roman"/>
                <w:color w:val="000000"/>
                <w:sz w:val="22"/>
                <w:szCs w:val="22"/>
                <w:vertAlign w:val="superscript"/>
                <w:lang w:val="hr-HR"/>
              </w:rPr>
              <w:t>2</w:t>
            </w:r>
            <w:r w:rsidR="00657FAB" w:rsidRPr="00510442">
              <w:rPr>
                <w:rFonts w:ascii="Times New Roman" w:hAnsi="Times New Roman"/>
                <w:color w:val="000000"/>
                <w:sz w:val="22"/>
                <w:szCs w:val="22"/>
                <w:lang w:val="hr-HR"/>
              </w:rPr>
              <w:t xml:space="preserve"> i.v. (24 h), da</w:t>
            </w:r>
            <w:r w:rsidR="001103B7" w:rsidRPr="00510442">
              <w:rPr>
                <w:rFonts w:ascii="Times New Roman" w:hAnsi="Times New Roman"/>
                <w:color w:val="000000"/>
                <w:sz w:val="22"/>
                <w:szCs w:val="22"/>
                <w:lang w:val="hr-HR"/>
              </w:rPr>
              <w:t>n</w:t>
            </w:r>
            <w:r w:rsidR="00657FAB" w:rsidRPr="00510442">
              <w:rPr>
                <w:rFonts w:ascii="Times New Roman" w:hAnsi="Times New Roman"/>
                <w:color w:val="000000"/>
                <w:sz w:val="22"/>
                <w:szCs w:val="22"/>
                <w:lang w:val="hr-HR"/>
              </w:rPr>
              <w:t> 4;</w:t>
            </w:r>
          </w:p>
          <w:p w14:paraId="03862A14" w14:textId="77777777" w:rsidR="00657FAB" w:rsidRPr="00510442" w:rsidRDefault="00657FAB" w:rsidP="003179A4">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DEX 40 mg/da</w:t>
            </w:r>
            <w:r w:rsidR="003B443C" w:rsidRPr="00510442">
              <w:rPr>
                <w:rFonts w:ascii="Times New Roman" w:hAnsi="Times New Roman"/>
                <w:color w:val="000000"/>
                <w:sz w:val="22"/>
                <w:szCs w:val="22"/>
                <w:lang w:val="hr-HR"/>
              </w:rPr>
              <w:t>n</w:t>
            </w:r>
            <w:r w:rsidRPr="00510442">
              <w:rPr>
                <w:rFonts w:ascii="Times New Roman" w:hAnsi="Times New Roman"/>
                <w:color w:val="000000"/>
                <w:sz w:val="22"/>
                <w:szCs w:val="22"/>
                <w:lang w:val="hr-HR"/>
              </w:rPr>
              <w:t xml:space="preserve"> </w:t>
            </w:r>
            <w:r w:rsidR="001103B7" w:rsidRPr="00510442">
              <w:rPr>
                <w:rFonts w:ascii="Times New Roman" w:hAnsi="Times New Roman"/>
                <w:color w:val="000000"/>
                <w:sz w:val="22"/>
                <w:szCs w:val="22"/>
                <w:lang w:val="hr-HR"/>
              </w:rPr>
              <w:t>na dane</w:t>
            </w:r>
            <w:r w:rsidRPr="00510442">
              <w:rPr>
                <w:rFonts w:ascii="Times New Roman" w:hAnsi="Times New Roman"/>
                <w:color w:val="000000"/>
                <w:sz w:val="22"/>
                <w:szCs w:val="22"/>
                <w:lang w:val="hr-HR"/>
              </w:rPr>
              <w:t> 1</w:t>
            </w:r>
            <w:r w:rsidR="00A74D02" w:rsidRPr="00510442">
              <w:rPr>
                <w:rFonts w:ascii="Times New Roman" w:hAnsi="Times New Roman"/>
                <w:color w:val="000000"/>
                <w:sz w:val="22"/>
                <w:szCs w:val="22"/>
                <w:lang w:val="hr-HR"/>
              </w:rPr>
              <w:noBreakHyphen/>
            </w:r>
            <w:r w:rsidRPr="00510442">
              <w:rPr>
                <w:rFonts w:ascii="Times New Roman" w:hAnsi="Times New Roman"/>
                <w:color w:val="000000"/>
                <w:sz w:val="22"/>
                <w:szCs w:val="22"/>
                <w:lang w:val="hr-HR"/>
              </w:rPr>
              <w:t xml:space="preserve">4 </w:t>
            </w:r>
            <w:r w:rsidR="001103B7" w:rsidRPr="00510442">
              <w:rPr>
                <w:rFonts w:ascii="Times New Roman" w:hAnsi="Times New Roman"/>
                <w:color w:val="000000"/>
                <w:sz w:val="22"/>
                <w:szCs w:val="22"/>
                <w:lang w:val="hr-HR"/>
              </w:rPr>
              <w:t>i</w:t>
            </w:r>
            <w:r w:rsidRPr="00510442">
              <w:rPr>
                <w:rFonts w:ascii="Times New Roman" w:hAnsi="Times New Roman"/>
                <w:color w:val="000000"/>
                <w:sz w:val="22"/>
                <w:szCs w:val="22"/>
                <w:lang w:val="hr-HR"/>
              </w:rPr>
              <w:t xml:space="preserve"> 11</w:t>
            </w:r>
            <w:r w:rsidR="00A74D02" w:rsidRPr="00510442">
              <w:rPr>
                <w:rFonts w:ascii="Times New Roman" w:hAnsi="Times New Roman"/>
                <w:color w:val="000000"/>
                <w:sz w:val="22"/>
                <w:szCs w:val="22"/>
                <w:lang w:val="hr-HR"/>
              </w:rPr>
              <w:noBreakHyphen/>
            </w:r>
            <w:r w:rsidRPr="00510442">
              <w:rPr>
                <w:rFonts w:ascii="Times New Roman" w:hAnsi="Times New Roman"/>
                <w:color w:val="000000"/>
                <w:sz w:val="22"/>
                <w:szCs w:val="22"/>
                <w:lang w:val="hr-HR"/>
              </w:rPr>
              <w:t xml:space="preserve">14, </w:t>
            </w:r>
            <w:r w:rsidR="001103B7" w:rsidRPr="00510442">
              <w:rPr>
                <w:rFonts w:ascii="Times New Roman" w:hAnsi="Times New Roman"/>
                <w:sz w:val="22"/>
                <w:szCs w:val="22"/>
                <w:lang w:val="hr-HR"/>
              </w:rPr>
              <w:t>izmjenjivano s</w:t>
            </w:r>
            <w:r w:rsidR="001103B7" w:rsidRPr="00510442">
              <w:rPr>
                <w:rFonts w:ascii="Times New Roman" w:hAnsi="Times New Roman"/>
                <w:color w:val="000000"/>
                <w:sz w:val="22"/>
                <w:szCs w:val="22"/>
                <w:lang w:val="hr-HR"/>
              </w:rPr>
              <w:t xml:space="preserve"> </w:t>
            </w:r>
            <w:r w:rsidRPr="00510442">
              <w:rPr>
                <w:rFonts w:ascii="Times New Roman" w:hAnsi="Times New Roman"/>
                <w:color w:val="000000"/>
                <w:sz w:val="22"/>
                <w:szCs w:val="22"/>
                <w:lang w:val="hr-HR"/>
              </w:rPr>
              <w:t>MTX 1 g/m</w:t>
            </w:r>
            <w:r w:rsidRPr="00510442">
              <w:rPr>
                <w:rFonts w:ascii="Times New Roman" w:hAnsi="Times New Roman"/>
                <w:color w:val="000000"/>
                <w:sz w:val="22"/>
                <w:szCs w:val="22"/>
                <w:vertAlign w:val="superscript"/>
                <w:lang w:val="hr-HR"/>
              </w:rPr>
              <w:t>2</w:t>
            </w:r>
            <w:r w:rsidRPr="00510442">
              <w:rPr>
                <w:rFonts w:ascii="Times New Roman" w:hAnsi="Times New Roman"/>
                <w:color w:val="000000"/>
                <w:sz w:val="22"/>
                <w:szCs w:val="22"/>
                <w:lang w:val="hr-HR"/>
              </w:rPr>
              <w:t xml:space="preserve"> i.v. (24 h), da</w:t>
            </w:r>
            <w:r w:rsidR="001103B7" w:rsidRPr="00510442">
              <w:rPr>
                <w:rFonts w:ascii="Times New Roman" w:hAnsi="Times New Roman"/>
                <w:color w:val="000000"/>
                <w:sz w:val="22"/>
                <w:szCs w:val="22"/>
                <w:lang w:val="hr-HR"/>
              </w:rPr>
              <w:t>n</w:t>
            </w:r>
            <w:r w:rsidRPr="00510442">
              <w:rPr>
                <w:rFonts w:ascii="Times New Roman" w:hAnsi="Times New Roman"/>
                <w:color w:val="000000"/>
                <w:sz w:val="22"/>
                <w:szCs w:val="22"/>
                <w:lang w:val="hr-HR"/>
              </w:rPr>
              <w:t> 1, Ara-C 1 g/m</w:t>
            </w:r>
            <w:r w:rsidRPr="00510442">
              <w:rPr>
                <w:rFonts w:ascii="Times New Roman" w:hAnsi="Times New Roman"/>
                <w:color w:val="000000"/>
                <w:sz w:val="22"/>
                <w:szCs w:val="22"/>
                <w:vertAlign w:val="superscript"/>
                <w:lang w:val="hr-HR"/>
              </w:rPr>
              <w:t>2</w:t>
            </w:r>
            <w:r w:rsidRPr="00510442">
              <w:rPr>
                <w:rFonts w:ascii="Times New Roman" w:hAnsi="Times New Roman"/>
                <w:color w:val="000000"/>
                <w:sz w:val="22"/>
                <w:szCs w:val="22"/>
                <w:lang w:val="hr-HR"/>
              </w:rPr>
              <w:t xml:space="preserve"> i.v. (2 h, </w:t>
            </w:r>
            <w:r w:rsidR="00C0579F" w:rsidRPr="00510442">
              <w:rPr>
                <w:rFonts w:ascii="Times New Roman" w:hAnsi="Times New Roman"/>
                <w:color w:val="000000"/>
                <w:sz w:val="22"/>
                <w:szCs w:val="22"/>
                <w:lang w:val="hr-HR"/>
              </w:rPr>
              <w:t>svakih</w:t>
            </w:r>
            <w:r w:rsidRPr="00510442">
              <w:rPr>
                <w:rFonts w:ascii="Times New Roman" w:hAnsi="Times New Roman"/>
                <w:color w:val="000000"/>
                <w:sz w:val="22"/>
                <w:szCs w:val="22"/>
                <w:lang w:val="hr-HR"/>
              </w:rPr>
              <w:t> 12 h), da</w:t>
            </w:r>
            <w:r w:rsidR="001103B7" w:rsidRPr="00510442">
              <w:rPr>
                <w:rFonts w:ascii="Times New Roman" w:hAnsi="Times New Roman"/>
                <w:color w:val="000000"/>
                <w:sz w:val="22"/>
                <w:szCs w:val="22"/>
                <w:lang w:val="hr-HR"/>
              </w:rPr>
              <w:t>ni</w:t>
            </w:r>
            <w:r w:rsidRPr="00510442">
              <w:rPr>
                <w:rFonts w:ascii="Times New Roman" w:hAnsi="Times New Roman"/>
                <w:color w:val="000000"/>
                <w:sz w:val="22"/>
                <w:szCs w:val="22"/>
                <w:lang w:val="hr-HR"/>
              </w:rPr>
              <w:t> 2</w:t>
            </w:r>
            <w:r w:rsidR="0065152B" w:rsidRPr="00510442">
              <w:rPr>
                <w:rFonts w:ascii="Times New Roman" w:hAnsi="Times New Roman"/>
                <w:color w:val="000000"/>
                <w:sz w:val="22"/>
                <w:szCs w:val="22"/>
                <w:lang w:val="hr-HR"/>
              </w:rPr>
              <w:noBreakHyphen/>
            </w:r>
            <w:r w:rsidRPr="00510442">
              <w:rPr>
                <w:rFonts w:ascii="Times New Roman" w:hAnsi="Times New Roman"/>
                <w:color w:val="000000"/>
                <w:sz w:val="22"/>
                <w:szCs w:val="22"/>
                <w:lang w:val="hr-HR"/>
              </w:rPr>
              <w:t>3 (</w:t>
            </w:r>
            <w:r w:rsidR="001103B7" w:rsidRPr="00510442">
              <w:rPr>
                <w:rFonts w:ascii="Times New Roman" w:hAnsi="Times New Roman"/>
                <w:color w:val="000000"/>
                <w:sz w:val="22"/>
                <w:szCs w:val="22"/>
                <w:lang w:val="hr-HR"/>
              </w:rPr>
              <w:t>ukupno</w:t>
            </w:r>
            <w:r w:rsidRPr="00510442">
              <w:rPr>
                <w:rFonts w:ascii="Times New Roman" w:hAnsi="Times New Roman"/>
                <w:color w:val="000000"/>
                <w:sz w:val="22"/>
                <w:szCs w:val="22"/>
                <w:lang w:val="hr-HR"/>
              </w:rPr>
              <w:t xml:space="preserve"> 8 </w:t>
            </w:r>
            <w:r w:rsidR="001103B7" w:rsidRPr="00510442">
              <w:rPr>
                <w:rFonts w:ascii="Times New Roman" w:hAnsi="Times New Roman"/>
                <w:color w:val="000000"/>
                <w:sz w:val="22"/>
                <w:szCs w:val="22"/>
                <w:lang w:val="hr-HR"/>
              </w:rPr>
              <w:t>ciklusa</w:t>
            </w:r>
            <w:r w:rsidRPr="00510442">
              <w:rPr>
                <w:rFonts w:ascii="Times New Roman" w:hAnsi="Times New Roman"/>
                <w:color w:val="000000"/>
                <w:sz w:val="22"/>
                <w:szCs w:val="22"/>
                <w:lang w:val="hr-HR"/>
              </w:rPr>
              <w:t>)</w:t>
            </w:r>
          </w:p>
        </w:tc>
      </w:tr>
      <w:tr w:rsidR="00657FAB" w:rsidRPr="00F410C8" w14:paraId="4A779B89" w14:textId="77777777">
        <w:tc>
          <w:tcPr>
            <w:tcW w:w="2148" w:type="dxa"/>
            <w:tcBorders>
              <w:top w:val="single" w:sz="4" w:space="0" w:color="auto"/>
              <w:bottom w:val="single" w:sz="4" w:space="0" w:color="auto"/>
            </w:tcBorders>
            <w:shd w:val="clear" w:color="auto" w:fill="auto"/>
          </w:tcPr>
          <w:p w14:paraId="6A48FE36" w14:textId="77777777" w:rsidR="00657FAB" w:rsidRPr="00510442" w:rsidRDefault="00534488" w:rsidP="003179A4">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sz w:val="22"/>
                <w:szCs w:val="22"/>
                <w:lang w:val="hr-HR"/>
              </w:rPr>
              <w:t>Održavanje</w:t>
            </w:r>
          </w:p>
        </w:tc>
        <w:tc>
          <w:tcPr>
            <w:tcW w:w="6732" w:type="dxa"/>
            <w:gridSpan w:val="4"/>
            <w:tcBorders>
              <w:top w:val="single" w:sz="4" w:space="0" w:color="auto"/>
              <w:bottom w:val="single" w:sz="4" w:space="0" w:color="auto"/>
            </w:tcBorders>
            <w:shd w:val="clear" w:color="auto" w:fill="auto"/>
          </w:tcPr>
          <w:p w14:paraId="0D4D592D" w14:textId="77777777" w:rsidR="00795AD9" w:rsidRPr="00510442" w:rsidRDefault="00657FAB" w:rsidP="003179A4">
            <w:pPr>
              <w:pStyle w:val="Table"/>
              <w:keepLines w:val="0"/>
              <w:widowControl w:val="0"/>
              <w:spacing w:before="0" w:after="0"/>
              <w:rPr>
                <w:rFonts w:ascii="Times New Roman" w:hAnsi="Times New Roman"/>
                <w:color w:val="000000"/>
                <w:sz w:val="22"/>
                <w:szCs w:val="22"/>
                <w:lang w:val="hr-HR"/>
              </w:rPr>
            </w:pPr>
            <w:smartTag w:uri="urn:schemas-microsoft-com:office:smarttags" w:element="stockticker">
              <w:r w:rsidRPr="00510442">
                <w:rPr>
                  <w:rFonts w:ascii="Times New Roman" w:hAnsi="Times New Roman"/>
                  <w:color w:val="000000"/>
                  <w:sz w:val="22"/>
                  <w:szCs w:val="22"/>
                  <w:lang w:val="hr-HR"/>
                </w:rPr>
                <w:t>VCR</w:t>
              </w:r>
            </w:smartTag>
            <w:r w:rsidRPr="00510442">
              <w:rPr>
                <w:rFonts w:ascii="Times New Roman" w:hAnsi="Times New Roman"/>
                <w:color w:val="000000"/>
                <w:sz w:val="22"/>
                <w:szCs w:val="22"/>
                <w:lang w:val="hr-HR"/>
              </w:rPr>
              <w:t xml:space="preserve"> 2 mg i.v. </w:t>
            </w:r>
            <w:r w:rsidR="001103B7" w:rsidRPr="00510442">
              <w:rPr>
                <w:rFonts w:ascii="Times New Roman" w:hAnsi="Times New Roman"/>
                <w:sz w:val="22"/>
                <w:szCs w:val="22"/>
                <w:lang w:val="hr-HR"/>
              </w:rPr>
              <w:t xml:space="preserve">mjesečno tijekom </w:t>
            </w:r>
            <w:r w:rsidRPr="00510442">
              <w:rPr>
                <w:rFonts w:ascii="Times New Roman" w:hAnsi="Times New Roman"/>
                <w:color w:val="000000"/>
                <w:sz w:val="22"/>
                <w:szCs w:val="22"/>
                <w:lang w:val="hr-HR"/>
              </w:rPr>
              <w:t>13 m</w:t>
            </w:r>
            <w:r w:rsidR="001103B7" w:rsidRPr="00510442">
              <w:rPr>
                <w:rFonts w:ascii="Times New Roman" w:hAnsi="Times New Roman"/>
                <w:color w:val="000000"/>
                <w:sz w:val="22"/>
                <w:szCs w:val="22"/>
                <w:lang w:val="hr-HR"/>
              </w:rPr>
              <w:t>jeseci</w:t>
            </w:r>
            <w:r w:rsidRPr="00510442">
              <w:rPr>
                <w:rFonts w:ascii="Times New Roman" w:hAnsi="Times New Roman"/>
                <w:color w:val="000000"/>
                <w:sz w:val="22"/>
                <w:szCs w:val="22"/>
                <w:lang w:val="hr-HR"/>
              </w:rPr>
              <w:t>;</w:t>
            </w:r>
          </w:p>
          <w:p w14:paraId="6B62DAFA" w14:textId="77777777" w:rsidR="00657FAB" w:rsidRPr="00510442" w:rsidRDefault="00795AD9" w:rsidP="003179A4">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sz w:val="22"/>
                <w:szCs w:val="22"/>
                <w:lang w:val="hr-HR"/>
              </w:rPr>
              <w:t>P</w:t>
            </w:r>
            <w:r w:rsidR="001103B7" w:rsidRPr="00510442">
              <w:rPr>
                <w:rFonts w:ascii="Times New Roman" w:hAnsi="Times New Roman"/>
                <w:sz w:val="22"/>
                <w:szCs w:val="22"/>
                <w:lang w:val="hr-HR"/>
              </w:rPr>
              <w:t xml:space="preserve">rednizolon </w:t>
            </w:r>
            <w:r w:rsidR="00657FAB" w:rsidRPr="00510442">
              <w:rPr>
                <w:rFonts w:ascii="Times New Roman" w:hAnsi="Times New Roman"/>
                <w:color w:val="000000"/>
                <w:sz w:val="22"/>
                <w:szCs w:val="22"/>
                <w:lang w:val="hr-HR"/>
              </w:rPr>
              <w:t xml:space="preserve">200 mg </w:t>
            </w:r>
            <w:r w:rsidR="00541C00" w:rsidRPr="00510442">
              <w:rPr>
                <w:rFonts w:ascii="Times New Roman" w:hAnsi="Times New Roman"/>
                <w:color w:val="000000"/>
                <w:sz w:val="22"/>
                <w:szCs w:val="22"/>
                <w:lang w:val="hr-HR"/>
              </w:rPr>
              <w:t>per</w:t>
            </w:r>
            <w:r w:rsidR="00657FAB" w:rsidRPr="00510442">
              <w:rPr>
                <w:rFonts w:ascii="Times New Roman" w:hAnsi="Times New Roman"/>
                <w:color w:val="000000"/>
                <w:sz w:val="22"/>
                <w:szCs w:val="22"/>
                <w:lang w:val="hr-HR"/>
              </w:rPr>
              <w:t>oral</w:t>
            </w:r>
            <w:r w:rsidR="001103B7" w:rsidRPr="00510442">
              <w:rPr>
                <w:rFonts w:ascii="Times New Roman" w:hAnsi="Times New Roman"/>
                <w:color w:val="000000"/>
                <w:sz w:val="22"/>
                <w:szCs w:val="22"/>
                <w:lang w:val="hr-HR"/>
              </w:rPr>
              <w:t>no</w:t>
            </w:r>
            <w:r w:rsidR="00657FAB" w:rsidRPr="00510442">
              <w:rPr>
                <w:rFonts w:ascii="Times New Roman" w:hAnsi="Times New Roman"/>
                <w:color w:val="000000"/>
                <w:sz w:val="22"/>
                <w:szCs w:val="22"/>
                <w:lang w:val="hr-HR"/>
              </w:rPr>
              <w:t>, 5 da</w:t>
            </w:r>
            <w:r w:rsidR="001103B7" w:rsidRPr="00510442">
              <w:rPr>
                <w:rFonts w:ascii="Times New Roman" w:hAnsi="Times New Roman"/>
                <w:color w:val="000000"/>
                <w:sz w:val="22"/>
                <w:szCs w:val="22"/>
                <w:lang w:val="hr-HR"/>
              </w:rPr>
              <w:t>na</w:t>
            </w:r>
            <w:r w:rsidR="00657FAB" w:rsidRPr="00510442">
              <w:rPr>
                <w:rFonts w:ascii="Times New Roman" w:hAnsi="Times New Roman"/>
                <w:color w:val="000000"/>
                <w:sz w:val="22"/>
                <w:szCs w:val="22"/>
                <w:lang w:val="hr-HR"/>
              </w:rPr>
              <w:t xml:space="preserve"> </w:t>
            </w:r>
            <w:r w:rsidR="001103B7" w:rsidRPr="00510442">
              <w:rPr>
                <w:rFonts w:ascii="Times New Roman" w:hAnsi="Times New Roman"/>
                <w:sz w:val="22"/>
                <w:szCs w:val="22"/>
                <w:lang w:val="hr-HR"/>
              </w:rPr>
              <w:t xml:space="preserve">na mjesec tijekom </w:t>
            </w:r>
            <w:r w:rsidR="00657FAB" w:rsidRPr="00510442">
              <w:rPr>
                <w:rFonts w:ascii="Times New Roman" w:hAnsi="Times New Roman"/>
                <w:color w:val="000000"/>
                <w:sz w:val="22"/>
                <w:szCs w:val="22"/>
                <w:lang w:val="hr-HR"/>
              </w:rPr>
              <w:t>13 m</w:t>
            </w:r>
            <w:r w:rsidR="001103B7" w:rsidRPr="00510442">
              <w:rPr>
                <w:rFonts w:ascii="Times New Roman" w:hAnsi="Times New Roman"/>
                <w:color w:val="000000"/>
                <w:sz w:val="22"/>
                <w:szCs w:val="22"/>
                <w:lang w:val="hr-HR"/>
              </w:rPr>
              <w:t>jeseci</w:t>
            </w:r>
          </w:p>
        </w:tc>
      </w:tr>
      <w:tr w:rsidR="00657FAB" w:rsidRPr="00F410C8" w14:paraId="558C1C23" w14:textId="77777777">
        <w:tc>
          <w:tcPr>
            <w:tcW w:w="8880" w:type="dxa"/>
            <w:gridSpan w:val="5"/>
            <w:tcBorders>
              <w:top w:val="single" w:sz="4" w:space="0" w:color="auto"/>
              <w:bottom w:val="single" w:sz="4" w:space="0" w:color="auto"/>
            </w:tcBorders>
            <w:shd w:val="clear" w:color="auto" w:fill="auto"/>
          </w:tcPr>
          <w:p w14:paraId="6996B434" w14:textId="77777777" w:rsidR="00657FAB" w:rsidRPr="00510442" w:rsidRDefault="00534488" w:rsidP="003179A4">
            <w:pPr>
              <w:pStyle w:val="Table"/>
              <w:keepLines w:val="0"/>
              <w:widowControl w:val="0"/>
              <w:spacing w:after="40"/>
              <w:rPr>
                <w:rFonts w:ascii="Times New Roman" w:hAnsi="Times New Roman"/>
                <w:color w:val="000000"/>
                <w:sz w:val="22"/>
                <w:szCs w:val="22"/>
                <w:lang w:val="hr-HR"/>
              </w:rPr>
            </w:pPr>
            <w:r w:rsidRPr="00510442">
              <w:rPr>
                <w:rFonts w:ascii="Times New Roman" w:hAnsi="Times New Roman"/>
                <w:sz w:val="22"/>
                <w:szCs w:val="22"/>
                <w:lang w:val="hr-HR"/>
              </w:rPr>
              <w:t>Svi režimi liječenja uključuju primjenu steroida radi CNS profilakse.</w:t>
            </w:r>
          </w:p>
        </w:tc>
      </w:tr>
      <w:tr w:rsidR="00657FAB" w:rsidRPr="00F410C8" w14:paraId="1EFB9862" w14:textId="77777777" w:rsidTr="003F35A0">
        <w:trPr>
          <w:trHeight w:val="535"/>
        </w:trPr>
        <w:tc>
          <w:tcPr>
            <w:tcW w:w="8880" w:type="dxa"/>
            <w:gridSpan w:val="5"/>
            <w:tcBorders>
              <w:top w:val="single" w:sz="4" w:space="0" w:color="auto"/>
              <w:bottom w:val="single" w:sz="4" w:space="0" w:color="auto"/>
            </w:tcBorders>
            <w:shd w:val="clear" w:color="auto" w:fill="auto"/>
          </w:tcPr>
          <w:p w14:paraId="7B203E1B" w14:textId="77777777" w:rsidR="00657FAB" w:rsidRPr="00510442" w:rsidRDefault="00657FAB" w:rsidP="003179A4">
            <w:pPr>
              <w:pStyle w:val="Table"/>
              <w:keepNext w:val="0"/>
              <w:keepLines w:val="0"/>
              <w:widowControl w:val="0"/>
              <w:spacing w:after="0"/>
              <w:rPr>
                <w:rFonts w:ascii="Times New Roman" w:hAnsi="Times New Roman"/>
                <w:color w:val="000000"/>
                <w:sz w:val="22"/>
                <w:szCs w:val="22"/>
                <w:lang w:val="hr-HR"/>
              </w:rPr>
            </w:pPr>
            <w:r w:rsidRPr="00510442">
              <w:rPr>
                <w:rFonts w:ascii="Times New Roman" w:hAnsi="Times New Roman"/>
                <w:color w:val="000000"/>
                <w:sz w:val="22"/>
                <w:szCs w:val="22"/>
                <w:lang w:val="hr-HR"/>
              </w:rPr>
              <w:t xml:space="preserve">Ara-C: </w:t>
            </w:r>
            <w:r w:rsidR="00534488" w:rsidRPr="00510442">
              <w:rPr>
                <w:rFonts w:ascii="Times New Roman" w:hAnsi="Times New Roman"/>
                <w:sz w:val="22"/>
                <w:szCs w:val="22"/>
                <w:lang w:val="hr-HR"/>
              </w:rPr>
              <w:t>citozin arabinozid</w:t>
            </w:r>
            <w:r w:rsidRPr="00510442">
              <w:rPr>
                <w:rFonts w:ascii="Times New Roman" w:hAnsi="Times New Roman"/>
                <w:color w:val="000000"/>
                <w:sz w:val="22"/>
                <w:szCs w:val="22"/>
                <w:lang w:val="hr-HR"/>
              </w:rPr>
              <w:t xml:space="preserve">; CP: </w:t>
            </w:r>
            <w:r w:rsidR="00534488" w:rsidRPr="00510442">
              <w:rPr>
                <w:rFonts w:ascii="Times New Roman" w:hAnsi="Times New Roman"/>
                <w:sz w:val="22"/>
                <w:szCs w:val="22"/>
                <w:lang w:val="hr-HR"/>
              </w:rPr>
              <w:t>ciklofosfamid</w:t>
            </w:r>
            <w:r w:rsidRPr="00510442">
              <w:rPr>
                <w:rFonts w:ascii="Times New Roman" w:hAnsi="Times New Roman"/>
                <w:color w:val="000000"/>
                <w:sz w:val="22"/>
                <w:szCs w:val="22"/>
                <w:lang w:val="hr-HR"/>
              </w:rPr>
              <w:t xml:space="preserve">; DEX: </w:t>
            </w:r>
            <w:r w:rsidR="00534488" w:rsidRPr="00510442">
              <w:rPr>
                <w:rFonts w:ascii="Times New Roman" w:hAnsi="Times New Roman"/>
                <w:sz w:val="22"/>
                <w:szCs w:val="22"/>
                <w:lang w:val="hr-HR"/>
              </w:rPr>
              <w:t>deksametazon</w:t>
            </w:r>
            <w:r w:rsidRPr="00510442">
              <w:rPr>
                <w:rFonts w:ascii="Times New Roman" w:hAnsi="Times New Roman"/>
                <w:color w:val="000000"/>
                <w:sz w:val="22"/>
                <w:szCs w:val="22"/>
                <w:lang w:val="hr-HR"/>
              </w:rPr>
              <w:t xml:space="preserve">; </w:t>
            </w:r>
            <w:smartTag w:uri="urn:schemas-microsoft-com:office:smarttags" w:element="stockticker">
              <w:r w:rsidRPr="00510442">
                <w:rPr>
                  <w:rFonts w:ascii="Times New Roman" w:hAnsi="Times New Roman"/>
                  <w:color w:val="000000"/>
                  <w:sz w:val="22"/>
                  <w:szCs w:val="22"/>
                  <w:lang w:val="hr-HR"/>
                </w:rPr>
                <w:t>MTX</w:t>
              </w:r>
            </w:smartTag>
            <w:r w:rsidRPr="00510442">
              <w:rPr>
                <w:rFonts w:ascii="Times New Roman" w:hAnsi="Times New Roman"/>
                <w:color w:val="000000"/>
                <w:sz w:val="22"/>
                <w:szCs w:val="22"/>
                <w:lang w:val="hr-HR"/>
              </w:rPr>
              <w:t xml:space="preserve">: </w:t>
            </w:r>
            <w:r w:rsidR="00534488" w:rsidRPr="00510442">
              <w:rPr>
                <w:rFonts w:ascii="Times New Roman" w:hAnsi="Times New Roman"/>
                <w:sz w:val="22"/>
                <w:szCs w:val="22"/>
                <w:lang w:val="hr-HR"/>
              </w:rPr>
              <w:t>metotreksat</w:t>
            </w:r>
            <w:r w:rsidRPr="00510442">
              <w:rPr>
                <w:rFonts w:ascii="Times New Roman" w:hAnsi="Times New Roman"/>
                <w:color w:val="000000"/>
                <w:sz w:val="22"/>
                <w:szCs w:val="22"/>
                <w:lang w:val="hr-HR"/>
              </w:rPr>
              <w:t xml:space="preserve">; 6-MP: </w:t>
            </w:r>
            <w:r w:rsidR="00534488" w:rsidRPr="00510442">
              <w:rPr>
                <w:rFonts w:ascii="Times New Roman" w:hAnsi="Times New Roman"/>
                <w:sz w:val="22"/>
                <w:szCs w:val="22"/>
                <w:lang w:val="hr-HR"/>
              </w:rPr>
              <w:t>6-merkaptopurin;</w:t>
            </w:r>
            <w:r w:rsidR="00534488" w:rsidRPr="00510442">
              <w:rPr>
                <w:rFonts w:ascii="Times New Roman" w:hAnsi="Times New Roman"/>
                <w:color w:val="000000"/>
                <w:sz w:val="22"/>
                <w:szCs w:val="22"/>
                <w:lang w:val="hr-HR"/>
              </w:rPr>
              <w:t xml:space="preserve"> </w:t>
            </w:r>
            <w:r w:rsidRPr="00510442">
              <w:rPr>
                <w:rFonts w:ascii="Times New Roman" w:hAnsi="Times New Roman"/>
                <w:color w:val="000000"/>
                <w:sz w:val="22"/>
                <w:szCs w:val="22"/>
                <w:lang w:val="hr-HR"/>
              </w:rPr>
              <w:t xml:space="preserve">VM26: </w:t>
            </w:r>
            <w:r w:rsidR="00534488" w:rsidRPr="00510442">
              <w:rPr>
                <w:rFonts w:ascii="Times New Roman" w:hAnsi="Times New Roman"/>
                <w:sz w:val="22"/>
                <w:szCs w:val="22"/>
                <w:lang w:val="hr-HR"/>
              </w:rPr>
              <w:t>tenipozid</w:t>
            </w:r>
            <w:r w:rsidRPr="00510442">
              <w:rPr>
                <w:rFonts w:ascii="Times New Roman" w:hAnsi="Times New Roman"/>
                <w:color w:val="000000"/>
                <w:sz w:val="22"/>
                <w:szCs w:val="22"/>
                <w:lang w:val="hr-HR"/>
              </w:rPr>
              <w:t xml:space="preserve">; </w:t>
            </w:r>
            <w:smartTag w:uri="urn:schemas-microsoft-com:office:smarttags" w:element="stockticker">
              <w:r w:rsidRPr="00510442">
                <w:rPr>
                  <w:rFonts w:ascii="Times New Roman" w:hAnsi="Times New Roman"/>
                  <w:color w:val="000000"/>
                  <w:sz w:val="22"/>
                  <w:szCs w:val="22"/>
                  <w:lang w:val="hr-HR"/>
                </w:rPr>
                <w:t>VCR</w:t>
              </w:r>
            </w:smartTag>
            <w:r w:rsidRPr="00510442">
              <w:rPr>
                <w:rFonts w:ascii="Times New Roman" w:hAnsi="Times New Roman"/>
                <w:color w:val="000000"/>
                <w:sz w:val="22"/>
                <w:szCs w:val="22"/>
                <w:lang w:val="hr-HR"/>
              </w:rPr>
              <w:t xml:space="preserve">: </w:t>
            </w:r>
            <w:r w:rsidR="00534488" w:rsidRPr="00510442">
              <w:rPr>
                <w:rFonts w:ascii="Times New Roman" w:hAnsi="Times New Roman"/>
                <w:sz w:val="22"/>
                <w:szCs w:val="22"/>
                <w:lang w:val="hr-HR"/>
              </w:rPr>
              <w:t>vinkristin</w:t>
            </w:r>
            <w:r w:rsidRPr="00510442">
              <w:rPr>
                <w:rFonts w:ascii="Times New Roman" w:hAnsi="Times New Roman"/>
                <w:color w:val="000000"/>
                <w:sz w:val="22"/>
                <w:szCs w:val="22"/>
                <w:lang w:val="hr-HR"/>
              </w:rPr>
              <w:t xml:space="preserve">; </w:t>
            </w:r>
            <w:smartTag w:uri="urn:schemas-microsoft-com:office:smarttags" w:element="stockticker">
              <w:r w:rsidRPr="00510442">
                <w:rPr>
                  <w:rFonts w:ascii="Times New Roman" w:hAnsi="Times New Roman"/>
                  <w:color w:val="000000"/>
                  <w:sz w:val="22"/>
                  <w:szCs w:val="22"/>
                  <w:lang w:val="hr-HR"/>
                </w:rPr>
                <w:t>IDA</w:t>
              </w:r>
            </w:smartTag>
            <w:r w:rsidR="00EB5C92" w:rsidRPr="00510442">
              <w:rPr>
                <w:rFonts w:ascii="Times New Roman" w:hAnsi="Times New Roman"/>
                <w:color w:val="000000"/>
                <w:sz w:val="22"/>
                <w:szCs w:val="22"/>
                <w:lang w:val="hr-HR"/>
              </w:rPr>
              <w:t>:</w:t>
            </w:r>
            <w:r w:rsidRPr="00510442">
              <w:rPr>
                <w:rFonts w:ascii="Times New Roman" w:hAnsi="Times New Roman"/>
                <w:color w:val="000000"/>
                <w:sz w:val="22"/>
                <w:szCs w:val="22"/>
                <w:lang w:val="hr-HR"/>
              </w:rPr>
              <w:t xml:space="preserve"> </w:t>
            </w:r>
            <w:r w:rsidR="00534488" w:rsidRPr="00510442">
              <w:rPr>
                <w:rFonts w:ascii="Times New Roman" w:hAnsi="Times New Roman"/>
                <w:sz w:val="22"/>
                <w:szCs w:val="22"/>
                <w:lang w:val="hr-HR"/>
              </w:rPr>
              <w:t>idarubicin</w:t>
            </w:r>
            <w:r w:rsidRPr="00510442">
              <w:rPr>
                <w:rFonts w:ascii="Times New Roman" w:hAnsi="Times New Roman"/>
                <w:color w:val="000000"/>
                <w:sz w:val="22"/>
                <w:szCs w:val="22"/>
                <w:lang w:val="hr-HR"/>
              </w:rPr>
              <w:t xml:space="preserve">; i.v.: </w:t>
            </w:r>
            <w:r w:rsidR="00534488" w:rsidRPr="00510442">
              <w:rPr>
                <w:rFonts w:ascii="Times New Roman" w:hAnsi="Times New Roman"/>
                <w:sz w:val="22"/>
                <w:szCs w:val="22"/>
                <w:lang w:val="hr-HR"/>
              </w:rPr>
              <w:t>intravenski</w:t>
            </w:r>
          </w:p>
        </w:tc>
      </w:tr>
    </w:tbl>
    <w:p w14:paraId="3511A3C5" w14:textId="77777777" w:rsidR="00657FAB" w:rsidRPr="00510442" w:rsidRDefault="00657FAB" w:rsidP="0091773C">
      <w:pPr>
        <w:pStyle w:val="EndnoteText"/>
        <w:widowControl w:val="0"/>
        <w:rPr>
          <w:color w:val="000000"/>
          <w:szCs w:val="22"/>
          <w:lang w:val="hr-HR"/>
        </w:rPr>
      </w:pPr>
    </w:p>
    <w:p w14:paraId="00C490F1" w14:textId="4DA0C9D2" w:rsidR="00015051" w:rsidRPr="00510442" w:rsidRDefault="004B08BD" w:rsidP="00015051">
      <w:pPr>
        <w:pStyle w:val="EndnoteText"/>
        <w:widowControl w:val="0"/>
        <w:rPr>
          <w:color w:val="000000"/>
          <w:lang w:val="hr-HR"/>
        </w:rPr>
      </w:pPr>
      <w:r w:rsidRPr="00510442">
        <w:rPr>
          <w:i/>
          <w:color w:val="000000"/>
          <w:lang w:val="hr-HR"/>
        </w:rPr>
        <w:t>Pedijatrijski bolesnici</w:t>
      </w:r>
      <w:r w:rsidRPr="00510442">
        <w:rPr>
          <w:color w:val="000000"/>
          <w:lang w:val="hr-HR"/>
        </w:rPr>
        <w:t>:</w:t>
      </w:r>
      <w:r w:rsidRPr="00510442">
        <w:rPr>
          <w:lang w:val="hr-HR"/>
        </w:rPr>
        <w:t xml:space="preserve"> </w:t>
      </w:r>
      <w:r w:rsidRPr="00510442">
        <w:rPr>
          <w:color w:val="000000"/>
          <w:lang w:val="hr-HR"/>
        </w:rPr>
        <w:t>U ispitivanju</w:t>
      </w:r>
      <w:r w:rsidRPr="00510442">
        <w:rPr>
          <w:lang w:val="hr-HR"/>
        </w:rPr>
        <w:t xml:space="preserve"> </w:t>
      </w:r>
      <w:r w:rsidRPr="00510442">
        <w:rPr>
          <w:color w:val="000000"/>
          <w:lang w:val="hr-HR"/>
        </w:rPr>
        <w:t>I2301 ukupno 93 djece, adolescenata i mladih odraslih osoba (u dobi od 1 do 22 godine) s Ph+ ALL bilo je uključeno u otvoreno, multicentrično, sekvencijsko kohortno, nerandomizirano ispitivanje faze III u kojem su primali Glivec (340 mg/m</w:t>
      </w:r>
      <w:r w:rsidRPr="00510442">
        <w:rPr>
          <w:color w:val="000000"/>
          <w:vertAlign w:val="superscript"/>
          <w:lang w:val="hr-HR"/>
        </w:rPr>
        <w:t>2</w:t>
      </w:r>
      <w:r w:rsidRPr="00510442">
        <w:rPr>
          <w:color w:val="000000"/>
          <w:lang w:val="hr-HR"/>
        </w:rPr>
        <w:t>/dan) u kombinaciji s intenzivnom kemoterapijom nakon indukcijskog liječenja. Glivec je povremeno primjenjivan u kohortama 1</w:t>
      </w:r>
      <w:r w:rsidRPr="00510442">
        <w:rPr>
          <w:color w:val="000000"/>
          <w:lang w:val="hr-HR"/>
        </w:rPr>
        <w:noBreakHyphen/>
        <w:t xml:space="preserve">5, uz progresivno produljenje i raniji početak primjene </w:t>
      </w:r>
      <w:r w:rsidR="00A752CC" w:rsidRPr="00512481">
        <w:rPr>
          <w:szCs w:val="22"/>
          <w:lang w:val="hr-HR"/>
        </w:rPr>
        <w:t xml:space="preserve">lijeka </w:t>
      </w:r>
      <w:r w:rsidRPr="00510442">
        <w:rPr>
          <w:color w:val="000000"/>
          <w:lang w:val="hr-HR"/>
        </w:rPr>
        <w:t xml:space="preserve">Glivec od jedne do druge kohorte, pri čemu je kohorta 1 primala najmanji intenzitet, a kohorta 5 najveći intenzitet </w:t>
      </w:r>
      <w:r w:rsidR="00A752CC" w:rsidRPr="00512481">
        <w:rPr>
          <w:szCs w:val="22"/>
          <w:lang w:val="hr-HR"/>
        </w:rPr>
        <w:t xml:space="preserve">lijeka </w:t>
      </w:r>
      <w:r w:rsidRPr="00510442">
        <w:rPr>
          <w:color w:val="000000"/>
          <w:lang w:val="hr-HR"/>
        </w:rPr>
        <w:t xml:space="preserve">Glivec (najdulje trajanje u danima kontinuiranog uzimanja dnevne doze </w:t>
      </w:r>
      <w:r w:rsidR="00A752CC" w:rsidRPr="00512481">
        <w:rPr>
          <w:szCs w:val="22"/>
          <w:lang w:val="hr-HR"/>
        </w:rPr>
        <w:t xml:space="preserve">lijeka </w:t>
      </w:r>
      <w:r w:rsidRPr="00510442">
        <w:rPr>
          <w:color w:val="000000"/>
          <w:lang w:val="hr-HR"/>
        </w:rPr>
        <w:t xml:space="preserve">Glivec tijekom prvih ciklusa kemoterapije). Stalna svakodnevna izloženost </w:t>
      </w:r>
      <w:r w:rsidR="00561038">
        <w:rPr>
          <w:szCs w:val="22"/>
          <w:lang w:val="hr-HR"/>
        </w:rPr>
        <w:t xml:space="preserve">lijeku </w:t>
      </w:r>
      <w:r w:rsidRPr="00510442">
        <w:rPr>
          <w:color w:val="000000"/>
          <w:lang w:val="hr-HR"/>
        </w:rPr>
        <w:t>Glivec u ranoj fazi liječenja u kombinaciji s kemoterapijom dovela je u bolesnika iz kohorte</w:t>
      </w:r>
      <w:r w:rsidR="002C5CC7" w:rsidRPr="00510442">
        <w:rPr>
          <w:color w:val="000000"/>
          <w:lang w:val="hr-HR"/>
        </w:rPr>
        <w:t> </w:t>
      </w:r>
      <w:r w:rsidRPr="00510442">
        <w:rPr>
          <w:color w:val="000000"/>
          <w:lang w:val="hr-HR"/>
        </w:rPr>
        <w:t xml:space="preserve">5 (n=50) do poboljšanja stope 4-godišnjeg preživljavanja bez događaja (EFS) u usporedbi s bolesnicima iz kontrolne kohorte (n=120), koji su primali standardnu kemoterapiju bez </w:t>
      </w:r>
      <w:r w:rsidR="00A752CC" w:rsidRPr="00512481">
        <w:rPr>
          <w:szCs w:val="22"/>
          <w:lang w:val="hr-HR"/>
        </w:rPr>
        <w:t xml:space="preserve">lijeka </w:t>
      </w:r>
      <w:r w:rsidRPr="00510442">
        <w:rPr>
          <w:color w:val="000000"/>
          <w:lang w:val="hr-HR"/>
        </w:rPr>
        <w:t>Glivec (69,6% u odnosu na 31,6%). Procijenjeno 4-godišnje ukupno preživljavanje u bolesnika u kohorti</w:t>
      </w:r>
      <w:r w:rsidR="002C5CC7" w:rsidRPr="00510442">
        <w:rPr>
          <w:color w:val="000000"/>
          <w:lang w:val="hr-HR"/>
        </w:rPr>
        <w:t> </w:t>
      </w:r>
      <w:r w:rsidRPr="00510442">
        <w:rPr>
          <w:color w:val="000000"/>
          <w:lang w:val="hr-HR"/>
        </w:rPr>
        <w:t>5 bilo je 83,6% u usporedbi s 44,8% u kontrolnoj kohorti. Od 50</w:t>
      </w:r>
      <w:r w:rsidR="002C5CC7" w:rsidRPr="00510442">
        <w:rPr>
          <w:color w:val="000000"/>
          <w:lang w:val="hr-HR"/>
        </w:rPr>
        <w:t> </w:t>
      </w:r>
      <w:r w:rsidRPr="00510442">
        <w:rPr>
          <w:color w:val="000000"/>
          <w:lang w:val="hr-HR"/>
        </w:rPr>
        <w:t>bolesnika u kohorti</w:t>
      </w:r>
      <w:r w:rsidR="002C5CC7" w:rsidRPr="00510442">
        <w:rPr>
          <w:lang w:val="hr-HR"/>
        </w:rPr>
        <w:t> </w:t>
      </w:r>
      <w:r w:rsidRPr="00510442">
        <w:rPr>
          <w:color w:val="000000"/>
          <w:lang w:val="hr-HR"/>
        </w:rPr>
        <w:t>5, 20 (40%) ih je primilo transplantirane hematopoetske matične stanice.</w:t>
      </w:r>
    </w:p>
    <w:p w14:paraId="0FF90EE6" w14:textId="77777777" w:rsidR="00015051" w:rsidRPr="00510442" w:rsidRDefault="00015051" w:rsidP="00015051">
      <w:pPr>
        <w:pStyle w:val="EndnoteText"/>
        <w:widowControl w:val="0"/>
        <w:rPr>
          <w:color w:val="000000"/>
          <w:lang w:val="hr-HR"/>
        </w:rPr>
      </w:pPr>
    </w:p>
    <w:p w14:paraId="60BD3A83" w14:textId="77777777" w:rsidR="00015051" w:rsidRPr="00510442" w:rsidRDefault="00015051" w:rsidP="003179A4">
      <w:pPr>
        <w:pStyle w:val="EndnoteText"/>
        <w:keepNext/>
        <w:widowControl w:val="0"/>
        <w:tabs>
          <w:tab w:val="clear" w:pos="567"/>
        </w:tabs>
        <w:ind w:left="1134" w:hanging="1134"/>
        <w:rPr>
          <w:b/>
          <w:color w:val="000000"/>
          <w:lang w:val="hr-HR"/>
        </w:rPr>
      </w:pPr>
      <w:r w:rsidRPr="00510442">
        <w:rPr>
          <w:b/>
          <w:color w:val="000000"/>
          <w:lang w:val="hr-HR"/>
        </w:rPr>
        <w:t>Tabl</w:t>
      </w:r>
      <w:r w:rsidR="004B08BD" w:rsidRPr="00510442">
        <w:rPr>
          <w:b/>
          <w:color w:val="000000"/>
          <w:lang w:val="hr-HR"/>
        </w:rPr>
        <w:t>ica</w:t>
      </w:r>
      <w:r w:rsidRPr="00510442">
        <w:rPr>
          <w:b/>
          <w:color w:val="000000"/>
          <w:lang w:val="hr-HR"/>
        </w:rPr>
        <w:t> </w:t>
      </w:r>
      <w:r w:rsidR="00A43561" w:rsidRPr="00510442">
        <w:rPr>
          <w:b/>
          <w:color w:val="000000"/>
          <w:lang w:val="hr-HR"/>
        </w:rPr>
        <w:t>5</w:t>
      </w:r>
      <w:r w:rsidRPr="00510442">
        <w:rPr>
          <w:b/>
          <w:color w:val="000000"/>
          <w:lang w:val="hr-HR"/>
        </w:rPr>
        <w:tab/>
      </w:r>
      <w:r w:rsidR="004B08BD" w:rsidRPr="00510442">
        <w:rPr>
          <w:b/>
          <w:color w:val="000000"/>
          <w:lang w:val="hr-HR"/>
        </w:rPr>
        <w:t>Režim kemoterapije primijenjen u kombinaciji s imatinibom u ispitivanju I2301</w:t>
      </w:r>
    </w:p>
    <w:p w14:paraId="567A9854" w14:textId="77777777" w:rsidR="00015051" w:rsidRPr="00510442" w:rsidRDefault="00015051" w:rsidP="003179A4">
      <w:pPr>
        <w:pStyle w:val="EndnoteText"/>
        <w:keepNext/>
        <w:widowControl w:val="0"/>
        <w:rPr>
          <w:color w:val="000000"/>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2"/>
        <w:gridCol w:w="6729"/>
      </w:tblGrid>
      <w:tr w:rsidR="00D50F9F" w:rsidRPr="00F410C8" w14:paraId="7DC3DD74" w14:textId="77777777" w:rsidTr="003179A4">
        <w:trPr>
          <w:cantSplit/>
        </w:trPr>
        <w:tc>
          <w:tcPr>
            <w:tcW w:w="2358" w:type="dxa"/>
            <w:shd w:val="clear" w:color="auto" w:fill="auto"/>
          </w:tcPr>
          <w:p w14:paraId="3832C3DB" w14:textId="77777777" w:rsidR="00D50F9F" w:rsidRPr="00510442" w:rsidRDefault="00D50F9F" w:rsidP="00A364C3">
            <w:pPr>
              <w:pStyle w:val="EndnoteText"/>
              <w:widowControl w:val="0"/>
              <w:rPr>
                <w:color w:val="000000"/>
                <w:lang w:val="hr-HR"/>
              </w:rPr>
            </w:pPr>
            <w:r w:rsidRPr="00510442">
              <w:rPr>
                <w:color w:val="000000"/>
                <w:lang w:val="hr-HR"/>
              </w:rPr>
              <w:t>Konsolidacijska terapija 1</w:t>
            </w:r>
          </w:p>
          <w:p w14:paraId="0E906D45" w14:textId="77777777" w:rsidR="00D50F9F" w:rsidRPr="00510442" w:rsidRDefault="00D50F9F" w:rsidP="00860EBC">
            <w:pPr>
              <w:pStyle w:val="EndnoteText"/>
              <w:widowControl w:val="0"/>
              <w:rPr>
                <w:color w:val="000000"/>
                <w:lang w:val="hr-HR"/>
              </w:rPr>
            </w:pPr>
            <w:r w:rsidRPr="00510442">
              <w:rPr>
                <w:color w:val="000000"/>
                <w:lang w:val="hr-HR"/>
              </w:rPr>
              <w:t>(3 tjedna)</w:t>
            </w:r>
          </w:p>
        </w:tc>
        <w:tc>
          <w:tcPr>
            <w:tcW w:w="6929" w:type="dxa"/>
            <w:shd w:val="clear" w:color="auto" w:fill="auto"/>
          </w:tcPr>
          <w:p w14:paraId="55BCB932" w14:textId="77777777" w:rsidR="00D50F9F" w:rsidRPr="00510442" w:rsidRDefault="00D50F9F" w:rsidP="00A364C3">
            <w:pPr>
              <w:pStyle w:val="EndnoteText"/>
              <w:widowControl w:val="0"/>
              <w:rPr>
                <w:color w:val="000000"/>
                <w:lang w:val="hr-HR"/>
              </w:rPr>
            </w:pPr>
            <w:r w:rsidRPr="00510442">
              <w:rPr>
                <w:color w:val="000000"/>
                <w:lang w:val="hr-HR"/>
              </w:rPr>
              <w:t>VP-16 (100 mg/m</w:t>
            </w:r>
            <w:r w:rsidRPr="00510442">
              <w:rPr>
                <w:color w:val="000000"/>
                <w:vertAlign w:val="superscript"/>
                <w:lang w:val="hr-HR"/>
              </w:rPr>
              <w:t>2</w:t>
            </w:r>
            <w:r w:rsidRPr="00510442">
              <w:rPr>
                <w:color w:val="000000"/>
                <w:lang w:val="hr-HR"/>
              </w:rPr>
              <w:t xml:space="preserve">/dan, </w:t>
            </w:r>
            <w:r w:rsidR="00D0208A" w:rsidRPr="00510442">
              <w:rPr>
                <w:color w:val="000000"/>
                <w:lang w:val="hr-HR"/>
              </w:rPr>
              <w:t>i.v.</w:t>
            </w:r>
            <w:r w:rsidRPr="00510442">
              <w:rPr>
                <w:color w:val="000000"/>
                <w:lang w:val="hr-HR"/>
              </w:rPr>
              <w:t>): dani 1</w:t>
            </w:r>
            <w:r w:rsidRPr="00510442">
              <w:rPr>
                <w:color w:val="000000"/>
                <w:lang w:val="hr-HR"/>
              </w:rPr>
              <w:noBreakHyphen/>
              <w:t>5</w:t>
            </w:r>
          </w:p>
          <w:p w14:paraId="441997CB" w14:textId="77777777" w:rsidR="00D50F9F" w:rsidRPr="00510442" w:rsidRDefault="00D50F9F" w:rsidP="00A364C3">
            <w:pPr>
              <w:pStyle w:val="EndnoteText"/>
              <w:widowControl w:val="0"/>
              <w:rPr>
                <w:color w:val="000000"/>
                <w:lang w:val="hr-HR"/>
              </w:rPr>
            </w:pPr>
            <w:r w:rsidRPr="00510442">
              <w:rPr>
                <w:color w:val="000000"/>
                <w:lang w:val="hr-HR"/>
              </w:rPr>
              <w:t>Ifosfamid (1,8 g/m</w:t>
            </w:r>
            <w:r w:rsidRPr="00510442">
              <w:rPr>
                <w:color w:val="000000"/>
                <w:vertAlign w:val="superscript"/>
                <w:lang w:val="hr-HR"/>
              </w:rPr>
              <w:t>2</w:t>
            </w:r>
            <w:r w:rsidRPr="00510442">
              <w:rPr>
                <w:color w:val="000000"/>
                <w:lang w:val="hr-HR"/>
              </w:rPr>
              <w:t xml:space="preserve">/dan, </w:t>
            </w:r>
            <w:r w:rsidR="00D0208A" w:rsidRPr="00510442">
              <w:rPr>
                <w:color w:val="000000"/>
                <w:lang w:val="hr-HR"/>
              </w:rPr>
              <w:t>i.v.</w:t>
            </w:r>
            <w:r w:rsidRPr="00510442">
              <w:rPr>
                <w:color w:val="000000"/>
                <w:lang w:val="hr-HR"/>
              </w:rPr>
              <w:t>): dani 1</w:t>
            </w:r>
            <w:r w:rsidRPr="00510442">
              <w:rPr>
                <w:color w:val="000000"/>
                <w:lang w:val="hr-HR"/>
              </w:rPr>
              <w:noBreakHyphen/>
              <w:t>5</w:t>
            </w:r>
          </w:p>
          <w:p w14:paraId="24E11E6A" w14:textId="77777777" w:rsidR="00D50F9F" w:rsidRPr="00510442" w:rsidRDefault="00D50F9F" w:rsidP="00A364C3">
            <w:pPr>
              <w:pStyle w:val="EndnoteText"/>
              <w:widowControl w:val="0"/>
              <w:rPr>
                <w:color w:val="000000"/>
                <w:lang w:val="hr-HR"/>
              </w:rPr>
            </w:pPr>
            <w:r w:rsidRPr="00510442">
              <w:rPr>
                <w:color w:val="000000"/>
                <w:lang w:val="hr-HR"/>
              </w:rPr>
              <w:t>MESNA (360 mg/m</w:t>
            </w:r>
            <w:r w:rsidRPr="00510442">
              <w:rPr>
                <w:color w:val="000000"/>
                <w:vertAlign w:val="superscript"/>
                <w:lang w:val="hr-HR"/>
              </w:rPr>
              <w:t>2</w:t>
            </w:r>
            <w:r w:rsidRPr="00510442">
              <w:rPr>
                <w:color w:val="000000"/>
                <w:lang w:val="hr-HR"/>
              </w:rPr>
              <w:t xml:space="preserve">/doza svaka 3 sata x 8 doza/dan, </w:t>
            </w:r>
            <w:r w:rsidR="00D0208A" w:rsidRPr="00510442">
              <w:rPr>
                <w:color w:val="000000"/>
                <w:lang w:val="hr-HR"/>
              </w:rPr>
              <w:t>i.v.</w:t>
            </w:r>
            <w:r w:rsidRPr="00510442">
              <w:rPr>
                <w:color w:val="000000"/>
                <w:lang w:val="hr-HR"/>
              </w:rPr>
              <w:t>): dani 1</w:t>
            </w:r>
            <w:r w:rsidRPr="00510442">
              <w:rPr>
                <w:color w:val="000000"/>
                <w:lang w:val="hr-HR"/>
              </w:rPr>
              <w:noBreakHyphen/>
              <w:t>5</w:t>
            </w:r>
          </w:p>
          <w:p w14:paraId="6B588FEA" w14:textId="77777777" w:rsidR="00D50F9F" w:rsidRPr="00510442" w:rsidRDefault="00D50F9F" w:rsidP="00A364C3">
            <w:pPr>
              <w:pStyle w:val="EndnoteText"/>
              <w:widowControl w:val="0"/>
              <w:rPr>
                <w:color w:val="000000"/>
                <w:lang w:val="hr-HR"/>
              </w:rPr>
            </w:pPr>
            <w:r w:rsidRPr="00510442">
              <w:rPr>
                <w:color w:val="000000"/>
                <w:lang w:val="hr-HR"/>
              </w:rPr>
              <w:t xml:space="preserve">G-CSF (5 μg/kg, </w:t>
            </w:r>
            <w:r w:rsidR="00D0208A" w:rsidRPr="00510442">
              <w:rPr>
                <w:color w:val="000000"/>
                <w:lang w:val="hr-HR"/>
              </w:rPr>
              <w:t>s.c.</w:t>
            </w:r>
            <w:r w:rsidRPr="00510442">
              <w:rPr>
                <w:color w:val="000000"/>
                <w:lang w:val="hr-HR"/>
              </w:rPr>
              <w:t>): dani 6</w:t>
            </w:r>
            <w:r w:rsidRPr="00510442">
              <w:rPr>
                <w:color w:val="000000"/>
                <w:lang w:val="hr-HR"/>
              </w:rPr>
              <w:noBreakHyphen/>
              <w:t xml:space="preserve">15 ili do </w:t>
            </w:r>
            <w:r w:rsidR="00E145E9" w:rsidRPr="00510442">
              <w:rPr>
                <w:color w:val="000000"/>
                <w:lang w:val="hr-HR"/>
              </w:rPr>
              <w:t xml:space="preserve">porasta </w:t>
            </w:r>
            <w:r w:rsidRPr="00510442">
              <w:rPr>
                <w:color w:val="000000"/>
                <w:lang w:val="hr-HR"/>
              </w:rPr>
              <w:t xml:space="preserve">ANC &gt;1500 </w:t>
            </w:r>
            <w:r w:rsidR="00E145E9" w:rsidRPr="00510442">
              <w:rPr>
                <w:color w:val="000000"/>
                <w:lang w:val="hr-HR"/>
              </w:rPr>
              <w:t>nakon najniže izmjerene vrijednosti</w:t>
            </w:r>
          </w:p>
          <w:p w14:paraId="3F95E1D2" w14:textId="77777777" w:rsidR="00D50F9F" w:rsidRPr="00510442" w:rsidRDefault="00D0208A" w:rsidP="00A364C3">
            <w:pPr>
              <w:pStyle w:val="EndnoteText"/>
              <w:widowControl w:val="0"/>
              <w:rPr>
                <w:color w:val="000000"/>
                <w:lang w:val="hr-HR"/>
              </w:rPr>
            </w:pPr>
            <w:r w:rsidRPr="00510442">
              <w:rPr>
                <w:color w:val="000000"/>
                <w:lang w:val="hr-HR"/>
              </w:rPr>
              <w:t>i.t.</w:t>
            </w:r>
            <w:r w:rsidR="00D50F9F" w:rsidRPr="00510442">
              <w:rPr>
                <w:color w:val="000000"/>
                <w:lang w:val="hr-HR"/>
              </w:rPr>
              <w:t xml:space="preserve"> metotreksat (prilagođeno dobi): SAMO dan 1</w:t>
            </w:r>
          </w:p>
          <w:p w14:paraId="7404F8A6" w14:textId="77777777" w:rsidR="00D50F9F" w:rsidRPr="00510442" w:rsidRDefault="00D50F9F" w:rsidP="00D0208A">
            <w:pPr>
              <w:pStyle w:val="EndnoteText"/>
              <w:widowControl w:val="0"/>
              <w:rPr>
                <w:color w:val="000000"/>
                <w:lang w:val="hr-HR"/>
              </w:rPr>
            </w:pPr>
            <w:r w:rsidRPr="00510442">
              <w:rPr>
                <w:color w:val="000000"/>
                <w:lang w:val="hr-HR"/>
              </w:rPr>
              <w:t xml:space="preserve">Trostruka </w:t>
            </w:r>
            <w:r w:rsidR="00D0208A" w:rsidRPr="00510442">
              <w:rPr>
                <w:color w:val="000000"/>
                <w:lang w:val="hr-HR"/>
              </w:rPr>
              <w:t>i.t.</w:t>
            </w:r>
            <w:r w:rsidRPr="00510442">
              <w:rPr>
                <w:color w:val="000000"/>
                <w:lang w:val="hr-HR"/>
              </w:rPr>
              <w:t xml:space="preserve"> terapija (prilagođena dobi): dan 8, 15</w:t>
            </w:r>
          </w:p>
        </w:tc>
      </w:tr>
      <w:tr w:rsidR="00D50F9F" w:rsidRPr="00F410C8" w14:paraId="395DCB2B" w14:textId="77777777" w:rsidTr="003179A4">
        <w:trPr>
          <w:cantSplit/>
        </w:trPr>
        <w:tc>
          <w:tcPr>
            <w:tcW w:w="2358" w:type="dxa"/>
            <w:shd w:val="clear" w:color="auto" w:fill="auto"/>
          </w:tcPr>
          <w:p w14:paraId="5E13B3BC" w14:textId="77777777" w:rsidR="00D50F9F" w:rsidRPr="00510442" w:rsidRDefault="00D50F9F" w:rsidP="00A364C3">
            <w:pPr>
              <w:pStyle w:val="EndnoteText"/>
              <w:widowControl w:val="0"/>
              <w:rPr>
                <w:color w:val="000000"/>
                <w:lang w:val="hr-HR"/>
              </w:rPr>
            </w:pPr>
            <w:r w:rsidRPr="00510442">
              <w:rPr>
                <w:color w:val="000000"/>
                <w:lang w:val="hr-HR"/>
              </w:rPr>
              <w:t>Konsolidacijska terapija 2</w:t>
            </w:r>
          </w:p>
          <w:p w14:paraId="34E3123B" w14:textId="77777777" w:rsidR="00D50F9F" w:rsidRPr="00510442" w:rsidRDefault="00D50F9F" w:rsidP="00860EBC">
            <w:pPr>
              <w:pStyle w:val="EndnoteText"/>
              <w:widowControl w:val="0"/>
              <w:rPr>
                <w:color w:val="000000"/>
                <w:lang w:val="hr-HR"/>
              </w:rPr>
            </w:pPr>
            <w:r w:rsidRPr="00510442">
              <w:rPr>
                <w:color w:val="000000"/>
                <w:lang w:val="hr-HR"/>
              </w:rPr>
              <w:t>(3 tjedna)</w:t>
            </w:r>
          </w:p>
        </w:tc>
        <w:tc>
          <w:tcPr>
            <w:tcW w:w="6929" w:type="dxa"/>
            <w:shd w:val="clear" w:color="auto" w:fill="auto"/>
          </w:tcPr>
          <w:p w14:paraId="063F4099" w14:textId="77777777" w:rsidR="00D50F9F" w:rsidRPr="00510442" w:rsidRDefault="00D50F9F" w:rsidP="00A364C3">
            <w:pPr>
              <w:pStyle w:val="EndnoteText"/>
              <w:widowControl w:val="0"/>
              <w:rPr>
                <w:color w:val="000000"/>
                <w:lang w:val="hr-HR"/>
              </w:rPr>
            </w:pPr>
            <w:r w:rsidRPr="00510442">
              <w:rPr>
                <w:color w:val="000000"/>
                <w:lang w:val="hr-HR"/>
              </w:rPr>
              <w:t>Metotreksat (5 g/m</w:t>
            </w:r>
            <w:r w:rsidRPr="00510442">
              <w:rPr>
                <w:color w:val="000000"/>
                <w:vertAlign w:val="superscript"/>
                <w:lang w:val="hr-HR"/>
              </w:rPr>
              <w:t>2</w:t>
            </w:r>
            <w:r w:rsidRPr="00510442">
              <w:rPr>
                <w:color w:val="000000"/>
                <w:lang w:val="hr-HR"/>
              </w:rPr>
              <w:t xml:space="preserve"> kroz 24 sata, </w:t>
            </w:r>
            <w:r w:rsidR="00D0208A" w:rsidRPr="00510442">
              <w:rPr>
                <w:color w:val="000000"/>
                <w:lang w:val="hr-HR"/>
              </w:rPr>
              <w:t>i.v.</w:t>
            </w:r>
            <w:r w:rsidRPr="00510442">
              <w:rPr>
                <w:color w:val="000000"/>
                <w:lang w:val="hr-HR"/>
              </w:rPr>
              <w:t>): dan 1</w:t>
            </w:r>
          </w:p>
          <w:p w14:paraId="439DD4EB" w14:textId="77777777" w:rsidR="00D50F9F" w:rsidRPr="00510442" w:rsidRDefault="00D50F9F" w:rsidP="00A364C3">
            <w:pPr>
              <w:pStyle w:val="EndnoteText"/>
              <w:widowControl w:val="0"/>
              <w:rPr>
                <w:color w:val="000000"/>
                <w:lang w:val="hr-HR"/>
              </w:rPr>
            </w:pPr>
            <w:r w:rsidRPr="00510442">
              <w:rPr>
                <w:color w:val="000000"/>
                <w:lang w:val="hr-HR"/>
              </w:rPr>
              <w:t>Leucovorin (75 mg/m</w:t>
            </w:r>
            <w:r w:rsidRPr="00510442">
              <w:rPr>
                <w:color w:val="000000"/>
                <w:vertAlign w:val="superscript"/>
                <w:lang w:val="hr-HR"/>
              </w:rPr>
              <w:t>2</w:t>
            </w:r>
            <w:r w:rsidRPr="00510442">
              <w:rPr>
                <w:color w:val="000000"/>
                <w:lang w:val="hr-HR"/>
              </w:rPr>
              <w:t xml:space="preserve"> u 36.</w:t>
            </w:r>
            <w:r w:rsidR="002C5CC7" w:rsidRPr="00510442">
              <w:rPr>
                <w:color w:val="000000"/>
                <w:lang w:val="hr-HR"/>
              </w:rPr>
              <w:t> </w:t>
            </w:r>
            <w:r w:rsidRPr="00510442">
              <w:rPr>
                <w:color w:val="000000"/>
                <w:lang w:val="hr-HR"/>
              </w:rPr>
              <w:t xml:space="preserve">satu, </w:t>
            </w:r>
            <w:r w:rsidR="00D0208A" w:rsidRPr="00510442">
              <w:rPr>
                <w:color w:val="000000"/>
                <w:lang w:val="hr-HR"/>
              </w:rPr>
              <w:t>i.v.</w:t>
            </w:r>
            <w:r w:rsidRPr="00510442">
              <w:rPr>
                <w:color w:val="000000"/>
                <w:lang w:val="hr-HR"/>
              </w:rPr>
              <w:t>; 15 mg/m</w:t>
            </w:r>
            <w:r w:rsidRPr="00510442">
              <w:rPr>
                <w:color w:val="000000"/>
                <w:vertAlign w:val="superscript"/>
                <w:lang w:val="hr-HR"/>
              </w:rPr>
              <w:t>2</w:t>
            </w:r>
            <w:r w:rsidRPr="00510442">
              <w:rPr>
                <w:color w:val="000000"/>
                <w:lang w:val="hr-HR"/>
              </w:rPr>
              <w:t xml:space="preserve"> </w:t>
            </w:r>
            <w:r w:rsidR="00D0208A" w:rsidRPr="00510442">
              <w:rPr>
                <w:color w:val="000000"/>
                <w:lang w:val="hr-HR"/>
              </w:rPr>
              <w:t>i.v.</w:t>
            </w:r>
            <w:r w:rsidRPr="00510442">
              <w:rPr>
                <w:color w:val="000000"/>
                <w:lang w:val="hr-HR"/>
              </w:rPr>
              <w:t xml:space="preserve"> ili </w:t>
            </w:r>
            <w:r w:rsidR="00D0208A" w:rsidRPr="00510442">
              <w:rPr>
                <w:color w:val="000000"/>
                <w:lang w:val="hr-HR"/>
              </w:rPr>
              <w:t>p.o.</w:t>
            </w:r>
            <w:r w:rsidRPr="00510442">
              <w:rPr>
                <w:color w:val="000000"/>
                <w:lang w:val="hr-HR"/>
              </w:rPr>
              <w:t xml:space="preserve"> svakih 6</w:t>
            </w:r>
            <w:r w:rsidR="002C5CC7" w:rsidRPr="00510442">
              <w:rPr>
                <w:color w:val="000000"/>
                <w:lang w:val="hr-HR"/>
              </w:rPr>
              <w:t> </w:t>
            </w:r>
            <w:r w:rsidRPr="00510442">
              <w:rPr>
                <w:color w:val="000000"/>
                <w:lang w:val="hr-HR"/>
              </w:rPr>
              <w:t>sati x 6 doza)iii: Dani 2 i 3</w:t>
            </w:r>
          </w:p>
          <w:p w14:paraId="18FE2313" w14:textId="77777777" w:rsidR="00D50F9F" w:rsidRPr="00510442" w:rsidRDefault="00D50F9F" w:rsidP="00A364C3">
            <w:pPr>
              <w:pStyle w:val="EndnoteText"/>
              <w:widowControl w:val="0"/>
              <w:rPr>
                <w:color w:val="000000"/>
                <w:lang w:val="hr-HR"/>
              </w:rPr>
            </w:pPr>
            <w:r w:rsidRPr="00510442">
              <w:rPr>
                <w:color w:val="000000"/>
                <w:lang w:val="hr-HR"/>
              </w:rPr>
              <w:t xml:space="preserve">Trostruka </w:t>
            </w:r>
            <w:r w:rsidR="00D0208A" w:rsidRPr="00510442">
              <w:rPr>
                <w:color w:val="000000"/>
                <w:lang w:val="hr-HR"/>
              </w:rPr>
              <w:t>i.t.</w:t>
            </w:r>
            <w:r w:rsidRPr="00510442">
              <w:rPr>
                <w:color w:val="000000"/>
                <w:lang w:val="hr-HR"/>
              </w:rPr>
              <w:t xml:space="preserve"> terapija (prilagođena dobi): dan 1</w:t>
            </w:r>
          </w:p>
          <w:p w14:paraId="6894525D" w14:textId="77777777" w:rsidR="00D50F9F" w:rsidRPr="00510442" w:rsidRDefault="00D50F9F" w:rsidP="00A364C3">
            <w:pPr>
              <w:pStyle w:val="EndnoteText"/>
              <w:widowControl w:val="0"/>
              <w:rPr>
                <w:color w:val="000000"/>
                <w:lang w:val="hr-HR"/>
              </w:rPr>
            </w:pPr>
            <w:r w:rsidRPr="00510442">
              <w:rPr>
                <w:color w:val="000000"/>
                <w:lang w:val="hr-HR"/>
              </w:rPr>
              <w:t>ARA-C (3 g/m</w:t>
            </w:r>
            <w:r w:rsidRPr="00510442">
              <w:rPr>
                <w:color w:val="000000"/>
                <w:vertAlign w:val="superscript"/>
                <w:lang w:val="hr-HR"/>
              </w:rPr>
              <w:t>2</w:t>
            </w:r>
            <w:r w:rsidRPr="00510442">
              <w:rPr>
                <w:color w:val="000000"/>
                <w:lang w:val="hr-HR"/>
              </w:rPr>
              <w:t xml:space="preserve">/doza svakih 12 sati x 4, </w:t>
            </w:r>
            <w:r w:rsidR="00D0208A" w:rsidRPr="00510442">
              <w:rPr>
                <w:color w:val="000000"/>
                <w:lang w:val="hr-HR"/>
              </w:rPr>
              <w:t>i.v.</w:t>
            </w:r>
            <w:r w:rsidRPr="00510442">
              <w:rPr>
                <w:color w:val="000000"/>
                <w:lang w:val="hr-HR"/>
              </w:rPr>
              <w:t>): dani 2 i 3</w:t>
            </w:r>
          </w:p>
          <w:p w14:paraId="1D28980C" w14:textId="77777777" w:rsidR="00D50F9F" w:rsidRPr="00510442" w:rsidRDefault="00D50F9F" w:rsidP="00D0208A">
            <w:pPr>
              <w:pStyle w:val="EndnoteText"/>
              <w:widowControl w:val="0"/>
              <w:rPr>
                <w:color w:val="000000"/>
                <w:lang w:val="hr-HR"/>
              </w:rPr>
            </w:pPr>
            <w:r w:rsidRPr="00510442">
              <w:rPr>
                <w:color w:val="000000"/>
                <w:lang w:val="hr-HR"/>
              </w:rPr>
              <w:t xml:space="preserve">G-CSF (5 μg/kg, </w:t>
            </w:r>
            <w:r w:rsidR="00D0208A" w:rsidRPr="00510442">
              <w:rPr>
                <w:color w:val="000000"/>
                <w:lang w:val="hr-HR"/>
              </w:rPr>
              <w:t>s.c.</w:t>
            </w:r>
            <w:r w:rsidRPr="00510442">
              <w:rPr>
                <w:color w:val="000000"/>
                <w:lang w:val="hr-HR"/>
              </w:rPr>
              <w:t xml:space="preserve">): dani 4-13 ili do </w:t>
            </w:r>
            <w:r w:rsidR="00E145E9" w:rsidRPr="00510442">
              <w:rPr>
                <w:color w:val="000000"/>
                <w:lang w:val="hr-HR"/>
              </w:rPr>
              <w:t>porasta ANC &gt;1500 nakon najniže izmjerene vrijednosti</w:t>
            </w:r>
          </w:p>
        </w:tc>
      </w:tr>
      <w:tr w:rsidR="00D50F9F" w:rsidRPr="00510442" w14:paraId="7E1B537B" w14:textId="77777777" w:rsidTr="003179A4">
        <w:trPr>
          <w:cantSplit/>
        </w:trPr>
        <w:tc>
          <w:tcPr>
            <w:tcW w:w="2358" w:type="dxa"/>
            <w:shd w:val="clear" w:color="auto" w:fill="auto"/>
          </w:tcPr>
          <w:p w14:paraId="5E47FD0C" w14:textId="77777777" w:rsidR="00D50F9F" w:rsidRPr="00510442" w:rsidRDefault="00D50F9F" w:rsidP="00A364C3">
            <w:pPr>
              <w:pStyle w:val="EndnoteText"/>
              <w:widowControl w:val="0"/>
              <w:rPr>
                <w:color w:val="000000"/>
                <w:lang w:val="hr-HR"/>
              </w:rPr>
            </w:pPr>
            <w:r w:rsidRPr="00510442">
              <w:rPr>
                <w:color w:val="000000"/>
                <w:lang w:val="hr-HR"/>
              </w:rPr>
              <w:t>Reindukcijska terapija</w:t>
            </w:r>
            <w:r w:rsidR="002C5CC7" w:rsidRPr="00510442">
              <w:rPr>
                <w:color w:val="000000"/>
                <w:lang w:val="hr-HR"/>
              </w:rPr>
              <w:t> </w:t>
            </w:r>
            <w:r w:rsidRPr="00510442">
              <w:rPr>
                <w:color w:val="000000"/>
                <w:lang w:val="hr-HR"/>
              </w:rPr>
              <w:t>1</w:t>
            </w:r>
          </w:p>
          <w:p w14:paraId="0AC399B1" w14:textId="77777777" w:rsidR="00D50F9F" w:rsidRPr="00510442" w:rsidRDefault="00D50F9F" w:rsidP="00860EBC">
            <w:pPr>
              <w:pStyle w:val="EndnoteText"/>
              <w:widowControl w:val="0"/>
              <w:rPr>
                <w:color w:val="000000"/>
                <w:lang w:val="hr-HR"/>
              </w:rPr>
            </w:pPr>
            <w:r w:rsidRPr="00510442">
              <w:rPr>
                <w:color w:val="000000"/>
                <w:lang w:val="hr-HR"/>
              </w:rPr>
              <w:t>(3 tjedan)</w:t>
            </w:r>
          </w:p>
        </w:tc>
        <w:tc>
          <w:tcPr>
            <w:tcW w:w="6929" w:type="dxa"/>
            <w:shd w:val="clear" w:color="auto" w:fill="auto"/>
          </w:tcPr>
          <w:p w14:paraId="0CEBD719" w14:textId="77777777" w:rsidR="00D50F9F" w:rsidRPr="00510442" w:rsidRDefault="00D50F9F" w:rsidP="00A364C3">
            <w:pPr>
              <w:pStyle w:val="EndnoteText"/>
              <w:widowControl w:val="0"/>
              <w:rPr>
                <w:color w:val="000000"/>
                <w:lang w:val="hr-HR"/>
              </w:rPr>
            </w:pPr>
            <w:r w:rsidRPr="00510442">
              <w:rPr>
                <w:color w:val="000000"/>
                <w:lang w:val="hr-HR"/>
              </w:rPr>
              <w:t>VCR (1,5 mg/m</w:t>
            </w:r>
            <w:r w:rsidRPr="00510442">
              <w:rPr>
                <w:color w:val="000000"/>
                <w:vertAlign w:val="superscript"/>
                <w:lang w:val="hr-HR"/>
              </w:rPr>
              <w:t>2</w:t>
            </w:r>
            <w:r w:rsidRPr="00510442">
              <w:rPr>
                <w:color w:val="000000"/>
                <w:lang w:val="hr-HR"/>
              </w:rPr>
              <w:t xml:space="preserve">/dan, </w:t>
            </w:r>
            <w:r w:rsidR="00D0208A" w:rsidRPr="00510442">
              <w:rPr>
                <w:color w:val="000000"/>
                <w:lang w:val="hr-HR"/>
              </w:rPr>
              <w:t>i.v.</w:t>
            </w:r>
            <w:r w:rsidRPr="00510442">
              <w:rPr>
                <w:color w:val="000000"/>
                <w:lang w:val="hr-HR"/>
              </w:rPr>
              <w:t>): dani 1, 8, i 15</w:t>
            </w:r>
          </w:p>
          <w:p w14:paraId="4EA78B9C" w14:textId="77777777" w:rsidR="00D50F9F" w:rsidRPr="00510442" w:rsidRDefault="00D50F9F" w:rsidP="00A364C3">
            <w:pPr>
              <w:pStyle w:val="EndnoteText"/>
              <w:widowControl w:val="0"/>
              <w:rPr>
                <w:color w:val="000000"/>
                <w:lang w:val="hr-HR"/>
              </w:rPr>
            </w:pPr>
            <w:r w:rsidRPr="00510442">
              <w:rPr>
                <w:color w:val="000000"/>
                <w:lang w:val="hr-HR"/>
              </w:rPr>
              <w:t>DAUN (45 mg/m</w:t>
            </w:r>
            <w:r w:rsidRPr="00510442">
              <w:rPr>
                <w:color w:val="000000"/>
                <w:vertAlign w:val="superscript"/>
                <w:lang w:val="hr-HR"/>
              </w:rPr>
              <w:t>2</w:t>
            </w:r>
            <w:r w:rsidRPr="00510442">
              <w:rPr>
                <w:color w:val="000000"/>
                <w:lang w:val="hr-HR"/>
              </w:rPr>
              <w:t xml:space="preserve">/dan bolus, </w:t>
            </w:r>
            <w:r w:rsidR="00D0208A" w:rsidRPr="00510442">
              <w:rPr>
                <w:color w:val="000000"/>
                <w:lang w:val="hr-HR"/>
              </w:rPr>
              <w:t>i.v.</w:t>
            </w:r>
            <w:r w:rsidRPr="00510442">
              <w:rPr>
                <w:color w:val="000000"/>
                <w:lang w:val="hr-HR"/>
              </w:rPr>
              <w:t>): dani 1 i 2</w:t>
            </w:r>
          </w:p>
          <w:p w14:paraId="0CA3BBFD" w14:textId="77777777" w:rsidR="00D50F9F" w:rsidRPr="00510442" w:rsidRDefault="00D50F9F" w:rsidP="00A364C3">
            <w:pPr>
              <w:pStyle w:val="EndnoteText"/>
              <w:widowControl w:val="0"/>
              <w:rPr>
                <w:color w:val="000000"/>
                <w:lang w:val="hr-HR"/>
              </w:rPr>
            </w:pPr>
            <w:r w:rsidRPr="00510442">
              <w:rPr>
                <w:color w:val="000000"/>
                <w:lang w:val="hr-HR"/>
              </w:rPr>
              <w:t>CPM (250 mg/m</w:t>
            </w:r>
            <w:r w:rsidRPr="00510442">
              <w:rPr>
                <w:color w:val="000000"/>
                <w:vertAlign w:val="superscript"/>
                <w:lang w:val="hr-HR"/>
              </w:rPr>
              <w:t>2</w:t>
            </w:r>
            <w:r w:rsidRPr="00510442">
              <w:rPr>
                <w:color w:val="000000"/>
                <w:lang w:val="hr-HR"/>
              </w:rPr>
              <w:t xml:space="preserve">/doza svakih 12 sati x 4 doze, </w:t>
            </w:r>
            <w:r w:rsidR="00D0208A" w:rsidRPr="00510442">
              <w:rPr>
                <w:color w:val="000000"/>
                <w:lang w:val="hr-HR"/>
              </w:rPr>
              <w:t>i.v.</w:t>
            </w:r>
            <w:r w:rsidRPr="00510442">
              <w:rPr>
                <w:color w:val="000000"/>
                <w:lang w:val="hr-HR"/>
              </w:rPr>
              <w:t>): dani 3 i 4</w:t>
            </w:r>
          </w:p>
          <w:p w14:paraId="006F8400" w14:textId="77777777" w:rsidR="00D50F9F" w:rsidRPr="00510442" w:rsidRDefault="00D50F9F" w:rsidP="00A364C3">
            <w:pPr>
              <w:pStyle w:val="EndnoteText"/>
              <w:widowControl w:val="0"/>
              <w:rPr>
                <w:color w:val="000000"/>
                <w:lang w:val="hr-HR"/>
              </w:rPr>
            </w:pPr>
            <w:r w:rsidRPr="00510442">
              <w:rPr>
                <w:color w:val="000000"/>
                <w:lang w:val="hr-HR"/>
              </w:rPr>
              <w:t>PEG-ASP (2500 IU/m</w:t>
            </w:r>
            <w:r w:rsidRPr="00510442">
              <w:rPr>
                <w:color w:val="000000"/>
                <w:vertAlign w:val="superscript"/>
                <w:lang w:val="hr-HR"/>
              </w:rPr>
              <w:t>2</w:t>
            </w:r>
            <w:r w:rsidRPr="00510442">
              <w:rPr>
                <w:color w:val="000000"/>
                <w:lang w:val="hr-HR"/>
              </w:rPr>
              <w:t xml:space="preserve">, </w:t>
            </w:r>
            <w:r w:rsidR="00D0208A" w:rsidRPr="00510442">
              <w:rPr>
                <w:color w:val="000000"/>
                <w:lang w:val="hr-HR"/>
              </w:rPr>
              <w:t>i.m.</w:t>
            </w:r>
            <w:r w:rsidRPr="00510442">
              <w:rPr>
                <w:color w:val="000000"/>
                <w:lang w:val="hr-HR"/>
              </w:rPr>
              <w:t>): dan 4</w:t>
            </w:r>
          </w:p>
          <w:p w14:paraId="5127921F" w14:textId="77777777" w:rsidR="00D50F9F" w:rsidRPr="00510442" w:rsidRDefault="00D50F9F" w:rsidP="00A364C3">
            <w:pPr>
              <w:pStyle w:val="EndnoteText"/>
              <w:widowControl w:val="0"/>
              <w:rPr>
                <w:color w:val="000000"/>
                <w:lang w:val="hr-HR"/>
              </w:rPr>
            </w:pPr>
            <w:r w:rsidRPr="00510442">
              <w:rPr>
                <w:color w:val="000000"/>
                <w:lang w:val="hr-HR"/>
              </w:rPr>
              <w:t xml:space="preserve">G-CSF (5 μg/kg, </w:t>
            </w:r>
            <w:r w:rsidR="00D0208A" w:rsidRPr="00510442">
              <w:rPr>
                <w:color w:val="000000"/>
                <w:lang w:val="hr-HR"/>
              </w:rPr>
              <w:t>s.c.</w:t>
            </w:r>
            <w:r w:rsidRPr="00510442">
              <w:rPr>
                <w:color w:val="000000"/>
                <w:lang w:val="hr-HR"/>
              </w:rPr>
              <w:t>): dani 5</w:t>
            </w:r>
            <w:r w:rsidRPr="00510442">
              <w:rPr>
                <w:color w:val="000000"/>
                <w:lang w:val="hr-HR"/>
              </w:rPr>
              <w:noBreakHyphen/>
              <w:t xml:space="preserve">14 ili do </w:t>
            </w:r>
            <w:r w:rsidR="00E145E9" w:rsidRPr="00510442">
              <w:rPr>
                <w:color w:val="000000"/>
                <w:lang w:val="hr-HR"/>
              </w:rPr>
              <w:t>porasta ANC &gt;1500 nakon najniže izmjerene vrijednosti</w:t>
            </w:r>
          </w:p>
          <w:p w14:paraId="761D89D9" w14:textId="77777777" w:rsidR="00D50F9F" w:rsidRPr="00510442" w:rsidRDefault="00D50F9F" w:rsidP="00A364C3">
            <w:pPr>
              <w:pStyle w:val="EndnoteText"/>
              <w:widowControl w:val="0"/>
              <w:rPr>
                <w:color w:val="000000"/>
                <w:lang w:val="hr-HR"/>
              </w:rPr>
            </w:pPr>
            <w:r w:rsidRPr="00510442">
              <w:rPr>
                <w:color w:val="000000"/>
                <w:lang w:val="hr-HR"/>
              </w:rPr>
              <w:t xml:space="preserve">Trostruka </w:t>
            </w:r>
            <w:r w:rsidR="00D0208A" w:rsidRPr="00510442">
              <w:rPr>
                <w:color w:val="000000"/>
                <w:lang w:val="hr-HR"/>
              </w:rPr>
              <w:t>i.t.</w:t>
            </w:r>
            <w:r w:rsidRPr="00510442">
              <w:rPr>
                <w:color w:val="000000"/>
                <w:lang w:val="hr-HR"/>
              </w:rPr>
              <w:t xml:space="preserve"> terapija (prilagođena dobi): dani 1 i 15</w:t>
            </w:r>
          </w:p>
          <w:p w14:paraId="663E4649" w14:textId="77777777" w:rsidR="00D50F9F" w:rsidRPr="00510442" w:rsidRDefault="00D50F9F" w:rsidP="00D0208A">
            <w:pPr>
              <w:pStyle w:val="EndnoteText"/>
              <w:widowControl w:val="0"/>
              <w:rPr>
                <w:color w:val="000000"/>
                <w:lang w:val="hr-HR"/>
              </w:rPr>
            </w:pPr>
            <w:r w:rsidRPr="00510442">
              <w:rPr>
                <w:color w:val="000000"/>
                <w:lang w:val="hr-HR"/>
              </w:rPr>
              <w:t>DEX (6 mg/m</w:t>
            </w:r>
            <w:r w:rsidRPr="00510442">
              <w:rPr>
                <w:color w:val="000000"/>
                <w:vertAlign w:val="superscript"/>
                <w:lang w:val="hr-HR"/>
              </w:rPr>
              <w:t>2</w:t>
            </w:r>
            <w:r w:rsidRPr="00510442">
              <w:rPr>
                <w:color w:val="000000"/>
                <w:lang w:val="hr-HR"/>
              </w:rPr>
              <w:t xml:space="preserve">/dan, </w:t>
            </w:r>
            <w:r w:rsidR="00D0208A" w:rsidRPr="00510442">
              <w:rPr>
                <w:color w:val="000000"/>
                <w:lang w:val="hr-HR"/>
              </w:rPr>
              <w:t>p.o.</w:t>
            </w:r>
            <w:r w:rsidRPr="00510442">
              <w:rPr>
                <w:color w:val="000000"/>
                <w:lang w:val="hr-HR"/>
              </w:rPr>
              <w:t>): dani 1</w:t>
            </w:r>
            <w:r w:rsidRPr="00510442">
              <w:rPr>
                <w:color w:val="000000"/>
                <w:lang w:val="hr-HR"/>
              </w:rPr>
              <w:noBreakHyphen/>
              <w:t>7 i 15</w:t>
            </w:r>
            <w:r w:rsidRPr="00510442">
              <w:rPr>
                <w:color w:val="000000"/>
                <w:lang w:val="hr-HR"/>
              </w:rPr>
              <w:noBreakHyphen/>
              <w:t>21</w:t>
            </w:r>
          </w:p>
        </w:tc>
      </w:tr>
      <w:tr w:rsidR="00D50F9F" w:rsidRPr="00F410C8" w14:paraId="4A54E6FF" w14:textId="77777777" w:rsidTr="003179A4">
        <w:trPr>
          <w:cantSplit/>
        </w:trPr>
        <w:tc>
          <w:tcPr>
            <w:tcW w:w="2358" w:type="dxa"/>
            <w:shd w:val="clear" w:color="auto" w:fill="auto"/>
          </w:tcPr>
          <w:p w14:paraId="795E8446" w14:textId="77777777" w:rsidR="00D50F9F" w:rsidRPr="00510442" w:rsidRDefault="00D50F9F" w:rsidP="00A364C3">
            <w:pPr>
              <w:pStyle w:val="EndnoteText"/>
              <w:widowControl w:val="0"/>
              <w:rPr>
                <w:color w:val="000000"/>
                <w:lang w:val="hr-HR"/>
              </w:rPr>
            </w:pPr>
            <w:r w:rsidRPr="00510442">
              <w:rPr>
                <w:color w:val="000000"/>
                <w:lang w:val="hr-HR"/>
              </w:rPr>
              <w:lastRenderedPageBreak/>
              <w:t>Intenzifikacijska terapija</w:t>
            </w:r>
            <w:r w:rsidR="002C5CC7" w:rsidRPr="00510442">
              <w:rPr>
                <w:color w:val="000000"/>
                <w:lang w:val="hr-HR"/>
              </w:rPr>
              <w:t> </w:t>
            </w:r>
            <w:r w:rsidRPr="00510442">
              <w:rPr>
                <w:color w:val="000000"/>
                <w:lang w:val="hr-HR"/>
              </w:rPr>
              <w:t>1</w:t>
            </w:r>
          </w:p>
          <w:p w14:paraId="3A057587" w14:textId="77777777" w:rsidR="00D50F9F" w:rsidRPr="00510442" w:rsidRDefault="00D50F9F" w:rsidP="00860EBC">
            <w:pPr>
              <w:pStyle w:val="EndnoteText"/>
              <w:widowControl w:val="0"/>
              <w:rPr>
                <w:color w:val="000000"/>
                <w:lang w:val="hr-HR"/>
              </w:rPr>
            </w:pPr>
            <w:r w:rsidRPr="00510442">
              <w:rPr>
                <w:color w:val="000000"/>
                <w:lang w:val="hr-HR"/>
              </w:rPr>
              <w:t>(9 tjedana)</w:t>
            </w:r>
          </w:p>
        </w:tc>
        <w:tc>
          <w:tcPr>
            <w:tcW w:w="6929" w:type="dxa"/>
            <w:shd w:val="clear" w:color="auto" w:fill="auto"/>
          </w:tcPr>
          <w:p w14:paraId="7E7A9EDF" w14:textId="77777777" w:rsidR="00D50F9F" w:rsidRPr="00510442" w:rsidRDefault="00D50F9F" w:rsidP="00A364C3">
            <w:pPr>
              <w:pStyle w:val="EndnoteText"/>
              <w:widowControl w:val="0"/>
              <w:rPr>
                <w:color w:val="000000"/>
                <w:lang w:val="hr-HR"/>
              </w:rPr>
            </w:pPr>
            <w:r w:rsidRPr="00510442">
              <w:rPr>
                <w:color w:val="000000"/>
                <w:lang w:val="hr-HR"/>
              </w:rPr>
              <w:t>Metotreksat (5 g/m</w:t>
            </w:r>
            <w:r w:rsidRPr="00510442">
              <w:rPr>
                <w:color w:val="000000"/>
                <w:vertAlign w:val="superscript"/>
                <w:lang w:val="hr-HR"/>
              </w:rPr>
              <w:t>2</w:t>
            </w:r>
            <w:r w:rsidRPr="00510442">
              <w:rPr>
                <w:color w:val="000000"/>
                <w:lang w:val="hr-HR"/>
              </w:rPr>
              <w:t xml:space="preserve"> kroz 24 sata, </w:t>
            </w:r>
            <w:r w:rsidR="00D0208A" w:rsidRPr="00510442">
              <w:rPr>
                <w:color w:val="000000"/>
                <w:lang w:val="hr-HR"/>
              </w:rPr>
              <w:t>i.v.</w:t>
            </w:r>
            <w:r w:rsidRPr="00510442">
              <w:rPr>
                <w:color w:val="000000"/>
                <w:lang w:val="hr-HR"/>
              </w:rPr>
              <w:t>): dani 1 i 15</w:t>
            </w:r>
          </w:p>
          <w:p w14:paraId="412DC141" w14:textId="77777777" w:rsidR="00D50F9F" w:rsidRPr="00510442" w:rsidRDefault="00D50F9F" w:rsidP="00A364C3">
            <w:pPr>
              <w:pStyle w:val="EndnoteText"/>
              <w:widowControl w:val="0"/>
              <w:rPr>
                <w:color w:val="000000"/>
                <w:lang w:val="hr-HR"/>
              </w:rPr>
            </w:pPr>
            <w:r w:rsidRPr="00510442">
              <w:rPr>
                <w:color w:val="000000"/>
                <w:lang w:val="hr-HR"/>
              </w:rPr>
              <w:t>Leucovorin (75 mg/m</w:t>
            </w:r>
            <w:r w:rsidRPr="00510442">
              <w:rPr>
                <w:color w:val="000000"/>
                <w:vertAlign w:val="superscript"/>
                <w:lang w:val="hr-HR"/>
              </w:rPr>
              <w:t>2</w:t>
            </w:r>
            <w:r w:rsidRPr="00510442">
              <w:rPr>
                <w:color w:val="000000"/>
                <w:lang w:val="hr-HR"/>
              </w:rPr>
              <w:t xml:space="preserve"> u</w:t>
            </w:r>
            <w:r w:rsidR="002C5CC7" w:rsidRPr="00510442">
              <w:rPr>
                <w:color w:val="000000"/>
                <w:lang w:val="hr-HR"/>
              </w:rPr>
              <w:t xml:space="preserve"> </w:t>
            </w:r>
            <w:r w:rsidRPr="00510442">
              <w:rPr>
                <w:color w:val="000000"/>
                <w:lang w:val="hr-HR"/>
              </w:rPr>
              <w:t>36.</w:t>
            </w:r>
            <w:r w:rsidR="002C5CC7" w:rsidRPr="00510442">
              <w:rPr>
                <w:color w:val="000000"/>
                <w:lang w:val="hr-HR"/>
              </w:rPr>
              <w:t> </w:t>
            </w:r>
            <w:r w:rsidRPr="00510442">
              <w:rPr>
                <w:color w:val="000000"/>
                <w:lang w:val="hr-HR"/>
              </w:rPr>
              <w:t xml:space="preserve">satu, </w:t>
            </w:r>
            <w:r w:rsidR="00D0208A" w:rsidRPr="00510442">
              <w:rPr>
                <w:color w:val="000000"/>
                <w:lang w:val="hr-HR"/>
              </w:rPr>
              <w:t>i.v.</w:t>
            </w:r>
            <w:r w:rsidRPr="00510442">
              <w:rPr>
                <w:color w:val="000000"/>
                <w:lang w:val="hr-HR"/>
              </w:rPr>
              <w:t>; 15 mg/m</w:t>
            </w:r>
            <w:r w:rsidRPr="00510442">
              <w:rPr>
                <w:color w:val="000000"/>
                <w:vertAlign w:val="superscript"/>
                <w:lang w:val="hr-HR"/>
              </w:rPr>
              <w:t>2</w:t>
            </w:r>
            <w:r w:rsidRPr="00510442">
              <w:rPr>
                <w:color w:val="000000"/>
                <w:lang w:val="hr-HR"/>
              </w:rPr>
              <w:t xml:space="preserve"> </w:t>
            </w:r>
            <w:r w:rsidR="00D0208A" w:rsidRPr="00510442">
              <w:rPr>
                <w:color w:val="000000"/>
                <w:lang w:val="hr-HR"/>
              </w:rPr>
              <w:t>i.v.</w:t>
            </w:r>
            <w:r w:rsidRPr="00510442">
              <w:rPr>
                <w:color w:val="000000"/>
                <w:lang w:val="hr-HR"/>
              </w:rPr>
              <w:t xml:space="preserve"> ili </w:t>
            </w:r>
            <w:r w:rsidR="00D0208A" w:rsidRPr="00510442">
              <w:rPr>
                <w:color w:val="000000"/>
                <w:lang w:val="hr-HR"/>
              </w:rPr>
              <w:t>p.o.</w:t>
            </w:r>
            <w:r w:rsidRPr="00510442">
              <w:rPr>
                <w:color w:val="000000"/>
                <w:lang w:val="hr-HR"/>
              </w:rPr>
              <w:t xml:space="preserve"> svakih 6</w:t>
            </w:r>
            <w:r w:rsidR="002C5CC7" w:rsidRPr="00510442">
              <w:rPr>
                <w:color w:val="000000"/>
                <w:lang w:val="hr-HR"/>
              </w:rPr>
              <w:t> </w:t>
            </w:r>
            <w:r w:rsidRPr="00510442">
              <w:rPr>
                <w:color w:val="000000"/>
                <w:lang w:val="hr-HR"/>
              </w:rPr>
              <w:t>sati x 6 doza)iii: Dani 2, 3, 16 i 17</w:t>
            </w:r>
          </w:p>
          <w:p w14:paraId="135BB85A" w14:textId="77777777" w:rsidR="00D50F9F" w:rsidRPr="00510442" w:rsidRDefault="00D50F9F" w:rsidP="00A364C3">
            <w:pPr>
              <w:pStyle w:val="EndnoteText"/>
              <w:widowControl w:val="0"/>
              <w:rPr>
                <w:color w:val="000000"/>
                <w:lang w:val="hr-HR"/>
              </w:rPr>
            </w:pPr>
            <w:r w:rsidRPr="00510442">
              <w:rPr>
                <w:color w:val="000000"/>
                <w:lang w:val="hr-HR"/>
              </w:rPr>
              <w:t xml:space="preserve">Trostruka </w:t>
            </w:r>
            <w:r w:rsidR="00D0208A" w:rsidRPr="00510442">
              <w:rPr>
                <w:color w:val="000000"/>
                <w:lang w:val="hr-HR"/>
              </w:rPr>
              <w:t>i.t.</w:t>
            </w:r>
            <w:r w:rsidRPr="00510442">
              <w:rPr>
                <w:color w:val="000000"/>
                <w:lang w:val="hr-HR"/>
              </w:rPr>
              <w:t xml:space="preserve"> terapija (prilagođena dobi): dani 1 i 22</w:t>
            </w:r>
          </w:p>
          <w:p w14:paraId="40BC1116" w14:textId="77777777" w:rsidR="00D50F9F" w:rsidRPr="00510442" w:rsidRDefault="00D50F9F" w:rsidP="00A364C3">
            <w:pPr>
              <w:pStyle w:val="EndnoteText"/>
              <w:widowControl w:val="0"/>
              <w:rPr>
                <w:color w:val="000000"/>
                <w:lang w:val="hr-HR"/>
              </w:rPr>
            </w:pPr>
            <w:r w:rsidRPr="00510442">
              <w:rPr>
                <w:color w:val="000000"/>
                <w:lang w:val="hr-HR"/>
              </w:rPr>
              <w:t>VP-16 (100 mg/m</w:t>
            </w:r>
            <w:r w:rsidRPr="00510442">
              <w:rPr>
                <w:color w:val="000000"/>
                <w:vertAlign w:val="superscript"/>
                <w:lang w:val="hr-HR"/>
              </w:rPr>
              <w:t>2</w:t>
            </w:r>
            <w:r w:rsidRPr="00510442">
              <w:rPr>
                <w:color w:val="000000"/>
                <w:lang w:val="hr-HR"/>
              </w:rPr>
              <w:t xml:space="preserve">/dan, </w:t>
            </w:r>
            <w:r w:rsidR="00D0208A" w:rsidRPr="00510442">
              <w:rPr>
                <w:color w:val="000000"/>
                <w:lang w:val="hr-HR"/>
              </w:rPr>
              <w:t>i.v.</w:t>
            </w:r>
            <w:r w:rsidRPr="00510442">
              <w:rPr>
                <w:color w:val="000000"/>
                <w:lang w:val="hr-HR"/>
              </w:rPr>
              <w:t>): dani 22</w:t>
            </w:r>
            <w:r w:rsidRPr="00510442">
              <w:rPr>
                <w:color w:val="000000"/>
                <w:lang w:val="hr-HR"/>
              </w:rPr>
              <w:noBreakHyphen/>
              <w:t>26</w:t>
            </w:r>
          </w:p>
          <w:p w14:paraId="09E86245" w14:textId="77777777" w:rsidR="00D50F9F" w:rsidRPr="00510442" w:rsidRDefault="00D50F9F" w:rsidP="00A364C3">
            <w:pPr>
              <w:pStyle w:val="EndnoteText"/>
              <w:widowControl w:val="0"/>
              <w:rPr>
                <w:color w:val="000000"/>
                <w:lang w:val="hr-HR"/>
              </w:rPr>
            </w:pPr>
            <w:r w:rsidRPr="00510442">
              <w:rPr>
                <w:color w:val="000000"/>
                <w:lang w:val="hr-HR"/>
              </w:rPr>
              <w:t>CPM (300 mg/m</w:t>
            </w:r>
            <w:r w:rsidRPr="00510442">
              <w:rPr>
                <w:color w:val="000000"/>
                <w:vertAlign w:val="superscript"/>
                <w:lang w:val="hr-HR"/>
              </w:rPr>
              <w:t>2</w:t>
            </w:r>
            <w:r w:rsidRPr="00510442">
              <w:rPr>
                <w:color w:val="000000"/>
                <w:lang w:val="hr-HR"/>
              </w:rPr>
              <w:t xml:space="preserve">/dan, </w:t>
            </w:r>
            <w:r w:rsidR="00D0208A" w:rsidRPr="00510442">
              <w:rPr>
                <w:color w:val="000000"/>
                <w:lang w:val="hr-HR"/>
              </w:rPr>
              <w:t>i.v.</w:t>
            </w:r>
            <w:r w:rsidRPr="00510442">
              <w:rPr>
                <w:color w:val="000000"/>
                <w:lang w:val="hr-HR"/>
              </w:rPr>
              <w:t>): dani 22</w:t>
            </w:r>
            <w:r w:rsidRPr="00510442">
              <w:rPr>
                <w:color w:val="000000"/>
                <w:lang w:val="hr-HR"/>
              </w:rPr>
              <w:noBreakHyphen/>
              <w:t>26</w:t>
            </w:r>
          </w:p>
          <w:p w14:paraId="330EAC69" w14:textId="77777777" w:rsidR="00D50F9F" w:rsidRPr="00510442" w:rsidRDefault="00D50F9F" w:rsidP="00A364C3">
            <w:pPr>
              <w:pStyle w:val="EndnoteText"/>
              <w:widowControl w:val="0"/>
              <w:rPr>
                <w:color w:val="000000"/>
                <w:lang w:val="hr-HR"/>
              </w:rPr>
            </w:pPr>
            <w:r w:rsidRPr="00510442">
              <w:rPr>
                <w:color w:val="000000"/>
                <w:lang w:val="hr-HR"/>
              </w:rPr>
              <w:t>MESNA (150 mg/m</w:t>
            </w:r>
            <w:r w:rsidRPr="00510442">
              <w:rPr>
                <w:color w:val="000000"/>
                <w:vertAlign w:val="superscript"/>
                <w:lang w:val="hr-HR"/>
              </w:rPr>
              <w:t>2</w:t>
            </w:r>
            <w:r w:rsidRPr="00510442">
              <w:rPr>
                <w:color w:val="000000"/>
                <w:lang w:val="hr-HR"/>
              </w:rPr>
              <w:t xml:space="preserve">/dan, </w:t>
            </w:r>
            <w:r w:rsidR="00D0208A" w:rsidRPr="00510442">
              <w:rPr>
                <w:color w:val="000000"/>
                <w:lang w:val="hr-HR"/>
              </w:rPr>
              <w:t>i.v.</w:t>
            </w:r>
            <w:r w:rsidRPr="00510442">
              <w:rPr>
                <w:color w:val="000000"/>
                <w:lang w:val="hr-HR"/>
              </w:rPr>
              <w:t>): dani 22</w:t>
            </w:r>
            <w:r w:rsidRPr="00510442">
              <w:rPr>
                <w:color w:val="000000"/>
                <w:lang w:val="hr-HR"/>
              </w:rPr>
              <w:noBreakHyphen/>
              <w:t>26</w:t>
            </w:r>
          </w:p>
          <w:p w14:paraId="54F90C96" w14:textId="77777777" w:rsidR="00D50F9F" w:rsidRPr="00510442" w:rsidRDefault="00D50F9F" w:rsidP="00A364C3">
            <w:pPr>
              <w:pStyle w:val="EndnoteText"/>
              <w:widowControl w:val="0"/>
              <w:rPr>
                <w:color w:val="000000"/>
                <w:lang w:val="hr-HR"/>
              </w:rPr>
            </w:pPr>
            <w:r w:rsidRPr="00510442">
              <w:rPr>
                <w:color w:val="000000"/>
                <w:lang w:val="hr-HR"/>
              </w:rPr>
              <w:t xml:space="preserve">G-CSF (5 μg/kg, </w:t>
            </w:r>
            <w:r w:rsidR="00D0208A" w:rsidRPr="00510442">
              <w:rPr>
                <w:color w:val="000000"/>
                <w:lang w:val="hr-HR"/>
              </w:rPr>
              <w:t>s.c.</w:t>
            </w:r>
            <w:r w:rsidRPr="00510442">
              <w:rPr>
                <w:color w:val="000000"/>
                <w:lang w:val="hr-HR"/>
              </w:rPr>
              <w:t xml:space="preserve">): dani 27-36 ili do </w:t>
            </w:r>
            <w:r w:rsidR="00E145E9" w:rsidRPr="00510442">
              <w:rPr>
                <w:color w:val="000000"/>
                <w:lang w:val="hr-HR"/>
              </w:rPr>
              <w:t>porasta ANC &gt;1500 nakon najniže izmjerene vrijednosti</w:t>
            </w:r>
          </w:p>
          <w:p w14:paraId="7164CB87" w14:textId="77777777" w:rsidR="00D50F9F" w:rsidRPr="00510442" w:rsidRDefault="00D50F9F" w:rsidP="00A364C3">
            <w:pPr>
              <w:pStyle w:val="EndnoteText"/>
              <w:widowControl w:val="0"/>
              <w:rPr>
                <w:color w:val="000000"/>
                <w:lang w:val="hr-HR"/>
              </w:rPr>
            </w:pPr>
            <w:r w:rsidRPr="00510442">
              <w:rPr>
                <w:color w:val="000000"/>
                <w:lang w:val="hr-HR"/>
              </w:rPr>
              <w:t>ARA-C (3 g/m</w:t>
            </w:r>
            <w:r w:rsidRPr="00510442">
              <w:rPr>
                <w:color w:val="000000"/>
                <w:vertAlign w:val="superscript"/>
                <w:lang w:val="hr-HR"/>
              </w:rPr>
              <w:t>2</w:t>
            </w:r>
            <w:r w:rsidRPr="00510442">
              <w:rPr>
                <w:color w:val="000000"/>
                <w:lang w:val="hr-HR"/>
              </w:rPr>
              <w:t>, svakih 12</w:t>
            </w:r>
            <w:r w:rsidR="00342ABE" w:rsidRPr="00510442">
              <w:rPr>
                <w:color w:val="000000"/>
                <w:lang w:val="hr-HR"/>
              </w:rPr>
              <w:t> </w:t>
            </w:r>
            <w:r w:rsidRPr="00510442">
              <w:rPr>
                <w:color w:val="000000"/>
                <w:lang w:val="hr-HR"/>
              </w:rPr>
              <w:t xml:space="preserve">sati, </w:t>
            </w:r>
            <w:r w:rsidR="00D0208A" w:rsidRPr="00510442">
              <w:rPr>
                <w:color w:val="000000"/>
                <w:lang w:val="hr-HR"/>
              </w:rPr>
              <w:t>i.v.</w:t>
            </w:r>
            <w:r w:rsidRPr="00510442">
              <w:rPr>
                <w:color w:val="000000"/>
                <w:lang w:val="hr-HR"/>
              </w:rPr>
              <w:t>): dani 43, 44</w:t>
            </w:r>
          </w:p>
          <w:p w14:paraId="42E0EF9B" w14:textId="77777777" w:rsidR="00D50F9F" w:rsidRPr="00510442" w:rsidRDefault="00D50F9F" w:rsidP="00D0208A">
            <w:pPr>
              <w:pStyle w:val="EndnoteText"/>
              <w:widowControl w:val="0"/>
              <w:rPr>
                <w:color w:val="000000"/>
                <w:lang w:val="hr-HR"/>
              </w:rPr>
            </w:pPr>
            <w:r w:rsidRPr="00510442">
              <w:rPr>
                <w:color w:val="000000"/>
                <w:lang w:val="hr-HR"/>
              </w:rPr>
              <w:t>L-ASP (6000 IU/m</w:t>
            </w:r>
            <w:r w:rsidRPr="00510442">
              <w:rPr>
                <w:color w:val="000000"/>
                <w:vertAlign w:val="superscript"/>
                <w:lang w:val="hr-HR"/>
              </w:rPr>
              <w:t>2</w:t>
            </w:r>
            <w:r w:rsidRPr="00510442">
              <w:rPr>
                <w:color w:val="000000"/>
                <w:lang w:val="hr-HR"/>
              </w:rPr>
              <w:t xml:space="preserve">, </w:t>
            </w:r>
            <w:r w:rsidR="00D0208A" w:rsidRPr="00510442">
              <w:rPr>
                <w:color w:val="000000"/>
                <w:lang w:val="hr-HR"/>
              </w:rPr>
              <w:t>i.m.</w:t>
            </w:r>
            <w:r w:rsidRPr="00510442">
              <w:rPr>
                <w:color w:val="000000"/>
                <w:lang w:val="hr-HR"/>
              </w:rPr>
              <w:t>): dan 44</w:t>
            </w:r>
          </w:p>
        </w:tc>
      </w:tr>
      <w:tr w:rsidR="00D50F9F" w:rsidRPr="00510442" w14:paraId="0B08796A" w14:textId="77777777" w:rsidTr="003179A4">
        <w:trPr>
          <w:cantSplit/>
        </w:trPr>
        <w:tc>
          <w:tcPr>
            <w:tcW w:w="2358" w:type="dxa"/>
            <w:shd w:val="clear" w:color="auto" w:fill="auto"/>
          </w:tcPr>
          <w:p w14:paraId="362EAEBC" w14:textId="77777777" w:rsidR="00D50F9F" w:rsidRPr="00510442" w:rsidRDefault="00D50F9F" w:rsidP="00A364C3">
            <w:pPr>
              <w:pStyle w:val="EndnoteText"/>
              <w:widowControl w:val="0"/>
              <w:rPr>
                <w:color w:val="000000"/>
                <w:lang w:val="hr-HR"/>
              </w:rPr>
            </w:pPr>
            <w:r w:rsidRPr="00510442">
              <w:rPr>
                <w:color w:val="000000"/>
                <w:lang w:val="hr-HR"/>
              </w:rPr>
              <w:t>Reindukcijska terapija 2</w:t>
            </w:r>
          </w:p>
          <w:p w14:paraId="37F243EE" w14:textId="77777777" w:rsidR="00D50F9F" w:rsidRPr="00510442" w:rsidRDefault="00D50F9F" w:rsidP="00860EBC">
            <w:pPr>
              <w:pStyle w:val="EndnoteText"/>
              <w:widowControl w:val="0"/>
              <w:rPr>
                <w:color w:val="000000"/>
                <w:lang w:val="hr-HR"/>
              </w:rPr>
            </w:pPr>
            <w:r w:rsidRPr="00510442">
              <w:rPr>
                <w:color w:val="000000"/>
                <w:lang w:val="hr-HR"/>
              </w:rPr>
              <w:t>(3 tjedna)</w:t>
            </w:r>
          </w:p>
        </w:tc>
        <w:tc>
          <w:tcPr>
            <w:tcW w:w="6929" w:type="dxa"/>
            <w:shd w:val="clear" w:color="auto" w:fill="auto"/>
          </w:tcPr>
          <w:p w14:paraId="6424CEEF" w14:textId="77777777" w:rsidR="00D50F9F" w:rsidRPr="00510442" w:rsidRDefault="00D50F9F" w:rsidP="00A364C3">
            <w:pPr>
              <w:pStyle w:val="EndnoteText"/>
              <w:widowControl w:val="0"/>
              <w:rPr>
                <w:color w:val="000000"/>
                <w:lang w:val="hr-HR"/>
              </w:rPr>
            </w:pPr>
            <w:r w:rsidRPr="00510442">
              <w:rPr>
                <w:color w:val="000000"/>
                <w:lang w:val="hr-HR"/>
              </w:rPr>
              <w:t>VCR (1,5 mg/m</w:t>
            </w:r>
            <w:r w:rsidRPr="00510442">
              <w:rPr>
                <w:color w:val="000000"/>
                <w:vertAlign w:val="superscript"/>
                <w:lang w:val="hr-HR"/>
              </w:rPr>
              <w:t>2</w:t>
            </w:r>
            <w:r w:rsidRPr="00510442">
              <w:rPr>
                <w:color w:val="000000"/>
                <w:lang w:val="hr-HR"/>
              </w:rPr>
              <w:t xml:space="preserve">/dan, </w:t>
            </w:r>
            <w:r w:rsidR="00D0208A" w:rsidRPr="00510442">
              <w:rPr>
                <w:color w:val="000000"/>
                <w:lang w:val="hr-HR"/>
              </w:rPr>
              <w:t>i.v.</w:t>
            </w:r>
            <w:r w:rsidRPr="00510442">
              <w:rPr>
                <w:color w:val="000000"/>
                <w:lang w:val="hr-HR"/>
              </w:rPr>
              <w:t>): dani 1, 8 i 15</w:t>
            </w:r>
          </w:p>
          <w:p w14:paraId="73239FFB" w14:textId="77777777" w:rsidR="00D50F9F" w:rsidRPr="00510442" w:rsidRDefault="00D50F9F" w:rsidP="00A364C3">
            <w:pPr>
              <w:pStyle w:val="EndnoteText"/>
              <w:widowControl w:val="0"/>
              <w:rPr>
                <w:color w:val="000000"/>
                <w:lang w:val="hr-HR"/>
              </w:rPr>
            </w:pPr>
            <w:r w:rsidRPr="00510442">
              <w:rPr>
                <w:color w:val="000000"/>
                <w:lang w:val="hr-HR"/>
              </w:rPr>
              <w:t>DAUN (45 mg/m</w:t>
            </w:r>
            <w:r w:rsidRPr="00510442">
              <w:rPr>
                <w:color w:val="000000"/>
                <w:vertAlign w:val="superscript"/>
                <w:lang w:val="hr-HR"/>
              </w:rPr>
              <w:t>2</w:t>
            </w:r>
            <w:r w:rsidRPr="00510442">
              <w:rPr>
                <w:color w:val="000000"/>
                <w:lang w:val="hr-HR"/>
              </w:rPr>
              <w:t xml:space="preserve">/dan bolus, </w:t>
            </w:r>
            <w:r w:rsidR="00D0208A" w:rsidRPr="00510442">
              <w:rPr>
                <w:color w:val="000000"/>
                <w:lang w:val="hr-HR"/>
              </w:rPr>
              <w:t>i.v.</w:t>
            </w:r>
            <w:r w:rsidRPr="00510442">
              <w:rPr>
                <w:color w:val="000000"/>
                <w:lang w:val="hr-HR"/>
              </w:rPr>
              <w:t>): dani 1 i 2</w:t>
            </w:r>
          </w:p>
          <w:p w14:paraId="38BD555F" w14:textId="77777777" w:rsidR="00D50F9F" w:rsidRPr="00510442" w:rsidRDefault="00D50F9F" w:rsidP="00A364C3">
            <w:pPr>
              <w:pStyle w:val="EndnoteText"/>
              <w:widowControl w:val="0"/>
              <w:rPr>
                <w:color w:val="000000"/>
                <w:lang w:val="hr-HR"/>
              </w:rPr>
            </w:pPr>
            <w:r w:rsidRPr="00510442">
              <w:rPr>
                <w:color w:val="000000"/>
                <w:lang w:val="hr-HR"/>
              </w:rPr>
              <w:t>CPM (250 mg/m</w:t>
            </w:r>
            <w:r w:rsidRPr="00510442">
              <w:rPr>
                <w:color w:val="000000"/>
                <w:vertAlign w:val="superscript"/>
                <w:lang w:val="hr-HR"/>
              </w:rPr>
              <w:t>2</w:t>
            </w:r>
            <w:r w:rsidRPr="00510442">
              <w:rPr>
                <w:color w:val="000000"/>
                <w:lang w:val="hr-HR"/>
              </w:rPr>
              <w:t>/doza svakih 12</w:t>
            </w:r>
            <w:r w:rsidR="00342ABE" w:rsidRPr="00510442">
              <w:rPr>
                <w:color w:val="000000"/>
                <w:lang w:val="hr-HR"/>
              </w:rPr>
              <w:t> </w:t>
            </w:r>
            <w:r w:rsidRPr="00510442">
              <w:rPr>
                <w:color w:val="000000"/>
                <w:lang w:val="hr-HR"/>
              </w:rPr>
              <w:t>sati x 4</w:t>
            </w:r>
            <w:r w:rsidR="00342ABE" w:rsidRPr="00510442">
              <w:rPr>
                <w:color w:val="000000"/>
                <w:lang w:val="hr-HR"/>
              </w:rPr>
              <w:t> </w:t>
            </w:r>
            <w:r w:rsidRPr="00510442">
              <w:rPr>
                <w:color w:val="000000"/>
                <w:lang w:val="hr-HR"/>
              </w:rPr>
              <w:t xml:space="preserve">doze, </w:t>
            </w:r>
            <w:r w:rsidR="00D0208A" w:rsidRPr="00510442">
              <w:rPr>
                <w:color w:val="000000"/>
                <w:lang w:val="hr-HR"/>
              </w:rPr>
              <w:t>i.v.</w:t>
            </w:r>
            <w:r w:rsidRPr="00510442">
              <w:rPr>
                <w:color w:val="000000"/>
                <w:lang w:val="hr-HR"/>
              </w:rPr>
              <w:t>): Dani 3 i 4</w:t>
            </w:r>
          </w:p>
          <w:p w14:paraId="5280FAA6" w14:textId="77777777" w:rsidR="00D50F9F" w:rsidRPr="00510442" w:rsidRDefault="00D50F9F" w:rsidP="00A364C3">
            <w:pPr>
              <w:pStyle w:val="EndnoteText"/>
              <w:widowControl w:val="0"/>
              <w:rPr>
                <w:color w:val="000000"/>
                <w:lang w:val="hr-HR"/>
              </w:rPr>
            </w:pPr>
            <w:r w:rsidRPr="00510442">
              <w:rPr>
                <w:color w:val="000000"/>
                <w:lang w:val="hr-HR"/>
              </w:rPr>
              <w:t>PEG-ASP (2500 IU/m</w:t>
            </w:r>
            <w:r w:rsidRPr="00510442">
              <w:rPr>
                <w:color w:val="000000"/>
                <w:vertAlign w:val="superscript"/>
                <w:lang w:val="hr-HR"/>
              </w:rPr>
              <w:t>2</w:t>
            </w:r>
            <w:r w:rsidRPr="00510442">
              <w:rPr>
                <w:color w:val="000000"/>
                <w:lang w:val="hr-HR"/>
              </w:rPr>
              <w:t xml:space="preserve">, </w:t>
            </w:r>
            <w:r w:rsidR="00D0208A" w:rsidRPr="00510442">
              <w:rPr>
                <w:color w:val="000000"/>
                <w:lang w:val="hr-HR"/>
              </w:rPr>
              <w:t>i.m.</w:t>
            </w:r>
            <w:r w:rsidRPr="00510442">
              <w:rPr>
                <w:color w:val="000000"/>
                <w:lang w:val="hr-HR"/>
              </w:rPr>
              <w:t>): dan 4</w:t>
            </w:r>
          </w:p>
          <w:p w14:paraId="391C83AD" w14:textId="77777777" w:rsidR="00D50F9F" w:rsidRPr="00510442" w:rsidRDefault="00D50F9F" w:rsidP="00A364C3">
            <w:pPr>
              <w:pStyle w:val="EndnoteText"/>
              <w:widowControl w:val="0"/>
              <w:rPr>
                <w:color w:val="000000"/>
                <w:lang w:val="hr-HR"/>
              </w:rPr>
            </w:pPr>
            <w:r w:rsidRPr="00510442">
              <w:rPr>
                <w:color w:val="000000"/>
                <w:lang w:val="hr-HR"/>
              </w:rPr>
              <w:t xml:space="preserve">G-CSF (5 μg/kg, </w:t>
            </w:r>
            <w:r w:rsidR="00D0208A" w:rsidRPr="00510442">
              <w:rPr>
                <w:color w:val="000000"/>
                <w:lang w:val="hr-HR"/>
              </w:rPr>
              <w:t>s.c.</w:t>
            </w:r>
            <w:r w:rsidRPr="00510442">
              <w:rPr>
                <w:color w:val="000000"/>
                <w:lang w:val="hr-HR"/>
              </w:rPr>
              <w:t xml:space="preserve">): dani 5-14 ili do </w:t>
            </w:r>
            <w:r w:rsidR="00E145E9" w:rsidRPr="00510442">
              <w:rPr>
                <w:color w:val="000000"/>
                <w:lang w:val="hr-HR"/>
              </w:rPr>
              <w:t>porasta ANC &gt;1500 nakon najniže izmjerene vrijednosti</w:t>
            </w:r>
          </w:p>
          <w:p w14:paraId="15F467BB" w14:textId="77777777" w:rsidR="00D50F9F" w:rsidRPr="00510442" w:rsidRDefault="00D50F9F" w:rsidP="00A364C3">
            <w:pPr>
              <w:pStyle w:val="EndnoteText"/>
              <w:widowControl w:val="0"/>
              <w:rPr>
                <w:color w:val="000000"/>
                <w:lang w:val="hr-HR"/>
              </w:rPr>
            </w:pPr>
            <w:r w:rsidRPr="00510442">
              <w:rPr>
                <w:color w:val="000000"/>
                <w:lang w:val="hr-HR"/>
              </w:rPr>
              <w:t xml:space="preserve">Trostruka </w:t>
            </w:r>
            <w:r w:rsidR="00D0208A" w:rsidRPr="00510442">
              <w:rPr>
                <w:color w:val="000000"/>
                <w:lang w:val="hr-HR"/>
              </w:rPr>
              <w:t>i.t.</w:t>
            </w:r>
            <w:r w:rsidRPr="00510442">
              <w:rPr>
                <w:color w:val="000000"/>
                <w:lang w:val="hr-HR"/>
              </w:rPr>
              <w:t xml:space="preserve"> terapija (prilagođena dobi): dani 1 i 15</w:t>
            </w:r>
          </w:p>
          <w:p w14:paraId="5C3C2947" w14:textId="77777777" w:rsidR="00D50F9F" w:rsidRPr="00510442" w:rsidRDefault="00D50F9F" w:rsidP="00D0208A">
            <w:pPr>
              <w:pStyle w:val="EndnoteText"/>
              <w:widowControl w:val="0"/>
              <w:rPr>
                <w:color w:val="000000"/>
                <w:lang w:val="hr-HR"/>
              </w:rPr>
            </w:pPr>
            <w:r w:rsidRPr="00510442">
              <w:rPr>
                <w:color w:val="000000"/>
                <w:lang w:val="hr-HR"/>
              </w:rPr>
              <w:t>DEX (6 mg/m</w:t>
            </w:r>
            <w:r w:rsidRPr="00510442">
              <w:rPr>
                <w:color w:val="000000"/>
                <w:vertAlign w:val="superscript"/>
                <w:lang w:val="hr-HR"/>
              </w:rPr>
              <w:t>2</w:t>
            </w:r>
            <w:r w:rsidRPr="00510442">
              <w:rPr>
                <w:color w:val="000000"/>
                <w:lang w:val="hr-HR"/>
              </w:rPr>
              <w:t xml:space="preserve">/dan, </w:t>
            </w:r>
            <w:r w:rsidR="00D0208A" w:rsidRPr="00510442">
              <w:rPr>
                <w:color w:val="000000"/>
                <w:lang w:val="hr-HR"/>
              </w:rPr>
              <w:t>p.o.</w:t>
            </w:r>
            <w:r w:rsidRPr="00510442">
              <w:rPr>
                <w:color w:val="000000"/>
                <w:lang w:val="hr-HR"/>
              </w:rPr>
              <w:t>): dani 1</w:t>
            </w:r>
            <w:r w:rsidRPr="00510442">
              <w:rPr>
                <w:color w:val="000000"/>
                <w:lang w:val="hr-HR"/>
              </w:rPr>
              <w:noBreakHyphen/>
              <w:t>7 i 15</w:t>
            </w:r>
            <w:r w:rsidRPr="00510442">
              <w:rPr>
                <w:color w:val="000000"/>
                <w:lang w:val="hr-HR"/>
              </w:rPr>
              <w:noBreakHyphen/>
              <w:t>21</w:t>
            </w:r>
          </w:p>
        </w:tc>
      </w:tr>
      <w:tr w:rsidR="00D50F9F" w:rsidRPr="00F410C8" w14:paraId="557E91B9" w14:textId="77777777" w:rsidTr="003179A4">
        <w:trPr>
          <w:cantSplit/>
        </w:trPr>
        <w:tc>
          <w:tcPr>
            <w:tcW w:w="2358" w:type="dxa"/>
            <w:shd w:val="clear" w:color="auto" w:fill="auto"/>
          </w:tcPr>
          <w:p w14:paraId="5F268B35" w14:textId="77777777" w:rsidR="00D50F9F" w:rsidRPr="00510442" w:rsidRDefault="00D50F9F" w:rsidP="00A364C3">
            <w:pPr>
              <w:pStyle w:val="EndnoteText"/>
              <w:widowControl w:val="0"/>
              <w:rPr>
                <w:color w:val="000000"/>
                <w:lang w:val="hr-HR"/>
              </w:rPr>
            </w:pPr>
            <w:r w:rsidRPr="00510442">
              <w:rPr>
                <w:color w:val="000000"/>
                <w:lang w:val="hr-HR"/>
              </w:rPr>
              <w:t>Intenzifikacijska terapija</w:t>
            </w:r>
            <w:r w:rsidR="002C5CC7" w:rsidRPr="00510442">
              <w:rPr>
                <w:color w:val="000000"/>
                <w:lang w:val="hr-HR"/>
              </w:rPr>
              <w:t> </w:t>
            </w:r>
            <w:r w:rsidRPr="00510442">
              <w:rPr>
                <w:color w:val="000000"/>
                <w:lang w:val="hr-HR"/>
              </w:rPr>
              <w:t>2</w:t>
            </w:r>
          </w:p>
          <w:p w14:paraId="64B756D4" w14:textId="77777777" w:rsidR="00D50F9F" w:rsidRPr="00510442" w:rsidRDefault="00D50F9F" w:rsidP="00860EBC">
            <w:pPr>
              <w:pStyle w:val="EndnoteText"/>
              <w:widowControl w:val="0"/>
              <w:rPr>
                <w:color w:val="000000"/>
                <w:lang w:val="hr-HR"/>
              </w:rPr>
            </w:pPr>
            <w:r w:rsidRPr="00510442">
              <w:rPr>
                <w:color w:val="000000"/>
                <w:lang w:val="hr-HR"/>
              </w:rPr>
              <w:t>(9 tjedana)</w:t>
            </w:r>
          </w:p>
        </w:tc>
        <w:tc>
          <w:tcPr>
            <w:tcW w:w="6929" w:type="dxa"/>
            <w:shd w:val="clear" w:color="auto" w:fill="auto"/>
          </w:tcPr>
          <w:p w14:paraId="688AF667" w14:textId="77777777" w:rsidR="00D50F9F" w:rsidRPr="00510442" w:rsidRDefault="00D50F9F" w:rsidP="00A364C3">
            <w:pPr>
              <w:pStyle w:val="EndnoteText"/>
              <w:widowControl w:val="0"/>
              <w:rPr>
                <w:color w:val="000000"/>
                <w:lang w:val="hr-HR"/>
              </w:rPr>
            </w:pPr>
            <w:r w:rsidRPr="00510442">
              <w:rPr>
                <w:color w:val="000000"/>
                <w:lang w:val="hr-HR"/>
              </w:rPr>
              <w:t>Metotreksat (5 g/m</w:t>
            </w:r>
            <w:r w:rsidRPr="00510442">
              <w:rPr>
                <w:color w:val="000000"/>
                <w:vertAlign w:val="superscript"/>
                <w:lang w:val="hr-HR"/>
              </w:rPr>
              <w:t>2</w:t>
            </w:r>
            <w:r w:rsidRPr="00510442">
              <w:rPr>
                <w:color w:val="000000"/>
                <w:lang w:val="hr-HR"/>
              </w:rPr>
              <w:t xml:space="preserve"> kroz 24 sata, </w:t>
            </w:r>
            <w:r w:rsidR="00D0208A" w:rsidRPr="00510442">
              <w:rPr>
                <w:color w:val="000000"/>
                <w:lang w:val="hr-HR"/>
              </w:rPr>
              <w:t>i.v.</w:t>
            </w:r>
            <w:r w:rsidRPr="00510442">
              <w:rPr>
                <w:color w:val="000000"/>
                <w:lang w:val="hr-HR"/>
              </w:rPr>
              <w:t>): dani 1 i 15</w:t>
            </w:r>
          </w:p>
          <w:p w14:paraId="361BC322" w14:textId="77777777" w:rsidR="00D50F9F" w:rsidRPr="00510442" w:rsidRDefault="00D50F9F" w:rsidP="00A364C3">
            <w:pPr>
              <w:pStyle w:val="EndnoteText"/>
              <w:widowControl w:val="0"/>
              <w:rPr>
                <w:color w:val="000000"/>
                <w:lang w:val="hr-HR"/>
              </w:rPr>
            </w:pPr>
            <w:r w:rsidRPr="00510442">
              <w:rPr>
                <w:color w:val="000000"/>
                <w:lang w:val="hr-HR"/>
              </w:rPr>
              <w:t>Leucovorin (75 mg/m</w:t>
            </w:r>
            <w:r w:rsidRPr="00510442">
              <w:rPr>
                <w:color w:val="000000"/>
                <w:vertAlign w:val="superscript"/>
                <w:lang w:val="hr-HR"/>
              </w:rPr>
              <w:t>2</w:t>
            </w:r>
            <w:r w:rsidRPr="00510442">
              <w:rPr>
                <w:color w:val="000000"/>
                <w:lang w:val="hr-HR"/>
              </w:rPr>
              <w:t xml:space="preserve"> u36.</w:t>
            </w:r>
            <w:r w:rsidR="00342ABE" w:rsidRPr="00510442">
              <w:rPr>
                <w:color w:val="000000"/>
                <w:lang w:val="hr-HR"/>
              </w:rPr>
              <w:t> </w:t>
            </w:r>
            <w:r w:rsidRPr="00510442">
              <w:rPr>
                <w:color w:val="000000"/>
                <w:lang w:val="hr-HR"/>
              </w:rPr>
              <w:t xml:space="preserve">satu, </w:t>
            </w:r>
            <w:r w:rsidR="00D0208A" w:rsidRPr="00510442">
              <w:rPr>
                <w:color w:val="000000"/>
                <w:lang w:val="hr-HR"/>
              </w:rPr>
              <w:t>i.v.</w:t>
            </w:r>
            <w:r w:rsidRPr="00510442">
              <w:rPr>
                <w:color w:val="000000"/>
                <w:lang w:val="hr-HR"/>
              </w:rPr>
              <w:t>; 15 mg/m</w:t>
            </w:r>
            <w:r w:rsidRPr="00510442">
              <w:rPr>
                <w:color w:val="000000"/>
                <w:vertAlign w:val="superscript"/>
                <w:lang w:val="hr-HR"/>
              </w:rPr>
              <w:t>2</w:t>
            </w:r>
            <w:r w:rsidRPr="00510442">
              <w:rPr>
                <w:color w:val="000000"/>
                <w:lang w:val="hr-HR"/>
              </w:rPr>
              <w:t xml:space="preserve"> </w:t>
            </w:r>
            <w:r w:rsidR="00D0208A" w:rsidRPr="00510442">
              <w:rPr>
                <w:color w:val="000000"/>
                <w:lang w:val="hr-HR"/>
              </w:rPr>
              <w:t>i.v.</w:t>
            </w:r>
            <w:r w:rsidRPr="00510442">
              <w:rPr>
                <w:color w:val="000000"/>
                <w:lang w:val="hr-HR"/>
              </w:rPr>
              <w:t xml:space="preserve"> ili </w:t>
            </w:r>
            <w:r w:rsidR="00D0208A" w:rsidRPr="00510442">
              <w:rPr>
                <w:color w:val="000000"/>
                <w:lang w:val="hr-HR"/>
              </w:rPr>
              <w:t>p.o.</w:t>
            </w:r>
            <w:r w:rsidRPr="00510442">
              <w:rPr>
                <w:color w:val="000000"/>
                <w:lang w:val="hr-HR"/>
              </w:rPr>
              <w:t xml:space="preserve"> svakih 6</w:t>
            </w:r>
            <w:r w:rsidR="00342ABE" w:rsidRPr="00510442">
              <w:rPr>
                <w:color w:val="000000"/>
                <w:lang w:val="hr-HR"/>
              </w:rPr>
              <w:t> </w:t>
            </w:r>
            <w:r w:rsidRPr="00510442">
              <w:rPr>
                <w:color w:val="000000"/>
                <w:lang w:val="hr-HR"/>
              </w:rPr>
              <w:t>sati x 6 doza)</w:t>
            </w:r>
            <w:r w:rsidR="00342ABE" w:rsidRPr="00510442">
              <w:rPr>
                <w:color w:val="000000"/>
                <w:lang w:val="hr-HR"/>
              </w:rPr>
              <w:t xml:space="preserve"> </w:t>
            </w:r>
            <w:r w:rsidRPr="00510442">
              <w:rPr>
                <w:color w:val="000000"/>
                <w:lang w:val="hr-HR"/>
              </w:rPr>
              <w:t>iii: dani 2, 3, 16 i 17</w:t>
            </w:r>
          </w:p>
          <w:p w14:paraId="6219B08A" w14:textId="77777777" w:rsidR="00D50F9F" w:rsidRPr="00510442" w:rsidRDefault="00D50F9F" w:rsidP="00A364C3">
            <w:pPr>
              <w:pStyle w:val="EndnoteText"/>
              <w:widowControl w:val="0"/>
              <w:rPr>
                <w:color w:val="000000"/>
                <w:lang w:val="hr-HR"/>
              </w:rPr>
            </w:pPr>
            <w:r w:rsidRPr="00510442">
              <w:rPr>
                <w:color w:val="000000"/>
                <w:lang w:val="hr-HR"/>
              </w:rPr>
              <w:t xml:space="preserve">Trostruka </w:t>
            </w:r>
            <w:r w:rsidR="00D0208A" w:rsidRPr="00510442">
              <w:rPr>
                <w:color w:val="000000"/>
                <w:lang w:val="hr-HR"/>
              </w:rPr>
              <w:t>i.t.</w:t>
            </w:r>
            <w:r w:rsidRPr="00510442">
              <w:rPr>
                <w:color w:val="000000"/>
                <w:lang w:val="hr-HR"/>
              </w:rPr>
              <w:t xml:space="preserve"> terapija (prilagođena dobi): dani 1 i 22</w:t>
            </w:r>
          </w:p>
          <w:p w14:paraId="0E967906" w14:textId="77777777" w:rsidR="00D50F9F" w:rsidRPr="00510442" w:rsidRDefault="00D50F9F" w:rsidP="00A364C3">
            <w:pPr>
              <w:pStyle w:val="EndnoteText"/>
              <w:widowControl w:val="0"/>
              <w:rPr>
                <w:color w:val="000000"/>
                <w:lang w:val="hr-HR"/>
              </w:rPr>
            </w:pPr>
            <w:r w:rsidRPr="00510442">
              <w:rPr>
                <w:color w:val="000000"/>
                <w:lang w:val="hr-HR"/>
              </w:rPr>
              <w:t>VP-16 (100 mg/m</w:t>
            </w:r>
            <w:r w:rsidRPr="00510442">
              <w:rPr>
                <w:color w:val="000000"/>
                <w:vertAlign w:val="superscript"/>
                <w:lang w:val="hr-HR"/>
              </w:rPr>
              <w:t>2</w:t>
            </w:r>
            <w:r w:rsidRPr="00510442">
              <w:rPr>
                <w:color w:val="000000"/>
                <w:lang w:val="hr-HR"/>
              </w:rPr>
              <w:t xml:space="preserve">/dan, </w:t>
            </w:r>
            <w:r w:rsidR="00D0208A" w:rsidRPr="00510442">
              <w:rPr>
                <w:color w:val="000000"/>
                <w:lang w:val="hr-HR"/>
              </w:rPr>
              <w:t>i.v.</w:t>
            </w:r>
            <w:r w:rsidRPr="00510442">
              <w:rPr>
                <w:color w:val="000000"/>
                <w:lang w:val="hr-HR"/>
              </w:rPr>
              <w:t>): dani 22</w:t>
            </w:r>
            <w:r w:rsidRPr="00510442">
              <w:rPr>
                <w:color w:val="000000"/>
                <w:lang w:val="hr-HR"/>
              </w:rPr>
              <w:noBreakHyphen/>
              <w:t>26</w:t>
            </w:r>
          </w:p>
          <w:p w14:paraId="3DAD9B52" w14:textId="77777777" w:rsidR="00D50F9F" w:rsidRPr="00510442" w:rsidRDefault="00D50F9F" w:rsidP="00A364C3">
            <w:pPr>
              <w:pStyle w:val="EndnoteText"/>
              <w:widowControl w:val="0"/>
              <w:rPr>
                <w:color w:val="000000"/>
                <w:lang w:val="hr-HR"/>
              </w:rPr>
            </w:pPr>
            <w:r w:rsidRPr="00510442">
              <w:rPr>
                <w:color w:val="000000"/>
                <w:lang w:val="hr-HR"/>
              </w:rPr>
              <w:t>CPM (300 mg/m</w:t>
            </w:r>
            <w:r w:rsidRPr="00510442">
              <w:rPr>
                <w:color w:val="000000"/>
                <w:vertAlign w:val="superscript"/>
                <w:lang w:val="hr-HR"/>
              </w:rPr>
              <w:t>2</w:t>
            </w:r>
            <w:r w:rsidRPr="00510442">
              <w:rPr>
                <w:color w:val="000000"/>
                <w:lang w:val="hr-HR"/>
              </w:rPr>
              <w:t xml:space="preserve">/dan, </w:t>
            </w:r>
            <w:r w:rsidR="00D0208A" w:rsidRPr="00510442">
              <w:rPr>
                <w:color w:val="000000"/>
                <w:lang w:val="hr-HR"/>
              </w:rPr>
              <w:t>i.v.</w:t>
            </w:r>
            <w:r w:rsidRPr="00510442">
              <w:rPr>
                <w:color w:val="000000"/>
                <w:lang w:val="hr-HR"/>
              </w:rPr>
              <w:t>): dani 22</w:t>
            </w:r>
            <w:r w:rsidRPr="00510442">
              <w:rPr>
                <w:color w:val="000000"/>
                <w:lang w:val="hr-HR"/>
              </w:rPr>
              <w:noBreakHyphen/>
              <w:t>26</w:t>
            </w:r>
          </w:p>
          <w:p w14:paraId="482C5ED9" w14:textId="77777777" w:rsidR="00D50F9F" w:rsidRPr="00510442" w:rsidRDefault="00D50F9F" w:rsidP="00A364C3">
            <w:pPr>
              <w:pStyle w:val="EndnoteText"/>
              <w:widowControl w:val="0"/>
              <w:rPr>
                <w:color w:val="000000"/>
                <w:lang w:val="hr-HR"/>
              </w:rPr>
            </w:pPr>
            <w:r w:rsidRPr="00510442">
              <w:rPr>
                <w:color w:val="000000"/>
                <w:lang w:val="hr-HR"/>
              </w:rPr>
              <w:t>MESNA (150 mg/m</w:t>
            </w:r>
            <w:r w:rsidRPr="00510442">
              <w:rPr>
                <w:color w:val="000000"/>
                <w:vertAlign w:val="superscript"/>
                <w:lang w:val="hr-HR"/>
              </w:rPr>
              <w:t>2</w:t>
            </w:r>
            <w:r w:rsidRPr="00510442">
              <w:rPr>
                <w:color w:val="000000"/>
                <w:lang w:val="hr-HR"/>
              </w:rPr>
              <w:t xml:space="preserve">/dan, </w:t>
            </w:r>
            <w:r w:rsidR="00D0208A" w:rsidRPr="00510442">
              <w:rPr>
                <w:color w:val="000000"/>
                <w:lang w:val="hr-HR"/>
              </w:rPr>
              <w:t>i.v.</w:t>
            </w:r>
            <w:r w:rsidRPr="00510442">
              <w:rPr>
                <w:color w:val="000000"/>
                <w:lang w:val="hr-HR"/>
              </w:rPr>
              <w:t>): dani 22</w:t>
            </w:r>
            <w:r w:rsidRPr="00510442">
              <w:rPr>
                <w:color w:val="000000"/>
                <w:lang w:val="hr-HR"/>
              </w:rPr>
              <w:noBreakHyphen/>
              <w:t>26</w:t>
            </w:r>
          </w:p>
          <w:p w14:paraId="693F7E4D" w14:textId="77777777" w:rsidR="00D50F9F" w:rsidRPr="00510442" w:rsidRDefault="00D50F9F" w:rsidP="00A364C3">
            <w:pPr>
              <w:pStyle w:val="EndnoteText"/>
              <w:widowControl w:val="0"/>
              <w:rPr>
                <w:color w:val="000000"/>
                <w:lang w:val="hr-HR"/>
              </w:rPr>
            </w:pPr>
            <w:r w:rsidRPr="00510442">
              <w:rPr>
                <w:color w:val="000000"/>
                <w:lang w:val="hr-HR"/>
              </w:rPr>
              <w:t xml:space="preserve">G-CSF (5 μg/kg, </w:t>
            </w:r>
            <w:r w:rsidR="00D0208A" w:rsidRPr="00510442">
              <w:rPr>
                <w:color w:val="000000"/>
                <w:lang w:val="hr-HR"/>
              </w:rPr>
              <w:t>s.c.</w:t>
            </w:r>
            <w:r w:rsidRPr="00510442">
              <w:rPr>
                <w:color w:val="000000"/>
                <w:lang w:val="hr-HR"/>
              </w:rPr>
              <w:t>): dani 27</w:t>
            </w:r>
            <w:r w:rsidRPr="00510442">
              <w:rPr>
                <w:color w:val="000000"/>
                <w:lang w:val="hr-HR"/>
              </w:rPr>
              <w:noBreakHyphen/>
              <w:t xml:space="preserve">36 ili do </w:t>
            </w:r>
            <w:r w:rsidR="00E145E9" w:rsidRPr="00510442">
              <w:rPr>
                <w:color w:val="000000"/>
                <w:lang w:val="hr-HR"/>
              </w:rPr>
              <w:t>porasta ANC &gt;1500 nakon najniže izmjerene vrijednosti</w:t>
            </w:r>
          </w:p>
          <w:p w14:paraId="43DD3726" w14:textId="77777777" w:rsidR="00D50F9F" w:rsidRPr="00510442" w:rsidRDefault="00D50F9F" w:rsidP="00A364C3">
            <w:pPr>
              <w:pStyle w:val="EndnoteText"/>
              <w:widowControl w:val="0"/>
              <w:rPr>
                <w:color w:val="000000"/>
                <w:lang w:val="hr-HR"/>
              </w:rPr>
            </w:pPr>
            <w:r w:rsidRPr="00510442">
              <w:rPr>
                <w:color w:val="000000"/>
                <w:lang w:val="hr-HR"/>
              </w:rPr>
              <w:t>ARA-C (3</w:t>
            </w:r>
            <w:r w:rsidR="00342ABE" w:rsidRPr="00510442">
              <w:rPr>
                <w:color w:val="000000"/>
                <w:lang w:val="hr-HR"/>
              </w:rPr>
              <w:t> </w:t>
            </w:r>
            <w:r w:rsidRPr="00510442">
              <w:rPr>
                <w:color w:val="000000"/>
                <w:lang w:val="hr-HR"/>
              </w:rPr>
              <w:t>g/m</w:t>
            </w:r>
            <w:r w:rsidRPr="00510442">
              <w:rPr>
                <w:color w:val="000000"/>
                <w:vertAlign w:val="superscript"/>
                <w:lang w:val="hr-HR"/>
              </w:rPr>
              <w:t>2</w:t>
            </w:r>
            <w:r w:rsidRPr="00510442">
              <w:rPr>
                <w:color w:val="000000"/>
                <w:lang w:val="hr-HR"/>
              </w:rPr>
              <w:t>, svakih 12</w:t>
            </w:r>
            <w:r w:rsidR="00342ABE" w:rsidRPr="00510442">
              <w:rPr>
                <w:color w:val="000000"/>
                <w:lang w:val="hr-HR"/>
              </w:rPr>
              <w:t> </w:t>
            </w:r>
            <w:r w:rsidRPr="00510442">
              <w:rPr>
                <w:color w:val="000000"/>
                <w:lang w:val="hr-HR"/>
              </w:rPr>
              <w:t xml:space="preserve">sati, </w:t>
            </w:r>
            <w:r w:rsidR="00D0208A" w:rsidRPr="00510442">
              <w:rPr>
                <w:color w:val="000000"/>
                <w:lang w:val="hr-HR"/>
              </w:rPr>
              <w:t>i.v.</w:t>
            </w:r>
            <w:r w:rsidRPr="00510442">
              <w:rPr>
                <w:color w:val="000000"/>
                <w:lang w:val="hr-HR"/>
              </w:rPr>
              <w:t>): dani 43, 44</w:t>
            </w:r>
          </w:p>
          <w:p w14:paraId="18998B38" w14:textId="77777777" w:rsidR="00D50F9F" w:rsidRPr="00510442" w:rsidRDefault="00D50F9F" w:rsidP="00D0208A">
            <w:pPr>
              <w:pStyle w:val="EndnoteText"/>
              <w:widowControl w:val="0"/>
              <w:rPr>
                <w:color w:val="000000"/>
                <w:lang w:val="hr-HR"/>
              </w:rPr>
            </w:pPr>
            <w:r w:rsidRPr="00510442">
              <w:rPr>
                <w:color w:val="000000"/>
                <w:lang w:val="hr-HR"/>
              </w:rPr>
              <w:t>L-ASP (6000 IU/m</w:t>
            </w:r>
            <w:r w:rsidRPr="00510442">
              <w:rPr>
                <w:color w:val="000000"/>
                <w:vertAlign w:val="superscript"/>
                <w:lang w:val="hr-HR"/>
              </w:rPr>
              <w:t>2</w:t>
            </w:r>
            <w:r w:rsidRPr="00510442">
              <w:rPr>
                <w:color w:val="000000"/>
                <w:lang w:val="hr-HR"/>
              </w:rPr>
              <w:t xml:space="preserve">, </w:t>
            </w:r>
            <w:r w:rsidR="00D0208A" w:rsidRPr="00510442">
              <w:rPr>
                <w:color w:val="000000"/>
                <w:lang w:val="hr-HR"/>
              </w:rPr>
              <w:t>i.m.</w:t>
            </w:r>
            <w:r w:rsidRPr="00510442">
              <w:rPr>
                <w:color w:val="000000"/>
                <w:lang w:val="hr-HR"/>
              </w:rPr>
              <w:t>): dan 44</w:t>
            </w:r>
          </w:p>
        </w:tc>
      </w:tr>
      <w:tr w:rsidR="00D50F9F" w:rsidRPr="00F410C8" w14:paraId="42D97283" w14:textId="77777777" w:rsidTr="003179A4">
        <w:trPr>
          <w:cantSplit/>
        </w:trPr>
        <w:tc>
          <w:tcPr>
            <w:tcW w:w="2358" w:type="dxa"/>
            <w:shd w:val="clear" w:color="auto" w:fill="auto"/>
          </w:tcPr>
          <w:p w14:paraId="73A950C1" w14:textId="77777777" w:rsidR="00D50F9F" w:rsidRPr="00510442" w:rsidRDefault="00D50F9F" w:rsidP="00A364C3">
            <w:pPr>
              <w:pStyle w:val="EndnoteText"/>
              <w:widowControl w:val="0"/>
              <w:rPr>
                <w:color w:val="000000"/>
                <w:lang w:val="hr-HR"/>
              </w:rPr>
            </w:pPr>
            <w:r w:rsidRPr="00510442">
              <w:rPr>
                <w:color w:val="000000"/>
                <w:lang w:val="hr-HR"/>
              </w:rPr>
              <w:t>Održavanje</w:t>
            </w:r>
          </w:p>
          <w:p w14:paraId="418BE131" w14:textId="77777777" w:rsidR="00D50F9F" w:rsidRPr="00510442" w:rsidRDefault="00D50F9F" w:rsidP="00A364C3">
            <w:pPr>
              <w:pStyle w:val="EndnoteText"/>
              <w:widowControl w:val="0"/>
              <w:rPr>
                <w:color w:val="000000"/>
                <w:lang w:val="hr-HR"/>
              </w:rPr>
            </w:pPr>
            <w:r w:rsidRPr="00510442">
              <w:rPr>
                <w:color w:val="000000"/>
                <w:lang w:val="hr-HR"/>
              </w:rPr>
              <w:t>(8-tjedni ciklusi)</w:t>
            </w:r>
          </w:p>
          <w:p w14:paraId="2E4AEFFD" w14:textId="77777777" w:rsidR="00D50F9F" w:rsidRPr="00510442" w:rsidRDefault="00D50F9F" w:rsidP="00860EBC">
            <w:pPr>
              <w:pStyle w:val="EndnoteText"/>
              <w:widowControl w:val="0"/>
              <w:rPr>
                <w:color w:val="000000"/>
                <w:lang w:val="hr-HR"/>
              </w:rPr>
            </w:pPr>
            <w:r w:rsidRPr="00510442">
              <w:rPr>
                <w:color w:val="000000"/>
                <w:lang w:val="hr-HR"/>
              </w:rPr>
              <w:t>Ciklusi 1–4</w:t>
            </w:r>
          </w:p>
        </w:tc>
        <w:tc>
          <w:tcPr>
            <w:tcW w:w="6929" w:type="dxa"/>
            <w:shd w:val="clear" w:color="auto" w:fill="auto"/>
          </w:tcPr>
          <w:p w14:paraId="0BE598ED" w14:textId="77777777" w:rsidR="00D50F9F" w:rsidRPr="00510442" w:rsidRDefault="00D50F9F" w:rsidP="00A364C3">
            <w:pPr>
              <w:pStyle w:val="EndnoteText"/>
              <w:widowControl w:val="0"/>
              <w:rPr>
                <w:color w:val="000000"/>
                <w:lang w:val="hr-HR"/>
              </w:rPr>
            </w:pPr>
            <w:r w:rsidRPr="00510442">
              <w:rPr>
                <w:color w:val="000000"/>
                <w:lang w:val="hr-HR"/>
              </w:rPr>
              <w:t>MTX (5 g/m</w:t>
            </w:r>
            <w:r w:rsidRPr="00510442">
              <w:rPr>
                <w:color w:val="000000"/>
                <w:vertAlign w:val="superscript"/>
                <w:lang w:val="hr-HR"/>
              </w:rPr>
              <w:t>2</w:t>
            </w:r>
            <w:r w:rsidRPr="00510442">
              <w:rPr>
                <w:color w:val="000000"/>
                <w:lang w:val="hr-HR"/>
              </w:rPr>
              <w:t xml:space="preserve"> kroz 24 sata, </w:t>
            </w:r>
            <w:r w:rsidR="00D0208A" w:rsidRPr="00510442">
              <w:rPr>
                <w:color w:val="000000"/>
                <w:lang w:val="hr-HR"/>
              </w:rPr>
              <w:t>i.v.</w:t>
            </w:r>
            <w:r w:rsidRPr="00510442">
              <w:rPr>
                <w:color w:val="000000"/>
                <w:lang w:val="hr-HR"/>
              </w:rPr>
              <w:t>): dan 1</w:t>
            </w:r>
          </w:p>
          <w:p w14:paraId="022871AD" w14:textId="77777777" w:rsidR="00D50F9F" w:rsidRPr="00510442" w:rsidRDefault="00D50F9F" w:rsidP="00A364C3">
            <w:pPr>
              <w:pStyle w:val="EndnoteText"/>
              <w:widowControl w:val="0"/>
              <w:rPr>
                <w:color w:val="000000"/>
                <w:lang w:val="hr-HR"/>
              </w:rPr>
            </w:pPr>
            <w:r w:rsidRPr="00510442">
              <w:rPr>
                <w:color w:val="000000"/>
                <w:lang w:val="hr-HR"/>
              </w:rPr>
              <w:t>Leucovorin (75 mg/m</w:t>
            </w:r>
            <w:r w:rsidRPr="00510442">
              <w:rPr>
                <w:color w:val="000000"/>
                <w:vertAlign w:val="superscript"/>
                <w:lang w:val="hr-HR"/>
              </w:rPr>
              <w:t>2</w:t>
            </w:r>
            <w:r w:rsidRPr="00510442">
              <w:rPr>
                <w:color w:val="000000"/>
                <w:lang w:val="hr-HR"/>
              </w:rPr>
              <w:t xml:space="preserve"> u 36.</w:t>
            </w:r>
            <w:r w:rsidR="00342ABE" w:rsidRPr="00510442">
              <w:rPr>
                <w:color w:val="000000"/>
                <w:lang w:val="hr-HR"/>
              </w:rPr>
              <w:t> </w:t>
            </w:r>
            <w:r w:rsidRPr="00510442">
              <w:rPr>
                <w:color w:val="000000"/>
                <w:lang w:val="hr-HR"/>
              </w:rPr>
              <w:t xml:space="preserve">satu, </w:t>
            </w:r>
            <w:r w:rsidR="00D0208A" w:rsidRPr="00510442">
              <w:rPr>
                <w:color w:val="000000"/>
                <w:lang w:val="hr-HR"/>
              </w:rPr>
              <w:t>i.v.</w:t>
            </w:r>
            <w:r w:rsidRPr="00510442">
              <w:rPr>
                <w:color w:val="000000"/>
                <w:lang w:val="hr-HR"/>
              </w:rPr>
              <w:t>; 15 mg/m</w:t>
            </w:r>
            <w:r w:rsidRPr="00510442">
              <w:rPr>
                <w:color w:val="000000"/>
                <w:vertAlign w:val="superscript"/>
                <w:lang w:val="hr-HR"/>
              </w:rPr>
              <w:t>2</w:t>
            </w:r>
            <w:r w:rsidRPr="00510442">
              <w:rPr>
                <w:color w:val="000000"/>
                <w:lang w:val="hr-HR"/>
              </w:rPr>
              <w:t xml:space="preserve"> </w:t>
            </w:r>
            <w:r w:rsidR="00D0208A" w:rsidRPr="00510442">
              <w:rPr>
                <w:color w:val="000000"/>
                <w:lang w:val="hr-HR"/>
              </w:rPr>
              <w:t>i.v.</w:t>
            </w:r>
            <w:r w:rsidRPr="00510442">
              <w:rPr>
                <w:color w:val="000000"/>
                <w:lang w:val="hr-HR"/>
              </w:rPr>
              <w:t xml:space="preserve"> ili </w:t>
            </w:r>
            <w:r w:rsidR="00D0208A" w:rsidRPr="00510442">
              <w:rPr>
                <w:color w:val="000000"/>
                <w:lang w:val="hr-HR"/>
              </w:rPr>
              <w:t>p.o.</w:t>
            </w:r>
            <w:r w:rsidRPr="00510442">
              <w:rPr>
                <w:color w:val="000000"/>
                <w:lang w:val="hr-HR"/>
              </w:rPr>
              <w:t xml:space="preserve"> svakih 6</w:t>
            </w:r>
            <w:r w:rsidR="00342ABE" w:rsidRPr="00510442">
              <w:rPr>
                <w:color w:val="000000"/>
                <w:lang w:val="hr-HR"/>
              </w:rPr>
              <w:t> </w:t>
            </w:r>
            <w:r w:rsidRPr="00510442">
              <w:rPr>
                <w:color w:val="000000"/>
                <w:lang w:val="hr-HR"/>
              </w:rPr>
              <w:t>sati x 6</w:t>
            </w:r>
            <w:r w:rsidR="00342ABE" w:rsidRPr="00510442">
              <w:rPr>
                <w:color w:val="000000"/>
                <w:lang w:val="hr-HR"/>
              </w:rPr>
              <w:t> </w:t>
            </w:r>
            <w:r w:rsidRPr="00510442">
              <w:rPr>
                <w:color w:val="000000"/>
                <w:lang w:val="hr-HR"/>
              </w:rPr>
              <w:t>doza)</w:t>
            </w:r>
            <w:r w:rsidR="00342ABE" w:rsidRPr="00510442">
              <w:rPr>
                <w:color w:val="000000"/>
                <w:lang w:val="hr-HR"/>
              </w:rPr>
              <w:t xml:space="preserve"> </w:t>
            </w:r>
            <w:r w:rsidRPr="00510442">
              <w:rPr>
                <w:color w:val="000000"/>
                <w:lang w:val="hr-HR"/>
              </w:rPr>
              <w:t>iii: dani 2 i 3</w:t>
            </w:r>
          </w:p>
          <w:p w14:paraId="649DA873" w14:textId="77777777" w:rsidR="00D50F9F" w:rsidRPr="00510442" w:rsidRDefault="00D50F9F" w:rsidP="00A364C3">
            <w:pPr>
              <w:pStyle w:val="EndnoteText"/>
              <w:widowControl w:val="0"/>
              <w:rPr>
                <w:color w:val="000000"/>
                <w:lang w:val="hr-HR"/>
              </w:rPr>
            </w:pPr>
            <w:r w:rsidRPr="00510442">
              <w:rPr>
                <w:color w:val="000000"/>
                <w:lang w:val="hr-HR"/>
              </w:rPr>
              <w:t xml:space="preserve">Trostruka </w:t>
            </w:r>
            <w:r w:rsidR="00D0208A" w:rsidRPr="00510442">
              <w:rPr>
                <w:color w:val="000000"/>
                <w:lang w:val="hr-HR"/>
              </w:rPr>
              <w:t>i.t.</w:t>
            </w:r>
            <w:r w:rsidRPr="00510442">
              <w:rPr>
                <w:color w:val="000000"/>
                <w:lang w:val="hr-HR"/>
              </w:rPr>
              <w:t xml:space="preserve"> terapija (prilagođena dobi): dani 1, 29</w:t>
            </w:r>
          </w:p>
          <w:p w14:paraId="0F54433C" w14:textId="77777777" w:rsidR="00D50F9F" w:rsidRPr="00510442" w:rsidRDefault="00D50F9F" w:rsidP="00A364C3">
            <w:pPr>
              <w:pStyle w:val="EndnoteText"/>
              <w:widowControl w:val="0"/>
              <w:rPr>
                <w:color w:val="000000"/>
                <w:lang w:val="hr-HR"/>
              </w:rPr>
            </w:pPr>
            <w:r w:rsidRPr="00510442">
              <w:rPr>
                <w:color w:val="000000"/>
                <w:lang w:val="hr-HR"/>
              </w:rPr>
              <w:t>VCR (1,5 mg/m</w:t>
            </w:r>
            <w:r w:rsidRPr="00510442">
              <w:rPr>
                <w:color w:val="000000"/>
                <w:vertAlign w:val="superscript"/>
                <w:lang w:val="hr-HR"/>
              </w:rPr>
              <w:t>2</w:t>
            </w:r>
            <w:r w:rsidRPr="00510442">
              <w:rPr>
                <w:color w:val="000000"/>
                <w:lang w:val="hr-HR"/>
              </w:rPr>
              <w:t xml:space="preserve">, </w:t>
            </w:r>
            <w:r w:rsidR="00D0208A" w:rsidRPr="00510442">
              <w:rPr>
                <w:color w:val="000000"/>
                <w:lang w:val="hr-HR"/>
              </w:rPr>
              <w:t>i.v.</w:t>
            </w:r>
            <w:r w:rsidRPr="00510442">
              <w:rPr>
                <w:color w:val="000000"/>
                <w:lang w:val="hr-HR"/>
              </w:rPr>
              <w:t>): dani 1, 29</w:t>
            </w:r>
          </w:p>
          <w:p w14:paraId="2EA41E27" w14:textId="77777777" w:rsidR="00D50F9F" w:rsidRPr="00510442" w:rsidRDefault="00D50F9F" w:rsidP="00A364C3">
            <w:pPr>
              <w:pStyle w:val="EndnoteText"/>
              <w:widowControl w:val="0"/>
              <w:rPr>
                <w:color w:val="000000"/>
                <w:lang w:val="hr-HR"/>
              </w:rPr>
            </w:pPr>
            <w:r w:rsidRPr="00510442">
              <w:rPr>
                <w:color w:val="000000"/>
                <w:lang w:val="hr-HR"/>
              </w:rPr>
              <w:t>DEX (6 mg/m</w:t>
            </w:r>
            <w:r w:rsidRPr="00510442">
              <w:rPr>
                <w:color w:val="000000"/>
                <w:vertAlign w:val="superscript"/>
                <w:lang w:val="hr-HR"/>
              </w:rPr>
              <w:t>2</w:t>
            </w:r>
            <w:r w:rsidRPr="00510442">
              <w:rPr>
                <w:color w:val="000000"/>
                <w:lang w:val="hr-HR"/>
              </w:rPr>
              <w:t xml:space="preserve">/dan, </w:t>
            </w:r>
            <w:r w:rsidR="00D0208A" w:rsidRPr="00510442">
              <w:rPr>
                <w:color w:val="000000"/>
                <w:lang w:val="hr-HR"/>
              </w:rPr>
              <w:t>p.o.</w:t>
            </w:r>
            <w:r w:rsidRPr="00510442">
              <w:rPr>
                <w:color w:val="000000"/>
                <w:lang w:val="hr-HR"/>
              </w:rPr>
              <w:t>): dani 1</w:t>
            </w:r>
            <w:r w:rsidRPr="00510442">
              <w:rPr>
                <w:color w:val="000000"/>
                <w:lang w:val="hr-HR"/>
              </w:rPr>
              <w:noBreakHyphen/>
              <w:t>5; 29</w:t>
            </w:r>
            <w:r w:rsidRPr="00510442">
              <w:rPr>
                <w:color w:val="000000"/>
                <w:lang w:val="hr-HR"/>
              </w:rPr>
              <w:noBreakHyphen/>
              <w:t>33</w:t>
            </w:r>
          </w:p>
          <w:p w14:paraId="69259156" w14:textId="77777777" w:rsidR="00D50F9F" w:rsidRPr="00510442" w:rsidRDefault="00D50F9F" w:rsidP="00A364C3">
            <w:pPr>
              <w:pStyle w:val="EndnoteText"/>
              <w:widowControl w:val="0"/>
              <w:rPr>
                <w:color w:val="000000"/>
                <w:lang w:val="hr-HR"/>
              </w:rPr>
            </w:pPr>
            <w:r w:rsidRPr="00510442">
              <w:rPr>
                <w:color w:val="000000"/>
                <w:lang w:val="hr-HR"/>
              </w:rPr>
              <w:t>6-MP (75 mg/m</w:t>
            </w:r>
            <w:r w:rsidRPr="00510442">
              <w:rPr>
                <w:color w:val="000000"/>
                <w:vertAlign w:val="superscript"/>
                <w:lang w:val="hr-HR"/>
              </w:rPr>
              <w:t>2</w:t>
            </w:r>
            <w:r w:rsidRPr="00510442">
              <w:rPr>
                <w:color w:val="000000"/>
                <w:lang w:val="hr-HR"/>
              </w:rPr>
              <w:t xml:space="preserve">/dan, </w:t>
            </w:r>
            <w:r w:rsidR="00D0208A" w:rsidRPr="00510442">
              <w:rPr>
                <w:color w:val="000000"/>
                <w:lang w:val="hr-HR"/>
              </w:rPr>
              <w:t>p.o.</w:t>
            </w:r>
            <w:r w:rsidRPr="00510442">
              <w:rPr>
                <w:color w:val="000000"/>
                <w:lang w:val="hr-HR"/>
              </w:rPr>
              <w:t>): dani 8-28</w:t>
            </w:r>
          </w:p>
          <w:p w14:paraId="614581E8" w14:textId="77777777" w:rsidR="00D50F9F" w:rsidRPr="00510442" w:rsidRDefault="00D50F9F" w:rsidP="00A364C3">
            <w:pPr>
              <w:pStyle w:val="EndnoteText"/>
              <w:widowControl w:val="0"/>
              <w:rPr>
                <w:color w:val="000000"/>
                <w:lang w:val="hr-HR"/>
              </w:rPr>
            </w:pPr>
            <w:r w:rsidRPr="00510442">
              <w:rPr>
                <w:color w:val="000000"/>
                <w:lang w:val="hr-HR"/>
              </w:rPr>
              <w:t>Metotreksat (20 mg/m</w:t>
            </w:r>
            <w:r w:rsidRPr="00510442">
              <w:rPr>
                <w:color w:val="000000"/>
                <w:vertAlign w:val="superscript"/>
                <w:lang w:val="hr-HR"/>
              </w:rPr>
              <w:t>2</w:t>
            </w:r>
            <w:r w:rsidRPr="00510442">
              <w:rPr>
                <w:color w:val="000000"/>
                <w:lang w:val="hr-HR"/>
              </w:rPr>
              <w:t xml:space="preserve">/tjedan, </w:t>
            </w:r>
            <w:r w:rsidR="00D0208A" w:rsidRPr="00510442">
              <w:rPr>
                <w:color w:val="000000"/>
                <w:lang w:val="hr-HR"/>
              </w:rPr>
              <w:t>p.o.</w:t>
            </w:r>
            <w:r w:rsidRPr="00510442">
              <w:rPr>
                <w:color w:val="000000"/>
                <w:lang w:val="hr-HR"/>
              </w:rPr>
              <w:t>): dani 8, 15, 22</w:t>
            </w:r>
          </w:p>
          <w:p w14:paraId="4295902D" w14:textId="77777777" w:rsidR="00D50F9F" w:rsidRPr="00510442" w:rsidRDefault="00D50F9F" w:rsidP="00A364C3">
            <w:pPr>
              <w:pStyle w:val="EndnoteText"/>
              <w:widowControl w:val="0"/>
              <w:rPr>
                <w:color w:val="000000"/>
                <w:lang w:val="hr-HR"/>
              </w:rPr>
            </w:pPr>
            <w:r w:rsidRPr="00510442">
              <w:rPr>
                <w:color w:val="000000"/>
                <w:lang w:val="hr-HR"/>
              </w:rPr>
              <w:t>VP-16 (100 mg/m</w:t>
            </w:r>
            <w:r w:rsidRPr="00510442">
              <w:rPr>
                <w:color w:val="000000"/>
                <w:vertAlign w:val="superscript"/>
                <w:lang w:val="hr-HR"/>
              </w:rPr>
              <w:t>2</w:t>
            </w:r>
            <w:r w:rsidRPr="00510442">
              <w:rPr>
                <w:color w:val="000000"/>
                <w:lang w:val="hr-HR"/>
              </w:rPr>
              <w:t xml:space="preserve">, </w:t>
            </w:r>
            <w:r w:rsidR="00D0208A" w:rsidRPr="00510442">
              <w:rPr>
                <w:color w:val="000000"/>
                <w:lang w:val="hr-HR"/>
              </w:rPr>
              <w:t>i.v.</w:t>
            </w:r>
            <w:r w:rsidRPr="00510442">
              <w:rPr>
                <w:color w:val="000000"/>
                <w:lang w:val="hr-HR"/>
              </w:rPr>
              <w:t>): dani 29</w:t>
            </w:r>
            <w:r w:rsidRPr="00510442">
              <w:rPr>
                <w:color w:val="000000"/>
                <w:lang w:val="hr-HR"/>
              </w:rPr>
              <w:noBreakHyphen/>
              <w:t>33</w:t>
            </w:r>
          </w:p>
          <w:p w14:paraId="7EC8E197" w14:textId="77777777" w:rsidR="00D50F9F" w:rsidRPr="00510442" w:rsidRDefault="00D50F9F" w:rsidP="00A364C3">
            <w:pPr>
              <w:pStyle w:val="EndnoteText"/>
              <w:widowControl w:val="0"/>
              <w:rPr>
                <w:color w:val="000000"/>
                <w:lang w:val="hr-HR"/>
              </w:rPr>
            </w:pPr>
            <w:r w:rsidRPr="00510442">
              <w:rPr>
                <w:color w:val="000000"/>
                <w:lang w:val="hr-HR"/>
              </w:rPr>
              <w:t>CPM (300 mg/m</w:t>
            </w:r>
            <w:r w:rsidRPr="00510442">
              <w:rPr>
                <w:color w:val="000000"/>
                <w:vertAlign w:val="superscript"/>
                <w:lang w:val="hr-HR"/>
              </w:rPr>
              <w:t>2</w:t>
            </w:r>
            <w:r w:rsidRPr="00510442">
              <w:rPr>
                <w:color w:val="000000"/>
                <w:lang w:val="hr-HR"/>
              </w:rPr>
              <w:t xml:space="preserve">, </w:t>
            </w:r>
            <w:r w:rsidR="00D0208A" w:rsidRPr="00510442">
              <w:rPr>
                <w:color w:val="000000"/>
                <w:lang w:val="hr-HR"/>
              </w:rPr>
              <w:t>i.v.</w:t>
            </w:r>
            <w:r w:rsidRPr="00510442">
              <w:rPr>
                <w:color w:val="000000"/>
                <w:lang w:val="hr-HR"/>
              </w:rPr>
              <w:t>): dani 29</w:t>
            </w:r>
            <w:r w:rsidRPr="00510442">
              <w:rPr>
                <w:color w:val="000000"/>
                <w:lang w:val="hr-HR"/>
              </w:rPr>
              <w:noBreakHyphen/>
              <w:t>33</w:t>
            </w:r>
          </w:p>
          <w:p w14:paraId="7B83567D" w14:textId="77777777" w:rsidR="00D50F9F" w:rsidRPr="00510442" w:rsidRDefault="00D50F9F" w:rsidP="00A364C3">
            <w:pPr>
              <w:pStyle w:val="EndnoteText"/>
              <w:widowControl w:val="0"/>
              <w:rPr>
                <w:color w:val="000000"/>
                <w:lang w:val="hr-HR"/>
              </w:rPr>
            </w:pPr>
            <w:r w:rsidRPr="00510442">
              <w:rPr>
                <w:color w:val="000000"/>
                <w:lang w:val="hr-HR"/>
              </w:rPr>
              <w:t>M</w:t>
            </w:r>
            <w:r w:rsidR="008C33AB" w:rsidRPr="00510442">
              <w:rPr>
                <w:color w:val="000000"/>
                <w:lang w:val="hr-HR"/>
              </w:rPr>
              <w:t>ESNA</w:t>
            </w:r>
            <w:r w:rsidRPr="00510442">
              <w:rPr>
                <w:color w:val="000000"/>
                <w:lang w:val="hr-HR"/>
              </w:rPr>
              <w:t xml:space="preserve"> </w:t>
            </w:r>
            <w:r w:rsidR="00D0208A" w:rsidRPr="00510442">
              <w:rPr>
                <w:color w:val="000000"/>
                <w:lang w:val="hr-HR"/>
              </w:rPr>
              <w:t>i.v.</w:t>
            </w:r>
            <w:r w:rsidRPr="00510442">
              <w:rPr>
                <w:color w:val="000000"/>
                <w:lang w:val="hr-HR"/>
              </w:rPr>
              <w:t>, dani 29</w:t>
            </w:r>
            <w:r w:rsidRPr="00510442">
              <w:rPr>
                <w:color w:val="000000"/>
                <w:lang w:val="hr-HR"/>
              </w:rPr>
              <w:noBreakHyphen/>
              <w:t>33</w:t>
            </w:r>
          </w:p>
          <w:p w14:paraId="7899E454" w14:textId="77777777" w:rsidR="00D50F9F" w:rsidRPr="00510442" w:rsidRDefault="00D50F9F" w:rsidP="00D0208A">
            <w:pPr>
              <w:pStyle w:val="EndnoteText"/>
              <w:widowControl w:val="0"/>
              <w:rPr>
                <w:color w:val="000000"/>
                <w:lang w:val="hr-HR"/>
              </w:rPr>
            </w:pPr>
            <w:r w:rsidRPr="00510442">
              <w:rPr>
                <w:color w:val="000000"/>
                <w:lang w:val="hr-HR"/>
              </w:rPr>
              <w:t xml:space="preserve">G-CSF (5 μg/kg, </w:t>
            </w:r>
            <w:r w:rsidR="00D0208A" w:rsidRPr="00510442">
              <w:rPr>
                <w:color w:val="000000"/>
                <w:lang w:val="hr-HR"/>
              </w:rPr>
              <w:t>s.c.</w:t>
            </w:r>
            <w:r w:rsidRPr="00510442">
              <w:rPr>
                <w:color w:val="000000"/>
                <w:lang w:val="hr-HR"/>
              </w:rPr>
              <w:t>): dani 34</w:t>
            </w:r>
            <w:r w:rsidRPr="00510442">
              <w:rPr>
                <w:color w:val="000000"/>
                <w:lang w:val="hr-HR"/>
              </w:rPr>
              <w:noBreakHyphen/>
              <w:t>43</w:t>
            </w:r>
          </w:p>
        </w:tc>
      </w:tr>
      <w:tr w:rsidR="00D50F9F" w:rsidRPr="00F410C8" w14:paraId="1A50A9D2" w14:textId="77777777" w:rsidTr="003179A4">
        <w:trPr>
          <w:cantSplit/>
        </w:trPr>
        <w:tc>
          <w:tcPr>
            <w:tcW w:w="2358" w:type="dxa"/>
            <w:shd w:val="clear" w:color="auto" w:fill="auto"/>
          </w:tcPr>
          <w:p w14:paraId="2B0AD924" w14:textId="77777777" w:rsidR="00D50F9F" w:rsidRPr="00510442" w:rsidRDefault="00D50F9F" w:rsidP="00A364C3">
            <w:pPr>
              <w:pStyle w:val="EndnoteText"/>
              <w:widowControl w:val="0"/>
              <w:rPr>
                <w:color w:val="000000"/>
                <w:lang w:val="hr-HR"/>
              </w:rPr>
            </w:pPr>
            <w:r w:rsidRPr="00510442">
              <w:rPr>
                <w:color w:val="000000"/>
                <w:lang w:val="hr-HR"/>
              </w:rPr>
              <w:t>Održavanje</w:t>
            </w:r>
          </w:p>
          <w:p w14:paraId="5A3913D7" w14:textId="77777777" w:rsidR="00D50F9F" w:rsidRPr="00510442" w:rsidRDefault="00D50F9F" w:rsidP="00A364C3">
            <w:pPr>
              <w:pStyle w:val="EndnoteText"/>
              <w:widowControl w:val="0"/>
              <w:rPr>
                <w:color w:val="000000"/>
                <w:lang w:val="hr-HR"/>
              </w:rPr>
            </w:pPr>
            <w:r w:rsidRPr="00510442">
              <w:rPr>
                <w:color w:val="000000"/>
                <w:lang w:val="hr-HR"/>
              </w:rPr>
              <w:t>(8-tjedni ciklusi)</w:t>
            </w:r>
          </w:p>
          <w:p w14:paraId="5ABB102C" w14:textId="77777777" w:rsidR="00D50F9F" w:rsidRPr="00510442" w:rsidRDefault="00D50F9F" w:rsidP="00860EBC">
            <w:pPr>
              <w:pStyle w:val="EndnoteText"/>
              <w:widowControl w:val="0"/>
              <w:rPr>
                <w:color w:val="000000"/>
                <w:lang w:val="hr-HR"/>
              </w:rPr>
            </w:pPr>
            <w:r w:rsidRPr="00510442">
              <w:rPr>
                <w:color w:val="000000"/>
                <w:lang w:val="hr-HR"/>
              </w:rPr>
              <w:t>Ciklus 5</w:t>
            </w:r>
          </w:p>
        </w:tc>
        <w:tc>
          <w:tcPr>
            <w:tcW w:w="6929" w:type="dxa"/>
            <w:shd w:val="clear" w:color="auto" w:fill="auto"/>
          </w:tcPr>
          <w:p w14:paraId="5568457E" w14:textId="77777777" w:rsidR="00D50F9F" w:rsidRPr="00510442" w:rsidRDefault="00D50F9F" w:rsidP="00A364C3">
            <w:pPr>
              <w:pStyle w:val="EndnoteText"/>
              <w:widowControl w:val="0"/>
              <w:rPr>
                <w:color w:val="000000"/>
                <w:lang w:val="hr-HR"/>
              </w:rPr>
            </w:pPr>
            <w:r w:rsidRPr="00510442">
              <w:rPr>
                <w:color w:val="000000"/>
                <w:lang w:val="hr-HR"/>
              </w:rPr>
              <w:t>Kranijalna iradijacija (Samo blok br. 5)</w:t>
            </w:r>
          </w:p>
          <w:p w14:paraId="1C3EE6FD" w14:textId="77777777" w:rsidR="00D50F9F" w:rsidRPr="00510442" w:rsidRDefault="00D50F9F" w:rsidP="00A364C3">
            <w:pPr>
              <w:pStyle w:val="EndnoteText"/>
              <w:widowControl w:val="0"/>
              <w:rPr>
                <w:color w:val="000000"/>
                <w:lang w:val="hr-HR"/>
              </w:rPr>
            </w:pPr>
            <w:r w:rsidRPr="00510442">
              <w:rPr>
                <w:color w:val="000000"/>
                <w:lang w:val="hr-HR"/>
              </w:rPr>
              <w:t>12 Gy u 8</w:t>
            </w:r>
            <w:r w:rsidR="00342ABE" w:rsidRPr="00510442">
              <w:rPr>
                <w:color w:val="000000"/>
                <w:lang w:val="hr-HR"/>
              </w:rPr>
              <w:t> </w:t>
            </w:r>
            <w:r w:rsidRPr="00510442">
              <w:rPr>
                <w:color w:val="000000"/>
                <w:lang w:val="hr-HR"/>
              </w:rPr>
              <w:t>frakcija za sve bolesnike koji imaju CNS1 i CNS2 u trenutku dijagnoze</w:t>
            </w:r>
          </w:p>
          <w:p w14:paraId="3430472F" w14:textId="77777777" w:rsidR="00D50F9F" w:rsidRPr="00510442" w:rsidRDefault="00D50F9F" w:rsidP="00A364C3">
            <w:pPr>
              <w:pStyle w:val="EndnoteText"/>
              <w:widowControl w:val="0"/>
              <w:rPr>
                <w:color w:val="000000"/>
                <w:lang w:val="hr-HR"/>
              </w:rPr>
            </w:pPr>
            <w:r w:rsidRPr="00510442">
              <w:rPr>
                <w:color w:val="000000"/>
                <w:lang w:val="hr-HR"/>
              </w:rPr>
              <w:t>18 Gy u 10 frakcija za bolesnike koji imaju CNS3 u trenutku dijagnoze</w:t>
            </w:r>
          </w:p>
          <w:p w14:paraId="3B27B6A8" w14:textId="77777777" w:rsidR="00D50F9F" w:rsidRPr="00510442" w:rsidRDefault="00D50F9F" w:rsidP="00A364C3">
            <w:pPr>
              <w:pStyle w:val="EndnoteText"/>
              <w:widowControl w:val="0"/>
              <w:rPr>
                <w:color w:val="000000"/>
                <w:lang w:val="hr-HR"/>
              </w:rPr>
            </w:pPr>
            <w:r w:rsidRPr="00510442">
              <w:rPr>
                <w:color w:val="000000"/>
                <w:lang w:val="hr-HR"/>
              </w:rPr>
              <w:t>VCR (1,5 mg/m</w:t>
            </w:r>
            <w:r w:rsidRPr="00510442">
              <w:rPr>
                <w:color w:val="000000"/>
                <w:vertAlign w:val="superscript"/>
                <w:lang w:val="hr-HR"/>
              </w:rPr>
              <w:t>2</w:t>
            </w:r>
            <w:r w:rsidRPr="00510442">
              <w:rPr>
                <w:color w:val="000000"/>
                <w:lang w:val="hr-HR"/>
              </w:rPr>
              <w:t xml:space="preserve">/dan, </w:t>
            </w:r>
            <w:r w:rsidR="00D0208A" w:rsidRPr="00510442">
              <w:rPr>
                <w:color w:val="000000"/>
                <w:lang w:val="hr-HR"/>
              </w:rPr>
              <w:t>i.v.</w:t>
            </w:r>
            <w:r w:rsidRPr="00510442">
              <w:rPr>
                <w:color w:val="000000"/>
                <w:lang w:val="hr-HR"/>
              </w:rPr>
              <w:t>): dani 1, 29</w:t>
            </w:r>
          </w:p>
          <w:p w14:paraId="7D972A09" w14:textId="77777777" w:rsidR="00D50F9F" w:rsidRPr="00510442" w:rsidRDefault="00D50F9F" w:rsidP="00A364C3">
            <w:pPr>
              <w:pStyle w:val="EndnoteText"/>
              <w:widowControl w:val="0"/>
              <w:rPr>
                <w:color w:val="000000"/>
                <w:lang w:val="hr-HR"/>
              </w:rPr>
            </w:pPr>
            <w:r w:rsidRPr="00510442">
              <w:rPr>
                <w:color w:val="000000"/>
                <w:lang w:val="hr-HR"/>
              </w:rPr>
              <w:t>DEX (6</w:t>
            </w:r>
            <w:r w:rsidR="00342ABE" w:rsidRPr="00510442">
              <w:rPr>
                <w:color w:val="000000"/>
                <w:lang w:val="hr-HR"/>
              </w:rPr>
              <w:t> </w:t>
            </w:r>
            <w:r w:rsidRPr="00510442">
              <w:rPr>
                <w:color w:val="000000"/>
                <w:lang w:val="hr-HR"/>
              </w:rPr>
              <w:t>mg/m</w:t>
            </w:r>
            <w:r w:rsidRPr="00510442">
              <w:rPr>
                <w:color w:val="000000"/>
                <w:vertAlign w:val="superscript"/>
                <w:lang w:val="hr-HR"/>
              </w:rPr>
              <w:t>2</w:t>
            </w:r>
            <w:r w:rsidRPr="00510442">
              <w:rPr>
                <w:color w:val="000000"/>
                <w:lang w:val="hr-HR"/>
              </w:rPr>
              <w:t xml:space="preserve">/dan, </w:t>
            </w:r>
            <w:r w:rsidR="00D0208A" w:rsidRPr="00510442">
              <w:rPr>
                <w:color w:val="000000"/>
                <w:lang w:val="hr-HR"/>
              </w:rPr>
              <w:t>p.o.</w:t>
            </w:r>
            <w:r w:rsidRPr="00510442">
              <w:rPr>
                <w:color w:val="000000"/>
                <w:lang w:val="hr-HR"/>
              </w:rPr>
              <w:t>): dani 1</w:t>
            </w:r>
            <w:r w:rsidRPr="00510442">
              <w:rPr>
                <w:color w:val="000000"/>
                <w:lang w:val="hr-HR"/>
              </w:rPr>
              <w:noBreakHyphen/>
              <w:t>5; 29</w:t>
            </w:r>
            <w:r w:rsidRPr="00510442">
              <w:rPr>
                <w:color w:val="000000"/>
                <w:lang w:val="hr-HR"/>
              </w:rPr>
              <w:noBreakHyphen/>
              <w:t>33</w:t>
            </w:r>
          </w:p>
          <w:p w14:paraId="2B34A7C3" w14:textId="77777777" w:rsidR="00D50F9F" w:rsidRPr="00510442" w:rsidRDefault="00D50F9F" w:rsidP="00A364C3">
            <w:pPr>
              <w:pStyle w:val="EndnoteText"/>
              <w:widowControl w:val="0"/>
              <w:rPr>
                <w:color w:val="000000"/>
                <w:lang w:val="hr-HR"/>
              </w:rPr>
            </w:pPr>
            <w:r w:rsidRPr="00510442">
              <w:rPr>
                <w:color w:val="000000"/>
                <w:lang w:val="hr-HR"/>
              </w:rPr>
              <w:t>6-MP (75 mg/m</w:t>
            </w:r>
            <w:r w:rsidRPr="00510442">
              <w:rPr>
                <w:color w:val="000000"/>
                <w:vertAlign w:val="superscript"/>
                <w:lang w:val="hr-HR"/>
              </w:rPr>
              <w:t>2</w:t>
            </w:r>
            <w:r w:rsidRPr="00510442">
              <w:rPr>
                <w:color w:val="000000"/>
                <w:lang w:val="hr-HR"/>
              </w:rPr>
              <w:t xml:space="preserve">/dan, </w:t>
            </w:r>
            <w:r w:rsidR="00D0208A" w:rsidRPr="00510442">
              <w:rPr>
                <w:color w:val="000000"/>
                <w:lang w:val="hr-HR"/>
              </w:rPr>
              <w:t>p.o.</w:t>
            </w:r>
            <w:r w:rsidRPr="00510442">
              <w:rPr>
                <w:color w:val="000000"/>
                <w:lang w:val="hr-HR"/>
              </w:rPr>
              <w:t>): dani 11</w:t>
            </w:r>
            <w:r w:rsidRPr="00510442">
              <w:rPr>
                <w:color w:val="000000"/>
                <w:lang w:val="hr-HR"/>
              </w:rPr>
              <w:noBreakHyphen/>
              <w:t>56 (Uskratiti 6-MP tijekom 6</w:t>
            </w:r>
            <w:r w:rsidRPr="00510442">
              <w:rPr>
                <w:color w:val="000000"/>
                <w:lang w:val="hr-HR"/>
              </w:rPr>
              <w:noBreakHyphen/>
              <w:t>10 dana kranijalne iradijacije dana 1, ciklusa 5. Započeti 6-MP 1-og dana nakon završetka kranijalne iradijacije.)</w:t>
            </w:r>
          </w:p>
          <w:p w14:paraId="1E14AD7F" w14:textId="77777777" w:rsidR="00D50F9F" w:rsidRPr="00510442" w:rsidRDefault="00D50F9F" w:rsidP="00D0208A">
            <w:pPr>
              <w:pStyle w:val="EndnoteText"/>
              <w:widowControl w:val="0"/>
              <w:rPr>
                <w:color w:val="000000"/>
                <w:lang w:val="hr-HR"/>
              </w:rPr>
            </w:pPr>
            <w:r w:rsidRPr="00510442">
              <w:rPr>
                <w:color w:val="000000"/>
                <w:lang w:val="hr-HR"/>
              </w:rPr>
              <w:t>Metotreksat (20 mg/m</w:t>
            </w:r>
            <w:r w:rsidRPr="00510442">
              <w:rPr>
                <w:color w:val="000000"/>
                <w:vertAlign w:val="superscript"/>
                <w:lang w:val="hr-HR"/>
              </w:rPr>
              <w:t>2</w:t>
            </w:r>
            <w:r w:rsidRPr="00510442">
              <w:rPr>
                <w:color w:val="000000"/>
                <w:lang w:val="hr-HR"/>
              </w:rPr>
              <w:t xml:space="preserve">/tjedan, </w:t>
            </w:r>
            <w:r w:rsidR="00D0208A" w:rsidRPr="00510442">
              <w:rPr>
                <w:color w:val="000000"/>
                <w:lang w:val="hr-HR"/>
              </w:rPr>
              <w:t>p.o.</w:t>
            </w:r>
            <w:r w:rsidRPr="00510442">
              <w:rPr>
                <w:color w:val="000000"/>
                <w:lang w:val="hr-HR"/>
              </w:rPr>
              <w:t>): dani 8, 15, 22, 29, 36, 43, 50</w:t>
            </w:r>
          </w:p>
        </w:tc>
      </w:tr>
      <w:tr w:rsidR="00D50F9F" w:rsidRPr="00F410C8" w14:paraId="02AA25D8" w14:textId="77777777" w:rsidTr="003179A4">
        <w:trPr>
          <w:cantSplit/>
        </w:trPr>
        <w:tc>
          <w:tcPr>
            <w:tcW w:w="2358" w:type="dxa"/>
            <w:shd w:val="clear" w:color="auto" w:fill="auto"/>
          </w:tcPr>
          <w:p w14:paraId="238F981C" w14:textId="77777777" w:rsidR="00D50F9F" w:rsidRPr="00510442" w:rsidRDefault="00D50F9F" w:rsidP="003179A4">
            <w:pPr>
              <w:pStyle w:val="EndnoteText"/>
              <w:keepNext/>
              <w:widowControl w:val="0"/>
              <w:rPr>
                <w:color w:val="000000"/>
                <w:lang w:val="hr-HR"/>
              </w:rPr>
            </w:pPr>
            <w:r w:rsidRPr="00510442">
              <w:rPr>
                <w:color w:val="000000"/>
                <w:lang w:val="hr-HR"/>
              </w:rPr>
              <w:lastRenderedPageBreak/>
              <w:t>Održavanje</w:t>
            </w:r>
          </w:p>
          <w:p w14:paraId="56CB3433" w14:textId="77777777" w:rsidR="00D50F9F" w:rsidRPr="00510442" w:rsidRDefault="00D50F9F" w:rsidP="003179A4">
            <w:pPr>
              <w:pStyle w:val="EndnoteText"/>
              <w:keepNext/>
              <w:widowControl w:val="0"/>
              <w:rPr>
                <w:color w:val="000000"/>
                <w:lang w:val="hr-HR"/>
              </w:rPr>
            </w:pPr>
            <w:r w:rsidRPr="00510442">
              <w:rPr>
                <w:color w:val="000000"/>
                <w:lang w:val="hr-HR"/>
              </w:rPr>
              <w:t>(8-tjedni ciklusi)</w:t>
            </w:r>
          </w:p>
          <w:p w14:paraId="4C9E740D" w14:textId="77777777" w:rsidR="00D50F9F" w:rsidRPr="00510442" w:rsidRDefault="00D50F9F" w:rsidP="003179A4">
            <w:pPr>
              <w:pStyle w:val="EndnoteText"/>
              <w:keepNext/>
              <w:widowControl w:val="0"/>
              <w:rPr>
                <w:color w:val="000000"/>
                <w:lang w:val="hr-HR"/>
              </w:rPr>
            </w:pPr>
            <w:r w:rsidRPr="00510442">
              <w:rPr>
                <w:color w:val="000000"/>
                <w:lang w:val="hr-HR"/>
              </w:rPr>
              <w:t>Ciklusi 6</w:t>
            </w:r>
            <w:r w:rsidRPr="00510442">
              <w:rPr>
                <w:color w:val="000000"/>
                <w:lang w:val="hr-HR"/>
              </w:rPr>
              <w:noBreakHyphen/>
              <w:t>12</w:t>
            </w:r>
          </w:p>
        </w:tc>
        <w:tc>
          <w:tcPr>
            <w:tcW w:w="6929" w:type="dxa"/>
            <w:shd w:val="clear" w:color="auto" w:fill="auto"/>
          </w:tcPr>
          <w:p w14:paraId="75D6E34C" w14:textId="77777777" w:rsidR="00D50F9F" w:rsidRPr="00510442" w:rsidRDefault="00D50F9F" w:rsidP="003179A4">
            <w:pPr>
              <w:pStyle w:val="EndnoteText"/>
              <w:keepNext/>
              <w:widowControl w:val="0"/>
              <w:rPr>
                <w:color w:val="000000"/>
                <w:lang w:val="hr-HR"/>
              </w:rPr>
            </w:pPr>
            <w:r w:rsidRPr="00510442">
              <w:rPr>
                <w:color w:val="000000"/>
                <w:lang w:val="hr-HR"/>
              </w:rPr>
              <w:t>VCR (1,5 mg/m</w:t>
            </w:r>
            <w:r w:rsidRPr="00510442">
              <w:rPr>
                <w:color w:val="000000"/>
                <w:vertAlign w:val="superscript"/>
                <w:lang w:val="hr-HR"/>
              </w:rPr>
              <w:t>2</w:t>
            </w:r>
            <w:r w:rsidRPr="00510442">
              <w:rPr>
                <w:color w:val="000000"/>
                <w:lang w:val="hr-HR"/>
              </w:rPr>
              <w:t xml:space="preserve">/dan, </w:t>
            </w:r>
            <w:r w:rsidR="00D0208A" w:rsidRPr="00510442">
              <w:rPr>
                <w:color w:val="000000"/>
                <w:lang w:val="hr-HR"/>
              </w:rPr>
              <w:t>i.v.</w:t>
            </w:r>
            <w:r w:rsidRPr="00510442">
              <w:rPr>
                <w:color w:val="000000"/>
                <w:lang w:val="hr-HR"/>
              </w:rPr>
              <w:t>): dani 1, 29</w:t>
            </w:r>
          </w:p>
          <w:p w14:paraId="4FDACCE0" w14:textId="77777777" w:rsidR="00D50F9F" w:rsidRPr="00510442" w:rsidRDefault="00D50F9F" w:rsidP="003179A4">
            <w:pPr>
              <w:pStyle w:val="EndnoteText"/>
              <w:keepNext/>
              <w:widowControl w:val="0"/>
              <w:rPr>
                <w:color w:val="000000"/>
                <w:lang w:val="hr-HR"/>
              </w:rPr>
            </w:pPr>
            <w:r w:rsidRPr="00510442">
              <w:rPr>
                <w:color w:val="000000"/>
                <w:lang w:val="hr-HR"/>
              </w:rPr>
              <w:t>DEX (6 mg/m</w:t>
            </w:r>
            <w:r w:rsidRPr="00510442">
              <w:rPr>
                <w:color w:val="000000"/>
                <w:vertAlign w:val="superscript"/>
                <w:lang w:val="hr-HR"/>
              </w:rPr>
              <w:t>2</w:t>
            </w:r>
            <w:r w:rsidRPr="00510442">
              <w:rPr>
                <w:color w:val="000000"/>
                <w:lang w:val="hr-HR"/>
              </w:rPr>
              <w:t xml:space="preserve">/dan, </w:t>
            </w:r>
            <w:r w:rsidR="00D0208A" w:rsidRPr="00510442">
              <w:rPr>
                <w:color w:val="000000"/>
                <w:lang w:val="hr-HR"/>
              </w:rPr>
              <w:t>p.o.</w:t>
            </w:r>
            <w:r w:rsidRPr="00510442">
              <w:rPr>
                <w:color w:val="000000"/>
                <w:lang w:val="hr-HR"/>
              </w:rPr>
              <w:t>): dani 1</w:t>
            </w:r>
            <w:r w:rsidRPr="00510442">
              <w:rPr>
                <w:color w:val="000000"/>
                <w:lang w:val="hr-HR"/>
              </w:rPr>
              <w:noBreakHyphen/>
              <w:t>5; 29</w:t>
            </w:r>
            <w:r w:rsidRPr="00510442">
              <w:rPr>
                <w:color w:val="000000"/>
                <w:lang w:val="hr-HR"/>
              </w:rPr>
              <w:noBreakHyphen/>
              <w:t>33</w:t>
            </w:r>
          </w:p>
          <w:p w14:paraId="17F2875E" w14:textId="77777777" w:rsidR="00D50F9F" w:rsidRPr="00510442" w:rsidRDefault="00D50F9F" w:rsidP="003179A4">
            <w:pPr>
              <w:pStyle w:val="EndnoteText"/>
              <w:keepNext/>
              <w:widowControl w:val="0"/>
              <w:rPr>
                <w:color w:val="000000"/>
                <w:lang w:val="hr-HR"/>
              </w:rPr>
            </w:pPr>
            <w:r w:rsidRPr="00510442">
              <w:rPr>
                <w:color w:val="000000"/>
                <w:lang w:val="hr-HR"/>
              </w:rPr>
              <w:t>6-MP (75 mg/m</w:t>
            </w:r>
            <w:r w:rsidRPr="00510442">
              <w:rPr>
                <w:color w:val="000000"/>
                <w:vertAlign w:val="superscript"/>
                <w:lang w:val="hr-HR"/>
              </w:rPr>
              <w:t>2</w:t>
            </w:r>
            <w:r w:rsidRPr="00510442">
              <w:rPr>
                <w:color w:val="000000"/>
                <w:lang w:val="hr-HR"/>
              </w:rPr>
              <w:t xml:space="preserve">/dan, </w:t>
            </w:r>
            <w:r w:rsidR="00D0208A" w:rsidRPr="00510442">
              <w:rPr>
                <w:color w:val="000000"/>
                <w:lang w:val="hr-HR"/>
              </w:rPr>
              <w:t>p.o.</w:t>
            </w:r>
            <w:r w:rsidRPr="00510442">
              <w:rPr>
                <w:color w:val="000000"/>
                <w:lang w:val="hr-HR"/>
              </w:rPr>
              <w:t>): dani 1</w:t>
            </w:r>
            <w:r w:rsidRPr="00510442">
              <w:rPr>
                <w:color w:val="000000"/>
                <w:lang w:val="hr-HR"/>
              </w:rPr>
              <w:noBreakHyphen/>
              <w:t>56</w:t>
            </w:r>
          </w:p>
          <w:p w14:paraId="4E3FDA65" w14:textId="77777777" w:rsidR="00D50F9F" w:rsidRPr="00510442" w:rsidRDefault="00D50F9F" w:rsidP="003179A4">
            <w:pPr>
              <w:pStyle w:val="EndnoteText"/>
              <w:keepNext/>
              <w:widowControl w:val="0"/>
              <w:rPr>
                <w:color w:val="000000"/>
                <w:lang w:val="hr-HR"/>
              </w:rPr>
            </w:pPr>
            <w:r w:rsidRPr="00510442">
              <w:rPr>
                <w:color w:val="000000"/>
                <w:lang w:val="hr-HR"/>
              </w:rPr>
              <w:t>Metotreksat (20 mg/m</w:t>
            </w:r>
            <w:r w:rsidRPr="00510442">
              <w:rPr>
                <w:color w:val="000000"/>
                <w:vertAlign w:val="superscript"/>
                <w:lang w:val="hr-HR"/>
              </w:rPr>
              <w:t>2</w:t>
            </w:r>
            <w:r w:rsidRPr="00510442">
              <w:rPr>
                <w:color w:val="000000"/>
                <w:lang w:val="hr-HR"/>
              </w:rPr>
              <w:t xml:space="preserve">/tjedan, </w:t>
            </w:r>
            <w:r w:rsidR="00D0208A" w:rsidRPr="00510442">
              <w:rPr>
                <w:color w:val="000000"/>
                <w:lang w:val="hr-HR"/>
              </w:rPr>
              <w:t>p.o.</w:t>
            </w:r>
            <w:r w:rsidRPr="00510442">
              <w:rPr>
                <w:color w:val="000000"/>
                <w:lang w:val="hr-HR"/>
              </w:rPr>
              <w:t>): dani 1, 8, 15, 22, 29, 36, 43, 50</w:t>
            </w:r>
          </w:p>
        </w:tc>
      </w:tr>
    </w:tbl>
    <w:p w14:paraId="547A7814" w14:textId="77777777" w:rsidR="00015051" w:rsidRPr="00510442" w:rsidRDefault="00D50F9F" w:rsidP="003179A4">
      <w:pPr>
        <w:pStyle w:val="EndnoteText"/>
        <w:keepLines/>
        <w:widowControl w:val="0"/>
        <w:rPr>
          <w:color w:val="000000"/>
          <w:szCs w:val="22"/>
          <w:lang w:val="hr-HR"/>
        </w:rPr>
      </w:pPr>
      <w:r w:rsidRPr="00510442">
        <w:rPr>
          <w:color w:val="000000"/>
          <w:szCs w:val="22"/>
          <w:lang w:val="hr-HR"/>
        </w:rPr>
        <w:t xml:space="preserve">G-CSF = faktor stimulacije rasta granulocita, VP-16 = etoposid, MTX = metotreksat, </w:t>
      </w:r>
      <w:r w:rsidR="00D0208A" w:rsidRPr="00510442">
        <w:rPr>
          <w:color w:val="000000"/>
          <w:szCs w:val="22"/>
          <w:lang w:val="hr-HR"/>
        </w:rPr>
        <w:t>i.v.</w:t>
      </w:r>
      <w:r w:rsidR="00A00C99" w:rsidRPr="00510442">
        <w:rPr>
          <w:color w:val="000000"/>
          <w:szCs w:val="22"/>
          <w:lang w:val="hr-HR"/>
        </w:rPr>
        <w:t xml:space="preserve"> = </w:t>
      </w:r>
      <w:r w:rsidRPr="00510442">
        <w:rPr>
          <w:color w:val="000000"/>
          <w:szCs w:val="22"/>
          <w:lang w:val="hr-HR"/>
        </w:rPr>
        <w:t xml:space="preserve">intravenski, SC = potkožno, </w:t>
      </w:r>
      <w:r w:rsidR="00D0208A" w:rsidRPr="00510442">
        <w:rPr>
          <w:color w:val="000000"/>
          <w:szCs w:val="22"/>
          <w:lang w:val="hr-HR"/>
        </w:rPr>
        <w:t>i.t.</w:t>
      </w:r>
      <w:r w:rsidRPr="00510442">
        <w:rPr>
          <w:color w:val="000000"/>
          <w:szCs w:val="22"/>
          <w:lang w:val="hr-HR"/>
        </w:rPr>
        <w:t xml:space="preserve"> = intratekalno, </w:t>
      </w:r>
      <w:r w:rsidR="00D0208A" w:rsidRPr="00510442">
        <w:rPr>
          <w:color w:val="000000"/>
          <w:szCs w:val="22"/>
          <w:lang w:val="hr-HR"/>
        </w:rPr>
        <w:t>p.o.</w:t>
      </w:r>
      <w:r w:rsidRPr="00510442">
        <w:rPr>
          <w:color w:val="000000"/>
          <w:szCs w:val="22"/>
          <w:lang w:val="hr-HR"/>
        </w:rPr>
        <w:t xml:space="preserve"> = oralno, </w:t>
      </w:r>
      <w:r w:rsidR="00D0208A" w:rsidRPr="00510442">
        <w:rPr>
          <w:color w:val="000000"/>
          <w:szCs w:val="22"/>
          <w:lang w:val="hr-HR"/>
        </w:rPr>
        <w:t>i.m.</w:t>
      </w:r>
      <w:r w:rsidRPr="00510442">
        <w:rPr>
          <w:color w:val="000000"/>
          <w:szCs w:val="22"/>
          <w:lang w:val="hr-HR"/>
        </w:rPr>
        <w:t xml:space="preserve"> = u mišić, ARA-C = citarabin, CPM = ciklofosfamid, VCR = vinkristin, DEX = deksametazon, DAUN = daunorubicin, 6-MP = 6-merkaptopurin, E.Coli L-ASP = L-asparaginaza, PEG-ASP = PEG asparaginaza, MESNA= natrijev 2-merkaptoetan sulfonat, iii= ili dok vrijednost MTX-a ne bude &lt;0,1 µm, Gy= Gray</w:t>
      </w:r>
    </w:p>
    <w:p w14:paraId="795D8256" w14:textId="77777777" w:rsidR="00015051" w:rsidRPr="00510442" w:rsidRDefault="00015051" w:rsidP="00015051">
      <w:pPr>
        <w:pStyle w:val="EndnoteText"/>
        <w:widowControl w:val="0"/>
        <w:jc w:val="both"/>
        <w:rPr>
          <w:color w:val="000000"/>
          <w:szCs w:val="22"/>
          <w:lang w:val="hr-HR"/>
        </w:rPr>
      </w:pPr>
    </w:p>
    <w:p w14:paraId="135E23BE" w14:textId="77777777" w:rsidR="00015051" w:rsidRPr="00510442" w:rsidRDefault="00D50F9F" w:rsidP="00015051">
      <w:pPr>
        <w:pStyle w:val="EndnoteText"/>
        <w:widowControl w:val="0"/>
        <w:rPr>
          <w:color w:val="000000"/>
          <w:szCs w:val="22"/>
          <w:lang w:val="hr-HR"/>
        </w:rPr>
      </w:pPr>
      <w:r w:rsidRPr="00510442">
        <w:rPr>
          <w:color w:val="000000"/>
          <w:szCs w:val="22"/>
          <w:lang w:val="hr-HR"/>
        </w:rPr>
        <w:t>Ispitivanje AIT07 bilo je multicentrično, otvoreno, randomizirano ispitivanje faze II/III u kojem je sudjelovalo 128 bolesnika (</w:t>
      </w:r>
      <w:r w:rsidR="00D0208A" w:rsidRPr="00510442">
        <w:rPr>
          <w:color w:val="000000"/>
          <w:szCs w:val="22"/>
          <w:lang w:val="hr-HR"/>
        </w:rPr>
        <w:t xml:space="preserve">od </w:t>
      </w:r>
      <w:r w:rsidRPr="00510442">
        <w:rPr>
          <w:color w:val="000000"/>
          <w:szCs w:val="22"/>
          <w:lang w:val="hr-HR"/>
        </w:rPr>
        <w:t xml:space="preserve">1 do &lt;18 godina) liječenih imatinibom u kombinaciji s kemoterapijom. Podaci o sigurnosti primjene iz ovog ispitivanja </w:t>
      </w:r>
      <w:r w:rsidR="000009A1" w:rsidRPr="00510442">
        <w:rPr>
          <w:color w:val="000000"/>
          <w:szCs w:val="22"/>
          <w:lang w:val="hr-HR"/>
        </w:rPr>
        <w:t xml:space="preserve">u skladu su sa sigurnosnim profilom </w:t>
      </w:r>
      <w:r w:rsidRPr="00510442">
        <w:rPr>
          <w:color w:val="000000"/>
          <w:szCs w:val="22"/>
          <w:lang w:val="hr-HR"/>
        </w:rPr>
        <w:t>imatiniba u bolesnika s Ph+ ALL.</w:t>
      </w:r>
    </w:p>
    <w:p w14:paraId="1D8DE54D" w14:textId="77777777" w:rsidR="00015051" w:rsidRPr="00510442" w:rsidRDefault="00015051" w:rsidP="0091773C">
      <w:pPr>
        <w:pStyle w:val="EndnoteText"/>
        <w:widowControl w:val="0"/>
        <w:rPr>
          <w:color w:val="000000"/>
          <w:szCs w:val="22"/>
          <w:lang w:val="hr-HR"/>
        </w:rPr>
      </w:pPr>
    </w:p>
    <w:p w14:paraId="67A27411" w14:textId="77777777" w:rsidR="00BF6E21" w:rsidRPr="00510442" w:rsidRDefault="00BF6E21" w:rsidP="00422F71">
      <w:pPr>
        <w:pStyle w:val="EndnoteText"/>
        <w:widowControl w:val="0"/>
        <w:rPr>
          <w:szCs w:val="22"/>
          <w:lang w:val="hr-HR"/>
        </w:rPr>
      </w:pPr>
      <w:r w:rsidRPr="00510442">
        <w:rPr>
          <w:i/>
          <w:szCs w:val="22"/>
          <w:lang w:val="hr-HR"/>
        </w:rPr>
        <w:t>Recidivirajući ili refraktorni</w:t>
      </w:r>
      <w:r w:rsidRPr="00510442">
        <w:rPr>
          <w:szCs w:val="22"/>
          <w:lang w:val="hr-HR"/>
        </w:rPr>
        <w:t xml:space="preserve"> </w:t>
      </w:r>
      <w:r w:rsidRPr="00510442">
        <w:rPr>
          <w:i/>
          <w:color w:val="000000"/>
          <w:szCs w:val="22"/>
          <w:lang w:val="hr-HR"/>
        </w:rPr>
        <w:t>Ph+ ALL:</w:t>
      </w:r>
      <w:r w:rsidRPr="00510442">
        <w:rPr>
          <w:color w:val="000000"/>
          <w:szCs w:val="22"/>
          <w:lang w:val="hr-HR"/>
        </w:rPr>
        <w:t xml:space="preserve"> </w:t>
      </w:r>
      <w:r w:rsidRPr="00510442">
        <w:rPr>
          <w:szCs w:val="22"/>
          <w:lang w:val="hr-HR"/>
        </w:rPr>
        <w:t>Kada je imatinib samostalno korišten u bolesnika s recidivirajućim ili refraktornim Ph+ ALL-om, rezultirao je s odgovorom u 53</w:t>
      </w:r>
      <w:r w:rsidR="00660AA7" w:rsidRPr="00510442">
        <w:rPr>
          <w:color w:val="000000"/>
          <w:szCs w:val="22"/>
          <w:lang w:val="hr-HR"/>
        </w:rPr>
        <w:t> </w:t>
      </w:r>
      <w:r w:rsidRPr="00510442">
        <w:rPr>
          <w:szCs w:val="22"/>
          <w:lang w:val="hr-HR"/>
        </w:rPr>
        <w:t>od 411</w:t>
      </w:r>
      <w:r w:rsidR="00660AA7" w:rsidRPr="00510442">
        <w:rPr>
          <w:color w:val="000000"/>
          <w:szCs w:val="22"/>
          <w:lang w:val="hr-HR"/>
        </w:rPr>
        <w:t> </w:t>
      </w:r>
      <w:r w:rsidRPr="00510442">
        <w:rPr>
          <w:szCs w:val="22"/>
          <w:lang w:val="hr-HR"/>
        </w:rPr>
        <w:t>procijenjenih bolesnika, sa stopom hematološkog odgovora od 30% (9% potpuni) i stopom većeg citogenetskog odgovora od 23%. (Napomena, od 411</w:t>
      </w:r>
      <w:r w:rsidR="00660AA7" w:rsidRPr="00510442">
        <w:rPr>
          <w:color w:val="000000"/>
          <w:szCs w:val="22"/>
          <w:lang w:val="hr-HR"/>
        </w:rPr>
        <w:t> </w:t>
      </w:r>
      <w:r w:rsidRPr="00510442">
        <w:rPr>
          <w:szCs w:val="22"/>
          <w:lang w:val="hr-HR"/>
        </w:rPr>
        <w:t xml:space="preserve">bolesnika, 353 je liječeno u proširenom pristupnom programu bez prikupljenih podataka o primarnom odgovoru.) </w:t>
      </w:r>
      <w:r w:rsidR="006841F9" w:rsidRPr="00510442">
        <w:rPr>
          <w:szCs w:val="22"/>
          <w:lang w:val="hr-HR"/>
        </w:rPr>
        <w:t>Medijan vremena</w:t>
      </w:r>
      <w:r w:rsidRPr="00510442">
        <w:rPr>
          <w:szCs w:val="22"/>
          <w:lang w:val="hr-HR"/>
        </w:rPr>
        <w:t xml:space="preserve"> do progresije u ukupnoj populaciji od 411</w:t>
      </w:r>
      <w:r w:rsidR="00660AA7" w:rsidRPr="00510442">
        <w:rPr>
          <w:color w:val="000000"/>
          <w:szCs w:val="22"/>
          <w:lang w:val="hr-HR"/>
        </w:rPr>
        <w:t> </w:t>
      </w:r>
      <w:r w:rsidRPr="00510442">
        <w:rPr>
          <w:szCs w:val="22"/>
          <w:lang w:val="hr-HR"/>
        </w:rPr>
        <w:t xml:space="preserve">bolesnika s recidivirajućim ili refraktornim Ph+ ALL-om </w:t>
      </w:r>
      <w:r w:rsidR="006841F9" w:rsidRPr="00510442">
        <w:rPr>
          <w:szCs w:val="22"/>
          <w:lang w:val="hr-HR"/>
        </w:rPr>
        <w:t xml:space="preserve">kretao </w:t>
      </w:r>
      <w:r w:rsidRPr="00510442">
        <w:rPr>
          <w:szCs w:val="22"/>
          <w:lang w:val="hr-HR"/>
        </w:rPr>
        <w:t>se od 2,6 do 3,1</w:t>
      </w:r>
      <w:r w:rsidR="00660AA7" w:rsidRPr="00510442">
        <w:rPr>
          <w:color w:val="000000"/>
          <w:szCs w:val="22"/>
          <w:lang w:val="hr-HR"/>
        </w:rPr>
        <w:t> </w:t>
      </w:r>
      <w:r w:rsidRPr="00510442">
        <w:rPr>
          <w:szCs w:val="22"/>
          <w:lang w:val="hr-HR"/>
        </w:rPr>
        <w:t xml:space="preserve">mjesec, a </w:t>
      </w:r>
      <w:r w:rsidR="006841F9" w:rsidRPr="00510442">
        <w:rPr>
          <w:szCs w:val="22"/>
          <w:lang w:val="hr-HR"/>
        </w:rPr>
        <w:t>medijan ukupnog preživlj</w:t>
      </w:r>
      <w:r w:rsidR="00B41DF4" w:rsidRPr="00510442">
        <w:rPr>
          <w:szCs w:val="22"/>
          <w:lang w:val="hr-HR"/>
        </w:rPr>
        <w:t>e</w:t>
      </w:r>
      <w:r w:rsidR="006841F9" w:rsidRPr="00510442">
        <w:rPr>
          <w:szCs w:val="22"/>
          <w:lang w:val="hr-HR"/>
        </w:rPr>
        <w:t>nja</w:t>
      </w:r>
      <w:r w:rsidRPr="00510442">
        <w:rPr>
          <w:szCs w:val="22"/>
          <w:lang w:val="hr-HR"/>
        </w:rPr>
        <w:t xml:space="preserve"> kod 401</w:t>
      </w:r>
      <w:r w:rsidR="00660AA7" w:rsidRPr="00510442">
        <w:rPr>
          <w:color w:val="000000"/>
          <w:szCs w:val="22"/>
          <w:lang w:val="hr-HR"/>
        </w:rPr>
        <w:t> </w:t>
      </w:r>
      <w:r w:rsidRPr="00510442">
        <w:rPr>
          <w:szCs w:val="22"/>
          <w:lang w:val="hr-HR"/>
        </w:rPr>
        <w:t xml:space="preserve">procijenjenog bolesnika </w:t>
      </w:r>
      <w:r w:rsidR="006841F9" w:rsidRPr="00510442">
        <w:rPr>
          <w:szCs w:val="22"/>
          <w:lang w:val="hr-HR"/>
        </w:rPr>
        <w:t xml:space="preserve">kretao </w:t>
      </w:r>
      <w:r w:rsidRPr="00510442">
        <w:rPr>
          <w:szCs w:val="22"/>
          <w:lang w:val="hr-HR"/>
        </w:rPr>
        <w:t>se od 4,9 do 9</w:t>
      </w:r>
      <w:r w:rsidR="00660AA7" w:rsidRPr="00510442">
        <w:rPr>
          <w:color w:val="000000"/>
          <w:szCs w:val="22"/>
          <w:lang w:val="hr-HR"/>
        </w:rPr>
        <w:t> </w:t>
      </w:r>
      <w:r w:rsidRPr="00510442">
        <w:rPr>
          <w:szCs w:val="22"/>
          <w:lang w:val="hr-HR"/>
        </w:rPr>
        <w:t xml:space="preserve">mjeseci. </w:t>
      </w:r>
      <w:r w:rsidRPr="00510442">
        <w:rPr>
          <w:color w:val="000000"/>
          <w:szCs w:val="22"/>
          <w:lang w:val="hr-HR"/>
        </w:rPr>
        <w:t>Podaci su bili slični kada su ponovno analizirani kako bi uključili samo one bolesnike u dobi od 55</w:t>
      </w:r>
      <w:r w:rsidR="00660AA7" w:rsidRPr="00510442">
        <w:rPr>
          <w:color w:val="000000"/>
          <w:szCs w:val="22"/>
          <w:lang w:val="hr-HR"/>
        </w:rPr>
        <w:t> </w:t>
      </w:r>
      <w:r w:rsidRPr="00510442">
        <w:rPr>
          <w:color w:val="000000"/>
          <w:szCs w:val="22"/>
          <w:lang w:val="hr-HR"/>
        </w:rPr>
        <w:t>godina ili starije.</w:t>
      </w:r>
    </w:p>
    <w:p w14:paraId="5E4B99C0" w14:textId="77777777" w:rsidR="009B57ED" w:rsidRPr="00510442" w:rsidRDefault="009B57ED" w:rsidP="00422F71">
      <w:pPr>
        <w:pStyle w:val="EndnoteText"/>
        <w:widowControl w:val="0"/>
        <w:tabs>
          <w:tab w:val="clear" w:pos="567"/>
        </w:tabs>
        <w:rPr>
          <w:color w:val="000000"/>
          <w:szCs w:val="22"/>
          <w:lang w:val="hr-HR"/>
        </w:rPr>
      </w:pPr>
    </w:p>
    <w:p w14:paraId="155631F8" w14:textId="77777777" w:rsidR="00A7319D" w:rsidRPr="00510442" w:rsidRDefault="00AC6B5A" w:rsidP="003179A4">
      <w:pPr>
        <w:pStyle w:val="EndnoteText"/>
        <w:keepNext/>
        <w:widowControl w:val="0"/>
        <w:rPr>
          <w:color w:val="000000"/>
          <w:szCs w:val="22"/>
          <w:u w:val="single"/>
          <w:lang w:val="hr-HR"/>
        </w:rPr>
      </w:pPr>
      <w:r w:rsidRPr="00510442">
        <w:rPr>
          <w:color w:val="000000"/>
          <w:szCs w:val="22"/>
          <w:u w:val="single"/>
          <w:lang w:val="hr-HR"/>
        </w:rPr>
        <w:t>Klinička ispitivanja kod MDS/MPD-a</w:t>
      </w:r>
    </w:p>
    <w:p w14:paraId="26C7BB0E" w14:textId="785CEC59" w:rsidR="00AC1934" w:rsidRPr="00510442" w:rsidRDefault="004B23C5" w:rsidP="007F1BD0">
      <w:pPr>
        <w:pStyle w:val="EndnoteText"/>
        <w:widowControl w:val="0"/>
        <w:rPr>
          <w:color w:val="000000"/>
          <w:szCs w:val="22"/>
          <w:lang w:val="hr-HR"/>
        </w:rPr>
      </w:pPr>
      <w:r w:rsidRPr="00510442">
        <w:rPr>
          <w:color w:val="000000"/>
          <w:szCs w:val="22"/>
          <w:lang w:val="hr-HR"/>
        </w:rPr>
        <w:t xml:space="preserve">Iskustvo s </w:t>
      </w:r>
      <w:r w:rsidR="00951360">
        <w:rPr>
          <w:szCs w:val="22"/>
          <w:lang w:val="hr-HR"/>
        </w:rPr>
        <w:t xml:space="preserve">lijekom </w:t>
      </w:r>
      <w:r w:rsidRPr="00510442">
        <w:rPr>
          <w:color w:val="000000"/>
          <w:szCs w:val="22"/>
          <w:lang w:val="hr-HR"/>
        </w:rPr>
        <w:t>Glivec u ovoj indikaciji je vrlo ograničeno te se temelji na hematološkom i citogenetskom odgovoru. Ne postoje kontrolirana ispitivanja koja pokazuju kliničku korist ili povećano preživlj</w:t>
      </w:r>
      <w:r w:rsidR="009F6127" w:rsidRPr="00510442">
        <w:rPr>
          <w:color w:val="000000"/>
          <w:szCs w:val="22"/>
          <w:lang w:val="hr-HR"/>
        </w:rPr>
        <w:t>e</w:t>
      </w:r>
      <w:r w:rsidRPr="00510442">
        <w:rPr>
          <w:color w:val="000000"/>
          <w:szCs w:val="22"/>
          <w:lang w:val="hr-HR"/>
        </w:rPr>
        <w:t xml:space="preserve">nje. Provedeno je jedno otvoreno, multicentrično kliničko ispitivanje faze II (studija B2225) za ispitivanje </w:t>
      </w:r>
      <w:r w:rsidR="00A752CC" w:rsidRPr="00512481">
        <w:rPr>
          <w:szCs w:val="22"/>
          <w:lang w:val="hr-HR"/>
        </w:rPr>
        <w:t xml:space="preserve">lijeka </w:t>
      </w:r>
      <w:r w:rsidRPr="00510442">
        <w:rPr>
          <w:color w:val="000000"/>
          <w:szCs w:val="22"/>
          <w:lang w:val="hr-HR"/>
        </w:rPr>
        <w:t xml:space="preserve">Glivec u raznim populacijama bolesnika koji pate od bolesti opasnih po život povezanih s Abl, Kit ili PDGFR protein tirozin kinazama. Ovo je kliničko ispitivanje uključivalo 7 bolesnika s </w:t>
      </w:r>
      <w:smartTag w:uri="urn:schemas-microsoft-com:office:smarttags" w:element="stockticker">
        <w:r w:rsidRPr="00510442">
          <w:rPr>
            <w:color w:val="000000"/>
            <w:szCs w:val="22"/>
            <w:lang w:val="hr-HR"/>
          </w:rPr>
          <w:t>MDS</w:t>
        </w:r>
      </w:smartTag>
      <w:r w:rsidRPr="00510442">
        <w:rPr>
          <w:color w:val="000000"/>
          <w:szCs w:val="22"/>
          <w:lang w:val="hr-HR"/>
        </w:rPr>
        <w:t xml:space="preserve">/MPD-om koji su liječeni </w:t>
      </w:r>
      <w:r w:rsidR="00951360">
        <w:rPr>
          <w:szCs w:val="22"/>
          <w:lang w:val="hr-HR"/>
        </w:rPr>
        <w:t xml:space="preserve">lijekom </w:t>
      </w:r>
      <w:r w:rsidRPr="00510442">
        <w:rPr>
          <w:color w:val="000000"/>
          <w:szCs w:val="22"/>
          <w:lang w:val="hr-HR"/>
        </w:rPr>
        <w:t xml:space="preserve">Glivec 400 mg </w:t>
      </w:r>
      <w:r w:rsidR="0071204C" w:rsidRPr="00510442">
        <w:rPr>
          <w:color w:val="000000"/>
          <w:szCs w:val="22"/>
          <w:lang w:val="hr-HR"/>
        </w:rPr>
        <w:t>na dan</w:t>
      </w:r>
      <w:r w:rsidRPr="00510442">
        <w:rPr>
          <w:color w:val="000000"/>
          <w:szCs w:val="22"/>
          <w:lang w:val="hr-HR"/>
        </w:rPr>
        <w:t>. Tri bolesnika imala su potpuni hematološki odgovor (</w:t>
      </w:r>
      <w:smartTag w:uri="urn:schemas-microsoft-com:office:smarttags" w:element="stockticker">
        <w:r w:rsidRPr="00510442">
          <w:rPr>
            <w:color w:val="000000"/>
            <w:szCs w:val="22"/>
            <w:lang w:val="hr-HR"/>
          </w:rPr>
          <w:t>CHR</w:t>
        </w:r>
      </w:smartTag>
      <w:r w:rsidRPr="00510442">
        <w:rPr>
          <w:color w:val="000000"/>
          <w:szCs w:val="22"/>
          <w:lang w:val="hr-HR"/>
        </w:rPr>
        <w:t>), a jedan bolesnik je imao djelomičan hematološki odgovor (</w:t>
      </w:r>
      <w:smartTag w:uri="urn:schemas-microsoft-com:office:smarttags" w:element="stockticker">
        <w:r w:rsidRPr="00510442">
          <w:rPr>
            <w:color w:val="000000"/>
            <w:szCs w:val="22"/>
            <w:lang w:val="hr-HR"/>
          </w:rPr>
          <w:t>PHR</w:t>
        </w:r>
      </w:smartTag>
      <w:r w:rsidRPr="00510442">
        <w:rPr>
          <w:color w:val="000000"/>
          <w:szCs w:val="22"/>
          <w:lang w:val="hr-HR"/>
        </w:rPr>
        <w:t xml:space="preserve">). U vrijeme početne analize, kod tri od četiri bolesnika s utvrđenom PDGFR preraspodjelom gena razvio se hematološki odgovor (2 </w:t>
      </w:r>
      <w:smartTag w:uri="urn:schemas-microsoft-com:office:smarttags" w:element="stockticker">
        <w:r w:rsidRPr="00510442">
          <w:rPr>
            <w:color w:val="000000"/>
            <w:szCs w:val="22"/>
            <w:lang w:val="hr-HR"/>
          </w:rPr>
          <w:t>CHR</w:t>
        </w:r>
      </w:smartTag>
      <w:r w:rsidRPr="00510442">
        <w:rPr>
          <w:color w:val="000000"/>
          <w:szCs w:val="22"/>
          <w:lang w:val="hr-HR"/>
        </w:rPr>
        <w:t xml:space="preserve"> i 1 </w:t>
      </w:r>
      <w:smartTag w:uri="urn:schemas-microsoft-com:office:smarttags" w:element="stockticker">
        <w:r w:rsidRPr="00510442">
          <w:rPr>
            <w:color w:val="000000"/>
            <w:szCs w:val="22"/>
            <w:lang w:val="hr-HR"/>
          </w:rPr>
          <w:t>PHR</w:t>
        </w:r>
      </w:smartTag>
      <w:r w:rsidRPr="00510442">
        <w:rPr>
          <w:color w:val="000000"/>
          <w:szCs w:val="22"/>
          <w:lang w:val="hr-HR"/>
        </w:rPr>
        <w:t>). Starost tih bolesnika se kretala od 20 do 72 godine.</w:t>
      </w:r>
    </w:p>
    <w:p w14:paraId="575FD842" w14:textId="77777777" w:rsidR="00AC1934" w:rsidRPr="00510442" w:rsidRDefault="00AC1934" w:rsidP="007F1BD0">
      <w:pPr>
        <w:pStyle w:val="EndnoteText"/>
        <w:widowControl w:val="0"/>
        <w:rPr>
          <w:color w:val="000000"/>
          <w:szCs w:val="22"/>
          <w:lang w:val="hr-HR"/>
        </w:rPr>
      </w:pPr>
    </w:p>
    <w:p w14:paraId="12F84375" w14:textId="1FE41203" w:rsidR="00AC1934" w:rsidRPr="00510442" w:rsidRDefault="00AC1934" w:rsidP="007F1BD0">
      <w:pPr>
        <w:pStyle w:val="EndnoteText"/>
        <w:widowControl w:val="0"/>
        <w:rPr>
          <w:color w:val="000000"/>
          <w:szCs w:val="22"/>
          <w:lang w:val="hr-HR"/>
        </w:rPr>
      </w:pPr>
      <w:r w:rsidRPr="00510442">
        <w:rPr>
          <w:color w:val="000000"/>
          <w:szCs w:val="22"/>
          <w:lang w:val="hr-HR"/>
        </w:rPr>
        <w:t xml:space="preserve">Proveden je </w:t>
      </w:r>
      <w:r w:rsidR="00442DB0" w:rsidRPr="00510442">
        <w:rPr>
          <w:color w:val="000000"/>
          <w:szCs w:val="22"/>
          <w:lang w:val="hr-HR"/>
        </w:rPr>
        <w:t xml:space="preserve">opservacijski </w:t>
      </w:r>
      <w:r w:rsidRPr="00510442">
        <w:rPr>
          <w:color w:val="000000"/>
          <w:szCs w:val="22"/>
          <w:lang w:val="hr-HR"/>
        </w:rPr>
        <w:t>registar (ispitivanje L2401)</w:t>
      </w:r>
      <w:r w:rsidRPr="00510442">
        <w:rPr>
          <w:lang w:val="hr-HR"/>
        </w:rPr>
        <w:t xml:space="preserve"> da </w:t>
      </w:r>
      <w:r w:rsidR="00397859" w:rsidRPr="00510442">
        <w:rPr>
          <w:lang w:val="hr-HR"/>
        </w:rPr>
        <w:t>bi se prikupili</w:t>
      </w:r>
      <w:r w:rsidRPr="00510442">
        <w:rPr>
          <w:lang w:val="hr-HR"/>
        </w:rPr>
        <w:t xml:space="preserve"> podaci o dugoročnoj sigurnosti primjene i djelotvornosti u bolesnika</w:t>
      </w:r>
      <w:r w:rsidR="003F1A18" w:rsidRPr="00510442">
        <w:rPr>
          <w:lang w:val="hr-HR"/>
        </w:rPr>
        <w:t xml:space="preserve"> </w:t>
      </w:r>
      <w:r w:rsidR="00442DB0" w:rsidRPr="00510442">
        <w:rPr>
          <w:lang w:val="hr-HR"/>
        </w:rPr>
        <w:t xml:space="preserve">s </w:t>
      </w:r>
      <w:r w:rsidR="003F1A18" w:rsidRPr="00510442">
        <w:rPr>
          <w:lang w:val="hr-HR"/>
        </w:rPr>
        <w:t>mijeloproliferativn</w:t>
      </w:r>
      <w:r w:rsidR="00507A2F" w:rsidRPr="00510442">
        <w:rPr>
          <w:lang w:val="hr-HR"/>
        </w:rPr>
        <w:t>im</w:t>
      </w:r>
      <w:r w:rsidR="003F1A18" w:rsidRPr="00510442">
        <w:rPr>
          <w:lang w:val="hr-HR"/>
        </w:rPr>
        <w:t xml:space="preserve"> novotvorin</w:t>
      </w:r>
      <w:r w:rsidR="00507A2F" w:rsidRPr="00510442">
        <w:rPr>
          <w:lang w:val="hr-HR"/>
        </w:rPr>
        <w:t>ama</w:t>
      </w:r>
      <w:r w:rsidR="003F1A18" w:rsidRPr="00510442">
        <w:rPr>
          <w:lang w:val="hr-HR"/>
        </w:rPr>
        <w:t xml:space="preserve"> s PDGFR</w:t>
      </w:r>
      <w:r w:rsidR="006B2C70" w:rsidRPr="00510442">
        <w:rPr>
          <w:lang w:val="hr-HR"/>
        </w:rPr>
        <w:t>-</w:t>
      </w:r>
      <w:r w:rsidR="006B2C70" w:rsidRPr="00510442">
        <w:rPr>
          <w:rFonts w:eastAsia="TimesNewRoman"/>
          <w:szCs w:val="22"/>
          <w:lang w:val="hr-HR"/>
        </w:rPr>
        <w:t xml:space="preserve"> β</w:t>
      </w:r>
      <w:r w:rsidR="006B2C70" w:rsidRPr="00307897">
        <w:rPr>
          <w:rFonts w:eastAsia="TimesNewRoman"/>
          <w:szCs w:val="22"/>
          <w:lang w:val="hr-HR"/>
        </w:rPr>
        <w:t xml:space="preserve"> preraspodjelom</w:t>
      </w:r>
      <w:r w:rsidR="007651FC" w:rsidRPr="00307897">
        <w:rPr>
          <w:lang w:val="hr-HR"/>
        </w:rPr>
        <w:t>, a koji su</w:t>
      </w:r>
      <w:r w:rsidR="006B2C70" w:rsidRPr="00307897">
        <w:rPr>
          <w:lang w:val="hr-HR"/>
        </w:rPr>
        <w:t xml:space="preserve"> liječeni </w:t>
      </w:r>
      <w:r w:rsidR="00951360">
        <w:rPr>
          <w:szCs w:val="22"/>
          <w:lang w:val="hr-HR"/>
        </w:rPr>
        <w:t xml:space="preserve">lijekom </w:t>
      </w:r>
      <w:r w:rsidR="006B2C70" w:rsidRPr="00307897">
        <w:rPr>
          <w:lang w:val="hr-HR"/>
        </w:rPr>
        <w:t>Glivec. 23 bolesnika uk</w:t>
      </w:r>
      <w:r w:rsidR="006B2C70" w:rsidRPr="00A00164">
        <w:rPr>
          <w:lang w:val="hr-HR"/>
        </w:rPr>
        <w:t>ljučena u ovaj registar primal</w:t>
      </w:r>
      <w:r w:rsidR="00442DB0" w:rsidRPr="00973BDD">
        <w:rPr>
          <w:lang w:val="hr-HR"/>
        </w:rPr>
        <w:t>a</w:t>
      </w:r>
      <w:r w:rsidR="006B2C70" w:rsidRPr="000B51EB">
        <w:rPr>
          <w:lang w:val="hr-HR"/>
        </w:rPr>
        <w:t xml:space="preserve"> su Glivec s medijanom dnevne doze od 264 mg (raspon: 100 do 400 mg)</w:t>
      </w:r>
      <w:r w:rsidR="009778DA" w:rsidRPr="00510442">
        <w:rPr>
          <w:lang w:val="hr-HR"/>
        </w:rPr>
        <w:t xml:space="preserve"> i medijanom vremena trajanja od 7,2 godin</w:t>
      </w:r>
      <w:r w:rsidR="00442DB0" w:rsidRPr="00510442">
        <w:rPr>
          <w:lang w:val="hr-HR"/>
        </w:rPr>
        <w:t>e</w:t>
      </w:r>
      <w:r w:rsidR="009778DA" w:rsidRPr="00510442">
        <w:rPr>
          <w:lang w:val="hr-HR"/>
        </w:rPr>
        <w:t xml:space="preserve"> (raspon od 0,1 do 12,7 godina). Zbog opservacijske prirode ovog registra, </w:t>
      </w:r>
      <w:r w:rsidR="00F751FF" w:rsidRPr="00510442">
        <w:rPr>
          <w:lang w:val="hr-HR"/>
        </w:rPr>
        <w:t xml:space="preserve">podaci </w:t>
      </w:r>
      <w:r w:rsidR="00397859" w:rsidRPr="00510442">
        <w:rPr>
          <w:lang w:val="hr-HR"/>
        </w:rPr>
        <w:t>hematološk</w:t>
      </w:r>
      <w:r w:rsidR="00F751FF" w:rsidRPr="00510442">
        <w:rPr>
          <w:lang w:val="hr-HR"/>
        </w:rPr>
        <w:t>e</w:t>
      </w:r>
      <w:r w:rsidR="009778DA" w:rsidRPr="00510442">
        <w:rPr>
          <w:lang w:val="hr-HR"/>
        </w:rPr>
        <w:t>, citogenetsk</w:t>
      </w:r>
      <w:r w:rsidR="00F751FF" w:rsidRPr="00510442">
        <w:rPr>
          <w:lang w:val="hr-HR"/>
        </w:rPr>
        <w:t>e</w:t>
      </w:r>
      <w:r w:rsidR="009778DA" w:rsidRPr="00510442">
        <w:rPr>
          <w:lang w:val="hr-HR"/>
        </w:rPr>
        <w:t xml:space="preserve"> i molekularn</w:t>
      </w:r>
      <w:r w:rsidR="00F751FF" w:rsidRPr="00510442">
        <w:rPr>
          <w:lang w:val="hr-HR"/>
        </w:rPr>
        <w:t>e procjene</w:t>
      </w:r>
      <w:r w:rsidR="00397859" w:rsidRPr="00510442">
        <w:rPr>
          <w:lang w:val="hr-HR"/>
        </w:rPr>
        <w:t xml:space="preserve"> bil</w:t>
      </w:r>
      <w:r w:rsidR="00F751FF" w:rsidRPr="00510442">
        <w:rPr>
          <w:lang w:val="hr-HR"/>
        </w:rPr>
        <w:t>i</w:t>
      </w:r>
      <w:r w:rsidR="009778DA" w:rsidRPr="00510442">
        <w:rPr>
          <w:lang w:val="hr-HR"/>
        </w:rPr>
        <w:t xml:space="preserve"> su dostupn</w:t>
      </w:r>
      <w:r w:rsidR="00F751FF" w:rsidRPr="00510442">
        <w:rPr>
          <w:lang w:val="hr-HR"/>
        </w:rPr>
        <w:t>i</w:t>
      </w:r>
      <w:r w:rsidR="00397859" w:rsidRPr="00510442">
        <w:rPr>
          <w:lang w:val="hr-HR"/>
        </w:rPr>
        <w:t xml:space="preserve"> za 22, 9 odnosno 17 od 23 uključena</w:t>
      </w:r>
      <w:r w:rsidR="009778DA" w:rsidRPr="00510442">
        <w:rPr>
          <w:lang w:val="hr-HR"/>
        </w:rPr>
        <w:t xml:space="preserve"> </w:t>
      </w:r>
      <w:r w:rsidR="00397859" w:rsidRPr="00510442">
        <w:rPr>
          <w:lang w:val="hr-HR"/>
        </w:rPr>
        <w:t xml:space="preserve">bolesnika. Uz konzervativnu pretpostavku da bolesnici kod kojih nedostaju podaci nisu odgovorili na terapiju, </w:t>
      </w:r>
      <w:r w:rsidR="00BE1A0D" w:rsidRPr="00510442">
        <w:rPr>
          <w:lang w:val="hr-HR"/>
        </w:rPr>
        <w:t>CHR je zabilježen u 20/23 (87%) bolesnika, CCyR u 9/23 (39,1%) b</w:t>
      </w:r>
      <w:r w:rsidR="00685C52" w:rsidRPr="00510442">
        <w:rPr>
          <w:lang w:val="hr-HR"/>
        </w:rPr>
        <w:t xml:space="preserve">olesnika odnosno MR </w:t>
      </w:r>
      <w:r w:rsidR="00507A2F" w:rsidRPr="00510442">
        <w:rPr>
          <w:lang w:val="hr-HR"/>
        </w:rPr>
        <w:t xml:space="preserve">(engl. </w:t>
      </w:r>
      <w:r w:rsidR="00507A2F" w:rsidRPr="00510442">
        <w:rPr>
          <w:i/>
          <w:lang w:val="hr-HR"/>
        </w:rPr>
        <w:t>molecular response</w:t>
      </w:r>
      <w:r w:rsidR="00507A2F" w:rsidRPr="00510442">
        <w:rPr>
          <w:lang w:val="hr-HR"/>
        </w:rPr>
        <w:t xml:space="preserve">) </w:t>
      </w:r>
      <w:r w:rsidR="00685C52" w:rsidRPr="00510442">
        <w:rPr>
          <w:lang w:val="hr-HR"/>
        </w:rPr>
        <w:t>u 11/23 (47,</w:t>
      </w:r>
      <w:r w:rsidR="00BE1A0D" w:rsidRPr="00510442">
        <w:rPr>
          <w:lang w:val="hr-HR"/>
        </w:rPr>
        <w:t xml:space="preserve">8%) bolesnika. Kad se stopa odgovora računa u bolesnika s barem jednom valjanom procjenom, stopa odgovora za CHR, CCyR i MR bila je </w:t>
      </w:r>
      <w:r w:rsidR="00EF0922" w:rsidRPr="00510442">
        <w:rPr>
          <w:lang w:val="hr-HR"/>
        </w:rPr>
        <w:t>20</w:t>
      </w:r>
      <w:r w:rsidR="00BE1A0D" w:rsidRPr="00510442">
        <w:rPr>
          <w:lang w:val="hr-HR"/>
        </w:rPr>
        <w:t xml:space="preserve">/22 (90,9%), </w:t>
      </w:r>
      <w:r w:rsidR="00685C52" w:rsidRPr="00510442">
        <w:rPr>
          <w:lang w:val="hr-HR"/>
        </w:rPr>
        <w:t>9/9 (100%) odnosno 11/17 (64,7%).</w:t>
      </w:r>
    </w:p>
    <w:p w14:paraId="59408D0F" w14:textId="77777777" w:rsidR="00AC1934" w:rsidRPr="00510442" w:rsidRDefault="00AC1934" w:rsidP="007F1BD0">
      <w:pPr>
        <w:pStyle w:val="EndnoteText"/>
        <w:widowControl w:val="0"/>
        <w:rPr>
          <w:color w:val="000000"/>
          <w:szCs w:val="22"/>
          <w:lang w:val="hr-HR"/>
        </w:rPr>
      </w:pPr>
    </w:p>
    <w:p w14:paraId="1C706313" w14:textId="3EE05A35" w:rsidR="004B23C5" w:rsidRPr="00510442" w:rsidRDefault="004B23C5" w:rsidP="007F1BD0">
      <w:pPr>
        <w:pStyle w:val="EndnoteText"/>
        <w:widowControl w:val="0"/>
        <w:rPr>
          <w:color w:val="000000"/>
          <w:szCs w:val="22"/>
          <w:lang w:val="hr-HR"/>
        </w:rPr>
      </w:pPr>
      <w:r w:rsidRPr="00510442">
        <w:rPr>
          <w:color w:val="000000"/>
          <w:szCs w:val="22"/>
          <w:lang w:val="hr-HR"/>
        </w:rPr>
        <w:t xml:space="preserve">Osim toga, dodatnih 24 bolesnika s </w:t>
      </w:r>
      <w:smartTag w:uri="urn:schemas-microsoft-com:office:smarttags" w:element="stockticker">
        <w:r w:rsidRPr="00510442">
          <w:rPr>
            <w:color w:val="000000"/>
            <w:szCs w:val="22"/>
            <w:lang w:val="hr-HR"/>
          </w:rPr>
          <w:t>MDS</w:t>
        </w:r>
      </w:smartTag>
      <w:r w:rsidRPr="00510442">
        <w:rPr>
          <w:color w:val="000000"/>
          <w:szCs w:val="22"/>
          <w:lang w:val="hr-HR"/>
        </w:rPr>
        <w:t xml:space="preserve">/MPD-om je zabilježeno u 13 publikacija. 21 bolesnik je liječen </w:t>
      </w:r>
      <w:r w:rsidR="00951360">
        <w:rPr>
          <w:szCs w:val="22"/>
          <w:lang w:val="hr-HR"/>
        </w:rPr>
        <w:t xml:space="preserve">lijekom </w:t>
      </w:r>
      <w:r w:rsidRPr="00510442">
        <w:rPr>
          <w:color w:val="000000"/>
          <w:szCs w:val="22"/>
          <w:lang w:val="hr-HR"/>
        </w:rPr>
        <w:t xml:space="preserve">Glivec 400 mg </w:t>
      </w:r>
      <w:r w:rsidR="0071204C" w:rsidRPr="00510442">
        <w:rPr>
          <w:color w:val="000000"/>
          <w:szCs w:val="22"/>
          <w:lang w:val="hr-HR"/>
        </w:rPr>
        <w:t>na dan</w:t>
      </w:r>
      <w:r w:rsidRPr="00510442">
        <w:rPr>
          <w:color w:val="000000"/>
          <w:szCs w:val="22"/>
          <w:lang w:val="hr-HR"/>
        </w:rPr>
        <w:t xml:space="preserve">, dok su preostala 3 bolesnika primala niže doze. U jedanaest bolesnika otkrivene su preraspodjele PDGFR gena, od kojih je 9 postiglo </w:t>
      </w:r>
      <w:smartTag w:uri="urn:schemas-microsoft-com:office:smarttags" w:element="stockticker">
        <w:r w:rsidRPr="00510442">
          <w:rPr>
            <w:color w:val="000000"/>
            <w:szCs w:val="22"/>
            <w:lang w:val="hr-HR"/>
          </w:rPr>
          <w:t>CHR</w:t>
        </w:r>
      </w:smartTag>
      <w:r w:rsidRPr="00510442">
        <w:rPr>
          <w:color w:val="000000"/>
          <w:szCs w:val="22"/>
          <w:lang w:val="hr-HR"/>
        </w:rPr>
        <w:t>, a 1 PHR. Starost tih bolesnika se kretala od 2 do 79 godina. U nedavnoj publikaciji, novije informacije o 6 od tih 11 bolesnika otkrile su da su svi ti bolesnici ostali u citogenetskoj remisiji (raspon 32</w:t>
      </w:r>
      <w:r w:rsidRPr="00510442">
        <w:rPr>
          <w:color w:val="000000"/>
          <w:szCs w:val="22"/>
          <w:lang w:val="hr-HR"/>
        </w:rPr>
        <w:noBreakHyphen/>
        <w:t xml:space="preserve">38 mjeseci). Ista publikacija je objavila i podatke dugotrajnog praćenja od 12 MDS/MPD bolesnika s preraspodjelom PDGFR gena (5 bolesnika iz studije B2225). Ti su bolesnici primali Glivec za medijan od 47 mjeseci (raspon 24 dana – 60 mjeseci). U 6 od tih bolesnika praćenje sada premašuje 4 godine. Jedanaest </w:t>
      </w:r>
      <w:r w:rsidRPr="00510442">
        <w:rPr>
          <w:color w:val="000000"/>
          <w:szCs w:val="22"/>
          <w:lang w:val="hr-HR"/>
        </w:rPr>
        <w:lastRenderedPageBreak/>
        <w:t xml:space="preserve">bolesnika postiglo je brzi </w:t>
      </w:r>
      <w:smartTag w:uri="urn:schemas-microsoft-com:office:smarttags" w:element="stockticker">
        <w:r w:rsidRPr="00510442">
          <w:rPr>
            <w:color w:val="000000"/>
            <w:szCs w:val="22"/>
            <w:lang w:val="hr-HR"/>
          </w:rPr>
          <w:t>CHR</w:t>
        </w:r>
      </w:smartTag>
      <w:r w:rsidRPr="00510442">
        <w:rPr>
          <w:color w:val="000000"/>
          <w:szCs w:val="22"/>
          <w:lang w:val="hr-HR"/>
        </w:rPr>
        <w:t xml:space="preserve">; deset je imalo potpun </w:t>
      </w:r>
      <w:r w:rsidRPr="00510442">
        <w:rPr>
          <w:szCs w:val="22"/>
          <w:lang w:val="hr-HR"/>
        </w:rPr>
        <w:t>nestanak</w:t>
      </w:r>
      <w:r w:rsidRPr="00510442">
        <w:rPr>
          <w:color w:val="000000"/>
          <w:szCs w:val="22"/>
          <w:lang w:val="hr-HR"/>
        </w:rPr>
        <w:t xml:space="preserve"> citogenetskih abnormalnosti te smanjenje ili nestanak fuzijskih transkripcija mjereno RT-</w:t>
      </w:r>
      <w:smartTag w:uri="urn:schemas-microsoft-com:office:smarttags" w:element="stockticker">
        <w:r w:rsidRPr="00510442">
          <w:rPr>
            <w:color w:val="000000"/>
            <w:szCs w:val="22"/>
            <w:lang w:val="hr-HR"/>
          </w:rPr>
          <w:t>PCR</w:t>
        </w:r>
      </w:smartTag>
      <w:r w:rsidRPr="00510442">
        <w:rPr>
          <w:color w:val="000000"/>
          <w:szCs w:val="22"/>
          <w:lang w:val="hr-HR"/>
        </w:rPr>
        <w:t>-om. Hematološki i citogenetski odgovori su se održali za medijan od 49 mjeseci (raspon 19</w:t>
      </w:r>
      <w:r w:rsidRPr="00510442">
        <w:rPr>
          <w:color w:val="000000"/>
          <w:szCs w:val="22"/>
          <w:lang w:val="hr-HR"/>
        </w:rPr>
        <w:noBreakHyphen/>
        <w:t>60), odnosno 47 mjeseci (raspon 16</w:t>
      </w:r>
      <w:r w:rsidRPr="00510442">
        <w:rPr>
          <w:color w:val="000000"/>
          <w:szCs w:val="22"/>
          <w:lang w:val="hr-HR"/>
        </w:rPr>
        <w:noBreakHyphen/>
        <w:t>59). Ukupno preživlj</w:t>
      </w:r>
      <w:r w:rsidR="00225594" w:rsidRPr="00510442">
        <w:rPr>
          <w:color w:val="000000"/>
          <w:szCs w:val="22"/>
          <w:lang w:val="hr-HR"/>
        </w:rPr>
        <w:t>e</w:t>
      </w:r>
      <w:r w:rsidRPr="00510442">
        <w:rPr>
          <w:color w:val="000000"/>
          <w:szCs w:val="22"/>
          <w:lang w:val="hr-HR"/>
        </w:rPr>
        <w:t>nje iznosi 65 mjeseci od dijagnoze (raspon 25</w:t>
      </w:r>
      <w:r w:rsidRPr="00510442">
        <w:rPr>
          <w:color w:val="000000"/>
          <w:szCs w:val="22"/>
          <w:lang w:val="hr-HR"/>
        </w:rPr>
        <w:noBreakHyphen/>
        <w:t xml:space="preserve">234). Primjena </w:t>
      </w:r>
      <w:r w:rsidR="00A752CC" w:rsidRPr="00512481">
        <w:rPr>
          <w:szCs w:val="22"/>
          <w:lang w:val="hr-HR"/>
        </w:rPr>
        <w:t xml:space="preserve">lijeka </w:t>
      </w:r>
      <w:r w:rsidRPr="00510442">
        <w:rPr>
          <w:color w:val="000000"/>
          <w:szCs w:val="22"/>
          <w:lang w:val="hr-HR"/>
        </w:rPr>
        <w:t>Glivec bez genetske translokacije obično ne rezultira poboljšanjem.</w:t>
      </w:r>
    </w:p>
    <w:p w14:paraId="1E959597" w14:textId="77777777" w:rsidR="00AF1D36" w:rsidRPr="00510442" w:rsidRDefault="00AF1D36" w:rsidP="007F1BD0">
      <w:pPr>
        <w:pStyle w:val="EndnoteText"/>
        <w:widowControl w:val="0"/>
        <w:tabs>
          <w:tab w:val="clear" w:pos="567"/>
        </w:tabs>
        <w:rPr>
          <w:color w:val="000000"/>
          <w:szCs w:val="22"/>
          <w:lang w:val="hr-HR"/>
        </w:rPr>
      </w:pPr>
    </w:p>
    <w:p w14:paraId="6B98727B" w14:textId="77777777" w:rsidR="00AE3BDB" w:rsidRPr="00510442" w:rsidRDefault="00AE3BDB" w:rsidP="007F1BD0">
      <w:pPr>
        <w:pStyle w:val="EndnoteText"/>
        <w:widowControl w:val="0"/>
        <w:tabs>
          <w:tab w:val="clear" w:pos="567"/>
        </w:tabs>
        <w:rPr>
          <w:color w:val="000000"/>
          <w:szCs w:val="22"/>
          <w:lang w:val="hr-HR"/>
        </w:rPr>
      </w:pPr>
      <w:r w:rsidRPr="00510442">
        <w:rPr>
          <w:color w:val="000000"/>
          <w:szCs w:val="22"/>
          <w:lang w:val="hr-HR"/>
        </w:rPr>
        <w:t>Nema kontroliranih ispitivanja u pedijatrijskih bolesnika s MDS</w:t>
      </w:r>
      <w:r w:rsidR="000F722B" w:rsidRPr="00510442">
        <w:rPr>
          <w:color w:val="000000"/>
          <w:szCs w:val="22"/>
          <w:lang w:val="hr-HR"/>
        </w:rPr>
        <w:t>/</w:t>
      </w:r>
      <w:r w:rsidRPr="00510442">
        <w:rPr>
          <w:color w:val="000000"/>
          <w:szCs w:val="22"/>
          <w:lang w:val="hr-HR"/>
        </w:rPr>
        <w:t xml:space="preserve">MPD-om. </w:t>
      </w:r>
      <w:r w:rsidR="003066C4" w:rsidRPr="00510442">
        <w:rPr>
          <w:color w:val="000000"/>
          <w:szCs w:val="22"/>
          <w:lang w:val="hr-HR"/>
        </w:rPr>
        <w:t>U 4 publikacije zabilježen</w:t>
      </w:r>
      <w:r w:rsidR="00D65EF8" w:rsidRPr="00510442">
        <w:rPr>
          <w:color w:val="000000"/>
          <w:szCs w:val="22"/>
          <w:lang w:val="hr-HR"/>
        </w:rPr>
        <w:t>o je</w:t>
      </w:r>
      <w:r w:rsidR="003066C4" w:rsidRPr="00510442">
        <w:rPr>
          <w:color w:val="000000"/>
          <w:szCs w:val="22"/>
          <w:lang w:val="hr-HR"/>
        </w:rPr>
        <w:t xml:space="preserve"> p</w:t>
      </w:r>
      <w:r w:rsidRPr="00510442">
        <w:rPr>
          <w:color w:val="000000"/>
          <w:szCs w:val="22"/>
          <w:lang w:val="hr-HR"/>
        </w:rPr>
        <w:t>et (5)</w:t>
      </w:r>
      <w:r w:rsidR="000F722B" w:rsidRPr="00510442">
        <w:rPr>
          <w:color w:val="000000"/>
          <w:szCs w:val="22"/>
          <w:lang w:val="hr-HR"/>
        </w:rPr>
        <w:t> </w:t>
      </w:r>
      <w:r w:rsidRPr="00510442">
        <w:rPr>
          <w:color w:val="000000"/>
          <w:szCs w:val="22"/>
          <w:lang w:val="hr-HR"/>
        </w:rPr>
        <w:t>bolesnika s MDS/MPD-o</w:t>
      </w:r>
      <w:r w:rsidR="00E53AD8" w:rsidRPr="00510442">
        <w:rPr>
          <w:color w:val="000000"/>
          <w:szCs w:val="22"/>
          <w:lang w:val="hr-HR"/>
        </w:rPr>
        <w:t xml:space="preserve">m povezanim s preraspodjelom </w:t>
      </w:r>
      <w:r w:rsidR="003066C4" w:rsidRPr="00510442">
        <w:rPr>
          <w:color w:val="000000"/>
          <w:szCs w:val="22"/>
          <w:lang w:val="hr-HR"/>
        </w:rPr>
        <w:t xml:space="preserve">gena za </w:t>
      </w:r>
      <w:r w:rsidRPr="00510442">
        <w:rPr>
          <w:color w:val="000000"/>
          <w:szCs w:val="22"/>
          <w:lang w:val="hr-HR"/>
        </w:rPr>
        <w:t xml:space="preserve">PDGFR. Dob tih bolesnika bila je u rasponu od 3 mjeseca do 4 godine, a imatinib se primjenjivao u dozi od 50 mg </w:t>
      </w:r>
      <w:r w:rsidR="003066C4" w:rsidRPr="00510442">
        <w:rPr>
          <w:color w:val="000000"/>
          <w:szCs w:val="22"/>
          <w:lang w:val="hr-HR"/>
        </w:rPr>
        <w:t>na dan</w:t>
      </w:r>
      <w:r w:rsidRPr="00510442">
        <w:rPr>
          <w:color w:val="000000"/>
          <w:szCs w:val="22"/>
          <w:lang w:val="hr-HR"/>
        </w:rPr>
        <w:t xml:space="preserve"> ili dozama u rasponu od 92,5 do 340 mg/m</w:t>
      </w:r>
      <w:r w:rsidRPr="00510442">
        <w:rPr>
          <w:color w:val="000000"/>
          <w:szCs w:val="22"/>
          <w:vertAlign w:val="superscript"/>
          <w:lang w:val="hr-HR"/>
        </w:rPr>
        <w:t>2</w:t>
      </w:r>
      <w:r w:rsidRPr="00510442">
        <w:rPr>
          <w:color w:val="000000"/>
          <w:szCs w:val="22"/>
          <w:lang w:val="hr-HR"/>
        </w:rPr>
        <w:t xml:space="preserve"> </w:t>
      </w:r>
      <w:r w:rsidR="003066C4" w:rsidRPr="00510442">
        <w:rPr>
          <w:color w:val="000000"/>
          <w:szCs w:val="22"/>
          <w:lang w:val="hr-HR"/>
        </w:rPr>
        <w:t>na dan</w:t>
      </w:r>
      <w:r w:rsidRPr="00510442">
        <w:rPr>
          <w:color w:val="000000"/>
          <w:szCs w:val="22"/>
          <w:lang w:val="hr-HR"/>
        </w:rPr>
        <w:t xml:space="preserve">. Svi su bolesnici postigli </w:t>
      </w:r>
      <w:r w:rsidR="00CF5645" w:rsidRPr="00510442">
        <w:rPr>
          <w:color w:val="000000"/>
          <w:szCs w:val="22"/>
          <w:lang w:val="hr-HR"/>
        </w:rPr>
        <w:t>potpuni</w:t>
      </w:r>
      <w:r w:rsidRPr="00510442">
        <w:rPr>
          <w:color w:val="000000"/>
          <w:szCs w:val="22"/>
          <w:lang w:val="hr-HR"/>
        </w:rPr>
        <w:t xml:space="preserve"> hematološki odgovor, citogenetski odgovor i/ili klinički odgovor.</w:t>
      </w:r>
    </w:p>
    <w:p w14:paraId="526CD477" w14:textId="77777777" w:rsidR="00AE3BDB" w:rsidRPr="00510442" w:rsidRDefault="00AE3BDB" w:rsidP="007F1BD0">
      <w:pPr>
        <w:pStyle w:val="EndnoteText"/>
        <w:widowControl w:val="0"/>
        <w:tabs>
          <w:tab w:val="clear" w:pos="567"/>
        </w:tabs>
        <w:rPr>
          <w:color w:val="000000"/>
          <w:szCs w:val="22"/>
          <w:lang w:val="hr-HR"/>
        </w:rPr>
      </w:pPr>
    </w:p>
    <w:p w14:paraId="341FB5C5" w14:textId="77777777" w:rsidR="009374FE" w:rsidRPr="00510442" w:rsidRDefault="009374FE" w:rsidP="003179A4">
      <w:pPr>
        <w:pStyle w:val="EndnoteText"/>
        <w:keepNext/>
        <w:widowControl w:val="0"/>
        <w:outlineLvl w:val="0"/>
        <w:rPr>
          <w:color w:val="000000"/>
          <w:szCs w:val="22"/>
          <w:u w:val="single"/>
          <w:lang w:val="hr-HR"/>
        </w:rPr>
      </w:pPr>
      <w:r w:rsidRPr="00510442">
        <w:rPr>
          <w:color w:val="000000"/>
          <w:szCs w:val="22"/>
          <w:u w:val="single"/>
          <w:lang w:val="hr-HR"/>
        </w:rPr>
        <w:t>Klinička ispitivanja kod HES/</w:t>
      </w:r>
      <w:r w:rsidR="00C00697" w:rsidRPr="00510442">
        <w:rPr>
          <w:color w:val="000000"/>
          <w:szCs w:val="22"/>
          <w:u w:val="single"/>
          <w:lang w:val="hr-HR"/>
        </w:rPr>
        <w:t>K</w:t>
      </w:r>
      <w:r w:rsidRPr="00510442">
        <w:rPr>
          <w:color w:val="000000"/>
          <w:szCs w:val="22"/>
          <w:u w:val="single"/>
          <w:lang w:val="hr-HR"/>
        </w:rPr>
        <w:t>EL-a</w:t>
      </w:r>
    </w:p>
    <w:p w14:paraId="3F8D068E" w14:textId="2C36ABF7" w:rsidR="009374FE" w:rsidRPr="00510442" w:rsidRDefault="009374FE" w:rsidP="0038669B">
      <w:pPr>
        <w:pStyle w:val="EndnoteText"/>
        <w:widowControl w:val="0"/>
        <w:rPr>
          <w:color w:val="000000"/>
          <w:szCs w:val="22"/>
          <w:lang w:val="hr-HR"/>
        </w:rPr>
      </w:pPr>
      <w:r w:rsidRPr="00510442">
        <w:rPr>
          <w:color w:val="000000"/>
          <w:szCs w:val="22"/>
          <w:lang w:val="hr-HR"/>
        </w:rPr>
        <w:t xml:space="preserve">Provedeno je jedno otvoreno, multicentrično kliničko ispitivanje faze II (studija B2225) za ispitivanje </w:t>
      </w:r>
      <w:r w:rsidR="00A752CC" w:rsidRPr="00512481">
        <w:rPr>
          <w:szCs w:val="22"/>
          <w:lang w:val="hr-HR"/>
        </w:rPr>
        <w:t xml:space="preserve">lijeka </w:t>
      </w:r>
      <w:r w:rsidRPr="00510442">
        <w:rPr>
          <w:color w:val="000000"/>
          <w:szCs w:val="22"/>
          <w:lang w:val="hr-HR"/>
        </w:rPr>
        <w:t>Glivec u raznim populacijama bolesnika koji pate od bolesti opasnih po život povezanih s Abl, Kit ili PDGFR protein tirozin kinazama. U tom kliničkom ispitivanju, 14</w:t>
      </w:r>
      <w:r w:rsidRPr="00510442">
        <w:rPr>
          <w:color w:val="000000"/>
          <w:szCs w:val="22"/>
          <w:lang w:val="hr-HR" w:eastAsia="ja-JP"/>
        </w:rPr>
        <w:t> </w:t>
      </w:r>
      <w:r w:rsidRPr="00510442">
        <w:rPr>
          <w:color w:val="000000"/>
          <w:szCs w:val="22"/>
          <w:lang w:val="hr-HR"/>
        </w:rPr>
        <w:t>bolesnika s HES/</w:t>
      </w:r>
      <w:r w:rsidR="00C00697" w:rsidRPr="00510442">
        <w:rPr>
          <w:color w:val="000000"/>
          <w:szCs w:val="22"/>
          <w:lang w:val="hr-HR"/>
        </w:rPr>
        <w:t>K</w:t>
      </w:r>
      <w:r w:rsidRPr="00510442">
        <w:rPr>
          <w:color w:val="000000"/>
          <w:szCs w:val="22"/>
          <w:lang w:val="hr-HR"/>
        </w:rPr>
        <w:t xml:space="preserve">EL-om je liječeno </w:t>
      </w:r>
      <w:r w:rsidR="00B0477E">
        <w:rPr>
          <w:szCs w:val="22"/>
          <w:lang w:val="hr-HR"/>
        </w:rPr>
        <w:t xml:space="preserve">lijekom </w:t>
      </w:r>
      <w:r w:rsidRPr="00510442">
        <w:rPr>
          <w:color w:val="000000"/>
          <w:szCs w:val="22"/>
          <w:lang w:val="hr-HR"/>
        </w:rPr>
        <w:t>Glivec od 100</w:t>
      </w:r>
      <w:r w:rsidRPr="00510442">
        <w:rPr>
          <w:color w:val="000000"/>
          <w:szCs w:val="22"/>
          <w:lang w:val="hr-HR" w:eastAsia="ja-JP"/>
        </w:rPr>
        <w:t> </w:t>
      </w:r>
      <w:r w:rsidRPr="00510442">
        <w:rPr>
          <w:color w:val="000000"/>
          <w:szCs w:val="22"/>
          <w:lang w:val="hr-HR"/>
        </w:rPr>
        <w:t>mg do 1000</w:t>
      </w:r>
      <w:r w:rsidRPr="00510442">
        <w:rPr>
          <w:color w:val="000000"/>
          <w:szCs w:val="22"/>
          <w:lang w:val="hr-HR" w:eastAsia="ja-JP"/>
        </w:rPr>
        <w:t> </w:t>
      </w:r>
      <w:r w:rsidRPr="00510442">
        <w:rPr>
          <w:color w:val="000000"/>
          <w:szCs w:val="22"/>
          <w:lang w:val="hr-HR"/>
        </w:rPr>
        <w:t xml:space="preserve">mg </w:t>
      </w:r>
      <w:r w:rsidR="00D528F4" w:rsidRPr="00510442">
        <w:rPr>
          <w:color w:val="000000"/>
          <w:szCs w:val="22"/>
          <w:lang w:val="hr-HR"/>
        </w:rPr>
        <w:t>na dan</w:t>
      </w:r>
      <w:r w:rsidRPr="00510442">
        <w:rPr>
          <w:color w:val="000000"/>
          <w:szCs w:val="22"/>
          <w:lang w:val="hr-HR"/>
        </w:rPr>
        <w:t>. Dodatnih 162</w:t>
      </w:r>
      <w:r w:rsidRPr="00510442">
        <w:rPr>
          <w:color w:val="000000"/>
          <w:szCs w:val="22"/>
          <w:lang w:val="hr-HR" w:eastAsia="ja-JP"/>
        </w:rPr>
        <w:t> </w:t>
      </w:r>
      <w:r w:rsidRPr="00510442">
        <w:rPr>
          <w:color w:val="000000"/>
          <w:szCs w:val="22"/>
          <w:lang w:val="hr-HR"/>
        </w:rPr>
        <w:t>bolesnika s HES/</w:t>
      </w:r>
      <w:r w:rsidR="00C00697" w:rsidRPr="00510442">
        <w:rPr>
          <w:color w:val="000000"/>
          <w:szCs w:val="22"/>
          <w:lang w:val="hr-HR"/>
        </w:rPr>
        <w:t>K</w:t>
      </w:r>
      <w:r w:rsidRPr="00510442">
        <w:rPr>
          <w:color w:val="000000"/>
          <w:szCs w:val="22"/>
          <w:lang w:val="hr-HR"/>
        </w:rPr>
        <w:t>EL-om, zabilježenih u 35</w:t>
      </w:r>
      <w:r w:rsidRPr="00510442">
        <w:rPr>
          <w:color w:val="000000"/>
          <w:szCs w:val="22"/>
          <w:lang w:val="hr-HR" w:eastAsia="ja-JP"/>
        </w:rPr>
        <w:t> </w:t>
      </w:r>
      <w:r w:rsidRPr="00510442">
        <w:rPr>
          <w:color w:val="000000"/>
          <w:szCs w:val="22"/>
          <w:lang w:val="hr-HR"/>
        </w:rPr>
        <w:t>objavljenih prikaza slučajeva i serija slučajeva, primalo je Glivec u dozama od 75</w:t>
      </w:r>
      <w:r w:rsidRPr="00510442">
        <w:rPr>
          <w:color w:val="000000"/>
          <w:szCs w:val="22"/>
          <w:lang w:val="hr-HR" w:eastAsia="ja-JP"/>
        </w:rPr>
        <w:t> </w:t>
      </w:r>
      <w:r w:rsidRPr="00510442">
        <w:rPr>
          <w:color w:val="000000"/>
          <w:szCs w:val="22"/>
          <w:lang w:val="hr-HR"/>
        </w:rPr>
        <w:t>mg do 800</w:t>
      </w:r>
      <w:r w:rsidRPr="00510442">
        <w:rPr>
          <w:color w:val="000000"/>
          <w:szCs w:val="22"/>
          <w:lang w:val="hr-HR" w:eastAsia="ja-JP"/>
        </w:rPr>
        <w:t> </w:t>
      </w:r>
      <w:r w:rsidRPr="00510442">
        <w:rPr>
          <w:color w:val="000000"/>
          <w:szCs w:val="22"/>
          <w:lang w:val="hr-HR"/>
        </w:rPr>
        <w:t xml:space="preserve">mg </w:t>
      </w:r>
      <w:r w:rsidR="00D528F4" w:rsidRPr="00510442">
        <w:rPr>
          <w:color w:val="000000"/>
          <w:szCs w:val="22"/>
          <w:lang w:val="hr-HR"/>
        </w:rPr>
        <w:t>na dan</w:t>
      </w:r>
      <w:r w:rsidRPr="00510442">
        <w:rPr>
          <w:color w:val="000000"/>
          <w:szCs w:val="22"/>
          <w:lang w:val="hr-HR"/>
        </w:rPr>
        <w:t>. Citogenetske abnormalnosti su procijenjene u 117 od ukupne populacije od 176</w:t>
      </w:r>
      <w:r w:rsidRPr="00510442">
        <w:rPr>
          <w:color w:val="000000"/>
          <w:szCs w:val="22"/>
          <w:lang w:val="hr-HR" w:eastAsia="ja-JP"/>
        </w:rPr>
        <w:t> </w:t>
      </w:r>
      <w:r w:rsidRPr="00510442">
        <w:rPr>
          <w:color w:val="000000"/>
          <w:szCs w:val="22"/>
          <w:lang w:val="hr-HR"/>
        </w:rPr>
        <w:t>bolesnika. U 61 od tih 117</w:t>
      </w:r>
      <w:r w:rsidRPr="00510442">
        <w:rPr>
          <w:color w:val="000000"/>
          <w:szCs w:val="22"/>
          <w:lang w:val="hr-HR" w:eastAsia="ja-JP"/>
        </w:rPr>
        <w:t> </w:t>
      </w:r>
      <w:r w:rsidRPr="00510442">
        <w:rPr>
          <w:color w:val="000000"/>
          <w:szCs w:val="22"/>
          <w:lang w:val="hr-HR"/>
        </w:rPr>
        <w:t>bolesnika identificirana je FIP1L1-PDGFRα fuzijska kinaza. Dodatna četiri HES bolesnika su otkrivena kao FIP1L1-PDGFRα-pozitivni u druga 3</w:t>
      </w:r>
      <w:r w:rsidRPr="00510442">
        <w:rPr>
          <w:color w:val="000000"/>
          <w:szCs w:val="22"/>
          <w:lang w:val="hr-HR" w:eastAsia="ja-JP"/>
        </w:rPr>
        <w:t> </w:t>
      </w:r>
      <w:r w:rsidR="00E92824" w:rsidRPr="00510442">
        <w:rPr>
          <w:color w:val="000000"/>
          <w:szCs w:val="22"/>
          <w:lang w:val="hr-HR"/>
        </w:rPr>
        <w:t>objavljenja slučaja</w:t>
      </w:r>
      <w:r w:rsidRPr="00510442">
        <w:rPr>
          <w:color w:val="000000"/>
          <w:szCs w:val="22"/>
          <w:lang w:val="hr-HR"/>
        </w:rPr>
        <w:t>. Svih 65</w:t>
      </w:r>
      <w:r w:rsidRPr="00510442">
        <w:rPr>
          <w:color w:val="000000"/>
          <w:szCs w:val="22"/>
          <w:lang w:val="hr-HR" w:eastAsia="ja-JP"/>
        </w:rPr>
        <w:t> </w:t>
      </w:r>
      <w:r w:rsidRPr="00510442">
        <w:rPr>
          <w:color w:val="000000"/>
          <w:szCs w:val="22"/>
          <w:lang w:val="hr-HR"/>
        </w:rPr>
        <w:t xml:space="preserve">bolesnika s pozitivnom FIP1L1-PDGFRα fuzijskom kinazom postiglo je CHR održan mjesecima (raspon od 1+ do 44+ mjeseci </w:t>
      </w:r>
      <w:r w:rsidRPr="00510442">
        <w:rPr>
          <w:szCs w:val="22"/>
          <w:lang w:val="hr-HR"/>
        </w:rPr>
        <w:t xml:space="preserve">izostavljen </w:t>
      </w:r>
      <w:r w:rsidRPr="00510442">
        <w:rPr>
          <w:color w:val="000000"/>
          <w:szCs w:val="22"/>
          <w:lang w:val="hr-HR"/>
        </w:rPr>
        <w:t>u trenutku izvještavanja). Kao što je zabilježeno u nedavnoj publikaciji, 21 od tih 65</w:t>
      </w:r>
      <w:r w:rsidRPr="00510442">
        <w:rPr>
          <w:color w:val="000000"/>
          <w:szCs w:val="22"/>
          <w:lang w:val="hr-HR" w:eastAsia="ja-JP"/>
        </w:rPr>
        <w:t> </w:t>
      </w:r>
      <w:r w:rsidRPr="00510442">
        <w:rPr>
          <w:color w:val="000000"/>
          <w:szCs w:val="22"/>
          <w:lang w:val="hr-HR"/>
        </w:rPr>
        <w:t>bolesnika također je postigao potpunu molekularnu remisiju s medijanom praćenja od 28</w:t>
      </w:r>
      <w:r w:rsidRPr="00510442">
        <w:rPr>
          <w:color w:val="000000"/>
          <w:szCs w:val="22"/>
          <w:lang w:val="hr-HR" w:eastAsia="ja-JP"/>
        </w:rPr>
        <w:t> </w:t>
      </w:r>
      <w:r w:rsidRPr="00510442">
        <w:rPr>
          <w:color w:val="000000"/>
          <w:szCs w:val="22"/>
          <w:lang w:val="hr-HR"/>
        </w:rPr>
        <w:t>mjeseci (raspon 13</w:t>
      </w:r>
      <w:r w:rsidRPr="00510442">
        <w:rPr>
          <w:color w:val="000000"/>
          <w:szCs w:val="22"/>
          <w:lang w:val="hr-HR"/>
        </w:rPr>
        <w:noBreakHyphen/>
        <w:t>67</w:t>
      </w:r>
      <w:r w:rsidRPr="00510442">
        <w:rPr>
          <w:color w:val="000000"/>
          <w:szCs w:val="22"/>
          <w:lang w:val="hr-HR" w:eastAsia="ja-JP"/>
        </w:rPr>
        <w:t> </w:t>
      </w:r>
      <w:r w:rsidRPr="00510442">
        <w:rPr>
          <w:color w:val="000000"/>
          <w:szCs w:val="22"/>
          <w:lang w:val="hr-HR"/>
        </w:rPr>
        <w:t>mjeseci). Starost tih bolesnika kretala se od 25 do 72</w:t>
      </w:r>
      <w:r w:rsidRPr="00510442">
        <w:rPr>
          <w:color w:val="000000"/>
          <w:szCs w:val="22"/>
          <w:lang w:val="hr-HR" w:eastAsia="ja-JP"/>
        </w:rPr>
        <w:t> </w:t>
      </w:r>
      <w:r w:rsidRPr="00510442">
        <w:rPr>
          <w:color w:val="000000"/>
          <w:szCs w:val="22"/>
          <w:lang w:val="hr-HR"/>
        </w:rPr>
        <w:t>godine. Dodatno, ispitivači su u prikazima slučajeva zabilježili i poboljšanja u simptomatologiji i drugim abnormalnostima disfunkcije organa. Poboljšanja su zabilježena u srčanom, živčanom, koži/potkožnom tkivu, dišnom/prsištu/sredoprsju, mišićno-koštanom/vezivnom tkivu/krvožilnom i probavnom organskom sustavu.</w:t>
      </w:r>
    </w:p>
    <w:p w14:paraId="20415413" w14:textId="77777777" w:rsidR="00254208" w:rsidRPr="00510442" w:rsidRDefault="00254208" w:rsidP="00236E0E">
      <w:pPr>
        <w:pStyle w:val="EndnoteText"/>
        <w:widowControl w:val="0"/>
        <w:tabs>
          <w:tab w:val="clear" w:pos="567"/>
        </w:tabs>
        <w:rPr>
          <w:color w:val="000000"/>
          <w:szCs w:val="22"/>
          <w:lang w:val="hr-HR"/>
        </w:rPr>
      </w:pPr>
    </w:p>
    <w:p w14:paraId="05431241" w14:textId="77777777" w:rsidR="00AE3BDB" w:rsidRPr="00510442" w:rsidRDefault="00AE3BDB" w:rsidP="00236E0E">
      <w:pPr>
        <w:pStyle w:val="EndnoteText"/>
        <w:widowControl w:val="0"/>
        <w:tabs>
          <w:tab w:val="clear" w:pos="567"/>
        </w:tabs>
        <w:rPr>
          <w:color w:val="000000"/>
          <w:szCs w:val="22"/>
          <w:lang w:val="hr-HR"/>
        </w:rPr>
      </w:pPr>
      <w:r w:rsidRPr="00510442">
        <w:rPr>
          <w:color w:val="000000"/>
          <w:szCs w:val="22"/>
          <w:lang w:val="hr-HR"/>
        </w:rPr>
        <w:t xml:space="preserve">Nema </w:t>
      </w:r>
      <w:r w:rsidR="00EB62F1" w:rsidRPr="00510442">
        <w:rPr>
          <w:color w:val="000000"/>
          <w:szCs w:val="22"/>
          <w:lang w:val="hr-HR"/>
        </w:rPr>
        <w:t>kontroliranih</w:t>
      </w:r>
      <w:r w:rsidRPr="00510442">
        <w:rPr>
          <w:color w:val="000000"/>
          <w:szCs w:val="22"/>
          <w:lang w:val="hr-HR"/>
        </w:rPr>
        <w:t xml:space="preserve"> ispitivanja u pedijatrijskih bolesnika s HES/KEL</w:t>
      </w:r>
      <w:r w:rsidR="00F61E28" w:rsidRPr="00510442">
        <w:rPr>
          <w:color w:val="000000"/>
          <w:szCs w:val="22"/>
          <w:lang w:val="hr-HR"/>
        </w:rPr>
        <w:t>-</w:t>
      </w:r>
      <w:r w:rsidRPr="00510442">
        <w:rPr>
          <w:color w:val="000000"/>
          <w:szCs w:val="22"/>
          <w:lang w:val="hr-HR"/>
        </w:rPr>
        <w:t xml:space="preserve">om. </w:t>
      </w:r>
      <w:r w:rsidR="003066C4" w:rsidRPr="00510442">
        <w:rPr>
          <w:color w:val="000000"/>
          <w:szCs w:val="22"/>
          <w:lang w:val="hr-HR"/>
        </w:rPr>
        <w:t>U 3 publikacije zabilježen</w:t>
      </w:r>
      <w:r w:rsidR="0096564F" w:rsidRPr="00510442">
        <w:rPr>
          <w:color w:val="000000"/>
          <w:szCs w:val="22"/>
          <w:lang w:val="hr-HR"/>
        </w:rPr>
        <w:t>a</w:t>
      </w:r>
      <w:r w:rsidR="00D65EF8" w:rsidRPr="00510442">
        <w:rPr>
          <w:color w:val="000000"/>
          <w:szCs w:val="22"/>
          <w:lang w:val="hr-HR"/>
        </w:rPr>
        <w:t xml:space="preserve"> </w:t>
      </w:r>
      <w:r w:rsidR="0096564F" w:rsidRPr="00510442">
        <w:rPr>
          <w:color w:val="000000"/>
          <w:szCs w:val="22"/>
          <w:lang w:val="hr-HR"/>
        </w:rPr>
        <w:t>su</w:t>
      </w:r>
      <w:r w:rsidR="003066C4" w:rsidRPr="00510442">
        <w:rPr>
          <w:color w:val="000000"/>
          <w:szCs w:val="22"/>
          <w:lang w:val="hr-HR"/>
        </w:rPr>
        <w:t xml:space="preserve"> tri</w:t>
      </w:r>
      <w:r w:rsidRPr="00510442">
        <w:rPr>
          <w:color w:val="000000"/>
          <w:szCs w:val="22"/>
          <w:lang w:val="hr-HR"/>
        </w:rPr>
        <w:t xml:space="preserve"> (3)</w:t>
      </w:r>
      <w:r w:rsidR="0096564F" w:rsidRPr="00510442">
        <w:rPr>
          <w:color w:val="000000"/>
          <w:szCs w:val="22"/>
          <w:lang w:val="hr-HR"/>
        </w:rPr>
        <w:t> </w:t>
      </w:r>
      <w:r w:rsidRPr="00510442">
        <w:rPr>
          <w:color w:val="000000"/>
          <w:szCs w:val="22"/>
          <w:lang w:val="hr-HR"/>
        </w:rPr>
        <w:t xml:space="preserve">bolesnika s HES-om i KEL-om povezanim s </w:t>
      </w:r>
      <w:r w:rsidR="00E53AD8" w:rsidRPr="00510442">
        <w:rPr>
          <w:color w:val="000000"/>
          <w:szCs w:val="22"/>
          <w:lang w:val="hr-HR"/>
        </w:rPr>
        <w:t xml:space="preserve">preraspodjelom </w:t>
      </w:r>
      <w:r w:rsidR="003066C4" w:rsidRPr="00510442">
        <w:rPr>
          <w:color w:val="000000"/>
          <w:szCs w:val="22"/>
          <w:lang w:val="hr-HR"/>
        </w:rPr>
        <w:t xml:space="preserve">gena za </w:t>
      </w:r>
      <w:r w:rsidRPr="00510442">
        <w:rPr>
          <w:color w:val="000000"/>
          <w:szCs w:val="22"/>
          <w:lang w:val="hr-HR"/>
        </w:rPr>
        <w:t>PDGFR. Dob tih bolesnika bila je u rasponu od 2 do 16 godina, a imatinib se primjenjivao u dozi od 300 mg/m</w:t>
      </w:r>
      <w:r w:rsidRPr="00510442">
        <w:rPr>
          <w:color w:val="000000"/>
          <w:szCs w:val="22"/>
          <w:vertAlign w:val="superscript"/>
          <w:lang w:val="hr-HR"/>
        </w:rPr>
        <w:t>2</w:t>
      </w:r>
      <w:r w:rsidRPr="00510442">
        <w:rPr>
          <w:color w:val="000000"/>
          <w:szCs w:val="22"/>
          <w:lang w:val="hr-HR"/>
        </w:rPr>
        <w:t xml:space="preserve"> </w:t>
      </w:r>
      <w:r w:rsidR="00D65EF8" w:rsidRPr="00510442">
        <w:rPr>
          <w:color w:val="000000"/>
          <w:szCs w:val="22"/>
          <w:lang w:val="hr-HR"/>
        </w:rPr>
        <w:t xml:space="preserve">na dan </w:t>
      </w:r>
      <w:r w:rsidRPr="00510442">
        <w:rPr>
          <w:color w:val="000000"/>
          <w:szCs w:val="22"/>
          <w:lang w:val="hr-HR"/>
        </w:rPr>
        <w:t xml:space="preserve">ili </w:t>
      </w:r>
      <w:r w:rsidR="00D65EF8" w:rsidRPr="00510442">
        <w:rPr>
          <w:color w:val="000000"/>
          <w:szCs w:val="22"/>
          <w:lang w:val="hr-HR"/>
        </w:rPr>
        <w:t xml:space="preserve">u </w:t>
      </w:r>
      <w:r w:rsidRPr="00510442">
        <w:rPr>
          <w:color w:val="000000"/>
          <w:szCs w:val="22"/>
          <w:lang w:val="hr-HR"/>
        </w:rPr>
        <w:t xml:space="preserve">dozama </w:t>
      </w:r>
      <w:r w:rsidR="00EB62F1" w:rsidRPr="00510442">
        <w:rPr>
          <w:color w:val="000000"/>
          <w:szCs w:val="22"/>
          <w:lang w:val="hr-HR"/>
        </w:rPr>
        <w:t xml:space="preserve">u rasponu </w:t>
      </w:r>
      <w:r w:rsidRPr="00510442">
        <w:rPr>
          <w:color w:val="000000"/>
          <w:szCs w:val="22"/>
          <w:lang w:val="hr-HR"/>
        </w:rPr>
        <w:t xml:space="preserve">od 200 do 400 mg </w:t>
      </w:r>
      <w:r w:rsidR="003066C4" w:rsidRPr="00510442">
        <w:rPr>
          <w:color w:val="000000"/>
          <w:szCs w:val="22"/>
          <w:lang w:val="hr-HR"/>
        </w:rPr>
        <w:t>na dan</w:t>
      </w:r>
      <w:r w:rsidRPr="00510442">
        <w:rPr>
          <w:color w:val="000000"/>
          <w:szCs w:val="22"/>
          <w:lang w:val="hr-HR"/>
        </w:rPr>
        <w:t xml:space="preserve">. Svi su bolesnici postigli </w:t>
      </w:r>
      <w:r w:rsidR="00CF5645" w:rsidRPr="00510442">
        <w:rPr>
          <w:color w:val="000000"/>
          <w:szCs w:val="22"/>
          <w:lang w:val="hr-HR"/>
        </w:rPr>
        <w:t>potpuni</w:t>
      </w:r>
      <w:r w:rsidRPr="00510442">
        <w:rPr>
          <w:color w:val="000000"/>
          <w:szCs w:val="22"/>
          <w:lang w:val="hr-HR"/>
        </w:rPr>
        <w:t xml:space="preserve"> hematološki odgovor, </w:t>
      </w:r>
      <w:r w:rsidR="00CF5645" w:rsidRPr="00510442">
        <w:rPr>
          <w:color w:val="000000"/>
          <w:szCs w:val="22"/>
          <w:lang w:val="hr-HR"/>
        </w:rPr>
        <w:t>potpuni</w:t>
      </w:r>
      <w:r w:rsidRPr="00510442">
        <w:rPr>
          <w:color w:val="000000"/>
          <w:szCs w:val="22"/>
          <w:lang w:val="hr-HR"/>
        </w:rPr>
        <w:t xml:space="preserve"> citogenetski odgovor i/ili </w:t>
      </w:r>
      <w:r w:rsidR="00CF5645" w:rsidRPr="00510442">
        <w:rPr>
          <w:color w:val="000000"/>
          <w:szCs w:val="22"/>
          <w:lang w:val="hr-HR"/>
        </w:rPr>
        <w:t>potpuni</w:t>
      </w:r>
      <w:r w:rsidRPr="00510442">
        <w:rPr>
          <w:color w:val="000000"/>
          <w:szCs w:val="22"/>
          <w:lang w:val="hr-HR"/>
        </w:rPr>
        <w:t xml:space="preserve"> molekularni odgovor.</w:t>
      </w:r>
    </w:p>
    <w:p w14:paraId="792007AC" w14:textId="77777777" w:rsidR="00AE3BDB" w:rsidRPr="00510442" w:rsidRDefault="00AE3BDB" w:rsidP="00236E0E">
      <w:pPr>
        <w:pStyle w:val="EndnoteText"/>
        <w:widowControl w:val="0"/>
        <w:tabs>
          <w:tab w:val="clear" w:pos="567"/>
        </w:tabs>
        <w:rPr>
          <w:color w:val="000000"/>
          <w:szCs w:val="22"/>
          <w:lang w:val="hr-HR"/>
        </w:rPr>
      </w:pPr>
    </w:p>
    <w:p w14:paraId="5CD35D4D" w14:textId="77777777" w:rsidR="00021B32" w:rsidRPr="00510442" w:rsidRDefault="00021B32" w:rsidP="003179A4">
      <w:pPr>
        <w:keepNext/>
        <w:spacing w:line="240" w:lineRule="auto"/>
        <w:outlineLvl w:val="0"/>
        <w:rPr>
          <w:szCs w:val="22"/>
          <w:u w:val="single"/>
          <w:lang w:val="hr-HR"/>
        </w:rPr>
      </w:pPr>
      <w:r w:rsidRPr="00510442">
        <w:rPr>
          <w:szCs w:val="22"/>
          <w:u w:val="single"/>
          <w:lang w:val="hr-HR"/>
        </w:rPr>
        <w:t>Klinička ispitivanja kod inoperabilnog i/ili metastazirajućeg GIST-a</w:t>
      </w:r>
    </w:p>
    <w:p w14:paraId="33AF2AB7" w14:textId="77777777" w:rsidR="00021B32" w:rsidRPr="00510442" w:rsidRDefault="00021B32" w:rsidP="009B5630">
      <w:pPr>
        <w:spacing w:line="240" w:lineRule="auto"/>
        <w:rPr>
          <w:szCs w:val="22"/>
          <w:lang w:val="hr-HR"/>
        </w:rPr>
      </w:pPr>
      <w:r w:rsidRPr="00510442">
        <w:rPr>
          <w:szCs w:val="22"/>
          <w:lang w:val="hr-HR"/>
        </w:rPr>
        <w:t>Kod bolesnika s inoperabilnim ili metastazirajućim malignim gastrointestinalnim stromalnim tumorima (GIST) provedeno je jedno otvoreno, randomizirano, nekontrolirano, multinacionalno ispitivanje faze II. U to je ispitivanje uključeno i randomizirano 147</w:t>
      </w:r>
      <w:r w:rsidR="001B7168" w:rsidRPr="00510442">
        <w:rPr>
          <w:color w:val="000000"/>
          <w:szCs w:val="22"/>
          <w:lang w:val="hr-HR"/>
        </w:rPr>
        <w:t> </w:t>
      </w:r>
      <w:r w:rsidRPr="00510442">
        <w:rPr>
          <w:szCs w:val="22"/>
          <w:lang w:val="hr-HR"/>
        </w:rPr>
        <w:t xml:space="preserve">bolesnika kako bi </w:t>
      </w:r>
      <w:r w:rsidR="00E92824" w:rsidRPr="00510442">
        <w:rPr>
          <w:szCs w:val="22"/>
          <w:lang w:val="hr-HR"/>
        </w:rPr>
        <w:t xml:space="preserve">na dan </w:t>
      </w:r>
      <w:r w:rsidRPr="00510442">
        <w:rPr>
          <w:szCs w:val="22"/>
          <w:lang w:val="hr-HR"/>
        </w:rPr>
        <w:t>primali bilo 400</w:t>
      </w:r>
      <w:r w:rsidR="001B7168" w:rsidRPr="00510442">
        <w:rPr>
          <w:color w:val="000000"/>
          <w:szCs w:val="22"/>
          <w:lang w:val="hr-HR"/>
        </w:rPr>
        <w:t> </w:t>
      </w:r>
      <w:r w:rsidRPr="00510442">
        <w:rPr>
          <w:szCs w:val="22"/>
          <w:lang w:val="hr-HR"/>
        </w:rPr>
        <w:t>mg bilo 600</w:t>
      </w:r>
      <w:r w:rsidR="001B7168" w:rsidRPr="00510442">
        <w:rPr>
          <w:color w:val="000000"/>
          <w:szCs w:val="22"/>
          <w:lang w:val="hr-HR"/>
        </w:rPr>
        <w:t> </w:t>
      </w:r>
      <w:r w:rsidRPr="00510442">
        <w:rPr>
          <w:szCs w:val="22"/>
          <w:lang w:val="hr-HR"/>
        </w:rPr>
        <w:t xml:space="preserve">mg </w:t>
      </w:r>
      <w:r w:rsidR="00541C00" w:rsidRPr="00510442">
        <w:rPr>
          <w:szCs w:val="22"/>
          <w:lang w:val="hr-HR"/>
        </w:rPr>
        <w:t>per</w:t>
      </w:r>
      <w:r w:rsidRPr="00510442">
        <w:rPr>
          <w:szCs w:val="22"/>
          <w:lang w:val="hr-HR"/>
        </w:rPr>
        <w:t>oralno tijekom razdoblja do 36</w:t>
      </w:r>
      <w:r w:rsidR="001B7168" w:rsidRPr="00510442">
        <w:rPr>
          <w:color w:val="000000"/>
          <w:szCs w:val="22"/>
          <w:lang w:val="hr-HR"/>
        </w:rPr>
        <w:t> </w:t>
      </w:r>
      <w:r w:rsidRPr="00510442">
        <w:rPr>
          <w:szCs w:val="22"/>
          <w:lang w:val="hr-HR"/>
        </w:rPr>
        <w:t>mjeseci. Dob se tih bolesnika kretala od 18 do 83</w:t>
      </w:r>
      <w:r w:rsidR="001B7168" w:rsidRPr="00510442">
        <w:rPr>
          <w:color w:val="000000"/>
          <w:szCs w:val="22"/>
          <w:lang w:val="hr-HR"/>
        </w:rPr>
        <w:t> </w:t>
      </w:r>
      <w:r w:rsidRPr="00510442">
        <w:rPr>
          <w:szCs w:val="22"/>
          <w:lang w:val="hr-HR"/>
        </w:rPr>
        <w:t>godine, a imali su patološku dijagnozu Kit-pozitivnog malignog GIST-a koji je bio inoperabilan i/ili metastatski. Nakon pronalaska antigena, imunohistokemijske pretrage su rutinski provedene s Kit protutijelom (A-4502, poliklonski antiserum kunića, 1:100; DAKO Corporation, Carpinteria, Kalifornija) prema analizi metodom kompleksa avidin-biotin-peroksidaze.</w:t>
      </w:r>
    </w:p>
    <w:p w14:paraId="62067CDB" w14:textId="77777777" w:rsidR="00021B32" w:rsidRPr="00510442" w:rsidRDefault="00021B32" w:rsidP="009B5630">
      <w:pPr>
        <w:spacing w:line="240" w:lineRule="auto"/>
        <w:rPr>
          <w:szCs w:val="22"/>
          <w:lang w:val="hr-HR"/>
        </w:rPr>
      </w:pPr>
    </w:p>
    <w:p w14:paraId="2DF0B740" w14:textId="77777777" w:rsidR="00021B32" w:rsidRPr="00510442" w:rsidRDefault="00021B32" w:rsidP="009B5630">
      <w:pPr>
        <w:spacing w:line="240" w:lineRule="auto"/>
        <w:rPr>
          <w:szCs w:val="22"/>
          <w:lang w:val="hr-HR"/>
        </w:rPr>
      </w:pPr>
      <w:r w:rsidRPr="00510442">
        <w:rPr>
          <w:szCs w:val="22"/>
          <w:lang w:val="hr-HR"/>
        </w:rPr>
        <w:t xml:space="preserve">Primarni dokaz djelotvornosti temeljio se na objektivnim stopama odgovora. Za tumore je bilo potrebno da se mogu mjeriti na barem jednom mjestu bolesti, a karakterizacija odgovora bila je temeljena na kriterijima grupacije Southwestern Oncology Group (SWOG). Rezultati su prikazani </w:t>
      </w:r>
      <w:r w:rsidR="00D66E28" w:rsidRPr="00510442">
        <w:rPr>
          <w:szCs w:val="22"/>
          <w:lang w:val="hr-HR"/>
        </w:rPr>
        <w:t xml:space="preserve">u </w:t>
      </w:r>
      <w:r w:rsidRPr="00510442">
        <w:rPr>
          <w:szCs w:val="22"/>
          <w:lang w:val="hr-HR"/>
        </w:rPr>
        <w:t>Tablici</w:t>
      </w:r>
      <w:r w:rsidR="001B7168" w:rsidRPr="00510442">
        <w:rPr>
          <w:color w:val="000000"/>
          <w:szCs w:val="22"/>
          <w:lang w:val="hr-HR"/>
        </w:rPr>
        <w:t> </w:t>
      </w:r>
      <w:r w:rsidR="00A43561" w:rsidRPr="00510442">
        <w:rPr>
          <w:szCs w:val="22"/>
          <w:lang w:val="hr-HR"/>
        </w:rPr>
        <w:t>6</w:t>
      </w:r>
      <w:r w:rsidRPr="00510442">
        <w:rPr>
          <w:szCs w:val="22"/>
          <w:lang w:val="hr-HR"/>
        </w:rPr>
        <w:t>.</w:t>
      </w:r>
    </w:p>
    <w:p w14:paraId="06B2D5FD" w14:textId="77777777" w:rsidR="0091051E" w:rsidRPr="00510442" w:rsidRDefault="0091051E" w:rsidP="0091773C">
      <w:pPr>
        <w:pStyle w:val="EndnoteText"/>
        <w:widowControl w:val="0"/>
        <w:tabs>
          <w:tab w:val="clear" w:pos="567"/>
        </w:tabs>
        <w:rPr>
          <w:color w:val="000000"/>
          <w:szCs w:val="22"/>
          <w:u w:val="single"/>
          <w:lang w:val="hr-HR"/>
        </w:rPr>
      </w:pPr>
    </w:p>
    <w:p w14:paraId="15C8062E" w14:textId="77777777" w:rsidR="004C5C42" w:rsidRPr="00510442" w:rsidRDefault="004C5C42" w:rsidP="003179A4">
      <w:pPr>
        <w:pStyle w:val="EndnoteText"/>
        <w:keepNext/>
        <w:widowControl w:val="0"/>
        <w:tabs>
          <w:tab w:val="clear" w:pos="567"/>
        </w:tabs>
        <w:ind w:left="1134" w:hanging="1134"/>
        <w:rPr>
          <w:b/>
          <w:color w:val="000000"/>
          <w:szCs w:val="22"/>
          <w:lang w:val="hr-HR"/>
        </w:rPr>
      </w:pPr>
      <w:r w:rsidRPr="00510442">
        <w:rPr>
          <w:b/>
          <w:color w:val="000000"/>
          <w:szCs w:val="22"/>
          <w:lang w:val="hr-HR"/>
        </w:rPr>
        <w:lastRenderedPageBreak/>
        <w:t>Tabl</w:t>
      </w:r>
      <w:r w:rsidR="001B7168" w:rsidRPr="00510442">
        <w:rPr>
          <w:b/>
          <w:color w:val="000000"/>
          <w:szCs w:val="22"/>
          <w:lang w:val="hr-HR"/>
        </w:rPr>
        <w:t>ica</w:t>
      </w:r>
      <w:r w:rsidRPr="00510442">
        <w:rPr>
          <w:b/>
          <w:color w:val="000000"/>
          <w:szCs w:val="22"/>
          <w:lang w:val="hr-HR"/>
        </w:rPr>
        <w:t> </w:t>
      </w:r>
      <w:r w:rsidR="00A43561" w:rsidRPr="00510442">
        <w:rPr>
          <w:b/>
          <w:color w:val="000000"/>
          <w:szCs w:val="22"/>
          <w:lang w:val="hr-HR"/>
        </w:rPr>
        <w:t>6</w:t>
      </w:r>
      <w:r w:rsidRPr="00510442">
        <w:rPr>
          <w:b/>
          <w:color w:val="000000"/>
          <w:szCs w:val="22"/>
          <w:lang w:val="hr-HR"/>
        </w:rPr>
        <w:tab/>
      </w:r>
      <w:r w:rsidR="001B7168" w:rsidRPr="00510442">
        <w:rPr>
          <w:b/>
          <w:szCs w:val="22"/>
          <w:lang w:val="hr-HR"/>
        </w:rPr>
        <w:t>Najbolji tumorski odgovor u ispitivanju STIB2222 (GIST)</w:t>
      </w:r>
    </w:p>
    <w:p w14:paraId="35A1E030" w14:textId="77777777" w:rsidR="009B57ED" w:rsidRPr="00510442" w:rsidRDefault="009B57ED" w:rsidP="003179A4">
      <w:pPr>
        <w:pStyle w:val="EndnoteText"/>
        <w:keepNext/>
        <w:widowControl w:val="0"/>
        <w:tabs>
          <w:tab w:val="clear" w:pos="567"/>
        </w:tabs>
        <w:rPr>
          <w:color w:val="000000"/>
          <w:szCs w:val="22"/>
          <w:lang w:val="hr-H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5"/>
        <w:gridCol w:w="4252"/>
      </w:tblGrid>
      <w:tr w:rsidR="009B57ED" w:rsidRPr="00510442" w14:paraId="5EC6C314" w14:textId="77777777" w:rsidTr="003179A4">
        <w:trPr>
          <w:cantSplit/>
        </w:trPr>
        <w:tc>
          <w:tcPr>
            <w:tcW w:w="4395" w:type="dxa"/>
            <w:tcBorders>
              <w:left w:val="nil"/>
              <w:bottom w:val="single" w:sz="4" w:space="0" w:color="auto"/>
              <w:right w:val="nil"/>
            </w:tcBorders>
          </w:tcPr>
          <w:p w14:paraId="1E22643C" w14:textId="77777777" w:rsidR="009B57ED" w:rsidRPr="00510442" w:rsidRDefault="009B57ED" w:rsidP="003179A4">
            <w:pPr>
              <w:pStyle w:val="EndnoteText"/>
              <w:keepNext/>
              <w:widowControl w:val="0"/>
              <w:tabs>
                <w:tab w:val="clear" w:pos="567"/>
              </w:tabs>
              <w:rPr>
                <w:color w:val="000000"/>
                <w:szCs w:val="22"/>
                <w:lang w:val="hr-HR"/>
              </w:rPr>
            </w:pPr>
          </w:p>
          <w:p w14:paraId="286C20A0" w14:textId="77777777" w:rsidR="009B57ED" w:rsidRPr="00510442" w:rsidRDefault="009B57ED" w:rsidP="003179A4">
            <w:pPr>
              <w:pStyle w:val="EndnoteText"/>
              <w:keepNext/>
              <w:widowControl w:val="0"/>
              <w:tabs>
                <w:tab w:val="clear" w:pos="567"/>
              </w:tabs>
              <w:rPr>
                <w:color w:val="000000"/>
                <w:szCs w:val="22"/>
                <w:lang w:val="hr-HR"/>
              </w:rPr>
            </w:pPr>
          </w:p>
          <w:p w14:paraId="572C50E6" w14:textId="77777777" w:rsidR="009B57ED" w:rsidRPr="00510442" w:rsidRDefault="009B57ED" w:rsidP="003179A4">
            <w:pPr>
              <w:pStyle w:val="EndnoteText"/>
              <w:keepNext/>
              <w:widowControl w:val="0"/>
              <w:tabs>
                <w:tab w:val="clear" w:pos="567"/>
              </w:tabs>
              <w:rPr>
                <w:color w:val="000000"/>
                <w:szCs w:val="22"/>
                <w:lang w:val="hr-HR"/>
              </w:rPr>
            </w:pPr>
          </w:p>
          <w:p w14:paraId="5A2858ED" w14:textId="77777777" w:rsidR="009B57ED" w:rsidRPr="00510442" w:rsidRDefault="001B7168" w:rsidP="003179A4">
            <w:pPr>
              <w:pStyle w:val="EndnoteText"/>
              <w:keepNext/>
              <w:widowControl w:val="0"/>
              <w:tabs>
                <w:tab w:val="clear" w:pos="567"/>
              </w:tabs>
              <w:rPr>
                <w:color w:val="000000"/>
                <w:szCs w:val="22"/>
                <w:lang w:val="hr-HR"/>
              </w:rPr>
            </w:pPr>
            <w:r w:rsidRPr="00510442">
              <w:rPr>
                <w:szCs w:val="22"/>
                <w:lang w:val="hr-HR"/>
              </w:rPr>
              <w:t>Najbolji odgovor</w:t>
            </w:r>
          </w:p>
        </w:tc>
        <w:tc>
          <w:tcPr>
            <w:tcW w:w="4252" w:type="dxa"/>
            <w:tcBorders>
              <w:left w:val="nil"/>
              <w:bottom w:val="single" w:sz="4" w:space="0" w:color="auto"/>
              <w:right w:val="nil"/>
            </w:tcBorders>
          </w:tcPr>
          <w:p w14:paraId="58E85FFA" w14:textId="77777777" w:rsidR="009B57ED" w:rsidRPr="00510442" w:rsidRDefault="001B7168" w:rsidP="003179A4">
            <w:pPr>
              <w:pStyle w:val="EndnoteText"/>
              <w:keepNext/>
              <w:widowControl w:val="0"/>
              <w:tabs>
                <w:tab w:val="clear" w:pos="567"/>
              </w:tabs>
              <w:jc w:val="center"/>
              <w:rPr>
                <w:color w:val="000000"/>
                <w:szCs w:val="22"/>
                <w:lang w:val="hr-HR"/>
              </w:rPr>
            </w:pPr>
            <w:r w:rsidRPr="00510442">
              <w:rPr>
                <w:color w:val="000000"/>
                <w:szCs w:val="22"/>
                <w:lang w:val="hr-HR"/>
              </w:rPr>
              <w:t>Sve doze</w:t>
            </w:r>
            <w:r w:rsidR="009B57ED" w:rsidRPr="00510442">
              <w:rPr>
                <w:color w:val="000000"/>
                <w:szCs w:val="22"/>
                <w:lang w:val="hr-HR"/>
              </w:rPr>
              <w:t xml:space="preserve"> (n=147)</w:t>
            </w:r>
          </w:p>
          <w:p w14:paraId="65B6D887" w14:textId="77777777" w:rsidR="009B57ED" w:rsidRPr="00510442" w:rsidRDefault="009B57ED" w:rsidP="003179A4">
            <w:pPr>
              <w:pStyle w:val="EndnoteText"/>
              <w:keepNext/>
              <w:widowControl w:val="0"/>
              <w:tabs>
                <w:tab w:val="clear" w:pos="567"/>
              </w:tabs>
              <w:jc w:val="center"/>
              <w:rPr>
                <w:color w:val="000000"/>
                <w:szCs w:val="22"/>
                <w:lang w:val="hr-HR"/>
              </w:rPr>
            </w:pPr>
            <w:r w:rsidRPr="00510442">
              <w:rPr>
                <w:color w:val="000000"/>
                <w:szCs w:val="22"/>
                <w:lang w:val="hr-HR"/>
              </w:rPr>
              <w:t>400 mg (n=73)</w:t>
            </w:r>
          </w:p>
          <w:p w14:paraId="329DA3A9" w14:textId="77777777" w:rsidR="009B57ED" w:rsidRPr="00510442" w:rsidRDefault="009B57ED" w:rsidP="003179A4">
            <w:pPr>
              <w:pStyle w:val="EndnoteText"/>
              <w:keepNext/>
              <w:widowControl w:val="0"/>
              <w:tabs>
                <w:tab w:val="clear" w:pos="567"/>
              </w:tabs>
              <w:jc w:val="center"/>
              <w:rPr>
                <w:color w:val="000000"/>
                <w:szCs w:val="22"/>
                <w:lang w:val="hr-HR"/>
              </w:rPr>
            </w:pPr>
            <w:r w:rsidRPr="00510442">
              <w:rPr>
                <w:color w:val="000000"/>
                <w:szCs w:val="22"/>
                <w:lang w:val="hr-HR"/>
              </w:rPr>
              <w:t>600 mg (n=74)</w:t>
            </w:r>
          </w:p>
          <w:p w14:paraId="649C6475" w14:textId="77777777" w:rsidR="009B57ED" w:rsidRPr="00510442" w:rsidRDefault="009B57ED" w:rsidP="003179A4">
            <w:pPr>
              <w:pStyle w:val="EndnoteText"/>
              <w:keepNext/>
              <w:widowControl w:val="0"/>
              <w:tabs>
                <w:tab w:val="clear" w:pos="567"/>
              </w:tabs>
              <w:jc w:val="center"/>
              <w:rPr>
                <w:color w:val="000000"/>
                <w:szCs w:val="22"/>
                <w:lang w:val="hr-HR"/>
              </w:rPr>
            </w:pPr>
            <w:r w:rsidRPr="00510442">
              <w:rPr>
                <w:color w:val="000000"/>
                <w:szCs w:val="22"/>
                <w:lang w:val="hr-HR"/>
              </w:rPr>
              <w:t>n (%)</w:t>
            </w:r>
          </w:p>
        </w:tc>
      </w:tr>
      <w:tr w:rsidR="009B57ED" w:rsidRPr="00510442" w14:paraId="09B8CDCB" w14:textId="77777777" w:rsidTr="003179A4">
        <w:trPr>
          <w:cantSplit/>
        </w:trPr>
        <w:tc>
          <w:tcPr>
            <w:tcW w:w="4395" w:type="dxa"/>
            <w:tcBorders>
              <w:top w:val="nil"/>
              <w:left w:val="nil"/>
              <w:bottom w:val="nil"/>
              <w:right w:val="nil"/>
            </w:tcBorders>
          </w:tcPr>
          <w:p w14:paraId="0A36C9A9" w14:textId="77777777" w:rsidR="009B57ED" w:rsidRPr="00510442" w:rsidRDefault="001B7168" w:rsidP="003179A4">
            <w:pPr>
              <w:pStyle w:val="EndnoteText"/>
              <w:keepNext/>
              <w:widowControl w:val="0"/>
              <w:tabs>
                <w:tab w:val="clear" w:pos="567"/>
              </w:tabs>
              <w:rPr>
                <w:color w:val="000000"/>
                <w:szCs w:val="22"/>
                <w:lang w:val="hr-HR"/>
              </w:rPr>
            </w:pPr>
            <w:r w:rsidRPr="00510442">
              <w:rPr>
                <w:szCs w:val="22"/>
                <w:lang w:val="hr-HR"/>
              </w:rPr>
              <w:t>Potpuni odgovor</w:t>
            </w:r>
          </w:p>
        </w:tc>
        <w:tc>
          <w:tcPr>
            <w:tcW w:w="4252" w:type="dxa"/>
            <w:tcBorders>
              <w:top w:val="nil"/>
              <w:left w:val="nil"/>
              <w:bottom w:val="nil"/>
              <w:right w:val="nil"/>
            </w:tcBorders>
          </w:tcPr>
          <w:p w14:paraId="72E30161" w14:textId="77777777" w:rsidR="009B57ED" w:rsidRPr="00510442" w:rsidRDefault="009B57ED" w:rsidP="003179A4">
            <w:pPr>
              <w:pStyle w:val="EndnoteText"/>
              <w:keepNext/>
              <w:widowControl w:val="0"/>
              <w:tabs>
                <w:tab w:val="clear" w:pos="567"/>
              </w:tabs>
              <w:jc w:val="center"/>
              <w:rPr>
                <w:color w:val="000000"/>
                <w:szCs w:val="22"/>
                <w:lang w:val="hr-HR"/>
              </w:rPr>
            </w:pPr>
            <w:r w:rsidRPr="00510442">
              <w:rPr>
                <w:rFonts w:eastAsia="MS Mincho"/>
                <w:color w:val="000000"/>
                <w:szCs w:val="22"/>
                <w:lang w:val="hr-HR"/>
              </w:rPr>
              <w:t>1 (0</w:t>
            </w:r>
            <w:r w:rsidR="001B7168" w:rsidRPr="00510442">
              <w:rPr>
                <w:rFonts w:eastAsia="MS Mincho"/>
                <w:color w:val="000000"/>
                <w:szCs w:val="22"/>
                <w:lang w:val="hr-HR"/>
              </w:rPr>
              <w:t>,</w:t>
            </w:r>
            <w:r w:rsidRPr="00510442">
              <w:rPr>
                <w:rFonts w:eastAsia="MS Mincho"/>
                <w:color w:val="000000"/>
                <w:szCs w:val="22"/>
                <w:lang w:val="hr-HR"/>
              </w:rPr>
              <w:t>7)</w:t>
            </w:r>
          </w:p>
        </w:tc>
      </w:tr>
      <w:tr w:rsidR="009B57ED" w:rsidRPr="00510442" w14:paraId="556EC4E1" w14:textId="77777777" w:rsidTr="003179A4">
        <w:trPr>
          <w:cantSplit/>
        </w:trPr>
        <w:tc>
          <w:tcPr>
            <w:tcW w:w="4395" w:type="dxa"/>
            <w:tcBorders>
              <w:top w:val="nil"/>
              <w:left w:val="nil"/>
              <w:bottom w:val="nil"/>
              <w:right w:val="nil"/>
            </w:tcBorders>
          </w:tcPr>
          <w:p w14:paraId="11BB996D" w14:textId="77777777" w:rsidR="009B57ED" w:rsidRPr="00510442" w:rsidRDefault="001B7168" w:rsidP="003179A4">
            <w:pPr>
              <w:pStyle w:val="EndnoteText"/>
              <w:keepNext/>
              <w:widowControl w:val="0"/>
              <w:tabs>
                <w:tab w:val="clear" w:pos="567"/>
              </w:tabs>
              <w:rPr>
                <w:color w:val="000000"/>
                <w:szCs w:val="22"/>
                <w:lang w:val="hr-HR"/>
              </w:rPr>
            </w:pPr>
            <w:r w:rsidRPr="00510442">
              <w:rPr>
                <w:szCs w:val="22"/>
                <w:lang w:val="hr-HR"/>
              </w:rPr>
              <w:t>Djelomični odgovor</w:t>
            </w:r>
          </w:p>
        </w:tc>
        <w:tc>
          <w:tcPr>
            <w:tcW w:w="4252" w:type="dxa"/>
            <w:tcBorders>
              <w:top w:val="nil"/>
              <w:left w:val="nil"/>
              <w:bottom w:val="nil"/>
              <w:right w:val="nil"/>
            </w:tcBorders>
          </w:tcPr>
          <w:p w14:paraId="64F9924F" w14:textId="77777777" w:rsidR="009B57ED" w:rsidRPr="00510442" w:rsidRDefault="009B57ED" w:rsidP="003179A4">
            <w:pPr>
              <w:pStyle w:val="EndnoteText"/>
              <w:keepNext/>
              <w:widowControl w:val="0"/>
              <w:tabs>
                <w:tab w:val="clear" w:pos="567"/>
              </w:tabs>
              <w:jc w:val="center"/>
              <w:rPr>
                <w:color w:val="000000"/>
                <w:szCs w:val="22"/>
                <w:lang w:val="hr-HR"/>
              </w:rPr>
            </w:pPr>
            <w:r w:rsidRPr="00510442">
              <w:rPr>
                <w:rFonts w:eastAsia="MS Mincho"/>
                <w:color w:val="000000"/>
                <w:szCs w:val="22"/>
                <w:lang w:val="hr-HR"/>
              </w:rPr>
              <w:t>98 (66</w:t>
            </w:r>
            <w:r w:rsidR="001B7168" w:rsidRPr="00510442">
              <w:rPr>
                <w:rFonts w:eastAsia="MS Mincho"/>
                <w:color w:val="000000"/>
                <w:szCs w:val="22"/>
                <w:lang w:val="hr-HR"/>
              </w:rPr>
              <w:t>,</w:t>
            </w:r>
            <w:r w:rsidRPr="00510442">
              <w:rPr>
                <w:rFonts w:eastAsia="MS Mincho"/>
                <w:color w:val="000000"/>
                <w:szCs w:val="22"/>
                <w:lang w:val="hr-HR"/>
              </w:rPr>
              <w:t>7)</w:t>
            </w:r>
          </w:p>
        </w:tc>
      </w:tr>
      <w:tr w:rsidR="009B57ED" w:rsidRPr="00510442" w14:paraId="01F3EC48" w14:textId="77777777" w:rsidTr="003179A4">
        <w:trPr>
          <w:cantSplit/>
        </w:trPr>
        <w:tc>
          <w:tcPr>
            <w:tcW w:w="4395" w:type="dxa"/>
            <w:tcBorders>
              <w:top w:val="nil"/>
              <w:left w:val="nil"/>
              <w:bottom w:val="nil"/>
              <w:right w:val="nil"/>
            </w:tcBorders>
          </w:tcPr>
          <w:p w14:paraId="1583BFF6" w14:textId="77777777" w:rsidR="009B57ED" w:rsidRPr="00510442" w:rsidRDefault="001B7168" w:rsidP="003179A4">
            <w:pPr>
              <w:pStyle w:val="EndnoteText"/>
              <w:keepNext/>
              <w:widowControl w:val="0"/>
              <w:tabs>
                <w:tab w:val="clear" w:pos="567"/>
              </w:tabs>
              <w:rPr>
                <w:color w:val="000000"/>
                <w:szCs w:val="22"/>
                <w:lang w:val="hr-HR"/>
              </w:rPr>
            </w:pPr>
            <w:r w:rsidRPr="00510442">
              <w:rPr>
                <w:szCs w:val="22"/>
                <w:lang w:val="hr-HR"/>
              </w:rPr>
              <w:t>Stabilna bolest</w:t>
            </w:r>
          </w:p>
        </w:tc>
        <w:tc>
          <w:tcPr>
            <w:tcW w:w="4252" w:type="dxa"/>
            <w:tcBorders>
              <w:top w:val="nil"/>
              <w:left w:val="nil"/>
              <w:bottom w:val="nil"/>
              <w:right w:val="nil"/>
            </w:tcBorders>
          </w:tcPr>
          <w:p w14:paraId="7A67FA22" w14:textId="77777777" w:rsidR="009B57ED" w:rsidRPr="00510442" w:rsidRDefault="009B57ED" w:rsidP="003179A4">
            <w:pPr>
              <w:pStyle w:val="EndnoteText"/>
              <w:keepNext/>
              <w:widowControl w:val="0"/>
              <w:tabs>
                <w:tab w:val="clear" w:pos="567"/>
              </w:tabs>
              <w:jc w:val="center"/>
              <w:rPr>
                <w:color w:val="000000"/>
                <w:szCs w:val="22"/>
                <w:lang w:val="hr-HR"/>
              </w:rPr>
            </w:pPr>
            <w:r w:rsidRPr="00510442">
              <w:rPr>
                <w:rFonts w:eastAsia="MS Mincho"/>
                <w:color w:val="000000"/>
                <w:szCs w:val="22"/>
                <w:lang w:val="hr-HR"/>
              </w:rPr>
              <w:t>23 (15</w:t>
            </w:r>
            <w:r w:rsidR="001B7168" w:rsidRPr="00510442">
              <w:rPr>
                <w:rFonts w:eastAsia="MS Mincho"/>
                <w:color w:val="000000"/>
                <w:szCs w:val="22"/>
                <w:lang w:val="hr-HR"/>
              </w:rPr>
              <w:t>,</w:t>
            </w:r>
            <w:r w:rsidRPr="00510442">
              <w:rPr>
                <w:rFonts w:eastAsia="MS Mincho"/>
                <w:color w:val="000000"/>
                <w:szCs w:val="22"/>
                <w:lang w:val="hr-HR"/>
              </w:rPr>
              <w:t>6)</w:t>
            </w:r>
          </w:p>
        </w:tc>
      </w:tr>
      <w:tr w:rsidR="009B57ED" w:rsidRPr="00510442" w14:paraId="12A1DFD1" w14:textId="77777777" w:rsidTr="003179A4">
        <w:trPr>
          <w:cantSplit/>
        </w:trPr>
        <w:tc>
          <w:tcPr>
            <w:tcW w:w="4395" w:type="dxa"/>
            <w:tcBorders>
              <w:top w:val="nil"/>
              <w:left w:val="nil"/>
              <w:bottom w:val="nil"/>
              <w:right w:val="nil"/>
            </w:tcBorders>
          </w:tcPr>
          <w:p w14:paraId="05BC3870" w14:textId="77777777" w:rsidR="009B57ED" w:rsidRPr="00510442" w:rsidRDefault="001B7168" w:rsidP="003179A4">
            <w:pPr>
              <w:pStyle w:val="EndnoteText"/>
              <w:keepNext/>
              <w:widowControl w:val="0"/>
              <w:tabs>
                <w:tab w:val="clear" w:pos="567"/>
              </w:tabs>
              <w:rPr>
                <w:color w:val="000000"/>
                <w:szCs w:val="22"/>
                <w:lang w:val="hr-HR"/>
              </w:rPr>
            </w:pPr>
            <w:r w:rsidRPr="00510442">
              <w:rPr>
                <w:szCs w:val="22"/>
                <w:lang w:val="hr-HR"/>
              </w:rPr>
              <w:t>Progresija bolesti</w:t>
            </w:r>
          </w:p>
        </w:tc>
        <w:tc>
          <w:tcPr>
            <w:tcW w:w="4252" w:type="dxa"/>
            <w:tcBorders>
              <w:top w:val="nil"/>
              <w:left w:val="nil"/>
              <w:bottom w:val="nil"/>
              <w:right w:val="nil"/>
            </w:tcBorders>
          </w:tcPr>
          <w:p w14:paraId="20CDCF99" w14:textId="77777777" w:rsidR="009B57ED" w:rsidRPr="00510442" w:rsidRDefault="009B57ED" w:rsidP="003179A4">
            <w:pPr>
              <w:pStyle w:val="EndnoteText"/>
              <w:keepNext/>
              <w:widowControl w:val="0"/>
              <w:tabs>
                <w:tab w:val="clear" w:pos="567"/>
              </w:tabs>
              <w:jc w:val="center"/>
              <w:rPr>
                <w:color w:val="000000"/>
                <w:szCs w:val="22"/>
                <w:lang w:val="hr-HR"/>
              </w:rPr>
            </w:pPr>
            <w:r w:rsidRPr="00510442">
              <w:rPr>
                <w:rFonts w:eastAsia="MS Mincho"/>
                <w:color w:val="000000"/>
                <w:szCs w:val="22"/>
                <w:lang w:val="hr-HR"/>
              </w:rPr>
              <w:t>18 (12</w:t>
            </w:r>
            <w:r w:rsidR="001B7168" w:rsidRPr="00510442">
              <w:rPr>
                <w:rFonts w:eastAsia="MS Mincho"/>
                <w:color w:val="000000"/>
                <w:szCs w:val="22"/>
                <w:lang w:val="hr-HR"/>
              </w:rPr>
              <w:t>,</w:t>
            </w:r>
            <w:r w:rsidRPr="00510442">
              <w:rPr>
                <w:rFonts w:eastAsia="MS Mincho"/>
                <w:color w:val="000000"/>
                <w:szCs w:val="22"/>
                <w:lang w:val="hr-HR"/>
              </w:rPr>
              <w:t>2)</w:t>
            </w:r>
          </w:p>
        </w:tc>
      </w:tr>
      <w:tr w:rsidR="009B57ED" w:rsidRPr="00510442" w14:paraId="608B8AF9" w14:textId="77777777" w:rsidTr="003179A4">
        <w:trPr>
          <w:cantSplit/>
        </w:trPr>
        <w:tc>
          <w:tcPr>
            <w:tcW w:w="4395" w:type="dxa"/>
            <w:tcBorders>
              <w:top w:val="nil"/>
              <w:left w:val="nil"/>
              <w:bottom w:val="nil"/>
              <w:right w:val="nil"/>
            </w:tcBorders>
          </w:tcPr>
          <w:p w14:paraId="671404D7" w14:textId="77777777" w:rsidR="009B57ED" w:rsidRPr="00510442" w:rsidRDefault="001B7168" w:rsidP="003179A4">
            <w:pPr>
              <w:pStyle w:val="EndnoteText"/>
              <w:keepNext/>
              <w:widowControl w:val="0"/>
              <w:tabs>
                <w:tab w:val="clear" w:pos="567"/>
              </w:tabs>
              <w:rPr>
                <w:color w:val="000000"/>
                <w:szCs w:val="22"/>
                <w:lang w:val="hr-HR"/>
              </w:rPr>
            </w:pPr>
            <w:r w:rsidRPr="00510442">
              <w:rPr>
                <w:szCs w:val="22"/>
                <w:lang w:val="hr-HR"/>
              </w:rPr>
              <w:t>Neprocijenjeno</w:t>
            </w:r>
          </w:p>
        </w:tc>
        <w:tc>
          <w:tcPr>
            <w:tcW w:w="4252" w:type="dxa"/>
            <w:tcBorders>
              <w:top w:val="nil"/>
              <w:left w:val="nil"/>
              <w:bottom w:val="nil"/>
              <w:right w:val="nil"/>
            </w:tcBorders>
          </w:tcPr>
          <w:p w14:paraId="060A9F3D" w14:textId="77777777" w:rsidR="009B57ED" w:rsidRPr="00510442" w:rsidRDefault="009B57ED" w:rsidP="003179A4">
            <w:pPr>
              <w:pStyle w:val="EndnoteText"/>
              <w:keepNext/>
              <w:widowControl w:val="0"/>
              <w:tabs>
                <w:tab w:val="clear" w:pos="567"/>
              </w:tabs>
              <w:jc w:val="center"/>
              <w:rPr>
                <w:color w:val="000000"/>
                <w:szCs w:val="22"/>
                <w:lang w:val="hr-HR"/>
              </w:rPr>
            </w:pPr>
            <w:r w:rsidRPr="00510442">
              <w:rPr>
                <w:rFonts w:eastAsia="MS Mincho"/>
                <w:color w:val="000000"/>
                <w:szCs w:val="22"/>
                <w:lang w:val="hr-HR"/>
              </w:rPr>
              <w:t>5 (3</w:t>
            </w:r>
            <w:r w:rsidR="001B7168" w:rsidRPr="00510442">
              <w:rPr>
                <w:rFonts w:eastAsia="MS Mincho"/>
                <w:color w:val="000000"/>
                <w:szCs w:val="22"/>
                <w:lang w:val="hr-HR"/>
              </w:rPr>
              <w:t>,</w:t>
            </w:r>
            <w:r w:rsidRPr="00510442">
              <w:rPr>
                <w:rFonts w:eastAsia="MS Mincho"/>
                <w:color w:val="000000"/>
                <w:szCs w:val="22"/>
                <w:lang w:val="hr-HR"/>
              </w:rPr>
              <w:t>4)</w:t>
            </w:r>
          </w:p>
        </w:tc>
      </w:tr>
      <w:tr w:rsidR="009B57ED" w:rsidRPr="00510442" w14:paraId="30C21E68" w14:textId="77777777" w:rsidTr="003179A4">
        <w:trPr>
          <w:cantSplit/>
        </w:trPr>
        <w:tc>
          <w:tcPr>
            <w:tcW w:w="4395" w:type="dxa"/>
            <w:tcBorders>
              <w:top w:val="nil"/>
              <w:left w:val="nil"/>
              <w:right w:val="nil"/>
            </w:tcBorders>
          </w:tcPr>
          <w:p w14:paraId="645F6BEA" w14:textId="77777777" w:rsidR="009B57ED" w:rsidRPr="00510442" w:rsidRDefault="001B7168" w:rsidP="0091773C">
            <w:pPr>
              <w:pStyle w:val="EndnoteText"/>
              <w:widowControl w:val="0"/>
              <w:tabs>
                <w:tab w:val="clear" w:pos="567"/>
              </w:tabs>
              <w:rPr>
                <w:color w:val="000000"/>
                <w:szCs w:val="22"/>
                <w:lang w:val="hr-HR"/>
              </w:rPr>
            </w:pPr>
            <w:r w:rsidRPr="00510442">
              <w:rPr>
                <w:szCs w:val="22"/>
                <w:lang w:val="hr-HR"/>
              </w:rPr>
              <w:t>Nepoznato</w:t>
            </w:r>
          </w:p>
        </w:tc>
        <w:tc>
          <w:tcPr>
            <w:tcW w:w="4252" w:type="dxa"/>
            <w:tcBorders>
              <w:top w:val="nil"/>
              <w:left w:val="nil"/>
              <w:right w:val="nil"/>
            </w:tcBorders>
          </w:tcPr>
          <w:p w14:paraId="3BBBDAB5" w14:textId="77777777" w:rsidR="009B57ED" w:rsidRPr="00510442" w:rsidRDefault="009B57ED" w:rsidP="00422F71">
            <w:pPr>
              <w:pStyle w:val="EndnoteText"/>
              <w:widowControl w:val="0"/>
              <w:tabs>
                <w:tab w:val="clear" w:pos="567"/>
              </w:tabs>
              <w:jc w:val="center"/>
              <w:rPr>
                <w:color w:val="000000"/>
                <w:szCs w:val="22"/>
                <w:lang w:val="hr-HR"/>
              </w:rPr>
            </w:pPr>
            <w:r w:rsidRPr="00510442">
              <w:rPr>
                <w:color w:val="000000"/>
                <w:szCs w:val="22"/>
                <w:lang w:val="hr-HR"/>
              </w:rPr>
              <w:t>2 (1</w:t>
            </w:r>
            <w:r w:rsidR="001B7168" w:rsidRPr="00510442">
              <w:rPr>
                <w:color w:val="000000"/>
                <w:szCs w:val="22"/>
                <w:lang w:val="hr-HR"/>
              </w:rPr>
              <w:t>,</w:t>
            </w:r>
            <w:r w:rsidRPr="00510442">
              <w:rPr>
                <w:color w:val="000000"/>
                <w:szCs w:val="22"/>
                <w:lang w:val="hr-HR"/>
              </w:rPr>
              <w:t>4)</w:t>
            </w:r>
          </w:p>
        </w:tc>
      </w:tr>
    </w:tbl>
    <w:p w14:paraId="22154EA7" w14:textId="77777777" w:rsidR="009B57ED" w:rsidRPr="00510442" w:rsidRDefault="009B57ED" w:rsidP="0091773C">
      <w:pPr>
        <w:pStyle w:val="EndnoteText"/>
        <w:widowControl w:val="0"/>
        <w:tabs>
          <w:tab w:val="clear" w:pos="567"/>
        </w:tabs>
        <w:rPr>
          <w:color w:val="000000"/>
          <w:szCs w:val="22"/>
          <w:lang w:val="hr-HR"/>
        </w:rPr>
      </w:pPr>
    </w:p>
    <w:p w14:paraId="26773276" w14:textId="77777777" w:rsidR="00691AE2" w:rsidRPr="00510442" w:rsidRDefault="00691AE2" w:rsidP="009B5630">
      <w:pPr>
        <w:spacing w:line="240" w:lineRule="auto"/>
        <w:rPr>
          <w:szCs w:val="22"/>
          <w:lang w:val="hr-HR"/>
        </w:rPr>
      </w:pPr>
      <w:r w:rsidRPr="00510442">
        <w:rPr>
          <w:szCs w:val="22"/>
          <w:lang w:val="hr-HR"/>
        </w:rPr>
        <w:t>Nije bilo razlika u stopama odgovora između dvije dozirne skupine. Značajan broj bolesnika koji je imao stabilnu bolest u vrijeme interim analize je postigao djelomični odgovor s dužim liječenjem (medijan praćenja od 31</w:t>
      </w:r>
      <w:r w:rsidRPr="00510442">
        <w:rPr>
          <w:color w:val="000000"/>
          <w:szCs w:val="22"/>
          <w:lang w:val="hr-HR"/>
        </w:rPr>
        <w:t> </w:t>
      </w:r>
      <w:r w:rsidRPr="00510442">
        <w:rPr>
          <w:szCs w:val="22"/>
          <w:lang w:val="hr-HR"/>
        </w:rPr>
        <w:t>mjeseca). Medijan vremena do odgovora bio je 13</w:t>
      </w:r>
      <w:r w:rsidRPr="00510442">
        <w:rPr>
          <w:color w:val="000000"/>
          <w:szCs w:val="22"/>
          <w:lang w:val="hr-HR"/>
        </w:rPr>
        <w:t> </w:t>
      </w:r>
      <w:r w:rsidRPr="00510442">
        <w:rPr>
          <w:szCs w:val="22"/>
          <w:lang w:val="hr-HR"/>
        </w:rPr>
        <w:t>tjedana (95% CI 12</w:t>
      </w:r>
      <w:r w:rsidR="00B3500D" w:rsidRPr="00510442">
        <w:rPr>
          <w:color w:val="000000"/>
          <w:szCs w:val="22"/>
          <w:lang w:val="hr-HR"/>
        </w:rPr>
        <w:noBreakHyphen/>
      </w:r>
      <w:r w:rsidRPr="00510442">
        <w:rPr>
          <w:szCs w:val="22"/>
          <w:lang w:val="hr-HR"/>
        </w:rPr>
        <w:t>23). Medijan vremena do neuspjeha liječenja u bolesnika koji su odgovorili na terapiju bio je 122</w:t>
      </w:r>
      <w:r w:rsidRPr="00510442">
        <w:rPr>
          <w:color w:val="000000"/>
          <w:szCs w:val="22"/>
          <w:lang w:val="hr-HR"/>
        </w:rPr>
        <w:t> </w:t>
      </w:r>
      <w:r w:rsidRPr="00510442">
        <w:rPr>
          <w:szCs w:val="22"/>
          <w:lang w:val="hr-HR"/>
        </w:rPr>
        <w:t>tjedna (95% CI 106</w:t>
      </w:r>
      <w:r w:rsidR="00B3500D" w:rsidRPr="00510442">
        <w:rPr>
          <w:color w:val="000000"/>
          <w:szCs w:val="22"/>
          <w:lang w:val="hr-HR"/>
        </w:rPr>
        <w:noBreakHyphen/>
      </w:r>
      <w:r w:rsidRPr="00510442">
        <w:rPr>
          <w:szCs w:val="22"/>
          <w:lang w:val="hr-HR"/>
        </w:rPr>
        <w:t>147), odnosno 84</w:t>
      </w:r>
      <w:r w:rsidRPr="00510442">
        <w:rPr>
          <w:color w:val="000000"/>
          <w:szCs w:val="22"/>
          <w:lang w:val="hr-HR"/>
        </w:rPr>
        <w:t> </w:t>
      </w:r>
      <w:r w:rsidRPr="00510442">
        <w:rPr>
          <w:szCs w:val="22"/>
          <w:lang w:val="hr-HR"/>
        </w:rPr>
        <w:t>tjedana (95% CI 71</w:t>
      </w:r>
      <w:r w:rsidR="00B3500D" w:rsidRPr="00510442">
        <w:rPr>
          <w:color w:val="000000"/>
          <w:szCs w:val="22"/>
          <w:lang w:val="hr-HR"/>
        </w:rPr>
        <w:noBreakHyphen/>
      </w:r>
      <w:r w:rsidRPr="00510442">
        <w:rPr>
          <w:szCs w:val="22"/>
          <w:lang w:val="hr-HR"/>
        </w:rPr>
        <w:t xml:space="preserve">109) u ukupno ispitivanoj populaciji. </w:t>
      </w:r>
      <w:r w:rsidR="005A39E2" w:rsidRPr="00510442">
        <w:rPr>
          <w:szCs w:val="22"/>
          <w:lang w:val="hr-HR"/>
        </w:rPr>
        <w:t>Medijan vrijednosti</w:t>
      </w:r>
      <w:r w:rsidRPr="00510442">
        <w:rPr>
          <w:szCs w:val="22"/>
          <w:lang w:val="hr-HR"/>
        </w:rPr>
        <w:t xml:space="preserve"> ukupnog preživlj</w:t>
      </w:r>
      <w:r w:rsidR="0063520D" w:rsidRPr="00510442">
        <w:rPr>
          <w:szCs w:val="22"/>
          <w:lang w:val="hr-HR"/>
        </w:rPr>
        <w:t>e</w:t>
      </w:r>
      <w:r w:rsidRPr="00510442">
        <w:rPr>
          <w:szCs w:val="22"/>
          <w:lang w:val="hr-HR"/>
        </w:rPr>
        <w:t>nja nije dosegnut. Kaplan-Meierova procjena za preživlj</w:t>
      </w:r>
      <w:r w:rsidR="0063520D" w:rsidRPr="00510442">
        <w:rPr>
          <w:szCs w:val="22"/>
          <w:lang w:val="hr-HR"/>
        </w:rPr>
        <w:t>e</w:t>
      </w:r>
      <w:r w:rsidRPr="00510442">
        <w:rPr>
          <w:szCs w:val="22"/>
          <w:lang w:val="hr-HR"/>
        </w:rPr>
        <w:t>nje nakon 36-mjesečnog praćenja iznosi 68%.</w:t>
      </w:r>
    </w:p>
    <w:p w14:paraId="45D7B1E2" w14:textId="77777777" w:rsidR="00691AE2" w:rsidRPr="00510442" w:rsidRDefault="00691AE2" w:rsidP="009B5630">
      <w:pPr>
        <w:spacing w:line="240" w:lineRule="auto"/>
        <w:rPr>
          <w:szCs w:val="22"/>
          <w:lang w:val="hr-HR"/>
        </w:rPr>
      </w:pPr>
    </w:p>
    <w:p w14:paraId="7ECFFCD8" w14:textId="07C3E68C" w:rsidR="00691AE2" w:rsidRPr="00510442" w:rsidRDefault="00691AE2" w:rsidP="009B5630">
      <w:pPr>
        <w:spacing w:line="240" w:lineRule="auto"/>
        <w:rPr>
          <w:szCs w:val="22"/>
          <w:lang w:val="hr-HR"/>
        </w:rPr>
      </w:pPr>
      <w:r w:rsidRPr="00510442">
        <w:rPr>
          <w:szCs w:val="22"/>
          <w:lang w:val="hr-HR"/>
        </w:rPr>
        <w:t xml:space="preserve">U dvije kliničke studije (studija B2222 i intergrupna studija S0033) dnevna doza </w:t>
      </w:r>
      <w:r w:rsidR="00A752CC" w:rsidRPr="00512481">
        <w:rPr>
          <w:szCs w:val="22"/>
          <w:lang w:val="hr-HR"/>
        </w:rPr>
        <w:t xml:space="preserve">lijeka </w:t>
      </w:r>
      <w:r w:rsidRPr="00510442">
        <w:rPr>
          <w:szCs w:val="22"/>
          <w:lang w:val="hr-HR"/>
        </w:rPr>
        <w:t>Glivec je povećana do 800</w:t>
      </w:r>
      <w:r w:rsidRPr="00510442">
        <w:rPr>
          <w:rFonts w:eastAsia="MS Mincho"/>
          <w:color w:val="000000"/>
          <w:szCs w:val="22"/>
          <w:lang w:val="hr-HR" w:eastAsia="ja-JP"/>
        </w:rPr>
        <w:t> </w:t>
      </w:r>
      <w:r w:rsidRPr="00510442">
        <w:rPr>
          <w:szCs w:val="22"/>
          <w:lang w:val="hr-HR"/>
        </w:rPr>
        <w:t>mg u bolesnika kod kojih je došlo do progresije pri nižim dnevnim dozama od 400</w:t>
      </w:r>
      <w:r w:rsidRPr="00510442">
        <w:rPr>
          <w:rFonts w:eastAsia="MS Mincho"/>
          <w:color w:val="000000"/>
          <w:szCs w:val="22"/>
          <w:lang w:val="hr-HR" w:eastAsia="ja-JP"/>
        </w:rPr>
        <w:t> </w:t>
      </w:r>
      <w:r w:rsidRPr="00510442">
        <w:rPr>
          <w:szCs w:val="22"/>
          <w:lang w:val="hr-HR"/>
        </w:rPr>
        <w:t>mg ili 600</w:t>
      </w:r>
      <w:r w:rsidRPr="00510442">
        <w:rPr>
          <w:rFonts w:eastAsia="MS Mincho"/>
          <w:color w:val="000000"/>
          <w:szCs w:val="22"/>
          <w:lang w:val="hr-HR" w:eastAsia="ja-JP"/>
        </w:rPr>
        <w:t> </w:t>
      </w:r>
      <w:r w:rsidRPr="00510442">
        <w:rPr>
          <w:szCs w:val="22"/>
          <w:lang w:val="hr-HR"/>
        </w:rPr>
        <w:t>mg. Dnevna doza je povećana na 800</w:t>
      </w:r>
      <w:r w:rsidRPr="00510442">
        <w:rPr>
          <w:rFonts w:eastAsia="MS Mincho"/>
          <w:color w:val="000000"/>
          <w:szCs w:val="22"/>
          <w:lang w:val="hr-HR" w:eastAsia="ja-JP"/>
        </w:rPr>
        <w:t> </w:t>
      </w:r>
      <w:r w:rsidRPr="00510442">
        <w:rPr>
          <w:szCs w:val="22"/>
          <w:lang w:val="hr-HR"/>
        </w:rPr>
        <w:t>mg kod ukupno 103</w:t>
      </w:r>
      <w:r w:rsidRPr="00510442">
        <w:rPr>
          <w:rFonts w:eastAsia="MS Mincho"/>
          <w:color w:val="000000"/>
          <w:szCs w:val="22"/>
          <w:lang w:val="hr-HR" w:eastAsia="ja-JP"/>
        </w:rPr>
        <w:t> </w:t>
      </w:r>
      <w:r w:rsidRPr="00510442">
        <w:rPr>
          <w:szCs w:val="22"/>
          <w:lang w:val="hr-HR"/>
        </w:rPr>
        <w:t>bolesnika; 6</w:t>
      </w:r>
      <w:r w:rsidRPr="00510442">
        <w:rPr>
          <w:rFonts w:eastAsia="MS Mincho"/>
          <w:color w:val="000000"/>
          <w:szCs w:val="22"/>
          <w:lang w:val="hr-HR" w:eastAsia="ja-JP"/>
        </w:rPr>
        <w:t> </w:t>
      </w:r>
      <w:r w:rsidRPr="00510442">
        <w:rPr>
          <w:szCs w:val="22"/>
          <w:lang w:val="hr-HR"/>
        </w:rPr>
        <w:t>bolesnika je postiglo djelomični odgovor, a 21 stabilizaciju njihove bolesti nakon povećanja doze, uz ukupnu kliničku korist od 26%. Prema dostupnim podacima o sigurnosti primjene, izgleda da povećanje doze na 800</w:t>
      </w:r>
      <w:r w:rsidRPr="00510442">
        <w:rPr>
          <w:rFonts w:eastAsia="MS Mincho"/>
          <w:color w:val="000000"/>
          <w:szCs w:val="22"/>
          <w:lang w:val="hr-HR" w:eastAsia="ja-JP"/>
        </w:rPr>
        <w:t> </w:t>
      </w:r>
      <w:r w:rsidRPr="00510442">
        <w:rPr>
          <w:szCs w:val="22"/>
          <w:lang w:val="hr-HR"/>
        </w:rPr>
        <w:t xml:space="preserve">mg </w:t>
      </w:r>
      <w:r w:rsidR="005A39E2" w:rsidRPr="00510442">
        <w:rPr>
          <w:szCs w:val="22"/>
          <w:lang w:val="hr-HR"/>
        </w:rPr>
        <w:t>na dan</w:t>
      </w:r>
      <w:r w:rsidRPr="00510442">
        <w:rPr>
          <w:szCs w:val="22"/>
          <w:lang w:val="hr-HR"/>
        </w:rPr>
        <w:t>, u bolesnika kod kojih je došlo do progresije pri nižim dozama od 400</w:t>
      </w:r>
      <w:r w:rsidRPr="00510442">
        <w:rPr>
          <w:rFonts w:eastAsia="MS Mincho"/>
          <w:color w:val="000000"/>
          <w:szCs w:val="22"/>
          <w:lang w:val="hr-HR" w:eastAsia="ja-JP"/>
        </w:rPr>
        <w:t> </w:t>
      </w:r>
      <w:r w:rsidRPr="00510442">
        <w:rPr>
          <w:szCs w:val="22"/>
          <w:lang w:val="hr-HR"/>
        </w:rPr>
        <w:t>mg ili 600</w:t>
      </w:r>
      <w:r w:rsidRPr="00510442">
        <w:rPr>
          <w:rFonts w:eastAsia="MS Mincho"/>
          <w:color w:val="000000"/>
          <w:szCs w:val="22"/>
          <w:lang w:val="hr-HR" w:eastAsia="ja-JP"/>
        </w:rPr>
        <w:t> </w:t>
      </w:r>
      <w:r w:rsidRPr="00510442">
        <w:rPr>
          <w:szCs w:val="22"/>
          <w:lang w:val="hr-HR"/>
        </w:rPr>
        <w:t xml:space="preserve">mg </w:t>
      </w:r>
      <w:r w:rsidR="005A39E2" w:rsidRPr="00510442">
        <w:rPr>
          <w:szCs w:val="22"/>
          <w:lang w:val="hr-HR"/>
        </w:rPr>
        <w:t>na dan</w:t>
      </w:r>
      <w:r w:rsidRPr="00510442">
        <w:rPr>
          <w:szCs w:val="22"/>
          <w:lang w:val="hr-HR"/>
        </w:rPr>
        <w:t xml:space="preserve">, ne utječe na sigurnosni profil </w:t>
      </w:r>
      <w:r w:rsidR="00A752CC" w:rsidRPr="00512481">
        <w:rPr>
          <w:szCs w:val="22"/>
          <w:lang w:val="hr-HR"/>
        </w:rPr>
        <w:t xml:space="preserve">lijeka </w:t>
      </w:r>
      <w:r w:rsidRPr="00510442">
        <w:rPr>
          <w:szCs w:val="22"/>
          <w:lang w:val="hr-HR"/>
        </w:rPr>
        <w:t>Glivec.</w:t>
      </w:r>
    </w:p>
    <w:p w14:paraId="0C23F131" w14:textId="77777777" w:rsidR="004C5C42" w:rsidRPr="00510442" w:rsidRDefault="004C5C42" w:rsidP="0091773C">
      <w:pPr>
        <w:pStyle w:val="Text"/>
        <w:spacing w:before="0"/>
        <w:jc w:val="left"/>
        <w:rPr>
          <w:rFonts w:eastAsia="MS Mincho"/>
          <w:color w:val="000000"/>
          <w:sz w:val="22"/>
          <w:szCs w:val="22"/>
          <w:lang w:val="hr-HR" w:eastAsia="ja-JP"/>
        </w:rPr>
      </w:pPr>
    </w:p>
    <w:p w14:paraId="59E8AF0E" w14:textId="77777777" w:rsidR="000D2060" w:rsidRPr="00510442" w:rsidRDefault="00691AE2" w:rsidP="00422F71">
      <w:pPr>
        <w:pStyle w:val="Nottoc-headings"/>
        <w:spacing w:before="0" w:after="0"/>
        <w:rPr>
          <w:rFonts w:ascii="Times New Roman" w:eastAsia="MS Mincho" w:hAnsi="Times New Roman"/>
          <w:b w:val="0"/>
          <w:color w:val="000000"/>
          <w:sz w:val="22"/>
          <w:szCs w:val="22"/>
          <w:u w:val="single"/>
          <w:lang w:val="hr-HR" w:eastAsia="ja-JP"/>
        </w:rPr>
      </w:pPr>
      <w:r w:rsidRPr="00510442">
        <w:rPr>
          <w:rFonts w:ascii="Times New Roman" w:hAnsi="Times New Roman"/>
          <w:b w:val="0"/>
          <w:sz w:val="22"/>
          <w:szCs w:val="22"/>
          <w:u w:val="single"/>
          <w:lang w:val="hr-HR"/>
        </w:rPr>
        <w:t>Klinička ispitivanja kod adjuvantnog liječenja GIST-a</w:t>
      </w:r>
    </w:p>
    <w:p w14:paraId="4E908626" w14:textId="77777777" w:rsidR="00691AE2" w:rsidRPr="00510442" w:rsidRDefault="00691AE2" w:rsidP="009B5630">
      <w:pPr>
        <w:spacing w:line="240" w:lineRule="auto"/>
        <w:rPr>
          <w:szCs w:val="22"/>
          <w:lang w:val="hr-HR"/>
        </w:rPr>
      </w:pPr>
      <w:r w:rsidRPr="00510442">
        <w:rPr>
          <w:szCs w:val="22"/>
          <w:lang w:val="hr-HR"/>
        </w:rPr>
        <w:t>U sklopu adjuvantnog liječenja, Glivec je ispitivan u multicentričnom, dvostrukoslijepom, dugotrajnom placebo kontroliranom ispitivanju faze III (Z9001) koje je uključivalo 773</w:t>
      </w:r>
      <w:r w:rsidRPr="00510442">
        <w:rPr>
          <w:rFonts w:eastAsia="MS Mincho"/>
          <w:color w:val="000000"/>
          <w:szCs w:val="22"/>
          <w:lang w:val="hr-HR" w:eastAsia="ja-JP"/>
        </w:rPr>
        <w:t> </w:t>
      </w:r>
      <w:r w:rsidRPr="00510442">
        <w:rPr>
          <w:szCs w:val="22"/>
          <w:lang w:val="hr-HR"/>
        </w:rPr>
        <w:t>bolesnika. Dob tih bolesnika se kretala od 18 do 91</w:t>
      </w:r>
      <w:r w:rsidRPr="00510442">
        <w:rPr>
          <w:rFonts w:eastAsia="MS Mincho"/>
          <w:color w:val="000000"/>
          <w:szCs w:val="22"/>
          <w:lang w:val="hr-HR" w:eastAsia="ja-JP"/>
        </w:rPr>
        <w:t> </w:t>
      </w:r>
      <w:r w:rsidRPr="00510442">
        <w:rPr>
          <w:szCs w:val="22"/>
          <w:lang w:val="hr-HR"/>
        </w:rPr>
        <w:t xml:space="preserve">godine. Uključeni bolesnici imali su histološku dijagnozu primarnog GIST-a s imunokemijski dokazanom ekspresijom Kit proteina i veličinom tumora </w:t>
      </w:r>
      <w:r w:rsidRPr="00510442">
        <w:rPr>
          <w:rFonts w:eastAsia="MS Mincho"/>
          <w:color w:val="000000"/>
          <w:szCs w:val="22"/>
          <w:lang w:val="hr-HR" w:eastAsia="ja-JP"/>
        </w:rPr>
        <w:t>≥3 cm u najvećem promjeru, uz potpunu makroskopsku resekciju primarnog GIST</w:t>
      </w:r>
      <w:r w:rsidR="009C46A4" w:rsidRPr="00510442">
        <w:rPr>
          <w:rFonts w:eastAsia="MS Mincho"/>
          <w:color w:val="000000"/>
          <w:szCs w:val="22"/>
          <w:lang w:val="hr-HR" w:eastAsia="ja-JP"/>
        </w:rPr>
        <w:noBreakHyphen/>
      </w:r>
      <w:r w:rsidRPr="00510442">
        <w:rPr>
          <w:rFonts w:eastAsia="MS Mincho"/>
          <w:color w:val="000000"/>
          <w:szCs w:val="22"/>
          <w:lang w:val="hr-HR" w:eastAsia="ja-JP"/>
        </w:rPr>
        <w:t>a unutar 14</w:t>
      </w:r>
      <w:r w:rsidRPr="00510442">
        <w:rPr>
          <w:rFonts w:eastAsia="MS Mincho"/>
          <w:color w:val="000000"/>
          <w:szCs w:val="22"/>
          <w:lang w:val="hr-HR" w:eastAsia="ja-JP"/>
        </w:rPr>
        <w:noBreakHyphen/>
        <w:t>70 dana prije uključivanja u ispitivanje.</w:t>
      </w:r>
      <w:r w:rsidRPr="00510442">
        <w:rPr>
          <w:szCs w:val="22"/>
          <w:lang w:val="hr-HR"/>
        </w:rPr>
        <w:t xml:space="preserve"> Nakon resekcije primarnog GIST-a, bolesnici su randomizirani u jed</w:t>
      </w:r>
      <w:r w:rsidR="000677BE" w:rsidRPr="00510442">
        <w:rPr>
          <w:szCs w:val="22"/>
          <w:lang w:val="hr-HR"/>
        </w:rPr>
        <w:t>an</w:t>
      </w:r>
      <w:r w:rsidRPr="00510442">
        <w:rPr>
          <w:szCs w:val="22"/>
          <w:lang w:val="hr-HR"/>
        </w:rPr>
        <w:t xml:space="preserve"> od dv</w:t>
      </w:r>
      <w:r w:rsidR="000677BE" w:rsidRPr="00510442">
        <w:rPr>
          <w:szCs w:val="22"/>
          <w:lang w:val="hr-HR"/>
        </w:rPr>
        <w:t>a</w:t>
      </w:r>
      <w:r w:rsidRPr="00510442">
        <w:rPr>
          <w:szCs w:val="22"/>
          <w:lang w:val="hr-HR"/>
        </w:rPr>
        <w:t xml:space="preserve"> </w:t>
      </w:r>
      <w:r w:rsidR="000677BE" w:rsidRPr="00510442">
        <w:rPr>
          <w:szCs w:val="22"/>
          <w:lang w:val="hr-HR"/>
        </w:rPr>
        <w:t>kraka</w:t>
      </w:r>
      <w:r w:rsidRPr="00510442">
        <w:rPr>
          <w:szCs w:val="22"/>
          <w:lang w:val="hr-HR"/>
        </w:rPr>
        <w:t>: Glivec 400</w:t>
      </w:r>
      <w:r w:rsidRPr="00510442">
        <w:rPr>
          <w:rFonts w:eastAsia="MS Mincho"/>
          <w:color w:val="000000"/>
          <w:szCs w:val="22"/>
          <w:lang w:val="hr-HR" w:eastAsia="ja-JP"/>
        </w:rPr>
        <w:t> </w:t>
      </w:r>
      <w:r w:rsidRPr="00510442">
        <w:rPr>
          <w:szCs w:val="22"/>
          <w:lang w:val="hr-HR"/>
        </w:rPr>
        <w:t>mg/dan ili odgovarajući placebo tijekom jedne godine.</w:t>
      </w:r>
    </w:p>
    <w:p w14:paraId="19774662" w14:textId="77777777" w:rsidR="00691AE2" w:rsidRPr="00510442" w:rsidRDefault="00691AE2" w:rsidP="009B5630">
      <w:pPr>
        <w:spacing w:line="240" w:lineRule="auto"/>
        <w:rPr>
          <w:szCs w:val="22"/>
          <w:lang w:val="hr-HR"/>
        </w:rPr>
      </w:pPr>
    </w:p>
    <w:p w14:paraId="0FD3EAA2" w14:textId="77777777" w:rsidR="00691AE2" w:rsidRPr="00510442" w:rsidRDefault="00691AE2" w:rsidP="009B5630">
      <w:pPr>
        <w:spacing w:line="240" w:lineRule="auto"/>
        <w:rPr>
          <w:szCs w:val="22"/>
          <w:lang w:val="hr-HR"/>
        </w:rPr>
      </w:pPr>
      <w:r w:rsidRPr="00510442">
        <w:rPr>
          <w:szCs w:val="22"/>
          <w:lang w:val="hr-HR"/>
        </w:rPr>
        <w:t xml:space="preserve">Primarni </w:t>
      </w:r>
      <w:r w:rsidR="00671FFD" w:rsidRPr="00510442">
        <w:rPr>
          <w:szCs w:val="22"/>
          <w:lang w:val="hr-HR"/>
        </w:rPr>
        <w:t>ishod</w:t>
      </w:r>
      <w:r w:rsidRPr="00510442">
        <w:rPr>
          <w:szCs w:val="22"/>
          <w:lang w:val="hr-HR"/>
        </w:rPr>
        <w:t xml:space="preserve"> ispitivanja bilo je preživlj</w:t>
      </w:r>
      <w:r w:rsidR="00571399" w:rsidRPr="00510442">
        <w:rPr>
          <w:szCs w:val="22"/>
          <w:lang w:val="hr-HR"/>
        </w:rPr>
        <w:t>e</w:t>
      </w:r>
      <w:r w:rsidRPr="00510442">
        <w:rPr>
          <w:szCs w:val="22"/>
          <w:lang w:val="hr-HR"/>
        </w:rPr>
        <w:t>nje bez recidiva bolesti, definirano kao vrijeme od datuma randomizacije do datuma recidiva ili smrti zbog bilo kojeg uzroka.</w:t>
      </w:r>
    </w:p>
    <w:p w14:paraId="4FDCF1D6" w14:textId="77777777" w:rsidR="00691AE2" w:rsidRPr="00510442" w:rsidRDefault="00691AE2" w:rsidP="009B5630">
      <w:pPr>
        <w:spacing w:line="240" w:lineRule="auto"/>
        <w:rPr>
          <w:szCs w:val="22"/>
          <w:lang w:val="hr-HR"/>
        </w:rPr>
      </w:pPr>
    </w:p>
    <w:p w14:paraId="6A36864A" w14:textId="77777777" w:rsidR="00691AE2" w:rsidRPr="00510442" w:rsidRDefault="00691AE2" w:rsidP="009B5630">
      <w:pPr>
        <w:spacing w:line="240" w:lineRule="auto"/>
        <w:rPr>
          <w:rFonts w:eastAsia="MS Mincho"/>
          <w:color w:val="000000"/>
          <w:szCs w:val="22"/>
          <w:lang w:val="hr-HR" w:eastAsia="ja-JP"/>
        </w:rPr>
      </w:pPr>
      <w:r w:rsidRPr="00510442">
        <w:rPr>
          <w:szCs w:val="22"/>
          <w:lang w:val="hr-HR"/>
        </w:rPr>
        <w:t>Glivec je značajno produljio preživlj</w:t>
      </w:r>
      <w:r w:rsidR="00BC2556" w:rsidRPr="00510442">
        <w:rPr>
          <w:szCs w:val="22"/>
          <w:lang w:val="hr-HR"/>
        </w:rPr>
        <w:t>e</w:t>
      </w:r>
      <w:r w:rsidRPr="00510442">
        <w:rPr>
          <w:szCs w:val="22"/>
          <w:lang w:val="hr-HR"/>
        </w:rPr>
        <w:t>nje bez recidiva bolesti, pri čemu je 75% bolesnika bilo bez recidiva nakon 38</w:t>
      </w:r>
      <w:r w:rsidRPr="00510442">
        <w:rPr>
          <w:rFonts w:eastAsia="MS Mincho"/>
          <w:color w:val="000000"/>
          <w:szCs w:val="22"/>
          <w:lang w:val="hr-HR" w:eastAsia="ja-JP"/>
        </w:rPr>
        <w:t> </w:t>
      </w:r>
      <w:r w:rsidRPr="00510442">
        <w:rPr>
          <w:szCs w:val="22"/>
          <w:lang w:val="hr-HR"/>
        </w:rPr>
        <w:t>mjeseci u Glivec skupini, u odnosu na 20</w:t>
      </w:r>
      <w:r w:rsidRPr="00510442">
        <w:rPr>
          <w:rFonts w:eastAsia="MS Mincho"/>
          <w:color w:val="000000"/>
          <w:szCs w:val="22"/>
          <w:lang w:val="hr-HR" w:eastAsia="ja-JP"/>
        </w:rPr>
        <w:t> </w:t>
      </w:r>
      <w:r w:rsidRPr="00510442">
        <w:rPr>
          <w:szCs w:val="22"/>
          <w:lang w:val="hr-HR"/>
        </w:rPr>
        <w:t xml:space="preserve">mjeseci u placebo skupini </w:t>
      </w:r>
      <w:r w:rsidRPr="00510442">
        <w:rPr>
          <w:rFonts w:eastAsia="MS Mincho"/>
          <w:color w:val="000000"/>
          <w:szCs w:val="22"/>
          <w:lang w:val="hr-HR" w:eastAsia="ja-JP"/>
        </w:rPr>
        <w:t>(95% CIs, [30 - nije moguće procijeniti], odnosno [14 - nije moguće procijeniti]); (omjer rizika = 0,398 [0,259</w:t>
      </w:r>
      <w:r w:rsidRPr="00510442">
        <w:rPr>
          <w:rFonts w:eastAsia="MS Mincho"/>
          <w:color w:val="000000"/>
          <w:szCs w:val="22"/>
          <w:lang w:val="hr-HR" w:eastAsia="ja-JP"/>
        </w:rPr>
        <w:noBreakHyphen/>
        <w:t xml:space="preserve">0,610], p&lt;0,0001). Nakon jedne godine ukupno </w:t>
      </w:r>
      <w:r w:rsidRPr="00510442">
        <w:rPr>
          <w:szCs w:val="22"/>
          <w:lang w:val="hr-HR"/>
        </w:rPr>
        <w:t>preživlj</w:t>
      </w:r>
      <w:r w:rsidR="00571399" w:rsidRPr="00510442">
        <w:rPr>
          <w:szCs w:val="22"/>
          <w:lang w:val="hr-HR"/>
        </w:rPr>
        <w:t>e</w:t>
      </w:r>
      <w:r w:rsidRPr="00510442">
        <w:rPr>
          <w:szCs w:val="22"/>
          <w:lang w:val="hr-HR"/>
        </w:rPr>
        <w:t xml:space="preserve">nje bez recidiva bolesti bilo je značajno bolje za Glivec (97,7%) u odnosu na placebo (82,3%), (p&lt;0,0001). Rizik od recidiva bolesti je smanjen za otprilike 89% u usporedbi s placebom </w:t>
      </w:r>
      <w:r w:rsidRPr="00510442">
        <w:rPr>
          <w:rFonts w:eastAsia="MS Mincho"/>
          <w:color w:val="000000"/>
          <w:szCs w:val="22"/>
          <w:lang w:val="hr-HR" w:eastAsia="ja-JP"/>
        </w:rPr>
        <w:t>(omjer rizika = 0,113 [0,049</w:t>
      </w:r>
      <w:r w:rsidRPr="00510442">
        <w:rPr>
          <w:rFonts w:eastAsia="MS Mincho"/>
          <w:color w:val="000000"/>
          <w:szCs w:val="22"/>
          <w:lang w:val="hr-HR" w:eastAsia="ja-JP"/>
        </w:rPr>
        <w:noBreakHyphen/>
        <w:t>0,264]).</w:t>
      </w:r>
    </w:p>
    <w:p w14:paraId="48CAC622" w14:textId="77777777" w:rsidR="00691AE2" w:rsidRPr="00510442" w:rsidRDefault="00691AE2" w:rsidP="009B5630">
      <w:pPr>
        <w:spacing w:line="240" w:lineRule="auto"/>
        <w:rPr>
          <w:rFonts w:eastAsia="MS Mincho"/>
          <w:color w:val="000000"/>
          <w:szCs w:val="22"/>
          <w:lang w:val="hr-HR" w:eastAsia="ja-JP"/>
        </w:rPr>
      </w:pPr>
    </w:p>
    <w:p w14:paraId="261FECDB" w14:textId="77777777" w:rsidR="00691AE2" w:rsidRPr="00510442" w:rsidRDefault="00691AE2" w:rsidP="009B5630">
      <w:pPr>
        <w:spacing w:line="240" w:lineRule="auto"/>
        <w:rPr>
          <w:rFonts w:eastAsia="MS Mincho"/>
          <w:color w:val="000000"/>
          <w:szCs w:val="22"/>
          <w:lang w:val="hr-HR" w:eastAsia="ja-JP"/>
        </w:rPr>
      </w:pPr>
      <w:r w:rsidRPr="00510442">
        <w:rPr>
          <w:szCs w:val="22"/>
          <w:lang w:val="hr-HR"/>
        </w:rPr>
        <w:t>Rizik od recidiva bolesti u bolesnika nakon kirurškog uklanjanja primarnog GIST-a je retrospektivno procijenjen na temelju sljedećih prognostičkih faktora: veličina tumora, mitotski indeks, lokacija tumora. Podaci o mitotskom indeksu su bili dostupni za 556 od 713</w:t>
      </w:r>
      <w:r w:rsidR="00F37C66" w:rsidRPr="00510442">
        <w:rPr>
          <w:rFonts w:eastAsia="MS Mincho"/>
          <w:color w:val="000000"/>
          <w:szCs w:val="22"/>
          <w:lang w:val="hr-HR" w:eastAsia="ja-JP"/>
        </w:rPr>
        <w:t> </w:t>
      </w:r>
      <w:r w:rsidRPr="00510442">
        <w:rPr>
          <w:szCs w:val="22"/>
          <w:lang w:val="hr-HR"/>
        </w:rPr>
        <w:t xml:space="preserve">bolesnika u populaciji planiranoj za liječenje (ITT – engl. </w:t>
      </w:r>
      <w:r w:rsidRPr="00510442">
        <w:rPr>
          <w:rFonts w:eastAsia="MS Mincho"/>
          <w:i/>
          <w:color w:val="000000"/>
          <w:szCs w:val="22"/>
          <w:lang w:val="hr-HR" w:eastAsia="ja-JP"/>
        </w:rPr>
        <w:t>intention-to-treat</w:t>
      </w:r>
      <w:r w:rsidRPr="00510442">
        <w:rPr>
          <w:rFonts w:eastAsia="MS Mincho"/>
          <w:color w:val="000000"/>
          <w:szCs w:val="22"/>
          <w:lang w:val="hr-HR" w:eastAsia="ja-JP"/>
        </w:rPr>
        <w:t xml:space="preserve">). Rezultati analize podskupine bolesnika razvrstane prema klasifikacijama rizika američkog Nacionalnog instituta za zdravstvo (NIH - National Institutes of Health) i Instituta za patologiju američkih oružanih snaga (AFIP - Armed Forces Institute of Pathology) su prikazani u </w:t>
      </w:r>
      <w:r w:rsidR="00781C79" w:rsidRPr="00510442">
        <w:rPr>
          <w:rFonts w:eastAsia="MS Mincho"/>
          <w:color w:val="000000"/>
          <w:szCs w:val="22"/>
          <w:lang w:val="hr-HR" w:eastAsia="ja-JP"/>
        </w:rPr>
        <w:t>T</w:t>
      </w:r>
      <w:r w:rsidRPr="00510442">
        <w:rPr>
          <w:rFonts w:eastAsia="MS Mincho"/>
          <w:color w:val="000000"/>
          <w:szCs w:val="22"/>
          <w:lang w:val="hr-HR" w:eastAsia="ja-JP"/>
        </w:rPr>
        <w:t>ablici</w:t>
      </w:r>
      <w:r w:rsidR="00F37C66" w:rsidRPr="00510442">
        <w:rPr>
          <w:rFonts w:eastAsia="MS Mincho"/>
          <w:color w:val="000000"/>
          <w:szCs w:val="22"/>
          <w:lang w:val="hr-HR" w:eastAsia="ja-JP"/>
        </w:rPr>
        <w:t> </w:t>
      </w:r>
      <w:r w:rsidR="00A43561" w:rsidRPr="00510442">
        <w:rPr>
          <w:rFonts w:eastAsia="MS Mincho"/>
          <w:color w:val="000000"/>
          <w:szCs w:val="22"/>
          <w:lang w:val="hr-HR" w:eastAsia="ja-JP"/>
        </w:rPr>
        <w:t>7</w:t>
      </w:r>
      <w:r w:rsidRPr="00510442">
        <w:rPr>
          <w:rFonts w:eastAsia="MS Mincho"/>
          <w:color w:val="000000"/>
          <w:szCs w:val="22"/>
          <w:lang w:val="hr-HR" w:eastAsia="ja-JP"/>
        </w:rPr>
        <w:t>. U skupinama s niskim ili vrlo niskim rizikom nije uočena korist. Nije uočeno da bi liječenje povećavalo ukupno preživlj</w:t>
      </w:r>
      <w:r w:rsidR="00BC2556" w:rsidRPr="00510442">
        <w:rPr>
          <w:rFonts w:eastAsia="MS Mincho"/>
          <w:color w:val="000000"/>
          <w:szCs w:val="22"/>
          <w:lang w:val="hr-HR" w:eastAsia="ja-JP"/>
        </w:rPr>
        <w:t>e</w:t>
      </w:r>
      <w:r w:rsidRPr="00510442">
        <w:rPr>
          <w:rFonts w:eastAsia="MS Mincho"/>
          <w:color w:val="000000"/>
          <w:szCs w:val="22"/>
          <w:lang w:val="hr-HR" w:eastAsia="ja-JP"/>
        </w:rPr>
        <w:t>nje.</w:t>
      </w:r>
    </w:p>
    <w:p w14:paraId="31CE539E" w14:textId="77777777" w:rsidR="00936EF9" w:rsidRPr="00510442" w:rsidRDefault="00936EF9" w:rsidP="0091773C">
      <w:pPr>
        <w:pStyle w:val="Text"/>
        <w:spacing w:before="0"/>
        <w:jc w:val="left"/>
        <w:rPr>
          <w:color w:val="000000"/>
          <w:sz w:val="22"/>
          <w:szCs w:val="22"/>
          <w:lang w:val="hr-HR"/>
        </w:rPr>
      </w:pPr>
    </w:p>
    <w:p w14:paraId="536AA7DE" w14:textId="77777777" w:rsidR="00936EF9" w:rsidRPr="00510442" w:rsidRDefault="00F37C66" w:rsidP="003179A4">
      <w:pPr>
        <w:pStyle w:val="Heading6"/>
        <w:keepLines/>
        <w:tabs>
          <w:tab w:val="clear" w:pos="567"/>
          <w:tab w:val="clear" w:pos="4536"/>
        </w:tabs>
        <w:suppressAutoHyphens w:val="0"/>
        <w:spacing w:line="240" w:lineRule="auto"/>
        <w:ind w:left="1134" w:hanging="1134"/>
        <w:rPr>
          <w:rFonts w:eastAsia="MS Mincho"/>
          <w:b/>
          <w:i w:val="0"/>
          <w:color w:val="000000"/>
          <w:szCs w:val="22"/>
          <w:lang w:val="hr-HR" w:eastAsia="ja-JP"/>
        </w:rPr>
      </w:pPr>
      <w:r w:rsidRPr="00510442">
        <w:rPr>
          <w:rFonts w:eastAsia="MS Mincho"/>
          <w:b/>
          <w:i w:val="0"/>
          <w:color w:val="000000"/>
          <w:szCs w:val="22"/>
          <w:lang w:val="hr-HR" w:eastAsia="ja-JP"/>
        </w:rPr>
        <w:lastRenderedPageBreak/>
        <w:t>Tablica</w:t>
      </w:r>
      <w:r w:rsidR="00936EF9" w:rsidRPr="00510442">
        <w:rPr>
          <w:rFonts w:eastAsia="MS Mincho"/>
          <w:b/>
          <w:i w:val="0"/>
          <w:color w:val="000000"/>
          <w:szCs w:val="22"/>
          <w:lang w:val="hr-HR" w:eastAsia="ja-JP"/>
        </w:rPr>
        <w:t> </w:t>
      </w:r>
      <w:r w:rsidR="00A43561" w:rsidRPr="00510442">
        <w:rPr>
          <w:rFonts w:eastAsia="MS Mincho"/>
          <w:b/>
          <w:i w:val="0"/>
          <w:color w:val="000000"/>
          <w:szCs w:val="22"/>
          <w:lang w:val="hr-HR" w:eastAsia="ja-JP"/>
        </w:rPr>
        <w:t>7</w:t>
      </w:r>
      <w:r w:rsidR="00936EF9" w:rsidRPr="00510442">
        <w:rPr>
          <w:rFonts w:eastAsia="MS Mincho"/>
          <w:b/>
          <w:i w:val="0"/>
          <w:color w:val="000000"/>
          <w:szCs w:val="22"/>
          <w:lang w:val="hr-HR" w:eastAsia="ja-JP"/>
        </w:rPr>
        <w:tab/>
      </w:r>
      <w:r w:rsidRPr="00510442">
        <w:rPr>
          <w:b/>
          <w:i w:val="0"/>
          <w:szCs w:val="22"/>
          <w:lang w:val="hr-HR"/>
        </w:rPr>
        <w:t>Sažetak analiza preživlj</w:t>
      </w:r>
      <w:r w:rsidR="00571399" w:rsidRPr="00510442">
        <w:rPr>
          <w:b/>
          <w:i w:val="0"/>
          <w:szCs w:val="22"/>
          <w:lang w:val="hr-HR"/>
        </w:rPr>
        <w:t>e</w:t>
      </w:r>
      <w:r w:rsidRPr="00510442">
        <w:rPr>
          <w:b/>
          <w:i w:val="0"/>
          <w:szCs w:val="22"/>
          <w:lang w:val="hr-HR"/>
        </w:rPr>
        <w:t>nja bez recidiva bolesti u ispitivanju Z9001 prema NIH i AFIP klasifikacijama rizika</w:t>
      </w:r>
    </w:p>
    <w:p w14:paraId="3DB6D6D3" w14:textId="77777777" w:rsidR="00936EF9" w:rsidRPr="00510442" w:rsidRDefault="00936EF9" w:rsidP="0091773C">
      <w:pPr>
        <w:keepNext/>
        <w:spacing w:line="240" w:lineRule="auto"/>
        <w:rPr>
          <w:rFonts w:eastAsia="MS Mincho"/>
          <w:color w:val="000000"/>
          <w:szCs w:val="22"/>
          <w:lang w:val="hr-HR" w:eastAsia="ja-JP"/>
        </w:rPr>
      </w:pPr>
    </w:p>
    <w:tbl>
      <w:tblPr>
        <w:tblW w:w="93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9"/>
        <w:gridCol w:w="1276"/>
        <w:gridCol w:w="1134"/>
        <w:gridCol w:w="1843"/>
        <w:gridCol w:w="1319"/>
        <w:gridCol w:w="1440"/>
        <w:gridCol w:w="1360"/>
      </w:tblGrid>
      <w:tr w:rsidR="00936EF9" w:rsidRPr="00F410C8" w14:paraId="468283F9" w14:textId="77777777" w:rsidTr="003179A4">
        <w:trPr>
          <w:cantSplit/>
        </w:trPr>
        <w:tc>
          <w:tcPr>
            <w:tcW w:w="959" w:type="dxa"/>
            <w:vMerge w:val="restart"/>
          </w:tcPr>
          <w:p w14:paraId="2A5C3B10" w14:textId="77777777" w:rsidR="00936EF9" w:rsidRPr="00510442" w:rsidRDefault="00F37C66" w:rsidP="003179A4">
            <w:pPr>
              <w:pStyle w:val="Table"/>
              <w:keepLines w:val="0"/>
              <w:spacing w:before="0" w:after="0"/>
              <w:jc w:val="center"/>
              <w:rPr>
                <w:rFonts w:ascii="Times New Roman" w:hAnsi="Times New Roman"/>
                <w:b/>
                <w:color w:val="000000"/>
                <w:sz w:val="22"/>
                <w:szCs w:val="22"/>
                <w:lang w:val="hr-HR"/>
              </w:rPr>
            </w:pPr>
            <w:r w:rsidRPr="00510442">
              <w:rPr>
                <w:rFonts w:ascii="Times New Roman" w:hAnsi="Times New Roman"/>
                <w:b/>
                <w:sz w:val="22"/>
                <w:szCs w:val="22"/>
                <w:lang w:val="hr-HR"/>
              </w:rPr>
              <w:t>Kriterij rizika</w:t>
            </w:r>
          </w:p>
        </w:tc>
        <w:tc>
          <w:tcPr>
            <w:tcW w:w="1276" w:type="dxa"/>
            <w:vMerge w:val="restart"/>
            <w:tcBorders>
              <w:right w:val="single" w:sz="4" w:space="0" w:color="auto"/>
            </w:tcBorders>
          </w:tcPr>
          <w:p w14:paraId="2F52A98F" w14:textId="77777777" w:rsidR="00936EF9" w:rsidRPr="00510442" w:rsidRDefault="00F37C66" w:rsidP="003179A4">
            <w:pPr>
              <w:pStyle w:val="Table"/>
              <w:keepLines w:val="0"/>
              <w:spacing w:before="0" w:after="0"/>
              <w:rPr>
                <w:rFonts w:ascii="Times New Roman" w:hAnsi="Times New Roman"/>
                <w:b/>
                <w:color w:val="000000"/>
                <w:sz w:val="22"/>
                <w:szCs w:val="22"/>
                <w:lang w:val="hr-HR"/>
              </w:rPr>
            </w:pPr>
            <w:r w:rsidRPr="00510442">
              <w:rPr>
                <w:rFonts w:ascii="Times New Roman" w:hAnsi="Times New Roman"/>
                <w:b/>
                <w:sz w:val="22"/>
                <w:szCs w:val="22"/>
                <w:lang w:val="hr-HR"/>
              </w:rPr>
              <w:t>Razina rizika</w:t>
            </w:r>
          </w:p>
        </w:tc>
        <w:tc>
          <w:tcPr>
            <w:tcW w:w="1134" w:type="dxa"/>
            <w:vMerge w:val="restart"/>
            <w:tcBorders>
              <w:left w:val="single" w:sz="4" w:space="0" w:color="auto"/>
              <w:right w:val="single" w:sz="4" w:space="0" w:color="auto"/>
            </w:tcBorders>
          </w:tcPr>
          <w:p w14:paraId="113F9723" w14:textId="77777777" w:rsidR="00936EF9" w:rsidRPr="00510442" w:rsidRDefault="00936EF9" w:rsidP="003179A4">
            <w:pPr>
              <w:pStyle w:val="Table"/>
              <w:keepLines w:val="0"/>
              <w:spacing w:before="0" w:after="0"/>
              <w:jc w:val="center"/>
              <w:rPr>
                <w:rFonts w:ascii="Times New Roman" w:hAnsi="Times New Roman"/>
                <w:b/>
                <w:color w:val="000000"/>
                <w:sz w:val="22"/>
                <w:szCs w:val="22"/>
                <w:lang w:val="hr-HR"/>
              </w:rPr>
            </w:pPr>
            <w:r w:rsidRPr="00510442">
              <w:rPr>
                <w:rFonts w:ascii="Times New Roman" w:hAnsi="Times New Roman"/>
                <w:b/>
                <w:color w:val="000000"/>
                <w:sz w:val="22"/>
                <w:szCs w:val="22"/>
                <w:lang w:val="hr-HR"/>
              </w:rPr>
              <w:t xml:space="preserve">% </w:t>
            </w:r>
            <w:r w:rsidR="00F37C66" w:rsidRPr="00510442">
              <w:rPr>
                <w:rFonts w:ascii="Times New Roman" w:hAnsi="Times New Roman"/>
                <w:b/>
                <w:color w:val="000000"/>
                <w:sz w:val="22"/>
                <w:szCs w:val="22"/>
                <w:lang w:val="hr-HR"/>
              </w:rPr>
              <w:t>bolesnika</w:t>
            </w:r>
          </w:p>
        </w:tc>
        <w:tc>
          <w:tcPr>
            <w:tcW w:w="1843" w:type="dxa"/>
            <w:vMerge w:val="restart"/>
            <w:tcBorders>
              <w:left w:val="single" w:sz="4" w:space="0" w:color="auto"/>
              <w:right w:val="single" w:sz="4" w:space="0" w:color="auto"/>
            </w:tcBorders>
          </w:tcPr>
          <w:p w14:paraId="4F95D86E" w14:textId="77777777" w:rsidR="00936EF9" w:rsidRPr="00510442" w:rsidRDefault="00EC14D9" w:rsidP="003179A4">
            <w:pPr>
              <w:pStyle w:val="Table"/>
              <w:keepLines w:val="0"/>
              <w:spacing w:before="0" w:after="0"/>
              <w:jc w:val="center"/>
              <w:rPr>
                <w:rFonts w:ascii="Times New Roman" w:hAnsi="Times New Roman"/>
                <w:b/>
                <w:color w:val="000000"/>
                <w:sz w:val="22"/>
                <w:szCs w:val="22"/>
                <w:lang w:val="hr-HR"/>
              </w:rPr>
            </w:pPr>
            <w:r w:rsidRPr="00510442">
              <w:rPr>
                <w:rFonts w:ascii="Times New Roman" w:hAnsi="Times New Roman"/>
                <w:b/>
                <w:sz w:val="22"/>
                <w:szCs w:val="22"/>
                <w:lang w:val="hr-HR"/>
              </w:rPr>
              <w:t>Broj događaja</w:t>
            </w:r>
            <w:r w:rsidR="00936EF9" w:rsidRPr="00510442">
              <w:rPr>
                <w:rFonts w:ascii="Times New Roman" w:hAnsi="Times New Roman"/>
                <w:b/>
                <w:color w:val="000000"/>
                <w:sz w:val="22"/>
                <w:szCs w:val="22"/>
                <w:lang w:val="hr-HR"/>
              </w:rPr>
              <w:t xml:space="preserve"> /</w:t>
            </w:r>
            <w:r w:rsidR="00936EF9" w:rsidRPr="00510442">
              <w:rPr>
                <w:rFonts w:ascii="Times New Roman" w:hAnsi="Times New Roman"/>
                <w:b/>
                <w:color w:val="000000"/>
                <w:sz w:val="22"/>
                <w:szCs w:val="22"/>
                <w:lang w:val="hr-HR"/>
              </w:rPr>
              <w:br/>
            </w:r>
            <w:r w:rsidRPr="00510442">
              <w:rPr>
                <w:rFonts w:ascii="Times New Roman" w:hAnsi="Times New Roman"/>
                <w:b/>
                <w:sz w:val="22"/>
                <w:szCs w:val="22"/>
                <w:lang w:val="hr-HR"/>
              </w:rPr>
              <w:t>broj bolesnika</w:t>
            </w:r>
          </w:p>
        </w:tc>
        <w:tc>
          <w:tcPr>
            <w:tcW w:w="1319" w:type="dxa"/>
            <w:vMerge w:val="restart"/>
            <w:tcBorders>
              <w:left w:val="single" w:sz="4" w:space="0" w:color="auto"/>
              <w:right w:val="single" w:sz="4" w:space="0" w:color="auto"/>
            </w:tcBorders>
          </w:tcPr>
          <w:p w14:paraId="429CCF13" w14:textId="77777777" w:rsidR="00936EF9" w:rsidRPr="00510442" w:rsidRDefault="00EC14D9" w:rsidP="003179A4">
            <w:pPr>
              <w:pStyle w:val="Table"/>
              <w:keepLines w:val="0"/>
              <w:spacing w:before="0" w:after="0"/>
              <w:jc w:val="center"/>
              <w:rPr>
                <w:rFonts w:ascii="Times New Roman" w:hAnsi="Times New Roman"/>
                <w:b/>
                <w:color w:val="000000"/>
                <w:sz w:val="22"/>
                <w:szCs w:val="22"/>
                <w:lang w:val="hr-HR"/>
              </w:rPr>
            </w:pPr>
            <w:r w:rsidRPr="00510442">
              <w:rPr>
                <w:rFonts w:ascii="Times New Roman" w:hAnsi="Times New Roman"/>
                <w:b/>
                <w:sz w:val="22"/>
                <w:szCs w:val="22"/>
                <w:lang w:val="hr-HR"/>
              </w:rPr>
              <w:t>Ukupni omjer rizika</w:t>
            </w:r>
            <w:r w:rsidRPr="00510442">
              <w:rPr>
                <w:rFonts w:ascii="Times New Roman" w:hAnsi="Times New Roman"/>
                <w:b/>
                <w:color w:val="000000"/>
                <w:sz w:val="22"/>
                <w:szCs w:val="22"/>
                <w:lang w:val="hr-HR"/>
              </w:rPr>
              <w:t xml:space="preserve"> </w:t>
            </w:r>
            <w:r w:rsidR="00936EF9" w:rsidRPr="00510442">
              <w:rPr>
                <w:rFonts w:ascii="Times New Roman" w:hAnsi="Times New Roman"/>
                <w:b/>
                <w:color w:val="000000"/>
                <w:sz w:val="22"/>
                <w:szCs w:val="22"/>
                <w:lang w:val="hr-HR"/>
              </w:rPr>
              <w:t>(95%CI)*</w:t>
            </w:r>
          </w:p>
        </w:tc>
        <w:tc>
          <w:tcPr>
            <w:tcW w:w="2800" w:type="dxa"/>
            <w:gridSpan w:val="2"/>
            <w:tcBorders>
              <w:left w:val="single" w:sz="4" w:space="0" w:color="auto"/>
            </w:tcBorders>
          </w:tcPr>
          <w:p w14:paraId="14C0E0F3" w14:textId="77777777" w:rsidR="00936EF9" w:rsidRPr="00510442" w:rsidRDefault="00EC14D9" w:rsidP="003179A4">
            <w:pPr>
              <w:pStyle w:val="Table"/>
              <w:keepLines w:val="0"/>
              <w:spacing w:before="0" w:after="0"/>
              <w:jc w:val="center"/>
              <w:rPr>
                <w:rFonts w:ascii="Times New Roman" w:hAnsi="Times New Roman"/>
                <w:b/>
                <w:color w:val="000000"/>
                <w:sz w:val="22"/>
                <w:szCs w:val="22"/>
                <w:lang w:val="hr-HR"/>
              </w:rPr>
            </w:pPr>
            <w:r w:rsidRPr="00510442">
              <w:rPr>
                <w:rFonts w:ascii="Times New Roman" w:hAnsi="Times New Roman"/>
                <w:b/>
                <w:sz w:val="22"/>
                <w:szCs w:val="22"/>
                <w:lang w:val="hr-HR"/>
              </w:rPr>
              <w:t>Stope preživlj</w:t>
            </w:r>
            <w:r w:rsidR="00571399" w:rsidRPr="00510442">
              <w:rPr>
                <w:rFonts w:ascii="Times New Roman" w:hAnsi="Times New Roman"/>
                <w:b/>
                <w:sz w:val="22"/>
                <w:szCs w:val="22"/>
                <w:lang w:val="hr-HR"/>
              </w:rPr>
              <w:t>e</w:t>
            </w:r>
            <w:r w:rsidRPr="00510442">
              <w:rPr>
                <w:rFonts w:ascii="Times New Roman" w:hAnsi="Times New Roman"/>
                <w:b/>
                <w:sz w:val="22"/>
                <w:szCs w:val="22"/>
                <w:lang w:val="hr-HR"/>
              </w:rPr>
              <w:t xml:space="preserve">nja bez recidiva bolesti </w:t>
            </w:r>
            <w:r w:rsidR="00936EF9" w:rsidRPr="00510442">
              <w:rPr>
                <w:rFonts w:ascii="Times New Roman" w:hAnsi="Times New Roman"/>
                <w:b/>
                <w:color w:val="000000"/>
                <w:sz w:val="22"/>
                <w:szCs w:val="22"/>
                <w:lang w:val="hr-HR"/>
              </w:rPr>
              <w:t>(%)</w:t>
            </w:r>
          </w:p>
        </w:tc>
      </w:tr>
      <w:tr w:rsidR="00936EF9" w:rsidRPr="00510442" w14:paraId="640C942B" w14:textId="77777777" w:rsidTr="003179A4">
        <w:trPr>
          <w:cantSplit/>
        </w:trPr>
        <w:tc>
          <w:tcPr>
            <w:tcW w:w="959" w:type="dxa"/>
            <w:vMerge/>
          </w:tcPr>
          <w:p w14:paraId="180DBC0E" w14:textId="77777777" w:rsidR="00936EF9" w:rsidRPr="00510442" w:rsidRDefault="00936EF9" w:rsidP="003179A4">
            <w:pPr>
              <w:pStyle w:val="Table"/>
              <w:keepLines w:val="0"/>
              <w:spacing w:before="0" w:after="0"/>
              <w:rPr>
                <w:rFonts w:ascii="Times New Roman" w:hAnsi="Times New Roman"/>
                <w:b/>
                <w:color w:val="000000"/>
                <w:sz w:val="22"/>
                <w:szCs w:val="22"/>
                <w:lang w:val="hr-HR"/>
              </w:rPr>
            </w:pPr>
          </w:p>
        </w:tc>
        <w:tc>
          <w:tcPr>
            <w:tcW w:w="1276" w:type="dxa"/>
            <w:vMerge/>
            <w:tcBorders>
              <w:right w:val="single" w:sz="4" w:space="0" w:color="auto"/>
            </w:tcBorders>
          </w:tcPr>
          <w:p w14:paraId="61F41B55" w14:textId="77777777" w:rsidR="00936EF9" w:rsidRPr="00510442" w:rsidRDefault="00936EF9" w:rsidP="003179A4">
            <w:pPr>
              <w:pStyle w:val="Table"/>
              <w:keepLines w:val="0"/>
              <w:spacing w:before="0" w:after="0"/>
              <w:rPr>
                <w:rFonts w:ascii="Times New Roman" w:hAnsi="Times New Roman"/>
                <w:b/>
                <w:color w:val="000000"/>
                <w:sz w:val="22"/>
                <w:szCs w:val="22"/>
                <w:lang w:val="hr-HR"/>
              </w:rPr>
            </w:pPr>
          </w:p>
        </w:tc>
        <w:tc>
          <w:tcPr>
            <w:tcW w:w="1134" w:type="dxa"/>
            <w:vMerge/>
            <w:tcBorders>
              <w:left w:val="single" w:sz="4" w:space="0" w:color="auto"/>
              <w:right w:val="single" w:sz="4" w:space="0" w:color="auto"/>
            </w:tcBorders>
          </w:tcPr>
          <w:p w14:paraId="6CC97932" w14:textId="77777777" w:rsidR="00936EF9" w:rsidRPr="00510442" w:rsidRDefault="00936EF9" w:rsidP="003179A4">
            <w:pPr>
              <w:pStyle w:val="Table"/>
              <w:keepLines w:val="0"/>
              <w:spacing w:before="0" w:after="0"/>
              <w:jc w:val="center"/>
              <w:rPr>
                <w:rFonts w:ascii="Times New Roman" w:hAnsi="Times New Roman"/>
                <w:b/>
                <w:color w:val="000000"/>
                <w:sz w:val="22"/>
                <w:szCs w:val="22"/>
                <w:lang w:val="hr-HR"/>
              </w:rPr>
            </w:pPr>
          </w:p>
        </w:tc>
        <w:tc>
          <w:tcPr>
            <w:tcW w:w="1843" w:type="dxa"/>
            <w:vMerge/>
            <w:tcBorders>
              <w:left w:val="single" w:sz="4" w:space="0" w:color="auto"/>
              <w:right w:val="single" w:sz="4" w:space="0" w:color="auto"/>
            </w:tcBorders>
          </w:tcPr>
          <w:p w14:paraId="083B73E5" w14:textId="77777777" w:rsidR="00936EF9" w:rsidRPr="00510442" w:rsidRDefault="00936EF9" w:rsidP="003179A4">
            <w:pPr>
              <w:pStyle w:val="Table"/>
              <w:keepLines w:val="0"/>
              <w:spacing w:before="0" w:after="0"/>
              <w:jc w:val="center"/>
              <w:rPr>
                <w:rFonts w:ascii="Times New Roman" w:hAnsi="Times New Roman"/>
                <w:b/>
                <w:color w:val="000000"/>
                <w:sz w:val="22"/>
                <w:szCs w:val="22"/>
                <w:lang w:val="hr-HR"/>
              </w:rPr>
            </w:pPr>
          </w:p>
        </w:tc>
        <w:tc>
          <w:tcPr>
            <w:tcW w:w="1319" w:type="dxa"/>
            <w:vMerge/>
            <w:tcBorders>
              <w:left w:val="single" w:sz="4" w:space="0" w:color="auto"/>
              <w:right w:val="single" w:sz="4" w:space="0" w:color="auto"/>
            </w:tcBorders>
          </w:tcPr>
          <w:p w14:paraId="6BD9CE10" w14:textId="77777777" w:rsidR="00936EF9" w:rsidRPr="00510442" w:rsidRDefault="00936EF9" w:rsidP="003179A4">
            <w:pPr>
              <w:pStyle w:val="Table"/>
              <w:keepLines w:val="0"/>
              <w:spacing w:before="0" w:after="0"/>
              <w:rPr>
                <w:rFonts w:ascii="Times New Roman" w:hAnsi="Times New Roman"/>
                <w:b/>
                <w:color w:val="000000"/>
                <w:sz w:val="22"/>
                <w:szCs w:val="22"/>
                <w:lang w:val="hr-HR"/>
              </w:rPr>
            </w:pPr>
          </w:p>
        </w:tc>
        <w:tc>
          <w:tcPr>
            <w:tcW w:w="1440" w:type="dxa"/>
            <w:tcBorders>
              <w:left w:val="single" w:sz="4" w:space="0" w:color="auto"/>
              <w:right w:val="single" w:sz="4" w:space="0" w:color="auto"/>
            </w:tcBorders>
          </w:tcPr>
          <w:p w14:paraId="1DC32CA8" w14:textId="77777777" w:rsidR="00936EF9" w:rsidRPr="00510442" w:rsidRDefault="00936EF9" w:rsidP="003179A4">
            <w:pPr>
              <w:pStyle w:val="Table"/>
              <w:keepLines w:val="0"/>
              <w:spacing w:before="0" w:after="0"/>
              <w:jc w:val="center"/>
              <w:rPr>
                <w:rFonts w:ascii="Times New Roman" w:hAnsi="Times New Roman"/>
                <w:b/>
                <w:color w:val="000000"/>
                <w:sz w:val="22"/>
                <w:szCs w:val="22"/>
                <w:lang w:val="hr-HR"/>
              </w:rPr>
            </w:pPr>
            <w:r w:rsidRPr="00510442">
              <w:rPr>
                <w:rFonts w:ascii="Times New Roman" w:hAnsi="Times New Roman"/>
                <w:b/>
                <w:color w:val="000000"/>
                <w:sz w:val="22"/>
                <w:szCs w:val="22"/>
                <w:lang w:val="hr-HR"/>
              </w:rPr>
              <w:t>12 </w:t>
            </w:r>
            <w:r w:rsidR="00EC14D9" w:rsidRPr="00510442">
              <w:rPr>
                <w:rFonts w:ascii="Times New Roman" w:hAnsi="Times New Roman"/>
                <w:b/>
                <w:sz w:val="22"/>
                <w:szCs w:val="22"/>
                <w:lang w:val="hr-HR"/>
              </w:rPr>
              <w:t>mjeseci</w:t>
            </w:r>
          </w:p>
        </w:tc>
        <w:tc>
          <w:tcPr>
            <w:tcW w:w="1360" w:type="dxa"/>
            <w:tcBorders>
              <w:left w:val="single" w:sz="4" w:space="0" w:color="auto"/>
            </w:tcBorders>
          </w:tcPr>
          <w:p w14:paraId="6394F1C9" w14:textId="77777777" w:rsidR="00936EF9" w:rsidRPr="00510442" w:rsidRDefault="00936EF9" w:rsidP="003179A4">
            <w:pPr>
              <w:pStyle w:val="Table"/>
              <w:keepLines w:val="0"/>
              <w:spacing w:before="0" w:after="0"/>
              <w:jc w:val="center"/>
              <w:rPr>
                <w:rFonts w:ascii="Times New Roman" w:hAnsi="Times New Roman"/>
                <w:b/>
                <w:color w:val="000000"/>
                <w:sz w:val="22"/>
                <w:szCs w:val="22"/>
                <w:lang w:val="hr-HR"/>
              </w:rPr>
            </w:pPr>
            <w:r w:rsidRPr="00510442">
              <w:rPr>
                <w:rFonts w:ascii="Times New Roman" w:hAnsi="Times New Roman"/>
                <w:b/>
                <w:color w:val="000000"/>
                <w:sz w:val="22"/>
                <w:szCs w:val="22"/>
                <w:lang w:val="hr-HR"/>
              </w:rPr>
              <w:t>24 </w:t>
            </w:r>
            <w:r w:rsidR="00EC14D9" w:rsidRPr="00510442">
              <w:rPr>
                <w:rFonts w:ascii="Times New Roman" w:hAnsi="Times New Roman"/>
                <w:b/>
                <w:sz w:val="22"/>
                <w:szCs w:val="22"/>
                <w:lang w:val="hr-HR"/>
              </w:rPr>
              <w:t>mjeseci</w:t>
            </w:r>
          </w:p>
        </w:tc>
      </w:tr>
      <w:tr w:rsidR="00936EF9" w:rsidRPr="00510442" w14:paraId="45A8072B" w14:textId="77777777" w:rsidTr="003179A4">
        <w:trPr>
          <w:cantSplit/>
        </w:trPr>
        <w:tc>
          <w:tcPr>
            <w:tcW w:w="959" w:type="dxa"/>
            <w:vMerge/>
          </w:tcPr>
          <w:p w14:paraId="519D21E4" w14:textId="77777777" w:rsidR="00936EF9" w:rsidRPr="00510442" w:rsidRDefault="00936EF9" w:rsidP="003179A4">
            <w:pPr>
              <w:pStyle w:val="Table"/>
              <w:keepLines w:val="0"/>
              <w:spacing w:before="0" w:after="0"/>
              <w:rPr>
                <w:rFonts w:ascii="Times New Roman" w:hAnsi="Times New Roman"/>
                <w:b/>
                <w:color w:val="000000"/>
                <w:sz w:val="22"/>
                <w:szCs w:val="22"/>
                <w:lang w:val="hr-HR"/>
              </w:rPr>
            </w:pPr>
          </w:p>
        </w:tc>
        <w:tc>
          <w:tcPr>
            <w:tcW w:w="1276" w:type="dxa"/>
            <w:vMerge/>
            <w:tcBorders>
              <w:right w:val="single" w:sz="4" w:space="0" w:color="auto"/>
            </w:tcBorders>
          </w:tcPr>
          <w:p w14:paraId="142A13BA" w14:textId="77777777" w:rsidR="00936EF9" w:rsidRPr="00510442" w:rsidRDefault="00936EF9" w:rsidP="003179A4">
            <w:pPr>
              <w:pStyle w:val="Table"/>
              <w:keepLines w:val="0"/>
              <w:spacing w:before="0" w:after="0"/>
              <w:rPr>
                <w:rFonts w:ascii="Times New Roman" w:hAnsi="Times New Roman"/>
                <w:b/>
                <w:color w:val="000000"/>
                <w:sz w:val="22"/>
                <w:szCs w:val="22"/>
                <w:lang w:val="hr-HR"/>
              </w:rPr>
            </w:pPr>
          </w:p>
        </w:tc>
        <w:tc>
          <w:tcPr>
            <w:tcW w:w="1134" w:type="dxa"/>
            <w:vMerge/>
            <w:tcBorders>
              <w:left w:val="single" w:sz="4" w:space="0" w:color="auto"/>
              <w:right w:val="single" w:sz="4" w:space="0" w:color="auto"/>
            </w:tcBorders>
          </w:tcPr>
          <w:p w14:paraId="2D438FA0" w14:textId="77777777" w:rsidR="00936EF9" w:rsidRPr="00510442" w:rsidRDefault="00936EF9" w:rsidP="003179A4">
            <w:pPr>
              <w:pStyle w:val="Table"/>
              <w:keepLines w:val="0"/>
              <w:spacing w:before="0" w:after="0"/>
              <w:jc w:val="center"/>
              <w:rPr>
                <w:rFonts w:ascii="Times New Roman" w:hAnsi="Times New Roman"/>
                <w:b/>
                <w:color w:val="000000"/>
                <w:sz w:val="22"/>
                <w:szCs w:val="22"/>
                <w:lang w:val="hr-HR"/>
              </w:rPr>
            </w:pPr>
          </w:p>
        </w:tc>
        <w:tc>
          <w:tcPr>
            <w:tcW w:w="1843" w:type="dxa"/>
            <w:tcBorders>
              <w:left w:val="single" w:sz="4" w:space="0" w:color="auto"/>
              <w:bottom w:val="single" w:sz="4" w:space="0" w:color="auto"/>
              <w:right w:val="single" w:sz="4" w:space="0" w:color="auto"/>
            </w:tcBorders>
          </w:tcPr>
          <w:p w14:paraId="13E9CACA" w14:textId="77777777" w:rsidR="00936EF9" w:rsidRPr="00510442" w:rsidRDefault="00936EF9" w:rsidP="003179A4">
            <w:pPr>
              <w:pStyle w:val="Table"/>
              <w:keepLines w:val="0"/>
              <w:spacing w:before="0" w:after="0"/>
              <w:jc w:val="center"/>
              <w:rPr>
                <w:rFonts w:ascii="Times New Roman" w:hAnsi="Times New Roman"/>
                <w:b/>
                <w:color w:val="000000"/>
                <w:sz w:val="22"/>
                <w:szCs w:val="22"/>
                <w:lang w:val="hr-HR"/>
              </w:rPr>
            </w:pPr>
            <w:r w:rsidRPr="00510442">
              <w:rPr>
                <w:rFonts w:ascii="Times New Roman" w:hAnsi="Times New Roman"/>
                <w:b/>
                <w:color w:val="000000"/>
                <w:sz w:val="22"/>
                <w:szCs w:val="22"/>
                <w:lang w:val="hr-HR"/>
              </w:rPr>
              <w:t>Glivec vs</w:t>
            </w:r>
            <w:r w:rsidR="0079251A" w:rsidRPr="00510442">
              <w:rPr>
                <w:rFonts w:ascii="Times New Roman" w:hAnsi="Times New Roman"/>
                <w:b/>
                <w:color w:val="000000"/>
                <w:sz w:val="22"/>
                <w:szCs w:val="22"/>
                <w:lang w:val="hr-HR"/>
              </w:rPr>
              <w:t>.</w:t>
            </w:r>
            <w:r w:rsidRPr="00510442">
              <w:rPr>
                <w:rFonts w:ascii="Times New Roman" w:hAnsi="Times New Roman"/>
                <w:b/>
                <w:color w:val="000000"/>
                <w:sz w:val="22"/>
                <w:szCs w:val="22"/>
                <w:lang w:val="hr-HR"/>
              </w:rPr>
              <w:t xml:space="preserve"> placebo</w:t>
            </w:r>
          </w:p>
        </w:tc>
        <w:tc>
          <w:tcPr>
            <w:tcW w:w="1319" w:type="dxa"/>
            <w:vMerge/>
            <w:tcBorders>
              <w:left w:val="single" w:sz="4" w:space="0" w:color="auto"/>
              <w:bottom w:val="single" w:sz="4" w:space="0" w:color="auto"/>
              <w:right w:val="single" w:sz="4" w:space="0" w:color="auto"/>
            </w:tcBorders>
          </w:tcPr>
          <w:p w14:paraId="0B155CCF" w14:textId="77777777" w:rsidR="00936EF9" w:rsidRPr="00510442" w:rsidRDefault="00936EF9" w:rsidP="003179A4">
            <w:pPr>
              <w:pStyle w:val="Table"/>
              <w:keepLines w:val="0"/>
              <w:spacing w:before="0" w:after="0"/>
              <w:jc w:val="center"/>
              <w:rPr>
                <w:rFonts w:ascii="Times New Roman" w:hAnsi="Times New Roman"/>
                <w:b/>
                <w:color w:val="000000"/>
                <w:sz w:val="22"/>
                <w:szCs w:val="22"/>
                <w:lang w:val="hr-HR"/>
              </w:rPr>
            </w:pPr>
          </w:p>
        </w:tc>
        <w:tc>
          <w:tcPr>
            <w:tcW w:w="1440" w:type="dxa"/>
            <w:tcBorders>
              <w:left w:val="single" w:sz="4" w:space="0" w:color="auto"/>
              <w:bottom w:val="single" w:sz="4" w:space="0" w:color="auto"/>
              <w:right w:val="single" w:sz="4" w:space="0" w:color="auto"/>
            </w:tcBorders>
          </w:tcPr>
          <w:p w14:paraId="4D96383B" w14:textId="77777777" w:rsidR="00936EF9" w:rsidRPr="00510442" w:rsidRDefault="00936EF9" w:rsidP="003179A4">
            <w:pPr>
              <w:pStyle w:val="Table"/>
              <w:keepLines w:val="0"/>
              <w:spacing w:before="0" w:after="0"/>
              <w:jc w:val="center"/>
              <w:rPr>
                <w:rFonts w:ascii="Times New Roman" w:hAnsi="Times New Roman"/>
                <w:b/>
                <w:color w:val="000000"/>
                <w:sz w:val="22"/>
                <w:szCs w:val="22"/>
                <w:lang w:val="hr-HR"/>
              </w:rPr>
            </w:pPr>
            <w:r w:rsidRPr="00510442">
              <w:rPr>
                <w:rFonts w:ascii="Times New Roman" w:hAnsi="Times New Roman"/>
                <w:b/>
                <w:color w:val="000000"/>
                <w:sz w:val="22"/>
                <w:szCs w:val="22"/>
                <w:lang w:val="hr-HR"/>
              </w:rPr>
              <w:t>Glivec vs</w:t>
            </w:r>
            <w:r w:rsidR="0079251A" w:rsidRPr="00510442">
              <w:rPr>
                <w:rFonts w:ascii="Times New Roman" w:hAnsi="Times New Roman"/>
                <w:b/>
                <w:color w:val="000000"/>
                <w:sz w:val="22"/>
                <w:szCs w:val="22"/>
                <w:lang w:val="hr-HR"/>
              </w:rPr>
              <w:t>.</w:t>
            </w:r>
            <w:r w:rsidRPr="00510442">
              <w:rPr>
                <w:rFonts w:ascii="Times New Roman" w:hAnsi="Times New Roman"/>
                <w:b/>
                <w:color w:val="000000"/>
                <w:sz w:val="22"/>
                <w:szCs w:val="22"/>
                <w:lang w:val="hr-HR"/>
              </w:rPr>
              <w:t xml:space="preserve"> placebo</w:t>
            </w:r>
          </w:p>
        </w:tc>
        <w:tc>
          <w:tcPr>
            <w:tcW w:w="1360" w:type="dxa"/>
            <w:tcBorders>
              <w:left w:val="single" w:sz="4" w:space="0" w:color="auto"/>
            </w:tcBorders>
          </w:tcPr>
          <w:p w14:paraId="16F810C5" w14:textId="77777777" w:rsidR="00936EF9" w:rsidRPr="00510442" w:rsidRDefault="00936EF9" w:rsidP="003179A4">
            <w:pPr>
              <w:pStyle w:val="Table"/>
              <w:keepLines w:val="0"/>
              <w:spacing w:before="0" w:after="0"/>
              <w:jc w:val="center"/>
              <w:rPr>
                <w:rFonts w:ascii="Times New Roman" w:hAnsi="Times New Roman"/>
                <w:b/>
                <w:color w:val="000000"/>
                <w:sz w:val="22"/>
                <w:szCs w:val="22"/>
                <w:lang w:val="hr-HR"/>
              </w:rPr>
            </w:pPr>
            <w:r w:rsidRPr="00510442">
              <w:rPr>
                <w:rFonts w:ascii="Times New Roman" w:hAnsi="Times New Roman"/>
                <w:b/>
                <w:color w:val="000000"/>
                <w:sz w:val="22"/>
                <w:szCs w:val="22"/>
                <w:lang w:val="hr-HR"/>
              </w:rPr>
              <w:t>Glivec vs</w:t>
            </w:r>
            <w:r w:rsidR="0079251A" w:rsidRPr="00510442">
              <w:rPr>
                <w:rFonts w:ascii="Times New Roman" w:hAnsi="Times New Roman"/>
                <w:b/>
                <w:color w:val="000000"/>
                <w:sz w:val="22"/>
                <w:szCs w:val="22"/>
                <w:lang w:val="hr-HR"/>
              </w:rPr>
              <w:t>.</w:t>
            </w:r>
            <w:r w:rsidRPr="00510442">
              <w:rPr>
                <w:rFonts w:ascii="Times New Roman" w:hAnsi="Times New Roman"/>
                <w:b/>
                <w:color w:val="000000"/>
                <w:sz w:val="22"/>
                <w:szCs w:val="22"/>
                <w:lang w:val="hr-HR"/>
              </w:rPr>
              <w:t xml:space="preserve"> placebo</w:t>
            </w:r>
          </w:p>
        </w:tc>
      </w:tr>
      <w:tr w:rsidR="00FE546E" w:rsidRPr="00510442" w14:paraId="1D1A4B79" w14:textId="77777777" w:rsidTr="003179A4">
        <w:trPr>
          <w:cantSplit/>
        </w:trPr>
        <w:tc>
          <w:tcPr>
            <w:tcW w:w="959" w:type="dxa"/>
            <w:vMerge w:val="restart"/>
            <w:shd w:val="clear" w:color="auto" w:fill="auto"/>
          </w:tcPr>
          <w:p w14:paraId="5A27DFE6" w14:textId="77777777" w:rsidR="00FE546E" w:rsidRPr="00510442" w:rsidRDefault="00FE546E" w:rsidP="003179A4">
            <w:pPr>
              <w:pStyle w:val="Nottoc-headings"/>
              <w:keepLines w:val="0"/>
              <w:spacing w:before="0" w:after="0"/>
              <w:ind w:left="0" w:firstLine="0"/>
              <w:rPr>
                <w:color w:val="000000"/>
                <w:sz w:val="22"/>
                <w:szCs w:val="22"/>
                <w:lang w:val="hr-HR"/>
              </w:rPr>
            </w:pPr>
            <w:r w:rsidRPr="00510442">
              <w:rPr>
                <w:rFonts w:ascii="Times New Roman" w:hAnsi="Times New Roman"/>
                <w:b w:val="0"/>
                <w:color w:val="000000"/>
                <w:sz w:val="22"/>
                <w:szCs w:val="22"/>
                <w:lang w:val="hr-HR"/>
              </w:rPr>
              <w:t>NIH</w:t>
            </w:r>
          </w:p>
        </w:tc>
        <w:tc>
          <w:tcPr>
            <w:tcW w:w="1276" w:type="dxa"/>
            <w:tcBorders>
              <w:bottom w:val="nil"/>
              <w:right w:val="single" w:sz="4" w:space="0" w:color="auto"/>
            </w:tcBorders>
            <w:vAlign w:val="bottom"/>
          </w:tcPr>
          <w:p w14:paraId="46C56E3E" w14:textId="77777777" w:rsidR="00FE546E" w:rsidRPr="00510442" w:rsidRDefault="00FE546E" w:rsidP="003179A4">
            <w:pPr>
              <w:pStyle w:val="Nottoc-headings"/>
              <w:keepLines w:val="0"/>
              <w:spacing w:before="0" w:after="0"/>
              <w:ind w:left="57" w:hanging="57"/>
              <w:rPr>
                <w:rFonts w:ascii="Times New Roman" w:hAnsi="Times New Roman"/>
                <w:b w:val="0"/>
                <w:sz w:val="22"/>
                <w:szCs w:val="22"/>
                <w:lang w:val="hr-HR"/>
              </w:rPr>
            </w:pPr>
            <w:r w:rsidRPr="00510442">
              <w:rPr>
                <w:rFonts w:ascii="Times New Roman" w:hAnsi="Times New Roman"/>
                <w:b w:val="0"/>
                <w:sz w:val="22"/>
                <w:szCs w:val="22"/>
                <w:lang w:val="hr-HR"/>
              </w:rPr>
              <w:t>Niska</w:t>
            </w:r>
          </w:p>
        </w:tc>
        <w:tc>
          <w:tcPr>
            <w:tcW w:w="1134" w:type="dxa"/>
            <w:tcBorders>
              <w:left w:val="single" w:sz="4" w:space="0" w:color="auto"/>
              <w:bottom w:val="nil"/>
              <w:right w:val="single" w:sz="4" w:space="0" w:color="auto"/>
            </w:tcBorders>
            <w:vAlign w:val="bottom"/>
          </w:tcPr>
          <w:p w14:paraId="1F232BC0" w14:textId="77777777" w:rsidR="00FE546E" w:rsidRPr="00510442" w:rsidRDefault="00FE546E" w:rsidP="003179A4">
            <w:pPr>
              <w:pStyle w:val="Nottoc-headings"/>
              <w:keepLines w:val="0"/>
              <w:spacing w:before="0" w:after="0"/>
              <w:ind w:left="57" w:hanging="57"/>
              <w:jc w:val="center"/>
              <w:rPr>
                <w:rFonts w:ascii="Times New Roman" w:hAnsi="Times New Roman"/>
                <w:b w:val="0"/>
                <w:color w:val="000000"/>
                <w:sz w:val="22"/>
                <w:szCs w:val="22"/>
                <w:lang w:val="hr-HR"/>
              </w:rPr>
            </w:pPr>
            <w:r w:rsidRPr="00510442">
              <w:rPr>
                <w:rFonts w:ascii="Times New Roman" w:hAnsi="Times New Roman"/>
                <w:b w:val="0"/>
                <w:color w:val="000000"/>
                <w:sz w:val="22"/>
                <w:szCs w:val="22"/>
                <w:lang w:val="hr-HR"/>
              </w:rPr>
              <w:t>29</w:t>
            </w:r>
            <w:r w:rsidR="00AE2C97" w:rsidRPr="00510442">
              <w:rPr>
                <w:rFonts w:ascii="Times New Roman" w:hAnsi="Times New Roman"/>
                <w:b w:val="0"/>
                <w:color w:val="000000"/>
                <w:sz w:val="22"/>
                <w:szCs w:val="22"/>
                <w:lang w:val="hr-HR"/>
              </w:rPr>
              <w:t>,</w:t>
            </w:r>
            <w:r w:rsidRPr="00510442">
              <w:rPr>
                <w:rFonts w:ascii="Times New Roman" w:hAnsi="Times New Roman"/>
                <w:b w:val="0"/>
                <w:color w:val="000000"/>
                <w:sz w:val="22"/>
                <w:szCs w:val="22"/>
                <w:lang w:val="hr-HR"/>
              </w:rPr>
              <w:t>5</w:t>
            </w:r>
          </w:p>
        </w:tc>
        <w:tc>
          <w:tcPr>
            <w:tcW w:w="1843" w:type="dxa"/>
            <w:tcBorders>
              <w:left w:val="single" w:sz="4" w:space="0" w:color="auto"/>
              <w:bottom w:val="nil"/>
              <w:right w:val="single" w:sz="4" w:space="0" w:color="auto"/>
            </w:tcBorders>
            <w:vAlign w:val="bottom"/>
          </w:tcPr>
          <w:p w14:paraId="23521575" w14:textId="77777777" w:rsidR="00FE546E" w:rsidRPr="00510442" w:rsidRDefault="00FE546E" w:rsidP="003179A4">
            <w:pPr>
              <w:pStyle w:val="Nottoc-headings"/>
              <w:keepLines w:val="0"/>
              <w:spacing w:before="0" w:after="0"/>
              <w:ind w:left="57" w:hanging="57"/>
              <w:rPr>
                <w:rFonts w:ascii="Times New Roman" w:hAnsi="Times New Roman"/>
                <w:b w:val="0"/>
                <w:color w:val="000000"/>
                <w:sz w:val="22"/>
                <w:szCs w:val="22"/>
                <w:lang w:val="hr-HR"/>
              </w:rPr>
            </w:pPr>
            <w:r w:rsidRPr="00510442">
              <w:rPr>
                <w:rFonts w:ascii="Times New Roman" w:hAnsi="Times New Roman"/>
                <w:b w:val="0"/>
                <w:color w:val="000000"/>
                <w:sz w:val="22"/>
                <w:szCs w:val="22"/>
                <w:lang w:val="hr-HR"/>
              </w:rPr>
              <w:t>0/86 vs. 2/90</w:t>
            </w:r>
          </w:p>
        </w:tc>
        <w:tc>
          <w:tcPr>
            <w:tcW w:w="1319" w:type="dxa"/>
            <w:tcBorders>
              <w:left w:val="single" w:sz="4" w:space="0" w:color="auto"/>
              <w:bottom w:val="nil"/>
              <w:right w:val="single" w:sz="4" w:space="0" w:color="auto"/>
            </w:tcBorders>
            <w:vAlign w:val="bottom"/>
          </w:tcPr>
          <w:p w14:paraId="1F0DDF88" w14:textId="77777777" w:rsidR="00FE546E" w:rsidRPr="00510442" w:rsidRDefault="00FE546E" w:rsidP="003179A4">
            <w:pPr>
              <w:pStyle w:val="Nottoc-headings"/>
              <w:keepLines w:val="0"/>
              <w:spacing w:before="0" w:after="0"/>
              <w:ind w:left="57" w:hanging="57"/>
              <w:jc w:val="center"/>
              <w:rPr>
                <w:rFonts w:ascii="Times New Roman" w:hAnsi="Times New Roman"/>
                <w:b w:val="0"/>
                <w:color w:val="000000"/>
                <w:sz w:val="22"/>
                <w:szCs w:val="22"/>
                <w:lang w:val="hr-HR"/>
              </w:rPr>
            </w:pPr>
            <w:r w:rsidRPr="00510442">
              <w:rPr>
                <w:rFonts w:ascii="Times New Roman" w:hAnsi="Times New Roman"/>
                <w:b w:val="0"/>
                <w:color w:val="000000"/>
                <w:sz w:val="22"/>
                <w:szCs w:val="22"/>
                <w:lang w:val="hr-HR"/>
              </w:rPr>
              <w:t>N</w:t>
            </w:r>
            <w:r w:rsidR="00AE2C97" w:rsidRPr="00510442">
              <w:rPr>
                <w:rFonts w:ascii="Times New Roman" w:hAnsi="Times New Roman"/>
                <w:b w:val="0"/>
                <w:color w:val="000000"/>
                <w:sz w:val="22"/>
                <w:szCs w:val="22"/>
                <w:lang w:val="hr-HR"/>
              </w:rPr>
              <w:t>P</w:t>
            </w:r>
          </w:p>
        </w:tc>
        <w:tc>
          <w:tcPr>
            <w:tcW w:w="1440" w:type="dxa"/>
            <w:tcBorders>
              <w:left w:val="single" w:sz="4" w:space="0" w:color="auto"/>
              <w:bottom w:val="nil"/>
              <w:right w:val="single" w:sz="4" w:space="0" w:color="auto"/>
            </w:tcBorders>
            <w:vAlign w:val="bottom"/>
          </w:tcPr>
          <w:p w14:paraId="72451675" w14:textId="77777777" w:rsidR="00FE546E" w:rsidRPr="00510442" w:rsidRDefault="00FE546E" w:rsidP="003179A4">
            <w:pPr>
              <w:pStyle w:val="Nottoc-headings"/>
              <w:keepLines w:val="0"/>
              <w:spacing w:before="0" w:after="0"/>
              <w:ind w:left="57" w:hanging="57"/>
              <w:rPr>
                <w:rFonts w:ascii="Times New Roman" w:hAnsi="Times New Roman"/>
                <w:b w:val="0"/>
                <w:color w:val="000000"/>
                <w:sz w:val="22"/>
                <w:szCs w:val="22"/>
                <w:lang w:val="hr-HR"/>
              </w:rPr>
            </w:pPr>
            <w:r w:rsidRPr="00510442">
              <w:rPr>
                <w:rFonts w:ascii="Times New Roman" w:hAnsi="Times New Roman"/>
                <w:b w:val="0"/>
                <w:color w:val="000000"/>
                <w:sz w:val="22"/>
                <w:szCs w:val="22"/>
                <w:lang w:val="hr-HR"/>
              </w:rPr>
              <w:t>100 vs. 98</w:t>
            </w:r>
            <w:r w:rsidR="00AE2C97" w:rsidRPr="00510442">
              <w:rPr>
                <w:rFonts w:ascii="Times New Roman" w:hAnsi="Times New Roman"/>
                <w:b w:val="0"/>
                <w:color w:val="000000"/>
                <w:sz w:val="22"/>
                <w:szCs w:val="22"/>
                <w:lang w:val="hr-HR"/>
              </w:rPr>
              <w:t>,</w:t>
            </w:r>
            <w:r w:rsidRPr="00510442">
              <w:rPr>
                <w:rFonts w:ascii="Times New Roman" w:hAnsi="Times New Roman"/>
                <w:b w:val="0"/>
                <w:color w:val="000000"/>
                <w:sz w:val="22"/>
                <w:szCs w:val="22"/>
                <w:lang w:val="hr-HR"/>
              </w:rPr>
              <w:t>7</w:t>
            </w:r>
          </w:p>
        </w:tc>
        <w:tc>
          <w:tcPr>
            <w:tcW w:w="1360" w:type="dxa"/>
            <w:tcBorders>
              <w:left w:val="single" w:sz="4" w:space="0" w:color="auto"/>
              <w:bottom w:val="nil"/>
            </w:tcBorders>
            <w:vAlign w:val="bottom"/>
          </w:tcPr>
          <w:p w14:paraId="5F7B6D3B" w14:textId="77777777" w:rsidR="00FE546E" w:rsidRPr="00510442" w:rsidRDefault="00FE546E" w:rsidP="003179A4">
            <w:pPr>
              <w:pStyle w:val="Nottoc-headings"/>
              <w:keepLines w:val="0"/>
              <w:spacing w:before="0" w:after="0"/>
              <w:ind w:left="57" w:hanging="57"/>
              <w:rPr>
                <w:rFonts w:ascii="Times New Roman" w:hAnsi="Times New Roman"/>
                <w:b w:val="0"/>
                <w:color w:val="000000"/>
                <w:sz w:val="22"/>
                <w:szCs w:val="22"/>
                <w:lang w:val="hr-HR"/>
              </w:rPr>
            </w:pPr>
            <w:r w:rsidRPr="00510442">
              <w:rPr>
                <w:rFonts w:ascii="Times New Roman" w:hAnsi="Times New Roman"/>
                <w:b w:val="0"/>
                <w:color w:val="000000"/>
                <w:sz w:val="22"/>
                <w:szCs w:val="22"/>
                <w:lang w:val="hr-HR"/>
              </w:rPr>
              <w:t>100 vs. 95</w:t>
            </w:r>
            <w:r w:rsidR="00AE2C97" w:rsidRPr="00510442">
              <w:rPr>
                <w:rFonts w:ascii="Times New Roman" w:hAnsi="Times New Roman"/>
                <w:b w:val="0"/>
                <w:color w:val="000000"/>
                <w:sz w:val="22"/>
                <w:szCs w:val="22"/>
                <w:lang w:val="hr-HR"/>
              </w:rPr>
              <w:t>,</w:t>
            </w:r>
            <w:r w:rsidRPr="00510442">
              <w:rPr>
                <w:rFonts w:ascii="Times New Roman" w:hAnsi="Times New Roman"/>
                <w:b w:val="0"/>
                <w:color w:val="000000"/>
                <w:sz w:val="22"/>
                <w:szCs w:val="22"/>
                <w:lang w:val="hr-HR"/>
              </w:rPr>
              <w:t>5</w:t>
            </w:r>
          </w:p>
        </w:tc>
      </w:tr>
      <w:tr w:rsidR="00FE546E" w:rsidRPr="00510442" w14:paraId="3C62E737" w14:textId="77777777" w:rsidTr="003179A4">
        <w:trPr>
          <w:cantSplit/>
        </w:trPr>
        <w:tc>
          <w:tcPr>
            <w:tcW w:w="959" w:type="dxa"/>
            <w:vMerge/>
            <w:shd w:val="clear" w:color="auto" w:fill="auto"/>
          </w:tcPr>
          <w:p w14:paraId="14CE2F09" w14:textId="77777777" w:rsidR="00FE546E" w:rsidRPr="00510442" w:rsidRDefault="00FE546E" w:rsidP="003179A4">
            <w:pPr>
              <w:pStyle w:val="Nottoc-headings"/>
              <w:keepLines w:val="0"/>
              <w:spacing w:before="0" w:after="0"/>
              <w:rPr>
                <w:rFonts w:ascii="Times New Roman" w:hAnsi="Times New Roman"/>
                <w:b w:val="0"/>
                <w:color w:val="000000"/>
                <w:sz w:val="22"/>
                <w:szCs w:val="22"/>
                <w:lang w:val="hr-HR"/>
              </w:rPr>
            </w:pPr>
          </w:p>
        </w:tc>
        <w:tc>
          <w:tcPr>
            <w:tcW w:w="1276" w:type="dxa"/>
            <w:tcBorders>
              <w:top w:val="nil"/>
              <w:bottom w:val="nil"/>
              <w:right w:val="single" w:sz="4" w:space="0" w:color="auto"/>
            </w:tcBorders>
            <w:vAlign w:val="bottom"/>
          </w:tcPr>
          <w:p w14:paraId="44EF2A16" w14:textId="77777777" w:rsidR="00FE546E" w:rsidRPr="00510442" w:rsidRDefault="00FE546E" w:rsidP="003179A4">
            <w:pPr>
              <w:pStyle w:val="Table"/>
              <w:keepLines w:val="0"/>
              <w:spacing w:before="0" w:after="0"/>
              <w:rPr>
                <w:rFonts w:ascii="Times New Roman" w:hAnsi="Times New Roman"/>
                <w:sz w:val="22"/>
                <w:szCs w:val="22"/>
                <w:lang w:val="hr-HR"/>
              </w:rPr>
            </w:pPr>
            <w:r w:rsidRPr="00510442">
              <w:rPr>
                <w:rFonts w:ascii="Times New Roman" w:hAnsi="Times New Roman"/>
                <w:sz w:val="22"/>
                <w:szCs w:val="22"/>
                <w:lang w:val="hr-HR"/>
              </w:rPr>
              <w:t>Srednja</w:t>
            </w:r>
          </w:p>
        </w:tc>
        <w:tc>
          <w:tcPr>
            <w:tcW w:w="1134" w:type="dxa"/>
            <w:tcBorders>
              <w:top w:val="nil"/>
              <w:left w:val="single" w:sz="4" w:space="0" w:color="auto"/>
              <w:bottom w:val="nil"/>
              <w:right w:val="single" w:sz="4" w:space="0" w:color="auto"/>
            </w:tcBorders>
            <w:vAlign w:val="bottom"/>
          </w:tcPr>
          <w:p w14:paraId="262E6237" w14:textId="77777777" w:rsidR="00FE546E" w:rsidRPr="00510442" w:rsidRDefault="00FE546E" w:rsidP="003179A4">
            <w:pPr>
              <w:pStyle w:val="Table"/>
              <w:keepLines w:val="0"/>
              <w:spacing w:before="0" w:after="0"/>
              <w:jc w:val="center"/>
              <w:rPr>
                <w:rFonts w:ascii="Times New Roman" w:hAnsi="Times New Roman"/>
                <w:color w:val="000000"/>
                <w:sz w:val="22"/>
                <w:szCs w:val="22"/>
                <w:lang w:val="hr-HR"/>
              </w:rPr>
            </w:pPr>
            <w:r w:rsidRPr="00510442">
              <w:rPr>
                <w:rFonts w:ascii="Times New Roman" w:hAnsi="Times New Roman"/>
                <w:color w:val="000000"/>
                <w:sz w:val="22"/>
                <w:szCs w:val="22"/>
                <w:lang w:val="hr-HR"/>
              </w:rPr>
              <w:t>25</w:t>
            </w:r>
            <w:r w:rsidR="00AE2C97" w:rsidRPr="00510442">
              <w:rPr>
                <w:rFonts w:ascii="Times New Roman" w:hAnsi="Times New Roman"/>
                <w:color w:val="000000"/>
                <w:sz w:val="22"/>
                <w:szCs w:val="22"/>
                <w:lang w:val="hr-HR"/>
              </w:rPr>
              <w:t>,</w:t>
            </w:r>
            <w:r w:rsidRPr="00510442">
              <w:rPr>
                <w:rFonts w:ascii="Times New Roman" w:hAnsi="Times New Roman"/>
                <w:color w:val="000000"/>
                <w:sz w:val="22"/>
                <w:szCs w:val="22"/>
                <w:lang w:val="hr-HR"/>
              </w:rPr>
              <w:t>7</w:t>
            </w:r>
          </w:p>
        </w:tc>
        <w:tc>
          <w:tcPr>
            <w:tcW w:w="1843" w:type="dxa"/>
            <w:tcBorders>
              <w:top w:val="nil"/>
              <w:left w:val="single" w:sz="4" w:space="0" w:color="auto"/>
              <w:bottom w:val="nil"/>
              <w:right w:val="single" w:sz="4" w:space="0" w:color="auto"/>
            </w:tcBorders>
            <w:vAlign w:val="bottom"/>
          </w:tcPr>
          <w:p w14:paraId="5C7A91C0" w14:textId="77777777" w:rsidR="00FE546E" w:rsidRPr="00510442" w:rsidRDefault="00FE546E" w:rsidP="003179A4">
            <w:pPr>
              <w:pStyle w:val="Table"/>
              <w:keepLines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4/75 vs. 6/78</w:t>
            </w:r>
          </w:p>
        </w:tc>
        <w:tc>
          <w:tcPr>
            <w:tcW w:w="1319" w:type="dxa"/>
            <w:tcBorders>
              <w:top w:val="nil"/>
              <w:left w:val="single" w:sz="4" w:space="0" w:color="auto"/>
              <w:bottom w:val="nil"/>
              <w:right w:val="single" w:sz="4" w:space="0" w:color="auto"/>
            </w:tcBorders>
            <w:vAlign w:val="bottom"/>
          </w:tcPr>
          <w:p w14:paraId="65364E4F" w14:textId="77777777" w:rsidR="00FE546E" w:rsidRPr="00510442" w:rsidRDefault="00FE546E" w:rsidP="003179A4">
            <w:pPr>
              <w:pStyle w:val="Table"/>
              <w:keepLines w:val="0"/>
              <w:spacing w:before="0" w:after="0"/>
              <w:jc w:val="center"/>
              <w:rPr>
                <w:rFonts w:ascii="Times New Roman" w:hAnsi="Times New Roman"/>
                <w:color w:val="000000"/>
                <w:sz w:val="22"/>
                <w:szCs w:val="22"/>
                <w:lang w:val="hr-HR"/>
              </w:rPr>
            </w:pPr>
            <w:r w:rsidRPr="00510442">
              <w:rPr>
                <w:rFonts w:ascii="Times New Roman" w:hAnsi="Times New Roman"/>
                <w:color w:val="000000"/>
                <w:sz w:val="22"/>
                <w:szCs w:val="22"/>
                <w:lang w:val="hr-HR"/>
              </w:rPr>
              <w:t>0</w:t>
            </w:r>
            <w:r w:rsidR="00AE2C97" w:rsidRPr="00510442">
              <w:rPr>
                <w:rFonts w:ascii="Times New Roman" w:hAnsi="Times New Roman"/>
                <w:color w:val="000000"/>
                <w:sz w:val="22"/>
                <w:szCs w:val="22"/>
                <w:lang w:val="hr-HR"/>
              </w:rPr>
              <w:t>,</w:t>
            </w:r>
            <w:r w:rsidRPr="00510442">
              <w:rPr>
                <w:rFonts w:ascii="Times New Roman" w:hAnsi="Times New Roman"/>
                <w:color w:val="000000"/>
                <w:sz w:val="22"/>
                <w:szCs w:val="22"/>
                <w:lang w:val="hr-HR"/>
              </w:rPr>
              <w:t>59</w:t>
            </w:r>
            <w:r w:rsidR="00C21C82" w:rsidRPr="00510442">
              <w:rPr>
                <w:rFonts w:ascii="Times New Roman" w:hAnsi="Times New Roman"/>
                <w:color w:val="000000"/>
                <w:sz w:val="22"/>
                <w:szCs w:val="22"/>
                <w:lang w:val="hr-HR"/>
              </w:rPr>
              <w:br/>
            </w:r>
            <w:r w:rsidRPr="00510442">
              <w:rPr>
                <w:rFonts w:ascii="Times New Roman" w:hAnsi="Times New Roman"/>
                <w:color w:val="000000"/>
                <w:sz w:val="22"/>
                <w:szCs w:val="22"/>
                <w:lang w:val="hr-HR"/>
              </w:rPr>
              <w:t>(0</w:t>
            </w:r>
            <w:r w:rsidR="00AE2C97" w:rsidRPr="00510442">
              <w:rPr>
                <w:rFonts w:ascii="Times New Roman" w:hAnsi="Times New Roman"/>
                <w:color w:val="000000"/>
                <w:sz w:val="22"/>
                <w:szCs w:val="22"/>
                <w:lang w:val="hr-HR"/>
              </w:rPr>
              <w:t>,</w:t>
            </w:r>
            <w:r w:rsidRPr="00510442">
              <w:rPr>
                <w:rFonts w:ascii="Times New Roman" w:hAnsi="Times New Roman"/>
                <w:color w:val="000000"/>
                <w:sz w:val="22"/>
                <w:szCs w:val="22"/>
                <w:lang w:val="hr-HR"/>
              </w:rPr>
              <w:t>17; 2</w:t>
            </w:r>
            <w:r w:rsidR="00AE2C97" w:rsidRPr="00510442">
              <w:rPr>
                <w:rFonts w:ascii="Times New Roman" w:hAnsi="Times New Roman"/>
                <w:color w:val="000000"/>
                <w:sz w:val="22"/>
                <w:szCs w:val="22"/>
                <w:lang w:val="hr-HR"/>
              </w:rPr>
              <w:t>,</w:t>
            </w:r>
            <w:r w:rsidRPr="00510442">
              <w:rPr>
                <w:rFonts w:ascii="Times New Roman" w:hAnsi="Times New Roman"/>
                <w:color w:val="000000"/>
                <w:sz w:val="22"/>
                <w:szCs w:val="22"/>
                <w:lang w:val="hr-HR"/>
              </w:rPr>
              <w:t>10)</w:t>
            </w:r>
          </w:p>
        </w:tc>
        <w:tc>
          <w:tcPr>
            <w:tcW w:w="1440" w:type="dxa"/>
            <w:tcBorders>
              <w:top w:val="nil"/>
              <w:left w:val="single" w:sz="4" w:space="0" w:color="auto"/>
              <w:bottom w:val="nil"/>
              <w:right w:val="single" w:sz="4" w:space="0" w:color="auto"/>
            </w:tcBorders>
            <w:vAlign w:val="bottom"/>
          </w:tcPr>
          <w:p w14:paraId="6F672B8D" w14:textId="77777777" w:rsidR="00FE546E" w:rsidRPr="00510442" w:rsidRDefault="00FE546E" w:rsidP="003179A4">
            <w:pPr>
              <w:pStyle w:val="Table"/>
              <w:keepLines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100 vs. 94</w:t>
            </w:r>
            <w:r w:rsidR="00AE2C97" w:rsidRPr="00510442">
              <w:rPr>
                <w:rFonts w:ascii="Times New Roman" w:hAnsi="Times New Roman"/>
                <w:color w:val="000000"/>
                <w:sz w:val="22"/>
                <w:szCs w:val="22"/>
                <w:lang w:val="hr-HR"/>
              </w:rPr>
              <w:t>,</w:t>
            </w:r>
            <w:r w:rsidRPr="00510442">
              <w:rPr>
                <w:rFonts w:ascii="Times New Roman" w:hAnsi="Times New Roman"/>
                <w:color w:val="000000"/>
                <w:sz w:val="22"/>
                <w:szCs w:val="22"/>
                <w:lang w:val="hr-HR"/>
              </w:rPr>
              <w:t>8</w:t>
            </w:r>
          </w:p>
        </w:tc>
        <w:tc>
          <w:tcPr>
            <w:tcW w:w="1360" w:type="dxa"/>
            <w:tcBorders>
              <w:top w:val="nil"/>
              <w:left w:val="single" w:sz="4" w:space="0" w:color="auto"/>
              <w:bottom w:val="nil"/>
            </w:tcBorders>
            <w:vAlign w:val="bottom"/>
          </w:tcPr>
          <w:p w14:paraId="63FEADEA" w14:textId="77777777" w:rsidR="00FE546E" w:rsidRPr="00510442" w:rsidRDefault="00FE546E" w:rsidP="003179A4">
            <w:pPr>
              <w:pStyle w:val="Table"/>
              <w:keepLines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97</w:t>
            </w:r>
            <w:r w:rsidR="00AE2C97" w:rsidRPr="00510442">
              <w:rPr>
                <w:rFonts w:ascii="Times New Roman" w:hAnsi="Times New Roman"/>
                <w:color w:val="000000"/>
                <w:sz w:val="22"/>
                <w:szCs w:val="22"/>
                <w:lang w:val="hr-HR"/>
              </w:rPr>
              <w:t>,</w:t>
            </w:r>
            <w:r w:rsidRPr="00510442">
              <w:rPr>
                <w:rFonts w:ascii="Times New Roman" w:hAnsi="Times New Roman"/>
                <w:color w:val="000000"/>
                <w:sz w:val="22"/>
                <w:szCs w:val="22"/>
                <w:lang w:val="hr-HR"/>
              </w:rPr>
              <w:t>8 vs. 89</w:t>
            </w:r>
            <w:r w:rsidR="00AE2C97" w:rsidRPr="00510442">
              <w:rPr>
                <w:rFonts w:ascii="Times New Roman" w:hAnsi="Times New Roman"/>
                <w:color w:val="000000"/>
                <w:sz w:val="22"/>
                <w:szCs w:val="22"/>
                <w:lang w:val="hr-HR"/>
              </w:rPr>
              <w:t>,</w:t>
            </w:r>
            <w:r w:rsidRPr="00510442">
              <w:rPr>
                <w:rFonts w:ascii="Times New Roman" w:hAnsi="Times New Roman"/>
                <w:color w:val="000000"/>
                <w:sz w:val="22"/>
                <w:szCs w:val="22"/>
                <w:lang w:val="hr-HR"/>
              </w:rPr>
              <w:t>5</w:t>
            </w:r>
          </w:p>
        </w:tc>
      </w:tr>
      <w:tr w:rsidR="00FE546E" w:rsidRPr="00510442" w14:paraId="06229859" w14:textId="77777777" w:rsidTr="003179A4">
        <w:trPr>
          <w:cantSplit/>
        </w:trPr>
        <w:tc>
          <w:tcPr>
            <w:tcW w:w="959" w:type="dxa"/>
            <w:vMerge/>
            <w:shd w:val="clear" w:color="auto" w:fill="auto"/>
          </w:tcPr>
          <w:p w14:paraId="394CF076" w14:textId="77777777" w:rsidR="00FE546E" w:rsidRPr="00510442" w:rsidRDefault="00FE546E" w:rsidP="003179A4">
            <w:pPr>
              <w:pStyle w:val="Table"/>
              <w:keepLines w:val="0"/>
              <w:spacing w:before="0" w:after="0"/>
              <w:rPr>
                <w:rFonts w:ascii="Times New Roman" w:hAnsi="Times New Roman"/>
                <w:color w:val="000000"/>
                <w:sz w:val="22"/>
                <w:szCs w:val="22"/>
                <w:lang w:val="hr-HR"/>
              </w:rPr>
            </w:pPr>
          </w:p>
        </w:tc>
        <w:tc>
          <w:tcPr>
            <w:tcW w:w="1276" w:type="dxa"/>
            <w:tcBorders>
              <w:top w:val="nil"/>
              <w:right w:val="single" w:sz="4" w:space="0" w:color="auto"/>
            </w:tcBorders>
            <w:vAlign w:val="bottom"/>
          </w:tcPr>
          <w:p w14:paraId="57B1C3A5" w14:textId="77777777" w:rsidR="00FE546E" w:rsidRPr="00510442" w:rsidRDefault="00FE546E" w:rsidP="003179A4">
            <w:pPr>
              <w:pStyle w:val="Table"/>
              <w:keepLines w:val="0"/>
              <w:spacing w:before="0" w:after="0"/>
              <w:rPr>
                <w:rFonts w:ascii="Times New Roman" w:hAnsi="Times New Roman"/>
                <w:sz w:val="22"/>
                <w:szCs w:val="22"/>
                <w:lang w:val="hr-HR"/>
              </w:rPr>
            </w:pPr>
            <w:r w:rsidRPr="00510442">
              <w:rPr>
                <w:rFonts w:ascii="Times New Roman" w:hAnsi="Times New Roman"/>
                <w:sz w:val="22"/>
                <w:szCs w:val="22"/>
                <w:lang w:val="hr-HR"/>
              </w:rPr>
              <w:t>Visoka</w:t>
            </w:r>
          </w:p>
        </w:tc>
        <w:tc>
          <w:tcPr>
            <w:tcW w:w="1134" w:type="dxa"/>
            <w:tcBorders>
              <w:top w:val="nil"/>
              <w:left w:val="single" w:sz="4" w:space="0" w:color="auto"/>
              <w:right w:val="single" w:sz="4" w:space="0" w:color="auto"/>
            </w:tcBorders>
            <w:vAlign w:val="bottom"/>
          </w:tcPr>
          <w:p w14:paraId="59AB768B" w14:textId="77777777" w:rsidR="00FE546E" w:rsidRPr="00510442" w:rsidRDefault="00FE546E" w:rsidP="003179A4">
            <w:pPr>
              <w:pStyle w:val="Table"/>
              <w:keepLines w:val="0"/>
              <w:spacing w:before="0" w:after="0"/>
              <w:jc w:val="center"/>
              <w:rPr>
                <w:rFonts w:ascii="Times New Roman" w:hAnsi="Times New Roman"/>
                <w:color w:val="000000"/>
                <w:sz w:val="22"/>
                <w:szCs w:val="22"/>
                <w:lang w:val="hr-HR"/>
              </w:rPr>
            </w:pPr>
            <w:r w:rsidRPr="00510442">
              <w:rPr>
                <w:rFonts w:ascii="Times New Roman" w:hAnsi="Times New Roman"/>
                <w:color w:val="000000"/>
                <w:sz w:val="22"/>
                <w:szCs w:val="22"/>
                <w:lang w:val="hr-HR"/>
              </w:rPr>
              <w:t>44</w:t>
            </w:r>
            <w:r w:rsidR="00AE2C97" w:rsidRPr="00510442">
              <w:rPr>
                <w:rFonts w:ascii="Times New Roman" w:hAnsi="Times New Roman"/>
                <w:color w:val="000000"/>
                <w:sz w:val="22"/>
                <w:szCs w:val="22"/>
                <w:lang w:val="hr-HR"/>
              </w:rPr>
              <w:t>,</w:t>
            </w:r>
            <w:r w:rsidRPr="00510442">
              <w:rPr>
                <w:rFonts w:ascii="Times New Roman" w:hAnsi="Times New Roman"/>
                <w:color w:val="000000"/>
                <w:sz w:val="22"/>
                <w:szCs w:val="22"/>
                <w:lang w:val="hr-HR"/>
              </w:rPr>
              <w:t>8</w:t>
            </w:r>
          </w:p>
        </w:tc>
        <w:tc>
          <w:tcPr>
            <w:tcW w:w="1843" w:type="dxa"/>
            <w:tcBorders>
              <w:top w:val="nil"/>
              <w:left w:val="single" w:sz="4" w:space="0" w:color="auto"/>
              <w:right w:val="single" w:sz="4" w:space="0" w:color="auto"/>
            </w:tcBorders>
            <w:vAlign w:val="bottom"/>
          </w:tcPr>
          <w:p w14:paraId="21EF9807" w14:textId="77777777" w:rsidR="00FE546E" w:rsidRPr="00510442" w:rsidRDefault="00FE546E" w:rsidP="003179A4">
            <w:pPr>
              <w:pStyle w:val="Table"/>
              <w:keepLines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21/140 vs. 51/127</w:t>
            </w:r>
          </w:p>
        </w:tc>
        <w:tc>
          <w:tcPr>
            <w:tcW w:w="1319" w:type="dxa"/>
            <w:tcBorders>
              <w:top w:val="nil"/>
              <w:left w:val="single" w:sz="4" w:space="0" w:color="auto"/>
              <w:right w:val="single" w:sz="4" w:space="0" w:color="auto"/>
            </w:tcBorders>
            <w:vAlign w:val="bottom"/>
          </w:tcPr>
          <w:p w14:paraId="7FA7FCBC" w14:textId="77777777" w:rsidR="00FE546E" w:rsidRPr="00510442" w:rsidRDefault="00FE546E" w:rsidP="003179A4">
            <w:pPr>
              <w:pStyle w:val="Table"/>
              <w:keepLines w:val="0"/>
              <w:spacing w:before="0" w:after="0"/>
              <w:jc w:val="center"/>
              <w:rPr>
                <w:rFonts w:ascii="Times New Roman" w:hAnsi="Times New Roman"/>
                <w:color w:val="000000"/>
                <w:sz w:val="22"/>
                <w:szCs w:val="22"/>
                <w:lang w:val="hr-HR"/>
              </w:rPr>
            </w:pPr>
            <w:r w:rsidRPr="00510442">
              <w:rPr>
                <w:rFonts w:ascii="Times New Roman" w:hAnsi="Times New Roman"/>
                <w:color w:val="000000"/>
                <w:sz w:val="22"/>
                <w:szCs w:val="22"/>
                <w:lang w:val="hr-HR"/>
              </w:rPr>
              <w:t>0</w:t>
            </w:r>
            <w:r w:rsidR="00AE2C97" w:rsidRPr="00510442">
              <w:rPr>
                <w:rFonts w:ascii="Times New Roman" w:hAnsi="Times New Roman"/>
                <w:color w:val="000000"/>
                <w:sz w:val="22"/>
                <w:szCs w:val="22"/>
                <w:lang w:val="hr-HR"/>
              </w:rPr>
              <w:t>,</w:t>
            </w:r>
            <w:r w:rsidRPr="00510442">
              <w:rPr>
                <w:rFonts w:ascii="Times New Roman" w:hAnsi="Times New Roman"/>
                <w:color w:val="000000"/>
                <w:sz w:val="22"/>
                <w:szCs w:val="22"/>
                <w:lang w:val="hr-HR"/>
              </w:rPr>
              <w:t>29</w:t>
            </w:r>
            <w:r w:rsidR="00C21C82" w:rsidRPr="00510442">
              <w:rPr>
                <w:rFonts w:ascii="Times New Roman" w:hAnsi="Times New Roman"/>
                <w:color w:val="000000"/>
                <w:sz w:val="22"/>
                <w:szCs w:val="22"/>
                <w:lang w:val="hr-HR"/>
              </w:rPr>
              <w:br/>
            </w:r>
            <w:r w:rsidRPr="00510442">
              <w:rPr>
                <w:rFonts w:ascii="Times New Roman" w:hAnsi="Times New Roman"/>
                <w:color w:val="000000"/>
                <w:sz w:val="22"/>
                <w:szCs w:val="22"/>
                <w:lang w:val="hr-HR"/>
              </w:rPr>
              <w:t>(0</w:t>
            </w:r>
            <w:r w:rsidR="00AE2C97" w:rsidRPr="00510442">
              <w:rPr>
                <w:rFonts w:ascii="Times New Roman" w:hAnsi="Times New Roman"/>
                <w:color w:val="000000"/>
                <w:sz w:val="22"/>
                <w:szCs w:val="22"/>
                <w:lang w:val="hr-HR"/>
              </w:rPr>
              <w:t>,</w:t>
            </w:r>
            <w:r w:rsidRPr="00510442">
              <w:rPr>
                <w:rFonts w:ascii="Times New Roman" w:hAnsi="Times New Roman"/>
                <w:color w:val="000000"/>
                <w:sz w:val="22"/>
                <w:szCs w:val="22"/>
                <w:lang w:val="hr-HR"/>
              </w:rPr>
              <w:t>18; 0</w:t>
            </w:r>
            <w:r w:rsidR="00AE2C97" w:rsidRPr="00510442">
              <w:rPr>
                <w:rFonts w:ascii="Times New Roman" w:hAnsi="Times New Roman"/>
                <w:color w:val="000000"/>
                <w:sz w:val="22"/>
                <w:szCs w:val="22"/>
                <w:lang w:val="hr-HR"/>
              </w:rPr>
              <w:t>,</w:t>
            </w:r>
            <w:r w:rsidRPr="00510442">
              <w:rPr>
                <w:rFonts w:ascii="Times New Roman" w:hAnsi="Times New Roman"/>
                <w:color w:val="000000"/>
                <w:sz w:val="22"/>
                <w:szCs w:val="22"/>
                <w:lang w:val="hr-HR"/>
              </w:rPr>
              <w:t>49)</w:t>
            </w:r>
          </w:p>
        </w:tc>
        <w:tc>
          <w:tcPr>
            <w:tcW w:w="1440" w:type="dxa"/>
            <w:tcBorders>
              <w:top w:val="nil"/>
              <w:left w:val="single" w:sz="4" w:space="0" w:color="auto"/>
              <w:right w:val="single" w:sz="4" w:space="0" w:color="auto"/>
            </w:tcBorders>
            <w:vAlign w:val="bottom"/>
          </w:tcPr>
          <w:p w14:paraId="6A97C157" w14:textId="77777777" w:rsidR="00FE546E" w:rsidRPr="00510442" w:rsidRDefault="00FE546E" w:rsidP="003179A4">
            <w:pPr>
              <w:pStyle w:val="Table"/>
              <w:keepLines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94</w:t>
            </w:r>
            <w:r w:rsidR="00AE2C97" w:rsidRPr="00510442">
              <w:rPr>
                <w:rFonts w:ascii="Times New Roman" w:hAnsi="Times New Roman"/>
                <w:color w:val="000000"/>
                <w:sz w:val="22"/>
                <w:szCs w:val="22"/>
                <w:lang w:val="hr-HR"/>
              </w:rPr>
              <w:t>,</w:t>
            </w:r>
            <w:r w:rsidRPr="00510442">
              <w:rPr>
                <w:rFonts w:ascii="Times New Roman" w:hAnsi="Times New Roman"/>
                <w:color w:val="000000"/>
                <w:sz w:val="22"/>
                <w:szCs w:val="22"/>
                <w:lang w:val="hr-HR"/>
              </w:rPr>
              <w:t>8 vs. 64</w:t>
            </w:r>
            <w:r w:rsidR="00AE2C97" w:rsidRPr="00510442">
              <w:rPr>
                <w:rFonts w:ascii="Times New Roman" w:hAnsi="Times New Roman"/>
                <w:color w:val="000000"/>
                <w:sz w:val="22"/>
                <w:szCs w:val="22"/>
                <w:lang w:val="hr-HR"/>
              </w:rPr>
              <w:t>,</w:t>
            </w:r>
            <w:r w:rsidRPr="00510442">
              <w:rPr>
                <w:rFonts w:ascii="Times New Roman" w:hAnsi="Times New Roman"/>
                <w:color w:val="000000"/>
                <w:sz w:val="22"/>
                <w:szCs w:val="22"/>
                <w:lang w:val="hr-HR"/>
              </w:rPr>
              <w:t>0</w:t>
            </w:r>
          </w:p>
        </w:tc>
        <w:tc>
          <w:tcPr>
            <w:tcW w:w="1360" w:type="dxa"/>
            <w:tcBorders>
              <w:top w:val="nil"/>
              <w:left w:val="single" w:sz="4" w:space="0" w:color="auto"/>
            </w:tcBorders>
            <w:vAlign w:val="bottom"/>
          </w:tcPr>
          <w:p w14:paraId="5AE108FC" w14:textId="77777777" w:rsidR="00FE546E" w:rsidRPr="00510442" w:rsidRDefault="00FE546E" w:rsidP="003179A4">
            <w:pPr>
              <w:pStyle w:val="Table"/>
              <w:keepLines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80</w:t>
            </w:r>
            <w:r w:rsidR="00AE2C97" w:rsidRPr="00510442">
              <w:rPr>
                <w:rFonts w:ascii="Times New Roman" w:hAnsi="Times New Roman"/>
                <w:color w:val="000000"/>
                <w:sz w:val="22"/>
                <w:szCs w:val="22"/>
                <w:lang w:val="hr-HR"/>
              </w:rPr>
              <w:t>,</w:t>
            </w:r>
            <w:r w:rsidRPr="00510442">
              <w:rPr>
                <w:rFonts w:ascii="Times New Roman" w:hAnsi="Times New Roman"/>
                <w:color w:val="000000"/>
                <w:sz w:val="22"/>
                <w:szCs w:val="22"/>
                <w:lang w:val="hr-HR"/>
              </w:rPr>
              <w:t>7 vs. 46</w:t>
            </w:r>
            <w:r w:rsidR="00AE2C97" w:rsidRPr="00510442">
              <w:rPr>
                <w:rFonts w:ascii="Times New Roman" w:hAnsi="Times New Roman"/>
                <w:color w:val="000000"/>
                <w:sz w:val="22"/>
                <w:szCs w:val="22"/>
                <w:lang w:val="hr-HR"/>
              </w:rPr>
              <w:t>,</w:t>
            </w:r>
            <w:r w:rsidRPr="00510442">
              <w:rPr>
                <w:rFonts w:ascii="Times New Roman" w:hAnsi="Times New Roman"/>
                <w:color w:val="000000"/>
                <w:sz w:val="22"/>
                <w:szCs w:val="22"/>
                <w:lang w:val="hr-HR"/>
              </w:rPr>
              <w:t>6</w:t>
            </w:r>
          </w:p>
        </w:tc>
      </w:tr>
      <w:tr w:rsidR="00FE546E" w:rsidRPr="00510442" w14:paraId="6B52D059" w14:textId="77777777" w:rsidTr="003179A4">
        <w:trPr>
          <w:cantSplit/>
        </w:trPr>
        <w:tc>
          <w:tcPr>
            <w:tcW w:w="959" w:type="dxa"/>
            <w:vMerge w:val="restart"/>
            <w:shd w:val="clear" w:color="auto" w:fill="auto"/>
          </w:tcPr>
          <w:p w14:paraId="783B37EA" w14:textId="77777777" w:rsidR="00FE546E" w:rsidRPr="00510442" w:rsidRDefault="00FE546E" w:rsidP="003179A4">
            <w:pPr>
              <w:pStyle w:val="Table"/>
              <w:keepLines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AFIP</w:t>
            </w:r>
          </w:p>
        </w:tc>
        <w:tc>
          <w:tcPr>
            <w:tcW w:w="1276" w:type="dxa"/>
            <w:tcBorders>
              <w:bottom w:val="nil"/>
              <w:right w:val="single" w:sz="4" w:space="0" w:color="auto"/>
            </w:tcBorders>
            <w:vAlign w:val="bottom"/>
          </w:tcPr>
          <w:p w14:paraId="12DD04F2" w14:textId="77777777" w:rsidR="00FE546E" w:rsidRPr="00510442" w:rsidRDefault="00FE546E" w:rsidP="003179A4">
            <w:pPr>
              <w:pStyle w:val="Table"/>
              <w:keepLines w:val="0"/>
              <w:spacing w:before="0" w:after="0"/>
              <w:rPr>
                <w:rFonts w:ascii="Times New Roman" w:hAnsi="Times New Roman"/>
                <w:sz w:val="22"/>
                <w:szCs w:val="22"/>
                <w:lang w:val="hr-HR"/>
              </w:rPr>
            </w:pPr>
            <w:r w:rsidRPr="00510442">
              <w:rPr>
                <w:rFonts w:ascii="Times New Roman" w:hAnsi="Times New Roman"/>
                <w:sz w:val="22"/>
                <w:szCs w:val="22"/>
                <w:lang w:val="hr-HR"/>
              </w:rPr>
              <w:t>Vrlo niska</w:t>
            </w:r>
          </w:p>
        </w:tc>
        <w:tc>
          <w:tcPr>
            <w:tcW w:w="1134" w:type="dxa"/>
            <w:tcBorders>
              <w:left w:val="single" w:sz="4" w:space="0" w:color="auto"/>
              <w:bottom w:val="nil"/>
              <w:right w:val="single" w:sz="4" w:space="0" w:color="auto"/>
            </w:tcBorders>
            <w:vAlign w:val="bottom"/>
          </w:tcPr>
          <w:p w14:paraId="441371FC" w14:textId="77777777" w:rsidR="00FE546E" w:rsidRPr="00510442" w:rsidRDefault="00FE546E" w:rsidP="003179A4">
            <w:pPr>
              <w:pStyle w:val="Table"/>
              <w:keepLines w:val="0"/>
              <w:spacing w:before="0" w:after="0"/>
              <w:jc w:val="center"/>
              <w:rPr>
                <w:rFonts w:ascii="Times New Roman" w:hAnsi="Times New Roman"/>
                <w:color w:val="000000"/>
                <w:sz w:val="22"/>
                <w:szCs w:val="22"/>
                <w:lang w:val="hr-HR"/>
              </w:rPr>
            </w:pPr>
            <w:r w:rsidRPr="00510442">
              <w:rPr>
                <w:rFonts w:ascii="Times New Roman" w:hAnsi="Times New Roman"/>
                <w:color w:val="000000"/>
                <w:sz w:val="22"/>
                <w:szCs w:val="22"/>
                <w:lang w:val="hr-HR"/>
              </w:rPr>
              <w:t>20</w:t>
            </w:r>
            <w:r w:rsidR="00AE2C97" w:rsidRPr="00510442">
              <w:rPr>
                <w:rFonts w:ascii="Times New Roman" w:hAnsi="Times New Roman"/>
                <w:color w:val="000000"/>
                <w:sz w:val="22"/>
                <w:szCs w:val="22"/>
                <w:lang w:val="hr-HR"/>
              </w:rPr>
              <w:t>,</w:t>
            </w:r>
            <w:r w:rsidRPr="00510442">
              <w:rPr>
                <w:rFonts w:ascii="Times New Roman" w:hAnsi="Times New Roman"/>
                <w:color w:val="000000"/>
                <w:sz w:val="22"/>
                <w:szCs w:val="22"/>
                <w:lang w:val="hr-HR"/>
              </w:rPr>
              <w:t>7</w:t>
            </w:r>
          </w:p>
        </w:tc>
        <w:tc>
          <w:tcPr>
            <w:tcW w:w="1843" w:type="dxa"/>
            <w:tcBorders>
              <w:left w:val="single" w:sz="4" w:space="0" w:color="auto"/>
              <w:bottom w:val="nil"/>
              <w:right w:val="single" w:sz="4" w:space="0" w:color="auto"/>
            </w:tcBorders>
            <w:vAlign w:val="bottom"/>
          </w:tcPr>
          <w:p w14:paraId="3908A19F" w14:textId="77777777" w:rsidR="00FE546E" w:rsidRPr="00510442" w:rsidRDefault="00FE546E" w:rsidP="003179A4">
            <w:pPr>
              <w:pStyle w:val="Table"/>
              <w:keepLines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0/52 vs. 2/63</w:t>
            </w:r>
          </w:p>
        </w:tc>
        <w:tc>
          <w:tcPr>
            <w:tcW w:w="1319" w:type="dxa"/>
            <w:tcBorders>
              <w:left w:val="single" w:sz="4" w:space="0" w:color="auto"/>
              <w:bottom w:val="nil"/>
              <w:right w:val="single" w:sz="4" w:space="0" w:color="auto"/>
            </w:tcBorders>
            <w:vAlign w:val="bottom"/>
          </w:tcPr>
          <w:p w14:paraId="1B2D18C5" w14:textId="77777777" w:rsidR="00FE546E" w:rsidRPr="00510442" w:rsidRDefault="00AE2C97" w:rsidP="003179A4">
            <w:pPr>
              <w:pStyle w:val="Table"/>
              <w:keepLines w:val="0"/>
              <w:spacing w:before="0" w:after="0"/>
              <w:jc w:val="center"/>
              <w:rPr>
                <w:rFonts w:ascii="Times New Roman" w:hAnsi="Times New Roman"/>
                <w:color w:val="000000"/>
                <w:sz w:val="22"/>
                <w:szCs w:val="22"/>
                <w:lang w:val="hr-HR"/>
              </w:rPr>
            </w:pPr>
            <w:r w:rsidRPr="00510442">
              <w:rPr>
                <w:rFonts w:ascii="Times New Roman" w:hAnsi="Times New Roman"/>
                <w:color w:val="000000"/>
                <w:sz w:val="22"/>
                <w:szCs w:val="22"/>
                <w:lang w:val="hr-HR"/>
              </w:rPr>
              <w:t>NP</w:t>
            </w:r>
          </w:p>
        </w:tc>
        <w:tc>
          <w:tcPr>
            <w:tcW w:w="1440" w:type="dxa"/>
            <w:tcBorders>
              <w:left w:val="single" w:sz="4" w:space="0" w:color="auto"/>
              <w:bottom w:val="nil"/>
              <w:right w:val="single" w:sz="4" w:space="0" w:color="auto"/>
            </w:tcBorders>
            <w:vAlign w:val="bottom"/>
          </w:tcPr>
          <w:p w14:paraId="2C1C0666" w14:textId="77777777" w:rsidR="00FE546E" w:rsidRPr="00510442" w:rsidRDefault="00FE546E" w:rsidP="003179A4">
            <w:pPr>
              <w:pStyle w:val="Table"/>
              <w:keepLines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100 vs. 98</w:t>
            </w:r>
            <w:r w:rsidR="00AE2C97" w:rsidRPr="00510442">
              <w:rPr>
                <w:rFonts w:ascii="Times New Roman" w:hAnsi="Times New Roman"/>
                <w:color w:val="000000"/>
                <w:sz w:val="22"/>
                <w:szCs w:val="22"/>
                <w:lang w:val="hr-HR"/>
              </w:rPr>
              <w:t>,</w:t>
            </w:r>
            <w:r w:rsidRPr="00510442">
              <w:rPr>
                <w:rFonts w:ascii="Times New Roman" w:hAnsi="Times New Roman"/>
                <w:color w:val="000000"/>
                <w:sz w:val="22"/>
                <w:szCs w:val="22"/>
                <w:lang w:val="hr-HR"/>
              </w:rPr>
              <w:t>1</w:t>
            </w:r>
          </w:p>
        </w:tc>
        <w:tc>
          <w:tcPr>
            <w:tcW w:w="1360" w:type="dxa"/>
            <w:tcBorders>
              <w:left w:val="single" w:sz="4" w:space="0" w:color="auto"/>
              <w:bottom w:val="nil"/>
            </w:tcBorders>
            <w:vAlign w:val="bottom"/>
          </w:tcPr>
          <w:p w14:paraId="4A2E3FCF" w14:textId="77777777" w:rsidR="00FE546E" w:rsidRPr="00510442" w:rsidRDefault="00FE546E" w:rsidP="003179A4">
            <w:pPr>
              <w:pStyle w:val="Table"/>
              <w:keepLines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100 vs. 93</w:t>
            </w:r>
            <w:r w:rsidR="00AE2C97" w:rsidRPr="00510442">
              <w:rPr>
                <w:rFonts w:ascii="Times New Roman" w:hAnsi="Times New Roman"/>
                <w:color w:val="000000"/>
                <w:sz w:val="22"/>
                <w:szCs w:val="22"/>
                <w:lang w:val="hr-HR"/>
              </w:rPr>
              <w:t>,</w:t>
            </w:r>
            <w:r w:rsidRPr="00510442">
              <w:rPr>
                <w:rFonts w:ascii="Times New Roman" w:hAnsi="Times New Roman"/>
                <w:color w:val="000000"/>
                <w:sz w:val="22"/>
                <w:szCs w:val="22"/>
                <w:lang w:val="hr-HR"/>
              </w:rPr>
              <w:t>0</w:t>
            </w:r>
          </w:p>
        </w:tc>
      </w:tr>
      <w:tr w:rsidR="00FE546E" w:rsidRPr="00510442" w14:paraId="17FF8033" w14:textId="77777777" w:rsidTr="003179A4">
        <w:trPr>
          <w:cantSplit/>
        </w:trPr>
        <w:tc>
          <w:tcPr>
            <w:tcW w:w="959" w:type="dxa"/>
            <w:vMerge/>
            <w:shd w:val="clear" w:color="auto" w:fill="auto"/>
          </w:tcPr>
          <w:p w14:paraId="630FD29A" w14:textId="77777777" w:rsidR="00FE546E" w:rsidRPr="00510442" w:rsidRDefault="00FE546E" w:rsidP="003179A4">
            <w:pPr>
              <w:pStyle w:val="Table"/>
              <w:keepLines w:val="0"/>
              <w:spacing w:before="0" w:after="0"/>
              <w:rPr>
                <w:rFonts w:ascii="Times New Roman" w:hAnsi="Times New Roman"/>
                <w:color w:val="000000"/>
                <w:sz w:val="22"/>
                <w:szCs w:val="22"/>
                <w:lang w:val="hr-HR"/>
              </w:rPr>
            </w:pPr>
          </w:p>
        </w:tc>
        <w:tc>
          <w:tcPr>
            <w:tcW w:w="1276" w:type="dxa"/>
            <w:tcBorders>
              <w:top w:val="nil"/>
              <w:bottom w:val="nil"/>
              <w:right w:val="single" w:sz="4" w:space="0" w:color="auto"/>
            </w:tcBorders>
            <w:vAlign w:val="bottom"/>
          </w:tcPr>
          <w:p w14:paraId="710F49EA" w14:textId="77777777" w:rsidR="00FE546E" w:rsidRPr="00510442" w:rsidRDefault="00FE546E" w:rsidP="003179A4">
            <w:pPr>
              <w:pStyle w:val="Table"/>
              <w:keepLines w:val="0"/>
              <w:spacing w:before="0" w:after="0"/>
              <w:rPr>
                <w:rFonts w:ascii="Times New Roman" w:hAnsi="Times New Roman"/>
                <w:sz w:val="22"/>
                <w:szCs w:val="22"/>
                <w:lang w:val="hr-HR"/>
              </w:rPr>
            </w:pPr>
            <w:r w:rsidRPr="00510442">
              <w:rPr>
                <w:rFonts w:ascii="Times New Roman" w:hAnsi="Times New Roman"/>
                <w:sz w:val="22"/>
                <w:szCs w:val="22"/>
                <w:lang w:val="hr-HR"/>
              </w:rPr>
              <w:t>Niska</w:t>
            </w:r>
          </w:p>
        </w:tc>
        <w:tc>
          <w:tcPr>
            <w:tcW w:w="1134" w:type="dxa"/>
            <w:tcBorders>
              <w:top w:val="nil"/>
              <w:left w:val="single" w:sz="4" w:space="0" w:color="auto"/>
              <w:bottom w:val="nil"/>
              <w:right w:val="single" w:sz="4" w:space="0" w:color="auto"/>
            </w:tcBorders>
            <w:vAlign w:val="bottom"/>
          </w:tcPr>
          <w:p w14:paraId="72938C64" w14:textId="77777777" w:rsidR="00FE546E" w:rsidRPr="00510442" w:rsidRDefault="00FE546E" w:rsidP="003179A4">
            <w:pPr>
              <w:pStyle w:val="Table"/>
              <w:keepLines w:val="0"/>
              <w:spacing w:before="0" w:after="0"/>
              <w:jc w:val="center"/>
              <w:rPr>
                <w:rFonts w:ascii="Times New Roman" w:hAnsi="Times New Roman"/>
                <w:color w:val="000000"/>
                <w:sz w:val="22"/>
                <w:szCs w:val="22"/>
                <w:lang w:val="hr-HR"/>
              </w:rPr>
            </w:pPr>
            <w:r w:rsidRPr="00510442">
              <w:rPr>
                <w:rFonts w:ascii="Times New Roman" w:hAnsi="Times New Roman"/>
                <w:color w:val="000000"/>
                <w:sz w:val="22"/>
                <w:szCs w:val="22"/>
                <w:lang w:val="hr-HR"/>
              </w:rPr>
              <w:t>25</w:t>
            </w:r>
            <w:r w:rsidR="00AE2C97" w:rsidRPr="00510442">
              <w:rPr>
                <w:rFonts w:ascii="Times New Roman" w:hAnsi="Times New Roman"/>
                <w:color w:val="000000"/>
                <w:sz w:val="22"/>
                <w:szCs w:val="22"/>
                <w:lang w:val="hr-HR"/>
              </w:rPr>
              <w:t>,</w:t>
            </w:r>
            <w:r w:rsidRPr="00510442">
              <w:rPr>
                <w:rFonts w:ascii="Times New Roman" w:hAnsi="Times New Roman"/>
                <w:color w:val="000000"/>
                <w:sz w:val="22"/>
                <w:szCs w:val="22"/>
                <w:lang w:val="hr-HR"/>
              </w:rPr>
              <w:t>0</w:t>
            </w:r>
          </w:p>
        </w:tc>
        <w:tc>
          <w:tcPr>
            <w:tcW w:w="1843" w:type="dxa"/>
            <w:tcBorders>
              <w:top w:val="nil"/>
              <w:left w:val="single" w:sz="4" w:space="0" w:color="auto"/>
              <w:bottom w:val="nil"/>
              <w:right w:val="single" w:sz="4" w:space="0" w:color="auto"/>
            </w:tcBorders>
            <w:vAlign w:val="bottom"/>
          </w:tcPr>
          <w:p w14:paraId="217DD83C" w14:textId="77777777" w:rsidR="00FE546E" w:rsidRPr="00510442" w:rsidRDefault="00FE546E" w:rsidP="003179A4">
            <w:pPr>
              <w:pStyle w:val="Table"/>
              <w:keepLines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2/70 vs. 0/69</w:t>
            </w:r>
          </w:p>
        </w:tc>
        <w:tc>
          <w:tcPr>
            <w:tcW w:w="1319" w:type="dxa"/>
            <w:tcBorders>
              <w:top w:val="nil"/>
              <w:left w:val="single" w:sz="4" w:space="0" w:color="auto"/>
              <w:bottom w:val="nil"/>
              <w:right w:val="single" w:sz="4" w:space="0" w:color="auto"/>
            </w:tcBorders>
            <w:vAlign w:val="bottom"/>
          </w:tcPr>
          <w:p w14:paraId="73DD2BAB" w14:textId="77777777" w:rsidR="00FE546E" w:rsidRPr="00510442" w:rsidRDefault="00AE2C97" w:rsidP="003179A4">
            <w:pPr>
              <w:pStyle w:val="Table"/>
              <w:keepLines w:val="0"/>
              <w:spacing w:before="0" w:after="0"/>
              <w:jc w:val="center"/>
              <w:rPr>
                <w:rFonts w:ascii="Times New Roman" w:hAnsi="Times New Roman"/>
                <w:color w:val="000000"/>
                <w:sz w:val="22"/>
                <w:szCs w:val="22"/>
                <w:lang w:val="hr-HR"/>
              </w:rPr>
            </w:pPr>
            <w:r w:rsidRPr="00510442">
              <w:rPr>
                <w:rFonts w:ascii="Times New Roman" w:hAnsi="Times New Roman"/>
                <w:color w:val="000000"/>
                <w:sz w:val="22"/>
                <w:szCs w:val="22"/>
                <w:lang w:val="hr-HR"/>
              </w:rPr>
              <w:t>NP</w:t>
            </w:r>
          </w:p>
        </w:tc>
        <w:tc>
          <w:tcPr>
            <w:tcW w:w="1440" w:type="dxa"/>
            <w:tcBorders>
              <w:top w:val="nil"/>
              <w:left w:val="single" w:sz="4" w:space="0" w:color="auto"/>
              <w:bottom w:val="nil"/>
              <w:right w:val="single" w:sz="4" w:space="0" w:color="auto"/>
            </w:tcBorders>
            <w:vAlign w:val="bottom"/>
          </w:tcPr>
          <w:p w14:paraId="06E12FF8" w14:textId="77777777" w:rsidR="00FE546E" w:rsidRPr="00510442" w:rsidRDefault="00FE546E" w:rsidP="003179A4">
            <w:pPr>
              <w:pStyle w:val="Table"/>
              <w:keepLines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100 vs. 100</w:t>
            </w:r>
          </w:p>
        </w:tc>
        <w:tc>
          <w:tcPr>
            <w:tcW w:w="1360" w:type="dxa"/>
            <w:tcBorders>
              <w:top w:val="nil"/>
              <w:left w:val="single" w:sz="4" w:space="0" w:color="auto"/>
              <w:bottom w:val="nil"/>
            </w:tcBorders>
            <w:vAlign w:val="bottom"/>
          </w:tcPr>
          <w:p w14:paraId="07F9DF7D" w14:textId="77777777" w:rsidR="00FE546E" w:rsidRPr="00510442" w:rsidRDefault="00FE546E" w:rsidP="003179A4">
            <w:pPr>
              <w:pStyle w:val="Table"/>
              <w:keepLines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97</w:t>
            </w:r>
            <w:r w:rsidR="00AE2C97" w:rsidRPr="00510442">
              <w:rPr>
                <w:rFonts w:ascii="Times New Roman" w:hAnsi="Times New Roman"/>
                <w:color w:val="000000"/>
                <w:sz w:val="22"/>
                <w:szCs w:val="22"/>
                <w:lang w:val="hr-HR"/>
              </w:rPr>
              <w:t>,</w:t>
            </w:r>
            <w:r w:rsidRPr="00510442">
              <w:rPr>
                <w:rFonts w:ascii="Times New Roman" w:hAnsi="Times New Roman"/>
                <w:color w:val="000000"/>
                <w:sz w:val="22"/>
                <w:szCs w:val="22"/>
                <w:lang w:val="hr-HR"/>
              </w:rPr>
              <w:t>8 vs. 100</w:t>
            </w:r>
          </w:p>
        </w:tc>
      </w:tr>
      <w:tr w:rsidR="00FE546E" w:rsidRPr="00510442" w14:paraId="56A436F0" w14:textId="77777777" w:rsidTr="003179A4">
        <w:trPr>
          <w:cantSplit/>
        </w:trPr>
        <w:tc>
          <w:tcPr>
            <w:tcW w:w="959" w:type="dxa"/>
            <w:vMerge/>
            <w:shd w:val="clear" w:color="auto" w:fill="auto"/>
          </w:tcPr>
          <w:p w14:paraId="3FE5EA70" w14:textId="77777777" w:rsidR="00FE546E" w:rsidRPr="00510442" w:rsidRDefault="00FE546E" w:rsidP="003179A4">
            <w:pPr>
              <w:pStyle w:val="Table"/>
              <w:keepLines w:val="0"/>
              <w:spacing w:before="0" w:after="0"/>
              <w:rPr>
                <w:rFonts w:ascii="Times New Roman" w:hAnsi="Times New Roman"/>
                <w:b/>
                <w:color w:val="000000"/>
                <w:sz w:val="22"/>
                <w:szCs w:val="22"/>
                <w:lang w:val="hr-HR"/>
              </w:rPr>
            </w:pPr>
          </w:p>
        </w:tc>
        <w:tc>
          <w:tcPr>
            <w:tcW w:w="1276" w:type="dxa"/>
            <w:tcBorders>
              <w:top w:val="nil"/>
              <w:bottom w:val="nil"/>
              <w:right w:val="single" w:sz="4" w:space="0" w:color="auto"/>
            </w:tcBorders>
            <w:vAlign w:val="bottom"/>
          </w:tcPr>
          <w:p w14:paraId="725F9038" w14:textId="77777777" w:rsidR="00FE546E" w:rsidRPr="00510442" w:rsidRDefault="00FE546E" w:rsidP="003179A4">
            <w:pPr>
              <w:pStyle w:val="Table"/>
              <w:keepLines w:val="0"/>
              <w:spacing w:before="0" w:after="0"/>
              <w:rPr>
                <w:rFonts w:ascii="Times New Roman" w:hAnsi="Times New Roman"/>
                <w:sz w:val="22"/>
                <w:szCs w:val="22"/>
                <w:lang w:val="hr-HR"/>
              </w:rPr>
            </w:pPr>
            <w:r w:rsidRPr="00510442">
              <w:rPr>
                <w:rFonts w:ascii="Times New Roman" w:hAnsi="Times New Roman"/>
                <w:sz w:val="22"/>
                <w:szCs w:val="22"/>
                <w:lang w:val="hr-HR"/>
              </w:rPr>
              <w:t>Srednja</w:t>
            </w:r>
          </w:p>
        </w:tc>
        <w:tc>
          <w:tcPr>
            <w:tcW w:w="1134" w:type="dxa"/>
            <w:tcBorders>
              <w:top w:val="nil"/>
              <w:left w:val="single" w:sz="4" w:space="0" w:color="auto"/>
              <w:bottom w:val="nil"/>
              <w:right w:val="single" w:sz="4" w:space="0" w:color="auto"/>
            </w:tcBorders>
            <w:vAlign w:val="bottom"/>
          </w:tcPr>
          <w:p w14:paraId="572CA3C3" w14:textId="77777777" w:rsidR="00FE546E" w:rsidRPr="00510442" w:rsidRDefault="00FE546E" w:rsidP="003179A4">
            <w:pPr>
              <w:pStyle w:val="Table"/>
              <w:keepLines w:val="0"/>
              <w:spacing w:before="0" w:after="0"/>
              <w:jc w:val="center"/>
              <w:rPr>
                <w:rFonts w:ascii="Times New Roman" w:hAnsi="Times New Roman"/>
                <w:color w:val="000000"/>
                <w:sz w:val="22"/>
                <w:szCs w:val="22"/>
                <w:lang w:val="hr-HR"/>
              </w:rPr>
            </w:pPr>
            <w:r w:rsidRPr="00510442">
              <w:rPr>
                <w:rFonts w:ascii="Times New Roman" w:hAnsi="Times New Roman"/>
                <w:color w:val="000000"/>
                <w:sz w:val="22"/>
                <w:szCs w:val="22"/>
                <w:lang w:val="hr-HR"/>
              </w:rPr>
              <w:t>24</w:t>
            </w:r>
            <w:r w:rsidR="00AE2C97" w:rsidRPr="00510442">
              <w:rPr>
                <w:rFonts w:ascii="Times New Roman" w:hAnsi="Times New Roman"/>
                <w:color w:val="000000"/>
                <w:sz w:val="22"/>
                <w:szCs w:val="22"/>
                <w:lang w:val="hr-HR"/>
              </w:rPr>
              <w:t>,</w:t>
            </w:r>
            <w:r w:rsidRPr="00510442">
              <w:rPr>
                <w:rFonts w:ascii="Times New Roman" w:hAnsi="Times New Roman"/>
                <w:color w:val="000000"/>
                <w:sz w:val="22"/>
                <w:szCs w:val="22"/>
                <w:lang w:val="hr-HR"/>
              </w:rPr>
              <w:t>6</w:t>
            </w:r>
          </w:p>
        </w:tc>
        <w:tc>
          <w:tcPr>
            <w:tcW w:w="1843" w:type="dxa"/>
            <w:tcBorders>
              <w:top w:val="nil"/>
              <w:left w:val="single" w:sz="4" w:space="0" w:color="auto"/>
              <w:bottom w:val="nil"/>
              <w:right w:val="single" w:sz="4" w:space="0" w:color="auto"/>
            </w:tcBorders>
            <w:vAlign w:val="bottom"/>
          </w:tcPr>
          <w:p w14:paraId="66934D93" w14:textId="77777777" w:rsidR="00FE546E" w:rsidRPr="00510442" w:rsidRDefault="00FE546E" w:rsidP="003179A4">
            <w:pPr>
              <w:pStyle w:val="Table"/>
              <w:keepLines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2/70 vs. 11/67</w:t>
            </w:r>
          </w:p>
        </w:tc>
        <w:tc>
          <w:tcPr>
            <w:tcW w:w="1319" w:type="dxa"/>
            <w:tcBorders>
              <w:top w:val="nil"/>
              <w:left w:val="single" w:sz="4" w:space="0" w:color="auto"/>
              <w:bottom w:val="nil"/>
              <w:right w:val="single" w:sz="4" w:space="0" w:color="auto"/>
            </w:tcBorders>
            <w:vAlign w:val="bottom"/>
          </w:tcPr>
          <w:p w14:paraId="3C13E329" w14:textId="77777777" w:rsidR="00FE546E" w:rsidRPr="00510442" w:rsidRDefault="00FE546E" w:rsidP="003179A4">
            <w:pPr>
              <w:pStyle w:val="Table"/>
              <w:keepLines w:val="0"/>
              <w:spacing w:before="0" w:after="0"/>
              <w:jc w:val="center"/>
              <w:rPr>
                <w:rFonts w:ascii="Times New Roman" w:hAnsi="Times New Roman"/>
                <w:color w:val="000000"/>
                <w:sz w:val="22"/>
                <w:szCs w:val="22"/>
                <w:lang w:val="hr-HR"/>
              </w:rPr>
            </w:pPr>
            <w:r w:rsidRPr="00510442">
              <w:rPr>
                <w:rFonts w:ascii="Times New Roman" w:hAnsi="Times New Roman"/>
                <w:color w:val="000000"/>
                <w:sz w:val="22"/>
                <w:szCs w:val="22"/>
                <w:lang w:val="hr-HR"/>
              </w:rPr>
              <w:t>0</w:t>
            </w:r>
            <w:r w:rsidR="00AE2C97" w:rsidRPr="00510442">
              <w:rPr>
                <w:rFonts w:ascii="Times New Roman" w:hAnsi="Times New Roman"/>
                <w:color w:val="000000"/>
                <w:sz w:val="22"/>
                <w:szCs w:val="22"/>
                <w:lang w:val="hr-HR"/>
              </w:rPr>
              <w:t>,</w:t>
            </w:r>
            <w:r w:rsidRPr="00510442">
              <w:rPr>
                <w:rFonts w:ascii="Times New Roman" w:hAnsi="Times New Roman"/>
                <w:color w:val="000000"/>
                <w:sz w:val="22"/>
                <w:szCs w:val="22"/>
                <w:lang w:val="hr-HR"/>
              </w:rPr>
              <w:t>16</w:t>
            </w:r>
            <w:r w:rsidR="00C21C82" w:rsidRPr="00510442">
              <w:rPr>
                <w:rFonts w:ascii="Times New Roman" w:hAnsi="Times New Roman"/>
                <w:color w:val="000000"/>
                <w:sz w:val="22"/>
                <w:szCs w:val="22"/>
                <w:lang w:val="hr-HR"/>
              </w:rPr>
              <w:br/>
            </w:r>
            <w:r w:rsidRPr="00510442">
              <w:rPr>
                <w:rFonts w:ascii="Times New Roman" w:hAnsi="Times New Roman"/>
                <w:color w:val="000000"/>
                <w:sz w:val="22"/>
                <w:szCs w:val="22"/>
                <w:lang w:val="hr-HR"/>
              </w:rPr>
              <w:t>(0</w:t>
            </w:r>
            <w:r w:rsidR="00AE2C97" w:rsidRPr="00510442">
              <w:rPr>
                <w:rFonts w:ascii="Times New Roman" w:hAnsi="Times New Roman"/>
                <w:color w:val="000000"/>
                <w:sz w:val="22"/>
                <w:szCs w:val="22"/>
                <w:lang w:val="hr-HR"/>
              </w:rPr>
              <w:t>,</w:t>
            </w:r>
            <w:r w:rsidRPr="00510442">
              <w:rPr>
                <w:rFonts w:ascii="Times New Roman" w:hAnsi="Times New Roman"/>
                <w:color w:val="000000"/>
                <w:sz w:val="22"/>
                <w:szCs w:val="22"/>
                <w:lang w:val="hr-HR"/>
              </w:rPr>
              <w:t>03; 0</w:t>
            </w:r>
            <w:r w:rsidR="00AE2C97" w:rsidRPr="00510442">
              <w:rPr>
                <w:rFonts w:ascii="Times New Roman" w:hAnsi="Times New Roman"/>
                <w:color w:val="000000"/>
                <w:sz w:val="22"/>
                <w:szCs w:val="22"/>
                <w:lang w:val="hr-HR"/>
              </w:rPr>
              <w:t>,</w:t>
            </w:r>
            <w:r w:rsidRPr="00510442">
              <w:rPr>
                <w:rFonts w:ascii="Times New Roman" w:hAnsi="Times New Roman"/>
                <w:color w:val="000000"/>
                <w:sz w:val="22"/>
                <w:szCs w:val="22"/>
                <w:lang w:val="hr-HR"/>
              </w:rPr>
              <w:t>70)</w:t>
            </w:r>
          </w:p>
        </w:tc>
        <w:tc>
          <w:tcPr>
            <w:tcW w:w="1440" w:type="dxa"/>
            <w:tcBorders>
              <w:top w:val="nil"/>
              <w:left w:val="single" w:sz="4" w:space="0" w:color="auto"/>
              <w:bottom w:val="nil"/>
              <w:right w:val="single" w:sz="4" w:space="0" w:color="auto"/>
            </w:tcBorders>
            <w:vAlign w:val="bottom"/>
          </w:tcPr>
          <w:p w14:paraId="61FE5ECE" w14:textId="77777777" w:rsidR="00FE546E" w:rsidRPr="00510442" w:rsidRDefault="00FE546E" w:rsidP="003179A4">
            <w:pPr>
              <w:pStyle w:val="Table"/>
              <w:keepLines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97</w:t>
            </w:r>
            <w:r w:rsidR="00AE2C97" w:rsidRPr="00510442">
              <w:rPr>
                <w:rFonts w:ascii="Times New Roman" w:hAnsi="Times New Roman"/>
                <w:color w:val="000000"/>
                <w:sz w:val="22"/>
                <w:szCs w:val="22"/>
                <w:lang w:val="hr-HR"/>
              </w:rPr>
              <w:t>,</w:t>
            </w:r>
            <w:r w:rsidRPr="00510442">
              <w:rPr>
                <w:rFonts w:ascii="Times New Roman" w:hAnsi="Times New Roman"/>
                <w:color w:val="000000"/>
                <w:sz w:val="22"/>
                <w:szCs w:val="22"/>
                <w:lang w:val="hr-HR"/>
              </w:rPr>
              <w:t>9 vs. 90</w:t>
            </w:r>
            <w:r w:rsidR="00AE2C97" w:rsidRPr="00510442">
              <w:rPr>
                <w:rFonts w:ascii="Times New Roman" w:hAnsi="Times New Roman"/>
                <w:color w:val="000000"/>
                <w:sz w:val="22"/>
                <w:szCs w:val="22"/>
                <w:lang w:val="hr-HR"/>
              </w:rPr>
              <w:t>,</w:t>
            </w:r>
            <w:r w:rsidRPr="00510442">
              <w:rPr>
                <w:rFonts w:ascii="Times New Roman" w:hAnsi="Times New Roman"/>
                <w:color w:val="000000"/>
                <w:sz w:val="22"/>
                <w:szCs w:val="22"/>
                <w:lang w:val="hr-HR"/>
              </w:rPr>
              <w:t>8</w:t>
            </w:r>
          </w:p>
        </w:tc>
        <w:tc>
          <w:tcPr>
            <w:tcW w:w="1360" w:type="dxa"/>
            <w:tcBorders>
              <w:top w:val="nil"/>
              <w:left w:val="single" w:sz="4" w:space="0" w:color="auto"/>
              <w:bottom w:val="nil"/>
            </w:tcBorders>
            <w:vAlign w:val="bottom"/>
          </w:tcPr>
          <w:p w14:paraId="7687E68A" w14:textId="77777777" w:rsidR="00FE546E" w:rsidRPr="00510442" w:rsidRDefault="00FE546E" w:rsidP="003179A4">
            <w:pPr>
              <w:pStyle w:val="Table"/>
              <w:keepLines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97</w:t>
            </w:r>
            <w:r w:rsidR="00AE2C97" w:rsidRPr="00510442">
              <w:rPr>
                <w:rFonts w:ascii="Times New Roman" w:hAnsi="Times New Roman"/>
                <w:color w:val="000000"/>
                <w:sz w:val="22"/>
                <w:szCs w:val="22"/>
                <w:lang w:val="hr-HR"/>
              </w:rPr>
              <w:t>,</w:t>
            </w:r>
            <w:r w:rsidRPr="00510442">
              <w:rPr>
                <w:rFonts w:ascii="Times New Roman" w:hAnsi="Times New Roman"/>
                <w:color w:val="000000"/>
                <w:sz w:val="22"/>
                <w:szCs w:val="22"/>
                <w:lang w:val="hr-HR"/>
              </w:rPr>
              <w:t>9 vs. 73</w:t>
            </w:r>
            <w:r w:rsidR="00AE2C97" w:rsidRPr="00510442">
              <w:rPr>
                <w:rFonts w:ascii="Times New Roman" w:hAnsi="Times New Roman"/>
                <w:color w:val="000000"/>
                <w:sz w:val="22"/>
                <w:szCs w:val="22"/>
                <w:lang w:val="hr-HR"/>
              </w:rPr>
              <w:t>,</w:t>
            </w:r>
            <w:r w:rsidRPr="00510442">
              <w:rPr>
                <w:rFonts w:ascii="Times New Roman" w:hAnsi="Times New Roman"/>
                <w:color w:val="000000"/>
                <w:sz w:val="22"/>
                <w:szCs w:val="22"/>
                <w:lang w:val="hr-HR"/>
              </w:rPr>
              <w:t>3</w:t>
            </w:r>
          </w:p>
        </w:tc>
      </w:tr>
      <w:tr w:rsidR="00FE546E" w:rsidRPr="00510442" w14:paraId="63DED7CD" w14:textId="77777777" w:rsidTr="003179A4">
        <w:trPr>
          <w:cantSplit/>
        </w:trPr>
        <w:tc>
          <w:tcPr>
            <w:tcW w:w="959" w:type="dxa"/>
            <w:vMerge/>
            <w:tcBorders>
              <w:bottom w:val="single" w:sz="4" w:space="0" w:color="auto"/>
            </w:tcBorders>
            <w:shd w:val="clear" w:color="auto" w:fill="auto"/>
          </w:tcPr>
          <w:p w14:paraId="74DC8A4C" w14:textId="77777777" w:rsidR="00FE546E" w:rsidRPr="00510442" w:rsidRDefault="00FE546E" w:rsidP="003179A4">
            <w:pPr>
              <w:pStyle w:val="Table"/>
              <w:keepLines w:val="0"/>
              <w:spacing w:before="0" w:after="0"/>
              <w:rPr>
                <w:rFonts w:ascii="Times New Roman" w:hAnsi="Times New Roman"/>
                <w:color w:val="000000"/>
                <w:sz w:val="22"/>
                <w:szCs w:val="22"/>
                <w:lang w:val="hr-HR"/>
              </w:rPr>
            </w:pPr>
          </w:p>
        </w:tc>
        <w:tc>
          <w:tcPr>
            <w:tcW w:w="1276" w:type="dxa"/>
            <w:tcBorders>
              <w:top w:val="nil"/>
              <w:bottom w:val="single" w:sz="4" w:space="0" w:color="auto"/>
              <w:right w:val="single" w:sz="4" w:space="0" w:color="auto"/>
            </w:tcBorders>
            <w:vAlign w:val="bottom"/>
          </w:tcPr>
          <w:p w14:paraId="4BB28224" w14:textId="77777777" w:rsidR="00FE546E" w:rsidRPr="00510442" w:rsidRDefault="00FE546E" w:rsidP="003179A4">
            <w:pPr>
              <w:pStyle w:val="Table"/>
              <w:keepLines w:val="0"/>
              <w:spacing w:before="0" w:after="0"/>
              <w:rPr>
                <w:rFonts w:ascii="Times New Roman" w:hAnsi="Times New Roman"/>
                <w:sz w:val="22"/>
                <w:szCs w:val="22"/>
                <w:lang w:val="hr-HR"/>
              </w:rPr>
            </w:pPr>
            <w:r w:rsidRPr="00510442">
              <w:rPr>
                <w:rFonts w:ascii="Times New Roman" w:hAnsi="Times New Roman"/>
                <w:sz w:val="22"/>
                <w:szCs w:val="22"/>
                <w:lang w:val="hr-HR"/>
              </w:rPr>
              <w:t>Visoka</w:t>
            </w:r>
          </w:p>
        </w:tc>
        <w:tc>
          <w:tcPr>
            <w:tcW w:w="1134" w:type="dxa"/>
            <w:tcBorders>
              <w:top w:val="nil"/>
              <w:left w:val="single" w:sz="4" w:space="0" w:color="auto"/>
              <w:bottom w:val="single" w:sz="4" w:space="0" w:color="auto"/>
              <w:right w:val="single" w:sz="4" w:space="0" w:color="auto"/>
            </w:tcBorders>
            <w:vAlign w:val="bottom"/>
          </w:tcPr>
          <w:p w14:paraId="1A3774B9" w14:textId="77777777" w:rsidR="00FE546E" w:rsidRPr="00510442" w:rsidRDefault="00FE546E" w:rsidP="003179A4">
            <w:pPr>
              <w:pStyle w:val="Table"/>
              <w:keepLines w:val="0"/>
              <w:spacing w:before="0" w:after="0"/>
              <w:ind w:right="-3"/>
              <w:jc w:val="center"/>
              <w:rPr>
                <w:rFonts w:ascii="Times New Roman" w:hAnsi="Times New Roman"/>
                <w:color w:val="000000"/>
                <w:sz w:val="22"/>
                <w:szCs w:val="22"/>
                <w:lang w:val="hr-HR"/>
              </w:rPr>
            </w:pPr>
            <w:r w:rsidRPr="00510442">
              <w:rPr>
                <w:rFonts w:ascii="Times New Roman" w:hAnsi="Times New Roman"/>
                <w:color w:val="000000"/>
                <w:sz w:val="22"/>
                <w:szCs w:val="22"/>
                <w:lang w:val="hr-HR"/>
              </w:rPr>
              <w:t>29</w:t>
            </w:r>
            <w:r w:rsidR="00AE2C97" w:rsidRPr="00510442">
              <w:rPr>
                <w:rFonts w:ascii="Times New Roman" w:hAnsi="Times New Roman"/>
                <w:color w:val="000000"/>
                <w:sz w:val="22"/>
                <w:szCs w:val="22"/>
                <w:lang w:val="hr-HR"/>
              </w:rPr>
              <w:t>,</w:t>
            </w:r>
            <w:r w:rsidRPr="00510442">
              <w:rPr>
                <w:rFonts w:ascii="Times New Roman" w:hAnsi="Times New Roman"/>
                <w:color w:val="000000"/>
                <w:sz w:val="22"/>
                <w:szCs w:val="22"/>
                <w:lang w:val="hr-HR"/>
              </w:rPr>
              <w:t>7</w:t>
            </w:r>
          </w:p>
        </w:tc>
        <w:tc>
          <w:tcPr>
            <w:tcW w:w="1843" w:type="dxa"/>
            <w:tcBorders>
              <w:top w:val="nil"/>
              <w:left w:val="single" w:sz="4" w:space="0" w:color="auto"/>
              <w:bottom w:val="single" w:sz="4" w:space="0" w:color="auto"/>
              <w:right w:val="single" w:sz="4" w:space="0" w:color="auto"/>
            </w:tcBorders>
            <w:vAlign w:val="bottom"/>
          </w:tcPr>
          <w:p w14:paraId="5C85A849" w14:textId="77777777" w:rsidR="00FE546E" w:rsidRPr="00510442" w:rsidRDefault="00FE546E" w:rsidP="003179A4">
            <w:pPr>
              <w:pStyle w:val="Table"/>
              <w:keepLines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16/84 vs. 39/81</w:t>
            </w:r>
          </w:p>
        </w:tc>
        <w:tc>
          <w:tcPr>
            <w:tcW w:w="1319" w:type="dxa"/>
            <w:tcBorders>
              <w:top w:val="nil"/>
              <w:left w:val="single" w:sz="4" w:space="0" w:color="auto"/>
              <w:bottom w:val="single" w:sz="4" w:space="0" w:color="auto"/>
              <w:right w:val="single" w:sz="4" w:space="0" w:color="auto"/>
            </w:tcBorders>
            <w:vAlign w:val="bottom"/>
          </w:tcPr>
          <w:p w14:paraId="0E95D283" w14:textId="77777777" w:rsidR="00FE546E" w:rsidRPr="00510442" w:rsidRDefault="00FE546E" w:rsidP="003179A4">
            <w:pPr>
              <w:pStyle w:val="Table"/>
              <w:keepLines w:val="0"/>
              <w:spacing w:before="0" w:after="0"/>
              <w:jc w:val="center"/>
              <w:rPr>
                <w:rFonts w:ascii="Times New Roman" w:hAnsi="Times New Roman"/>
                <w:color w:val="000000"/>
                <w:sz w:val="22"/>
                <w:szCs w:val="22"/>
                <w:lang w:val="hr-HR"/>
              </w:rPr>
            </w:pPr>
            <w:r w:rsidRPr="00510442">
              <w:rPr>
                <w:rFonts w:ascii="Times New Roman" w:hAnsi="Times New Roman"/>
                <w:color w:val="000000"/>
                <w:sz w:val="22"/>
                <w:szCs w:val="22"/>
                <w:lang w:val="hr-HR"/>
              </w:rPr>
              <w:t>0</w:t>
            </w:r>
            <w:r w:rsidR="00AE2C97" w:rsidRPr="00510442">
              <w:rPr>
                <w:rFonts w:ascii="Times New Roman" w:hAnsi="Times New Roman"/>
                <w:color w:val="000000"/>
                <w:sz w:val="22"/>
                <w:szCs w:val="22"/>
                <w:lang w:val="hr-HR"/>
              </w:rPr>
              <w:t>,</w:t>
            </w:r>
            <w:r w:rsidRPr="00510442">
              <w:rPr>
                <w:rFonts w:ascii="Times New Roman" w:hAnsi="Times New Roman"/>
                <w:color w:val="000000"/>
                <w:sz w:val="22"/>
                <w:szCs w:val="22"/>
                <w:lang w:val="hr-HR"/>
              </w:rPr>
              <w:t>27</w:t>
            </w:r>
            <w:r w:rsidR="00C21C82" w:rsidRPr="00510442">
              <w:rPr>
                <w:rFonts w:ascii="Times New Roman" w:hAnsi="Times New Roman"/>
                <w:color w:val="000000"/>
                <w:sz w:val="22"/>
                <w:szCs w:val="22"/>
                <w:lang w:val="hr-HR"/>
              </w:rPr>
              <w:br/>
            </w:r>
            <w:r w:rsidRPr="00510442">
              <w:rPr>
                <w:rFonts w:ascii="Times New Roman" w:hAnsi="Times New Roman"/>
                <w:color w:val="000000"/>
                <w:sz w:val="22"/>
                <w:szCs w:val="22"/>
                <w:lang w:val="hr-HR"/>
              </w:rPr>
              <w:t>(0</w:t>
            </w:r>
            <w:r w:rsidR="00AE2C97" w:rsidRPr="00510442">
              <w:rPr>
                <w:rFonts w:ascii="Times New Roman" w:hAnsi="Times New Roman"/>
                <w:color w:val="000000"/>
                <w:sz w:val="22"/>
                <w:szCs w:val="22"/>
                <w:lang w:val="hr-HR"/>
              </w:rPr>
              <w:t>,</w:t>
            </w:r>
            <w:r w:rsidRPr="00510442">
              <w:rPr>
                <w:rFonts w:ascii="Times New Roman" w:hAnsi="Times New Roman"/>
                <w:color w:val="000000"/>
                <w:sz w:val="22"/>
                <w:szCs w:val="22"/>
                <w:lang w:val="hr-HR"/>
              </w:rPr>
              <w:t>15; 0</w:t>
            </w:r>
            <w:r w:rsidR="00AE2C97" w:rsidRPr="00510442">
              <w:rPr>
                <w:rFonts w:ascii="Times New Roman" w:hAnsi="Times New Roman"/>
                <w:color w:val="000000"/>
                <w:sz w:val="22"/>
                <w:szCs w:val="22"/>
                <w:lang w:val="hr-HR"/>
              </w:rPr>
              <w:t>,</w:t>
            </w:r>
            <w:r w:rsidRPr="00510442">
              <w:rPr>
                <w:rFonts w:ascii="Times New Roman" w:hAnsi="Times New Roman"/>
                <w:color w:val="000000"/>
                <w:sz w:val="22"/>
                <w:szCs w:val="22"/>
                <w:lang w:val="hr-HR"/>
              </w:rPr>
              <w:t>48)</w:t>
            </w:r>
          </w:p>
        </w:tc>
        <w:tc>
          <w:tcPr>
            <w:tcW w:w="1440" w:type="dxa"/>
            <w:tcBorders>
              <w:top w:val="nil"/>
              <w:left w:val="single" w:sz="4" w:space="0" w:color="auto"/>
              <w:bottom w:val="single" w:sz="4" w:space="0" w:color="auto"/>
              <w:right w:val="single" w:sz="4" w:space="0" w:color="auto"/>
            </w:tcBorders>
            <w:vAlign w:val="bottom"/>
          </w:tcPr>
          <w:p w14:paraId="24B9A4D6" w14:textId="77777777" w:rsidR="00FE546E" w:rsidRPr="00510442" w:rsidRDefault="00FE546E" w:rsidP="003179A4">
            <w:pPr>
              <w:pStyle w:val="Table"/>
              <w:keepLines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98</w:t>
            </w:r>
            <w:r w:rsidR="00AE2C97" w:rsidRPr="00510442">
              <w:rPr>
                <w:rFonts w:ascii="Times New Roman" w:hAnsi="Times New Roman"/>
                <w:color w:val="000000"/>
                <w:sz w:val="22"/>
                <w:szCs w:val="22"/>
                <w:lang w:val="hr-HR"/>
              </w:rPr>
              <w:t>,</w:t>
            </w:r>
            <w:r w:rsidRPr="00510442">
              <w:rPr>
                <w:rFonts w:ascii="Times New Roman" w:hAnsi="Times New Roman"/>
                <w:color w:val="000000"/>
                <w:sz w:val="22"/>
                <w:szCs w:val="22"/>
                <w:lang w:val="hr-HR"/>
              </w:rPr>
              <w:t>7 vs. 56</w:t>
            </w:r>
            <w:r w:rsidR="00AE2C97" w:rsidRPr="00510442">
              <w:rPr>
                <w:rFonts w:ascii="Times New Roman" w:hAnsi="Times New Roman"/>
                <w:color w:val="000000"/>
                <w:sz w:val="22"/>
                <w:szCs w:val="22"/>
                <w:lang w:val="hr-HR"/>
              </w:rPr>
              <w:t>,</w:t>
            </w:r>
            <w:r w:rsidRPr="00510442">
              <w:rPr>
                <w:rFonts w:ascii="Times New Roman" w:hAnsi="Times New Roman"/>
                <w:color w:val="000000"/>
                <w:sz w:val="22"/>
                <w:szCs w:val="22"/>
                <w:lang w:val="hr-HR"/>
              </w:rPr>
              <w:t>1</w:t>
            </w:r>
          </w:p>
        </w:tc>
        <w:tc>
          <w:tcPr>
            <w:tcW w:w="1360" w:type="dxa"/>
            <w:tcBorders>
              <w:top w:val="nil"/>
              <w:left w:val="single" w:sz="4" w:space="0" w:color="auto"/>
              <w:bottom w:val="single" w:sz="4" w:space="0" w:color="auto"/>
            </w:tcBorders>
            <w:vAlign w:val="bottom"/>
          </w:tcPr>
          <w:p w14:paraId="00F576E5" w14:textId="77777777" w:rsidR="00FE546E" w:rsidRPr="00510442" w:rsidRDefault="00FE546E" w:rsidP="003179A4">
            <w:pPr>
              <w:pStyle w:val="Table"/>
              <w:keepLines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79</w:t>
            </w:r>
            <w:r w:rsidR="00AE2C97" w:rsidRPr="00510442">
              <w:rPr>
                <w:rFonts w:ascii="Times New Roman" w:hAnsi="Times New Roman"/>
                <w:color w:val="000000"/>
                <w:sz w:val="22"/>
                <w:szCs w:val="22"/>
                <w:lang w:val="hr-HR"/>
              </w:rPr>
              <w:t>,</w:t>
            </w:r>
            <w:r w:rsidRPr="00510442">
              <w:rPr>
                <w:rFonts w:ascii="Times New Roman" w:hAnsi="Times New Roman"/>
                <w:color w:val="000000"/>
                <w:sz w:val="22"/>
                <w:szCs w:val="22"/>
                <w:lang w:val="hr-HR"/>
              </w:rPr>
              <w:t>9 vs. 41</w:t>
            </w:r>
            <w:r w:rsidR="00AE2C97" w:rsidRPr="00510442">
              <w:rPr>
                <w:rFonts w:ascii="Times New Roman" w:hAnsi="Times New Roman"/>
                <w:color w:val="000000"/>
                <w:sz w:val="22"/>
                <w:szCs w:val="22"/>
                <w:lang w:val="hr-HR"/>
              </w:rPr>
              <w:t>,</w:t>
            </w:r>
            <w:r w:rsidRPr="00510442">
              <w:rPr>
                <w:rFonts w:ascii="Times New Roman" w:hAnsi="Times New Roman"/>
                <w:color w:val="000000"/>
                <w:sz w:val="22"/>
                <w:szCs w:val="22"/>
                <w:lang w:val="hr-HR"/>
              </w:rPr>
              <w:t>5</w:t>
            </w:r>
          </w:p>
        </w:tc>
      </w:tr>
    </w:tbl>
    <w:p w14:paraId="7709BE8B" w14:textId="77777777" w:rsidR="00936EF9" w:rsidRPr="00510442" w:rsidRDefault="00936EF9" w:rsidP="003179A4">
      <w:pPr>
        <w:pStyle w:val="Text"/>
        <w:spacing w:before="0"/>
        <w:jc w:val="left"/>
        <w:rPr>
          <w:color w:val="000000"/>
          <w:sz w:val="22"/>
          <w:szCs w:val="22"/>
          <w:lang w:val="hr-HR"/>
        </w:rPr>
      </w:pPr>
      <w:r w:rsidRPr="00510442">
        <w:rPr>
          <w:color w:val="000000"/>
          <w:sz w:val="22"/>
          <w:szCs w:val="22"/>
          <w:lang w:val="hr-HR"/>
        </w:rPr>
        <w:t xml:space="preserve">* </w:t>
      </w:r>
      <w:r w:rsidR="00674E0C" w:rsidRPr="00510442">
        <w:rPr>
          <w:sz w:val="22"/>
          <w:szCs w:val="22"/>
          <w:lang w:val="hr-HR"/>
        </w:rPr>
        <w:t>Potpuni period praćenja</w:t>
      </w:r>
      <w:r w:rsidRPr="00510442">
        <w:rPr>
          <w:color w:val="000000"/>
          <w:sz w:val="22"/>
          <w:szCs w:val="22"/>
          <w:lang w:val="hr-HR"/>
        </w:rPr>
        <w:t>; N</w:t>
      </w:r>
      <w:r w:rsidR="00674E0C" w:rsidRPr="00510442">
        <w:rPr>
          <w:color w:val="000000"/>
          <w:sz w:val="22"/>
          <w:szCs w:val="22"/>
          <w:lang w:val="hr-HR"/>
        </w:rPr>
        <w:t>P</w:t>
      </w:r>
      <w:r w:rsidRPr="00510442">
        <w:rPr>
          <w:color w:val="000000"/>
          <w:sz w:val="22"/>
          <w:szCs w:val="22"/>
          <w:lang w:val="hr-HR"/>
        </w:rPr>
        <w:t xml:space="preserve"> – </w:t>
      </w:r>
      <w:r w:rsidR="00674E0C" w:rsidRPr="00510442">
        <w:rPr>
          <w:rFonts w:eastAsia="MS Mincho"/>
          <w:color w:val="000000"/>
          <w:sz w:val="22"/>
          <w:szCs w:val="22"/>
          <w:lang w:val="hr-HR" w:eastAsia="ja-JP"/>
        </w:rPr>
        <w:t>nije moguće procijeniti</w:t>
      </w:r>
    </w:p>
    <w:p w14:paraId="4BDFD574" w14:textId="77777777" w:rsidR="00955BD0" w:rsidRPr="00510442" w:rsidRDefault="00955BD0" w:rsidP="0091773C">
      <w:pPr>
        <w:pStyle w:val="Text"/>
        <w:spacing w:before="0"/>
        <w:jc w:val="left"/>
        <w:rPr>
          <w:rFonts w:eastAsia="MS Mincho"/>
          <w:color w:val="000000"/>
          <w:sz w:val="22"/>
          <w:szCs w:val="22"/>
          <w:lang w:val="hr-HR" w:eastAsia="ja-JP"/>
        </w:rPr>
      </w:pPr>
    </w:p>
    <w:p w14:paraId="650C9FD3" w14:textId="01703F30" w:rsidR="00955BD0" w:rsidRPr="00510442" w:rsidRDefault="000677BE" w:rsidP="00422F71">
      <w:pPr>
        <w:pStyle w:val="Text"/>
        <w:spacing w:before="0"/>
        <w:jc w:val="left"/>
        <w:rPr>
          <w:rFonts w:eastAsia="MS Mincho"/>
          <w:iCs/>
          <w:sz w:val="22"/>
          <w:szCs w:val="22"/>
          <w:lang w:val="hr-HR" w:eastAsia="ja-JP"/>
        </w:rPr>
      </w:pPr>
      <w:r w:rsidRPr="00510442">
        <w:rPr>
          <w:rFonts w:eastAsia="MS Mincho"/>
          <w:sz w:val="22"/>
          <w:szCs w:val="22"/>
          <w:lang w:val="hr-HR" w:eastAsia="ja-JP"/>
        </w:rPr>
        <w:t xml:space="preserve">Drugo otvoreno multicentrično ispitivanje faze III (SSG XVIII/AIO) uspoređivalo je 12 mjeseci liječenja </w:t>
      </w:r>
      <w:r w:rsidR="00B0477E">
        <w:rPr>
          <w:sz w:val="22"/>
          <w:szCs w:val="22"/>
          <w:lang w:val="hr-HR"/>
        </w:rPr>
        <w:t xml:space="preserve">lijekom </w:t>
      </w:r>
      <w:r w:rsidRPr="00510442">
        <w:rPr>
          <w:rFonts w:eastAsia="MS Mincho"/>
          <w:sz w:val="22"/>
          <w:szCs w:val="22"/>
          <w:lang w:val="hr-HR" w:eastAsia="ja-JP"/>
        </w:rPr>
        <w:t xml:space="preserve">Glivec 400 mg/dan u odnosu na 36 mjeseci liječenja u bolesnika nakon kirurške resekcije GIST-a i jednog od sljedećeg: promjer tumora </w:t>
      </w:r>
      <w:r w:rsidRPr="00510442">
        <w:rPr>
          <w:rFonts w:eastAsia="MS Mincho"/>
          <w:iCs/>
          <w:sz w:val="22"/>
          <w:szCs w:val="22"/>
          <w:lang w:val="hr-HR" w:eastAsia="ja-JP"/>
        </w:rPr>
        <w:t>&gt;5</w:t>
      </w:r>
      <w:r w:rsidRPr="00510442">
        <w:rPr>
          <w:rFonts w:eastAsia="MS Mincho"/>
          <w:sz w:val="22"/>
          <w:szCs w:val="22"/>
          <w:lang w:val="hr-HR" w:eastAsia="ja-JP"/>
        </w:rPr>
        <w:t> </w:t>
      </w:r>
      <w:r w:rsidRPr="00510442">
        <w:rPr>
          <w:rFonts w:eastAsia="MS Mincho"/>
          <w:iCs/>
          <w:sz w:val="22"/>
          <w:szCs w:val="22"/>
          <w:lang w:val="hr-HR" w:eastAsia="ja-JP"/>
        </w:rPr>
        <w:t>cm i broj mitoza &gt;5/50 u vidnom polju mikroskopa pri velikom povećanju</w:t>
      </w:r>
      <w:r w:rsidR="003F18EF" w:rsidRPr="00510442">
        <w:rPr>
          <w:rFonts w:eastAsia="MS Mincho"/>
          <w:iCs/>
          <w:sz w:val="22"/>
          <w:szCs w:val="22"/>
          <w:lang w:val="hr-HR" w:eastAsia="ja-JP"/>
        </w:rPr>
        <w:t xml:space="preserve"> (HPF, engl. </w:t>
      </w:r>
      <w:r w:rsidR="003F18EF" w:rsidRPr="00510442">
        <w:rPr>
          <w:rFonts w:eastAsia="MS Mincho"/>
          <w:i/>
          <w:iCs/>
          <w:sz w:val="22"/>
          <w:szCs w:val="22"/>
          <w:lang w:val="hr-HR" w:eastAsia="ja-JP"/>
        </w:rPr>
        <w:t>high power fields</w:t>
      </w:r>
      <w:r w:rsidR="003F18EF" w:rsidRPr="00510442">
        <w:rPr>
          <w:rFonts w:eastAsia="MS Mincho"/>
          <w:iCs/>
          <w:sz w:val="22"/>
          <w:szCs w:val="22"/>
          <w:lang w:val="hr-HR" w:eastAsia="ja-JP"/>
        </w:rPr>
        <w:t xml:space="preserve">); ili </w:t>
      </w:r>
      <w:r w:rsidR="003F18EF" w:rsidRPr="00510442">
        <w:rPr>
          <w:rFonts w:eastAsia="MS Mincho"/>
          <w:sz w:val="22"/>
          <w:szCs w:val="22"/>
          <w:lang w:val="hr-HR" w:eastAsia="ja-JP"/>
        </w:rPr>
        <w:t xml:space="preserve">promjer tumora </w:t>
      </w:r>
      <w:r w:rsidR="003F18EF" w:rsidRPr="00510442">
        <w:rPr>
          <w:rFonts w:eastAsia="MS Mincho"/>
          <w:iCs/>
          <w:sz w:val="22"/>
          <w:szCs w:val="22"/>
          <w:lang w:val="hr-HR" w:eastAsia="ja-JP"/>
        </w:rPr>
        <w:t>&gt;10</w:t>
      </w:r>
      <w:r w:rsidR="003F18EF" w:rsidRPr="00510442">
        <w:rPr>
          <w:rFonts w:eastAsia="MS Mincho"/>
          <w:sz w:val="22"/>
          <w:szCs w:val="22"/>
          <w:lang w:val="hr-HR" w:eastAsia="ja-JP"/>
        </w:rPr>
        <w:t> </w:t>
      </w:r>
      <w:r w:rsidR="003F18EF" w:rsidRPr="00510442">
        <w:rPr>
          <w:rFonts w:eastAsia="MS Mincho"/>
          <w:iCs/>
          <w:sz w:val="22"/>
          <w:szCs w:val="22"/>
          <w:lang w:val="hr-HR" w:eastAsia="ja-JP"/>
        </w:rPr>
        <w:t>cm i bilo koji broj mitoza ili tumor bilo koje veličine s brojem mitoza &gt;10/50 HPF ili ruptur</w:t>
      </w:r>
      <w:r w:rsidR="0086386E" w:rsidRPr="00510442">
        <w:rPr>
          <w:rFonts w:eastAsia="MS Mincho"/>
          <w:iCs/>
          <w:sz w:val="22"/>
          <w:szCs w:val="22"/>
          <w:lang w:val="hr-HR" w:eastAsia="ja-JP"/>
        </w:rPr>
        <w:t>a</w:t>
      </w:r>
      <w:r w:rsidR="003F18EF" w:rsidRPr="00510442">
        <w:rPr>
          <w:rFonts w:eastAsia="MS Mincho"/>
          <w:iCs/>
          <w:sz w:val="22"/>
          <w:szCs w:val="22"/>
          <w:lang w:val="hr-HR" w:eastAsia="ja-JP"/>
        </w:rPr>
        <w:t xml:space="preserve"> tumora u peritonealnu šupljinu. </w:t>
      </w:r>
      <w:r w:rsidR="0086386E" w:rsidRPr="00510442">
        <w:rPr>
          <w:rFonts w:eastAsia="MS Mincho"/>
          <w:iCs/>
          <w:sz w:val="22"/>
          <w:szCs w:val="22"/>
          <w:lang w:val="hr-HR" w:eastAsia="ja-JP"/>
        </w:rPr>
        <w:t>Ukupno 397</w:t>
      </w:r>
      <w:r w:rsidR="0086386E" w:rsidRPr="00510442">
        <w:rPr>
          <w:rFonts w:eastAsia="MS Mincho"/>
          <w:sz w:val="22"/>
          <w:szCs w:val="22"/>
          <w:lang w:val="hr-HR" w:eastAsia="ja-JP"/>
        </w:rPr>
        <w:t> </w:t>
      </w:r>
      <w:r w:rsidR="0086386E" w:rsidRPr="00510442">
        <w:rPr>
          <w:rFonts w:eastAsia="MS Mincho"/>
          <w:iCs/>
          <w:sz w:val="22"/>
          <w:szCs w:val="22"/>
          <w:lang w:val="hr-HR" w:eastAsia="ja-JP"/>
        </w:rPr>
        <w:t xml:space="preserve">bolesnika </w:t>
      </w:r>
      <w:r w:rsidR="003F18EF" w:rsidRPr="00510442">
        <w:rPr>
          <w:rFonts w:eastAsia="MS Mincho"/>
          <w:iCs/>
          <w:sz w:val="22"/>
          <w:szCs w:val="22"/>
          <w:lang w:val="hr-HR" w:eastAsia="ja-JP"/>
        </w:rPr>
        <w:t xml:space="preserve">je pristalo </w:t>
      </w:r>
      <w:r w:rsidR="0086386E" w:rsidRPr="00510442">
        <w:rPr>
          <w:rFonts w:eastAsia="MS Mincho"/>
          <w:iCs/>
          <w:sz w:val="22"/>
          <w:szCs w:val="22"/>
          <w:lang w:val="hr-HR" w:eastAsia="ja-JP"/>
        </w:rPr>
        <w:t xml:space="preserve">sudjelovati i biti randomizirano u ispitivanju </w:t>
      </w:r>
      <w:r w:rsidR="003F18EF" w:rsidRPr="00510442">
        <w:rPr>
          <w:rFonts w:eastAsia="MS Mincho"/>
          <w:iCs/>
          <w:sz w:val="22"/>
          <w:szCs w:val="22"/>
          <w:lang w:val="hr-HR" w:eastAsia="ja-JP"/>
        </w:rPr>
        <w:t>(</w:t>
      </w:r>
      <w:r w:rsidR="00955BD0" w:rsidRPr="00510442">
        <w:rPr>
          <w:rFonts w:eastAsia="MS Mincho"/>
          <w:iCs/>
          <w:sz w:val="22"/>
          <w:szCs w:val="22"/>
          <w:lang w:val="hr-HR" w:eastAsia="ja-JP"/>
        </w:rPr>
        <w:t>199</w:t>
      </w:r>
      <w:r w:rsidR="00955BD0" w:rsidRPr="00510442">
        <w:rPr>
          <w:rFonts w:eastAsia="MS Mincho"/>
          <w:sz w:val="22"/>
          <w:szCs w:val="22"/>
          <w:lang w:val="hr-HR" w:eastAsia="ja-JP"/>
        </w:rPr>
        <w:t> </w:t>
      </w:r>
      <w:r w:rsidR="003F18EF" w:rsidRPr="00510442">
        <w:rPr>
          <w:rFonts w:eastAsia="MS Mincho"/>
          <w:iCs/>
          <w:sz w:val="22"/>
          <w:szCs w:val="22"/>
          <w:lang w:val="hr-HR" w:eastAsia="ja-JP"/>
        </w:rPr>
        <w:t>bolesnika</w:t>
      </w:r>
      <w:r w:rsidR="00955BD0" w:rsidRPr="00510442">
        <w:rPr>
          <w:rFonts w:eastAsia="MS Mincho"/>
          <w:iCs/>
          <w:sz w:val="22"/>
          <w:szCs w:val="22"/>
          <w:lang w:val="hr-HR" w:eastAsia="ja-JP"/>
        </w:rPr>
        <w:t xml:space="preserve"> </w:t>
      </w:r>
      <w:r w:rsidR="003F18EF" w:rsidRPr="00510442">
        <w:rPr>
          <w:rFonts w:eastAsia="MS Mincho"/>
          <w:iCs/>
          <w:sz w:val="22"/>
          <w:szCs w:val="22"/>
          <w:lang w:val="hr-HR" w:eastAsia="ja-JP"/>
        </w:rPr>
        <w:t xml:space="preserve">u </w:t>
      </w:r>
      <w:r w:rsidR="0086386E" w:rsidRPr="00510442">
        <w:rPr>
          <w:rFonts w:eastAsia="MS Mincho"/>
          <w:iCs/>
          <w:sz w:val="22"/>
          <w:szCs w:val="22"/>
          <w:lang w:val="hr-HR" w:eastAsia="ja-JP"/>
        </w:rPr>
        <w:t>1</w:t>
      </w:r>
      <w:r w:rsidR="00955BD0" w:rsidRPr="00510442">
        <w:rPr>
          <w:rFonts w:eastAsia="MS Mincho"/>
          <w:iCs/>
          <w:sz w:val="22"/>
          <w:szCs w:val="22"/>
          <w:lang w:val="hr-HR" w:eastAsia="ja-JP"/>
        </w:rPr>
        <w:t>2</w:t>
      </w:r>
      <w:r w:rsidR="00955BD0" w:rsidRPr="00510442">
        <w:rPr>
          <w:rFonts w:eastAsia="MS Mincho"/>
          <w:sz w:val="22"/>
          <w:szCs w:val="22"/>
          <w:lang w:val="hr-HR" w:eastAsia="ja-JP"/>
        </w:rPr>
        <w:t>-</w:t>
      </w:r>
      <w:r w:rsidR="003F18EF" w:rsidRPr="00510442">
        <w:rPr>
          <w:rFonts w:eastAsia="MS Mincho"/>
          <w:iCs/>
          <w:sz w:val="22"/>
          <w:szCs w:val="22"/>
          <w:lang w:val="hr-HR" w:eastAsia="ja-JP"/>
        </w:rPr>
        <w:t xml:space="preserve">mjesečni </w:t>
      </w:r>
      <w:r w:rsidR="0086386E" w:rsidRPr="00510442">
        <w:rPr>
          <w:rFonts w:eastAsia="MS Mincho"/>
          <w:iCs/>
          <w:sz w:val="22"/>
          <w:szCs w:val="22"/>
          <w:lang w:val="hr-HR" w:eastAsia="ja-JP"/>
        </w:rPr>
        <w:t xml:space="preserve">krak </w:t>
      </w:r>
      <w:r w:rsidR="003F18EF" w:rsidRPr="00510442">
        <w:rPr>
          <w:rFonts w:eastAsia="MS Mincho"/>
          <w:iCs/>
          <w:sz w:val="22"/>
          <w:szCs w:val="22"/>
          <w:lang w:val="hr-HR" w:eastAsia="ja-JP"/>
        </w:rPr>
        <w:t>i</w:t>
      </w:r>
      <w:r w:rsidR="00955BD0" w:rsidRPr="00510442">
        <w:rPr>
          <w:rFonts w:eastAsia="MS Mincho"/>
          <w:iCs/>
          <w:sz w:val="22"/>
          <w:szCs w:val="22"/>
          <w:lang w:val="hr-HR" w:eastAsia="ja-JP"/>
        </w:rPr>
        <w:t xml:space="preserve"> 198</w:t>
      </w:r>
      <w:r w:rsidR="00955BD0" w:rsidRPr="00510442">
        <w:rPr>
          <w:rFonts w:eastAsia="MS Mincho"/>
          <w:sz w:val="22"/>
          <w:szCs w:val="22"/>
          <w:lang w:val="hr-HR" w:eastAsia="ja-JP"/>
        </w:rPr>
        <w:t> </w:t>
      </w:r>
      <w:r w:rsidR="003F18EF" w:rsidRPr="00510442">
        <w:rPr>
          <w:rFonts w:eastAsia="MS Mincho"/>
          <w:iCs/>
          <w:sz w:val="22"/>
          <w:szCs w:val="22"/>
          <w:lang w:val="hr-HR" w:eastAsia="ja-JP"/>
        </w:rPr>
        <w:t xml:space="preserve">bolesnika u </w:t>
      </w:r>
      <w:r w:rsidR="00955BD0" w:rsidRPr="00510442">
        <w:rPr>
          <w:rFonts w:eastAsia="MS Mincho"/>
          <w:iCs/>
          <w:sz w:val="22"/>
          <w:szCs w:val="22"/>
          <w:lang w:val="hr-HR" w:eastAsia="ja-JP"/>
        </w:rPr>
        <w:t>36</w:t>
      </w:r>
      <w:r w:rsidR="00955BD0" w:rsidRPr="00510442">
        <w:rPr>
          <w:rFonts w:eastAsia="MS Mincho"/>
          <w:sz w:val="22"/>
          <w:szCs w:val="22"/>
          <w:lang w:val="hr-HR" w:eastAsia="ja-JP"/>
        </w:rPr>
        <w:t>-</w:t>
      </w:r>
      <w:r w:rsidR="003F18EF" w:rsidRPr="00510442">
        <w:rPr>
          <w:rFonts w:eastAsia="MS Mincho"/>
          <w:iCs/>
          <w:sz w:val="22"/>
          <w:szCs w:val="22"/>
          <w:lang w:val="hr-HR" w:eastAsia="ja-JP"/>
        </w:rPr>
        <w:t xml:space="preserve">mjesečni </w:t>
      </w:r>
      <w:r w:rsidR="0086386E" w:rsidRPr="00510442">
        <w:rPr>
          <w:rFonts w:eastAsia="MS Mincho"/>
          <w:iCs/>
          <w:sz w:val="22"/>
          <w:szCs w:val="22"/>
          <w:lang w:val="hr-HR" w:eastAsia="ja-JP"/>
        </w:rPr>
        <w:t>krak</w:t>
      </w:r>
      <w:r w:rsidR="00955BD0" w:rsidRPr="00510442">
        <w:rPr>
          <w:rFonts w:eastAsia="MS Mincho"/>
          <w:iCs/>
          <w:sz w:val="22"/>
          <w:szCs w:val="22"/>
          <w:lang w:val="hr-HR" w:eastAsia="ja-JP"/>
        </w:rPr>
        <w:t>),</w:t>
      </w:r>
      <w:r w:rsidR="0086386E" w:rsidRPr="00510442">
        <w:rPr>
          <w:rFonts w:eastAsia="MS Mincho"/>
          <w:iCs/>
          <w:sz w:val="22"/>
          <w:szCs w:val="22"/>
          <w:lang w:val="hr-HR" w:eastAsia="ja-JP"/>
        </w:rPr>
        <w:t xml:space="preserve"> </w:t>
      </w:r>
      <w:r w:rsidR="003F18EF" w:rsidRPr="00510442">
        <w:rPr>
          <w:rFonts w:eastAsia="MS Mincho"/>
          <w:iCs/>
          <w:sz w:val="22"/>
          <w:szCs w:val="22"/>
          <w:lang w:val="hr-HR" w:eastAsia="ja-JP"/>
        </w:rPr>
        <w:t>pri čemu je medijan starosti</w:t>
      </w:r>
      <w:r w:rsidR="0086386E" w:rsidRPr="00510442">
        <w:rPr>
          <w:rFonts w:eastAsia="MS Mincho"/>
          <w:iCs/>
          <w:sz w:val="22"/>
          <w:szCs w:val="22"/>
          <w:lang w:val="hr-HR" w:eastAsia="ja-JP"/>
        </w:rPr>
        <w:t xml:space="preserve"> bio</w:t>
      </w:r>
      <w:r w:rsidR="00955BD0" w:rsidRPr="00510442">
        <w:rPr>
          <w:rFonts w:eastAsia="MS Mincho"/>
          <w:iCs/>
          <w:sz w:val="22"/>
          <w:szCs w:val="22"/>
          <w:lang w:val="hr-HR" w:eastAsia="ja-JP"/>
        </w:rPr>
        <w:t xml:space="preserve"> </w:t>
      </w:r>
      <w:r w:rsidR="00955BD0" w:rsidRPr="00510442">
        <w:rPr>
          <w:rFonts w:eastAsia="MS Mincho"/>
          <w:bCs/>
          <w:iCs/>
          <w:sz w:val="22"/>
          <w:szCs w:val="22"/>
          <w:lang w:val="hr-HR" w:eastAsia="ja-JP"/>
        </w:rPr>
        <w:t>61</w:t>
      </w:r>
      <w:r w:rsidR="00955BD0" w:rsidRPr="00510442">
        <w:rPr>
          <w:rFonts w:eastAsia="MS Mincho"/>
          <w:sz w:val="22"/>
          <w:szCs w:val="22"/>
          <w:lang w:val="hr-HR" w:eastAsia="ja-JP"/>
        </w:rPr>
        <w:t> </w:t>
      </w:r>
      <w:r w:rsidR="003F18EF" w:rsidRPr="00510442">
        <w:rPr>
          <w:rFonts w:eastAsia="MS Mincho"/>
          <w:bCs/>
          <w:iCs/>
          <w:sz w:val="22"/>
          <w:szCs w:val="22"/>
          <w:lang w:val="hr-HR" w:eastAsia="ja-JP"/>
        </w:rPr>
        <w:t>godin</w:t>
      </w:r>
      <w:r w:rsidR="0086386E" w:rsidRPr="00510442">
        <w:rPr>
          <w:rFonts w:eastAsia="MS Mincho"/>
          <w:bCs/>
          <w:iCs/>
          <w:sz w:val="22"/>
          <w:szCs w:val="22"/>
          <w:lang w:val="hr-HR" w:eastAsia="ja-JP"/>
        </w:rPr>
        <w:t>a</w:t>
      </w:r>
      <w:r w:rsidR="00955BD0" w:rsidRPr="00510442">
        <w:rPr>
          <w:rFonts w:eastAsia="MS Mincho"/>
          <w:iCs/>
          <w:sz w:val="22"/>
          <w:szCs w:val="22"/>
          <w:lang w:val="hr-HR" w:eastAsia="ja-JP"/>
        </w:rPr>
        <w:t xml:space="preserve"> (</w:t>
      </w:r>
      <w:r w:rsidR="003F18EF" w:rsidRPr="00510442">
        <w:rPr>
          <w:rFonts w:eastAsia="MS Mincho"/>
          <w:iCs/>
          <w:sz w:val="22"/>
          <w:szCs w:val="22"/>
          <w:lang w:val="hr-HR" w:eastAsia="ja-JP"/>
        </w:rPr>
        <w:t>raspon</w:t>
      </w:r>
      <w:r w:rsidR="00955BD0" w:rsidRPr="00510442">
        <w:rPr>
          <w:rFonts w:eastAsia="MS Mincho"/>
          <w:iCs/>
          <w:sz w:val="22"/>
          <w:szCs w:val="22"/>
          <w:lang w:val="hr-HR" w:eastAsia="ja-JP"/>
        </w:rPr>
        <w:t xml:space="preserve"> </w:t>
      </w:r>
      <w:r w:rsidR="0086386E" w:rsidRPr="00510442">
        <w:rPr>
          <w:rFonts w:eastAsia="MS Mincho"/>
          <w:iCs/>
          <w:sz w:val="22"/>
          <w:szCs w:val="22"/>
          <w:lang w:val="hr-HR" w:eastAsia="ja-JP"/>
        </w:rPr>
        <w:t xml:space="preserve">od </w:t>
      </w:r>
      <w:r w:rsidR="00955BD0" w:rsidRPr="00510442">
        <w:rPr>
          <w:rFonts w:eastAsia="MS Mincho"/>
          <w:iCs/>
          <w:sz w:val="22"/>
          <w:szCs w:val="22"/>
          <w:lang w:val="hr-HR" w:eastAsia="ja-JP"/>
        </w:rPr>
        <w:t xml:space="preserve">22 </w:t>
      </w:r>
      <w:r w:rsidR="003F18EF" w:rsidRPr="00510442">
        <w:rPr>
          <w:rFonts w:eastAsia="MS Mincho"/>
          <w:iCs/>
          <w:sz w:val="22"/>
          <w:szCs w:val="22"/>
          <w:lang w:val="hr-HR" w:eastAsia="ja-JP"/>
        </w:rPr>
        <w:t>d</w:t>
      </w:r>
      <w:r w:rsidR="00955BD0" w:rsidRPr="00510442">
        <w:rPr>
          <w:rFonts w:eastAsia="MS Mincho"/>
          <w:iCs/>
          <w:sz w:val="22"/>
          <w:szCs w:val="22"/>
          <w:lang w:val="hr-HR" w:eastAsia="ja-JP"/>
        </w:rPr>
        <w:t>o 84</w:t>
      </w:r>
      <w:r w:rsidR="00955BD0" w:rsidRPr="00510442">
        <w:rPr>
          <w:rFonts w:eastAsia="MS Mincho"/>
          <w:sz w:val="22"/>
          <w:szCs w:val="22"/>
          <w:lang w:val="hr-HR" w:eastAsia="ja-JP"/>
        </w:rPr>
        <w:t> </w:t>
      </w:r>
      <w:r w:rsidR="003F18EF" w:rsidRPr="00510442">
        <w:rPr>
          <w:rFonts w:eastAsia="MS Mincho"/>
          <w:iCs/>
          <w:sz w:val="22"/>
          <w:szCs w:val="22"/>
          <w:lang w:val="hr-HR" w:eastAsia="ja-JP"/>
        </w:rPr>
        <w:t>godina</w:t>
      </w:r>
      <w:r w:rsidR="00955BD0" w:rsidRPr="00510442">
        <w:rPr>
          <w:rFonts w:eastAsia="MS Mincho"/>
          <w:iCs/>
          <w:sz w:val="22"/>
          <w:szCs w:val="22"/>
          <w:lang w:val="hr-HR" w:eastAsia="ja-JP"/>
        </w:rPr>
        <w:t xml:space="preserve">). </w:t>
      </w:r>
      <w:r w:rsidR="003F18EF" w:rsidRPr="00510442">
        <w:rPr>
          <w:rFonts w:eastAsia="MS Mincho"/>
          <w:iCs/>
          <w:sz w:val="22"/>
          <w:szCs w:val="22"/>
          <w:lang w:val="hr-HR" w:eastAsia="ja-JP"/>
        </w:rPr>
        <w:t>Medijan vremena praćenja bio je</w:t>
      </w:r>
      <w:r w:rsidR="00955BD0" w:rsidRPr="00510442">
        <w:rPr>
          <w:rFonts w:eastAsia="MS Mincho"/>
          <w:iCs/>
          <w:sz w:val="22"/>
          <w:szCs w:val="22"/>
          <w:lang w:val="hr-HR" w:eastAsia="ja-JP"/>
        </w:rPr>
        <w:t xml:space="preserve"> 54</w:t>
      </w:r>
      <w:r w:rsidR="00955BD0" w:rsidRPr="00510442">
        <w:rPr>
          <w:rFonts w:eastAsia="MS Mincho"/>
          <w:sz w:val="22"/>
          <w:szCs w:val="22"/>
          <w:lang w:val="hr-HR" w:eastAsia="ja-JP"/>
        </w:rPr>
        <w:t> </w:t>
      </w:r>
      <w:r w:rsidR="003F18EF" w:rsidRPr="00510442">
        <w:rPr>
          <w:rFonts w:eastAsia="MS Mincho"/>
          <w:iCs/>
          <w:sz w:val="22"/>
          <w:szCs w:val="22"/>
          <w:lang w:val="hr-HR" w:eastAsia="ja-JP"/>
        </w:rPr>
        <w:t>mjesec</w:t>
      </w:r>
      <w:r w:rsidR="0086386E" w:rsidRPr="00510442">
        <w:rPr>
          <w:rFonts w:eastAsia="MS Mincho"/>
          <w:iCs/>
          <w:sz w:val="22"/>
          <w:szCs w:val="22"/>
          <w:lang w:val="hr-HR" w:eastAsia="ja-JP"/>
        </w:rPr>
        <w:t>a</w:t>
      </w:r>
      <w:r w:rsidR="00955BD0" w:rsidRPr="00510442">
        <w:rPr>
          <w:rFonts w:eastAsia="MS Mincho"/>
          <w:iCs/>
          <w:sz w:val="22"/>
          <w:szCs w:val="22"/>
          <w:lang w:val="hr-HR" w:eastAsia="ja-JP"/>
        </w:rPr>
        <w:t xml:space="preserve"> (</w:t>
      </w:r>
      <w:r w:rsidR="003F18EF" w:rsidRPr="00510442">
        <w:rPr>
          <w:rFonts w:eastAsia="MS Mincho"/>
          <w:iCs/>
          <w:sz w:val="22"/>
          <w:szCs w:val="22"/>
          <w:lang w:val="hr-HR" w:eastAsia="ja-JP"/>
        </w:rPr>
        <w:t>od datuma randomizacije do završetka prikupljanja podataka</w:t>
      </w:r>
      <w:r w:rsidR="00955BD0" w:rsidRPr="00510442">
        <w:rPr>
          <w:rFonts w:eastAsia="MS Mincho"/>
          <w:iCs/>
          <w:sz w:val="22"/>
          <w:szCs w:val="22"/>
          <w:lang w:val="hr-HR" w:eastAsia="ja-JP"/>
        </w:rPr>
        <w:t xml:space="preserve">), </w:t>
      </w:r>
      <w:r w:rsidR="0086386E" w:rsidRPr="00510442">
        <w:rPr>
          <w:rFonts w:eastAsia="MS Mincho"/>
          <w:iCs/>
          <w:sz w:val="22"/>
          <w:szCs w:val="22"/>
          <w:lang w:val="hr-HR" w:eastAsia="ja-JP"/>
        </w:rPr>
        <w:t>pri čemu je od randomizacije prvog bolesnika do završetka prikupljanja podataka prošlo</w:t>
      </w:r>
      <w:r w:rsidR="00955BD0" w:rsidRPr="00510442">
        <w:rPr>
          <w:rFonts w:eastAsia="MS Mincho"/>
          <w:iCs/>
          <w:sz w:val="22"/>
          <w:szCs w:val="22"/>
          <w:lang w:val="hr-HR" w:eastAsia="ja-JP"/>
        </w:rPr>
        <w:t xml:space="preserve"> 83</w:t>
      </w:r>
      <w:r w:rsidR="00955BD0" w:rsidRPr="00510442">
        <w:rPr>
          <w:rFonts w:eastAsia="MS Mincho"/>
          <w:sz w:val="22"/>
          <w:szCs w:val="22"/>
          <w:lang w:val="hr-HR" w:eastAsia="ja-JP"/>
        </w:rPr>
        <w:t> </w:t>
      </w:r>
      <w:r w:rsidR="00955BD0" w:rsidRPr="00510442">
        <w:rPr>
          <w:rFonts w:eastAsia="MS Mincho"/>
          <w:iCs/>
          <w:sz w:val="22"/>
          <w:szCs w:val="22"/>
          <w:lang w:val="hr-HR" w:eastAsia="ja-JP"/>
        </w:rPr>
        <w:t>m</w:t>
      </w:r>
      <w:r w:rsidR="0086386E" w:rsidRPr="00510442">
        <w:rPr>
          <w:rFonts w:eastAsia="MS Mincho"/>
          <w:iCs/>
          <w:sz w:val="22"/>
          <w:szCs w:val="22"/>
          <w:lang w:val="hr-HR" w:eastAsia="ja-JP"/>
        </w:rPr>
        <w:t>jeseca</w:t>
      </w:r>
      <w:r w:rsidR="00955BD0" w:rsidRPr="00510442">
        <w:rPr>
          <w:rFonts w:eastAsia="MS Mincho"/>
          <w:iCs/>
          <w:sz w:val="22"/>
          <w:szCs w:val="22"/>
          <w:lang w:val="hr-HR" w:eastAsia="ja-JP"/>
        </w:rPr>
        <w:t>.</w:t>
      </w:r>
    </w:p>
    <w:p w14:paraId="305C55F1" w14:textId="77777777" w:rsidR="00955BD0" w:rsidRPr="00510442" w:rsidRDefault="00955BD0" w:rsidP="00422F71">
      <w:pPr>
        <w:tabs>
          <w:tab w:val="clear" w:pos="567"/>
        </w:tabs>
        <w:spacing w:line="240" w:lineRule="auto"/>
        <w:rPr>
          <w:rFonts w:eastAsia="MS Mincho"/>
          <w:iCs/>
          <w:szCs w:val="22"/>
          <w:lang w:val="hr-HR" w:eastAsia="ja-JP"/>
        </w:rPr>
      </w:pPr>
    </w:p>
    <w:p w14:paraId="6159D4CB" w14:textId="77777777" w:rsidR="002C7B2D" w:rsidRPr="00510442" w:rsidRDefault="002C7B2D" w:rsidP="009B5630">
      <w:pPr>
        <w:spacing w:line="240" w:lineRule="auto"/>
        <w:rPr>
          <w:szCs w:val="22"/>
          <w:lang w:val="hr-HR"/>
        </w:rPr>
      </w:pPr>
      <w:r w:rsidRPr="00510442">
        <w:rPr>
          <w:szCs w:val="22"/>
          <w:lang w:val="hr-HR"/>
        </w:rPr>
        <w:t xml:space="preserve">Primarni </w:t>
      </w:r>
      <w:r w:rsidR="00F73A3D" w:rsidRPr="00510442">
        <w:rPr>
          <w:szCs w:val="22"/>
          <w:lang w:val="hr-HR"/>
        </w:rPr>
        <w:t xml:space="preserve">ishod </w:t>
      </w:r>
      <w:r w:rsidRPr="00510442">
        <w:rPr>
          <w:szCs w:val="22"/>
          <w:lang w:val="hr-HR"/>
        </w:rPr>
        <w:t>ispitivanja bio je preživlj</w:t>
      </w:r>
      <w:r w:rsidR="00F73A3D" w:rsidRPr="00510442">
        <w:rPr>
          <w:szCs w:val="22"/>
          <w:lang w:val="hr-HR"/>
        </w:rPr>
        <w:t>e</w:t>
      </w:r>
      <w:r w:rsidRPr="00510442">
        <w:rPr>
          <w:szCs w:val="22"/>
          <w:lang w:val="hr-HR"/>
        </w:rPr>
        <w:t>nje bez recidiva bolesti, definirano kao vrijeme od datuma randomizacije do datuma recidiva ili smrti zbog bilo kojeg uzroka.</w:t>
      </w:r>
    </w:p>
    <w:p w14:paraId="4E454C35" w14:textId="77777777" w:rsidR="00955BD0" w:rsidRPr="00510442" w:rsidRDefault="00955BD0" w:rsidP="0091773C">
      <w:pPr>
        <w:tabs>
          <w:tab w:val="clear" w:pos="567"/>
        </w:tabs>
        <w:spacing w:line="240" w:lineRule="auto"/>
        <w:rPr>
          <w:rFonts w:eastAsia="MS Mincho"/>
          <w:szCs w:val="22"/>
          <w:lang w:val="hr-HR" w:eastAsia="ja-JP"/>
        </w:rPr>
      </w:pPr>
    </w:p>
    <w:p w14:paraId="53896CA3" w14:textId="641D223E" w:rsidR="00955BD0" w:rsidRPr="00510442" w:rsidRDefault="00A932E5" w:rsidP="00422F71">
      <w:pPr>
        <w:tabs>
          <w:tab w:val="clear" w:pos="567"/>
        </w:tabs>
        <w:spacing w:line="240" w:lineRule="auto"/>
        <w:rPr>
          <w:rFonts w:eastAsia="MS Mincho"/>
          <w:iCs/>
          <w:szCs w:val="22"/>
          <w:lang w:val="hr-HR" w:eastAsia="ja-JP"/>
        </w:rPr>
      </w:pPr>
      <w:r w:rsidRPr="00510442">
        <w:rPr>
          <w:rFonts w:eastAsia="MS Mincho"/>
          <w:iCs/>
          <w:szCs w:val="22"/>
          <w:lang w:val="hr-HR" w:eastAsia="ja-JP"/>
        </w:rPr>
        <w:t>Trideset i šest</w:t>
      </w:r>
      <w:r w:rsidR="00955BD0" w:rsidRPr="00510442">
        <w:rPr>
          <w:rFonts w:eastAsia="MS Mincho"/>
          <w:iCs/>
          <w:szCs w:val="22"/>
          <w:lang w:val="hr-HR" w:eastAsia="ja-JP"/>
        </w:rPr>
        <w:t xml:space="preserve"> (36) </w:t>
      </w:r>
      <w:r w:rsidRPr="00510442">
        <w:rPr>
          <w:rFonts w:eastAsia="MS Mincho"/>
          <w:iCs/>
          <w:szCs w:val="22"/>
          <w:lang w:val="hr-HR" w:eastAsia="ja-JP"/>
        </w:rPr>
        <w:t xml:space="preserve">mjeseci liječenja </w:t>
      </w:r>
      <w:r w:rsidR="00B0477E">
        <w:rPr>
          <w:szCs w:val="22"/>
          <w:lang w:val="hr-HR"/>
        </w:rPr>
        <w:t xml:space="preserve">lijekom </w:t>
      </w:r>
      <w:r w:rsidR="00955BD0" w:rsidRPr="00510442">
        <w:rPr>
          <w:rFonts w:eastAsia="MS Mincho"/>
          <w:iCs/>
          <w:szCs w:val="22"/>
          <w:lang w:val="hr-HR" w:eastAsia="ja-JP"/>
        </w:rPr>
        <w:t>Glivec</w:t>
      </w:r>
      <w:r w:rsidRPr="00510442">
        <w:rPr>
          <w:rFonts w:eastAsia="MS Mincho"/>
          <w:iCs/>
          <w:szCs w:val="22"/>
          <w:lang w:val="hr-HR" w:eastAsia="ja-JP"/>
        </w:rPr>
        <w:t xml:space="preserve"> značajno je produljilo </w:t>
      </w:r>
      <w:r w:rsidRPr="00510442">
        <w:rPr>
          <w:szCs w:val="22"/>
          <w:lang w:val="hr-HR"/>
        </w:rPr>
        <w:t>preživlj</w:t>
      </w:r>
      <w:r w:rsidR="00B655F5" w:rsidRPr="00510442">
        <w:rPr>
          <w:szCs w:val="22"/>
          <w:lang w:val="hr-HR"/>
        </w:rPr>
        <w:t>e</w:t>
      </w:r>
      <w:r w:rsidRPr="00510442">
        <w:rPr>
          <w:szCs w:val="22"/>
          <w:lang w:val="hr-HR"/>
        </w:rPr>
        <w:t xml:space="preserve">nje bez recidiva bolesti u usporedbi s </w:t>
      </w:r>
      <w:r w:rsidR="00955BD0" w:rsidRPr="00510442">
        <w:rPr>
          <w:rFonts w:eastAsia="MS Mincho"/>
          <w:iCs/>
          <w:szCs w:val="22"/>
          <w:lang w:val="hr-HR" w:eastAsia="ja-JP"/>
        </w:rPr>
        <w:t>12</w:t>
      </w:r>
      <w:r w:rsidR="00955BD0" w:rsidRPr="00510442">
        <w:rPr>
          <w:rFonts w:eastAsia="MS Mincho"/>
          <w:szCs w:val="22"/>
          <w:lang w:val="hr-HR" w:eastAsia="ja-JP"/>
        </w:rPr>
        <w:t> </w:t>
      </w:r>
      <w:r w:rsidRPr="00510442">
        <w:rPr>
          <w:rFonts w:eastAsia="MS Mincho"/>
          <w:iCs/>
          <w:szCs w:val="22"/>
          <w:lang w:val="hr-HR" w:eastAsia="ja-JP"/>
        </w:rPr>
        <w:t xml:space="preserve">mjeseci liječenja </w:t>
      </w:r>
      <w:r w:rsidR="00B0477E">
        <w:rPr>
          <w:szCs w:val="22"/>
          <w:lang w:val="hr-HR"/>
        </w:rPr>
        <w:t xml:space="preserve">lijekom </w:t>
      </w:r>
      <w:r w:rsidRPr="00510442">
        <w:rPr>
          <w:rFonts w:eastAsia="MS Mincho"/>
          <w:iCs/>
          <w:szCs w:val="22"/>
          <w:lang w:val="hr-HR" w:eastAsia="ja-JP"/>
        </w:rPr>
        <w:t xml:space="preserve">Glivec </w:t>
      </w:r>
      <w:r w:rsidR="00955BD0" w:rsidRPr="00510442">
        <w:rPr>
          <w:rFonts w:eastAsia="MS Mincho"/>
          <w:iCs/>
          <w:szCs w:val="22"/>
          <w:lang w:val="hr-HR" w:eastAsia="ja-JP"/>
        </w:rPr>
        <w:t>(</w:t>
      </w:r>
      <w:r w:rsidRPr="00510442">
        <w:rPr>
          <w:rFonts w:eastAsia="MS Mincho"/>
          <w:iCs/>
          <w:szCs w:val="22"/>
          <w:lang w:val="hr-HR" w:eastAsia="ja-JP"/>
        </w:rPr>
        <w:t xml:space="preserve">uz ukupan omjer rizika </w:t>
      </w:r>
      <w:r w:rsidR="00955BD0" w:rsidRPr="00510442">
        <w:rPr>
          <w:rFonts w:eastAsia="MS Mincho"/>
          <w:iCs/>
          <w:szCs w:val="22"/>
          <w:lang w:val="hr-HR" w:eastAsia="ja-JP"/>
        </w:rPr>
        <w:t>= 0</w:t>
      </w:r>
      <w:r w:rsidRPr="00510442">
        <w:rPr>
          <w:rFonts w:eastAsia="MS Mincho"/>
          <w:iCs/>
          <w:szCs w:val="22"/>
          <w:lang w:val="hr-HR" w:eastAsia="ja-JP"/>
        </w:rPr>
        <w:t>,</w:t>
      </w:r>
      <w:r w:rsidR="00955BD0" w:rsidRPr="00510442">
        <w:rPr>
          <w:rFonts w:eastAsia="MS Mincho"/>
          <w:iCs/>
          <w:szCs w:val="22"/>
          <w:lang w:val="hr-HR" w:eastAsia="ja-JP"/>
        </w:rPr>
        <w:t>46 [0</w:t>
      </w:r>
      <w:r w:rsidRPr="00510442">
        <w:rPr>
          <w:rFonts w:eastAsia="MS Mincho"/>
          <w:iCs/>
          <w:szCs w:val="22"/>
          <w:lang w:val="hr-HR" w:eastAsia="ja-JP"/>
        </w:rPr>
        <w:t>,</w:t>
      </w:r>
      <w:r w:rsidR="00955BD0" w:rsidRPr="00510442">
        <w:rPr>
          <w:rFonts w:eastAsia="MS Mincho"/>
          <w:iCs/>
          <w:szCs w:val="22"/>
          <w:lang w:val="hr-HR" w:eastAsia="ja-JP"/>
        </w:rPr>
        <w:t>32, 0</w:t>
      </w:r>
      <w:r w:rsidRPr="00510442">
        <w:rPr>
          <w:rFonts w:eastAsia="MS Mincho"/>
          <w:iCs/>
          <w:szCs w:val="22"/>
          <w:lang w:val="hr-HR" w:eastAsia="ja-JP"/>
        </w:rPr>
        <w:t>,</w:t>
      </w:r>
      <w:r w:rsidR="00955BD0" w:rsidRPr="00510442">
        <w:rPr>
          <w:rFonts w:eastAsia="MS Mincho"/>
          <w:iCs/>
          <w:szCs w:val="22"/>
          <w:lang w:val="hr-HR" w:eastAsia="ja-JP"/>
        </w:rPr>
        <w:t>65], p&lt;0</w:t>
      </w:r>
      <w:r w:rsidRPr="00510442">
        <w:rPr>
          <w:rFonts w:eastAsia="MS Mincho"/>
          <w:iCs/>
          <w:szCs w:val="22"/>
          <w:lang w:val="hr-HR" w:eastAsia="ja-JP"/>
        </w:rPr>
        <w:t>,</w:t>
      </w:r>
      <w:r w:rsidR="00955BD0" w:rsidRPr="00510442">
        <w:rPr>
          <w:rFonts w:eastAsia="MS Mincho"/>
          <w:iCs/>
          <w:szCs w:val="22"/>
          <w:lang w:val="hr-HR" w:eastAsia="ja-JP"/>
        </w:rPr>
        <w:t>0001</w:t>
      </w:r>
      <w:r w:rsidR="00701E9B" w:rsidRPr="00510442">
        <w:rPr>
          <w:rFonts w:eastAsia="MS Mincho"/>
          <w:iCs/>
          <w:szCs w:val="22"/>
          <w:lang w:val="hr-HR" w:eastAsia="ja-JP"/>
        </w:rPr>
        <w:t>)</w:t>
      </w:r>
      <w:r w:rsidRPr="00510442">
        <w:rPr>
          <w:rFonts w:eastAsia="MS Mincho"/>
          <w:iCs/>
          <w:szCs w:val="22"/>
          <w:lang w:val="hr-HR" w:eastAsia="ja-JP"/>
        </w:rPr>
        <w:t xml:space="preserve"> (Tablica</w:t>
      </w:r>
      <w:r w:rsidR="00955BD0" w:rsidRPr="00510442">
        <w:rPr>
          <w:rFonts w:eastAsia="MS Mincho"/>
          <w:szCs w:val="22"/>
          <w:lang w:val="hr-HR" w:eastAsia="ja-JP"/>
        </w:rPr>
        <w:t> </w:t>
      </w:r>
      <w:r w:rsidR="00A43561" w:rsidRPr="00510442">
        <w:rPr>
          <w:rFonts w:eastAsia="MS Mincho"/>
          <w:iCs/>
          <w:szCs w:val="22"/>
          <w:lang w:val="hr-HR" w:eastAsia="ja-JP"/>
        </w:rPr>
        <w:t>8</w:t>
      </w:r>
      <w:r w:rsidR="00955BD0" w:rsidRPr="00510442">
        <w:rPr>
          <w:rFonts w:eastAsia="MS Mincho"/>
          <w:iCs/>
          <w:szCs w:val="22"/>
          <w:lang w:val="hr-HR" w:eastAsia="ja-JP"/>
        </w:rPr>
        <w:t xml:space="preserve">, </w:t>
      </w:r>
      <w:r w:rsidRPr="00510442">
        <w:rPr>
          <w:rFonts w:eastAsia="MS Mincho"/>
          <w:szCs w:val="22"/>
          <w:lang w:val="hr-HR"/>
        </w:rPr>
        <w:t>Slika</w:t>
      </w:r>
      <w:r w:rsidR="00955BD0" w:rsidRPr="00510442">
        <w:rPr>
          <w:rFonts w:eastAsia="MS Mincho"/>
          <w:szCs w:val="22"/>
          <w:lang w:val="hr-HR"/>
        </w:rPr>
        <w:t> 1</w:t>
      </w:r>
      <w:r w:rsidR="00955BD0" w:rsidRPr="00510442">
        <w:rPr>
          <w:rFonts w:eastAsia="MS Mincho"/>
          <w:iCs/>
          <w:szCs w:val="22"/>
          <w:lang w:val="hr-HR" w:eastAsia="ja-JP"/>
        </w:rPr>
        <w:t>).</w:t>
      </w:r>
    </w:p>
    <w:p w14:paraId="5A198BD2" w14:textId="77777777" w:rsidR="00955BD0" w:rsidRPr="00510442" w:rsidRDefault="00955BD0" w:rsidP="00422F71">
      <w:pPr>
        <w:tabs>
          <w:tab w:val="clear" w:pos="567"/>
        </w:tabs>
        <w:spacing w:line="240" w:lineRule="auto"/>
        <w:rPr>
          <w:rFonts w:eastAsia="MS Mincho"/>
          <w:iCs/>
          <w:szCs w:val="22"/>
          <w:lang w:val="hr-HR" w:eastAsia="ja-JP"/>
        </w:rPr>
      </w:pPr>
    </w:p>
    <w:p w14:paraId="2115D2A1" w14:textId="3893EF25" w:rsidR="00F121FF" w:rsidRPr="00510442" w:rsidRDefault="00102943" w:rsidP="00A74D02">
      <w:pPr>
        <w:tabs>
          <w:tab w:val="clear" w:pos="567"/>
        </w:tabs>
        <w:spacing w:line="240" w:lineRule="auto"/>
        <w:rPr>
          <w:rFonts w:eastAsia="MS Mincho"/>
          <w:iCs/>
          <w:szCs w:val="22"/>
          <w:lang w:val="hr-HR" w:eastAsia="ja-JP"/>
        </w:rPr>
      </w:pPr>
      <w:r w:rsidRPr="00510442">
        <w:rPr>
          <w:rFonts w:eastAsia="MS Mincho"/>
          <w:iCs/>
          <w:szCs w:val="22"/>
          <w:lang w:val="hr-HR" w:eastAsia="ja-JP"/>
        </w:rPr>
        <w:t>Osim toga</w:t>
      </w:r>
      <w:r w:rsidR="00955BD0" w:rsidRPr="00510442">
        <w:rPr>
          <w:rFonts w:eastAsia="MS Mincho"/>
          <w:iCs/>
          <w:szCs w:val="22"/>
          <w:lang w:val="hr-HR" w:eastAsia="ja-JP"/>
        </w:rPr>
        <w:t xml:space="preserve">, </w:t>
      </w:r>
      <w:r w:rsidRPr="00510442">
        <w:rPr>
          <w:rFonts w:eastAsia="MS Mincho"/>
          <w:iCs/>
          <w:szCs w:val="22"/>
          <w:lang w:val="hr-HR" w:eastAsia="ja-JP"/>
        </w:rPr>
        <w:t>trideset i šest</w:t>
      </w:r>
      <w:r w:rsidR="00955BD0" w:rsidRPr="00510442">
        <w:rPr>
          <w:rFonts w:eastAsia="MS Mincho"/>
          <w:iCs/>
          <w:szCs w:val="22"/>
          <w:lang w:val="hr-HR" w:eastAsia="ja-JP"/>
        </w:rPr>
        <w:t xml:space="preserve"> (36) </w:t>
      </w:r>
      <w:r w:rsidRPr="00510442">
        <w:rPr>
          <w:rFonts w:eastAsia="MS Mincho"/>
          <w:iCs/>
          <w:szCs w:val="22"/>
          <w:lang w:val="hr-HR" w:eastAsia="ja-JP"/>
        </w:rPr>
        <w:t xml:space="preserve">mjeseci liječenja </w:t>
      </w:r>
      <w:r w:rsidR="00B0477E">
        <w:rPr>
          <w:szCs w:val="22"/>
          <w:lang w:val="hr-HR"/>
        </w:rPr>
        <w:t xml:space="preserve">lijekom </w:t>
      </w:r>
      <w:r w:rsidRPr="00510442">
        <w:rPr>
          <w:rFonts w:eastAsia="MS Mincho"/>
          <w:iCs/>
          <w:szCs w:val="22"/>
          <w:lang w:val="hr-HR" w:eastAsia="ja-JP"/>
        </w:rPr>
        <w:t>G</w:t>
      </w:r>
      <w:r w:rsidR="00955BD0" w:rsidRPr="00510442">
        <w:rPr>
          <w:rFonts w:eastAsia="MS Mincho"/>
          <w:iCs/>
          <w:szCs w:val="22"/>
          <w:lang w:val="hr-HR" w:eastAsia="ja-JP"/>
        </w:rPr>
        <w:t>livec</w:t>
      </w:r>
      <w:r w:rsidRPr="00510442">
        <w:rPr>
          <w:rFonts w:eastAsia="MS Mincho"/>
          <w:iCs/>
          <w:szCs w:val="22"/>
          <w:lang w:val="hr-HR" w:eastAsia="ja-JP"/>
        </w:rPr>
        <w:t xml:space="preserve"> značajno je produljilo ukupno preživlj</w:t>
      </w:r>
      <w:r w:rsidR="00F73A3D" w:rsidRPr="00510442">
        <w:rPr>
          <w:rFonts w:eastAsia="MS Mincho"/>
          <w:iCs/>
          <w:szCs w:val="22"/>
          <w:lang w:val="hr-HR" w:eastAsia="ja-JP"/>
        </w:rPr>
        <w:t>e</w:t>
      </w:r>
      <w:r w:rsidRPr="00510442">
        <w:rPr>
          <w:rFonts w:eastAsia="MS Mincho"/>
          <w:iCs/>
          <w:szCs w:val="22"/>
          <w:lang w:val="hr-HR" w:eastAsia="ja-JP"/>
        </w:rPr>
        <w:t>nje</w:t>
      </w:r>
      <w:r w:rsidR="00955BD0" w:rsidRPr="00510442">
        <w:rPr>
          <w:rFonts w:eastAsia="MS Mincho"/>
          <w:iCs/>
          <w:szCs w:val="22"/>
          <w:lang w:val="hr-HR" w:eastAsia="ja-JP"/>
        </w:rPr>
        <w:t xml:space="preserve"> (OS) </w:t>
      </w:r>
      <w:r w:rsidRPr="00510442">
        <w:rPr>
          <w:szCs w:val="22"/>
          <w:lang w:val="hr-HR"/>
        </w:rPr>
        <w:t>u usporedbi s</w:t>
      </w:r>
      <w:r w:rsidRPr="00510442">
        <w:rPr>
          <w:rFonts w:eastAsia="MS Mincho"/>
          <w:iCs/>
          <w:szCs w:val="22"/>
          <w:lang w:val="hr-HR" w:eastAsia="ja-JP"/>
        </w:rPr>
        <w:t xml:space="preserve"> </w:t>
      </w:r>
      <w:r w:rsidR="00955BD0" w:rsidRPr="00510442">
        <w:rPr>
          <w:rFonts w:eastAsia="MS Mincho"/>
          <w:iCs/>
          <w:szCs w:val="22"/>
          <w:lang w:val="hr-HR" w:eastAsia="ja-JP"/>
        </w:rPr>
        <w:t>12</w:t>
      </w:r>
      <w:r w:rsidR="00955BD0" w:rsidRPr="00510442">
        <w:rPr>
          <w:rFonts w:eastAsia="MS Mincho"/>
          <w:szCs w:val="22"/>
          <w:lang w:val="hr-HR" w:eastAsia="ja-JP"/>
        </w:rPr>
        <w:t> </w:t>
      </w:r>
      <w:r w:rsidRPr="00510442">
        <w:rPr>
          <w:rFonts w:eastAsia="MS Mincho"/>
          <w:iCs/>
          <w:szCs w:val="22"/>
          <w:lang w:val="hr-HR" w:eastAsia="ja-JP"/>
        </w:rPr>
        <w:t xml:space="preserve">mjeseci liječenja </w:t>
      </w:r>
      <w:r w:rsidR="00B0477E">
        <w:rPr>
          <w:szCs w:val="22"/>
          <w:lang w:val="hr-HR"/>
        </w:rPr>
        <w:t xml:space="preserve">lijekom </w:t>
      </w:r>
      <w:r w:rsidR="00955BD0" w:rsidRPr="00510442">
        <w:rPr>
          <w:rFonts w:eastAsia="MS Mincho"/>
          <w:iCs/>
          <w:szCs w:val="22"/>
          <w:lang w:val="hr-HR" w:eastAsia="ja-JP"/>
        </w:rPr>
        <w:t>Glivec (</w:t>
      </w:r>
      <w:r w:rsidRPr="00510442">
        <w:rPr>
          <w:rFonts w:eastAsia="MS Mincho"/>
          <w:iCs/>
          <w:szCs w:val="22"/>
          <w:lang w:val="hr-HR" w:eastAsia="ja-JP"/>
        </w:rPr>
        <w:t xml:space="preserve">omjer rizika </w:t>
      </w:r>
      <w:r w:rsidR="00955BD0" w:rsidRPr="00510442">
        <w:rPr>
          <w:rFonts w:eastAsia="MS Mincho"/>
          <w:iCs/>
          <w:szCs w:val="22"/>
          <w:lang w:val="hr-HR" w:eastAsia="ja-JP"/>
        </w:rPr>
        <w:t>= 0</w:t>
      </w:r>
      <w:r w:rsidRPr="00510442">
        <w:rPr>
          <w:rFonts w:eastAsia="MS Mincho"/>
          <w:iCs/>
          <w:szCs w:val="22"/>
          <w:lang w:val="hr-HR" w:eastAsia="ja-JP"/>
        </w:rPr>
        <w:t>,</w:t>
      </w:r>
      <w:r w:rsidR="00955BD0" w:rsidRPr="00510442">
        <w:rPr>
          <w:rFonts w:eastAsia="MS Mincho"/>
          <w:iCs/>
          <w:szCs w:val="22"/>
          <w:lang w:val="hr-HR" w:eastAsia="ja-JP"/>
        </w:rPr>
        <w:t>45 [0</w:t>
      </w:r>
      <w:r w:rsidRPr="00510442">
        <w:rPr>
          <w:rFonts w:eastAsia="MS Mincho"/>
          <w:iCs/>
          <w:szCs w:val="22"/>
          <w:lang w:val="hr-HR" w:eastAsia="ja-JP"/>
        </w:rPr>
        <w:t>,</w:t>
      </w:r>
      <w:r w:rsidR="00955BD0" w:rsidRPr="00510442">
        <w:rPr>
          <w:rFonts w:eastAsia="MS Mincho"/>
          <w:iCs/>
          <w:szCs w:val="22"/>
          <w:lang w:val="hr-HR" w:eastAsia="ja-JP"/>
        </w:rPr>
        <w:t>22, 0</w:t>
      </w:r>
      <w:r w:rsidRPr="00510442">
        <w:rPr>
          <w:rFonts w:eastAsia="MS Mincho"/>
          <w:iCs/>
          <w:szCs w:val="22"/>
          <w:lang w:val="hr-HR" w:eastAsia="ja-JP"/>
        </w:rPr>
        <w:t>,</w:t>
      </w:r>
      <w:r w:rsidR="00955BD0" w:rsidRPr="00510442">
        <w:rPr>
          <w:rFonts w:eastAsia="MS Mincho"/>
          <w:iCs/>
          <w:szCs w:val="22"/>
          <w:lang w:val="hr-HR" w:eastAsia="ja-JP"/>
        </w:rPr>
        <w:t>89], p=0</w:t>
      </w:r>
      <w:r w:rsidRPr="00510442">
        <w:rPr>
          <w:rFonts w:eastAsia="MS Mincho"/>
          <w:iCs/>
          <w:szCs w:val="22"/>
          <w:lang w:val="hr-HR" w:eastAsia="ja-JP"/>
        </w:rPr>
        <w:t>,</w:t>
      </w:r>
      <w:r w:rsidR="00955BD0" w:rsidRPr="00510442">
        <w:rPr>
          <w:rFonts w:eastAsia="MS Mincho"/>
          <w:iCs/>
          <w:szCs w:val="22"/>
          <w:lang w:val="hr-HR" w:eastAsia="ja-JP"/>
        </w:rPr>
        <w:t>0187) (Tabl</w:t>
      </w:r>
      <w:r w:rsidRPr="00510442">
        <w:rPr>
          <w:rFonts w:eastAsia="MS Mincho"/>
          <w:iCs/>
          <w:szCs w:val="22"/>
          <w:lang w:val="hr-HR" w:eastAsia="ja-JP"/>
        </w:rPr>
        <w:t>ica</w:t>
      </w:r>
      <w:r w:rsidR="00955BD0" w:rsidRPr="00510442">
        <w:rPr>
          <w:rFonts w:eastAsia="MS Mincho"/>
          <w:szCs w:val="22"/>
          <w:lang w:val="hr-HR" w:eastAsia="ja-JP"/>
        </w:rPr>
        <w:t> </w:t>
      </w:r>
      <w:r w:rsidR="00A43561" w:rsidRPr="00510442">
        <w:rPr>
          <w:rFonts w:eastAsia="MS Mincho"/>
          <w:iCs/>
          <w:szCs w:val="22"/>
          <w:lang w:val="hr-HR" w:eastAsia="ja-JP"/>
        </w:rPr>
        <w:t>8</w:t>
      </w:r>
      <w:r w:rsidR="00955BD0" w:rsidRPr="00510442">
        <w:rPr>
          <w:rFonts w:eastAsia="MS Mincho"/>
          <w:iCs/>
          <w:szCs w:val="22"/>
          <w:lang w:val="hr-HR" w:eastAsia="ja-JP"/>
        </w:rPr>
        <w:t xml:space="preserve">, </w:t>
      </w:r>
      <w:r w:rsidRPr="00510442">
        <w:rPr>
          <w:rFonts w:eastAsia="MS Mincho"/>
          <w:iCs/>
          <w:szCs w:val="22"/>
          <w:lang w:val="hr-HR" w:eastAsia="ja-JP"/>
        </w:rPr>
        <w:t>Slika</w:t>
      </w:r>
      <w:r w:rsidR="00955BD0" w:rsidRPr="00510442">
        <w:rPr>
          <w:rFonts w:eastAsia="MS Mincho"/>
          <w:iCs/>
          <w:szCs w:val="22"/>
          <w:lang w:val="hr-HR" w:eastAsia="ja-JP"/>
        </w:rPr>
        <w:t> 2).</w:t>
      </w:r>
    </w:p>
    <w:p w14:paraId="5D3E2E12" w14:textId="77777777" w:rsidR="00383791" w:rsidRPr="00510442" w:rsidRDefault="00383791" w:rsidP="009B5630">
      <w:pPr>
        <w:spacing w:line="240" w:lineRule="auto"/>
        <w:rPr>
          <w:rFonts w:eastAsia="MS Mincho"/>
          <w:szCs w:val="22"/>
          <w:lang w:val="hr-HR" w:eastAsia="ja-JP"/>
        </w:rPr>
      </w:pPr>
    </w:p>
    <w:p w14:paraId="357A6299" w14:textId="77777777" w:rsidR="00F121FF" w:rsidRPr="00510442" w:rsidRDefault="00B95DDE" w:rsidP="009B5630">
      <w:pPr>
        <w:spacing w:line="240" w:lineRule="auto"/>
        <w:rPr>
          <w:rFonts w:eastAsia="MS Mincho"/>
          <w:szCs w:val="22"/>
          <w:lang w:val="hr-HR" w:eastAsia="ja-JP"/>
        </w:rPr>
      </w:pPr>
      <w:r w:rsidRPr="00510442">
        <w:rPr>
          <w:rFonts w:eastAsia="MS Mincho"/>
          <w:szCs w:val="22"/>
          <w:lang w:val="hr-HR" w:eastAsia="ja-JP"/>
        </w:rPr>
        <w:t>Duže trajanje liječenja</w:t>
      </w:r>
      <w:r w:rsidR="00F121FF" w:rsidRPr="00510442">
        <w:rPr>
          <w:rFonts w:eastAsia="MS Mincho"/>
          <w:szCs w:val="22"/>
          <w:lang w:val="hr-HR" w:eastAsia="ja-JP"/>
        </w:rPr>
        <w:t xml:space="preserve"> (&gt;36</w:t>
      </w:r>
      <w:r w:rsidR="00383791" w:rsidRPr="00510442">
        <w:rPr>
          <w:rFonts w:eastAsia="MS Mincho"/>
          <w:szCs w:val="22"/>
          <w:lang w:val="hr-HR" w:eastAsia="ja-JP"/>
        </w:rPr>
        <w:t> </w:t>
      </w:r>
      <w:r w:rsidR="00F121FF" w:rsidRPr="00510442">
        <w:rPr>
          <w:rFonts w:eastAsia="MS Mincho"/>
          <w:szCs w:val="22"/>
          <w:lang w:val="hr-HR" w:eastAsia="ja-JP"/>
        </w:rPr>
        <w:t>m</w:t>
      </w:r>
      <w:r w:rsidRPr="00510442">
        <w:rPr>
          <w:rFonts w:eastAsia="MS Mincho"/>
          <w:szCs w:val="22"/>
          <w:lang w:val="hr-HR" w:eastAsia="ja-JP"/>
        </w:rPr>
        <w:t>jeseci</w:t>
      </w:r>
      <w:r w:rsidR="00F121FF" w:rsidRPr="00510442">
        <w:rPr>
          <w:rFonts w:eastAsia="MS Mincho"/>
          <w:szCs w:val="22"/>
          <w:lang w:val="hr-HR" w:eastAsia="ja-JP"/>
        </w:rPr>
        <w:t xml:space="preserve">) </w:t>
      </w:r>
      <w:r w:rsidRPr="00510442">
        <w:rPr>
          <w:rFonts w:eastAsia="MS Mincho"/>
          <w:szCs w:val="22"/>
          <w:lang w:val="hr-HR" w:eastAsia="ja-JP"/>
        </w:rPr>
        <w:t>može odgoditi pojavu dodatnih recidiva</w:t>
      </w:r>
      <w:r w:rsidR="00F121FF" w:rsidRPr="00510442">
        <w:rPr>
          <w:rFonts w:eastAsia="MS Mincho"/>
          <w:szCs w:val="22"/>
          <w:lang w:val="hr-HR" w:eastAsia="ja-JP"/>
        </w:rPr>
        <w:t xml:space="preserve">; </w:t>
      </w:r>
      <w:r w:rsidRPr="00510442">
        <w:rPr>
          <w:rFonts w:eastAsia="MS Mincho"/>
          <w:szCs w:val="22"/>
          <w:lang w:val="hr-HR" w:eastAsia="ja-JP"/>
        </w:rPr>
        <w:t>međutim utjecaj tih nalaza na ukupno preživlj</w:t>
      </w:r>
      <w:r w:rsidR="00F73A3D" w:rsidRPr="00510442">
        <w:rPr>
          <w:rFonts w:eastAsia="MS Mincho"/>
          <w:szCs w:val="22"/>
          <w:lang w:val="hr-HR" w:eastAsia="ja-JP"/>
        </w:rPr>
        <w:t>e</w:t>
      </w:r>
      <w:r w:rsidRPr="00510442">
        <w:rPr>
          <w:rFonts w:eastAsia="MS Mincho"/>
          <w:szCs w:val="22"/>
          <w:lang w:val="hr-HR" w:eastAsia="ja-JP"/>
        </w:rPr>
        <w:t>nje ostaje nepoznat</w:t>
      </w:r>
      <w:r w:rsidR="00F121FF" w:rsidRPr="00510442">
        <w:rPr>
          <w:rFonts w:eastAsia="MS Mincho"/>
          <w:szCs w:val="22"/>
          <w:lang w:val="hr-HR" w:eastAsia="ja-JP"/>
        </w:rPr>
        <w:t>.</w:t>
      </w:r>
    </w:p>
    <w:p w14:paraId="33255D4D" w14:textId="77777777" w:rsidR="00B95DDE" w:rsidRPr="00510442" w:rsidRDefault="00B95DDE" w:rsidP="009B5630">
      <w:pPr>
        <w:spacing w:line="240" w:lineRule="auto"/>
        <w:rPr>
          <w:rFonts w:eastAsia="MS Mincho"/>
          <w:szCs w:val="22"/>
          <w:lang w:val="hr-HR" w:eastAsia="ja-JP"/>
        </w:rPr>
      </w:pPr>
    </w:p>
    <w:p w14:paraId="3B792505" w14:textId="77777777" w:rsidR="00B95DDE" w:rsidRPr="00510442" w:rsidRDefault="00B95DDE" w:rsidP="009B5630">
      <w:pPr>
        <w:spacing w:line="240" w:lineRule="auto"/>
        <w:rPr>
          <w:rFonts w:eastAsia="MS Mincho"/>
          <w:szCs w:val="22"/>
          <w:lang w:val="hr-HR" w:eastAsia="ja-JP"/>
        </w:rPr>
      </w:pPr>
      <w:r w:rsidRPr="00510442">
        <w:rPr>
          <w:rFonts w:eastAsia="MS Mincho"/>
          <w:szCs w:val="22"/>
          <w:lang w:val="hr-HR" w:eastAsia="ja-JP"/>
        </w:rPr>
        <w:t xml:space="preserve">U kraku s </w:t>
      </w:r>
      <w:r w:rsidRPr="00510442">
        <w:rPr>
          <w:rFonts w:eastAsia="MS Mincho"/>
          <w:szCs w:val="22"/>
          <w:lang w:val="hr-HR"/>
        </w:rPr>
        <w:t>12-mjesečnim liječenjem</w:t>
      </w:r>
      <w:r w:rsidRPr="00510442">
        <w:rPr>
          <w:rFonts w:eastAsia="MS Mincho"/>
          <w:szCs w:val="22"/>
          <w:lang w:val="hr-HR" w:eastAsia="ja-JP"/>
        </w:rPr>
        <w:t xml:space="preserve"> umrlo je ukupno 25</w:t>
      </w:r>
      <w:r w:rsidR="00781C79" w:rsidRPr="00510442">
        <w:rPr>
          <w:rFonts w:eastAsia="MS Mincho"/>
          <w:szCs w:val="22"/>
          <w:lang w:val="hr-HR" w:eastAsia="ja-JP"/>
        </w:rPr>
        <w:t> </w:t>
      </w:r>
      <w:r w:rsidRPr="00510442">
        <w:rPr>
          <w:rFonts w:eastAsia="MS Mincho"/>
          <w:szCs w:val="22"/>
          <w:lang w:val="hr-HR" w:eastAsia="ja-JP"/>
        </w:rPr>
        <w:t xml:space="preserve">bolesnika, a u kraku s </w:t>
      </w:r>
      <w:r w:rsidRPr="00510442">
        <w:rPr>
          <w:rFonts w:eastAsia="MS Mincho"/>
          <w:szCs w:val="22"/>
          <w:lang w:val="hr-HR"/>
        </w:rPr>
        <w:t>36-mjesečnim liječenjem</w:t>
      </w:r>
      <w:r w:rsidRPr="00510442">
        <w:rPr>
          <w:rFonts w:eastAsia="MS Mincho"/>
          <w:szCs w:val="22"/>
          <w:lang w:val="hr-HR" w:eastAsia="ja-JP"/>
        </w:rPr>
        <w:t xml:space="preserve"> 12.</w:t>
      </w:r>
    </w:p>
    <w:p w14:paraId="318E06AF" w14:textId="77777777" w:rsidR="00B95DDE" w:rsidRPr="00510442" w:rsidRDefault="00B95DDE" w:rsidP="009B5630">
      <w:pPr>
        <w:spacing w:line="240" w:lineRule="auto"/>
        <w:rPr>
          <w:rFonts w:eastAsia="MS Mincho"/>
          <w:szCs w:val="22"/>
          <w:lang w:val="hr-HR" w:eastAsia="ja-JP"/>
        </w:rPr>
      </w:pPr>
    </w:p>
    <w:p w14:paraId="30A3478F" w14:textId="77777777" w:rsidR="00362732" w:rsidRPr="00510442" w:rsidRDefault="00B95DDE" w:rsidP="009B5630">
      <w:pPr>
        <w:spacing w:line="240" w:lineRule="auto"/>
        <w:rPr>
          <w:rFonts w:eastAsia="MS Mincho"/>
          <w:iCs/>
          <w:szCs w:val="22"/>
          <w:lang w:val="hr-HR" w:eastAsia="ja-JP"/>
        </w:rPr>
      </w:pPr>
      <w:r w:rsidRPr="00510442">
        <w:rPr>
          <w:rFonts w:eastAsia="MS Mincho"/>
          <w:szCs w:val="22"/>
          <w:lang w:val="hr-HR" w:eastAsia="ja-JP"/>
        </w:rPr>
        <w:t>U ITT analizi</w:t>
      </w:r>
      <w:r w:rsidR="00671FFD" w:rsidRPr="00510442">
        <w:rPr>
          <w:rFonts w:eastAsia="MS Mincho"/>
          <w:szCs w:val="22"/>
          <w:lang w:val="hr-HR" w:eastAsia="ja-JP"/>
        </w:rPr>
        <w:t>,</w:t>
      </w:r>
      <w:r w:rsidR="00722FFD" w:rsidRPr="00510442">
        <w:rPr>
          <w:rFonts w:eastAsia="MS Mincho"/>
          <w:szCs w:val="22"/>
          <w:lang w:val="hr-HR" w:eastAsia="ja-JP"/>
        </w:rPr>
        <w:t xml:space="preserve"> koja uključuje cijelu populaciju ispitivanja</w:t>
      </w:r>
      <w:r w:rsidR="00671FFD" w:rsidRPr="00510442">
        <w:rPr>
          <w:rFonts w:eastAsia="MS Mincho"/>
          <w:szCs w:val="22"/>
          <w:lang w:val="hr-HR" w:eastAsia="ja-JP"/>
        </w:rPr>
        <w:t>,</w:t>
      </w:r>
      <w:r w:rsidR="00722FFD" w:rsidRPr="00510442">
        <w:rPr>
          <w:rFonts w:eastAsia="MS Mincho"/>
          <w:szCs w:val="22"/>
          <w:lang w:val="hr-HR" w:eastAsia="ja-JP"/>
        </w:rPr>
        <w:t xml:space="preserve"> </w:t>
      </w:r>
      <w:r w:rsidR="00722FFD" w:rsidRPr="00510442">
        <w:rPr>
          <w:rFonts w:eastAsia="MS Mincho"/>
          <w:iCs/>
          <w:szCs w:val="22"/>
          <w:lang w:val="hr-HR" w:eastAsia="ja-JP"/>
        </w:rPr>
        <w:t xml:space="preserve">36-mjesečno </w:t>
      </w:r>
      <w:r w:rsidRPr="00510442">
        <w:rPr>
          <w:rFonts w:eastAsia="MS Mincho"/>
          <w:szCs w:val="22"/>
          <w:lang w:val="hr-HR" w:eastAsia="ja-JP"/>
        </w:rPr>
        <w:t xml:space="preserve">liječenje imatinibom </w:t>
      </w:r>
      <w:r w:rsidRPr="00510442">
        <w:rPr>
          <w:rFonts w:eastAsia="MS Mincho"/>
          <w:iCs/>
          <w:szCs w:val="22"/>
          <w:lang w:val="hr-HR" w:eastAsia="ja-JP"/>
        </w:rPr>
        <w:t xml:space="preserve">bilo </w:t>
      </w:r>
      <w:r w:rsidR="00671FFD" w:rsidRPr="00510442">
        <w:rPr>
          <w:rFonts w:eastAsia="MS Mincho"/>
          <w:iCs/>
          <w:szCs w:val="22"/>
          <w:lang w:val="hr-HR" w:eastAsia="ja-JP"/>
        </w:rPr>
        <w:t xml:space="preserve">je </w:t>
      </w:r>
      <w:r w:rsidRPr="00510442">
        <w:rPr>
          <w:rFonts w:eastAsia="MS Mincho"/>
          <w:iCs/>
          <w:szCs w:val="22"/>
          <w:lang w:val="hr-HR" w:eastAsia="ja-JP"/>
        </w:rPr>
        <w:t xml:space="preserve">superiornije </w:t>
      </w:r>
      <w:r w:rsidR="00722FFD" w:rsidRPr="00510442">
        <w:rPr>
          <w:rFonts w:eastAsia="MS Mincho"/>
          <w:iCs/>
          <w:szCs w:val="22"/>
          <w:lang w:val="hr-HR" w:eastAsia="ja-JP"/>
        </w:rPr>
        <w:t>od</w:t>
      </w:r>
      <w:r w:rsidRPr="00510442">
        <w:rPr>
          <w:rFonts w:eastAsia="MS Mincho"/>
          <w:iCs/>
          <w:szCs w:val="22"/>
          <w:lang w:val="hr-HR" w:eastAsia="ja-JP"/>
        </w:rPr>
        <w:t xml:space="preserve"> 1</w:t>
      </w:r>
      <w:r w:rsidR="00D40EFA" w:rsidRPr="00510442">
        <w:rPr>
          <w:rFonts w:eastAsia="MS Mincho"/>
          <w:iCs/>
          <w:szCs w:val="22"/>
          <w:lang w:val="hr-HR" w:eastAsia="ja-JP"/>
        </w:rPr>
        <w:t>2</w:t>
      </w:r>
      <w:r w:rsidR="00722FFD" w:rsidRPr="00510442">
        <w:rPr>
          <w:rFonts w:eastAsia="MS Mincho"/>
          <w:iCs/>
          <w:szCs w:val="22"/>
          <w:lang w:val="hr-HR" w:eastAsia="ja-JP"/>
        </w:rPr>
        <w:t>-</w:t>
      </w:r>
      <w:r w:rsidRPr="00510442">
        <w:rPr>
          <w:rFonts w:eastAsia="MS Mincho"/>
          <w:iCs/>
          <w:szCs w:val="22"/>
          <w:lang w:val="hr-HR" w:eastAsia="ja-JP"/>
        </w:rPr>
        <w:t>mjese</w:t>
      </w:r>
      <w:r w:rsidR="00722FFD" w:rsidRPr="00510442">
        <w:rPr>
          <w:rFonts w:eastAsia="MS Mincho"/>
          <w:iCs/>
          <w:szCs w:val="22"/>
          <w:lang w:val="hr-HR" w:eastAsia="ja-JP"/>
        </w:rPr>
        <w:t>čnog liječenja</w:t>
      </w:r>
      <w:r w:rsidR="00D40EFA" w:rsidRPr="00510442">
        <w:rPr>
          <w:rFonts w:eastAsia="MS Mincho"/>
          <w:iCs/>
          <w:szCs w:val="22"/>
          <w:lang w:val="hr-HR" w:eastAsia="ja-JP"/>
        </w:rPr>
        <w:t xml:space="preserve">. </w:t>
      </w:r>
      <w:r w:rsidR="00722FFD" w:rsidRPr="00510442">
        <w:rPr>
          <w:rFonts w:eastAsia="MS Mincho"/>
          <w:iCs/>
          <w:szCs w:val="22"/>
          <w:lang w:val="hr-HR" w:eastAsia="ja-JP"/>
        </w:rPr>
        <w:t>U planiranoj analizi podskupine prema vrsti mutacije je omjer rizika za preživlj</w:t>
      </w:r>
      <w:r w:rsidR="00F73A3D" w:rsidRPr="00510442">
        <w:rPr>
          <w:rFonts w:eastAsia="MS Mincho"/>
          <w:iCs/>
          <w:szCs w:val="22"/>
          <w:lang w:val="hr-HR" w:eastAsia="ja-JP"/>
        </w:rPr>
        <w:t>e</w:t>
      </w:r>
      <w:r w:rsidR="00722FFD" w:rsidRPr="00510442">
        <w:rPr>
          <w:rFonts w:eastAsia="MS Mincho"/>
          <w:iCs/>
          <w:szCs w:val="22"/>
          <w:lang w:val="hr-HR" w:eastAsia="ja-JP"/>
        </w:rPr>
        <w:t xml:space="preserve">nje bez recidiva bolesti kod 36-mjesečnog </w:t>
      </w:r>
      <w:r w:rsidR="00722FFD" w:rsidRPr="00510442">
        <w:rPr>
          <w:rFonts w:eastAsia="MS Mincho"/>
          <w:szCs w:val="22"/>
          <w:lang w:val="hr-HR" w:eastAsia="ja-JP"/>
        </w:rPr>
        <w:t>liječenja bolesnika s mutacijama na</w:t>
      </w:r>
      <w:r w:rsidR="00671FFD" w:rsidRPr="00510442">
        <w:rPr>
          <w:rFonts w:eastAsia="MS Mincho"/>
          <w:szCs w:val="22"/>
          <w:lang w:val="hr-HR" w:eastAsia="ja-JP"/>
        </w:rPr>
        <w:t xml:space="preserve"> </w:t>
      </w:r>
      <w:r w:rsidR="00722FFD" w:rsidRPr="00510442">
        <w:rPr>
          <w:rFonts w:eastAsia="MS Mincho"/>
          <w:szCs w:val="22"/>
          <w:lang w:val="hr-HR" w:eastAsia="ja-JP"/>
        </w:rPr>
        <w:t>11.</w:t>
      </w:r>
      <w:r w:rsidR="00D40EFA" w:rsidRPr="00510442">
        <w:rPr>
          <w:rFonts w:eastAsia="MS Mincho"/>
          <w:iCs/>
          <w:szCs w:val="22"/>
          <w:lang w:val="hr-HR" w:eastAsia="ja-JP"/>
        </w:rPr>
        <w:t xml:space="preserve"> </w:t>
      </w:r>
      <w:r w:rsidR="00722FFD" w:rsidRPr="00510442">
        <w:rPr>
          <w:rFonts w:eastAsia="MS Mincho"/>
          <w:iCs/>
          <w:szCs w:val="22"/>
          <w:lang w:val="hr-HR" w:eastAsia="ja-JP"/>
        </w:rPr>
        <w:t>eks</w:t>
      </w:r>
      <w:r w:rsidR="00D40EFA" w:rsidRPr="00510442">
        <w:rPr>
          <w:rFonts w:eastAsia="MS Mincho"/>
          <w:iCs/>
          <w:szCs w:val="22"/>
          <w:lang w:val="hr-HR" w:eastAsia="ja-JP"/>
        </w:rPr>
        <w:t>on</w:t>
      </w:r>
      <w:r w:rsidR="00722FFD" w:rsidRPr="00510442">
        <w:rPr>
          <w:rFonts w:eastAsia="MS Mincho"/>
          <w:iCs/>
          <w:szCs w:val="22"/>
          <w:lang w:val="hr-HR" w:eastAsia="ja-JP"/>
        </w:rPr>
        <w:t>u bio</w:t>
      </w:r>
      <w:r w:rsidR="00D40EFA" w:rsidRPr="00510442">
        <w:rPr>
          <w:rFonts w:eastAsia="MS Mincho"/>
          <w:iCs/>
          <w:szCs w:val="22"/>
          <w:lang w:val="hr-HR" w:eastAsia="ja-JP"/>
        </w:rPr>
        <w:t xml:space="preserve"> 0</w:t>
      </w:r>
      <w:r w:rsidR="00722FFD" w:rsidRPr="00510442">
        <w:rPr>
          <w:rFonts w:eastAsia="MS Mincho"/>
          <w:iCs/>
          <w:szCs w:val="22"/>
          <w:lang w:val="hr-HR" w:eastAsia="ja-JP"/>
        </w:rPr>
        <w:t>,</w:t>
      </w:r>
      <w:r w:rsidR="00D40EFA" w:rsidRPr="00510442">
        <w:rPr>
          <w:rFonts w:eastAsia="MS Mincho"/>
          <w:iCs/>
          <w:szCs w:val="22"/>
          <w:lang w:val="hr-HR" w:eastAsia="ja-JP"/>
        </w:rPr>
        <w:t>35 [95% CI: 0</w:t>
      </w:r>
      <w:r w:rsidR="00722FFD" w:rsidRPr="00510442">
        <w:rPr>
          <w:rFonts w:eastAsia="MS Mincho"/>
          <w:iCs/>
          <w:szCs w:val="22"/>
          <w:lang w:val="hr-HR" w:eastAsia="ja-JP"/>
        </w:rPr>
        <w:t>,</w:t>
      </w:r>
      <w:r w:rsidR="00D40EFA" w:rsidRPr="00510442">
        <w:rPr>
          <w:rFonts w:eastAsia="MS Mincho"/>
          <w:iCs/>
          <w:szCs w:val="22"/>
          <w:lang w:val="hr-HR" w:eastAsia="ja-JP"/>
        </w:rPr>
        <w:t>22, 0</w:t>
      </w:r>
      <w:r w:rsidR="00722FFD" w:rsidRPr="00510442">
        <w:rPr>
          <w:rFonts w:eastAsia="MS Mincho"/>
          <w:iCs/>
          <w:szCs w:val="22"/>
          <w:lang w:val="hr-HR" w:eastAsia="ja-JP"/>
        </w:rPr>
        <w:t>,</w:t>
      </w:r>
      <w:r w:rsidR="00D40EFA" w:rsidRPr="00510442">
        <w:rPr>
          <w:rFonts w:eastAsia="MS Mincho"/>
          <w:iCs/>
          <w:szCs w:val="22"/>
          <w:lang w:val="hr-HR" w:eastAsia="ja-JP"/>
        </w:rPr>
        <w:t xml:space="preserve">56]. </w:t>
      </w:r>
      <w:r w:rsidR="00722FFD" w:rsidRPr="00510442">
        <w:rPr>
          <w:rFonts w:eastAsia="MS Mincho"/>
          <w:iCs/>
          <w:szCs w:val="22"/>
          <w:lang w:val="hr-HR" w:eastAsia="ja-JP"/>
        </w:rPr>
        <w:t>Nikakav zaključak se ne može izvući za druge manje č</w:t>
      </w:r>
      <w:r w:rsidR="00CA29E4" w:rsidRPr="00510442">
        <w:rPr>
          <w:rFonts w:eastAsia="MS Mincho"/>
          <w:iCs/>
          <w:szCs w:val="22"/>
          <w:lang w:val="hr-HR" w:eastAsia="ja-JP"/>
        </w:rPr>
        <w:t>este podskupin</w:t>
      </w:r>
      <w:r w:rsidR="00722FFD" w:rsidRPr="00510442">
        <w:rPr>
          <w:rFonts w:eastAsia="MS Mincho"/>
          <w:iCs/>
          <w:szCs w:val="22"/>
          <w:lang w:val="hr-HR" w:eastAsia="ja-JP"/>
        </w:rPr>
        <w:t>e mutacija zbog malog broja opaženih događaja</w:t>
      </w:r>
      <w:r w:rsidR="00D40EFA" w:rsidRPr="00510442">
        <w:rPr>
          <w:rFonts w:eastAsia="MS Mincho"/>
          <w:iCs/>
          <w:szCs w:val="22"/>
          <w:lang w:val="hr-HR" w:eastAsia="ja-JP"/>
        </w:rPr>
        <w:t>.</w:t>
      </w:r>
    </w:p>
    <w:p w14:paraId="02FD0694" w14:textId="77777777" w:rsidR="00D40EFA" w:rsidRPr="00510442" w:rsidRDefault="00D40EFA" w:rsidP="0091773C">
      <w:pPr>
        <w:tabs>
          <w:tab w:val="clear" w:pos="567"/>
        </w:tabs>
        <w:spacing w:line="240" w:lineRule="auto"/>
        <w:rPr>
          <w:rFonts w:eastAsia="MS Mincho"/>
          <w:iCs/>
          <w:szCs w:val="22"/>
          <w:lang w:val="hr-HR" w:eastAsia="ja-JP"/>
        </w:rPr>
      </w:pPr>
    </w:p>
    <w:p w14:paraId="3FF21623" w14:textId="1E4A3057" w:rsidR="00955BD0" w:rsidRPr="00510442" w:rsidRDefault="00955BD0" w:rsidP="003179A4">
      <w:pPr>
        <w:keepNext/>
        <w:tabs>
          <w:tab w:val="clear" w:pos="567"/>
        </w:tabs>
        <w:spacing w:line="240" w:lineRule="auto"/>
        <w:ind w:left="1134" w:hanging="1134"/>
        <w:rPr>
          <w:rFonts w:eastAsia="MS Mincho"/>
          <w:b/>
          <w:szCs w:val="22"/>
          <w:lang w:val="hr-HR" w:eastAsia="ja-JP"/>
        </w:rPr>
      </w:pPr>
      <w:r w:rsidRPr="00510442">
        <w:rPr>
          <w:rFonts w:eastAsia="MS Mincho"/>
          <w:b/>
          <w:szCs w:val="22"/>
          <w:lang w:val="hr-HR"/>
        </w:rPr>
        <w:lastRenderedPageBreak/>
        <w:t>Tabl</w:t>
      </w:r>
      <w:r w:rsidR="00E56B37" w:rsidRPr="00510442">
        <w:rPr>
          <w:rFonts w:eastAsia="MS Mincho"/>
          <w:b/>
          <w:szCs w:val="22"/>
          <w:lang w:val="hr-HR"/>
        </w:rPr>
        <w:t>ica</w:t>
      </w:r>
      <w:r w:rsidRPr="00510442">
        <w:rPr>
          <w:rFonts w:eastAsia="MS Mincho"/>
          <w:b/>
          <w:szCs w:val="22"/>
          <w:lang w:val="hr-HR"/>
        </w:rPr>
        <w:t> </w:t>
      </w:r>
      <w:r w:rsidR="00A43561" w:rsidRPr="00510442">
        <w:rPr>
          <w:rFonts w:eastAsia="MS Mincho"/>
          <w:b/>
          <w:szCs w:val="22"/>
          <w:lang w:val="hr-HR"/>
        </w:rPr>
        <w:t>8</w:t>
      </w:r>
      <w:r w:rsidRPr="00510442">
        <w:rPr>
          <w:rFonts w:eastAsia="MS Mincho"/>
          <w:szCs w:val="22"/>
          <w:lang w:val="hr-HR"/>
        </w:rPr>
        <w:tab/>
      </w:r>
      <w:r w:rsidRPr="00510442">
        <w:rPr>
          <w:rFonts w:eastAsia="MS Mincho"/>
          <w:b/>
          <w:szCs w:val="22"/>
          <w:lang w:val="hr-HR" w:eastAsia="ja-JP"/>
        </w:rPr>
        <w:t>12-m</w:t>
      </w:r>
      <w:r w:rsidR="00E56B37" w:rsidRPr="00510442">
        <w:rPr>
          <w:rFonts w:eastAsia="MS Mincho"/>
          <w:b/>
          <w:szCs w:val="22"/>
          <w:lang w:val="hr-HR" w:eastAsia="ja-JP"/>
        </w:rPr>
        <w:t>jesečno i</w:t>
      </w:r>
      <w:r w:rsidRPr="00510442">
        <w:rPr>
          <w:rFonts w:eastAsia="MS Mincho"/>
          <w:b/>
          <w:szCs w:val="22"/>
          <w:lang w:val="hr-HR" w:eastAsia="ja-JP"/>
        </w:rPr>
        <w:t xml:space="preserve"> 36-m</w:t>
      </w:r>
      <w:r w:rsidR="00E56B37" w:rsidRPr="00510442">
        <w:rPr>
          <w:rFonts w:eastAsia="MS Mincho"/>
          <w:b/>
          <w:szCs w:val="22"/>
          <w:lang w:val="hr-HR" w:eastAsia="ja-JP"/>
        </w:rPr>
        <w:t>jesečno liječenje</w:t>
      </w:r>
      <w:r w:rsidRPr="00510442">
        <w:rPr>
          <w:rFonts w:eastAsia="MS Mincho"/>
          <w:b/>
          <w:szCs w:val="22"/>
          <w:lang w:val="hr-HR" w:eastAsia="ja-JP"/>
        </w:rPr>
        <w:t xml:space="preserve"> </w:t>
      </w:r>
      <w:r w:rsidR="00B0477E" w:rsidRPr="00B0477E">
        <w:rPr>
          <w:rFonts w:eastAsia="MS Mincho"/>
          <w:b/>
          <w:szCs w:val="22"/>
          <w:lang w:val="hr-HR" w:eastAsia="ja-JP"/>
        </w:rPr>
        <w:t xml:space="preserve">lijekom </w:t>
      </w:r>
      <w:r w:rsidRPr="00510442">
        <w:rPr>
          <w:rFonts w:eastAsia="MS Mincho"/>
          <w:b/>
          <w:szCs w:val="22"/>
          <w:lang w:val="hr-HR" w:eastAsia="ja-JP"/>
        </w:rPr>
        <w:t xml:space="preserve">Glivec (SSGXVIII/AIO </w:t>
      </w:r>
      <w:r w:rsidR="00E56B37" w:rsidRPr="00510442">
        <w:rPr>
          <w:rFonts w:eastAsia="MS Mincho"/>
          <w:b/>
          <w:szCs w:val="22"/>
          <w:lang w:val="hr-HR" w:eastAsia="ja-JP"/>
        </w:rPr>
        <w:t>ispitivanje</w:t>
      </w:r>
      <w:r w:rsidRPr="00510442">
        <w:rPr>
          <w:rFonts w:eastAsia="MS Mincho"/>
          <w:b/>
          <w:szCs w:val="22"/>
          <w:lang w:val="hr-HR" w:eastAsia="ja-JP"/>
        </w:rPr>
        <w:t>)</w:t>
      </w:r>
    </w:p>
    <w:p w14:paraId="4548034D" w14:textId="77777777" w:rsidR="00955BD0" w:rsidRPr="00510442" w:rsidRDefault="00955BD0" w:rsidP="003179A4">
      <w:pPr>
        <w:keepNext/>
        <w:tabs>
          <w:tab w:val="clear" w:pos="567"/>
        </w:tabs>
        <w:spacing w:line="240" w:lineRule="auto"/>
        <w:rPr>
          <w:rFonts w:eastAsia="MS Mincho"/>
          <w:szCs w:val="22"/>
          <w:lang w:val="hr-HR"/>
        </w:rPr>
      </w:pPr>
    </w:p>
    <w:tbl>
      <w:tblPr>
        <w:tblW w:w="0" w:type="auto"/>
        <w:tblBorders>
          <w:top w:val="single" w:sz="4" w:space="0" w:color="auto"/>
          <w:bottom w:val="single" w:sz="4" w:space="0" w:color="auto"/>
        </w:tblBorders>
        <w:tblLayout w:type="fixed"/>
        <w:tblLook w:val="0000" w:firstRow="0" w:lastRow="0" w:firstColumn="0" w:lastColumn="0" w:noHBand="0" w:noVBand="0"/>
      </w:tblPr>
      <w:tblGrid>
        <w:gridCol w:w="3099"/>
        <w:gridCol w:w="3100"/>
        <w:gridCol w:w="3100"/>
      </w:tblGrid>
      <w:tr w:rsidR="00955BD0" w:rsidRPr="00510442" w14:paraId="6710B2EA" w14:textId="77777777" w:rsidTr="003179A4">
        <w:trPr>
          <w:cantSplit/>
        </w:trPr>
        <w:tc>
          <w:tcPr>
            <w:tcW w:w="3099" w:type="dxa"/>
            <w:tcBorders>
              <w:top w:val="single" w:sz="4" w:space="0" w:color="auto"/>
              <w:bottom w:val="nil"/>
            </w:tcBorders>
            <w:shd w:val="clear" w:color="auto" w:fill="auto"/>
          </w:tcPr>
          <w:p w14:paraId="76B36F7F" w14:textId="77777777" w:rsidR="00955BD0" w:rsidRPr="00510442" w:rsidRDefault="00955BD0" w:rsidP="003179A4">
            <w:pPr>
              <w:keepNext/>
              <w:tabs>
                <w:tab w:val="clear" w:pos="567"/>
                <w:tab w:val="left" w:pos="284"/>
              </w:tabs>
              <w:spacing w:line="240" w:lineRule="auto"/>
              <w:rPr>
                <w:rFonts w:eastAsia="MS Mincho"/>
                <w:szCs w:val="22"/>
                <w:lang w:val="hr-HR"/>
              </w:rPr>
            </w:pPr>
          </w:p>
        </w:tc>
        <w:tc>
          <w:tcPr>
            <w:tcW w:w="3100" w:type="dxa"/>
            <w:tcBorders>
              <w:top w:val="single" w:sz="4" w:space="0" w:color="auto"/>
              <w:bottom w:val="nil"/>
            </w:tcBorders>
            <w:shd w:val="clear" w:color="auto" w:fill="auto"/>
          </w:tcPr>
          <w:p w14:paraId="5CC942C3" w14:textId="77777777" w:rsidR="00955BD0" w:rsidRPr="00510442" w:rsidRDefault="00E56B37" w:rsidP="003179A4">
            <w:pPr>
              <w:keepNext/>
              <w:tabs>
                <w:tab w:val="clear" w:pos="567"/>
                <w:tab w:val="left" w:pos="284"/>
              </w:tabs>
              <w:spacing w:line="240" w:lineRule="auto"/>
              <w:rPr>
                <w:rFonts w:eastAsia="MS Mincho"/>
                <w:b/>
                <w:szCs w:val="22"/>
                <w:lang w:val="hr-HR"/>
              </w:rPr>
            </w:pPr>
            <w:r w:rsidRPr="00510442">
              <w:rPr>
                <w:rFonts w:eastAsia="MS Mincho"/>
                <w:b/>
                <w:szCs w:val="22"/>
                <w:lang w:val="hr-HR"/>
              </w:rPr>
              <w:t xml:space="preserve">Krak s </w:t>
            </w:r>
            <w:r w:rsidR="00955BD0" w:rsidRPr="00510442">
              <w:rPr>
                <w:rFonts w:eastAsia="MS Mincho"/>
                <w:b/>
                <w:szCs w:val="22"/>
                <w:lang w:val="hr-HR"/>
              </w:rPr>
              <w:t>12-m</w:t>
            </w:r>
            <w:r w:rsidRPr="00510442">
              <w:rPr>
                <w:rFonts w:eastAsia="MS Mincho"/>
                <w:b/>
                <w:szCs w:val="22"/>
                <w:lang w:val="hr-HR"/>
              </w:rPr>
              <w:t>jesečnim liječenjem</w:t>
            </w:r>
          </w:p>
        </w:tc>
        <w:tc>
          <w:tcPr>
            <w:tcW w:w="3100" w:type="dxa"/>
            <w:tcBorders>
              <w:top w:val="single" w:sz="4" w:space="0" w:color="auto"/>
              <w:bottom w:val="nil"/>
            </w:tcBorders>
            <w:shd w:val="clear" w:color="auto" w:fill="auto"/>
          </w:tcPr>
          <w:p w14:paraId="301314C6" w14:textId="77777777" w:rsidR="00955BD0" w:rsidRPr="00510442" w:rsidRDefault="00E56B37" w:rsidP="003179A4">
            <w:pPr>
              <w:keepNext/>
              <w:tabs>
                <w:tab w:val="clear" w:pos="567"/>
                <w:tab w:val="left" w:pos="284"/>
              </w:tabs>
              <w:spacing w:line="240" w:lineRule="auto"/>
              <w:rPr>
                <w:rFonts w:eastAsia="MS Mincho"/>
                <w:b/>
                <w:szCs w:val="22"/>
                <w:lang w:val="hr-HR"/>
              </w:rPr>
            </w:pPr>
            <w:r w:rsidRPr="00510442">
              <w:rPr>
                <w:rFonts w:eastAsia="MS Mincho"/>
                <w:b/>
                <w:szCs w:val="22"/>
                <w:lang w:val="hr-HR"/>
              </w:rPr>
              <w:t>Krak s 36-mjesečnim liječenjem</w:t>
            </w:r>
          </w:p>
        </w:tc>
      </w:tr>
      <w:tr w:rsidR="00955BD0" w:rsidRPr="00510442" w14:paraId="33B6B3FD" w14:textId="77777777" w:rsidTr="003179A4">
        <w:trPr>
          <w:cantSplit/>
        </w:trPr>
        <w:tc>
          <w:tcPr>
            <w:tcW w:w="3099" w:type="dxa"/>
            <w:tcBorders>
              <w:top w:val="nil"/>
            </w:tcBorders>
            <w:shd w:val="clear" w:color="auto" w:fill="auto"/>
          </w:tcPr>
          <w:p w14:paraId="06ACA3B0" w14:textId="77777777" w:rsidR="00955BD0" w:rsidRPr="00510442" w:rsidRDefault="00E56B37" w:rsidP="003179A4">
            <w:pPr>
              <w:keepNext/>
              <w:tabs>
                <w:tab w:val="clear" w:pos="567"/>
                <w:tab w:val="left" w:pos="284"/>
              </w:tabs>
              <w:spacing w:line="240" w:lineRule="auto"/>
              <w:rPr>
                <w:rFonts w:eastAsia="MS Mincho"/>
                <w:b/>
                <w:szCs w:val="22"/>
                <w:lang w:val="hr-HR"/>
              </w:rPr>
            </w:pPr>
            <w:r w:rsidRPr="00510442">
              <w:rPr>
                <w:b/>
                <w:szCs w:val="22"/>
                <w:lang w:val="hr-HR"/>
              </w:rPr>
              <w:t>Preživlj</w:t>
            </w:r>
            <w:r w:rsidR="00F73A3D" w:rsidRPr="00510442">
              <w:rPr>
                <w:b/>
                <w:szCs w:val="22"/>
                <w:lang w:val="hr-HR"/>
              </w:rPr>
              <w:t>e</w:t>
            </w:r>
            <w:r w:rsidRPr="00510442">
              <w:rPr>
                <w:b/>
                <w:szCs w:val="22"/>
                <w:lang w:val="hr-HR"/>
              </w:rPr>
              <w:t>nj</w:t>
            </w:r>
            <w:r w:rsidR="00063B6B" w:rsidRPr="00510442">
              <w:rPr>
                <w:b/>
                <w:szCs w:val="22"/>
                <w:lang w:val="hr-HR"/>
              </w:rPr>
              <w:t>e</w:t>
            </w:r>
            <w:r w:rsidRPr="00510442">
              <w:rPr>
                <w:b/>
                <w:szCs w:val="22"/>
                <w:lang w:val="hr-HR"/>
              </w:rPr>
              <w:t xml:space="preserve"> bez recidiva bolesti</w:t>
            </w:r>
          </w:p>
        </w:tc>
        <w:tc>
          <w:tcPr>
            <w:tcW w:w="3100" w:type="dxa"/>
            <w:tcBorders>
              <w:top w:val="nil"/>
            </w:tcBorders>
            <w:shd w:val="clear" w:color="auto" w:fill="auto"/>
          </w:tcPr>
          <w:p w14:paraId="281040E6" w14:textId="77777777" w:rsidR="00955BD0" w:rsidRPr="00510442" w:rsidRDefault="00955BD0" w:rsidP="003179A4">
            <w:pPr>
              <w:keepNext/>
              <w:tabs>
                <w:tab w:val="clear" w:pos="567"/>
                <w:tab w:val="left" w:pos="284"/>
              </w:tabs>
              <w:spacing w:line="240" w:lineRule="auto"/>
              <w:rPr>
                <w:rFonts w:eastAsia="MS Mincho"/>
                <w:b/>
                <w:szCs w:val="22"/>
                <w:lang w:val="hr-HR"/>
              </w:rPr>
            </w:pPr>
            <w:r w:rsidRPr="00510442">
              <w:rPr>
                <w:rFonts w:eastAsia="MS Mincho"/>
                <w:b/>
                <w:szCs w:val="22"/>
                <w:lang w:val="hr-HR"/>
              </w:rPr>
              <w:t>%(CI)</w:t>
            </w:r>
          </w:p>
        </w:tc>
        <w:tc>
          <w:tcPr>
            <w:tcW w:w="3100" w:type="dxa"/>
            <w:tcBorders>
              <w:top w:val="nil"/>
            </w:tcBorders>
            <w:shd w:val="clear" w:color="auto" w:fill="auto"/>
          </w:tcPr>
          <w:p w14:paraId="1296869B" w14:textId="77777777" w:rsidR="00955BD0" w:rsidRPr="00510442" w:rsidRDefault="00955BD0" w:rsidP="003179A4">
            <w:pPr>
              <w:keepNext/>
              <w:tabs>
                <w:tab w:val="clear" w:pos="567"/>
                <w:tab w:val="left" w:pos="284"/>
              </w:tabs>
              <w:spacing w:line="240" w:lineRule="auto"/>
              <w:rPr>
                <w:rFonts w:eastAsia="MS Mincho"/>
                <w:b/>
                <w:szCs w:val="22"/>
                <w:lang w:val="hr-HR"/>
              </w:rPr>
            </w:pPr>
            <w:r w:rsidRPr="00510442">
              <w:rPr>
                <w:rFonts w:eastAsia="MS Mincho"/>
                <w:b/>
                <w:szCs w:val="22"/>
                <w:lang w:val="hr-HR"/>
              </w:rPr>
              <w:t>%(CI)</w:t>
            </w:r>
          </w:p>
        </w:tc>
      </w:tr>
      <w:tr w:rsidR="00955BD0" w:rsidRPr="00510442" w14:paraId="63A72FF9" w14:textId="77777777" w:rsidTr="003179A4">
        <w:trPr>
          <w:cantSplit/>
        </w:trPr>
        <w:tc>
          <w:tcPr>
            <w:tcW w:w="3099" w:type="dxa"/>
            <w:shd w:val="clear" w:color="auto" w:fill="auto"/>
          </w:tcPr>
          <w:p w14:paraId="0323B5EC" w14:textId="77777777" w:rsidR="00955BD0" w:rsidRPr="00510442" w:rsidRDefault="00955BD0" w:rsidP="003179A4">
            <w:pPr>
              <w:keepNext/>
              <w:tabs>
                <w:tab w:val="clear" w:pos="567"/>
              </w:tabs>
              <w:spacing w:line="240" w:lineRule="auto"/>
              <w:ind w:left="284"/>
              <w:rPr>
                <w:rFonts w:eastAsia="MS Mincho"/>
                <w:szCs w:val="22"/>
                <w:lang w:val="hr-HR"/>
              </w:rPr>
            </w:pPr>
            <w:r w:rsidRPr="00510442">
              <w:rPr>
                <w:rFonts w:eastAsia="MS Mincho"/>
                <w:szCs w:val="22"/>
                <w:lang w:val="hr-HR"/>
              </w:rPr>
              <w:t>12</w:t>
            </w:r>
            <w:r w:rsidRPr="00510442">
              <w:rPr>
                <w:rFonts w:eastAsia="MS Mincho"/>
                <w:szCs w:val="22"/>
                <w:lang w:val="hr-HR" w:eastAsia="ja-JP"/>
              </w:rPr>
              <w:t> </w:t>
            </w:r>
            <w:r w:rsidR="00E56B37" w:rsidRPr="00510442">
              <w:rPr>
                <w:rFonts w:eastAsia="MS Mincho"/>
                <w:szCs w:val="22"/>
                <w:lang w:val="hr-HR"/>
              </w:rPr>
              <w:t>mjeseci</w:t>
            </w:r>
          </w:p>
        </w:tc>
        <w:tc>
          <w:tcPr>
            <w:tcW w:w="3100" w:type="dxa"/>
            <w:shd w:val="clear" w:color="auto" w:fill="auto"/>
          </w:tcPr>
          <w:p w14:paraId="0C06DD61" w14:textId="77777777" w:rsidR="00955BD0" w:rsidRPr="00510442" w:rsidRDefault="00955BD0" w:rsidP="003179A4">
            <w:pPr>
              <w:keepNext/>
              <w:tabs>
                <w:tab w:val="clear" w:pos="567"/>
                <w:tab w:val="left" w:pos="284"/>
              </w:tabs>
              <w:spacing w:line="240" w:lineRule="auto"/>
              <w:rPr>
                <w:rFonts w:eastAsia="MS Mincho"/>
                <w:szCs w:val="22"/>
                <w:lang w:val="hr-HR"/>
              </w:rPr>
            </w:pPr>
            <w:r w:rsidRPr="00510442">
              <w:rPr>
                <w:rFonts w:eastAsia="MS Mincho"/>
                <w:szCs w:val="22"/>
                <w:lang w:val="hr-HR"/>
              </w:rPr>
              <w:t>93</w:t>
            </w:r>
            <w:r w:rsidR="00E56B37" w:rsidRPr="00510442">
              <w:rPr>
                <w:rFonts w:eastAsia="MS Mincho"/>
                <w:szCs w:val="22"/>
                <w:lang w:val="hr-HR"/>
              </w:rPr>
              <w:t>,</w:t>
            </w:r>
            <w:r w:rsidRPr="00510442">
              <w:rPr>
                <w:rFonts w:eastAsia="MS Mincho"/>
                <w:szCs w:val="22"/>
                <w:lang w:val="hr-HR"/>
              </w:rPr>
              <w:t>7 (89</w:t>
            </w:r>
            <w:r w:rsidR="00E56B37" w:rsidRPr="00510442">
              <w:rPr>
                <w:rFonts w:eastAsia="MS Mincho"/>
                <w:szCs w:val="22"/>
                <w:lang w:val="hr-HR"/>
              </w:rPr>
              <w:t>,</w:t>
            </w:r>
            <w:r w:rsidRPr="00510442">
              <w:rPr>
                <w:rFonts w:eastAsia="MS Mincho"/>
                <w:szCs w:val="22"/>
                <w:lang w:val="hr-HR"/>
              </w:rPr>
              <w:t>2</w:t>
            </w:r>
            <w:r w:rsidRPr="00510442">
              <w:rPr>
                <w:rFonts w:eastAsia="MS Mincho"/>
                <w:szCs w:val="22"/>
                <w:lang w:val="hr-HR"/>
              </w:rPr>
              <w:noBreakHyphen/>
              <w:t>96</w:t>
            </w:r>
            <w:r w:rsidR="00E56B37" w:rsidRPr="00510442">
              <w:rPr>
                <w:rFonts w:eastAsia="MS Mincho"/>
                <w:szCs w:val="22"/>
                <w:lang w:val="hr-HR"/>
              </w:rPr>
              <w:t>,</w:t>
            </w:r>
            <w:r w:rsidRPr="00510442">
              <w:rPr>
                <w:rFonts w:eastAsia="MS Mincho"/>
                <w:szCs w:val="22"/>
                <w:lang w:val="hr-HR"/>
              </w:rPr>
              <w:t>4)</w:t>
            </w:r>
          </w:p>
        </w:tc>
        <w:tc>
          <w:tcPr>
            <w:tcW w:w="3100" w:type="dxa"/>
            <w:shd w:val="clear" w:color="auto" w:fill="auto"/>
          </w:tcPr>
          <w:p w14:paraId="7E678005" w14:textId="77777777" w:rsidR="00955BD0" w:rsidRPr="00510442" w:rsidRDefault="00955BD0" w:rsidP="003179A4">
            <w:pPr>
              <w:keepNext/>
              <w:tabs>
                <w:tab w:val="clear" w:pos="567"/>
                <w:tab w:val="left" w:pos="284"/>
              </w:tabs>
              <w:spacing w:line="240" w:lineRule="auto"/>
              <w:rPr>
                <w:rFonts w:eastAsia="MS Mincho"/>
                <w:szCs w:val="22"/>
                <w:lang w:val="hr-HR"/>
              </w:rPr>
            </w:pPr>
            <w:r w:rsidRPr="00510442">
              <w:rPr>
                <w:rFonts w:eastAsia="MS Mincho"/>
                <w:szCs w:val="22"/>
                <w:lang w:val="hr-HR"/>
              </w:rPr>
              <w:t>95</w:t>
            </w:r>
            <w:r w:rsidR="00E56B37" w:rsidRPr="00510442">
              <w:rPr>
                <w:rFonts w:eastAsia="MS Mincho"/>
                <w:szCs w:val="22"/>
                <w:lang w:val="hr-HR"/>
              </w:rPr>
              <w:t>,</w:t>
            </w:r>
            <w:r w:rsidRPr="00510442">
              <w:rPr>
                <w:rFonts w:eastAsia="MS Mincho"/>
                <w:szCs w:val="22"/>
                <w:lang w:val="hr-HR"/>
              </w:rPr>
              <w:t>9 (91</w:t>
            </w:r>
            <w:r w:rsidR="00E56B37" w:rsidRPr="00510442">
              <w:rPr>
                <w:rFonts w:eastAsia="MS Mincho"/>
                <w:szCs w:val="22"/>
                <w:lang w:val="hr-HR"/>
              </w:rPr>
              <w:t>,</w:t>
            </w:r>
            <w:r w:rsidRPr="00510442">
              <w:rPr>
                <w:rFonts w:eastAsia="MS Mincho"/>
                <w:szCs w:val="22"/>
                <w:lang w:val="hr-HR"/>
              </w:rPr>
              <w:t>9</w:t>
            </w:r>
            <w:r w:rsidRPr="00510442">
              <w:rPr>
                <w:rFonts w:eastAsia="MS Mincho"/>
                <w:szCs w:val="22"/>
                <w:lang w:val="hr-HR"/>
              </w:rPr>
              <w:noBreakHyphen/>
              <w:t>97</w:t>
            </w:r>
            <w:r w:rsidR="00E56B37" w:rsidRPr="00510442">
              <w:rPr>
                <w:rFonts w:eastAsia="MS Mincho"/>
                <w:szCs w:val="22"/>
                <w:lang w:val="hr-HR"/>
              </w:rPr>
              <w:t>,</w:t>
            </w:r>
            <w:r w:rsidRPr="00510442">
              <w:rPr>
                <w:rFonts w:eastAsia="MS Mincho"/>
                <w:szCs w:val="22"/>
                <w:lang w:val="hr-HR"/>
              </w:rPr>
              <w:t>9)</w:t>
            </w:r>
          </w:p>
        </w:tc>
      </w:tr>
      <w:tr w:rsidR="00955BD0" w:rsidRPr="00510442" w14:paraId="68892405" w14:textId="77777777" w:rsidTr="003179A4">
        <w:trPr>
          <w:cantSplit/>
        </w:trPr>
        <w:tc>
          <w:tcPr>
            <w:tcW w:w="3099" w:type="dxa"/>
            <w:shd w:val="clear" w:color="auto" w:fill="auto"/>
          </w:tcPr>
          <w:p w14:paraId="1FE8513B" w14:textId="77777777" w:rsidR="00955BD0" w:rsidRPr="00510442" w:rsidRDefault="00955BD0" w:rsidP="003179A4">
            <w:pPr>
              <w:keepNext/>
              <w:tabs>
                <w:tab w:val="clear" w:pos="567"/>
              </w:tabs>
              <w:spacing w:line="240" w:lineRule="auto"/>
              <w:ind w:left="284"/>
              <w:rPr>
                <w:rFonts w:eastAsia="MS Mincho"/>
                <w:szCs w:val="22"/>
                <w:lang w:val="hr-HR"/>
              </w:rPr>
            </w:pPr>
            <w:r w:rsidRPr="00510442">
              <w:rPr>
                <w:rFonts w:eastAsia="MS Mincho"/>
                <w:szCs w:val="22"/>
                <w:lang w:val="hr-HR"/>
              </w:rPr>
              <w:t>24</w:t>
            </w:r>
            <w:r w:rsidRPr="00510442">
              <w:rPr>
                <w:rFonts w:eastAsia="MS Mincho"/>
                <w:szCs w:val="22"/>
                <w:lang w:val="hr-HR" w:eastAsia="ja-JP"/>
              </w:rPr>
              <w:t> </w:t>
            </w:r>
            <w:r w:rsidR="00E56B37" w:rsidRPr="00510442">
              <w:rPr>
                <w:rFonts w:eastAsia="MS Mincho"/>
                <w:szCs w:val="22"/>
                <w:lang w:val="hr-HR"/>
              </w:rPr>
              <w:t>mjeseca</w:t>
            </w:r>
          </w:p>
        </w:tc>
        <w:tc>
          <w:tcPr>
            <w:tcW w:w="3100" w:type="dxa"/>
            <w:shd w:val="clear" w:color="auto" w:fill="auto"/>
          </w:tcPr>
          <w:p w14:paraId="2E80FBE2" w14:textId="77777777" w:rsidR="00955BD0" w:rsidRPr="00510442" w:rsidRDefault="00955BD0" w:rsidP="003179A4">
            <w:pPr>
              <w:keepNext/>
              <w:tabs>
                <w:tab w:val="clear" w:pos="567"/>
                <w:tab w:val="left" w:pos="284"/>
              </w:tabs>
              <w:spacing w:line="240" w:lineRule="auto"/>
              <w:rPr>
                <w:rFonts w:eastAsia="MS Mincho"/>
                <w:szCs w:val="22"/>
                <w:lang w:val="hr-HR"/>
              </w:rPr>
            </w:pPr>
            <w:r w:rsidRPr="00510442">
              <w:rPr>
                <w:rFonts w:eastAsia="MS Mincho"/>
                <w:szCs w:val="22"/>
                <w:lang w:val="hr-HR"/>
              </w:rPr>
              <w:t>75</w:t>
            </w:r>
            <w:r w:rsidR="00E56B37" w:rsidRPr="00510442">
              <w:rPr>
                <w:rFonts w:eastAsia="MS Mincho"/>
                <w:szCs w:val="22"/>
                <w:lang w:val="hr-HR"/>
              </w:rPr>
              <w:t>,</w:t>
            </w:r>
            <w:r w:rsidRPr="00510442">
              <w:rPr>
                <w:rFonts w:eastAsia="MS Mincho"/>
                <w:szCs w:val="22"/>
                <w:lang w:val="hr-HR"/>
              </w:rPr>
              <w:t>4 (68</w:t>
            </w:r>
            <w:r w:rsidR="00E56B37" w:rsidRPr="00510442">
              <w:rPr>
                <w:rFonts w:eastAsia="MS Mincho"/>
                <w:szCs w:val="22"/>
                <w:lang w:val="hr-HR"/>
              </w:rPr>
              <w:t>,</w:t>
            </w:r>
            <w:r w:rsidRPr="00510442">
              <w:rPr>
                <w:rFonts w:eastAsia="MS Mincho"/>
                <w:szCs w:val="22"/>
                <w:lang w:val="hr-HR"/>
              </w:rPr>
              <w:t>6</w:t>
            </w:r>
            <w:r w:rsidRPr="00510442">
              <w:rPr>
                <w:rFonts w:eastAsia="MS Mincho"/>
                <w:szCs w:val="22"/>
                <w:lang w:val="hr-HR"/>
              </w:rPr>
              <w:noBreakHyphen/>
              <w:t>81</w:t>
            </w:r>
            <w:r w:rsidR="00E56B37" w:rsidRPr="00510442">
              <w:rPr>
                <w:rFonts w:eastAsia="MS Mincho"/>
                <w:szCs w:val="22"/>
                <w:lang w:val="hr-HR"/>
              </w:rPr>
              <w:t>,</w:t>
            </w:r>
            <w:r w:rsidRPr="00510442">
              <w:rPr>
                <w:rFonts w:eastAsia="MS Mincho"/>
                <w:szCs w:val="22"/>
                <w:lang w:val="hr-HR"/>
              </w:rPr>
              <w:t>0)</w:t>
            </w:r>
          </w:p>
        </w:tc>
        <w:tc>
          <w:tcPr>
            <w:tcW w:w="3100" w:type="dxa"/>
            <w:shd w:val="clear" w:color="auto" w:fill="auto"/>
          </w:tcPr>
          <w:p w14:paraId="254BD077" w14:textId="77777777" w:rsidR="00955BD0" w:rsidRPr="00510442" w:rsidRDefault="00955BD0" w:rsidP="003179A4">
            <w:pPr>
              <w:keepNext/>
              <w:tabs>
                <w:tab w:val="clear" w:pos="567"/>
                <w:tab w:val="left" w:pos="284"/>
              </w:tabs>
              <w:spacing w:line="240" w:lineRule="auto"/>
              <w:rPr>
                <w:rFonts w:eastAsia="MS Mincho"/>
                <w:szCs w:val="22"/>
                <w:lang w:val="hr-HR"/>
              </w:rPr>
            </w:pPr>
            <w:r w:rsidRPr="00510442">
              <w:rPr>
                <w:rFonts w:eastAsia="MS Mincho"/>
                <w:szCs w:val="22"/>
                <w:lang w:val="hr-HR"/>
              </w:rPr>
              <w:t>90</w:t>
            </w:r>
            <w:r w:rsidR="00E56B37" w:rsidRPr="00510442">
              <w:rPr>
                <w:rFonts w:eastAsia="MS Mincho"/>
                <w:szCs w:val="22"/>
                <w:lang w:val="hr-HR"/>
              </w:rPr>
              <w:t>,</w:t>
            </w:r>
            <w:r w:rsidRPr="00510442">
              <w:rPr>
                <w:rFonts w:eastAsia="MS Mincho"/>
                <w:szCs w:val="22"/>
                <w:lang w:val="hr-HR"/>
              </w:rPr>
              <w:t>7 (85</w:t>
            </w:r>
            <w:r w:rsidR="00E56B37" w:rsidRPr="00510442">
              <w:rPr>
                <w:rFonts w:eastAsia="MS Mincho"/>
                <w:szCs w:val="22"/>
                <w:lang w:val="hr-HR"/>
              </w:rPr>
              <w:t>,</w:t>
            </w:r>
            <w:r w:rsidRPr="00510442">
              <w:rPr>
                <w:rFonts w:eastAsia="MS Mincho"/>
                <w:szCs w:val="22"/>
                <w:lang w:val="hr-HR"/>
              </w:rPr>
              <w:t>6</w:t>
            </w:r>
            <w:r w:rsidRPr="00510442">
              <w:rPr>
                <w:rFonts w:eastAsia="MS Mincho"/>
                <w:szCs w:val="22"/>
                <w:lang w:val="hr-HR"/>
              </w:rPr>
              <w:noBreakHyphen/>
              <w:t>94</w:t>
            </w:r>
            <w:r w:rsidR="00E56B37" w:rsidRPr="00510442">
              <w:rPr>
                <w:rFonts w:eastAsia="MS Mincho"/>
                <w:szCs w:val="22"/>
                <w:lang w:val="hr-HR"/>
              </w:rPr>
              <w:t>,</w:t>
            </w:r>
            <w:r w:rsidR="008B2049" w:rsidRPr="00510442">
              <w:rPr>
                <w:rFonts w:eastAsia="MS Mincho"/>
                <w:szCs w:val="22"/>
                <w:lang w:val="hr-HR"/>
              </w:rPr>
              <w:t>0</w:t>
            </w:r>
            <w:r w:rsidRPr="00510442">
              <w:rPr>
                <w:rFonts w:eastAsia="MS Mincho"/>
                <w:szCs w:val="22"/>
                <w:lang w:val="hr-HR"/>
              </w:rPr>
              <w:t>)</w:t>
            </w:r>
          </w:p>
        </w:tc>
      </w:tr>
      <w:tr w:rsidR="00955BD0" w:rsidRPr="00510442" w14:paraId="7331562F" w14:textId="77777777" w:rsidTr="003179A4">
        <w:trPr>
          <w:cantSplit/>
        </w:trPr>
        <w:tc>
          <w:tcPr>
            <w:tcW w:w="3099" w:type="dxa"/>
            <w:shd w:val="clear" w:color="auto" w:fill="auto"/>
          </w:tcPr>
          <w:p w14:paraId="7037B5E5" w14:textId="77777777" w:rsidR="00955BD0" w:rsidRPr="00510442" w:rsidRDefault="00955BD0" w:rsidP="003179A4">
            <w:pPr>
              <w:keepNext/>
              <w:tabs>
                <w:tab w:val="clear" w:pos="567"/>
              </w:tabs>
              <w:spacing w:line="240" w:lineRule="auto"/>
              <w:ind w:left="284"/>
              <w:rPr>
                <w:rFonts w:eastAsia="MS Mincho"/>
                <w:szCs w:val="22"/>
                <w:lang w:val="hr-HR"/>
              </w:rPr>
            </w:pPr>
            <w:r w:rsidRPr="00510442">
              <w:rPr>
                <w:rFonts w:eastAsia="MS Mincho"/>
                <w:szCs w:val="22"/>
                <w:lang w:val="hr-HR"/>
              </w:rPr>
              <w:t>36</w:t>
            </w:r>
            <w:r w:rsidRPr="00510442">
              <w:rPr>
                <w:rFonts w:eastAsia="MS Mincho"/>
                <w:szCs w:val="22"/>
                <w:lang w:val="hr-HR" w:eastAsia="ja-JP"/>
              </w:rPr>
              <w:t> </w:t>
            </w:r>
            <w:r w:rsidR="00E56B37" w:rsidRPr="00510442">
              <w:rPr>
                <w:rFonts w:eastAsia="MS Mincho"/>
                <w:szCs w:val="22"/>
                <w:lang w:val="hr-HR"/>
              </w:rPr>
              <w:t>mjeseci</w:t>
            </w:r>
          </w:p>
        </w:tc>
        <w:tc>
          <w:tcPr>
            <w:tcW w:w="3100" w:type="dxa"/>
            <w:shd w:val="clear" w:color="auto" w:fill="auto"/>
          </w:tcPr>
          <w:p w14:paraId="244A097B" w14:textId="77777777" w:rsidR="00955BD0" w:rsidRPr="00510442" w:rsidRDefault="00955BD0" w:rsidP="003179A4">
            <w:pPr>
              <w:keepNext/>
              <w:tabs>
                <w:tab w:val="clear" w:pos="567"/>
                <w:tab w:val="left" w:pos="284"/>
              </w:tabs>
              <w:spacing w:line="240" w:lineRule="auto"/>
              <w:rPr>
                <w:rFonts w:eastAsia="MS Mincho"/>
                <w:szCs w:val="22"/>
                <w:lang w:val="hr-HR"/>
              </w:rPr>
            </w:pPr>
            <w:r w:rsidRPr="00510442">
              <w:rPr>
                <w:rFonts w:eastAsia="MS Mincho"/>
                <w:szCs w:val="22"/>
                <w:lang w:val="hr-HR"/>
              </w:rPr>
              <w:t>60</w:t>
            </w:r>
            <w:r w:rsidR="00E56B37" w:rsidRPr="00510442">
              <w:rPr>
                <w:rFonts w:eastAsia="MS Mincho"/>
                <w:szCs w:val="22"/>
                <w:lang w:val="hr-HR"/>
              </w:rPr>
              <w:t>,</w:t>
            </w:r>
            <w:r w:rsidRPr="00510442">
              <w:rPr>
                <w:rFonts w:eastAsia="MS Mincho"/>
                <w:szCs w:val="22"/>
                <w:lang w:val="hr-HR"/>
              </w:rPr>
              <w:t>1 (52</w:t>
            </w:r>
            <w:r w:rsidR="00E56B37" w:rsidRPr="00510442">
              <w:rPr>
                <w:rFonts w:eastAsia="MS Mincho"/>
                <w:szCs w:val="22"/>
                <w:lang w:val="hr-HR"/>
              </w:rPr>
              <w:t>,</w:t>
            </w:r>
            <w:r w:rsidRPr="00510442">
              <w:rPr>
                <w:rFonts w:eastAsia="MS Mincho"/>
                <w:szCs w:val="22"/>
                <w:lang w:val="hr-HR"/>
              </w:rPr>
              <w:t>5</w:t>
            </w:r>
            <w:r w:rsidRPr="00510442">
              <w:rPr>
                <w:rFonts w:eastAsia="MS Mincho"/>
                <w:szCs w:val="22"/>
                <w:lang w:val="hr-HR"/>
              </w:rPr>
              <w:noBreakHyphen/>
              <w:t>66</w:t>
            </w:r>
            <w:r w:rsidR="00E56B37" w:rsidRPr="00510442">
              <w:rPr>
                <w:rFonts w:eastAsia="MS Mincho"/>
                <w:szCs w:val="22"/>
                <w:lang w:val="hr-HR"/>
              </w:rPr>
              <w:t>,</w:t>
            </w:r>
            <w:r w:rsidRPr="00510442">
              <w:rPr>
                <w:rFonts w:eastAsia="MS Mincho"/>
                <w:szCs w:val="22"/>
                <w:lang w:val="hr-HR"/>
              </w:rPr>
              <w:t>9)</w:t>
            </w:r>
          </w:p>
        </w:tc>
        <w:tc>
          <w:tcPr>
            <w:tcW w:w="3100" w:type="dxa"/>
            <w:shd w:val="clear" w:color="auto" w:fill="auto"/>
          </w:tcPr>
          <w:p w14:paraId="475A6DC1" w14:textId="77777777" w:rsidR="00955BD0" w:rsidRPr="00510442" w:rsidRDefault="00955BD0" w:rsidP="003179A4">
            <w:pPr>
              <w:keepNext/>
              <w:tabs>
                <w:tab w:val="clear" w:pos="567"/>
                <w:tab w:val="left" w:pos="284"/>
              </w:tabs>
              <w:spacing w:line="240" w:lineRule="auto"/>
              <w:rPr>
                <w:rFonts w:eastAsia="MS Mincho"/>
                <w:szCs w:val="22"/>
                <w:lang w:val="hr-HR"/>
              </w:rPr>
            </w:pPr>
            <w:r w:rsidRPr="00510442">
              <w:rPr>
                <w:rFonts w:eastAsia="MS Mincho"/>
                <w:szCs w:val="22"/>
                <w:lang w:val="hr-HR"/>
              </w:rPr>
              <w:t>86</w:t>
            </w:r>
            <w:r w:rsidR="00E56B37" w:rsidRPr="00510442">
              <w:rPr>
                <w:rFonts w:eastAsia="MS Mincho"/>
                <w:szCs w:val="22"/>
                <w:lang w:val="hr-HR"/>
              </w:rPr>
              <w:t>,</w:t>
            </w:r>
            <w:r w:rsidRPr="00510442">
              <w:rPr>
                <w:rFonts w:eastAsia="MS Mincho"/>
                <w:szCs w:val="22"/>
                <w:lang w:val="hr-HR"/>
              </w:rPr>
              <w:t>6 (80</w:t>
            </w:r>
            <w:r w:rsidR="00E56B37" w:rsidRPr="00510442">
              <w:rPr>
                <w:rFonts w:eastAsia="MS Mincho"/>
                <w:szCs w:val="22"/>
                <w:lang w:val="hr-HR"/>
              </w:rPr>
              <w:t>,</w:t>
            </w:r>
            <w:r w:rsidRPr="00510442">
              <w:rPr>
                <w:rFonts w:eastAsia="MS Mincho"/>
                <w:szCs w:val="22"/>
                <w:lang w:val="hr-HR"/>
              </w:rPr>
              <w:t>8</w:t>
            </w:r>
            <w:r w:rsidRPr="00510442">
              <w:rPr>
                <w:rFonts w:eastAsia="MS Mincho"/>
                <w:szCs w:val="22"/>
                <w:lang w:val="hr-HR"/>
              </w:rPr>
              <w:noBreakHyphen/>
              <w:t>90</w:t>
            </w:r>
            <w:r w:rsidR="00E56B37" w:rsidRPr="00510442">
              <w:rPr>
                <w:rFonts w:eastAsia="MS Mincho"/>
                <w:szCs w:val="22"/>
                <w:lang w:val="hr-HR"/>
              </w:rPr>
              <w:t>,</w:t>
            </w:r>
            <w:r w:rsidRPr="00510442">
              <w:rPr>
                <w:rFonts w:eastAsia="MS Mincho"/>
                <w:szCs w:val="22"/>
                <w:lang w:val="hr-HR"/>
              </w:rPr>
              <w:t>8)</w:t>
            </w:r>
          </w:p>
        </w:tc>
      </w:tr>
      <w:tr w:rsidR="00955BD0" w:rsidRPr="00510442" w14:paraId="281AFB9F" w14:textId="77777777" w:rsidTr="003179A4">
        <w:trPr>
          <w:cantSplit/>
        </w:trPr>
        <w:tc>
          <w:tcPr>
            <w:tcW w:w="3099" w:type="dxa"/>
            <w:shd w:val="clear" w:color="auto" w:fill="auto"/>
          </w:tcPr>
          <w:p w14:paraId="46C43772" w14:textId="77777777" w:rsidR="00955BD0" w:rsidRPr="00510442" w:rsidRDefault="00955BD0" w:rsidP="003179A4">
            <w:pPr>
              <w:keepNext/>
              <w:tabs>
                <w:tab w:val="clear" w:pos="567"/>
              </w:tabs>
              <w:spacing w:line="240" w:lineRule="auto"/>
              <w:ind w:left="284"/>
              <w:rPr>
                <w:rFonts w:eastAsia="MS Mincho"/>
                <w:szCs w:val="22"/>
                <w:lang w:val="hr-HR"/>
              </w:rPr>
            </w:pPr>
            <w:r w:rsidRPr="00510442">
              <w:rPr>
                <w:rFonts w:eastAsia="MS Mincho"/>
                <w:szCs w:val="22"/>
                <w:lang w:val="hr-HR"/>
              </w:rPr>
              <w:t>48</w:t>
            </w:r>
            <w:r w:rsidRPr="00510442">
              <w:rPr>
                <w:rFonts w:eastAsia="MS Mincho"/>
                <w:szCs w:val="22"/>
                <w:lang w:val="hr-HR" w:eastAsia="ja-JP"/>
              </w:rPr>
              <w:t> </w:t>
            </w:r>
            <w:r w:rsidR="00E56B37" w:rsidRPr="00510442">
              <w:rPr>
                <w:rFonts w:eastAsia="MS Mincho"/>
                <w:szCs w:val="22"/>
                <w:lang w:val="hr-HR"/>
              </w:rPr>
              <w:t>mjeseci</w:t>
            </w:r>
          </w:p>
        </w:tc>
        <w:tc>
          <w:tcPr>
            <w:tcW w:w="3100" w:type="dxa"/>
            <w:shd w:val="clear" w:color="auto" w:fill="auto"/>
          </w:tcPr>
          <w:p w14:paraId="708FD951" w14:textId="77777777" w:rsidR="00955BD0" w:rsidRPr="00510442" w:rsidRDefault="00955BD0" w:rsidP="003179A4">
            <w:pPr>
              <w:keepNext/>
              <w:tabs>
                <w:tab w:val="clear" w:pos="567"/>
                <w:tab w:val="left" w:pos="284"/>
              </w:tabs>
              <w:spacing w:line="240" w:lineRule="auto"/>
              <w:rPr>
                <w:rFonts w:eastAsia="MS Mincho"/>
                <w:szCs w:val="22"/>
                <w:lang w:val="hr-HR"/>
              </w:rPr>
            </w:pPr>
            <w:r w:rsidRPr="00510442">
              <w:rPr>
                <w:rFonts w:eastAsia="MS Mincho"/>
                <w:szCs w:val="22"/>
                <w:lang w:val="hr-HR"/>
              </w:rPr>
              <w:t>52</w:t>
            </w:r>
            <w:r w:rsidR="00E56B37" w:rsidRPr="00510442">
              <w:rPr>
                <w:rFonts w:eastAsia="MS Mincho"/>
                <w:szCs w:val="22"/>
                <w:lang w:val="hr-HR"/>
              </w:rPr>
              <w:t>,</w:t>
            </w:r>
            <w:r w:rsidRPr="00510442">
              <w:rPr>
                <w:rFonts w:eastAsia="MS Mincho"/>
                <w:szCs w:val="22"/>
                <w:lang w:val="hr-HR"/>
              </w:rPr>
              <w:t>3 (44</w:t>
            </w:r>
            <w:r w:rsidR="00E56B37" w:rsidRPr="00510442">
              <w:rPr>
                <w:rFonts w:eastAsia="MS Mincho"/>
                <w:szCs w:val="22"/>
                <w:lang w:val="hr-HR"/>
              </w:rPr>
              <w:t>,</w:t>
            </w:r>
            <w:r w:rsidRPr="00510442">
              <w:rPr>
                <w:rFonts w:eastAsia="MS Mincho"/>
                <w:szCs w:val="22"/>
                <w:lang w:val="hr-HR"/>
              </w:rPr>
              <w:t>0</w:t>
            </w:r>
            <w:r w:rsidRPr="00510442">
              <w:rPr>
                <w:rFonts w:eastAsia="MS Mincho"/>
                <w:szCs w:val="22"/>
                <w:lang w:val="hr-HR"/>
              </w:rPr>
              <w:noBreakHyphen/>
              <w:t>59</w:t>
            </w:r>
            <w:r w:rsidR="00E56B37" w:rsidRPr="00510442">
              <w:rPr>
                <w:rFonts w:eastAsia="MS Mincho"/>
                <w:szCs w:val="22"/>
                <w:lang w:val="hr-HR"/>
              </w:rPr>
              <w:t>,</w:t>
            </w:r>
            <w:r w:rsidRPr="00510442">
              <w:rPr>
                <w:rFonts w:eastAsia="MS Mincho"/>
                <w:szCs w:val="22"/>
                <w:lang w:val="hr-HR"/>
              </w:rPr>
              <w:t>8)</w:t>
            </w:r>
          </w:p>
        </w:tc>
        <w:tc>
          <w:tcPr>
            <w:tcW w:w="3100" w:type="dxa"/>
            <w:shd w:val="clear" w:color="auto" w:fill="auto"/>
          </w:tcPr>
          <w:p w14:paraId="5990EE83" w14:textId="77777777" w:rsidR="00955BD0" w:rsidRPr="00510442" w:rsidRDefault="00955BD0" w:rsidP="003179A4">
            <w:pPr>
              <w:keepNext/>
              <w:tabs>
                <w:tab w:val="clear" w:pos="567"/>
                <w:tab w:val="left" w:pos="284"/>
              </w:tabs>
              <w:spacing w:line="240" w:lineRule="auto"/>
              <w:rPr>
                <w:rFonts w:eastAsia="MS Mincho"/>
                <w:szCs w:val="22"/>
                <w:lang w:val="hr-HR"/>
              </w:rPr>
            </w:pPr>
            <w:r w:rsidRPr="00510442">
              <w:rPr>
                <w:rFonts w:eastAsia="MS Mincho"/>
                <w:szCs w:val="22"/>
                <w:lang w:val="hr-HR"/>
              </w:rPr>
              <w:t>78</w:t>
            </w:r>
            <w:r w:rsidR="00E56B37" w:rsidRPr="00510442">
              <w:rPr>
                <w:rFonts w:eastAsia="MS Mincho"/>
                <w:szCs w:val="22"/>
                <w:lang w:val="hr-HR"/>
              </w:rPr>
              <w:t>,</w:t>
            </w:r>
            <w:r w:rsidRPr="00510442">
              <w:rPr>
                <w:rFonts w:eastAsia="MS Mincho"/>
                <w:szCs w:val="22"/>
                <w:lang w:val="hr-HR"/>
              </w:rPr>
              <w:t>3 (70</w:t>
            </w:r>
            <w:r w:rsidR="00E56B37" w:rsidRPr="00510442">
              <w:rPr>
                <w:rFonts w:eastAsia="MS Mincho"/>
                <w:szCs w:val="22"/>
                <w:lang w:val="hr-HR"/>
              </w:rPr>
              <w:t>,</w:t>
            </w:r>
            <w:r w:rsidRPr="00510442">
              <w:rPr>
                <w:rFonts w:eastAsia="MS Mincho"/>
                <w:szCs w:val="22"/>
                <w:lang w:val="hr-HR"/>
              </w:rPr>
              <w:t>8</w:t>
            </w:r>
            <w:r w:rsidRPr="00510442">
              <w:rPr>
                <w:rFonts w:eastAsia="MS Mincho"/>
                <w:szCs w:val="22"/>
                <w:lang w:val="hr-HR"/>
              </w:rPr>
              <w:noBreakHyphen/>
              <w:t>84</w:t>
            </w:r>
            <w:r w:rsidR="00E56B37" w:rsidRPr="00510442">
              <w:rPr>
                <w:rFonts w:eastAsia="MS Mincho"/>
                <w:szCs w:val="22"/>
                <w:lang w:val="hr-HR"/>
              </w:rPr>
              <w:t>,</w:t>
            </w:r>
            <w:r w:rsidRPr="00510442">
              <w:rPr>
                <w:rFonts w:eastAsia="MS Mincho"/>
                <w:szCs w:val="22"/>
                <w:lang w:val="hr-HR"/>
              </w:rPr>
              <w:t>1)</w:t>
            </w:r>
          </w:p>
        </w:tc>
      </w:tr>
      <w:tr w:rsidR="00955BD0" w:rsidRPr="00510442" w14:paraId="6FA915AF" w14:textId="77777777" w:rsidTr="003179A4">
        <w:trPr>
          <w:cantSplit/>
        </w:trPr>
        <w:tc>
          <w:tcPr>
            <w:tcW w:w="3099" w:type="dxa"/>
            <w:shd w:val="clear" w:color="auto" w:fill="auto"/>
          </w:tcPr>
          <w:p w14:paraId="2E33C90C" w14:textId="77777777" w:rsidR="00955BD0" w:rsidRPr="00510442" w:rsidRDefault="00955BD0" w:rsidP="003179A4">
            <w:pPr>
              <w:keepNext/>
              <w:tabs>
                <w:tab w:val="clear" w:pos="567"/>
              </w:tabs>
              <w:spacing w:line="240" w:lineRule="auto"/>
              <w:ind w:left="284"/>
              <w:rPr>
                <w:rFonts w:eastAsia="MS Mincho"/>
                <w:szCs w:val="22"/>
                <w:lang w:val="hr-HR"/>
              </w:rPr>
            </w:pPr>
            <w:r w:rsidRPr="00510442">
              <w:rPr>
                <w:rFonts w:eastAsia="MS Mincho"/>
                <w:szCs w:val="22"/>
                <w:lang w:val="hr-HR"/>
              </w:rPr>
              <w:t>60</w:t>
            </w:r>
            <w:r w:rsidRPr="00510442">
              <w:rPr>
                <w:rFonts w:eastAsia="MS Mincho"/>
                <w:szCs w:val="22"/>
                <w:lang w:val="hr-HR" w:eastAsia="ja-JP"/>
              </w:rPr>
              <w:t> </w:t>
            </w:r>
            <w:r w:rsidR="00E56B37" w:rsidRPr="00510442">
              <w:rPr>
                <w:rFonts w:eastAsia="MS Mincho"/>
                <w:szCs w:val="22"/>
                <w:lang w:val="hr-HR"/>
              </w:rPr>
              <w:t>mjeseci</w:t>
            </w:r>
          </w:p>
        </w:tc>
        <w:tc>
          <w:tcPr>
            <w:tcW w:w="3100" w:type="dxa"/>
            <w:shd w:val="clear" w:color="auto" w:fill="auto"/>
          </w:tcPr>
          <w:p w14:paraId="13B49360" w14:textId="77777777" w:rsidR="00955BD0" w:rsidRPr="00510442" w:rsidRDefault="00955BD0" w:rsidP="003179A4">
            <w:pPr>
              <w:keepNext/>
              <w:tabs>
                <w:tab w:val="clear" w:pos="567"/>
                <w:tab w:val="left" w:pos="284"/>
              </w:tabs>
              <w:spacing w:line="240" w:lineRule="auto"/>
              <w:rPr>
                <w:rFonts w:eastAsia="MS Mincho"/>
                <w:szCs w:val="22"/>
                <w:lang w:val="hr-HR"/>
              </w:rPr>
            </w:pPr>
            <w:r w:rsidRPr="00510442">
              <w:rPr>
                <w:rFonts w:eastAsia="MS Mincho"/>
                <w:szCs w:val="22"/>
                <w:lang w:val="hr-HR"/>
              </w:rPr>
              <w:t>47</w:t>
            </w:r>
            <w:r w:rsidR="00E56B37" w:rsidRPr="00510442">
              <w:rPr>
                <w:rFonts w:eastAsia="MS Mincho"/>
                <w:szCs w:val="22"/>
                <w:lang w:val="hr-HR"/>
              </w:rPr>
              <w:t>,</w:t>
            </w:r>
            <w:r w:rsidRPr="00510442">
              <w:rPr>
                <w:rFonts w:eastAsia="MS Mincho"/>
                <w:szCs w:val="22"/>
                <w:lang w:val="hr-HR"/>
              </w:rPr>
              <w:t>9 (39</w:t>
            </w:r>
            <w:r w:rsidR="00E56B37" w:rsidRPr="00510442">
              <w:rPr>
                <w:rFonts w:eastAsia="MS Mincho"/>
                <w:szCs w:val="22"/>
                <w:lang w:val="hr-HR"/>
              </w:rPr>
              <w:t>,</w:t>
            </w:r>
            <w:r w:rsidRPr="00510442">
              <w:rPr>
                <w:rFonts w:eastAsia="MS Mincho"/>
                <w:szCs w:val="22"/>
                <w:lang w:val="hr-HR"/>
              </w:rPr>
              <w:t>0</w:t>
            </w:r>
            <w:r w:rsidRPr="00510442">
              <w:rPr>
                <w:rFonts w:eastAsia="MS Mincho"/>
                <w:szCs w:val="22"/>
                <w:lang w:val="hr-HR"/>
              </w:rPr>
              <w:noBreakHyphen/>
              <w:t>56</w:t>
            </w:r>
            <w:r w:rsidR="00E56B37" w:rsidRPr="00510442">
              <w:rPr>
                <w:rFonts w:eastAsia="MS Mincho"/>
                <w:szCs w:val="22"/>
                <w:lang w:val="hr-HR"/>
              </w:rPr>
              <w:t>,</w:t>
            </w:r>
            <w:r w:rsidRPr="00510442">
              <w:rPr>
                <w:rFonts w:eastAsia="MS Mincho"/>
                <w:szCs w:val="22"/>
                <w:lang w:val="hr-HR"/>
              </w:rPr>
              <w:t>3)</w:t>
            </w:r>
          </w:p>
        </w:tc>
        <w:tc>
          <w:tcPr>
            <w:tcW w:w="3100" w:type="dxa"/>
            <w:shd w:val="clear" w:color="auto" w:fill="auto"/>
          </w:tcPr>
          <w:p w14:paraId="11867E54" w14:textId="77777777" w:rsidR="00955BD0" w:rsidRPr="00510442" w:rsidRDefault="00955BD0" w:rsidP="003179A4">
            <w:pPr>
              <w:keepNext/>
              <w:tabs>
                <w:tab w:val="clear" w:pos="567"/>
                <w:tab w:val="left" w:pos="284"/>
              </w:tabs>
              <w:spacing w:line="240" w:lineRule="auto"/>
              <w:rPr>
                <w:rFonts w:eastAsia="MS Mincho"/>
                <w:szCs w:val="22"/>
                <w:lang w:val="hr-HR"/>
              </w:rPr>
            </w:pPr>
            <w:r w:rsidRPr="00510442">
              <w:rPr>
                <w:rFonts w:eastAsia="MS Mincho"/>
                <w:szCs w:val="22"/>
                <w:lang w:val="hr-HR"/>
              </w:rPr>
              <w:t>65</w:t>
            </w:r>
            <w:r w:rsidR="00E56B37" w:rsidRPr="00510442">
              <w:rPr>
                <w:rFonts w:eastAsia="MS Mincho"/>
                <w:szCs w:val="22"/>
                <w:lang w:val="hr-HR"/>
              </w:rPr>
              <w:t>,</w:t>
            </w:r>
            <w:r w:rsidRPr="00510442">
              <w:rPr>
                <w:rFonts w:eastAsia="MS Mincho"/>
                <w:szCs w:val="22"/>
                <w:lang w:val="hr-HR"/>
              </w:rPr>
              <w:t>6 (56</w:t>
            </w:r>
            <w:r w:rsidR="00E56B37" w:rsidRPr="00510442">
              <w:rPr>
                <w:rFonts w:eastAsia="MS Mincho"/>
                <w:szCs w:val="22"/>
                <w:lang w:val="hr-HR"/>
              </w:rPr>
              <w:t>,</w:t>
            </w:r>
            <w:r w:rsidRPr="00510442">
              <w:rPr>
                <w:rFonts w:eastAsia="MS Mincho"/>
                <w:szCs w:val="22"/>
                <w:lang w:val="hr-HR"/>
              </w:rPr>
              <w:t>1</w:t>
            </w:r>
            <w:r w:rsidRPr="00510442">
              <w:rPr>
                <w:rFonts w:eastAsia="MS Mincho"/>
                <w:szCs w:val="22"/>
                <w:lang w:val="hr-HR"/>
              </w:rPr>
              <w:noBreakHyphen/>
              <w:t>73</w:t>
            </w:r>
            <w:r w:rsidR="00E56B37" w:rsidRPr="00510442">
              <w:rPr>
                <w:rFonts w:eastAsia="MS Mincho"/>
                <w:szCs w:val="22"/>
                <w:lang w:val="hr-HR"/>
              </w:rPr>
              <w:t>,</w:t>
            </w:r>
            <w:r w:rsidRPr="00510442">
              <w:rPr>
                <w:rFonts w:eastAsia="MS Mincho"/>
                <w:szCs w:val="22"/>
                <w:lang w:val="hr-HR"/>
              </w:rPr>
              <w:t>4)</w:t>
            </w:r>
          </w:p>
        </w:tc>
      </w:tr>
      <w:tr w:rsidR="00955BD0" w:rsidRPr="00510442" w14:paraId="71D6530A" w14:textId="77777777" w:rsidTr="003179A4">
        <w:trPr>
          <w:cantSplit/>
        </w:trPr>
        <w:tc>
          <w:tcPr>
            <w:tcW w:w="3099" w:type="dxa"/>
            <w:shd w:val="clear" w:color="auto" w:fill="auto"/>
          </w:tcPr>
          <w:p w14:paraId="44B1CB1E" w14:textId="77777777" w:rsidR="00955BD0" w:rsidRPr="00510442" w:rsidRDefault="00063B6B" w:rsidP="003179A4">
            <w:pPr>
              <w:keepNext/>
              <w:tabs>
                <w:tab w:val="clear" w:pos="567"/>
                <w:tab w:val="left" w:pos="284"/>
              </w:tabs>
              <w:spacing w:line="240" w:lineRule="auto"/>
              <w:rPr>
                <w:rFonts w:eastAsia="MS Mincho"/>
                <w:b/>
                <w:szCs w:val="22"/>
                <w:lang w:val="hr-HR"/>
              </w:rPr>
            </w:pPr>
            <w:r w:rsidRPr="00510442">
              <w:rPr>
                <w:rFonts w:eastAsia="MS Mincho"/>
                <w:b/>
                <w:szCs w:val="22"/>
                <w:lang w:val="hr-HR"/>
              </w:rPr>
              <w:t>Preživlj</w:t>
            </w:r>
            <w:r w:rsidR="00F73A3D" w:rsidRPr="00510442">
              <w:rPr>
                <w:rFonts w:eastAsia="MS Mincho"/>
                <w:b/>
                <w:szCs w:val="22"/>
                <w:lang w:val="hr-HR"/>
              </w:rPr>
              <w:t>e</w:t>
            </w:r>
            <w:r w:rsidRPr="00510442">
              <w:rPr>
                <w:rFonts w:eastAsia="MS Mincho"/>
                <w:b/>
                <w:szCs w:val="22"/>
                <w:lang w:val="hr-HR"/>
              </w:rPr>
              <w:t>nje</w:t>
            </w:r>
          </w:p>
        </w:tc>
        <w:tc>
          <w:tcPr>
            <w:tcW w:w="3100" w:type="dxa"/>
            <w:shd w:val="clear" w:color="auto" w:fill="auto"/>
          </w:tcPr>
          <w:p w14:paraId="73CA1124" w14:textId="77777777" w:rsidR="00955BD0" w:rsidRPr="00510442" w:rsidRDefault="00955BD0" w:rsidP="003179A4">
            <w:pPr>
              <w:keepNext/>
              <w:tabs>
                <w:tab w:val="clear" w:pos="567"/>
                <w:tab w:val="left" w:pos="284"/>
              </w:tabs>
              <w:spacing w:line="240" w:lineRule="auto"/>
              <w:rPr>
                <w:rFonts w:eastAsia="MS Mincho"/>
                <w:szCs w:val="22"/>
                <w:lang w:val="hr-HR"/>
              </w:rPr>
            </w:pPr>
          </w:p>
        </w:tc>
        <w:tc>
          <w:tcPr>
            <w:tcW w:w="3100" w:type="dxa"/>
            <w:shd w:val="clear" w:color="auto" w:fill="auto"/>
          </w:tcPr>
          <w:p w14:paraId="2A008AB7" w14:textId="77777777" w:rsidR="00955BD0" w:rsidRPr="00510442" w:rsidRDefault="00955BD0" w:rsidP="003179A4">
            <w:pPr>
              <w:keepNext/>
              <w:tabs>
                <w:tab w:val="clear" w:pos="567"/>
                <w:tab w:val="left" w:pos="284"/>
              </w:tabs>
              <w:spacing w:line="240" w:lineRule="auto"/>
              <w:rPr>
                <w:rFonts w:eastAsia="MS Mincho"/>
                <w:szCs w:val="22"/>
                <w:lang w:val="hr-HR"/>
              </w:rPr>
            </w:pPr>
          </w:p>
        </w:tc>
      </w:tr>
      <w:tr w:rsidR="00955BD0" w:rsidRPr="00510442" w14:paraId="39B65EA1" w14:textId="77777777" w:rsidTr="003179A4">
        <w:trPr>
          <w:cantSplit/>
        </w:trPr>
        <w:tc>
          <w:tcPr>
            <w:tcW w:w="3099" w:type="dxa"/>
            <w:shd w:val="clear" w:color="auto" w:fill="auto"/>
          </w:tcPr>
          <w:p w14:paraId="463C8830" w14:textId="77777777" w:rsidR="00955BD0" w:rsidRPr="00510442" w:rsidRDefault="00955BD0" w:rsidP="003179A4">
            <w:pPr>
              <w:keepNext/>
              <w:tabs>
                <w:tab w:val="clear" w:pos="567"/>
              </w:tabs>
              <w:spacing w:line="240" w:lineRule="auto"/>
              <w:ind w:left="284"/>
              <w:rPr>
                <w:rFonts w:eastAsia="MS Mincho"/>
                <w:szCs w:val="22"/>
                <w:lang w:val="hr-HR"/>
              </w:rPr>
            </w:pPr>
            <w:r w:rsidRPr="00510442">
              <w:rPr>
                <w:rFonts w:eastAsia="MS Mincho"/>
                <w:szCs w:val="22"/>
                <w:lang w:val="hr-HR"/>
              </w:rPr>
              <w:t>36</w:t>
            </w:r>
            <w:r w:rsidRPr="00510442">
              <w:rPr>
                <w:rFonts w:eastAsia="MS Mincho"/>
                <w:szCs w:val="22"/>
                <w:lang w:val="hr-HR" w:eastAsia="ja-JP"/>
              </w:rPr>
              <w:t> </w:t>
            </w:r>
            <w:r w:rsidR="00E56B37" w:rsidRPr="00510442">
              <w:rPr>
                <w:rFonts w:eastAsia="MS Mincho"/>
                <w:szCs w:val="22"/>
                <w:lang w:val="hr-HR"/>
              </w:rPr>
              <w:t>mjeseci</w:t>
            </w:r>
          </w:p>
        </w:tc>
        <w:tc>
          <w:tcPr>
            <w:tcW w:w="3100" w:type="dxa"/>
            <w:shd w:val="clear" w:color="auto" w:fill="auto"/>
          </w:tcPr>
          <w:p w14:paraId="1B418676" w14:textId="77777777" w:rsidR="00955BD0" w:rsidRPr="00510442" w:rsidRDefault="00955BD0" w:rsidP="003179A4">
            <w:pPr>
              <w:keepNext/>
              <w:tabs>
                <w:tab w:val="clear" w:pos="567"/>
                <w:tab w:val="left" w:pos="284"/>
              </w:tabs>
              <w:spacing w:line="240" w:lineRule="auto"/>
              <w:rPr>
                <w:rFonts w:eastAsia="MS Mincho"/>
                <w:szCs w:val="22"/>
                <w:lang w:val="hr-HR"/>
              </w:rPr>
            </w:pPr>
            <w:r w:rsidRPr="00510442">
              <w:rPr>
                <w:rFonts w:eastAsia="MS Mincho"/>
                <w:szCs w:val="22"/>
                <w:lang w:val="hr-HR"/>
              </w:rPr>
              <w:t>94</w:t>
            </w:r>
            <w:r w:rsidR="00E56B37" w:rsidRPr="00510442">
              <w:rPr>
                <w:rFonts w:eastAsia="MS Mincho"/>
                <w:szCs w:val="22"/>
                <w:lang w:val="hr-HR"/>
              </w:rPr>
              <w:t>,</w:t>
            </w:r>
            <w:r w:rsidRPr="00510442">
              <w:rPr>
                <w:rFonts w:eastAsia="MS Mincho"/>
                <w:szCs w:val="22"/>
                <w:lang w:val="hr-HR"/>
              </w:rPr>
              <w:t>0 (89</w:t>
            </w:r>
            <w:r w:rsidR="00E56B37" w:rsidRPr="00510442">
              <w:rPr>
                <w:rFonts w:eastAsia="MS Mincho"/>
                <w:szCs w:val="22"/>
                <w:lang w:val="hr-HR"/>
              </w:rPr>
              <w:t>,</w:t>
            </w:r>
            <w:r w:rsidRPr="00510442">
              <w:rPr>
                <w:rFonts w:eastAsia="MS Mincho"/>
                <w:szCs w:val="22"/>
                <w:lang w:val="hr-HR"/>
              </w:rPr>
              <w:t>5</w:t>
            </w:r>
            <w:r w:rsidRPr="00510442">
              <w:rPr>
                <w:rFonts w:eastAsia="MS Mincho"/>
                <w:szCs w:val="22"/>
                <w:lang w:val="hr-HR"/>
              </w:rPr>
              <w:noBreakHyphen/>
              <w:t>96</w:t>
            </w:r>
            <w:r w:rsidR="00E56B37" w:rsidRPr="00510442">
              <w:rPr>
                <w:rFonts w:eastAsia="MS Mincho"/>
                <w:szCs w:val="22"/>
                <w:lang w:val="hr-HR"/>
              </w:rPr>
              <w:t>,</w:t>
            </w:r>
            <w:r w:rsidRPr="00510442">
              <w:rPr>
                <w:rFonts w:eastAsia="MS Mincho"/>
                <w:szCs w:val="22"/>
                <w:lang w:val="hr-HR"/>
              </w:rPr>
              <w:t>7)</w:t>
            </w:r>
          </w:p>
        </w:tc>
        <w:tc>
          <w:tcPr>
            <w:tcW w:w="3100" w:type="dxa"/>
            <w:shd w:val="clear" w:color="auto" w:fill="auto"/>
          </w:tcPr>
          <w:p w14:paraId="3BD01B5C" w14:textId="77777777" w:rsidR="00955BD0" w:rsidRPr="00510442" w:rsidRDefault="00955BD0" w:rsidP="003179A4">
            <w:pPr>
              <w:keepNext/>
              <w:tabs>
                <w:tab w:val="clear" w:pos="567"/>
                <w:tab w:val="left" w:pos="284"/>
              </w:tabs>
              <w:spacing w:line="240" w:lineRule="auto"/>
              <w:rPr>
                <w:rFonts w:eastAsia="MS Mincho"/>
                <w:szCs w:val="22"/>
                <w:lang w:val="hr-HR"/>
              </w:rPr>
            </w:pPr>
            <w:r w:rsidRPr="00510442">
              <w:rPr>
                <w:rFonts w:eastAsia="MS Mincho"/>
                <w:szCs w:val="22"/>
                <w:lang w:val="hr-HR"/>
              </w:rPr>
              <w:t>96</w:t>
            </w:r>
            <w:r w:rsidR="00E56B37" w:rsidRPr="00510442">
              <w:rPr>
                <w:rFonts w:eastAsia="MS Mincho"/>
                <w:szCs w:val="22"/>
                <w:lang w:val="hr-HR"/>
              </w:rPr>
              <w:t>,</w:t>
            </w:r>
            <w:r w:rsidRPr="00510442">
              <w:rPr>
                <w:rFonts w:eastAsia="MS Mincho"/>
                <w:szCs w:val="22"/>
                <w:lang w:val="hr-HR"/>
              </w:rPr>
              <w:t>3 (92</w:t>
            </w:r>
            <w:r w:rsidR="00E56B37" w:rsidRPr="00510442">
              <w:rPr>
                <w:rFonts w:eastAsia="MS Mincho"/>
                <w:szCs w:val="22"/>
                <w:lang w:val="hr-HR"/>
              </w:rPr>
              <w:t>,</w:t>
            </w:r>
            <w:r w:rsidRPr="00510442">
              <w:rPr>
                <w:rFonts w:eastAsia="MS Mincho"/>
                <w:szCs w:val="22"/>
                <w:lang w:val="hr-HR"/>
              </w:rPr>
              <w:t>4</w:t>
            </w:r>
            <w:r w:rsidRPr="00510442">
              <w:rPr>
                <w:rFonts w:eastAsia="MS Mincho"/>
                <w:szCs w:val="22"/>
                <w:lang w:val="hr-HR"/>
              </w:rPr>
              <w:noBreakHyphen/>
              <w:t>98</w:t>
            </w:r>
            <w:r w:rsidR="00E56B37" w:rsidRPr="00510442">
              <w:rPr>
                <w:rFonts w:eastAsia="MS Mincho"/>
                <w:szCs w:val="22"/>
                <w:lang w:val="hr-HR"/>
              </w:rPr>
              <w:t>,</w:t>
            </w:r>
            <w:r w:rsidRPr="00510442">
              <w:rPr>
                <w:rFonts w:eastAsia="MS Mincho"/>
                <w:szCs w:val="22"/>
                <w:lang w:val="hr-HR"/>
              </w:rPr>
              <w:t>2)</w:t>
            </w:r>
          </w:p>
        </w:tc>
      </w:tr>
      <w:tr w:rsidR="00955BD0" w:rsidRPr="00510442" w14:paraId="0F8421B9" w14:textId="77777777" w:rsidTr="003179A4">
        <w:trPr>
          <w:cantSplit/>
        </w:trPr>
        <w:tc>
          <w:tcPr>
            <w:tcW w:w="3099" w:type="dxa"/>
            <w:shd w:val="clear" w:color="auto" w:fill="auto"/>
          </w:tcPr>
          <w:p w14:paraId="245927E6" w14:textId="77777777" w:rsidR="00955BD0" w:rsidRPr="00510442" w:rsidRDefault="00955BD0" w:rsidP="003179A4">
            <w:pPr>
              <w:keepNext/>
              <w:tabs>
                <w:tab w:val="clear" w:pos="567"/>
              </w:tabs>
              <w:spacing w:line="240" w:lineRule="auto"/>
              <w:ind w:left="284"/>
              <w:rPr>
                <w:rFonts w:eastAsia="MS Mincho"/>
                <w:szCs w:val="22"/>
                <w:lang w:val="hr-HR"/>
              </w:rPr>
            </w:pPr>
            <w:r w:rsidRPr="00510442">
              <w:rPr>
                <w:rFonts w:eastAsia="MS Mincho"/>
                <w:szCs w:val="22"/>
                <w:lang w:val="hr-HR"/>
              </w:rPr>
              <w:t>48</w:t>
            </w:r>
            <w:r w:rsidRPr="00510442">
              <w:rPr>
                <w:rFonts w:eastAsia="MS Mincho"/>
                <w:szCs w:val="22"/>
                <w:lang w:val="hr-HR" w:eastAsia="ja-JP"/>
              </w:rPr>
              <w:t> </w:t>
            </w:r>
            <w:r w:rsidR="00E56B37" w:rsidRPr="00510442">
              <w:rPr>
                <w:rFonts w:eastAsia="MS Mincho"/>
                <w:szCs w:val="22"/>
                <w:lang w:val="hr-HR"/>
              </w:rPr>
              <w:t>mjeseci</w:t>
            </w:r>
          </w:p>
        </w:tc>
        <w:tc>
          <w:tcPr>
            <w:tcW w:w="3100" w:type="dxa"/>
            <w:shd w:val="clear" w:color="auto" w:fill="auto"/>
          </w:tcPr>
          <w:p w14:paraId="0B5C5B21" w14:textId="77777777" w:rsidR="00955BD0" w:rsidRPr="00510442" w:rsidRDefault="00955BD0" w:rsidP="003179A4">
            <w:pPr>
              <w:keepNext/>
              <w:tabs>
                <w:tab w:val="clear" w:pos="567"/>
                <w:tab w:val="left" w:pos="284"/>
              </w:tabs>
              <w:spacing w:line="240" w:lineRule="auto"/>
              <w:rPr>
                <w:rFonts w:eastAsia="MS Mincho"/>
                <w:szCs w:val="22"/>
                <w:lang w:val="hr-HR"/>
              </w:rPr>
            </w:pPr>
            <w:r w:rsidRPr="00510442">
              <w:rPr>
                <w:rFonts w:eastAsia="MS Mincho"/>
                <w:szCs w:val="22"/>
                <w:lang w:val="hr-HR"/>
              </w:rPr>
              <w:t>87</w:t>
            </w:r>
            <w:r w:rsidR="00E56B37" w:rsidRPr="00510442">
              <w:rPr>
                <w:rFonts w:eastAsia="MS Mincho"/>
                <w:szCs w:val="22"/>
                <w:lang w:val="hr-HR"/>
              </w:rPr>
              <w:t>,</w:t>
            </w:r>
            <w:r w:rsidRPr="00510442">
              <w:rPr>
                <w:rFonts w:eastAsia="MS Mincho"/>
                <w:szCs w:val="22"/>
                <w:lang w:val="hr-HR"/>
              </w:rPr>
              <w:t>9 (81</w:t>
            </w:r>
            <w:r w:rsidR="00E56B37" w:rsidRPr="00510442">
              <w:rPr>
                <w:rFonts w:eastAsia="MS Mincho"/>
                <w:szCs w:val="22"/>
                <w:lang w:val="hr-HR"/>
              </w:rPr>
              <w:t>,</w:t>
            </w:r>
            <w:r w:rsidRPr="00510442">
              <w:rPr>
                <w:rFonts w:eastAsia="MS Mincho"/>
                <w:szCs w:val="22"/>
                <w:lang w:val="hr-HR"/>
              </w:rPr>
              <w:t>1</w:t>
            </w:r>
            <w:r w:rsidRPr="00510442">
              <w:rPr>
                <w:rFonts w:eastAsia="MS Mincho"/>
                <w:szCs w:val="22"/>
                <w:lang w:val="hr-HR"/>
              </w:rPr>
              <w:noBreakHyphen/>
              <w:t>92</w:t>
            </w:r>
            <w:r w:rsidR="00E56B37" w:rsidRPr="00510442">
              <w:rPr>
                <w:rFonts w:eastAsia="MS Mincho"/>
                <w:szCs w:val="22"/>
                <w:lang w:val="hr-HR"/>
              </w:rPr>
              <w:t>,</w:t>
            </w:r>
            <w:r w:rsidRPr="00510442">
              <w:rPr>
                <w:rFonts w:eastAsia="MS Mincho"/>
                <w:szCs w:val="22"/>
                <w:lang w:val="hr-HR"/>
              </w:rPr>
              <w:t>3)</w:t>
            </w:r>
          </w:p>
        </w:tc>
        <w:tc>
          <w:tcPr>
            <w:tcW w:w="3100" w:type="dxa"/>
            <w:shd w:val="clear" w:color="auto" w:fill="auto"/>
          </w:tcPr>
          <w:p w14:paraId="7120B9C8" w14:textId="77777777" w:rsidR="00955BD0" w:rsidRPr="00510442" w:rsidRDefault="00955BD0" w:rsidP="003179A4">
            <w:pPr>
              <w:keepNext/>
              <w:tabs>
                <w:tab w:val="clear" w:pos="567"/>
                <w:tab w:val="left" w:pos="284"/>
              </w:tabs>
              <w:spacing w:line="240" w:lineRule="auto"/>
              <w:rPr>
                <w:rFonts w:eastAsia="MS Mincho"/>
                <w:szCs w:val="22"/>
                <w:lang w:val="hr-HR"/>
              </w:rPr>
            </w:pPr>
            <w:r w:rsidRPr="00510442">
              <w:rPr>
                <w:rFonts w:eastAsia="MS Mincho"/>
                <w:szCs w:val="22"/>
                <w:lang w:val="hr-HR"/>
              </w:rPr>
              <w:t>95</w:t>
            </w:r>
            <w:r w:rsidR="00E56B37" w:rsidRPr="00510442">
              <w:rPr>
                <w:rFonts w:eastAsia="MS Mincho"/>
                <w:szCs w:val="22"/>
                <w:lang w:val="hr-HR"/>
              </w:rPr>
              <w:t>,</w:t>
            </w:r>
            <w:r w:rsidRPr="00510442">
              <w:rPr>
                <w:rFonts w:eastAsia="MS Mincho"/>
                <w:szCs w:val="22"/>
                <w:lang w:val="hr-HR"/>
              </w:rPr>
              <w:t>6 (91</w:t>
            </w:r>
            <w:r w:rsidR="00E56B37" w:rsidRPr="00510442">
              <w:rPr>
                <w:rFonts w:eastAsia="MS Mincho"/>
                <w:szCs w:val="22"/>
                <w:lang w:val="hr-HR"/>
              </w:rPr>
              <w:t>,</w:t>
            </w:r>
            <w:r w:rsidRPr="00510442">
              <w:rPr>
                <w:rFonts w:eastAsia="MS Mincho"/>
                <w:szCs w:val="22"/>
                <w:lang w:val="hr-HR"/>
              </w:rPr>
              <w:t>2</w:t>
            </w:r>
            <w:r w:rsidRPr="00510442">
              <w:rPr>
                <w:rFonts w:eastAsia="MS Mincho"/>
                <w:szCs w:val="22"/>
                <w:lang w:val="hr-HR"/>
              </w:rPr>
              <w:noBreakHyphen/>
              <w:t>97</w:t>
            </w:r>
            <w:r w:rsidR="00E56B37" w:rsidRPr="00510442">
              <w:rPr>
                <w:rFonts w:eastAsia="MS Mincho"/>
                <w:szCs w:val="22"/>
                <w:lang w:val="hr-HR"/>
              </w:rPr>
              <w:t>,</w:t>
            </w:r>
            <w:r w:rsidRPr="00510442">
              <w:rPr>
                <w:rFonts w:eastAsia="MS Mincho"/>
                <w:szCs w:val="22"/>
                <w:lang w:val="hr-HR"/>
              </w:rPr>
              <w:t>8)</w:t>
            </w:r>
          </w:p>
        </w:tc>
      </w:tr>
      <w:tr w:rsidR="00955BD0" w:rsidRPr="00510442" w14:paraId="14B549BC" w14:textId="77777777" w:rsidTr="003179A4">
        <w:trPr>
          <w:cantSplit/>
        </w:trPr>
        <w:tc>
          <w:tcPr>
            <w:tcW w:w="3099" w:type="dxa"/>
            <w:shd w:val="clear" w:color="auto" w:fill="auto"/>
          </w:tcPr>
          <w:p w14:paraId="5B0E779E" w14:textId="77777777" w:rsidR="00955BD0" w:rsidRPr="00510442" w:rsidRDefault="00955BD0" w:rsidP="003179A4">
            <w:pPr>
              <w:tabs>
                <w:tab w:val="clear" w:pos="567"/>
              </w:tabs>
              <w:spacing w:line="240" w:lineRule="auto"/>
              <w:ind w:left="284"/>
              <w:rPr>
                <w:rFonts w:eastAsia="MS Mincho"/>
                <w:szCs w:val="22"/>
                <w:lang w:val="hr-HR"/>
              </w:rPr>
            </w:pPr>
            <w:r w:rsidRPr="00510442">
              <w:rPr>
                <w:rFonts w:eastAsia="MS Mincho"/>
                <w:szCs w:val="22"/>
                <w:lang w:val="hr-HR"/>
              </w:rPr>
              <w:t>60</w:t>
            </w:r>
            <w:r w:rsidRPr="00510442">
              <w:rPr>
                <w:rFonts w:eastAsia="MS Mincho"/>
                <w:szCs w:val="22"/>
                <w:lang w:val="hr-HR" w:eastAsia="ja-JP"/>
              </w:rPr>
              <w:t> </w:t>
            </w:r>
            <w:r w:rsidR="00E56B37" w:rsidRPr="00510442">
              <w:rPr>
                <w:rFonts w:eastAsia="MS Mincho"/>
                <w:szCs w:val="22"/>
                <w:lang w:val="hr-HR"/>
              </w:rPr>
              <w:t>mjeseci</w:t>
            </w:r>
          </w:p>
        </w:tc>
        <w:tc>
          <w:tcPr>
            <w:tcW w:w="3100" w:type="dxa"/>
            <w:shd w:val="clear" w:color="auto" w:fill="auto"/>
          </w:tcPr>
          <w:p w14:paraId="550FD831" w14:textId="77777777" w:rsidR="00955BD0" w:rsidRPr="00510442" w:rsidRDefault="00955BD0" w:rsidP="003179A4">
            <w:pPr>
              <w:tabs>
                <w:tab w:val="clear" w:pos="567"/>
                <w:tab w:val="left" w:pos="284"/>
              </w:tabs>
              <w:spacing w:line="240" w:lineRule="auto"/>
              <w:rPr>
                <w:rFonts w:eastAsia="MS Mincho"/>
                <w:szCs w:val="22"/>
                <w:lang w:val="hr-HR"/>
              </w:rPr>
            </w:pPr>
            <w:r w:rsidRPr="00510442">
              <w:rPr>
                <w:rFonts w:eastAsia="MS Mincho"/>
                <w:szCs w:val="22"/>
                <w:lang w:val="hr-HR"/>
              </w:rPr>
              <w:t>81</w:t>
            </w:r>
            <w:r w:rsidR="00E56B37" w:rsidRPr="00510442">
              <w:rPr>
                <w:rFonts w:eastAsia="MS Mincho"/>
                <w:szCs w:val="22"/>
                <w:lang w:val="hr-HR"/>
              </w:rPr>
              <w:t>,</w:t>
            </w:r>
            <w:r w:rsidRPr="00510442">
              <w:rPr>
                <w:rFonts w:eastAsia="MS Mincho"/>
                <w:szCs w:val="22"/>
                <w:lang w:val="hr-HR"/>
              </w:rPr>
              <w:t>7 (73</w:t>
            </w:r>
            <w:r w:rsidR="00E56B37" w:rsidRPr="00510442">
              <w:rPr>
                <w:rFonts w:eastAsia="MS Mincho"/>
                <w:szCs w:val="22"/>
                <w:lang w:val="hr-HR"/>
              </w:rPr>
              <w:t>,</w:t>
            </w:r>
            <w:r w:rsidRPr="00510442">
              <w:rPr>
                <w:rFonts w:eastAsia="MS Mincho"/>
                <w:szCs w:val="22"/>
                <w:lang w:val="hr-HR"/>
              </w:rPr>
              <w:t>0</w:t>
            </w:r>
            <w:r w:rsidRPr="00510442">
              <w:rPr>
                <w:rFonts w:eastAsia="MS Mincho"/>
                <w:szCs w:val="22"/>
                <w:lang w:val="hr-HR"/>
              </w:rPr>
              <w:noBreakHyphen/>
              <w:t>87</w:t>
            </w:r>
            <w:r w:rsidR="00E56B37" w:rsidRPr="00510442">
              <w:rPr>
                <w:rFonts w:eastAsia="MS Mincho"/>
                <w:szCs w:val="22"/>
                <w:lang w:val="hr-HR"/>
              </w:rPr>
              <w:t>,</w:t>
            </w:r>
            <w:r w:rsidRPr="00510442">
              <w:rPr>
                <w:rFonts w:eastAsia="MS Mincho"/>
                <w:szCs w:val="22"/>
                <w:lang w:val="hr-HR"/>
              </w:rPr>
              <w:t>8)</w:t>
            </w:r>
          </w:p>
        </w:tc>
        <w:tc>
          <w:tcPr>
            <w:tcW w:w="3100" w:type="dxa"/>
            <w:shd w:val="clear" w:color="auto" w:fill="auto"/>
          </w:tcPr>
          <w:p w14:paraId="5BE5A9F0" w14:textId="77777777" w:rsidR="00955BD0" w:rsidRPr="00510442" w:rsidRDefault="00955BD0" w:rsidP="003179A4">
            <w:pPr>
              <w:tabs>
                <w:tab w:val="clear" w:pos="567"/>
                <w:tab w:val="left" w:pos="284"/>
              </w:tabs>
              <w:spacing w:line="240" w:lineRule="auto"/>
              <w:rPr>
                <w:rFonts w:eastAsia="MS Mincho"/>
                <w:szCs w:val="22"/>
                <w:lang w:val="hr-HR"/>
              </w:rPr>
            </w:pPr>
            <w:r w:rsidRPr="00510442">
              <w:rPr>
                <w:rFonts w:eastAsia="MS Mincho"/>
                <w:szCs w:val="22"/>
                <w:lang w:val="hr-HR"/>
              </w:rPr>
              <w:t>92</w:t>
            </w:r>
            <w:r w:rsidR="00E56B37" w:rsidRPr="00510442">
              <w:rPr>
                <w:rFonts w:eastAsia="MS Mincho"/>
                <w:szCs w:val="22"/>
                <w:lang w:val="hr-HR"/>
              </w:rPr>
              <w:t>,</w:t>
            </w:r>
            <w:r w:rsidRPr="00510442">
              <w:rPr>
                <w:rFonts w:eastAsia="MS Mincho"/>
                <w:szCs w:val="22"/>
                <w:lang w:val="hr-HR"/>
              </w:rPr>
              <w:t>0 (85</w:t>
            </w:r>
            <w:r w:rsidR="00E56B37" w:rsidRPr="00510442">
              <w:rPr>
                <w:rFonts w:eastAsia="MS Mincho"/>
                <w:szCs w:val="22"/>
                <w:lang w:val="hr-HR"/>
              </w:rPr>
              <w:t>,</w:t>
            </w:r>
            <w:r w:rsidRPr="00510442">
              <w:rPr>
                <w:rFonts w:eastAsia="MS Mincho"/>
                <w:szCs w:val="22"/>
                <w:lang w:val="hr-HR"/>
              </w:rPr>
              <w:t>3</w:t>
            </w:r>
            <w:r w:rsidRPr="00510442">
              <w:rPr>
                <w:rFonts w:eastAsia="MS Mincho"/>
                <w:szCs w:val="22"/>
                <w:lang w:val="hr-HR"/>
              </w:rPr>
              <w:noBreakHyphen/>
              <w:t>95</w:t>
            </w:r>
            <w:r w:rsidR="00E56B37" w:rsidRPr="00510442">
              <w:rPr>
                <w:rFonts w:eastAsia="MS Mincho"/>
                <w:szCs w:val="22"/>
                <w:lang w:val="hr-HR"/>
              </w:rPr>
              <w:t>,</w:t>
            </w:r>
            <w:r w:rsidRPr="00510442">
              <w:rPr>
                <w:rFonts w:eastAsia="MS Mincho"/>
                <w:szCs w:val="22"/>
                <w:lang w:val="hr-HR"/>
              </w:rPr>
              <w:t>7)</w:t>
            </w:r>
          </w:p>
        </w:tc>
      </w:tr>
    </w:tbl>
    <w:p w14:paraId="09DA7A35" w14:textId="77777777" w:rsidR="00F73A3D" w:rsidRPr="00510442" w:rsidRDefault="00F73A3D" w:rsidP="0091773C">
      <w:pPr>
        <w:tabs>
          <w:tab w:val="clear" w:pos="567"/>
        </w:tabs>
        <w:spacing w:line="240" w:lineRule="auto"/>
        <w:rPr>
          <w:rFonts w:eastAsia="MS Mincho"/>
          <w:szCs w:val="22"/>
          <w:lang w:val="hr-HR"/>
        </w:rPr>
      </w:pPr>
    </w:p>
    <w:p w14:paraId="1D8EEC9E" w14:textId="77777777" w:rsidR="00955BD0" w:rsidRPr="00510442" w:rsidRDefault="00E56B37" w:rsidP="003179A4">
      <w:pPr>
        <w:keepNext/>
        <w:keepLines/>
        <w:tabs>
          <w:tab w:val="clear" w:pos="567"/>
          <w:tab w:val="left" w:pos="1134"/>
        </w:tabs>
        <w:spacing w:line="240" w:lineRule="auto"/>
        <w:ind w:left="1134" w:hanging="1134"/>
        <w:outlineLvl w:val="6"/>
        <w:rPr>
          <w:rFonts w:eastAsia="MS Mincho"/>
          <w:b/>
          <w:szCs w:val="22"/>
          <w:lang w:val="hr-HR"/>
        </w:rPr>
      </w:pPr>
      <w:r w:rsidRPr="00510442">
        <w:rPr>
          <w:rFonts w:eastAsia="MS Mincho"/>
          <w:b/>
          <w:szCs w:val="22"/>
          <w:lang w:val="hr-HR"/>
        </w:rPr>
        <w:t>Slika</w:t>
      </w:r>
      <w:r w:rsidR="00955BD0" w:rsidRPr="00510442">
        <w:rPr>
          <w:rFonts w:eastAsia="MS Mincho"/>
          <w:b/>
          <w:szCs w:val="22"/>
          <w:lang w:val="hr-HR"/>
        </w:rPr>
        <w:t> 1</w:t>
      </w:r>
      <w:r w:rsidR="00955BD0" w:rsidRPr="00510442">
        <w:rPr>
          <w:rFonts w:eastAsia="MS Mincho"/>
          <w:b/>
          <w:szCs w:val="22"/>
          <w:lang w:val="hr-HR"/>
        </w:rPr>
        <w:tab/>
        <w:t>Kaplan-Meier</w:t>
      </w:r>
      <w:r w:rsidR="00063B6B" w:rsidRPr="00510442">
        <w:rPr>
          <w:rFonts w:eastAsia="MS Mincho"/>
          <w:b/>
          <w:szCs w:val="22"/>
          <w:lang w:val="hr-HR"/>
        </w:rPr>
        <w:t>ova</w:t>
      </w:r>
      <w:r w:rsidR="00955BD0" w:rsidRPr="00510442">
        <w:rPr>
          <w:rFonts w:eastAsia="MS Mincho"/>
          <w:b/>
          <w:szCs w:val="22"/>
          <w:lang w:val="hr-HR"/>
        </w:rPr>
        <w:t xml:space="preserve"> </w:t>
      </w:r>
      <w:r w:rsidRPr="00510442">
        <w:rPr>
          <w:rFonts w:eastAsia="MS Mincho"/>
          <w:b/>
          <w:szCs w:val="22"/>
          <w:lang w:val="hr-HR"/>
        </w:rPr>
        <w:t xml:space="preserve">procjena </w:t>
      </w:r>
      <w:r w:rsidRPr="00510442">
        <w:rPr>
          <w:b/>
          <w:szCs w:val="22"/>
          <w:lang w:val="hr-HR"/>
        </w:rPr>
        <w:t>preživlj</w:t>
      </w:r>
      <w:r w:rsidR="00F73A3D" w:rsidRPr="00510442">
        <w:rPr>
          <w:b/>
          <w:szCs w:val="22"/>
          <w:lang w:val="hr-HR"/>
        </w:rPr>
        <w:t>e</w:t>
      </w:r>
      <w:r w:rsidRPr="00510442">
        <w:rPr>
          <w:b/>
          <w:szCs w:val="22"/>
          <w:lang w:val="hr-HR"/>
        </w:rPr>
        <w:t>nja bez recidiva bolesti</w:t>
      </w:r>
      <w:r w:rsidR="00BE4EC4" w:rsidRPr="00510442">
        <w:rPr>
          <w:b/>
          <w:szCs w:val="22"/>
          <w:lang w:val="hr-HR"/>
        </w:rPr>
        <w:t xml:space="preserve"> kao</w:t>
      </w:r>
      <w:r w:rsidR="00955BD0" w:rsidRPr="00510442">
        <w:rPr>
          <w:rFonts w:eastAsia="MS Mincho"/>
          <w:b/>
          <w:szCs w:val="22"/>
          <w:lang w:val="hr-HR"/>
        </w:rPr>
        <w:t xml:space="preserve"> </w:t>
      </w:r>
      <w:r w:rsidR="00BE4EC4" w:rsidRPr="00510442">
        <w:rPr>
          <w:rFonts w:eastAsia="MS Mincho"/>
          <w:b/>
          <w:szCs w:val="22"/>
          <w:lang w:val="hr-HR"/>
        </w:rPr>
        <w:t>primarn</w:t>
      </w:r>
      <w:r w:rsidR="00063B6B" w:rsidRPr="00510442">
        <w:rPr>
          <w:rFonts w:eastAsia="MS Mincho"/>
          <w:b/>
          <w:szCs w:val="22"/>
          <w:lang w:val="hr-HR"/>
        </w:rPr>
        <w:t>og</w:t>
      </w:r>
      <w:r w:rsidR="00BE4EC4" w:rsidRPr="00510442">
        <w:rPr>
          <w:rFonts w:eastAsia="MS Mincho"/>
          <w:b/>
          <w:szCs w:val="22"/>
          <w:lang w:val="hr-HR"/>
        </w:rPr>
        <w:t xml:space="preserve"> </w:t>
      </w:r>
      <w:r w:rsidR="00E6522C" w:rsidRPr="00510442">
        <w:rPr>
          <w:rFonts w:eastAsia="MS Mincho"/>
          <w:b/>
          <w:szCs w:val="22"/>
          <w:lang w:val="hr-HR"/>
        </w:rPr>
        <w:t xml:space="preserve">ishoda </w:t>
      </w:r>
      <w:r w:rsidR="00955BD0" w:rsidRPr="00510442">
        <w:rPr>
          <w:rFonts w:eastAsia="MS Mincho"/>
          <w:b/>
          <w:szCs w:val="22"/>
          <w:lang w:val="hr-HR"/>
        </w:rPr>
        <w:t>(ITT popula</w:t>
      </w:r>
      <w:r w:rsidRPr="00510442">
        <w:rPr>
          <w:rFonts w:eastAsia="MS Mincho"/>
          <w:b/>
          <w:szCs w:val="22"/>
          <w:lang w:val="hr-HR"/>
        </w:rPr>
        <w:t>cija</w:t>
      </w:r>
      <w:r w:rsidR="00955BD0" w:rsidRPr="00510442">
        <w:rPr>
          <w:rFonts w:eastAsia="MS Mincho"/>
          <w:b/>
          <w:szCs w:val="22"/>
          <w:lang w:val="hr-HR"/>
        </w:rPr>
        <w:t>)</w:t>
      </w:r>
    </w:p>
    <w:p w14:paraId="0F182711" w14:textId="77777777" w:rsidR="007D0548" w:rsidRPr="00510442" w:rsidRDefault="007D0548" w:rsidP="00422F71">
      <w:pPr>
        <w:keepNext/>
        <w:tabs>
          <w:tab w:val="clear" w:pos="567"/>
          <w:tab w:val="left" w:pos="1134"/>
        </w:tabs>
        <w:spacing w:line="240" w:lineRule="auto"/>
        <w:ind w:left="1134" w:hanging="1134"/>
        <w:outlineLvl w:val="6"/>
        <w:rPr>
          <w:rFonts w:eastAsia="MS Mincho"/>
          <w:szCs w:val="22"/>
          <w:lang w:val="hr-HR"/>
        </w:rPr>
      </w:pPr>
    </w:p>
    <w:p w14:paraId="2C9F7D76" w14:textId="77777777" w:rsidR="007D0548" w:rsidRPr="00307897" w:rsidRDefault="00C712C6" w:rsidP="00A74D02">
      <w:pPr>
        <w:widowControl w:val="0"/>
        <w:tabs>
          <w:tab w:val="clear" w:pos="567"/>
          <w:tab w:val="left" w:pos="1134"/>
        </w:tabs>
        <w:spacing w:line="240" w:lineRule="auto"/>
        <w:ind w:left="1134" w:hanging="1134"/>
        <w:outlineLvl w:val="6"/>
        <w:rPr>
          <w:rFonts w:eastAsia="MS Mincho"/>
          <w:szCs w:val="22"/>
          <w:lang w:val="hr-HR"/>
        </w:rPr>
      </w:pPr>
      <w:r w:rsidRPr="00510442">
        <w:rPr>
          <w:noProof/>
          <w:szCs w:val="22"/>
          <w:lang w:eastAsia="en-GB"/>
        </w:rPr>
        <mc:AlternateContent>
          <mc:Choice Requires="wps">
            <w:drawing>
              <wp:anchor distT="0" distB="0" distL="114300" distR="114300" simplePos="0" relativeHeight="251652096" behindDoc="0" locked="0" layoutInCell="1" allowOverlap="1" wp14:anchorId="2C639CA4" wp14:editId="047D038B">
                <wp:simplePos x="0" y="0"/>
                <wp:positionH relativeFrom="column">
                  <wp:posOffset>-198120</wp:posOffset>
                </wp:positionH>
                <wp:positionV relativeFrom="paragraph">
                  <wp:posOffset>188595</wp:posOffset>
                </wp:positionV>
                <wp:extent cx="335915" cy="224536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22453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3B6C7E" w14:textId="77777777" w:rsidR="00547367" w:rsidRPr="00E56B37" w:rsidRDefault="00547367" w:rsidP="007D0548">
                            <w:pPr>
                              <w:rPr>
                                <w:rFonts w:ascii="Arial" w:hAnsi="Arial" w:cs="Arial"/>
                                <w:sz w:val="20"/>
                                <w:lang w:val="hr-HR"/>
                              </w:rPr>
                            </w:pPr>
                            <w:r>
                              <w:rPr>
                                <w:rFonts w:ascii="Arial" w:hAnsi="Arial" w:cs="Arial"/>
                                <w:sz w:val="20"/>
                                <w:lang w:val="hr-HR"/>
                              </w:rPr>
                              <w:t>Vjerojatnost preživljenja bez recidiva</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C639CA4" id="_x0000_t202" coordsize="21600,21600" o:spt="202" path="m,l,21600r21600,l21600,xe">
                <v:stroke joinstyle="miter"/>
                <v:path gradientshapeok="t" o:connecttype="rect"/>
              </v:shapetype>
              <v:shape id="Text Box 2" o:spid="_x0000_s1026" type="#_x0000_t202" style="position:absolute;left:0;text-align:left;margin-left:-15.6pt;margin-top:14.85pt;width:26.45pt;height:176.8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" stroked="f">
                <v:fill opacity="0"/>
                <v:textbox style="layout-flow:vertical;mso-layout-flow-alt:bottom-to-top">
                  <w:txbxContent>
                    <w:p w14:paraId="083B6C7E" w14:textId="77777777" w:rsidR="00547367" w:rsidRPr="00E56B37" w:rsidRDefault="00547367" w:rsidP="007D0548">
                      <w:pPr>
                        <w:rPr>
                          <w:rFonts w:ascii="Arial" w:hAnsi="Arial" w:cs="Arial"/>
                          <w:sz w:val="20"/>
                          <w:lang w:val="hr-HR"/>
                        </w:rPr>
                      </w:pPr>
                      <w:r>
                        <w:rPr>
                          <w:rFonts w:ascii="Arial" w:hAnsi="Arial" w:cs="Arial"/>
                          <w:sz w:val="20"/>
                          <w:lang w:val="hr-HR"/>
                        </w:rPr>
                        <w:t>Vjerojatnost preživljenja bez recidiva</w:t>
                      </w:r>
                    </w:p>
                  </w:txbxContent>
                </v:textbox>
              </v:shape>
            </w:pict>
          </mc:Fallback>
        </mc:AlternateContent>
      </w:r>
      <w:r w:rsidRPr="00510442">
        <w:rPr>
          <w:noProof/>
          <w:szCs w:val="22"/>
          <w:lang w:eastAsia="en-GB"/>
        </w:rPr>
        <mc:AlternateContent>
          <mc:Choice Requires="wps">
            <w:drawing>
              <wp:anchor distT="0" distB="0" distL="114300" distR="114300" simplePos="0" relativeHeight="251653120" behindDoc="0" locked="0" layoutInCell="1" allowOverlap="1" wp14:anchorId="4AFD954E" wp14:editId="7D55B8CF">
                <wp:simplePos x="0" y="0"/>
                <wp:positionH relativeFrom="column">
                  <wp:posOffset>350520</wp:posOffset>
                </wp:positionH>
                <wp:positionV relativeFrom="paragraph">
                  <wp:posOffset>970915</wp:posOffset>
                </wp:positionV>
                <wp:extent cx="4585335" cy="146621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5335" cy="146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30F481" w14:textId="77777777" w:rsidR="00547367" w:rsidRDefault="00547367" w:rsidP="007D0548">
                            <w:pPr>
                              <w:rPr>
                                <w:rFonts w:ascii="Arial" w:hAnsi="Arial" w:cs="Arial"/>
                                <w:sz w:val="20"/>
                              </w:rPr>
                            </w:pPr>
                          </w:p>
                          <w:tbl>
                            <w:tblPr>
                              <w:tblW w:w="0" w:type="auto"/>
                              <w:tblLook w:val="04A0" w:firstRow="1" w:lastRow="0" w:firstColumn="1" w:lastColumn="0" w:noHBand="0" w:noVBand="1"/>
                            </w:tblPr>
                            <w:tblGrid>
                              <w:gridCol w:w="817"/>
                              <w:gridCol w:w="2464"/>
                              <w:gridCol w:w="851"/>
                              <w:gridCol w:w="962"/>
                              <w:gridCol w:w="917"/>
                            </w:tblGrid>
                            <w:tr w:rsidR="00547367" w:rsidRPr="0055776F" w14:paraId="2AA68D3A" w14:textId="77777777" w:rsidTr="000A6648">
                              <w:trPr>
                                <w:gridAfter w:val="3"/>
                                <w:wAfter w:w="2410" w:type="dxa"/>
                              </w:trPr>
                              <w:tc>
                                <w:tcPr>
                                  <w:tcW w:w="3281" w:type="dxa"/>
                                  <w:gridSpan w:val="2"/>
                                  <w:shd w:val="clear" w:color="auto" w:fill="auto"/>
                                </w:tcPr>
                                <w:p w14:paraId="6420A4EB" w14:textId="77777777" w:rsidR="00547367" w:rsidRPr="0055776F" w:rsidRDefault="00547367" w:rsidP="0077258C">
                                  <w:pPr>
                                    <w:rPr>
                                      <w:rFonts w:ascii="Arial" w:hAnsi="Arial" w:cs="Arial"/>
                                      <w:sz w:val="20"/>
                                    </w:rPr>
                                  </w:pPr>
                                  <w:r>
                                    <w:rPr>
                                      <w:rFonts w:ascii="Arial" w:hAnsi="Arial" w:cs="Arial"/>
                                      <w:sz w:val="20"/>
                                    </w:rPr>
                                    <w:t>P &lt; 0,0001</w:t>
                                  </w:r>
                                </w:p>
                                <w:p w14:paraId="5363C414" w14:textId="77777777" w:rsidR="00547367" w:rsidRPr="0055776F" w:rsidRDefault="00547367" w:rsidP="0077258C">
                                  <w:pPr>
                                    <w:rPr>
                                      <w:rFonts w:ascii="Arial" w:hAnsi="Arial" w:cs="Arial"/>
                                      <w:sz w:val="20"/>
                                    </w:rPr>
                                  </w:pPr>
                                  <w:r>
                                    <w:rPr>
                                      <w:rFonts w:ascii="Arial" w:hAnsi="Arial" w:cs="Arial"/>
                                      <w:sz w:val="20"/>
                                    </w:rPr>
                                    <w:t>Omjer rizika</w:t>
                                  </w:r>
                                  <w:r w:rsidRPr="0055776F">
                                    <w:rPr>
                                      <w:rFonts w:ascii="Arial" w:hAnsi="Arial" w:cs="Arial"/>
                                      <w:sz w:val="20"/>
                                    </w:rPr>
                                    <w:t xml:space="preserve"> 0</w:t>
                                  </w:r>
                                  <w:r>
                                    <w:rPr>
                                      <w:rFonts w:ascii="Arial" w:hAnsi="Arial" w:cs="Arial"/>
                                      <w:sz w:val="20"/>
                                    </w:rPr>
                                    <w:t>,</w:t>
                                  </w:r>
                                  <w:r w:rsidRPr="0055776F">
                                    <w:rPr>
                                      <w:rFonts w:ascii="Arial" w:hAnsi="Arial" w:cs="Arial"/>
                                      <w:sz w:val="20"/>
                                    </w:rPr>
                                    <w:t>4</w:t>
                                  </w:r>
                                  <w:r>
                                    <w:rPr>
                                      <w:rFonts w:ascii="Arial" w:hAnsi="Arial" w:cs="Arial"/>
                                      <w:sz w:val="20"/>
                                    </w:rPr>
                                    <w:t>6</w:t>
                                  </w:r>
                                </w:p>
                                <w:p w14:paraId="35662502" w14:textId="77777777" w:rsidR="00547367" w:rsidRPr="0055776F" w:rsidRDefault="00547367" w:rsidP="00E56B37">
                                  <w:pPr>
                                    <w:rPr>
                                      <w:rFonts w:ascii="Arial" w:hAnsi="Arial" w:cs="Arial"/>
                                      <w:sz w:val="20"/>
                                      <w:lang w:val="de-DE"/>
                                    </w:rPr>
                                  </w:pPr>
                                  <w:r w:rsidRPr="0055776F">
                                    <w:rPr>
                                      <w:rFonts w:ascii="Arial" w:hAnsi="Arial" w:cs="Arial"/>
                                      <w:sz w:val="20"/>
                                    </w:rPr>
                                    <w:t xml:space="preserve">(95% </w:t>
                                  </w:r>
                                  <w:r w:rsidRPr="00B014D4">
                                    <w:rPr>
                                      <w:rFonts w:ascii="Arial" w:hAnsi="Arial" w:cs="Arial"/>
                                      <w:sz w:val="20"/>
                                    </w:rPr>
                                    <w:t>Cl,</w:t>
                                  </w:r>
                                  <w:r w:rsidRPr="0055776F">
                                    <w:rPr>
                                      <w:rFonts w:ascii="Arial" w:hAnsi="Arial" w:cs="Arial"/>
                                      <w:sz w:val="20"/>
                                    </w:rPr>
                                    <w:t xml:space="preserve"> 0</w:t>
                                  </w:r>
                                  <w:r>
                                    <w:rPr>
                                      <w:rFonts w:ascii="Arial" w:hAnsi="Arial" w:cs="Arial"/>
                                      <w:sz w:val="20"/>
                                    </w:rPr>
                                    <w:t>,3</w:t>
                                  </w:r>
                                  <w:r w:rsidRPr="0055776F">
                                    <w:rPr>
                                      <w:rFonts w:ascii="Arial" w:hAnsi="Arial" w:cs="Arial"/>
                                      <w:sz w:val="20"/>
                                    </w:rPr>
                                    <w:t>2</w:t>
                                  </w:r>
                                  <w:r>
                                    <w:rPr>
                                      <w:rFonts w:ascii="Arial" w:hAnsi="Arial" w:cs="Arial"/>
                                      <w:sz w:val="20"/>
                                    </w:rPr>
                                    <w:noBreakHyphen/>
                                  </w:r>
                                  <w:r w:rsidRPr="0055776F">
                                    <w:rPr>
                                      <w:rFonts w:ascii="Arial" w:hAnsi="Arial" w:cs="Arial"/>
                                      <w:sz w:val="20"/>
                                    </w:rPr>
                                    <w:t>0</w:t>
                                  </w:r>
                                  <w:r>
                                    <w:rPr>
                                      <w:rFonts w:ascii="Arial" w:hAnsi="Arial" w:cs="Arial"/>
                                      <w:sz w:val="20"/>
                                    </w:rPr>
                                    <w:t>,65</w:t>
                                  </w:r>
                                  <w:r w:rsidRPr="0055776F">
                                    <w:rPr>
                                      <w:rFonts w:ascii="Arial" w:hAnsi="Arial" w:cs="Arial"/>
                                      <w:sz w:val="20"/>
                                    </w:rPr>
                                    <w:t>)</w:t>
                                  </w:r>
                                </w:p>
                              </w:tc>
                            </w:tr>
                            <w:tr w:rsidR="00547367" w:rsidRPr="0055776F" w14:paraId="22631018" w14:textId="77777777" w:rsidTr="0077258C">
                              <w:tc>
                                <w:tcPr>
                                  <w:tcW w:w="817" w:type="dxa"/>
                                  <w:shd w:val="clear" w:color="auto" w:fill="auto"/>
                                </w:tcPr>
                                <w:p w14:paraId="5284B932" w14:textId="77777777" w:rsidR="00547367" w:rsidRPr="0055776F" w:rsidRDefault="00547367" w:rsidP="0077258C">
                                  <w:pPr>
                                    <w:rPr>
                                      <w:rFonts w:ascii="Arial" w:hAnsi="Arial" w:cs="Arial"/>
                                      <w:sz w:val="20"/>
                                    </w:rPr>
                                  </w:pPr>
                                </w:p>
                              </w:tc>
                              <w:tc>
                                <w:tcPr>
                                  <w:tcW w:w="2464" w:type="dxa"/>
                                  <w:shd w:val="clear" w:color="auto" w:fill="auto"/>
                                </w:tcPr>
                                <w:p w14:paraId="48C185CF" w14:textId="77777777" w:rsidR="00547367" w:rsidRPr="0055776F" w:rsidRDefault="00547367" w:rsidP="0077258C">
                                  <w:pPr>
                                    <w:rPr>
                                      <w:rFonts w:ascii="Arial" w:hAnsi="Arial" w:cs="Arial"/>
                                      <w:sz w:val="20"/>
                                    </w:rPr>
                                  </w:pPr>
                                </w:p>
                              </w:tc>
                              <w:tc>
                                <w:tcPr>
                                  <w:tcW w:w="851" w:type="dxa"/>
                                  <w:tcBorders>
                                    <w:bottom w:val="single" w:sz="4" w:space="0" w:color="auto"/>
                                  </w:tcBorders>
                                  <w:shd w:val="clear" w:color="auto" w:fill="auto"/>
                                </w:tcPr>
                                <w:p w14:paraId="43373D73" w14:textId="77777777" w:rsidR="00547367" w:rsidRPr="0055776F" w:rsidRDefault="00547367" w:rsidP="0077258C">
                                  <w:pPr>
                                    <w:rPr>
                                      <w:rFonts w:ascii="Arial" w:hAnsi="Arial" w:cs="Arial"/>
                                      <w:sz w:val="20"/>
                                    </w:rPr>
                                  </w:pPr>
                                  <w:r w:rsidRPr="0055776F">
                                    <w:rPr>
                                      <w:rFonts w:ascii="Arial" w:hAnsi="Arial" w:cs="Arial"/>
                                      <w:sz w:val="20"/>
                                      <w:lang w:val="de-DE"/>
                                    </w:rPr>
                                    <w:t>N</w:t>
                                  </w:r>
                                </w:p>
                              </w:tc>
                              <w:tc>
                                <w:tcPr>
                                  <w:tcW w:w="709" w:type="dxa"/>
                                  <w:tcBorders>
                                    <w:bottom w:val="single" w:sz="4" w:space="0" w:color="auto"/>
                                  </w:tcBorders>
                                  <w:shd w:val="clear" w:color="auto" w:fill="auto"/>
                                </w:tcPr>
                                <w:p w14:paraId="393D4A28" w14:textId="77777777" w:rsidR="00547367" w:rsidRPr="0055776F" w:rsidRDefault="00547367" w:rsidP="0077258C">
                                  <w:pPr>
                                    <w:rPr>
                                      <w:rFonts w:ascii="Arial" w:hAnsi="Arial" w:cs="Arial"/>
                                      <w:sz w:val="20"/>
                                    </w:rPr>
                                  </w:pPr>
                                  <w:r>
                                    <w:rPr>
                                      <w:rFonts w:ascii="Arial" w:hAnsi="Arial" w:cs="Arial"/>
                                      <w:sz w:val="20"/>
                                      <w:lang w:val="de-DE"/>
                                    </w:rPr>
                                    <w:t>Događaj</w:t>
                                  </w:r>
                                </w:p>
                              </w:tc>
                              <w:tc>
                                <w:tcPr>
                                  <w:tcW w:w="850" w:type="dxa"/>
                                  <w:tcBorders>
                                    <w:bottom w:val="single" w:sz="4" w:space="0" w:color="auto"/>
                                  </w:tcBorders>
                                  <w:shd w:val="clear" w:color="auto" w:fill="auto"/>
                                </w:tcPr>
                                <w:p w14:paraId="7F52B127" w14:textId="77777777" w:rsidR="00547367" w:rsidRPr="0055776F" w:rsidRDefault="00547367" w:rsidP="0077258C">
                                  <w:pPr>
                                    <w:rPr>
                                      <w:rFonts w:ascii="Arial" w:hAnsi="Arial" w:cs="Arial"/>
                                      <w:sz w:val="20"/>
                                    </w:rPr>
                                  </w:pPr>
                                  <w:r w:rsidRPr="0055776F">
                                    <w:rPr>
                                      <w:rFonts w:ascii="Arial" w:hAnsi="Arial" w:cs="Arial"/>
                                      <w:sz w:val="20"/>
                                      <w:lang w:val="de-DE"/>
                                    </w:rPr>
                                    <w:t>Cen</w:t>
                                  </w:r>
                                  <w:r>
                                    <w:rPr>
                                      <w:rFonts w:ascii="Arial" w:hAnsi="Arial" w:cs="Arial"/>
                                      <w:sz w:val="20"/>
                                      <w:lang w:val="de-DE"/>
                                    </w:rPr>
                                    <w:t>zur.</w:t>
                                  </w:r>
                                </w:p>
                              </w:tc>
                            </w:tr>
                            <w:tr w:rsidR="00547367" w:rsidRPr="0055776F" w14:paraId="5FE43F53" w14:textId="77777777" w:rsidTr="0077258C">
                              <w:tc>
                                <w:tcPr>
                                  <w:tcW w:w="817" w:type="dxa"/>
                                  <w:shd w:val="clear" w:color="auto" w:fill="auto"/>
                                </w:tcPr>
                                <w:p w14:paraId="4D6D23FD" w14:textId="77777777" w:rsidR="00547367" w:rsidRPr="0055776F" w:rsidRDefault="00547367" w:rsidP="0077258C">
                                  <w:pPr>
                                    <w:rPr>
                                      <w:rFonts w:ascii="Arial" w:hAnsi="Arial" w:cs="Arial"/>
                                      <w:sz w:val="20"/>
                                    </w:rPr>
                                  </w:pPr>
                                  <w:r w:rsidRPr="0055776F">
                                    <w:rPr>
                                      <w:rFonts w:ascii="Arial" w:hAnsi="Arial" w:cs="Arial"/>
                                      <w:b/>
                                      <w:sz w:val="20"/>
                                    </w:rPr>
                                    <w:t>——</w:t>
                                  </w:r>
                                </w:p>
                              </w:tc>
                              <w:tc>
                                <w:tcPr>
                                  <w:tcW w:w="2464" w:type="dxa"/>
                                  <w:shd w:val="clear" w:color="auto" w:fill="auto"/>
                                </w:tcPr>
                                <w:p w14:paraId="6F0A6E62" w14:textId="77777777" w:rsidR="00547367" w:rsidRPr="0055776F" w:rsidRDefault="00547367" w:rsidP="00E56B37">
                                  <w:pPr>
                                    <w:rPr>
                                      <w:rFonts w:ascii="Arial" w:hAnsi="Arial" w:cs="Arial"/>
                                      <w:sz w:val="20"/>
                                    </w:rPr>
                                  </w:pPr>
                                  <w:r w:rsidRPr="0055776F">
                                    <w:rPr>
                                      <w:rFonts w:ascii="Arial" w:hAnsi="Arial" w:cs="Arial"/>
                                      <w:sz w:val="20"/>
                                    </w:rPr>
                                    <w:t xml:space="preserve">(1) </w:t>
                                  </w:r>
                                  <w:r>
                                    <w:rPr>
                                      <w:rFonts w:ascii="Arial" w:hAnsi="Arial" w:cs="Arial"/>
                                      <w:sz w:val="20"/>
                                    </w:rPr>
                                    <w:t>Imatinib 12 mj.</w:t>
                                  </w:r>
                                  <w:r w:rsidRPr="0055776F">
                                    <w:rPr>
                                      <w:rFonts w:ascii="Arial" w:hAnsi="Arial" w:cs="Arial"/>
                                      <w:sz w:val="20"/>
                                    </w:rPr>
                                    <w:t>:</w:t>
                                  </w:r>
                                </w:p>
                              </w:tc>
                              <w:tc>
                                <w:tcPr>
                                  <w:tcW w:w="851" w:type="dxa"/>
                                  <w:tcBorders>
                                    <w:top w:val="single" w:sz="4" w:space="0" w:color="auto"/>
                                  </w:tcBorders>
                                  <w:shd w:val="clear" w:color="auto" w:fill="auto"/>
                                </w:tcPr>
                                <w:p w14:paraId="7E399EC2" w14:textId="77777777" w:rsidR="00547367" w:rsidRPr="0055776F" w:rsidRDefault="00547367" w:rsidP="0077258C">
                                  <w:pPr>
                                    <w:rPr>
                                      <w:rFonts w:ascii="Arial" w:hAnsi="Arial" w:cs="Arial"/>
                                      <w:sz w:val="20"/>
                                    </w:rPr>
                                  </w:pPr>
                                  <w:r w:rsidRPr="0055776F">
                                    <w:rPr>
                                      <w:rFonts w:ascii="Arial" w:hAnsi="Arial" w:cs="Arial"/>
                                      <w:sz w:val="20"/>
                                    </w:rPr>
                                    <w:t>199</w:t>
                                  </w:r>
                                </w:p>
                              </w:tc>
                              <w:tc>
                                <w:tcPr>
                                  <w:tcW w:w="709" w:type="dxa"/>
                                  <w:tcBorders>
                                    <w:top w:val="single" w:sz="4" w:space="0" w:color="auto"/>
                                  </w:tcBorders>
                                  <w:shd w:val="clear" w:color="auto" w:fill="auto"/>
                                </w:tcPr>
                                <w:p w14:paraId="038C6DBE" w14:textId="77777777" w:rsidR="00547367" w:rsidRPr="0055776F" w:rsidRDefault="00547367" w:rsidP="0077258C">
                                  <w:pPr>
                                    <w:rPr>
                                      <w:rFonts w:ascii="Arial" w:hAnsi="Arial" w:cs="Arial"/>
                                      <w:sz w:val="20"/>
                                    </w:rPr>
                                  </w:pPr>
                                  <w:r w:rsidRPr="0055776F">
                                    <w:rPr>
                                      <w:rFonts w:ascii="Arial" w:hAnsi="Arial" w:cs="Arial"/>
                                      <w:sz w:val="20"/>
                                    </w:rPr>
                                    <w:t>84</w:t>
                                  </w:r>
                                </w:p>
                              </w:tc>
                              <w:tc>
                                <w:tcPr>
                                  <w:tcW w:w="850" w:type="dxa"/>
                                  <w:tcBorders>
                                    <w:top w:val="single" w:sz="4" w:space="0" w:color="auto"/>
                                  </w:tcBorders>
                                  <w:shd w:val="clear" w:color="auto" w:fill="auto"/>
                                </w:tcPr>
                                <w:p w14:paraId="3D5ACFD7" w14:textId="77777777" w:rsidR="00547367" w:rsidRPr="0055776F" w:rsidRDefault="00547367" w:rsidP="0077258C">
                                  <w:pPr>
                                    <w:rPr>
                                      <w:rFonts w:ascii="Arial" w:hAnsi="Arial" w:cs="Arial"/>
                                      <w:sz w:val="20"/>
                                    </w:rPr>
                                  </w:pPr>
                                  <w:r w:rsidRPr="0055776F">
                                    <w:rPr>
                                      <w:rFonts w:ascii="Arial" w:hAnsi="Arial" w:cs="Arial"/>
                                      <w:sz w:val="20"/>
                                    </w:rPr>
                                    <w:t>115</w:t>
                                  </w:r>
                                </w:p>
                              </w:tc>
                            </w:tr>
                            <w:tr w:rsidR="00547367" w:rsidRPr="0055776F" w14:paraId="1F3A9098" w14:textId="77777777" w:rsidTr="0077258C">
                              <w:tc>
                                <w:tcPr>
                                  <w:tcW w:w="817" w:type="dxa"/>
                                  <w:shd w:val="clear" w:color="auto" w:fill="auto"/>
                                </w:tcPr>
                                <w:p w14:paraId="525E3349" w14:textId="77777777" w:rsidR="00547367" w:rsidRPr="0055776F" w:rsidRDefault="00547367" w:rsidP="0077258C">
                                  <w:pPr>
                                    <w:rPr>
                                      <w:rFonts w:ascii="Arial" w:hAnsi="Arial" w:cs="Arial"/>
                                      <w:sz w:val="20"/>
                                    </w:rPr>
                                  </w:pPr>
                                  <w:r w:rsidRPr="0055776F">
                                    <w:rPr>
                                      <w:rFonts w:ascii="Arial" w:hAnsi="Arial" w:cs="Arial"/>
                                      <w:sz w:val="20"/>
                                    </w:rPr>
                                    <w:t>-----</w:t>
                                  </w:r>
                                </w:p>
                              </w:tc>
                              <w:tc>
                                <w:tcPr>
                                  <w:tcW w:w="2464" w:type="dxa"/>
                                  <w:shd w:val="clear" w:color="auto" w:fill="auto"/>
                                </w:tcPr>
                                <w:p w14:paraId="02E25316" w14:textId="77777777" w:rsidR="00547367" w:rsidRPr="0055776F" w:rsidRDefault="00547367" w:rsidP="00E56B37">
                                  <w:pPr>
                                    <w:rPr>
                                      <w:rFonts w:ascii="Arial" w:hAnsi="Arial" w:cs="Arial"/>
                                      <w:sz w:val="20"/>
                                    </w:rPr>
                                  </w:pPr>
                                  <w:r w:rsidRPr="0055776F">
                                    <w:rPr>
                                      <w:rFonts w:ascii="Arial" w:hAnsi="Arial" w:cs="Arial"/>
                                      <w:sz w:val="20"/>
                                    </w:rPr>
                                    <w:t xml:space="preserve">(2) </w:t>
                                  </w:r>
                                  <w:r>
                                    <w:rPr>
                                      <w:rFonts w:ascii="Arial" w:hAnsi="Arial" w:cs="Arial"/>
                                      <w:sz w:val="20"/>
                                    </w:rPr>
                                    <w:t>Imatinib 36 mj.</w:t>
                                  </w:r>
                                  <w:r w:rsidRPr="0055776F">
                                    <w:rPr>
                                      <w:rFonts w:ascii="Arial" w:hAnsi="Arial" w:cs="Arial"/>
                                      <w:sz w:val="20"/>
                                    </w:rPr>
                                    <w:t>:</w:t>
                                  </w:r>
                                </w:p>
                              </w:tc>
                              <w:tc>
                                <w:tcPr>
                                  <w:tcW w:w="851" w:type="dxa"/>
                                  <w:tcBorders>
                                    <w:bottom w:val="single" w:sz="4" w:space="0" w:color="auto"/>
                                  </w:tcBorders>
                                  <w:shd w:val="clear" w:color="auto" w:fill="auto"/>
                                </w:tcPr>
                                <w:p w14:paraId="3F9A251F" w14:textId="77777777" w:rsidR="00547367" w:rsidRPr="0055776F" w:rsidRDefault="00547367" w:rsidP="0077258C">
                                  <w:pPr>
                                    <w:rPr>
                                      <w:rFonts w:ascii="Arial" w:hAnsi="Arial" w:cs="Arial"/>
                                      <w:sz w:val="20"/>
                                    </w:rPr>
                                  </w:pPr>
                                  <w:r w:rsidRPr="0055776F">
                                    <w:rPr>
                                      <w:rFonts w:ascii="Arial" w:hAnsi="Arial" w:cs="Arial"/>
                                      <w:sz w:val="20"/>
                                    </w:rPr>
                                    <w:t>198</w:t>
                                  </w:r>
                                </w:p>
                              </w:tc>
                              <w:tc>
                                <w:tcPr>
                                  <w:tcW w:w="709" w:type="dxa"/>
                                  <w:tcBorders>
                                    <w:bottom w:val="single" w:sz="4" w:space="0" w:color="auto"/>
                                  </w:tcBorders>
                                  <w:shd w:val="clear" w:color="auto" w:fill="auto"/>
                                </w:tcPr>
                                <w:p w14:paraId="178EDD99" w14:textId="77777777" w:rsidR="00547367" w:rsidRPr="0055776F" w:rsidRDefault="00547367" w:rsidP="0077258C">
                                  <w:pPr>
                                    <w:rPr>
                                      <w:rFonts w:ascii="Arial" w:hAnsi="Arial" w:cs="Arial"/>
                                      <w:sz w:val="20"/>
                                    </w:rPr>
                                  </w:pPr>
                                  <w:r w:rsidRPr="0055776F">
                                    <w:rPr>
                                      <w:rFonts w:ascii="Arial" w:hAnsi="Arial" w:cs="Arial"/>
                                      <w:sz w:val="20"/>
                                    </w:rPr>
                                    <w:t>50</w:t>
                                  </w:r>
                                </w:p>
                              </w:tc>
                              <w:tc>
                                <w:tcPr>
                                  <w:tcW w:w="850" w:type="dxa"/>
                                  <w:tcBorders>
                                    <w:bottom w:val="single" w:sz="4" w:space="0" w:color="auto"/>
                                  </w:tcBorders>
                                  <w:shd w:val="clear" w:color="auto" w:fill="auto"/>
                                </w:tcPr>
                                <w:p w14:paraId="5ED7FE10" w14:textId="77777777" w:rsidR="00547367" w:rsidRPr="0055776F" w:rsidRDefault="00547367" w:rsidP="0077258C">
                                  <w:pPr>
                                    <w:rPr>
                                      <w:rFonts w:ascii="Arial" w:hAnsi="Arial" w:cs="Arial"/>
                                      <w:sz w:val="20"/>
                                    </w:rPr>
                                  </w:pPr>
                                  <w:r w:rsidRPr="0055776F">
                                    <w:rPr>
                                      <w:rFonts w:ascii="Arial" w:hAnsi="Arial" w:cs="Arial"/>
                                      <w:sz w:val="20"/>
                                    </w:rPr>
                                    <w:t>148</w:t>
                                  </w:r>
                                </w:p>
                              </w:tc>
                            </w:tr>
                            <w:tr w:rsidR="00547367" w:rsidRPr="0055776F" w14:paraId="57472FE3" w14:textId="77777777" w:rsidTr="0077258C">
                              <w:tc>
                                <w:tcPr>
                                  <w:tcW w:w="817" w:type="dxa"/>
                                  <w:shd w:val="clear" w:color="auto" w:fill="auto"/>
                                </w:tcPr>
                                <w:p w14:paraId="24C9D676" w14:textId="77777777" w:rsidR="00547367" w:rsidRPr="0055776F" w:rsidRDefault="00547367" w:rsidP="0077258C">
                                  <w:pPr>
                                    <w:rPr>
                                      <w:rFonts w:ascii="Arial" w:hAnsi="Arial" w:cs="Arial"/>
                                      <w:sz w:val="20"/>
                                    </w:rPr>
                                  </w:pPr>
                                  <w:r w:rsidRPr="0055776F">
                                    <w:rPr>
                                      <w:rFonts w:ascii="Arial" w:hAnsi="Arial" w:cs="Arial"/>
                                      <w:sz w:val="20"/>
                                    </w:rPr>
                                    <w:t>│││</w:t>
                                  </w:r>
                                </w:p>
                              </w:tc>
                              <w:tc>
                                <w:tcPr>
                                  <w:tcW w:w="2464" w:type="dxa"/>
                                  <w:shd w:val="clear" w:color="auto" w:fill="auto"/>
                                </w:tcPr>
                                <w:p w14:paraId="6E352C07" w14:textId="77777777" w:rsidR="00547367" w:rsidRPr="0055776F" w:rsidRDefault="00547367" w:rsidP="0077258C">
                                  <w:pPr>
                                    <w:rPr>
                                      <w:rFonts w:ascii="Arial" w:hAnsi="Arial" w:cs="Arial"/>
                                      <w:sz w:val="20"/>
                                    </w:rPr>
                                  </w:pPr>
                                  <w:r>
                                    <w:rPr>
                                      <w:rFonts w:ascii="Arial" w:hAnsi="Arial" w:cs="Arial"/>
                                      <w:sz w:val="20"/>
                                    </w:rPr>
                                    <w:t>Cenzurirana opažanja</w:t>
                                  </w:r>
                                </w:p>
                              </w:tc>
                              <w:tc>
                                <w:tcPr>
                                  <w:tcW w:w="851" w:type="dxa"/>
                                  <w:tcBorders>
                                    <w:top w:val="single" w:sz="4" w:space="0" w:color="auto"/>
                                  </w:tcBorders>
                                  <w:shd w:val="clear" w:color="auto" w:fill="auto"/>
                                </w:tcPr>
                                <w:p w14:paraId="08E70D78" w14:textId="77777777" w:rsidR="00547367" w:rsidRPr="0055776F" w:rsidRDefault="00547367" w:rsidP="0077258C">
                                  <w:pPr>
                                    <w:rPr>
                                      <w:rFonts w:ascii="Arial" w:hAnsi="Arial" w:cs="Arial"/>
                                      <w:sz w:val="20"/>
                                    </w:rPr>
                                  </w:pPr>
                                </w:p>
                              </w:tc>
                              <w:tc>
                                <w:tcPr>
                                  <w:tcW w:w="709" w:type="dxa"/>
                                  <w:tcBorders>
                                    <w:top w:val="single" w:sz="4" w:space="0" w:color="auto"/>
                                  </w:tcBorders>
                                  <w:shd w:val="clear" w:color="auto" w:fill="auto"/>
                                </w:tcPr>
                                <w:p w14:paraId="22FC7110" w14:textId="77777777" w:rsidR="00547367" w:rsidRPr="0055776F" w:rsidRDefault="00547367" w:rsidP="0077258C">
                                  <w:pPr>
                                    <w:rPr>
                                      <w:rFonts w:ascii="Arial" w:hAnsi="Arial" w:cs="Arial"/>
                                      <w:sz w:val="20"/>
                                    </w:rPr>
                                  </w:pPr>
                                </w:p>
                              </w:tc>
                              <w:tc>
                                <w:tcPr>
                                  <w:tcW w:w="850" w:type="dxa"/>
                                  <w:tcBorders>
                                    <w:top w:val="single" w:sz="4" w:space="0" w:color="auto"/>
                                  </w:tcBorders>
                                  <w:shd w:val="clear" w:color="auto" w:fill="auto"/>
                                </w:tcPr>
                                <w:p w14:paraId="498A3CB1" w14:textId="77777777" w:rsidR="00547367" w:rsidRPr="0055776F" w:rsidRDefault="00547367" w:rsidP="0077258C">
                                  <w:pPr>
                                    <w:rPr>
                                      <w:rFonts w:ascii="Arial" w:hAnsi="Arial" w:cs="Arial"/>
                                      <w:sz w:val="20"/>
                                    </w:rPr>
                                  </w:pPr>
                                </w:p>
                              </w:tc>
                            </w:tr>
                          </w:tbl>
                          <w:p w14:paraId="6104EC48" w14:textId="77777777" w:rsidR="00547367" w:rsidRPr="00A33DBA" w:rsidRDefault="00547367" w:rsidP="007D0548">
                            <w:pPr>
                              <w:rPr>
                                <w:rFonts w:ascii="Arial" w:hAnsi="Arial" w:cs="Arial"/>
                                <w:sz w:val="20"/>
                              </w:rPr>
                            </w:pPr>
                          </w:p>
                          <w:p w14:paraId="14E977AD" w14:textId="77777777" w:rsidR="00547367" w:rsidRPr="00A33DBA" w:rsidRDefault="00547367" w:rsidP="007D0548">
                            <w:pPr>
                              <w:rPr>
                                <w:rFonts w:ascii="Arial" w:hAnsi="Arial" w:cs="Arial"/>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AFD954E" id="_x0000_s1027" type="#_x0000_t202" style="position:absolute;left:0;text-align:left;margin-left:27.6pt;margin-top:76.45pt;width:361.05pt;height:115.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" filled="f" stroked="f">
                <v:textbox>
                  <w:txbxContent>
                    <w:p w14:paraId="0F30F481" w14:textId="77777777" w:rsidR="00547367" w:rsidRDefault="00547367" w:rsidP="007D0548">
                      <w:pPr>
                        <w:rPr>
                          <w:rFonts w:ascii="Arial" w:hAnsi="Arial" w:cs="Arial"/>
                          <w:sz w:val="20"/>
                        </w:rPr>
                      </w:pPr>
                    </w:p>
                    <w:tbl>
                      <w:tblPr>
                        <w:tblW w:w="0" w:type="auto"/>
                        <w:tblLook w:val="04A0" w:firstRow="1" w:lastRow="0" w:firstColumn="1" w:lastColumn="0" w:noHBand="0" w:noVBand="1"/>
                      </w:tblPr>
                      <w:tblGrid>
                        <w:gridCol w:w="817"/>
                        <w:gridCol w:w="2464"/>
                        <w:gridCol w:w="851"/>
                        <w:gridCol w:w="962"/>
                        <w:gridCol w:w="917"/>
                      </w:tblGrid>
                      <w:tr w:rsidR="00547367" w:rsidRPr="0055776F" w14:paraId="2AA68D3A" w14:textId="77777777" w:rsidTr="000A6648">
                        <w:trPr>
                          <w:gridAfter w:val="3"/>
                          <w:wAfter w:w="2410" w:type="dxa"/>
                        </w:trPr>
                        <w:tc>
                          <w:tcPr>
                            <w:tcW w:w="3281" w:type="dxa"/>
                            <w:gridSpan w:val="2"/>
                            <w:shd w:val="clear" w:color="auto" w:fill="auto"/>
                          </w:tcPr>
                          <w:p w14:paraId="6420A4EB" w14:textId="77777777" w:rsidR="00547367" w:rsidRPr="0055776F" w:rsidRDefault="00547367" w:rsidP="0077258C">
                            <w:pPr>
                              <w:rPr>
                                <w:rFonts w:ascii="Arial" w:hAnsi="Arial" w:cs="Arial"/>
                                <w:sz w:val="20"/>
                              </w:rPr>
                            </w:pPr>
                            <w:r>
                              <w:rPr>
                                <w:rFonts w:ascii="Arial" w:hAnsi="Arial" w:cs="Arial"/>
                                <w:sz w:val="20"/>
                              </w:rPr>
                              <w:t>P &lt; 0,0001</w:t>
                            </w:r>
                          </w:p>
                          <w:p w14:paraId="5363C414" w14:textId="77777777" w:rsidR="00547367" w:rsidRPr="0055776F" w:rsidRDefault="00547367" w:rsidP="0077258C">
                            <w:pPr>
                              <w:rPr>
                                <w:rFonts w:ascii="Arial" w:hAnsi="Arial" w:cs="Arial"/>
                                <w:sz w:val="20"/>
                              </w:rPr>
                            </w:pPr>
                            <w:r>
                              <w:rPr>
                                <w:rFonts w:ascii="Arial" w:hAnsi="Arial" w:cs="Arial"/>
                                <w:sz w:val="20"/>
                              </w:rPr>
                              <w:t>Omjer rizika</w:t>
                            </w:r>
                            <w:r w:rsidRPr="0055776F">
                              <w:rPr>
                                <w:rFonts w:ascii="Arial" w:hAnsi="Arial" w:cs="Arial"/>
                                <w:sz w:val="20"/>
                              </w:rPr>
                              <w:t xml:space="preserve"> 0</w:t>
                            </w:r>
                            <w:r>
                              <w:rPr>
                                <w:rFonts w:ascii="Arial" w:hAnsi="Arial" w:cs="Arial"/>
                                <w:sz w:val="20"/>
                              </w:rPr>
                              <w:t>,</w:t>
                            </w:r>
                            <w:r w:rsidRPr="0055776F">
                              <w:rPr>
                                <w:rFonts w:ascii="Arial" w:hAnsi="Arial" w:cs="Arial"/>
                                <w:sz w:val="20"/>
                              </w:rPr>
                              <w:t>4</w:t>
                            </w:r>
                            <w:r>
                              <w:rPr>
                                <w:rFonts w:ascii="Arial" w:hAnsi="Arial" w:cs="Arial"/>
                                <w:sz w:val="20"/>
                              </w:rPr>
                              <w:t>6</w:t>
                            </w:r>
                          </w:p>
                          <w:p w14:paraId="35662502" w14:textId="77777777" w:rsidR="00547367" w:rsidRPr="0055776F" w:rsidRDefault="00547367" w:rsidP="00E56B37">
                            <w:pPr>
                              <w:rPr>
                                <w:rFonts w:ascii="Arial" w:hAnsi="Arial" w:cs="Arial"/>
                                <w:sz w:val="20"/>
                                <w:lang w:val="de-DE"/>
                              </w:rPr>
                            </w:pPr>
                            <w:r w:rsidRPr="0055776F">
                              <w:rPr>
                                <w:rFonts w:ascii="Arial" w:hAnsi="Arial" w:cs="Arial"/>
                                <w:sz w:val="20"/>
                              </w:rPr>
                              <w:t xml:space="preserve">(95% </w:t>
                            </w:r>
                            <w:r w:rsidRPr="00B014D4">
                              <w:rPr>
                                <w:rFonts w:ascii="Arial" w:hAnsi="Arial" w:cs="Arial"/>
                                <w:sz w:val="20"/>
                              </w:rPr>
                              <w:t>Cl,</w:t>
                            </w:r>
                            <w:r w:rsidRPr="0055776F">
                              <w:rPr>
                                <w:rFonts w:ascii="Arial" w:hAnsi="Arial" w:cs="Arial"/>
                                <w:sz w:val="20"/>
                              </w:rPr>
                              <w:t xml:space="preserve"> 0</w:t>
                            </w:r>
                            <w:r>
                              <w:rPr>
                                <w:rFonts w:ascii="Arial" w:hAnsi="Arial" w:cs="Arial"/>
                                <w:sz w:val="20"/>
                              </w:rPr>
                              <w:t>,3</w:t>
                            </w:r>
                            <w:r w:rsidRPr="0055776F">
                              <w:rPr>
                                <w:rFonts w:ascii="Arial" w:hAnsi="Arial" w:cs="Arial"/>
                                <w:sz w:val="20"/>
                              </w:rPr>
                              <w:t>2</w:t>
                            </w:r>
                            <w:r>
                              <w:rPr>
                                <w:rFonts w:ascii="Arial" w:hAnsi="Arial" w:cs="Arial"/>
                                <w:sz w:val="20"/>
                              </w:rPr>
                              <w:noBreakHyphen/>
                            </w:r>
                            <w:r w:rsidRPr="0055776F">
                              <w:rPr>
                                <w:rFonts w:ascii="Arial" w:hAnsi="Arial" w:cs="Arial"/>
                                <w:sz w:val="20"/>
                              </w:rPr>
                              <w:t>0</w:t>
                            </w:r>
                            <w:r>
                              <w:rPr>
                                <w:rFonts w:ascii="Arial" w:hAnsi="Arial" w:cs="Arial"/>
                                <w:sz w:val="20"/>
                              </w:rPr>
                              <w:t>,65</w:t>
                            </w:r>
                            <w:r w:rsidRPr="0055776F">
                              <w:rPr>
                                <w:rFonts w:ascii="Arial" w:hAnsi="Arial" w:cs="Arial"/>
                                <w:sz w:val="20"/>
                              </w:rPr>
                              <w:t>)</w:t>
                            </w:r>
                          </w:p>
                        </w:tc>
                      </w:tr>
                      <w:tr w:rsidR="00547367" w:rsidRPr="0055776F" w14:paraId="22631018" w14:textId="77777777" w:rsidTr="0077258C">
                        <w:tc>
                          <w:tcPr>
                            <w:tcW w:w="817" w:type="dxa"/>
                            <w:shd w:val="clear" w:color="auto" w:fill="auto"/>
                          </w:tcPr>
                          <w:p w14:paraId="5284B932" w14:textId="77777777" w:rsidR="00547367" w:rsidRPr="0055776F" w:rsidRDefault="00547367" w:rsidP="0077258C">
                            <w:pPr>
                              <w:rPr>
                                <w:rFonts w:ascii="Arial" w:hAnsi="Arial" w:cs="Arial"/>
                                <w:sz w:val="20"/>
                              </w:rPr>
                            </w:pPr>
                          </w:p>
                        </w:tc>
                        <w:tc>
                          <w:tcPr>
                            <w:tcW w:w="2464" w:type="dxa"/>
                            <w:shd w:val="clear" w:color="auto" w:fill="auto"/>
                          </w:tcPr>
                          <w:p w14:paraId="48C185CF" w14:textId="77777777" w:rsidR="00547367" w:rsidRPr="0055776F" w:rsidRDefault="00547367" w:rsidP="0077258C">
                            <w:pPr>
                              <w:rPr>
                                <w:rFonts w:ascii="Arial" w:hAnsi="Arial" w:cs="Arial"/>
                                <w:sz w:val="20"/>
                              </w:rPr>
                            </w:pPr>
                          </w:p>
                        </w:tc>
                        <w:tc>
                          <w:tcPr>
                            <w:tcW w:w="851" w:type="dxa"/>
                            <w:tcBorders>
                              <w:bottom w:val="single" w:sz="4" w:space="0" w:color="auto"/>
                            </w:tcBorders>
                            <w:shd w:val="clear" w:color="auto" w:fill="auto"/>
                          </w:tcPr>
                          <w:p w14:paraId="43373D73" w14:textId="77777777" w:rsidR="00547367" w:rsidRPr="0055776F" w:rsidRDefault="00547367" w:rsidP="0077258C">
                            <w:pPr>
                              <w:rPr>
                                <w:rFonts w:ascii="Arial" w:hAnsi="Arial" w:cs="Arial"/>
                                <w:sz w:val="20"/>
                              </w:rPr>
                            </w:pPr>
                            <w:r w:rsidRPr="0055776F">
                              <w:rPr>
                                <w:rFonts w:ascii="Arial" w:hAnsi="Arial" w:cs="Arial"/>
                                <w:sz w:val="20"/>
                                <w:lang w:val="de-DE"/>
                              </w:rPr>
                              <w:t>N</w:t>
                            </w:r>
                          </w:p>
                        </w:tc>
                        <w:tc>
                          <w:tcPr>
                            <w:tcW w:w="709" w:type="dxa"/>
                            <w:tcBorders>
                              <w:bottom w:val="single" w:sz="4" w:space="0" w:color="auto"/>
                            </w:tcBorders>
                            <w:shd w:val="clear" w:color="auto" w:fill="auto"/>
                          </w:tcPr>
                          <w:p w14:paraId="393D4A28" w14:textId="77777777" w:rsidR="00547367" w:rsidRPr="0055776F" w:rsidRDefault="00547367" w:rsidP="0077258C">
                            <w:pPr>
                              <w:rPr>
                                <w:rFonts w:ascii="Arial" w:hAnsi="Arial" w:cs="Arial"/>
                                <w:sz w:val="20"/>
                              </w:rPr>
                            </w:pPr>
                            <w:r>
                              <w:rPr>
                                <w:rFonts w:ascii="Arial" w:hAnsi="Arial" w:cs="Arial"/>
                                <w:sz w:val="20"/>
                                <w:lang w:val="de-DE"/>
                              </w:rPr>
                              <w:t>Događaj</w:t>
                            </w:r>
                          </w:p>
                        </w:tc>
                        <w:tc>
                          <w:tcPr>
                            <w:tcW w:w="850" w:type="dxa"/>
                            <w:tcBorders>
                              <w:bottom w:val="single" w:sz="4" w:space="0" w:color="auto"/>
                            </w:tcBorders>
                            <w:shd w:val="clear" w:color="auto" w:fill="auto"/>
                          </w:tcPr>
                          <w:p w14:paraId="7F52B127" w14:textId="77777777" w:rsidR="00547367" w:rsidRPr="0055776F" w:rsidRDefault="00547367" w:rsidP="0077258C">
                            <w:pPr>
                              <w:rPr>
                                <w:rFonts w:ascii="Arial" w:hAnsi="Arial" w:cs="Arial"/>
                                <w:sz w:val="20"/>
                              </w:rPr>
                            </w:pPr>
                            <w:r w:rsidRPr="0055776F">
                              <w:rPr>
                                <w:rFonts w:ascii="Arial" w:hAnsi="Arial" w:cs="Arial"/>
                                <w:sz w:val="20"/>
                                <w:lang w:val="de-DE"/>
                              </w:rPr>
                              <w:t>Cen</w:t>
                            </w:r>
                            <w:r>
                              <w:rPr>
                                <w:rFonts w:ascii="Arial" w:hAnsi="Arial" w:cs="Arial"/>
                                <w:sz w:val="20"/>
                                <w:lang w:val="de-DE"/>
                              </w:rPr>
                              <w:t>zur.</w:t>
                            </w:r>
                          </w:p>
                        </w:tc>
                      </w:tr>
                      <w:tr w:rsidR="00547367" w:rsidRPr="0055776F" w14:paraId="5FE43F53" w14:textId="77777777" w:rsidTr="0077258C">
                        <w:tc>
                          <w:tcPr>
                            <w:tcW w:w="817" w:type="dxa"/>
                            <w:shd w:val="clear" w:color="auto" w:fill="auto"/>
                          </w:tcPr>
                          <w:p w14:paraId="4D6D23FD" w14:textId="77777777" w:rsidR="00547367" w:rsidRPr="0055776F" w:rsidRDefault="00547367" w:rsidP="0077258C">
                            <w:pPr>
                              <w:rPr>
                                <w:rFonts w:ascii="Arial" w:hAnsi="Arial" w:cs="Arial"/>
                                <w:sz w:val="20"/>
                              </w:rPr>
                            </w:pPr>
                            <w:r w:rsidRPr="0055776F">
                              <w:rPr>
                                <w:rFonts w:ascii="Arial" w:hAnsi="Arial" w:cs="Arial"/>
                                <w:b/>
                                <w:sz w:val="20"/>
                              </w:rPr>
                              <w:t>——</w:t>
                            </w:r>
                          </w:p>
                        </w:tc>
                        <w:tc>
                          <w:tcPr>
                            <w:tcW w:w="2464" w:type="dxa"/>
                            <w:shd w:val="clear" w:color="auto" w:fill="auto"/>
                          </w:tcPr>
                          <w:p w14:paraId="6F0A6E62" w14:textId="77777777" w:rsidR="00547367" w:rsidRPr="0055776F" w:rsidRDefault="00547367" w:rsidP="00E56B37">
                            <w:pPr>
                              <w:rPr>
                                <w:rFonts w:ascii="Arial" w:hAnsi="Arial" w:cs="Arial"/>
                                <w:sz w:val="20"/>
                              </w:rPr>
                            </w:pPr>
                            <w:r w:rsidRPr="0055776F">
                              <w:rPr>
                                <w:rFonts w:ascii="Arial" w:hAnsi="Arial" w:cs="Arial"/>
                                <w:sz w:val="20"/>
                              </w:rPr>
                              <w:t xml:space="preserve">(1) </w:t>
                            </w:r>
                            <w:r>
                              <w:rPr>
                                <w:rFonts w:ascii="Arial" w:hAnsi="Arial" w:cs="Arial"/>
                                <w:sz w:val="20"/>
                              </w:rPr>
                              <w:t>Imatinib 12 mj.</w:t>
                            </w:r>
                            <w:r w:rsidRPr="0055776F">
                              <w:rPr>
                                <w:rFonts w:ascii="Arial" w:hAnsi="Arial" w:cs="Arial"/>
                                <w:sz w:val="20"/>
                              </w:rPr>
                              <w:t>:</w:t>
                            </w:r>
                          </w:p>
                        </w:tc>
                        <w:tc>
                          <w:tcPr>
                            <w:tcW w:w="851" w:type="dxa"/>
                            <w:tcBorders>
                              <w:top w:val="single" w:sz="4" w:space="0" w:color="auto"/>
                            </w:tcBorders>
                            <w:shd w:val="clear" w:color="auto" w:fill="auto"/>
                          </w:tcPr>
                          <w:p w14:paraId="7E399EC2" w14:textId="77777777" w:rsidR="00547367" w:rsidRPr="0055776F" w:rsidRDefault="00547367" w:rsidP="0077258C">
                            <w:pPr>
                              <w:rPr>
                                <w:rFonts w:ascii="Arial" w:hAnsi="Arial" w:cs="Arial"/>
                                <w:sz w:val="20"/>
                              </w:rPr>
                            </w:pPr>
                            <w:r w:rsidRPr="0055776F">
                              <w:rPr>
                                <w:rFonts w:ascii="Arial" w:hAnsi="Arial" w:cs="Arial"/>
                                <w:sz w:val="20"/>
                              </w:rPr>
                              <w:t>199</w:t>
                            </w:r>
                          </w:p>
                        </w:tc>
                        <w:tc>
                          <w:tcPr>
                            <w:tcW w:w="709" w:type="dxa"/>
                            <w:tcBorders>
                              <w:top w:val="single" w:sz="4" w:space="0" w:color="auto"/>
                            </w:tcBorders>
                            <w:shd w:val="clear" w:color="auto" w:fill="auto"/>
                          </w:tcPr>
                          <w:p w14:paraId="038C6DBE" w14:textId="77777777" w:rsidR="00547367" w:rsidRPr="0055776F" w:rsidRDefault="00547367" w:rsidP="0077258C">
                            <w:pPr>
                              <w:rPr>
                                <w:rFonts w:ascii="Arial" w:hAnsi="Arial" w:cs="Arial"/>
                                <w:sz w:val="20"/>
                              </w:rPr>
                            </w:pPr>
                            <w:r w:rsidRPr="0055776F">
                              <w:rPr>
                                <w:rFonts w:ascii="Arial" w:hAnsi="Arial" w:cs="Arial"/>
                                <w:sz w:val="20"/>
                              </w:rPr>
                              <w:t>84</w:t>
                            </w:r>
                          </w:p>
                        </w:tc>
                        <w:tc>
                          <w:tcPr>
                            <w:tcW w:w="850" w:type="dxa"/>
                            <w:tcBorders>
                              <w:top w:val="single" w:sz="4" w:space="0" w:color="auto"/>
                            </w:tcBorders>
                            <w:shd w:val="clear" w:color="auto" w:fill="auto"/>
                          </w:tcPr>
                          <w:p w14:paraId="3D5ACFD7" w14:textId="77777777" w:rsidR="00547367" w:rsidRPr="0055776F" w:rsidRDefault="00547367" w:rsidP="0077258C">
                            <w:pPr>
                              <w:rPr>
                                <w:rFonts w:ascii="Arial" w:hAnsi="Arial" w:cs="Arial"/>
                                <w:sz w:val="20"/>
                              </w:rPr>
                            </w:pPr>
                            <w:r w:rsidRPr="0055776F">
                              <w:rPr>
                                <w:rFonts w:ascii="Arial" w:hAnsi="Arial" w:cs="Arial"/>
                                <w:sz w:val="20"/>
                              </w:rPr>
                              <w:t>115</w:t>
                            </w:r>
                          </w:p>
                        </w:tc>
                      </w:tr>
                      <w:tr w:rsidR="00547367" w:rsidRPr="0055776F" w14:paraId="1F3A9098" w14:textId="77777777" w:rsidTr="0077258C">
                        <w:tc>
                          <w:tcPr>
                            <w:tcW w:w="817" w:type="dxa"/>
                            <w:shd w:val="clear" w:color="auto" w:fill="auto"/>
                          </w:tcPr>
                          <w:p w14:paraId="525E3349" w14:textId="77777777" w:rsidR="00547367" w:rsidRPr="0055776F" w:rsidRDefault="00547367" w:rsidP="0077258C">
                            <w:pPr>
                              <w:rPr>
                                <w:rFonts w:ascii="Arial" w:hAnsi="Arial" w:cs="Arial"/>
                                <w:sz w:val="20"/>
                              </w:rPr>
                            </w:pPr>
                            <w:r w:rsidRPr="0055776F">
                              <w:rPr>
                                <w:rFonts w:ascii="Arial" w:hAnsi="Arial" w:cs="Arial"/>
                                <w:sz w:val="20"/>
                              </w:rPr>
                              <w:t>-----</w:t>
                            </w:r>
                          </w:p>
                        </w:tc>
                        <w:tc>
                          <w:tcPr>
                            <w:tcW w:w="2464" w:type="dxa"/>
                            <w:shd w:val="clear" w:color="auto" w:fill="auto"/>
                          </w:tcPr>
                          <w:p w14:paraId="02E25316" w14:textId="77777777" w:rsidR="00547367" w:rsidRPr="0055776F" w:rsidRDefault="00547367" w:rsidP="00E56B37">
                            <w:pPr>
                              <w:rPr>
                                <w:rFonts w:ascii="Arial" w:hAnsi="Arial" w:cs="Arial"/>
                                <w:sz w:val="20"/>
                              </w:rPr>
                            </w:pPr>
                            <w:r w:rsidRPr="0055776F">
                              <w:rPr>
                                <w:rFonts w:ascii="Arial" w:hAnsi="Arial" w:cs="Arial"/>
                                <w:sz w:val="20"/>
                              </w:rPr>
                              <w:t xml:space="preserve">(2) </w:t>
                            </w:r>
                            <w:r>
                              <w:rPr>
                                <w:rFonts w:ascii="Arial" w:hAnsi="Arial" w:cs="Arial"/>
                                <w:sz w:val="20"/>
                              </w:rPr>
                              <w:t>Imatinib 36 mj.</w:t>
                            </w:r>
                            <w:r w:rsidRPr="0055776F">
                              <w:rPr>
                                <w:rFonts w:ascii="Arial" w:hAnsi="Arial" w:cs="Arial"/>
                                <w:sz w:val="20"/>
                              </w:rPr>
                              <w:t>:</w:t>
                            </w:r>
                          </w:p>
                        </w:tc>
                        <w:tc>
                          <w:tcPr>
                            <w:tcW w:w="851" w:type="dxa"/>
                            <w:tcBorders>
                              <w:bottom w:val="single" w:sz="4" w:space="0" w:color="auto"/>
                            </w:tcBorders>
                            <w:shd w:val="clear" w:color="auto" w:fill="auto"/>
                          </w:tcPr>
                          <w:p w14:paraId="3F9A251F" w14:textId="77777777" w:rsidR="00547367" w:rsidRPr="0055776F" w:rsidRDefault="00547367" w:rsidP="0077258C">
                            <w:pPr>
                              <w:rPr>
                                <w:rFonts w:ascii="Arial" w:hAnsi="Arial" w:cs="Arial"/>
                                <w:sz w:val="20"/>
                              </w:rPr>
                            </w:pPr>
                            <w:r w:rsidRPr="0055776F">
                              <w:rPr>
                                <w:rFonts w:ascii="Arial" w:hAnsi="Arial" w:cs="Arial"/>
                                <w:sz w:val="20"/>
                              </w:rPr>
                              <w:t>198</w:t>
                            </w:r>
                          </w:p>
                        </w:tc>
                        <w:tc>
                          <w:tcPr>
                            <w:tcW w:w="709" w:type="dxa"/>
                            <w:tcBorders>
                              <w:bottom w:val="single" w:sz="4" w:space="0" w:color="auto"/>
                            </w:tcBorders>
                            <w:shd w:val="clear" w:color="auto" w:fill="auto"/>
                          </w:tcPr>
                          <w:p w14:paraId="178EDD99" w14:textId="77777777" w:rsidR="00547367" w:rsidRPr="0055776F" w:rsidRDefault="00547367" w:rsidP="0077258C">
                            <w:pPr>
                              <w:rPr>
                                <w:rFonts w:ascii="Arial" w:hAnsi="Arial" w:cs="Arial"/>
                                <w:sz w:val="20"/>
                              </w:rPr>
                            </w:pPr>
                            <w:r w:rsidRPr="0055776F">
                              <w:rPr>
                                <w:rFonts w:ascii="Arial" w:hAnsi="Arial" w:cs="Arial"/>
                                <w:sz w:val="20"/>
                              </w:rPr>
                              <w:t>50</w:t>
                            </w:r>
                          </w:p>
                        </w:tc>
                        <w:tc>
                          <w:tcPr>
                            <w:tcW w:w="850" w:type="dxa"/>
                            <w:tcBorders>
                              <w:bottom w:val="single" w:sz="4" w:space="0" w:color="auto"/>
                            </w:tcBorders>
                            <w:shd w:val="clear" w:color="auto" w:fill="auto"/>
                          </w:tcPr>
                          <w:p w14:paraId="5ED7FE10" w14:textId="77777777" w:rsidR="00547367" w:rsidRPr="0055776F" w:rsidRDefault="00547367" w:rsidP="0077258C">
                            <w:pPr>
                              <w:rPr>
                                <w:rFonts w:ascii="Arial" w:hAnsi="Arial" w:cs="Arial"/>
                                <w:sz w:val="20"/>
                              </w:rPr>
                            </w:pPr>
                            <w:r w:rsidRPr="0055776F">
                              <w:rPr>
                                <w:rFonts w:ascii="Arial" w:hAnsi="Arial" w:cs="Arial"/>
                                <w:sz w:val="20"/>
                              </w:rPr>
                              <w:t>148</w:t>
                            </w:r>
                          </w:p>
                        </w:tc>
                      </w:tr>
                      <w:tr w:rsidR="00547367" w:rsidRPr="0055776F" w14:paraId="57472FE3" w14:textId="77777777" w:rsidTr="0077258C">
                        <w:tc>
                          <w:tcPr>
                            <w:tcW w:w="817" w:type="dxa"/>
                            <w:shd w:val="clear" w:color="auto" w:fill="auto"/>
                          </w:tcPr>
                          <w:p w14:paraId="24C9D676" w14:textId="77777777" w:rsidR="00547367" w:rsidRPr="0055776F" w:rsidRDefault="00547367" w:rsidP="0077258C">
                            <w:pPr>
                              <w:rPr>
                                <w:rFonts w:ascii="Arial" w:hAnsi="Arial" w:cs="Arial"/>
                                <w:sz w:val="20"/>
                              </w:rPr>
                            </w:pPr>
                            <w:r w:rsidRPr="0055776F">
                              <w:rPr>
                                <w:rFonts w:ascii="Arial" w:hAnsi="Arial" w:cs="Arial"/>
                                <w:sz w:val="20"/>
                              </w:rPr>
                              <w:t>│││</w:t>
                            </w:r>
                          </w:p>
                        </w:tc>
                        <w:tc>
                          <w:tcPr>
                            <w:tcW w:w="2464" w:type="dxa"/>
                            <w:shd w:val="clear" w:color="auto" w:fill="auto"/>
                          </w:tcPr>
                          <w:p w14:paraId="6E352C07" w14:textId="77777777" w:rsidR="00547367" w:rsidRPr="0055776F" w:rsidRDefault="00547367" w:rsidP="0077258C">
                            <w:pPr>
                              <w:rPr>
                                <w:rFonts w:ascii="Arial" w:hAnsi="Arial" w:cs="Arial"/>
                                <w:sz w:val="20"/>
                              </w:rPr>
                            </w:pPr>
                            <w:r>
                              <w:rPr>
                                <w:rFonts w:ascii="Arial" w:hAnsi="Arial" w:cs="Arial"/>
                                <w:sz w:val="20"/>
                              </w:rPr>
                              <w:t>Cenzurirana opažanja</w:t>
                            </w:r>
                          </w:p>
                        </w:tc>
                        <w:tc>
                          <w:tcPr>
                            <w:tcW w:w="851" w:type="dxa"/>
                            <w:tcBorders>
                              <w:top w:val="single" w:sz="4" w:space="0" w:color="auto"/>
                            </w:tcBorders>
                            <w:shd w:val="clear" w:color="auto" w:fill="auto"/>
                          </w:tcPr>
                          <w:p w14:paraId="08E70D78" w14:textId="77777777" w:rsidR="00547367" w:rsidRPr="0055776F" w:rsidRDefault="00547367" w:rsidP="0077258C">
                            <w:pPr>
                              <w:rPr>
                                <w:rFonts w:ascii="Arial" w:hAnsi="Arial" w:cs="Arial"/>
                                <w:sz w:val="20"/>
                              </w:rPr>
                            </w:pPr>
                          </w:p>
                        </w:tc>
                        <w:tc>
                          <w:tcPr>
                            <w:tcW w:w="709" w:type="dxa"/>
                            <w:tcBorders>
                              <w:top w:val="single" w:sz="4" w:space="0" w:color="auto"/>
                            </w:tcBorders>
                            <w:shd w:val="clear" w:color="auto" w:fill="auto"/>
                          </w:tcPr>
                          <w:p w14:paraId="22FC7110" w14:textId="77777777" w:rsidR="00547367" w:rsidRPr="0055776F" w:rsidRDefault="00547367" w:rsidP="0077258C">
                            <w:pPr>
                              <w:rPr>
                                <w:rFonts w:ascii="Arial" w:hAnsi="Arial" w:cs="Arial"/>
                                <w:sz w:val="20"/>
                              </w:rPr>
                            </w:pPr>
                          </w:p>
                        </w:tc>
                        <w:tc>
                          <w:tcPr>
                            <w:tcW w:w="850" w:type="dxa"/>
                            <w:tcBorders>
                              <w:top w:val="single" w:sz="4" w:space="0" w:color="auto"/>
                            </w:tcBorders>
                            <w:shd w:val="clear" w:color="auto" w:fill="auto"/>
                          </w:tcPr>
                          <w:p w14:paraId="498A3CB1" w14:textId="77777777" w:rsidR="00547367" w:rsidRPr="0055776F" w:rsidRDefault="00547367" w:rsidP="0077258C">
                            <w:pPr>
                              <w:rPr>
                                <w:rFonts w:ascii="Arial" w:hAnsi="Arial" w:cs="Arial"/>
                                <w:sz w:val="20"/>
                              </w:rPr>
                            </w:pPr>
                          </w:p>
                        </w:tc>
                      </w:tr>
                    </w:tbl>
                    <w:p w14:paraId="6104EC48" w14:textId="77777777" w:rsidR="00547367" w:rsidRPr="00A33DBA" w:rsidRDefault="00547367" w:rsidP="007D0548">
                      <w:pPr>
                        <w:rPr>
                          <w:rFonts w:ascii="Arial" w:hAnsi="Arial" w:cs="Arial"/>
                          <w:sz w:val="20"/>
                        </w:rPr>
                      </w:pPr>
                    </w:p>
                    <w:p w14:paraId="14E977AD" w14:textId="77777777" w:rsidR="00547367" w:rsidRPr="00A33DBA" w:rsidRDefault="00547367" w:rsidP="007D0548">
                      <w:pPr>
                        <w:rPr>
                          <w:rFonts w:ascii="Arial" w:hAnsi="Arial" w:cs="Arial"/>
                          <w:sz w:val="20"/>
                        </w:rPr>
                      </w:pPr>
                    </w:p>
                  </w:txbxContent>
                </v:textbox>
              </v:shape>
            </w:pict>
          </mc:Fallback>
        </mc:AlternateContent>
      </w:r>
      <w:r w:rsidRPr="00510442">
        <w:rPr>
          <w:noProof/>
          <w:szCs w:val="22"/>
          <w:lang w:eastAsia="en-GB"/>
        </w:rPr>
        <w:drawing>
          <wp:inline distT="0" distB="0" distL="0" distR="0" wp14:anchorId="5C9FD77B" wp14:editId="7B1A744E">
            <wp:extent cx="5939790" cy="26797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9790" cy="2679700"/>
                    </a:xfrm>
                    <a:prstGeom prst="rect">
                      <a:avLst/>
                    </a:prstGeom>
                    <a:noFill/>
                    <a:ln>
                      <a:noFill/>
                    </a:ln>
                  </pic:spPr>
                </pic:pic>
              </a:graphicData>
            </a:graphic>
          </wp:inline>
        </w:drawing>
      </w:r>
    </w:p>
    <w:p w14:paraId="7D9CD9E0" w14:textId="77777777" w:rsidR="007D0548" w:rsidRPr="00307897" w:rsidRDefault="00C712C6" w:rsidP="007F1BD0">
      <w:pPr>
        <w:widowControl w:val="0"/>
        <w:tabs>
          <w:tab w:val="clear" w:pos="567"/>
          <w:tab w:val="left" w:pos="1134"/>
        </w:tabs>
        <w:spacing w:line="240" w:lineRule="auto"/>
        <w:ind w:left="1134" w:hanging="1134"/>
        <w:outlineLvl w:val="6"/>
        <w:rPr>
          <w:rFonts w:eastAsia="MS Mincho"/>
          <w:szCs w:val="22"/>
          <w:lang w:val="hr-HR"/>
        </w:rPr>
      </w:pPr>
      <w:r w:rsidRPr="00510442">
        <w:rPr>
          <w:rFonts w:eastAsia="MS Mincho"/>
          <w:noProof/>
          <w:szCs w:val="22"/>
          <w:lang w:eastAsia="en-GB"/>
        </w:rPr>
        <mc:AlternateContent>
          <mc:Choice Requires="wps">
            <w:drawing>
              <wp:anchor distT="0" distB="0" distL="114300" distR="114300" simplePos="0" relativeHeight="251654144" behindDoc="0" locked="0" layoutInCell="1" allowOverlap="1" wp14:anchorId="40ECC062" wp14:editId="559D46BE">
                <wp:simplePos x="0" y="0"/>
                <wp:positionH relativeFrom="column">
                  <wp:posOffset>2057400</wp:posOffset>
                </wp:positionH>
                <wp:positionV relativeFrom="paragraph">
                  <wp:posOffset>10795</wp:posOffset>
                </wp:positionV>
                <wp:extent cx="2289810" cy="29527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9810" cy="2952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1BE48A" w14:textId="77777777" w:rsidR="00547367" w:rsidRPr="00490021" w:rsidRDefault="00547367" w:rsidP="007D0548">
                            <w:pPr>
                              <w:rPr>
                                <w:rFonts w:ascii="Arial" w:hAnsi="Arial" w:cs="Arial"/>
                                <w:sz w:val="20"/>
                                <w:lang w:val="hr-HR"/>
                              </w:rPr>
                            </w:pPr>
                            <w:r>
                              <w:rPr>
                                <w:rFonts w:ascii="Arial" w:hAnsi="Arial" w:cs="Arial"/>
                                <w:sz w:val="20"/>
                                <w:lang w:val="hr-HR"/>
                              </w:rPr>
                              <w:t>Vrijeme preživljenja u mjesecima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0ECC062" id="_x0000_s1028" type="#_x0000_t202" style="position:absolute;left:0;text-align:left;margin-left:162pt;margin-top:.85pt;width:180.3pt;height:23.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" stroked="f">
                <v:fill opacity="0"/>
                <v:textbox>
                  <w:txbxContent>
                    <w:p w14:paraId="461BE48A" w14:textId="77777777" w:rsidR="00547367" w:rsidRPr="00490021" w:rsidRDefault="00547367" w:rsidP="007D0548">
                      <w:pPr>
                        <w:rPr>
                          <w:rFonts w:ascii="Arial" w:hAnsi="Arial" w:cs="Arial"/>
                          <w:sz w:val="20"/>
                          <w:lang w:val="hr-HR"/>
                        </w:rPr>
                      </w:pPr>
                      <w:r>
                        <w:rPr>
                          <w:rFonts w:ascii="Arial" w:hAnsi="Arial" w:cs="Arial"/>
                          <w:sz w:val="20"/>
                          <w:lang w:val="hr-HR"/>
                        </w:rPr>
                        <w:t>Vrijeme preživljenja u mjesecima</w:t>
                      </w:r>
                    </w:p>
                  </w:txbxContent>
                </v:textbox>
              </v:shape>
            </w:pict>
          </mc:Fallback>
        </mc:AlternateContent>
      </w:r>
    </w:p>
    <w:p w14:paraId="055F678E" w14:textId="77777777" w:rsidR="007D0548" w:rsidRPr="00510442" w:rsidRDefault="007D0548" w:rsidP="009B5630">
      <w:pPr>
        <w:spacing w:line="240" w:lineRule="auto"/>
        <w:rPr>
          <w:szCs w:val="22"/>
          <w:lang w:val="hr-HR"/>
        </w:rPr>
      </w:pPr>
    </w:p>
    <w:tbl>
      <w:tblPr>
        <w:tblW w:w="10599" w:type="dxa"/>
        <w:tblInd w:w="-318" w:type="dxa"/>
        <w:tblLook w:val="04A0" w:firstRow="1" w:lastRow="0" w:firstColumn="1" w:lastColumn="0" w:noHBand="0" w:noVBand="1"/>
      </w:tblPr>
      <w:tblGrid>
        <w:gridCol w:w="450"/>
        <w:gridCol w:w="646"/>
        <w:gridCol w:w="645"/>
        <w:gridCol w:w="745"/>
        <w:gridCol w:w="745"/>
        <w:gridCol w:w="745"/>
        <w:gridCol w:w="752"/>
        <w:gridCol w:w="745"/>
        <w:gridCol w:w="745"/>
        <w:gridCol w:w="652"/>
        <w:gridCol w:w="652"/>
        <w:gridCol w:w="649"/>
        <w:gridCol w:w="660"/>
        <w:gridCol w:w="649"/>
        <w:gridCol w:w="564"/>
        <w:gridCol w:w="555"/>
      </w:tblGrid>
      <w:tr w:rsidR="007D0548" w:rsidRPr="00F410C8" w14:paraId="0276BBA9" w14:textId="77777777" w:rsidTr="0077258C">
        <w:tc>
          <w:tcPr>
            <w:tcW w:w="10599" w:type="dxa"/>
            <w:gridSpan w:val="16"/>
            <w:shd w:val="clear" w:color="auto" w:fill="auto"/>
          </w:tcPr>
          <w:p w14:paraId="38146BC2" w14:textId="77777777" w:rsidR="007D0548" w:rsidRPr="00510442" w:rsidRDefault="00650582" w:rsidP="002425A0">
            <w:pPr>
              <w:spacing w:line="240" w:lineRule="auto"/>
              <w:ind w:left="-27"/>
              <w:rPr>
                <w:rFonts w:ascii="Arial" w:hAnsi="Arial" w:cs="Arial"/>
                <w:sz w:val="20"/>
                <w:lang w:val="hr-HR"/>
              </w:rPr>
            </w:pPr>
            <w:r w:rsidRPr="00510442">
              <w:rPr>
                <w:rFonts w:ascii="Arial" w:hAnsi="Arial" w:cs="Arial"/>
                <w:sz w:val="20"/>
                <w:lang w:val="hr-HR"/>
              </w:rPr>
              <w:t>Broj izloženih riziku : broj događaja</w:t>
            </w:r>
          </w:p>
        </w:tc>
      </w:tr>
      <w:tr w:rsidR="007D0548" w:rsidRPr="00510442" w14:paraId="7D77BC7C" w14:textId="77777777" w:rsidTr="0077258C">
        <w:tc>
          <w:tcPr>
            <w:tcW w:w="450" w:type="dxa"/>
            <w:shd w:val="clear" w:color="auto" w:fill="auto"/>
          </w:tcPr>
          <w:p w14:paraId="2009EF21" w14:textId="77777777" w:rsidR="007D0548" w:rsidRPr="00510442" w:rsidRDefault="007D0548" w:rsidP="009B5630">
            <w:pPr>
              <w:spacing w:line="240" w:lineRule="auto"/>
              <w:rPr>
                <w:sz w:val="18"/>
                <w:szCs w:val="18"/>
                <w:lang w:val="hr-HR"/>
              </w:rPr>
            </w:pPr>
            <w:r w:rsidRPr="00510442">
              <w:rPr>
                <w:sz w:val="18"/>
                <w:szCs w:val="18"/>
                <w:lang w:val="hr-HR"/>
              </w:rPr>
              <w:t>(1)</w:t>
            </w:r>
          </w:p>
        </w:tc>
        <w:tc>
          <w:tcPr>
            <w:tcW w:w="646" w:type="dxa"/>
            <w:shd w:val="clear" w:color="auto" w:fill="auto"/>
          </w:tcPr>
          <w:p w14:paraId="38278953" w14:textId="77777777" w:rsidR="007D0548" w:rsidRPr="00510442" w:rsidRDefault="007D0548" w:rsidP="009B5630">
            <w:pPr>
              <w:spacing w:line="240" w:lineRule="auto"/>
              <w:ind w:left="-27"/>
              <w:rPr>
                <w:sz w:val="18"/>
                <w:szCs w:val="18"/>
                <w:lang w:val="hr-HR"/>
              </w:rPr>
            </w:pPr>
            <w:r w:rsidRPr="00510442">
              <w:rPr>
                <w:sz w:val="18"/>
                <w:szCs w:val="18"/>
                <w:lang w:val="hr-HR"/>
              </w:rPr>
              <w:t>199:0</w:t>
            </w:r>
          </w:p>
        </w:tc>
        <w:tc>
          <w:tcPr>
            <w:tcW w:w="645" w:type="dxa"/>
            <w:shd w:val="clear" w:color="auto" w:fill="auto"/>
          </w:tcPr>
          <w:p w14:paraId="5FCC18CE" w14:textId="77777777" w:rsidR="007D0548" w:rsidRPr="00510442" w:rsidRDefault="007D0548" w:rsidP="009B5630">
            <w:pPr>
              <w:spacing w:line="240" w:lineRule="auto"/>
              <w:ind w:left="-27"/>
              <w:rPr>
                <w:sz w:val="18"/>
                <w:szCs w:val="18"/>
                <w:lang w:val="hr-HR"/>
              </w:rPr>
            </w:pPr>
            <w:r w:rsidRPr="00510442">
              <w:rPr>
                <w:sz w:val="18"/>
                <w:szCs w:val="18"/>
                <w:lang w:val="hr-HR"/>
              </w:rPr>
              <w:t>182:8</w:t>
            </w:r>
          </w:p>
        </w:tc>
        <w:tc>
          <w:tcPr>
            <w:tcW w:w="745" w:type="dxa"/>
            <w:shd w:val="clear" w:color="auto" w:fill="auto"/>
          </w:tcPr>
          <w:p w14:paraId="33E08701" w14:textId="77777777" w:rsidR="007D0548" w:rsidRPr="00510442" w:rsidRDefault="007D0548" w:rsidP="009B5630">
            <w:pPr>
              <w:spacing w:line="240" w:lineRule="auto"/>
              <w:ind w:left="-27"/>
              <w:rPr>
                <w:sz w:val="18"/>
                <w:szCs w:val="18"/>
                <w:lang w:val="hr-HR"/>
              </w:rPr>
            </w:pPr>
            <w:r w:rsidRPr="00510442">
              <w:rPr>
                <w:sz w:val="18"/>
                <w:szCs w:val="18"/>
                <w:lang w:val="hr-HR"/>
              </w:rPr>
              <w:t>177:12</w:t>
            </w:r>
          </w:p>
        </w:tc>
        <w:tc>
          <w:tcPr>
            <w:tcW w:w="745" w:type="dxa"/>
            <w:shd w:val="clear" w:color="auto" w:fill="auto"/>
          </w:tcPr>
          <w:p w14:paraId="47A807FB" w14:textId="77777777" w:rsidR="007D0548" w:rsidRPr="00510442" w:rsidRDefault="007D0548" w:rsidP="009B5630">
            <w:pPr>
              <w:spacing w:line="240" w:lineRule="auto"/>
              <w:ind w:left="-27"/>
              <w:rPr>
                <w:sz w:val="18"/>
                <w:szCs w:val="18"/>
                <w:lang w:val="hr-HR"/>
              </w:rPr>
            </w:pPr>
            <w:r w:rsidRPr="00510442">
              <w:rPr>
                <w:sz w:val="18"/>
                <w:szCs w:val="18"/>
                <w:lang w:val="hr-HR"/>
              </w:rPr>
              <w:t>163:25</w:t>
            </w:r>
          </w:p>
        </w:tc>
        <w:tc>
          <w:tcPr>
            <w:tcW w:w="745" w:type="dxa"/>
            <w:shd w:val="clear" w:color="auto" w:fill="auto"/>
          </w:tcPr>
          <w:p w14:paraId="14470120" w14:textId="77777777" w:rsidR="007D0548" w:rsidRPr="00510442" w:rsidRDefault="007D0548" w:rsidP="009B5630">
            <w:pPr>
              <w:spacing w:line="240" w:lineRule="auto"/>
              <w:ind w:left="-27"/>
              <w:rPr>
                <w:sz w:val="18"/>
                <w:szCs w:val="18"/>
                <w:lang w:val="hr-HR"/>
              </w:rPr>
            </w:pPr>
            <w:r w:rsidRPr="00510442">
              <w:rPr>
                <w:sz w:val="18"/>
                <w:szCs w:val="18"/>
                <w:lang w:val="hr-HR"/>
              </w:rPr>
              <w:t>137:46</w:t>
            </w:r>
          </w:p>
        </w:tc>
        <w:tc>
          <w:tcPr>
            <w:tcW w:w="752" w:type="dxa"/>
            <w:shd w:val="clear" w:color="auto" w:fill="auto"/>
          </w:tcPr>
          <w:p w14:paraId="0302F368" w14:textId="77777777" w:rsidR="007D0548" w:rsidRPr="00510442" w:rsidRDefault="007D0548" w:rsidP="009B5630">
            <w:pPr>
              <w:spacing w:line="240" w:lineRule="auto"/>
              <w:ind w:left="-27"/>
              <w:rPr>
                <w:sz w:val="18"/>
                <w:szCs w:val="18"/>
                <w:lang w:val="hr-HR"/>
              </w:rPr>
            </w:pPr>
            <w:r w:rsidRPr="00510442">
              <w:rPr>
                <w:sz w:val="18"/>
                <w:szCs w:val="18"/>
                <w:lang w:val="hr-HR"/>
              </w:rPr>
              <w:t>105:65</w:t>
            </w:r>
          </w:p>
        </w:tc>
        <w:tc>
          <w:tcPr>
            <w:tcW w:w="745" w:type="dxa"/>
            <w:shd w:val="clear" w:color="auto" w:fill="auto"/>
          </w:tcPr>
          <w:p w14:paraId="23409AE6" w14:textId="77777777" w:rsidR="007D0548" w:rsidRPr="00510442" w:rsidRDefault="007D0548" w:rsidP="009B5630">
            <w:pPr>
              <w:spacing w:line="240" w:lineRule="auto"/>
              <w:ind w:left="-27"/>
              <w:rPr>
                <w:sz w:val="18"/>
                <w:szCs w:val="18"/>
                <w:lang w:val="hr-HR"/>
              </w:rPr>
            </w:pPr>
            <w:r w:rsidRPr="00510442">
              <w:rPr>
                <w:sz w:val="18"/>
                <w:szCs w:val="18"/>
                <w:lang w:val="hr-HR"/>
              </w:rPr>
              <w:t>88:72</w:t>
            </w:r>
          </w:p>
        </w:tc>
        <w:tc>
          <w:tcPr>
            <w:tcW w:w="745" w:type="dxa"/>
            <w:shd w:val="clear" w:color="auto" w:fill="auto"/>
          </w:tcPr>
          <w:p w14:paraId="0083334A" w14:textId="77777777" w:rsidR="007D0548" w:rsidRPr="00510442" w:rsidRDefault="007D0548" w:rsidP="009B5630">
            <w:pPr>
              <w:spacing w:line="240" w:lineRule="auto"/>
              <w:ind w:left="-27"/>
              <w:rPr>
                <w:sz w:val="18"/>
                <w:szCs w:val="18"/>
                <w:lang w:val="hr-HR"/>
              </w:rPr>
            </w:pPr>
            <w:r w:rsidRPr="00510442">
              <w:rPr>
                <w:sz w:val="18"/>
                <w:szCs w:val="18"/>
                <w:lang w:val="hr-HR"/>
              </w:rPr>
              <w:t>61:77</w:t>
            </w:r>
          </w:p>
        </w:tc>
        <w:tc>
          <w:tcPr>
            <w:tcW w:w="652" w:type="dxa"/>
            <w:shd w:val="clear" w:color="auto" w:fill="auto"/>
          </w:tcPr>
          <w:p w14:paraId="44535E2C" w14:textId="77777777" w:rsidR="007D0548" w:rsidRPr="00510442" w:rsidRDefault="007D0548" w:rsidP="009B5630">
            <w:pPr>
              <w:spacing w:line="240" w:lineRule="auto"/>
              <w:ind w:left="-27"/>
              <w:rPr>
                <w:sz w:val="18"/>
                <w:szCs w:val="18"/>
                <w:lang w:val="hr-HR"/>
              </w:rPr>
            </w:pPr>
            <w:r w:rsidRPr="00510442">
              <w:rPr>
                <w:sz w:val="18"/>
                <w:szCs w:val="18"/>
                <w:lang w:val="hr-HR"/>
              </w:rPr>
              <w:t>49:81</w:t>
            </w:r>
          </w:p>
        </w:tc>
        <w:tc>
          <w:tcPr>
            <w:tcW w:w="652" w:type="dxa"/>
            <w:shd w:val="clear" w:color="auto" w:fill="auto"/>
          </w:tcPr>
          <w:p w14:paraId="4D5091FB" w14:textId="77777777" w:rsidR="007D0548" w:rsidRPr="00510442" w:rsidRDefault="007D0548" w:rsidP="009B5630">
            <w:pPr>
              <w:spacing w:line="240" w:lineRule="auto"/>
              <w:ind w:left="-27"/>
              <w:rPr>
                <w:sz w:val="18"/>
                <w:szCs w:val="18"/>
                <w:lang w:val="hr-HR"/>
              </w:rPr>
            </w:pPr>
            <w:r w:rsidRPr="00510442">
              <w:rPr>
                <w:sz w:val="18"/>
                <w:szCs w:val="18"/>
                <w:lang w:val="hr-HR"/>
              </w:rPr>
              <w:t>36:83</w:t>
            </w:r>
          </w:p>
        </w:tc>
        <w:tc>
          <w:tcPr>
            <w:tcW w:w="649" w:type="dxa"/>
            <w:shd w:val="clear" w:color="auto" w:fill="auto"/>
          </w:tcPr>
          <w:p w14:paraId="26FD20E1" w14:textId="77777777" w:rsidR="007D0548" w:rsidRPr="00510442" w:rsidRDefault="007D0548" w:rsidP="009B5630">
            <w:pPr>
              <w:spacing w:line="240" w:lineRule="auto"/>
              <w:ind w:left="-27"/>
              <w:rPr>
                <w:sz w:val="18"/>
                <w:szCs w:val="18"/>
                <w:lang w:val="hr-HR"/>
              </w:rPr>
            </w:pPr>
            <w:r w:rsidRPr="00510442">
              <w:rPr>
                <w:sz w:val="18"/>
                <w:szCs w:val="18"/>
                <w:lang w:val="hr-HR"/>
              </w:rPr>
              <w:t>27:84</w:t>
            </w:r>
          </w:p>
        </w:tc>
        <w:tc>
          <w:tcPr>
            <w:tcW w:w="660" w:type="dxa"/>
            <w:shd w:val="clear" w:color="auto" w:fill="auto"/>
          </w:tcPr>
          <w:p w14:paraId="57E31148" w14:textId="77777777" w:rsidR="007D0548" w:rsidRPr="00510442" w:rsidRDefault="007D0548" w:rsidP="009B5630">
            <w:pPr>
              <w:spacing w:line="240" w:lineRule="auto"/>
              <w:ind w:left="-27"/>
              <w:rPr>
                <w:sz w:val="18"/>
                <w:szCs w:val="18"/>
                <w:lang w:val="hr-HR"/>
              </w:rPr>
            </w:pPr>
            <w:r w:rsidRPr="00510442">
              <w:rPr>
                <w:sz w:val="18"/>
                <w:szCs w:val="18"/>
                <w:lang w:val="hr-HR"/>
              </w:rPr>
              <w:t>14:84</w:t>
            </w:r>
          </w:p>
        </w:tc>
        <w:tc>
          <w:tcPr>
            <w:tcW w:w="649" w:type="dxa"/>
            <w:shd w:val="clear" w:color="auto" w:fill="auto"/>
          </w:tcPr>
          <w:p w14:paraId="3D1AE42D" w14:textId="77777777" w:rsidR="007D0548" w:rsidRPr="00510442" w:rsidRDefault="007D0548" w:rsidP="009B5630">
            <w:pPr>
              <w:spacing w:line="240" w:lineRule="auto"/>
              <w:ind w:left="-27"/>
              <w:rPr>
                <w:sz w:val="18"/>
                <w:szCs w:val="18"/>
                <w:lang w:val="hr-HR"/>
              </w:rPr>
            </w:pPr>
            <w:r w:rsidRPr="00510442">
              <w:rPr>
                <w:sz w:val="18"/>
                <w:szCs w:val="18"/>
                <w:lang w:val="hr-HR"/>
              </w:rPr>
              <w:t>10:84</w:t>
            </w:r>
          </w:p>
        </w:tc>
        <w:tc>
          <w:tcPr>
            <w:tcW w:w="564" w:type="dxa"/>
            <w:shd w:val="clear" w:color="auto" w:fill="auto"/>
          </w:tcPr>
          <w:p w14:paraId="4BB07733" w14:textId="77777777" w:rsidR="007D0548" w:rsidRPr="00510442" w:rsidRDefault="007D0548" w:rsidP="009B5630">
            <w:pPr>
              <w:spacing w:line="240" w:lineRule="auto"/>
              <w:ind w:left="-27"/>
              <w:rPr>
                <w:sz w:val="18"/>
                <w:szCs w:val="18"/>
                <w:lang w:val="hr-HR"/>
              </w:rPr>
            </w:pPr>
            <w:r w:rsidRPr="00510442">
              <w:rPr>
                <w:sz w:val="18"/>
                <w:szCs w:val="18"/>
                <w:lang w:val="hr-HR"/>
              </w:rPr>
              <w:t>2:84</w:t>
            </w:r>
          </w:p>
        </w:tc>
        <w:tc>
          <w:tcPr>
            <w:tcW w:w="555" w:type="dxa"/>
            <w:shd w:val="clear" w:color="auto" w:fill="auto"/>
          </w:tcPr>
          <w:p w14:paraId="4BD9CC19" w14:textId="77777777" w:rsidR="007D0548" w:rsidRPr="00510442" w:rsidRDefault="007D0548" w:rsidP="009B5630">
            <w:pPr>
              <w:spacing w:line="240" w:lineRule="auto"/>
              <w:ind w:left="-27"/>
              <w:rPr>
                <w:sz w:val="18"/>
                <w:szCs w:val="18"/>
                <w:lang w:val="hr-HR"/>
              </w:rPr>
            </w:pPr>
            <w:r w:rsidRPr="00510442">
              <w:rPr>
                <w:sz w:val="18"/>
                <w:szCs w:val="18"/>
                <w:lang w:val="hr-HR"/>
              </w:rPr>
              <w:t>0:84</w:t>
            </w:r>
          </w:p>
        </w:tc>
      </w:tr>
      <w:tr w:rsidR="007D0548" w:rsidRPr="00510442" w14:paraId="459894F2" w14:textId="77777777" w:rsidTr="0077258C">
        <w:tc>
          <w:tcPr>
            <w:tcW w:w="450" w:type="dxa"/>
            <w:shd w:val="clear" w:color="auto" w:fill="auto"/>
          </w:tcPr>
          <w:p w14:paraId="7586E657" w14:textId="77777777" w:rsidR="007D0548" w:rsidRPr="00510442" w:rsidRDefault="007D0548" w:rsidP="009B5630">
            <w:pPr>
              <w:spacing w:line="240" w:lineRule="auto"/>
              <w:rPr>
                <w:sz w:val="18"/>
                <w:szCs w:val="18"/>
                <w:lang w:val="hr-HR"/>
              </w:rPr>
            </w:pPr>
            <w:r w:rsidRPr="00510442">
              <w:rPr>
                <w:sz w:val="18"/>
                <w:szCs w:val="18"/>
                <w:lang w:val="hr-HR"/>
              </w:rPr>
              <w:t>(2)</w:t>
            </w:r>
          </w:p>
        </w:tc>
        <w:tc>
          <w:tcPr>
            <w:tcW w:w="646" w:type="dxa"/>
            <w:shd w:val="clear" w:color="auto" w:fill="auto"/>
          </w:tcPr>
          <w:p w14:paraId="533F9D34" w14:textId="77777777" w:rsidR="007D0548" w:rsidRPr="00510442" w:rsidRDefault="007D0548" w:rsidP="009B5630">
            <w:pPr>
              <w:spacing w:line="240" w:lineRule="auto"/>
              <w:ind w:left="-27"/>
              <w:rPr>
                <w:sz w:val="18"/>
                <w:szCs w:val="18"/>
                <w:lang w:val="hr-HR"/>
              </w:rPr>
            </w:pPr>
            <w:r w:rsidRPr="00510442">
              <w:rPr>
                <w:sz w:val="18"/>
                <w:szCs w:val="18"/>
                <w:lang w:val="hr-HR"/>
              </w:rPr>
              <w:t>198:0</w:t>
            </w:r>
          </w:p>
        </w:tc>
        <w:tc>
          <w:tcPr>
            <w:tcW w:w="645" w:type="dxa"/>
            <w:shd w:val="clear" w:color="auto" w:fill="auto"/>
          </w:tcPr>
          <w:p w14:paraId="4A7EA8A2" w14:textId="77777777" w:rsidR="007D0548" w:rsidRPr="00510442" w:rsidRDefault="007D0548" w:rsidP="009B5630">
            <w:pPr>
              <w:spacing w:line="240" w:lineRule="auto"/>
              <w:ind w:left="-27"/>
              <w:rPr>
                <w:sz w:val="18"/>
                <w:szCs w:val="18"/>
                <w:lang w:val="hr-HR"/>
              </w:rPr>
            </w:pPr>
            <w:r w:rsidRPr="00510442">
              <w:rPr>
                <w:sz w:val="18"/>
                <w:szCs w:val="18"/>
                <w:lang w:val="hr-HR"/>
              </w:rPr>
              <w:t>189:5</w:t>
            </w:r>
          </w:p>
        </w:tc>
        <w:tc>
          <w:tcPr>
            <w:tcW w:w="745" w:type="dxa"/>
            <w:shd w:val="clear" w:color="auto" w:fill="auto"/>
          </w:tcPr>
          <w:p w14:paraId="78183966" w14:textId="77777777" w:rsidR="007D0548" w:rsidRPr="00510442" w:rsidRDefault="007D0548" w:rsidP="009B5630">
            <w:pPr>
              <w:spacing w:line="240" w:lineRule="auto"/>
              <w:ind w:left="-27"/>
              <w:rPr>
                <w:sz w:val="18"/>
                <w:szCs w:val="18"/>
                <w:lang w:val="hr-HR"/>
              </w:rPr>
            </w:pPr>
            <w:r w:rsidRPr="00510442">
              <w:rPr>
                <w:sz w:val="18"/>
                <w:szCs w:val="18"/>
                <w:lang w:val="hr-HR"/>
              </w:rPr>
              <w:t>184:8</w:t>
            </w:r>
          </w:p>
        </w:tc>
        <w:tc>
          <w:tcPr>
            <w:tcW w:w="745" w:type="dxa"/>
            <w:shd w:val="clear" w:color="auto" w:fill="auto"/>
          </w:tcPr>
          <w:p w14:paraId="545EE322" w14:textId="77777777" w:rsidR="007D0548" w:rsidRPr="00510442" w:rsidRDefault="007D0548" w:rsidP="009B5630">
            <w:pPr>
              <w:spacing w:line="240" w:lineRule="auto"/>
              <w:ind w:left="-27"/>
              <w:rPr>
                <w:sz w:val="18"/>
                <w:szCs w:val="18"/>
                <w:lang w:val="hr-HR"/>
              </w:rPr>
            </w:pPr>
            <w:r w:rsidRPr="00510442">
              <w:rPr>
                <w:sz w:val="18"/>
                <w:szCs w:val="18"/>
                <w:lang w:val="hr-HR"/>
              </w:rPr>
              <w:t>181:11</w:t>
            </w:r>
          </w:p>
        </w:tc>
        <w:tc>
          <w:tcPr>
            <w:tcW w:w="745" w:type="dxa"/>
            <w:shd w:val="clear" w:color="auto" w:fill="auto"/>
          </w:tcPr>
          <w:p w14:paraId="573C6A8A" w14:textId="77777777" w:rsidR="007D0548" w:rsidRPr="00510442" w:rsidRDefault="007D0548" w:rsidP="009B5630">
            <w:pPr>
              <w:spacing w:line="240" w:lineRule="auto"/>
              <w:ind w:left="-27"/>
              <w:rPr>
                <w:sz w:val="18"/>
                <w:szCs w:val="18"/>
                <w:lang w:val="hr-HR"/>
              </w:rPr>
            </w:pPr>
            <w:r w:rsidRPr="00510442">
              <w:rPr>
                <w:sz w:val="18"/>
                <w:szCs w:val="18"/>
                <w:lang w:val="hr-HR"/>
              </w:rPr>
              <w:t>173:18</w:t>
            </w:r>
          </w:p>
        </w:tc>
        <w:tc>
          <w:tcPr>
            <w:tcW w:w="752" w:type="dxa"/>
            <w:shd w:val="clear" w:color="auto" w:fill="auto"/>
          </w:tcPr>
          <w:p w14:paraId="43D00C25" w14:textId="77777777" w:rsidR="007D0548" w:rsidRPr="00510442" w:rsidRDefault="007D0548" w:rsidP="009B5630">
            <w:pPr>
              <w:spacing w:line="240" w:lineRule="auto"/>
              <w:ind w:left="-27"/>
              <w:rPr>
                <w:sz w:val="18"/>
                <w:szCs w:val="18"/>
                <w:lang w:val="hr-HR"/>
              </w:rPr>
            </w:pPr>
            <w:r w:rsidRPr="00510442">
              <w:rPr>
                <w:sz w:val="18"/>
                <w:szCs w:val="18"/>
                <w:lang w:val="hr-HR"/>
              </w:rPr>
              <w:t>152:22</w:t>
            </w:r>
          </w:p>
        </w:tc>
        <w:tc>
          <w:tcPr>
            <w:tcW w:w="745" w:type="dxa"/>
            <w:shd w:val="clear" w:color="auto" w:fill="auto"/>
          </w:tcPr>
          <w:p w14:paraId="1F6EC361" w14:textId="77777777" w:rsidR="007D0548" w:rsidRPr="00510442" w:rsidRDefault="007D0548" w:rsidP="009B5630">
            <w:pPr>
              <w:spacing w:line="240" w:lineRule="auto"/>
              <w:ind w:left="-27"/>
              <w:rPr>
                <w:sz w:val="18"/>
                <w:szCs w:val="18"/>
                <w:lang w:val="hr-HR"/>
              </w:rPr>
            </w:pPr>
            <w:r w:rsidRPr="00510442">
              <w:rPr>
                <w:sz w:val="18"/>
                <w:szCs w:val="18"/>
                <w:lang w:val="hr-HR"/>
              </w:rPr>
              <w:t>133:25</w:t>
            </w:r>
          </w:p>
        </w:tc>
        <w:tc>
          <w:tcPr>
            <w:tcW w:w="745" w:type="dxa"/>
            <w:shd w:val="clear" w:color="auto" w:fill="auto"/>
          </w:tcPr>
          <w:p w14:paraId="774A3534" w14:textId="77777777" w:rsidR="007D0548" w:rsidRPr="00510442" w:rsidRDefault="007D0548" w:rsidP="009B5630">
            <w:pPr>
              <w:spacing w:line="240" w:lineRule="auto"/>
              <w:ind w:left="-27"/>
              <w:rPr>
                <w:sz w:val="18"/>
                <w:szCs w:val="18"/>
                <w:lang w:val="hr-HR"/>
              </w:rPr>
            </w:pPr>
            <w:r w:rsidRPr="00510442">
              <w:rPr>
                <w:sz w:val="18"/>
                <w:szCs w:val="18"/>
                <w:lang w:val="hr-HR"/>
              </w:rPr>
              <w:t>102:29</w:t>
            </w:r>
          </w:p>
        </w:tc>
        <w:tc>
          <w:tcPr>
            <w:tcW w:w="652" w:type="dxa"/>
            <w:shd w:val="clear" w:color="auto" w:fill="auto"/>
          </w:tcPr>
          <w:p w14:paraId="74E80B57" w14:textId="77777777" w:rsidR="007D0548" w:rsidRPr="00510442" w:rsidRDefault="007D0548" w:rsidP="009B5630">
            <w:pPr>
              <w:spacing w:line="240" w:lineRule="auto"/>
              <w:ind w:left="-27"/>
              <w:rPr>
                <w:sz w:val="18"/>
                <w:szCs w:val="18"/>
                <w:lang w:val="hr-HR"/>
              </w:rPr>
            </w:pPr>
            <w:r w:rsidRPr="00510442">
              <w:rPr>
                <w:sz w:val="18"/>
                <w:szCs w:val="18"/>
                <w:lang w:val="hr-HR"/>
              </w:rPr>
              <w:t>82:35</w:t>
            </w:r>
          </w:p>
        </w:tc>
        <w:tc>
          <w:tcPr>
            <w:tcW w:w="652" w:type="dxa"/>
            <w:shd w:val="clear" w:color="auto" w:fill="auto"/>
          </w:tcPr>
          <w:p w14:paraId="050807C3" w14:textId="77777777" w:rsidR="007D0548" w:rsidRPr="00510442" w:rsidRDefault="007D0548" w:rsidP="009B5630">
            <w:pPr>
              <w:spacing w:line="240" w:lineRule="auto"/>
              <w:ind w:left="-27"/>
              <w:rPr>
                <w:sz w:val="18"/>
                <w:szCs w:val="18"/>
                <w:lang w:val="hr-HR"/>
              </w:rPr>
            </w:pPr>
            <w:r w:rsidRPr="00510442">
              <w:rPr>
                <w:sz w:val="18"/>
                <w:szCs w:val="18"/>
                <w:lang w:val="hr-HR"/>
              </w:rPr>
              <w:t>54:46</w:t>
            </w:r>
          </w:p>
        </w:tc>
        <w:tc>
          <w:tcPr>
            <w:tcW w:w="649" w:type="dxa"/>
            <w:shd w:val="clear" w:color="auto" w:fill="auto"/>
          </w:tcPr>
          <w:p w14:paraId="201E80C2" w14:textId="77777777" w:rsidR="007D0548" w:rsidRPr="00510442" w:rsidRDefault="007D0548" w:rsidP="009B5630">
            <w:pPr>
              <w:spacing w:line="240" w:lineRule="auto"/>
              <w:ind w:left="-27"/>
              <w:rPr>
                <w:sz w:val="18"/>
                <w:szCs w:val="18"/>
                <w:lang w:val="hr-HR"/>
              </w:rPr>
            </w:pPr>
            <w:r w:rsidRPr="00510442">
              <w:rPr>
                <w:sz w:val="18"/>
                <w:szCs w:val="18"/>
                <w:lang w:val="hr-HR"/>
              </w:rPr>
              <w:t>39:47</w:t>
            </w:r>
          </w:p>
        </w:tc>
        <w:tc>
          <w:tcPr>
            <w:tcW w:w="660" w:type="dxa"/>
            <w:shd w:val="clear" w:color="auto" w:fill="auto"/>
          </w:tcPr>
          <w:p w14:paraId="4D3E5FCD" w14:textId="77777777" w:rsidR="007D0548" w:rsidRPr="00510442" w:rsidRDefault="007D0548" w:rsidP="009B5630">
            <w:pPr>
              <w:spacing w:line="240" w:lineRule="auto"/>
              <w:ind w:left="-27"/>
              <w:rPr>
                <w:sz w:val="18"/>
                <w:szCs w:val="18"/>
                <w:lang w:val="hr-HR"/>
              </w:rPr>
            </w:pPr>
            <w:r w:rsidRPr="00510442">
              <w:rPr>
                <w:sz w:val="18"/>
                <w:szCs w:val="18"/>
                <w:lang w:val="hr-HR"/>
              </w:rPr>
              <w:t>21:49</w:t>
            </w:r>
          </w:p>
        </w:tc>
        <w:tc>
          <w:tcPr>
            <w:tcW w:w="649" w:type="dxa"/>
            <w:shd w:val="clear" w:color="auto" w:fill="auto"/>
          </w:tcPr>
          <w:p w14:paraId="6CEE26B1" w14:textId="77777777" w:rsidR="007D0548" w:rsidRPr="00510442" w:rsidRDefault="007D0548" w:rsidP="009B5630">
            <w:pPr>
              <w:spacing w:line="240" w:lineRule="auto"/>
              <w:ind w:left="-27"/>
              <w:rPr>
                <w:sz w:val="18"/>
                <w:szCs w:val="18"/>
                <w:lang w:val="hr-HR"/>
              </w:rPr>
            </w:pPr>
            <w:r w:rsidRPr="00510442">
              <w:rPr>
                <w:sz w:val="18"/>
                <w:szCs w:val="18"/>
                <w:lang w:val="hr-HR"/>
              </w:rPr>
              <w:t>8:50</w:t>
            </w:r>
          </w:p>
        </w:tc>
        <w:tc>
          <w:tcPr>
            <w:tcW w:w="564" w:type="dxa"/>
            <w:shd w:val="clear" w:color="auto" w:fill="auto"/>
          </w:tcPr>
          <w:p w14:paraId="074F51BC" w14:textId="77777777" w:rsidR="007D0548" w:rsidRPr="00510442" w:rsidRDefault="007D0548" w:rsidP="009B5630">
            <w:pPr>
              <w:spacing w:line="240" w:lineRule="auto"/>
              <w:ind w:left="-27"/>
              <w:rPr>
                <w:sz w:val="18"/>
                <w:szCs w:val="18"/>
                <w:lang w:val="hr-HR"/>
              </w:rPr>
            </w:pPr>
            <w:r w:rsidRPr="00510442">
              <w:rPr>
                <w:sz w:val="18"/>
                <w:szCs w:val="18"/>
                <w:lang w:val="hr-HR"/>
              </w:rPr>
              <w:t>0:50</w:t>
            </w:r>
          </w:p>
        </w:tc>
        <w:tc>
          <w:tcPr>
            <w:tcW w:w="555" w:type="dxa"/>
            <w:shd w:val="clear" w:color="auto" w:fill="auto"/>
          </w:tcPr>
          <w:p w14:paraId="08FF4F79" w14:textId="77777777" w:rsidR="007D0548" w:rsidRPr="00510442" w:rsidRDefault="007D0548" w:rsidP="009B5630">
            <w:pPr>
              <w:spacing w:line="240" w:lineRule="auto"/>
              <w:ind w:left="-27"/>
              <w:rPr>
                <w:sz w:val="18"/>
                <w:szCs w:val="18"/>
                <w:lang w:val="hr-HR"/>
              </w:rPr>
            </w:pPr>
          </w:p>
        </w:tc>
      </w:tr>
    </w:tbl>
    <w:p w14:paraId="0996E667" w14:textId="77777777" w:rsidR="00955BD0" w:rsidRPr="00510442" w:rsidRDefault="00955BD0" w:rsidP="0091773C">
      <w:pPr>
        <w:tabs>
          <w:tab w:val="clear" w:pos="567"/>
        </w:tabs>
        <w:spacing w:line="240" w:lineRule="auto"/>
        <w:rPr>
          <w:rFonts w:eastAsia="MS Mincho"/>
          <w:szCs w:val="22"/>
          <w:lang w:val="hr-HR"/>
        </w:rPr>
      </w:pPr>
    </w:p>
    <w:p w14:paraId="7D11B2C3" w14:textId="77777777" w:rsidR="00955BD0" w:rsidRPr="00510442" w:rsidRDefault="00490021" w:rsidP="0091773C">
      <w:pPr>
        <w:keepNext/>
        <w:tabs>
          <w:tab w:val="clear" w:pos="567"/>
        </w:tabs>
        <w:spacing w:line="240" w:lineRule="auto"/>
        <w:ind w:left="1134" w:hanging="1134"/>
        <w:outlineLvl w:val="6"/>
        <w:rPr>
          <w:rFonts w:eastAsia="MS Mincho"/>
          <w:b/>
          <w:szCs w:val="22"/>
          <w:lang w:val="hr-HR"/>
        </w:rPr>
      </w:pPr>
      <w:r w:rsidRPr="00510442">
        <w:rPr>
          <w:rFonts w:eastAsia="MS Mincho"/>
          <w:b/>
          <w:szCs w:val="22"/>
          <w:lang w:val="hr-HR"/>
        </w:rPr>
        <w:lastRenderedPageBreak/>
        <w:t>Slika</w:t>
      </w:r>
      <w:r w:rsidR="00955BD0" w:rsidRPr="00510442">
        <w:rPr>
          <w:rFonts w:eastAsia="MS Mincho"/>
          <w:b/>
          <w:szCs w:val="22"/>
          <w:lang w:val="hr-HR"/>
        </w:rPr>
        <w:t> 2</w:t>
      </w:r>
      <w:r w:rsidR="00955BD0" w:rsidRPr="00510442">
        <w:rPr>
          <w:rFonts w:eastAsia="MS Mincho"/>
          <w:b/>
          <w:szCs w:val="22"/>
          <w:lang w:val="hr-HR"/>
        </w:rPr>
        <w:tab/>
        <w:t>Kaplan-Meier</w:t>
      </w:r>
      <w:r w:rsidR="00063B6B" w:rsidRPr="00510442">
        <w:rPr>
          <w:rFonts w:eastAsia="MS Mincho"/>
          <w:b/>
          <w:szCs w:val="22"/>
          <w:lang w:val="hr-HR"/>
        </w:rPr>
        <w:t>ova</w:t>
      </w:r>
      <w:r w:rsidR="00955BD0" w:rsidRPr="00510442">
        <w:rPr>
          <w:rFonts w:eastAsia="MS Mincho"/>
          <w:b/>
          <w:szCs w:val="22"/>
          <w:lang w:val="hr-HR"/>
        </w:rPr>
        <w:t xml:space="preserve"> </w:t>
      </w:r>
      <w:r w:rsidRPr="00510442">
        <w:rPr>
          <w:rFonts w:eastAsia="MS Mincho"/>
          <w:b/>
          <w:szCs w:val="22"/>
          <w:lang w:val="hr-HR"/>
        </w:rPr>
        <w:t>procjena ukupnog preživlj</w:t>
      </w:r>
      <w:r w:rsidR="003E04C1" w:rsidRPr="00510442">
        <w:rPr>
          <w:rFonts w:eastAsia="MS Mincho"/>
          <w:b/>
          <w:szCs w:val="22"/>
          <w:lang w:val="hr-HR"/>
        </w:rPr>
        <w:t>e</w:t>
      </w:r>
      <w:r w:rsidRPr="00510442">
        <w:rPr>
          <w:rFonts w:eastAsia="MS Mincho"/>
          <w:b/>
          <w:szCs w:val="22"/>
          <w:lang w:val="hr-HR"/>
        </w:rPr>
        <w:t>nja</w:t>
      </w:r>
      <w:r w:rsidR="00955BD0" w:rsidRPr="00510442">
        <w:rPr>
          <w:rFonts w:eastAsia="MS Mincho"/>
          <w:b/>
          <w:szCs w:val="22"/>
          <w:lang w:val="hr-HR"/>
        </w:rPr>
        <w:t xml:space="preserve"> (ITT popula</w:t>
      </w:r>
      <w:r w:rsidRPr="00510442">
        <w:rPr>
          <w:rFonts w:eastAsia="MS Mincho"/>
          <w:b/>
          <w:szCs w:val="22"/>
          <w:lang w:val="hr-HR"/>
        </w:rPr>
        <w:t>cija</w:t>
      </w:r>
      <w:r w:rsidR="00955BD0" w:rsidRPr="00510442">
        <w:rPr>
          <w:rFonts w:eastAsia="MS Mincho"/>
          <w:b/>
          <w:szCs w:val="22"/>
          <w:lang w:val="hr-HR"/>
        </w:rPr>
        <w:t>)</w:t>
      </w:r>
    </w:p>
    <w:p w14:paraId="2B03EFA2" w14:textId="77777777" w:rsidR="007D0548" w:rsidRPr="00510442" w:rsidRDefault="007D0548" w:rsidP="00422F71">
      <w:pPr>
        <w:keepNext/>
        <w:tabs>
          <w:tab w:val="clear" w:pos="567"/>
        </w:tabs>
        <w:spacing w:line="240" w:lineRule="auto"/>
        <w:ind w:left="1134" w:hanging="1134"/>
        <w:outlineLvl w:val="6"/>
        <w:rPr>
          <w:rFonts w:eastAsia="MS Mincho"/>
          <w:szCs w:val="22"/>
          <w:lang w:val="hr-HR"/>
        </w:rPr>
      </w:pPr>
    </w:p>
    <w:p w14:paraId="510CD904" w14:textId="77777777" w:rsidR="007D0548" w:rsidRPr="00307897" w:rsidRDefault="00C712C6" w:rsidP="00422F71">
      <w:pPr>
        <w:keepNext/>
        <w:widowControl w:val="0"/>
        <w:tabs>
          <w:tab w:val="clear" w:pos="567"/>
        </w:tabs>
        <w:spacing w:line="240" w:lineRule="auto"/>
        <w:ind w:left="1134" w:hanging="1134"/>
        <w:outlineLvl w:val="6"/>
        <w:rPr>
          <w:rFonts w:eastAsia="MS Mincho"/>
          <w:szCs w:val="22"/>
          <w:lang w:val="hr-HR"/>
        </w:rPr>
      </w:pPr>
      <w:r w:rsidRPr="00510442">
        <w:rPr>
          <w:noProof/>
          <w:szCs w:val="22"/>
          <w:lang w:eastAsia="en-GB"/>
        </w:rPr>
        <mc:AlternateContent>
          <mc:Choice Requires="wps">
            <w:drawing>
              <wp:anchor distT="0" distB="0" distL="114300" distR="114300" simplePos="0" relativeHeight="251655168" behindDoc="0" locked="0" layoutInCell="1" allowOverlap="1" wp14:anchorId="0DAFCA62" wp14:editId="2BF3BF89">
                <wp:simplePos x="0" y="0"/>
                <wp:positionH relativeFrom="column">
                  <wp:posOffset>-217170</wp:posOffset>
                </wp:positionH>
                <wp:positionV relativeFrom="paragraph">
                  <wp:posOffset>284480</wp:posOffset>
                </wp:positionV>
                <wp:extent cx="335915" cy="202057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202057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651F7C" w14:textId="77777777" w:rsidR="00547367" w:rsidRPr="00A33DBA" w:rsidRDefault="00547367" w:rsidP="007D0548">
                            <w:pPr>
                              <w:rPr>
                                <w:rFonts w:ascii="Arial" w:hAnsi="Arial" w:cs="Arial"/>
                                <w:sz w:val="20"/>
                              </w:rPr>
                            </w:pPr>
                            <w:r>
                              <w:rPr>
                                <w:rFonts w:ascii="Arial" w:hAnsi="Arial" w:cs="Arial"/>
                                <w:sz w:val="20"/>
                              </w:rPr>
                              <w:t>Vjerojatnost ukupnog preživljenja</w:t>
                            </w:r>
                          </w:p>
                          <w:p w14:paraId="7875AE83" w14:textId="77777777" w:rsidR="00547367" w:rsidRPr="00A33DBA" w:rsidRDefault="00547367" w:rsidP="007D0548">
                            <w:pPr>
                              <w:rPr>
                                <w:rFonts w:ascii="Arial" w:hAnsi="Arial" w:cs="Arial"/>
                                <w:sz w:val="20"/>
                              </w:rPr>
                            </w:pP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DAFCA62" id="_x0000_s1029" type="#_x0000_t202" style="position:absolute;left:0;text-align:left;margin-left:-17.1pt;margin-top:22.4pt;width:26.45pt;height:159.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" stroked="f">
                <v:fill opacity="0"/>
                <v:textbox style="layout-flow:vertical;mso-layout-flow-alt:bottom-to-top">
                  <w:txbxContent>
                    <w:p w14:paraId="2E651F7C" w14:textId="77777777" w:rsidR="00547367" w:rsidRPr="00A33DBA" w:rsidRDefault="00547367" w:rsidP="007D0548">
                      <w:pPr>
                        <w:rPr>
                          <w:rFonts w:ascii="Arial" w:hAnsi="Arial" w:cs="Arial"/>
                          <w:sz w:val="20"/>
                        </w:rPr>
                      </w:pPr>
                      <w:r>
                        <w:rPr>
                          <w:rFonts w:ascii="Arial" w:hAnsi="Arial" w:cs="Arial"/>
                          <w:sz w:val="20"/>
                        </w:rPr>
                        <w:t>Vjerojatnost ukupnog preživljenja</w:t>
                      </w:r>
                    </w:p>
                    <w:p w14:paraId="7875AE83" w14:textId="77777777" w:rsidR="00547367" w:rsidRPr="00A33DBA" w:rsidRDefault="00547367" w:rsidP="007D0548">
                      <w:pPr>
                        <w:rPr>
                          <w:rFonts w:ascii="Arial" w:hAnsi="Arial" w:cs="Arial"/>
                          <w:sz w:val="20"/>
                        </w:rPr>
                      </w:pPr>
                    </w:p>
                  </w:txbxContent>
                </v:textbox>
              </v:shape>
            </w:pict>
          </mc:Fallback>
        </mc:AlternateContent>
      </w:r>
      <w:r w:rsidRPr="00510442">
        <w:rPr>
          <w:noProof/>
          <w:szCs w:val="22"/>
          <w:lang w:eastAsia="en-GB"/>
        </w:rPr>
        <mc:AlternateContent>
          <mc:Choice Requires="wps">
            <w:drawing>
              <wp:anchor distT="0" distB="0" distL="114300" distR="114300" simplePos="0" relativeHeight="251656192" behindDoc="0" locked="0" layoutInCell="1" allowOverlap="1" wp14:anchorId="4107AB82" wp14:editId="5E4B71AB">
                <wp:simplePos x="0" y="0"/>
                <wp:positionH relativeFrom="column">
                  <wp:posOffset>350520</wp:posOffset>
                </wp:positionH>
                <wp:positionV relativeFrom="paragraph">
                  <wp:posOffset>866140</wp:posOffset>
                </wp:positionV>
                <wp:extent cx="4585335" cy="142875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5335" cy="142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8E321A" w14:textId="77777777" w:rsidR="00547367" w:rsidRDefault="00547367" w:rsidP="007D0548">
                            <w:pPr>
                              <w:rPr>
                                <w:rFonts w:ascii="Arial" w:hAnsi="Arial" w:cs="Arial"/>
                                <w:sz w:val="20"/>
                              </w:rPr>
                            </w:pPr>
                          </w:p>
                          <w:tbl>
                            <w:tblPr>
                              <w:tblW w:w="0" w:type="auto"/>
                              <w:tblLook w:val="04A0" w:firstRow="1" w:lastRow="0" w:firstColumn="1" w:lastColumn="0" w:noHBand="0" w:noVBand="1"/>
                            </w:tblPr>
                            <w:tblGrid>
                              <w:gridCol w:w="817"/>
                              <w:gridCol w:w="2464"/>
                              <w:gridCol w:w="851"/>
                              <w:gridCol w:w="962"/>
                              <w:gridCol w:w="917"/>
                            </w:tblGrid>
                            <w:tr w:rsidR="00547367" w:rsidRPr="0055776F" w14:paraId="42C3E7D5" w14:textId="77777777" w:rsidTr="0077258C">
                              <w:tc>
                                <w:tcPr>
                                  <w:tcW w:w="5691" w:type="dxa"/>
                                  <w:gridSpan w:val="5"/>
                                  <w:shd w:val="clear" w:color="auto" w:fill="auto"/>
                                </w:tcPr>
                                <w:p w14:paraId="5124D3C7" w14:textId="77777777" w:rsidR="00547367" w:rsidRPr="0055776F" w:rsidRDefault="00547367" w:rsidP="0077258C">
                                  <w:pPr>
                                    <w:rPr>
                                      <w:rFonts w:ascii="Arial" w:hAnsi="Arial" w:cs="Arial"/>
                                      <w:sz w:val="20"/>
                                    </w:rPr>
                                  </w:pPr>
                                  <w:r>
                                    <w:rPr>
                                      <w:rFonts w:ascii="Arial" w:hAnsi="Arial" w:cs="Arial"/>
                                      <w:sz w:val="20"/>
                                    </w:rPr>
                                    <w:t>P =</w:t>
                                  </w:r>
                                  <w:r w:rsidRPr="0055776F">
                                    <w:rPr>
                                      <w:rFonts w:ascii="Arial" w:hAnsi="Arial" w:cs="Arial"/>
                                      <w:sz w:val="20"/>
                                    </w:rPr>
                                    <w:t xml:space="preserve"> 0</w:t>
                                  </w:r>
                                  <w:r>
                                    <w:rPr>
                                      <w:rFonts w:ascii="Arial" w:hAnsi="Arial" w:cs="Arial"/>
                                      <w:sz w:val="20"/>
                                    </w:rPr>
                                    <w:t>,0</w:t>
                                  </w:r>
                                  <w:r w:rsidRPr="0055776F">
                                    <w:rPr>
                                      <w:rFonts w:ascii="Arial" w:hAnsi="Arial" w:cs="Arial"/>
                                      <w:sz w:val="20"/>
                                    </w:rPr>
                                    <w:t>19</w:t>
                                  </w:r>
                                </w:p>
                                <w:p w14:paraId="0CDD6C50" w14:textId="77777777" w:rsidR="00547367" w:rsidRPr="0055776F" w:rsidRDefault="00547367" w:rsidP="0077258C">
                                  <w:pPr>
                                    <w:rPr>
                                      <w:rFonts w:ascii="Arial" w:hAnsi="Arial" w:cs="Arial"/>
                                      <w:sz w:val="20"/>
                                    </w:rPr>
                                  </w:pPr>
                                  <w:r>
                                    <w:rPr>
                                      <w:rFonts w:ascii="Arial" w:hAnsi="Arial" w:cs="Arial"/>
                                      <w:sz w:val="20"/>
                                    </w:rPr>
                                    <w:t>Omjer rizika</w:t>
                                  </w:r>
                                  <w:r w:rsidRPr="0055776F">
                                    <w:rPr>
                                      <w:rFonts w:ascii="Arial" w:hAnsi="Arial" w:cs="Arial"/>
                                      <w:sz w:val="20"/>
                                    </w:rPr>
                                    <w:t xml:space="preserve"> 0</w:t>
                                  </w:r>
                                  <w:r>
                                    <w:rPr>
                                      <w:rFonts w:ascii="Arial" w:hAnsi="Arial" w:cs="Arial"/>
                                      <w:sz w:val="20"/>
                                    </w:rPr>
                                    <w:t>,</w:t>
                                  </w:r>
                                  <w:r w:rsidRPr="0055776F">
                                    <w:rPr>
                                      <w:rFonts w:ascii="Arial" w:hAnsi="Arial" w:cs="Arial"/>
                                      <w:sz w:val="20"/>
                                    </w:rPr>
                                    <w:t>45</w:t>
                                  </w:r>
                                </w:p>
                                <w:p w14:paraId="2590E592" w14:textId="77777777" w:rsidR="00547367" w:rsidRPr="0055776F" w:rsidRDefault="00547367" w:rsidP="00490021">
                                  <w:pPr>
                                    <w:rPr>
                                      <w:rFonts w:ascii="Arial" w:hAnsi="Arial" w:cs="Arial"/>
                                      <w:sz w:val="20"/>
                                      <w:lang w:val="de-DE"/>
                                    </w:rPr>
                                  </w:pPr>
                                  <w:r w:rsidRPr="0055776F">
                                    <w:rPr>
                                      <w:rFonts w:ascii="Arial" w:hAnsi="Arial" w:cs="Arial"/>
                                      <w:sz w:val="20"/>
                                    </w:rPr>
                                    <w:t xml:space="preserve">(95% </w:t>
                                  </w:r>
                                  <w:r w:rsidRPr="00B014D4">
                                    <w:rPr>
                                      <w:rFonts w:ascii="Arial" w:hAnsi="Arial" w:cs="Arial"/>
                                      <w:sz w:val="20"/>
                                    </w:rPr>
                                    <w:t>Cl,</w:t>
                                  </w:r>
                                  <w:r w:rsidRPr="0055776F">
                                    <w:rPr>
                                      <w:rFonts w:ascii="Arial" w:hAnsi="Arial" w:cs="Arial"/>
                                      <w:sz w:val="20"/>
                                    </w:rPr>
                                    <w:t xml:space="preserve"> 0</w:t>
                                  </w:r>
                                  <w:r>
                                    <w:rPr>
                                      <w:rFonts w:ascii="Arial" w:hAnsi="Arial" w:cs="Arial"/>
                                      <w:sz w:val="20"/>
                                    </w:rPr>
                                    <w:t>,</w:t>
                                  </w:r>
                                  <w:r w:rsidRPr="0055776F">
                                    <w:rPr>
                                      <w:rFonts w:ascii="Arial" w:hAnsi="Arial" w:cs="Arial"/>
                                      <w:sz w:val="20"/>
                                    </w:rPr>
                                    <w:t>22</w:t>
                                  </w:r>
                                  <w:r>
                                    <w:rPr>
                                      <w:rFonts w:ascii="Arial" w:hAnsi="Arial" w:cs="Arial"/>
                                      <w:sz w:val="20"/>
                                    </w:rPr>
                                    <w:noBreakHyphen/>
                                  </w:r>
                                  <w:r w:rsidRPr="0055776F">
                                    <w:rPr>
                                      <w:rFonts w:ascii="Arial" w:hAnsi="Arial" w:cs="Arial"/>
                                      <w:sz w:val="20"/>
                                    </w:rPr>
                                    <w:t>0</w:t>
                                  </w:r>
                                  <w:r>
                                    <w:rPr>
                                      <w:rFonts w:ascii="Arial" w:hAnsi="Arial" w:cs="Arial"/>
                                      <w:sz w:val="20"/>
                                    </w:rPr>
                                    <w:t>,</w:t>
                                  </w:r>
                                  <w:r w:rsidRPr="0055776F">
                                    <w:rPr>
                                      <w:rFonts w:ascii="Arial" w:hAnsi="Arial" w:cs="Arial"/>
                                      <w:sz w:val="20"/>
                                    </w:rPr>
                                    <w:t>89)</w:t>
                                  </w:r>
                                </w:p>
                              </w:tc>
                            </w:tr>
                            <w:tr w:rsidR="00547367" w:rsidRPr="0055776F" w14:paraId="457268D2" w14:textId="77777777" w:rsidTr="0077258C">
                              <w:tc>
                                <w:tcPr>
                                  <w:tcW w:w="817" w:type="dxa"/>
                                  <w:shd w:val="clear" w:color="auto" w:fill="auto"/>
                                </w:tcPr>
                                <w:p w14:paraId="70A1AF64" w14:textId="77777777" w:rsidR="00547367" w:rsidRPr="0055776F" w:rsidRDefault="00547367" w:rsidP="0077258C">
                                  <w:pPr>
                                    <w:rPr>
                                      <w:rFonts w:ascii="Arial" w:hAnsi="Arial" w:cs="Arial"/>
                                      <w:sz w:val="20"/>
                                    </w:rPr>
                                  </w:pPr>
                                </w:p>
                              </w:tc>
                              <w:tc>
                                <w:tcPr>
                                  <w:tcW w:w="2464" w:type="dxa"/>
                                  <w:shd w:val="clear" w:color="auto" w:fill="auto"/>
                                </w:tcPr>
                                <w:p w14:paraId="05D28771" w14:textId="77777777" w:rsidR="00547367" w:rsidRPr="0055776F" w:rsidRDefault="00547367" w:rsidP="0077258C">
                                  <w:pPr>
                                    <w:rPr>
                                      <w:rFonts w:ascii="Arial" w:hAnsi="Arial" w:cs="Arial"/>
                                      <w:sz w:val="20"/>
                                    </w:rPr>
                                  </w:pPr>
                                </w:p>
                              </w:tc>
                              <w:tc>
                                <w:tcPr>
                                  <w:tcW w:w="851" w:type="dxa"/>
                                  <w:tcBorders>
                                    <w:bottom w:val="single" w:sz="4" w:space="0" w:color="auto"/>
                                  </w:tcBorders>
                                  <w:shd w:val="clear" w:color="auto" w:fill="auto"/>
                                </w:tcPr>
                                <w:p w14:paraId="78A2B41E" w14:textId="77777777" w:rsidR="00547367" w:rsidRPr="0055776F" w:rsidRDefault="00547367" w:rsidP="0077258C">
                                  <w:pPr>
                                    <w:rPr>
                                      <w:rFonts w:ascii="Arial" w:hAnsi="Arial" w:cs="Arial"/>
                                      <w:sz w:val="20"/>
                                    </w:rPr>
                                  </w:pPr>
                                  <w:r w:rsidRPr="0055776F">
                                    <w:rPr>
                                      <w:rFonts w:ascii="Arial" w:hAnsi="Arial" w:cs="Arial"/>
                                      <w:sz w:val="20"/>
                                      <w:lang w:val="de-DE"/>
                                    </w:rPr>
                                    <w:t>N</w:t>
                                  </w:r>
                                </w:p>
                              </w:tc>
                              <w:tc>
                                <w:tcPr>
                                  <w:tcW w:w="709" w:type="dxa"/>
                                  <w:tcBorders>
                                    <w:bottom w:val="single" w:sz="4" w:space="0" w:color="auto"/>
                                  </w:tcBorders>
                                  <w:shd w:val="clear" w:color="auto" w:fill="auto"/>
                                </w:tcPr>
                                <w:p w14:paraId="14E4DA56" w14:textId="77777777" w:rsidR="00547367" w:rsidRPr="0055776F" w:rsidRDefault="00547367" w:rsidP="0077258C">
                                  <w:pPr>
                                    <w:rPr>
                                      <w:rFonts w:ascii="Arial" w:hAnsi="Arial" w:cs="Arial"/>
                                      <w:sz w:val="20"/>
                                    </w:rPr>
                                  </w:pPr>
                                  <w:r>
                                    <w:rPr>
                                      <w:rFonts w:ascii="Arial" w:hAnsi="Arial" w:cs="Arial"/>
                                      <w:sz w:val="20"/>
                                      <w:lang w:val="de-DE"/>
                                    </w:rPr>
                                    <w:t>Događaj</w:t>
                                  </w:r>
                                </w:p>
                              </w:tc>
                              <w:tc>
                                <w:tcPr>
                                  <w:tcW w:w="850" w:type="dxa"/>
                                  <w:tcBorders>
                                    <w:bottom w:val="single" w:sz="4" w:space="0" w:color="auto"/>
                                  </w:tcBorders>
                                  <w:shd w:val="clear" w:color="auto" w:fill="auto"/>
                                </w:tcPr>
                                <w:p w14:paraId="2A98DD66" w14:textId="77777777" w:rsidR="00547367" w:rsidRPr="0055776F" w:rsidRDefault="00547367" w:rsidP="003E04C1">
                                  <w:pPr>
                                    <w:rPr>
                                      <w:rFonts w:ascii="Arial" w:hAnsi="Arial" w:cs="Arial"/>
                                      <w:sz w:val="20"/>
                                    </w:rPr>
                                  </w:pPr>
                                  <w:r w:rsidRPr="0055776F">
                                    <w:rPr>
                                      <w:rFonts w:ascii="Arial" w:hAnsi="Arial" w:cs="Arial"/>
                                      <w:sz w:val="20"/>
                                      <w:lang w:val="de-DE"/>
                                    </w:rPr>
                                    <w:t>Cen</w:t>
                                  </w:r>
                                  <w:r>
                                    <w:rPr>
                                      <w:rFonts w:ascii="Arial" w:hAnsi="Arial" w:cs="Arial"/>
                                      <w:sz w:val="20"/>
                                      <w:lang w:val="de-DE"/>
                                    </w:rPr>
                                    <w:t>zur.</w:t>
                                  </w:r>
                                </w:p>
                              </w:tc>
                            </w:tr>
                            <w:tr w:rsidR="00547367" w:rsidRPr="0055776F" w14:paraId="3F4FDB47" w14:textId="77777777" w:rsidTr="0077258C">
                              <w:tc>
                                <w:tcPr>
                                  <w:tcW w:w="817" w:type="dxa"/>
                                  <w:shd w:val="clear" w:color="auto" w:fill="auto"/>
                                </w:tcPr>
                                <w:p w14:paraId="512C272A" w14:textId="77777777" w:rsidR="00547367" w:rsidRPr="0055776F" w:rsidRDefault="00547367" w:rsidP="0077258C">
                                  <w:pPr>
                                    <w:rPr>
                                      <w:rFonts w:ascii="Arial" w:hAnsi="Arial" w:cs="Arial"/>
                                      <w:sz w:val="20"/>
                                    </w:rPr>
                                  </w:pPr>
                                  <w:r w:rsidRPr="0055776F">
                                    <w:rPr>
                                      <w:rFonts w:ascii="Arial" w:hAnsi="Arial" w:cs="Arial"/>
                                      <w:b/>
                                      <w:sz w:val="20"/>
                                    </w:rPr>
                                    <w:t>——</w:t>
                                  </w:r>
                                </w:p>
                              </w:tc>
                              <w:tc>
                                <w:tcPr>
                                  <w:tcW w:w="2464" w:type="dxa"/>
                                  <w:shd w:val="clear" w:color="auto" w:fill="auto"/>
                                </w:tcPr>
                                <w:p w14:paraId="25E75F29" w14:textId="77777777" w:rsidR="00547367" w:rsidRPr="0055776F" w:rsidRDefault="00547367" w:rsidP="00490021">
                                  <w:pPr>
                                    <w:rPr>
                                      <w:rFonts w:ascii="Arial" w:hAnsi="Arial" w:cs="Arial"/>
                                      <w:sz w:val="20"/>
                                    </w:rPr>
                                  </w:pPr>
                                  <w:r>
                                    <w:rPr>
                                      <w:rFonts w:ascii="Arial" w:hAnsi="Arial" w:cs="Arial"/>
                                      <w:sz w:val="20"/>
                                    </w:rPr>
                                    <w:t>(1) Imatinib 12 mj.</w:t>
                                  </w:r>
                                  <w:r w:rsidRPr="0055776F">
                                    <w:rPr>
                                      <w:rFonts w:ascii="Arial" w:hAnsi="Arial" w:cs="Arial"/>
                                      <w:sz w:val="20"/>
                                    </w:rPr>
                                    <w:t>:</w:t>
                                  </w:r>
                                </w:p>
                              </w:tc>
                              <w:tc>
                                <w:tcPr>
                                  <w:tcW w:w="851" w:type="dxa"/>
                                  <w:tcBorders>
                                    <w:top w:val="single" w:sz="4" w:space="0" w:color="auto"/>
                                  </w:tcBorders>
                                  <w:shd w:val="clear" w:color="auto" w:fill="auto"/>
                                </w:tcPr>
                                <w:p w14:paraId="383A66C3" w14:textId="77777777" w:rsidR="00547367" w:rsidRPr="0055776F" w:rsidRDefault="00547367" w:rsidP="0077258C">
                                  <w:pPr>
                                    <w:rPr>
                                      <w:rFonts w:ascii="Arial" w:hAnsi="Arial" w:cs="Arial"/>
                                      <w:sz w:val="20"/>
                                    </w:rPr>
                                  </w:pPr>
                                  <w:r w:rsidRPr="0055776F">
                                    <w:rPr>
                                      <w:rFonts w:ascii="Arial" w:hAnsi="Arial" w:cs="Arial"/>
                                      <w:sz w:val="20"/>
                                    </w:rPr>
                                    <w:t>199</w:t>
                                  </w:r>
                                </w:p>
                              </w:tc>
                              <w:tc>
                                <w:tcPr>
                                  <w:tcW w:w="709" w:type="dxa"/>
                                  <w:tcBorders>
                                    <w:top w:val="single" w:sz="4" w:space="0" w:color="auto"/>
                                  </w:tcBorders>
                                  <w:shd w:val="clear" w:color="auto" w:fill="auto"/>
                                </w:tcPr>
                                <w:p w14:paraId="33850987" w14:textId="77777777" w:rsidR="00547367" w:rsidRPr="0055776F" w:rsidRDefault="00547367" w:rsidP="0077258C">
                                  <w:pPr>
                                    <w:rPr>
                                      <w:rFonts w:ascii="Arial" w:hAnsi="Arial" w:cs="Arial"/>
                                      <w:sz w:val="20"/>
                                    </w:rPr>
                                  </w:pPr>
                                  <w:r w:rsidRPr="0055776F">
                                    <w:rPr>
                                      <w:rFonts w:ascii="Arial" w:hAnsi="Arial" w:cs="Arial"/>
                                      <w:sz w:val="20"/>
                                    </w:rPr>
                                    <w:t>25</w:t>
                                  </w:r>
                                </w:p>
                              </w:tc>
                              <w:tc>
                                <w:tcPr>
                                  <w:tcW w:w="850" w:type="dxa"/>
                                  <w:tcBorders>
                                    <w:top w:val="single" w:sz="4" w:space="0" w:color="auto"/>
                                  </w:tcBorders>
                                  <w:shd w:val="clear" w:color="auto" w:fill="auto"/>
                                </w:tcPr>
                                <w:p w14:paraId="11CB4CD9" w14:textId="77777777" w:rsidR="00547367" w:rsidRPr="0055776F" w:rsidRDefault="00547367" w:rsidP="0077258C">
                                  <w:pPr>
                                    <w:rPr>
                                      <w:rFonts w:ascii="Arial" w:hAnsi="Arial" w:cs="Arial"/>
                                      <w:sz w:val="20"/>
                                    </w:rPr>
                                  </w:pPr>
                                  <w:r w:rsidRPr="0055776F">
                                    <w:rPr>
                                      <w:rFonts w:ascii="Arial" w:hAnsi="Arial" w:cs="Arial"/>
                                      <w:sz w:val="20"/>
                                    </w:rPr>
                                    <w:t>174</w:t>
                                  </w:r>
                                </w:p>
                              </w:tc>
                            </w:tr>
                            <w:tr w:rsidR="00547367" w:rsidRPr="0055776F" w14:paraId="2392CCC6" w14:textId="77777777" w:rsidTr="0077258C">
                              <w:tc>
                                <w:tcPr>
                                  <w:tcW w:w="817" w:type="dxa"/>
                                  <w:shd w:val="clear" w:color="auto" w:fill="auto"/>
                                </w:tcPr>
                                <w:p w14:paraId="759C0057" w14:textId="77777777" w:rsidR="00547367" w:rsidRPr="0055776F" w:rsidRDefault="00547367" w:rsidP="0077258C">
                                  <w:pPr>
                                    <w:rPr>
                                      <w:rFonts w:ascii="Arial" w:hAnsi="Arial" w:cs="Arial"/>
                                      <w:sz w:val="20"/>
                                    </w:rPr>
                                  </w:pPr>
                                  <w:r w:rsidRPr="0055776F">
                                    <w:rPr>
                                      <w:rFonts w:ascii="Arial" w:hAnsi="Arial" w:cs="Arial"/>
                                      <w:sz w:val="20"/>
                                    </w:rPr>
                                    <w:t>-----</w:t>
                                  </w:r>
                                </w:p>
                              </w:tc>
                              <w:tc>
                                <w:tcPr>
                                  <w:tcW w:w="2464" w:type="dxa"/>
                                  <w:shd w:val="clear" w:color="auto" w:fill="auto"/>
                                </w:tcPr>
                                <w:p w14:paraId="7CC609BB" w14:textId="77777777" w:rsidR="00547367" w:rsidRPr="0055776F" w:rsidRDefault="00547367" w:rsidP="00490021">
                                  <w:pPr>
                                    <w:rPr>
                                      <w:rFonts w:ascii="Arial" w:hAnsi="Arial" w:cs="Arial"/>
                                      <w:sz w:val="20"/>
                                    </w:rPr>
                                  </w:pPr>
                                  <w:r>
                                    <w:rPr>
                                      <w:rFonts w:ascii="Arial" w:hAnsi="Arial" w:cs="Arial"/>
                                      <w:sz w:val="20"/>
                                    </w:rPr>
                                    <w:t>(2) Imatinib 36 mj.</w:t>
                                  </w:r>
                                  <w:r w:rsidRPr="0055776F">
                                    <w:rPr>
                                      <w:rFonts w:ascii="Arial" w:hAnsi="Arial" w:cs="Arial"/>
                                      <w:sz w:val="20"/>
                                    </w:rPr>
                                    <w:t>:</w:t>
                                  </w:r>
                                </w:p>
                              </w:tc>
                              <w:tc>
                                <w:tcPr>
                                  <w:tcW w:w="851" w:type="dxa"/>
                                  <w:tcBorders>
                                    <w:bottom w:val="single" w:sz="4" w:space="0" w:color="auto"/>
                                  </w:tcBorders>
                                  <w:shd w:val="clear" w:color="auto" w:fill="auto"/>
                                </w:tcPr>
                                <w:p w14:paraId="54703C26" w14:textId="77777777" w:rsidR="00547367" w:rsidRPr="0055776F" w:rsidRDefault="00547367" w:rsidP="0077258C">
                                  <w:pPr>
                                    <w:rPr>
                                      <w:rFonts w:ascii="Arial" w:hAnsi="Arial" w:cs="Arial"/>
                                      <w:sz w:val="20"/>
                                    </w:rPr>
                                  </w:pPr>
                                  <w:r w:rsidRPr="0055776F">
                                    <w:rPr>
                                      <w:rFonts w:ascii="Arial" w:hAnsi="Arial" w:cs="Arial"/>
                                      <w:sz w:val="20"/>
                                    </w:rPr>
                                    <w:t>198</w:t>
                                  </w:r>
                                </w:p>
                              </w:tc>
                              <w:tc>
                                <w:tcPr>
                                  <w:tcW w:w="709" w:type="dxa"/>
                                  <w:tcBorders>
                                    <w:bottom w:val="single" w:sz="4" w:space="0" w:color="auto"/>
                                  </w:tcBorders>
                                  <w:shd w:val="clear" w:color="auto" w:fill="auto"/>
                                </w:tcPr>
                                <w:p w14:paraId="70C06953" w14:textId="77777777" w:rsidR="00547367" w:rsidRPr="0055776F" w:rsidRDefault="00547367" w:rsidP="0077258C">
                                  <w:pPr>
                                    <w:rPr>
                                      <w:rFonts w:ascii="Arial" w:hAnsi="Arial" w:cs="Arial"/>
                                      <w:sz w:val="20"/>
                                    </w:rPr>
                                  </w:pPr>
                                  <w:r w:rsidRPr="0055776F">
                                    <w:rPr>
                                      <w:rFonts w:ascii="Arial" w:hAnsi="Arial" w:cs="Arial"/>
                                      <w:sz w:val="20"/>
                                    </w:rPr>
                                    <w:t>12</w:t>
                                  </w:r>
                                </w:p>
                              </w:tc>
                              <w:tc>
                                <w:tcPr>
                                  <w:tcW w:w="850" w:type="dxa"/>
                                  <w:tcBorders>
                                    <w:bottom w:val="single" w:sz="4" w:space="0" w:color="auto"/>
                                  </w:tcBorders>
                                  <w:shd w:val="clear" w:color="auto" w:fill="auto"/>
                                </w:tcPr>
                                <w:p w14:paraId="20958818" w14:textId="77777777" w:rsidR="00547367" w:rsidRPr="0055776F" w:rsidRDefault="00547367" w:rsidP="0077258C">
                                  <w:pPr>
                                    <w:rPr>
                                      <w:rFonts w:ascii="Arial" w:hAnsi="Arial" w:cs="Arial"/>
                                      <w:sz w:val="20"/>
                                    </w:rPr>
                                  </w:pPr>
                                  <w:r w:rsidRPr="0055776F">
                                    <w:rPr>
                                      <w:rFonts w:ascii="Arial" w:hAnsi="Arial" w:cs="Arial"/>
                                      <w:sz w:val="20"/>
                                    </w:rPr>
                                    <w:t>186</w:t>
                                  </w:r>
                                </w:p>
                              </w:tc>
                            </w:tr>
                            <w:tr w:rsidR="00547367" w:rsidRPr="0055776F" w14:paraId="001F73F2" w14:textId="77777777" w:rsidTr="0077258C">
                              <w:tc>
                                <w:tcPr>
                                  <w:tcW w:w="817" w:type="dxa"/>
                                  <w:shd w:val="clear" w:color="auto" w:fill="auto"/>
                                </w:tcPr>
                                <w:p w14:paraId="51C6896B" w14:textId="77777777" w:rsidR="00547367" w:rsidRPr="0055776F" w:rsidRDefault="00547367" w:rsidP="0077258C">
                                  <w:pPr>
                                    <w:rPr>
                                      <w:rFonts w:ascii="Arial" w:hAnsi="Arial" w:cs="Arial"/>
                                      <w:sz w:val="20"/>
                                    </w:rPr>
                                  </w:pPr>
                                  <w:r w:rsidRPr="0055776F">
                                    <w:rPr>
                                      <w:rFonts w:ascii="Arial" w:hAnsi="Arial" w:cs="Arial"/>
                                      <w:sz w:val="20"/>
                                    </w:rPr>
                                    <w:t>│││</w:t>
                                  </w:r>
                                </w:p>
                              </w:tc>
                              <w:tc>
                                <w:tcPr>
                                  <w:tcW w:w="2464" w:type="dxa"/>
                                  <w:shd w:val="clear" w:color="auto" w:fill="auto"/>
                                </w:tcPr>
                                <w:p w14:paraId="48929E45" w14:textId="77777777" w:rsidR="00547367" w:rsidRPr="0055776F" w:rsidRDefault="00547367" w:rsidP="0077258C">
                                  <w:pPr>
                                    <w:rPr>
                                      <w:rFonts w:ascii="Arial" w:hAnsi="Arial" w:cs="Arial"/>
                                      <w:sz w:val="20"/>
                                    </w:rPr>
                                  </w:pPr>
                                  <w:r>
                                    <w:rPr>
                                      <w:rFonts w:ascii="Arial" w:hAnsi="Arial" w:cs="Arial"/>
                                      <w:sz w:val="20"/>
                                    </w:rPr>
                                    <w:t>Cenzurirana opažanja</w:t>
                                  </w:r>
                                </w:p>
                              </w:tc>
                              <w:tc>
                                <w:tcPr>
                                  <w:tcW w:w="851" w:type="dxa"/>
                                  <w:tcBorders>
                                    <w:top w:val="single" w:sz="4" w:space="0" w:color="auto"/>
                                  </w:tcBorders>
                                  <w:shd w:val="clear" w:color="auto" w:fill="auto"/>
                                </w:tcPr>
                                <w:p w14:paraId="3BCE9316" w14:textId="77777777" w:rsidR="00547367" w:rsidRPr="0055776F" w:rsidRDefault="00547367" w:rsidP="0077258C">
                                  <w:pPr>
                                    <w:rPr>
                                      <w:rFonts w:ascii="Arial" w:hAnsi="Arial" w:cs="Arial"/>
                                      <w:sz w:val="20"/>
                                    </w:rPr>
                                  </w:pPr>
                                </w:p>
                              </w:tc>
                              <w:tc>
                                <w:tcPr>
                                  <w:tcW w:w="709" w:type="dxa"/>
                                  <w:tcBorders>
                                    <w:top w:val="single" w:sz="4" w:space="0" w:color="auto"/>
                                  </w:tcBorders>
                                  <w:shd w:val="clear" w:color="auto" w:fill="auto"/>
                                </w:tcPr>
                                <w:p w14:paraId="7EED7A8C" w14:textId="77777777" w:rsidR="00547367" w:rsidRPr="0055776F" w:rsidRDefault="00547367" w:rsidP="0077258C">
                                  <w:pPr>
                                    <w:rPr>
                                      <w:rFonts w:ascii="Arial" w:hAnsi="Arial" w:cs="Arial"/>
                                      <w:sz w:val="20"/>
                                    </w:rPr>
                                  </w:pPr>
                                </w:p>
                              </w:tc>
                              <w:tc>
                                <w:tcPr>
                                  <w:tcW w:w="850" w:type="dxa"/>
                                  <w:tcBorders>
                                    <w:top w:val="single" w:sz="4" w:space="0" w:color="auto"/>
                                  </w:tcBorders>
                                  <w:shd w:val="clear" w:color="auto" w:fill="auto"/>
                                </w:tcPr>
                                <w:p w14:paraId="7783389A" w14:textId="77777777" w:rsidR="00547367" w:rsidRPr="0055776F" w:rsidRDefault="00547367" w:rsidP="0077258C">
                                  <w:pPr>
                                    <w:rPr>
                                      <w:rFonts w:ascii="Arial" w:hAnsi="Arial" w:cs="Arial"/>
                                      <w:sz w:val="20"/>
                                    </w:rPr>
                                  </w:pPr>
                                </w:p>
                              </w:tc>
                            </w:tr>
                          </w:tbl>
                          <w:p w14:paraId="51AFB21A" w14:textId="77777777" w:rsidR="00547367" w:rsidRPr="00A33DBA" w:rsidRDefault="00547367" w:rsidP="007D0548">
                            <w:pPr>
                              <w:rPr>
                                <w:rFonts w:ascii="Arial" w:hAnsi="Arial" w:cs="Arial"/>
                                <w:sz w:val="20"/>
                              </w:rPr>
                            </w:pPr>
                          </w:p>
                          <w:p w14:paraId="5C506936" w14:textId="77777777" w:rsidR="00547367" w:rsidRPr="00A33DBA" w:rsidRDefault="00547367" w:rsidP="007D0548">
                            <w:pPr>
                              <w:rPr>
                                <w:rFonts w:ascii="Arial" w:hAnsi="Arial" w:cs="Arial"/>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107AB82" id="_x0000_s1030" type="#_x0000_t202" style="position:absolute;left:0;text-align:left;margin-left:27.6pt;margin-top:68.2pt;width:361.05pt;height:11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" filled="f" stroked="f">
                <v:textbox>
                  <w:txbxContent>
                    <w:p w14:paraId="138E321A" w14:textId="77777777" w:rsidR="00547367" w:rsidRDefault="00547367" w:rsidP="007D0548">
                      <w:pPr>
                        <w:rPr>
                          <w:rFonts w:ascii="Arial" w:hAnsi="Arial" w:cs="Arial"/>
                          <w:sz w:val="20"/>
                        </w:rPr>
                      </w:pPr>
                    </w:p>
                    <w:tbl>
                      <w:tblPr>
                        <w:tblW w:w="0" w:type="auto"/>
                        <w:tblLook w:val="04A0" w:firstRow="1" w:lastRow="0" w:firstColumn="1" w:lastColumn="0" w:noHBand="0" w:noVBand="1"/>
                      </w:tblPr>
                      <w:tblGrid>
                        <w:gridCol w:w="817"/>
                        <w:gridCol w:w="2464"/>
                        <w:gridCol w:w="851"/>
                        <w:gridCol w:w="962"/>
                        <w:gridCol w:w="917"/>
                      </w:tblGrid>
                      <w:tr w:rsidR="00547367" w:rsidRPr="0055776F" w14:paraId="42C3E7D5" w14:textId="77777777" w:rsidTr="0077258C">
                        <w:tc>
                          <w:tcPr>
                            <w:tcW w:w="5691" w:type="dxa"/>
                            <w:gridSpan w:val="5"/>
                            <w:shd w:val="clear" w:color="auto" w:fill="auto"/>
                          </w:tcPr>
                          <w:p w14:paraId="5124D3C7" w14:textId="77777777" w:rsidR="00547367" w:rsidRPr="0055776F" w:rsidRDefault="00547367" w:rsidP="0077258C">
                            <w:pPr>
                              <w:rPr>
                                <w:rFonts w:ascii="Arial" w:hAnsi="Arial" w:cs="Arial"/>
                                <w:sz w:val="20"/>
                              </w:rPr>
                            </w:pPr>
                            <w:r>
                              <w:rPr>
                                <w:rFonts w:ascii="Arial" w:hAnsi="Arial" w:cs="Arial"/>
                                <w:sz w:val="20"/>
                              </w:rPr>
                              <w:t>P =</w:t>
                            </w:r>
                            <w:r w:rsidRPr="0055776F">
                              <w:rPr>
                                <w:rFonts w:ascii="Arial" w:hAnsi="Arial" w:cs="Arial"/>
                                <w:sz w:val="20"/>
                              </w:rPr>
                              <w:t xml:space="preserve"> 0</w:t>
                            </w:r>
                            <w:r>
                              <w:rPr>
                                <w:rFonts w:ascii="Arial" w:hAnsi="Arial" w:cs="Arial"/>
                                <w:sz w:val="20"/>
                              </w:rPr>
                              <w:t>,0</w:t>
                            </w:r>
                            <w:r w:rsidRPr="0055776F">
                              <w:rPr>
                                <w:rFonts w:ascii="Arial" w:hAnsi="Arial" w:cs="Arial"/>
                                <w:sz w:val="20"/>
                              </w:rPr>
                              <w:t>19</w:t>
                            </w:r>
                          </w:p>
                          <w:p w14:paraId="0CDD6C50" w14:textId="77777777" w:rsidR="00547367" w:rsidRPr="0055776F" w:rsidRDefault="00547367" w:rsidP="0077258C">
                            <w:pPr>
                              <w:rPr>
                                <w:rFonts w:ascii="Arial" w:hAnsi="Arial" w:cs="Arial"/>
                                <w:sz w:val="20"/>
                              </w:rPr>
                            </w:pPr>
                            <w:r>
                              <w:rPr>
                                <w:rFonts w:ascii="Arial" w:hAnsi="Arial" w:cs="Arial"/>
                                <w:sz w:val="20"/>
                              </w:rPr>
                              <w:t>Omjer rizika</w:t>
                            </w:r>
                            <w:r w:rsidRPr="0055776F">
                              <w:rPr>
                                <w:rFonts w:ascii="Arial" w:hAnsi="Arial" w:cs="Arial"/>
                                <w:sz w:val="20"/>
                              </w:rPr>
                              <w:t xml:space="preserve"> 0</w:t>
                            </w:r>
                            <w:r>
                              <w:rPr>
                                <w:rFonts w:ascii="Arial" w:hAnsi="Arial" w:cs="Arial"/>
                                <w:sz w:val="20"/>
                              </w:rPr>
                              <w:t>,</w:t>
                            </w:r>
                            <w:r w:rsidRPr="0055776F">
                              <w:rPr>
                                <w:rFonts w:ascii="Arial" w:hAnsi="Arial" w:cs="Arial"/>
                                <w:sz w:val="20"/>
                              </w:rPr>
                              <w:t>45</w:t>
                            </w:r>
                          </w:p>
                          <w:p w14:paraId="2590E592" w14:textId="77777777" w:rsidR="00547367" w:rsidRPr="0055776F" w:rsidRDefault="00547367" w:rsidP="00490021">
                            <w:pPr>
                              <w:rPr>
                                <w:rFonts w:ascii="Arial" w:hAnsi="Arial" w:cs="Arial"/>
                                <w:sz w:val="20"/>
                                <w:lang w:val="de-DE"/>
                              </w:rPr>
                            </w:pPr>
                            <w:r w:rsidRPr="0055776F">
                              <w:rPr>
                                <w:rFonts w:ascii="Arial" w:hAnsi="Arial" w:cs="Arial"/>
                                <w:sz w:val="20"/>
                              </w:rPr>
                              <w:t xml:space="preserve">(95% </w:t>
                            </w:r>
                            <w:r w:rsidRPr="00B014D4">
                              <w:rPr>
                                <w:rFonts w:ascii="Arial" w:hAnsi="Arial" w:cs="Arial"/>
                                <w:sz w:val="20"/>
                              </w:rPr>
                              <w:t>Cl,</w:t>
                            </w:r>
                            <w:r w:rsidRPr="0055776F">
                              <w:rPr>
                                <w:rFonts w:ascii="Arial" w:hAnsi="Arial" w:cs="Arial"/>
                                <w:sz w:val="20"/>
                              </w:rPr>
                              <w:t xml:space="preserve"> 0</w:t>
                            </w:r>
                            <w:r>
                              <w:rPr>
                                <w:rFonts w:ascii="Arial" w:hAnsi="Arial" w:cs="Arial"/>
                                <w:sz w:val="20"/>
                              </w:rPr>
                              <w:t>,</w:t>
                            </w:r>
                            <w:r w:rsidRPr="0055776F">
                              <w:rPr>
                                <w:rFonts w:ascii="Arial" w:hAnsi="Arial" w:cs="Arial"/>
                                <w:sz w:val="20"/>
                              </w:rPr>
                              <w:t>22</w:t>
                            </w:r>
                            <w:r>
                              <w:rPr>
                                <w:rFonts w:ascii="Arial" w:hAnsi="Arial" w:cs="Arial"/>
                                <w:sz w:val="20"/>
                              </w:rPr>
                              <w:noBreakHyphen/>
                            </w:r>
                            <w:r w:rsidRPr="0055776F">
                              <w:rPr>
                                <w:rFonts w:ascii="Arial" w:hAnsi="Arial" w:cs="Arial"/>
                                <w:sz w:val="20"/>
                              </w:rPr>
                              <w:t>0</w:t>
                            </w:r>
                            <w:r>
                              <w:rPr>
                                <w:rFonts w:ascii="Arial" w:hAnsi="Arial" w:cs="Arial"/>
                                <w:sz w:val="20"/>
                              </w:rPr>
                              <w:t>,</w:t>
                            </w:r>
                            <w:r w:rsidRPr="0055776F">
                              <w:rPr>
                                <w:rFonts w:ascii="Arial" w:hAnsi="Arial" w:cs="Arial"/>
                                <w:sz w:val="20"/>
                              </w:rPr>
                              <w:t>89)</w:t>
                            </w:r>
                          </w:p>
                        </w:tc>
                      </w:tr>
                      <w:tr w:rsidR="00547367" w:rsidRPr="0055776F" w14:paraId="457268D2" w14:textId="77777777" w:rsidTr="0077258C">
                        <w:tc>
                          <w:tcPr>
                            <w:tcW w:w="817" w:type="dxa"/>
                            <w:shd w:val="clear" w:color="auto" w:fill="auto"/>
                          </w:tcPr>
                          <w:p w14:paraId="70A1AF64" w14:textId="77777777" w:rsidR="00547367" w:rsidRPr="0055776F" w:rsidRDefault="00547367" w:rsidP="0077258C">
                            <w:pPr>
                              <w:rPr>
                                <w:rFonts w:ascii="Arial" w:hAnsi="Arial" w:cs="Arial"/>
                                <w:sz w:val="20"/>
                              </w:rPr>
                            </w:pPr>
                          </w:p>
                        </w:tc>
                        <w:tc>
                          <w:tcPr>
                            <w:tcW w:w="2464" w:type="dxa"/>
                            <w:shd w:val="clear" w:color="auto" w:fill="auto"/>
                          </w:tcPr>
                          <w:p w14:paraId="05D28771" w14:textId="77777777" w:rsidR="00547367" w:rsidRPr="0055776F" w:rsidRDefault="00547367" w:rsidP="0077258C">
                            <w:pPr>
                              <w:rPr>
                                <w:rFonts w:ascii="Arial" w:hAnsi="Arial" w:cs="Arial"/>
                                <w:sz w:val="20"/>
                              </w:rPr>
                            </w:pPr>
                          </w:p>
                        </w:tc>
                        <w:tc>
                          <w:tcPr>
                            <w:tcW w:w="851" w:type="dxa"/>
                            <w:tcBorders>
                              <w:bottom w:val="single" w:sz="4" w:space="0" w:color="auto"/>
                            </w:tcBorders>
                            <w:shd w:val="clear" w:color="auto" w:fill="auto"/>
                          </w:tcPr>
                          <w:p w14:paraId="78A2B41E" w14:textId="77777777" w:rsidR="00547367" w:rsidRPr="0055776F" w:rsidRDefault="00547367" w:rsidP="0077258C">
                            <w:pPr>
                              <w:rPr>
                                <w:rFonts w:ascii="Arial" w:hAnsi="Arial" w:cs="Arial"/>
                                <w:sz w:val="20"/>
                              </w:rPr>
                            </w:pPr>
                            <w:r w:rsidRPr="0055776F">
                              <w:rPr>
                                <w:rFonts w:ascii="Arial" w:hAnsi="Arial" w:cs="Arial"/>
                                <w:sz w:val="20"/>
                                <w:lang w:val="de-DE"/>
                              </w:rPr>
                              <w:t>N</w:t>
                            </w:r>
                          </w:p>
                        </w:tc>
                        <w:tc>
                          <w:tcPr>
                            <w:tcW w:w="709" w:type="dxa"/>
                            <w:tcBorders>
                              <w:bottom w:val="single" w:sz="4" w:space="0" w:color="auto"/>
                            </w:tcBorders>
                            <w:shd w:val="clear" w:color="auto" w:fill="auto"/>
                          </w:tcPr>
                          <w:p w14:paraId="14E4DA56" w14:textId="77777777" w:rsidR="00547367" w:rsidRPr="0055776F" w:rsidRDefault="00547367" w:rsidP="0077258C">
                            <w:pPr>
                              <w:rPr>
                                <w:rFonts w:ascii="Arial" w:hAnsi="Arial" w:cs="Arial"/>
                                <w:sz w:val="20"/>
                              </w:rPr>
                            </w:pPr>
                            <w:r>
                              <w:rPr>
                                <w:rFonts w:ascii="Arial" w:hAnsi="Arial" w:cs="Arial"/>
                                <w:sz w:val="20"/>
                                <w:lang w:val="de-DE"/>
                              </w:rPr>
                              <w:t>Događaj</w:t>
                            </w:r>
                          </w:p>
                        </w:tc>
                        <w:tc>
                          <w:tcPr>
                            <w:tcW w:w="850" w:type="dxa"/>
                            <w:tcBorders>
                              <w:bottom w:val="single" w:sz="4" w:space="0" w:color="auto"/>
                            </w:tcBorders>
                            <w:shd w:val="clear" w:color="auto" w:fill="auto"/>
                          </w:tcPr>
                          <w:p w14:paraId="2A98DD66" w14:textId="77777777" w:rsidR="00547367" w:rsidRPr="0055776F" w:rsidRDefault="00547367" w:rsidP="003E04C1">
                            <w:pPr>
                              <w:rPr>
                                <w:rFonts w:ascii="Arial" w:hAnsi="Arial" w:cs="Arial"/>
                                <w:sz w:val="20"/>
                              </w:rPr>
                            </w:pPr>
                            <w:r w:rsidRPr="0055776F">
                              <w:rPr>
                                <w:rFonts w:ascii="Arial" w:hAnsi="Arial" w:cs="Arial"/>
                                <w:sz w:val="20"/>
                                <w:lang w:val="de-DE"/>
                              </w:rPr>
                              <w:t>Cen</w:t>
                            </w:r>
                            <w:r>
                              <w:rPr>
                                <w:rFonts w:ascii="Arial" w:hAnsi="Arial" w:cs="Arial"/>
                                <w:sz w:val="20"/>
                                <w:lang w:val="de-DE"/>
                              </w:rPr>
                              <w:t>zur.</w:t>
                            </w:r>
                          </w:p>
                        </w:tc>
                      </w:tr>
                      <w:tr w:rsidR="00547367" w:rsidRPr="0055776F" w14:paraId="3F4FDB47" w14:textId="77777777" w:rsidTr="0077258C">
                        <w:tc>
                          <w:tcPr>
                            <w:tcW w:w="817" w:type="dxa"/>
                            <w:shd w:val="clear" w:color="auto" w:fill="auto"/>
                          </w:tcPr>
                          <w:p w14:paraId="512C272A" w14:textId="77777777" w:rsidR="00547367" w:rsidRPr="0055776F" w:rsidRDefault="00547367" w:rsidP="0077258C">
                            <w:pPr>
                              <w:rPr>
                                <w:rFonts w:ascii="Arial" w:hAnsi="Arial" w:cs="Arial"/>
                                <w:sz w:val="20"/>
                              </w:rPr>
                            </w:pPr>
                            <w:r w:rsidRPr="0055776F">
                              <w:rPr>
                                <w:rFonts w:ascii="Arial" w:hAnsi="Arial" w:cs="Arial"/>
                                <w:b/>
                                <w:sz w:val="20"/>
                              </w:rPr>
                              <w:t>——</w:t>
                            </w:r>
                          </w:p>
                        </w:tc>
                        <w:tc>
                          <w:tcPr>
                            <w:tcW w:w="2464" w:type="dxa"/>
                            <w:shd w:val="clear" w:color="auto" w:fill="auto"/>
                          </w:tcPr>
                          <w:p w14:paraId="25E75F29" w14:textId="77777777" w:rsidR="00547367" w:rsidRPr="0055776F" w:rsidRDefault="00547367" w:rsidP="00490021">
                            <w:pPr>
                              <w:rPr>
                                <w:rFonts w:ascii="Arial" w:hAnsi="Arial" w:cs="Arial"/>
                                <w:sz w:val="20"/>
                              </w:rPr>
                            </w:pPr>
                            <w:r>
                              <w:rPr>
                                <w:rFonts w:ascii="Arial" w:hAnsi="Arial" w:cs="Arial"/>
                                <w:sz w:val="20"/>
                              </w:rPr>
                              <w:t>(1) Imatinib 12 mj.</w:t>
                            </w:r>
                            <w:r w:rsidRPr="0055776F">
                              <w:rPr>
                                <w:rFonts w:ascii="Arial" w:hAnsi="Arial" w:cs="Arial"/>
                                <w:sz w:val="20"/>
                              </w:rPr>
                              <w:t>:</w:t>
                            </w:r>
                          </w:p>
                        </w:tc>
                        <w:tc>
                          <w:tcPr>
                            <w:tcW w:w="851" w:type="dxa"/>
                            <w:tcBorders>
                              <w:top w:val="single" w:sz="4" w:space="0" w:color="auto"/>
                            </w:tcBorders>
                            <w:shd w:val="clear" w:color="auto" w:fill="auto"/>
                          </w:tcPr>
                          <w:p w14:paraId="383A66C3" w14:textId="77777777" w:rsidR="00547367" w:rsidRPr="0055776F" w:rsidRDefault="00547367" w:rsidP="0077258C">
                            <w:pPr>
                              <w:rPr>
                                <w:rFonts w:ascii="Arial" w:hAnsi="Arial" w:cs="Arial"/>
                                <w:sz w:val="20"/>
                              </w:rPr>
                            </w:pPr>
                            <w:r w:rsidRPr="0055776F">
                              <w:rPr>
                                <w:rFonts w:ascii="Arial" w:hAnsi="Arial" w:cs="Arial"/>
                                <w:sz w:val="20"/>
                              </w:rPr>
                              <w:t>199</w:t>
                            </w:r>
                          </w:p>
                        </w:tc>
                        <w:tc>
                          <w:tcPr>
                            <w:tcW w:w="709" w:type="dxa"/>
                            <w:tcBorders>
                              <w:top w:val="single" w:sz="4" w:space="0" w:color="auto"/>
                            </w:tcBorders>
                            <w:shd w:val="clear" w:color="auto" w:fill="auto"/>
                          </w:tcPr>
                          <w:p w14:paraId="33850987" w14:textId="77777777" w:rsidR="00547367" w:rsidRPr="0055776F" w:rsidRDefault="00547367" w:rsidP="0077258C">
                            <w:pPr>
                              <w:rPr>
                                <w:rFonts w:ascii="Arial" w:hAnsi="Arial" w:cs="Arial"/>
                                <w:sz w:val="20"/>
                              </w:rPr>
                            </w:pPr>
                            <w:r w:rsidRPr="0055776F">
                              <w:rPr>
                                <w:rFonts w:ascii="Arial" w:hAnsi="Arial" w:cs="Arial"/>
                                <w:sz w:val="20"/>
                              </w:rPr>
                              <w:t>25</w:t>
                            </w:r>
                          </w:p>
                        </w:tc>
                        <w:tc>
                          <w:tcPr>
                            <w:tcW w:w="850" w:type="dxa"/>
                            <w:tcBorders>
                              <w:top w:val="single" w:sz="4" w:space="0" w:color="auto"/>
                            </w:tcBorders>
                            <w:shd w:val="clear" w:color="auto" w:fill="auto"/>
                          </w:tcPr>
                          <w:p w14:paraId="11CB4CD9" w14:textId="77777777" w:rsidR="00547367" w:rsidRPr="0055776F" w:rsidRDefault="00547367" w:rsidP="0077258C">
                            <w:pPr>
                              <w:rPr>
                                <w:rFonts w:ascii="Arial" w:hAnsi="Arial" w:cs="Arial"/>
                                <w:sz w:val="20"/>
                              </w:rPr>
                            </w:pPr>
                            <w:r w:rsidRPr="0055776F">
                              <w:rPr>
                                <w:rFonts w:ascii="Arial" w:hAnsi="Arial" w:cs="Arial"/>
                                <w:sz w:val="20"/>
                              </w:rPr>
                              <w:t>174</w:t>
                            </w:r>
                          </w:p>
                        </w:tc>
                      </w:tr>
                      <w:tr w:rsidR="00547367" w:rsidRPr="0055776F" w14:paraId="2392CCC6" w14:textId="77777777" w:rsidTr="0077258C">
                        <w:tc>
                          <w:tcPr>
                            <w:tcW w:w="817" w:type="dxa"/>
                            <w:shd w:val="clear" w:color="auto" w:fill="auto"/>
                          </w:tcPr>
                          <w:p w14:paraId="759C0057" w14:textId="77777777" w:rsidR="00547367" w:rsidRPr="0055776F" w:rsidRDefault="00547367" w:rsidP="0077258C">
                            <w:pPr>
                              <w:rPr>
                                <w:rFonts w:ascii="Arial" w:hAnsi="Arial" w:cs="Arial"/>
                                <w:sz w:val="20"/>
                              </w:rPr>
                            </w:pPr>
                            <w:r w:rsidRPr="0055776F">
                              <w:rPr>
                                <w:rFonts w:ascii="Arial" w:hAnsi="Arial" w:cs="Arial"/>
                                <w:sz w:val="20"/>
                              </w:rPr>
                              <w:t>-----</w:t>
                            </w:r>
                          </w:p>
                        </w:tc>
                        <w:tc>
                          <w:tcPr>
                            <w:tcW w:w="2464" w:type="dxa"/>
                            <w:shd w:val="clear" w:color="auto" w:fill="auto"/>
                          </w:tcPr>
                          <w:p w14:paraId="7CC609BB" w14:textId="77777777" w:rsidR="00547367" w:rsidRPr="0055776F" w:rsidRDefault="00547367" w:rsidP="00490021">
                            <w:pPr>
                              <w:rPr>
                                <w:rFonts w:ascii="Arial" w:hAnsi="Arial" w:cs="Arial"/>
                                <w:sz w:val="20"/>
                              </w:rPr>
                            </w:pPr>
                            <w:r>
                              <w:rPr>
                                <w:rFonts w:ascii="Arial" w:hAnsi="Arial" w:cs="Arial"/>
                                <w:sz w:val="20"/>
                              </w:rPr>
                              <w:t>(2) Imatinib 36 mj.</w:t>
                            </w:r>
                            <w:r w:rsidRPr="0055776F">
                              <w:rPr>
                                <w:rFonts w:ascii="Arial" w:hAnsi="Arial" w:cs="Arial"/>
                                <w:sz w:val="20"/>
                              </w:rPr>
                              <w:t>:</w:t>
                            </w:r>
                          </w:p>
                        </w:tc>
                        <w:tc>
                          <w:tcPr>
                            <w:tcW w:w="851" w:type="dxa"/>
                            <w:tcBorders>
                              <w:bottom w:val="single" w:sz="4" w:space="0" w:color="auto"/>
                            </w:tcBorders>
                            <w:shd w:val="clear" w:color="auto" w:fill="auto"/>
                          </w:tcPr>
                          <w:p w14:paraId="54703C26" w14:textId="77777777" w:rsidR="00547367" w:rsidRPr="0055776F" w:rsidRDefault="00547367" w:rsidP="0077258C">
                            <w:pPr>
                              <w:rPr>
                                <w:rFonts w:ascii="Arial" w:hAnsi="Arial" w:cs="Arial"/>
                                <w:sz w:val="20"/>
                              </w:rPr>
                            </w:pPr>
                            <w:r w:rsidRPr="0055776F">
                              <w:rPr>
                                <w:rFonts w:ascii="Arial" w:hAnsi="Arial" w:cs="Arial"/>
                                <w:sz w:val="20"/>
                              </w:rPr>
                              <w:t>198</w:t>
                            </w:r>
                          </w:p>
                        </w:tc>
                        <w:tc>
                          <w:tcPr>
                            <w:tcW w:w="709" w:type="dxa"/>
                            <w:tcBorders>
                              <w:bottom w:val="single" w:sz="4" w:space="0" w:color="auto"/>
                            </w:tcBorders>
                            <w:shd w:val="clear" w:color="auto" w:fill="auto"/>
                          </w:tcPr>
                          <w:p w14:paraId="70C06953" w14:textId="77777777" w:rsidR="00547367" w:rsidRPr="0055776F" w:rsidRDefault="00547367" w:rsidP="0077258C">
                            <w:pPr>
                              <w:rPr>
                                <w:rFonts w:ascii="Arial" w:hAnsi="Arial" w:cs="Arial"/>
                                <w:sz w:val="20"/>
                              </w:rPr>
                            </w:pPr>
                            <w:r w:rsidRPr="0055776F">
                              <w:rPr>
                                <w:rFonts w:ascii="Arial" w:hAnsi="Arial" w:cs="Arial"/>
                                <w:sz w:val="20"/>
                              </w:rPr>
                              <w:t>12</w:t>
                            </w:r>
                          </w:p>
                        </w:tc>
                        <w:tc>
                          <w:tcPr>
                            <w:tcW w:w="850" w:type="dxa"/>
                            <w:tcBorders>
                              <w:bottom w:val="single" w:sz="4" w:space="0" w:color="auto"/>
                            </w:tcBorders>
                            <w:shd w:val="clear" w:color="auto" w:fill="auto"/>
                          </w:tcPr>
                          <w:p w14:paraId="20958818" w14:textId="77777777" w:rsidR="00547367" w:rsidRPr="0055776F" w:rsidRDefault="00547367" w:rsidP="0077258C">
                            <w:pPr>
                              <w:rPr>
                                <w:rFonts w:ascii="Arial" w:hAnsi="Arial" w:cs="Arial"/>
                                <w:sz w:val="20"/>
                              </w:rPr>
                            </w:pPr>
                            <w:r w:rsidRPr="0055776F">
                              <w:rPr>
                                <w:rFonts w:ascii="Arial" w:hAnsi="Arial" w:cs="Arial"/>
                                <w:sz w:val="20"/>
                              </w:rPr>
                              <w:t>186</w:t>
                            </w:r>
                          </w:p>
                        </w:tc>
                      </w:tr>
                      <w:tr w:rsidR="00547367" w:rsidRPr="0055776F" w14:paraId="001F73F2" w14:textId="77777777" w:rsidTr="0077258C">
                        <w:tc>
                          <w:tcPr>
                            <w:tcW w:w="817" w:type="dxa"/>
                            <w:shd w:val="clear" w:color="auto" w:fill="auto"/>
                          </w:tcPr>
                          <w:p w14:paraId="51C6896B" w14:textId="77777777" w:rsidR="00547367" w:rsidRPr="0055776F" w:rsidRDefault="00547367" w:rsidP="0077258C">
                            <w:pPr>
                              <w:rPr>
                                <w:rFonts w:ascii="Arial" w:hAnsi="Arial" w:cs="Arial"/>
                                <w:sz w:val="20"/>
                              </w:rPr>
                            </w:pPr>
                            <w:r w:rsidRPr="0055776F">
                              <w:rPr>
                                <w:rFonts w:ascii="Arial" w:hAnsi="Arial" w:cs="Arial"/>
                                <w:sz w:val="20"/>
                              </w:rPr>
                              <w:t>│││</w:t>
                            </w:r>
                          </w:p>
                        </w:tc>
                        <w:tc>
                          <w:tcPr>
                            <w:tcW w:w="2464" w:type="dxa"/>
                            <w:shd w:val="clear" w:color="auto" w:fill="auto"/>
                          </w:tcPr>
                          <w:p w14:paraId="48929E45" w14:textId="77777777" w:rsidR="00547367" w:rsidRPr="0055776F" w:rsidRDefault="00547367" w:rsidP="0077258C">
                            <w:pPr>
                              <w:rPr>
                                <w:rFonts w:ascii="Arial" w:hAnsi="Arial" w:cs="Arial"/>
                                <w:sz w:val="20"/>
                              </w:rPr>
                            </w:pPr>
                            <w:r>
                              <w:rPr>
                                <w:rFonts w:ascii="Arial" w:hAnsi="Arial" w:cs="Arial"/>
                                <w:sz w:val="20"/>
                              </w:rPr>
                              <w:t>Cenzurirana opažanja</w:t>
                            </w:r>
                          </w:p>
                        </w:tc>
                        <w:tc>
                          <w:tcPr>
                            <w:tcW w:w="851" w:type="dxa"/>
                            <w:tcBorders>
                              <w:top w:val="single" w:sz="4" w:space="0" w:color="auto"/>
                            </w:tcBorders>
                            <w:shd w:val="clear" w:color="auto" w:fill="auto"/>
                          </w:tcPr>
                          <w:p w14:paraId="3BCE9316" w14:textId="77777777" w:rsidR="00547367" w:rsidRPr="0055776F" w:rsidRDefault="00547367" w:rsidP="0077258C">
                            <w:pPr>
                              <w:rPr>
                                <w:rFonts w:ascii="Arial" w:hAnsi="Arial" w:cs="Arial"/>
                                <w:sz w:val="20"/>
                              </w:rPr>
                            </w:pPr>
                          </w:p>
                        </w:tc>
                        <w:tc>
                          <w:tcPr>
                            <w:tcW w:w="709" w:type="dxa"/>
                            <w:tcBorders>
                              <w:top w:val="single" w:sz="4" w:space="0" w:color="auto"/>
                            </w:tcBorders>
                            <w:shd w:val="clear" w:color="auto" w:fill="auto"/>
                          </w:tcPr>
                          <w:p w14:paraId="7EED7A8C" w14:textId="77777777" w:rsidR="00547367" w:rsidRPr="0055776F" w:rsidRDefault="00547367" w:rsidP="0077258C">
                            <w:pPr>
                              <w:rPr>
                                <w:rFonts w:ascii="Arial" w:hAnsi="Arial" w:cs="Arial"/>
                                <w:sz w:val="20"/>
                              </w:rPr>
                            </w:pPr>
                          </w:p>
                        </w:tc>
                        <w:tc>
                          <w:tcPr>
                            <w:tcW w:w="850" w:type="dxa"/>
                            <w:tcBorders>
                              <w:top w:val="single" w:sz="4" w:space="0" w:color="auto"/>
                            </w:tcBorders>
                            <w:shd w:val="clear" w:color="auto" w:fill="auto"/>
                          </w:tcPr>
                          <w:p w14:paraId="7783389A" w14:textId="77777777" w:rsidR="00547367" w:rsidRPr="0055776F" w:rsidRDefault="00547367" w:rsidP="0077258C">
                            <w:pPr>
                              <w:rPr>
                                <w:rFonts w:ascii="Arial" w:hAnsi="Arial" w:cs="Arial"/>
                                <w:sz w:val="20"/>
                              </w:rPr>
                            </w:pPr>
                          </w:p>
                        </w:tc>
                      </w:tr>
                    </w:tbl>
                    <w:p w14:paraId="51AFB21A" w14:textId="77777777" w:rsidR="00547367" w:rsidRPr="00A33DBA" w:rsidRDefault="00547367" w:rsidP="007D0548">
                      <w:pPr>
                        <w:rPr>
                          <w:rFonts w:ascii="Arial" w:hAnsi="Arial" w:cs="Arial"/>
                          <w:sz w:val="20"/>
                        </w:rPr>
                      </w:pPr>
                    </w:p>
                    <w:p w14:paraId="5C506936" w14:textId="77777777" w:rsidR="00547367" w:rsidRPr="00A33DBA" w:rsidRDefault="00547367" w:rsidP="007D0548">
                      <w:pPr>
                        <w:rPr>
                          <w:rFonts w:ascii="Arial" w:hAnsi="Arial" w:cs="Arial"/>
                          <w:sz w:val="20"/>
                        </w:rPr>
                      </w:pPr>
                    </w:p>
                  </w:txbxContent>
                </v:textbox>
              </v:shape>
            </w:pict>
          </mc:Fallback>
        </mc:AlternateContent>
      </w:r>
      <w:r w:rsidRPr="00510442">
        <w:rPr>
          <w:noProof/>
          <w:szCs w:val="22"/>
          <w:lang w:eastAsia="en-GB"/>
        </w:rPr>
        <w:drawing>
          <wp:inline distT="0" distB="0" distL="0" distR="0" wp14:anchorId="0F5485FD" wp14:editId="38A4FEB9">
            <wp:extent cx="5947410" cy="263207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7410" cy="2632075"/>
                    </a:xfrm>
                    <a:prstGeom prst="rect">
                      <a:avLst/>
                    </a:prstGeom>
                    <a:noFill/>
                    <a:ln>
                      <a:noFill/>
                    </a:ln>
                  </pic:spPr>
                </pic:pic>
              </a:graphicData>
            </a:graphic>
          </wp:inline>
        </w:drawing>
      </w:r>
    </w:p>
    <w:p w14:paraId="74EE4D02" w14:textId="77777777" w:rsidR="007D0548" w:rsidRPr="00307897" w:rsidRDefault="00C712C6" w:rsidP="00A74D02">
      <w:pPr>
        <w:keepNext/>
        <w:widowControl w:val="0"/>
        <w:tabs>
          <w:tab w:val="clear" w:pos="567"/>
        </w:tabs>
        <w:spacing w:line="240" w:lineRule="auto"/>
        <w:ind w:left="1134" w:hanging="1134"/>
        <w:outlineLvl w:val="6"/>
        <w:rPr>
          <w:rFonts w:eastAsia="MS Mincho"/>
          <w:szCs w:val="22"/>
          <w:lang w:val="hr-HR"/>
        </w:rPr>
      </w:pPr>
      <w:r w:rsidRPr="00510442">
        <w:rPr>
          <w:rFonts w:eastAsia="MS Mincho"/>
          <w:noProof/>
          <w:szCs w:val="22"/>
          <w:lang w:eastAsia="en-GB"/>
        </w:rPr>
        <mc:AlternateContent>
          <mc:Choice Requires="wps">
            <w:drawing>
              <wp:anchor distT="0" distB="0" distL="114300" distR="114300" simplePos="0" relativeHeight="251657216" behindDoc="0" locked="0" layoutInCell="1" allowOverlap="1" wp14:anchorId="2CCCC172" wp14:editId="4625FBC5">
                <wp:simplePos x="0" y="0"/>
                <wp:positionH relativeFrom="column">
                  <wp:posOffset>2123440</wp:posOffset>
                </wp:positionH>
                <wp:positionV relativeFrom="paragraph">
                  <wp:posOffset>73660</wp:posOffset>
                </wp:positionV>
                <wp:extent cx="2192020" cy="30353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2020" cy="3035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0A9978" w14:textId="77777777" w:rsidR="00547367" w:rsidRPr="00A33DBA" w:rsidRDefault="00547367" w:rsidP="007D0548">
                            <w:pPr>
                              <w:rPr>
                                <w:rFonts w:ascii="Arial" w:hAnsi="Arial" w:cs="Arial"/>
                                <w:sz w:val="20"/>
                              </w:rPr>
                            </w:pPr>
                            <w:r>
                              <w:rPr>
                                <w:rFonts w:ascii="Arial" w:hAnsi="Arial" w:cs="Arial"/>
                                <w:sz w:val="20"/>
                                <w:lang w:val="hr-HR"/>
                              </w:rPr>
                              <w:t>Vrijeme preživljenja u mjesecima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CCCC172" id="_x0000_s1031" type="#_x0000_t202" style="position:absolute;left:0;text-align:left;margin-left:167.2pt;margin-top:5.8pt;width:172.6pt;height:23.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" stroked="f">
                <v:fill opacity="0"/>
                <v:textbox>
                  <w:txbxContent>
                    <w:p w14:paraId="3D0A9978" w14:textId="77777777" w:rsidR="00547367" w:rsidRPr="00A33DBA" w:rsidRDefault="00547367" w:rsidP="007D0548">
                      <w:pPr>
                        <w:rPr>
                          <w:rFonts w:ascii="Arial" w:hAnsi="Arial" w:cs="Arial"/>
                          <w:sz w:val="20"/>
                        </w:rPr>
                      </w:pPr>
                      <w:r>
                        <w:rPr>
                          <w:rFonts w:ascii="Arial" w:hAnsi="Arial" w:cs="Arial"/>
                          <w:sz w:val="20"/>
                          <w:lang w:val="hr-HR"/>
                        </w:rPr>
                        <w:t>Vrijeme preživljenja u mjesecima</w:t>
                      </w:r>
                    </w:p>
                  </w:txbxContent>
                </v:textbox>
              </v:shape>
            </w:pict>
          </mc:Fallback>
        </mc:AlternateContent>
      </w:r>
    </w:p>
    <w:p w14:paraId="750D4EC4" w14:textId="77777777" w:rsidR="007D0548" w:rsidRPr="00307897" w:rsidRDefault="007D0548" w:rsidP="007F1BD0">
      <w:pPr>
        <w:keepNext/>
        <w:widowControl w:val="0"/>
        <w:tabs>
          <w:tab w:val="clear" w:pos="567"/>
        </w:tabs>
        <w:spacing w:line="240" w:lineRule="auto"/>
        <w:ind w:left="1134" w:hanging="1134"/>
        <w:outlineLvl w:val="6"/>
        <w:rPr>
          <w:rFonts w:eastAsia="MS Mincho"/>
          <w:szCs w:val="22"/>
          <w:lang w:val="hr-HR"/>
        </w:rPr>
      </w:pPr>
    </w:p>
    <w:p w14:paraId="1A93BDF3" w14:textId="77777777" w:rsidR="007D0548" w:rsidRPr="00510442" w:rsidRDefault="007D0548" w:rsidP="007F1BD0">
      <w:pPr>
        <w:keepNext/>
        <w:widowControl w:val="0"/>
        <w:spacing w:line="240" w:lineRule="auto"/>
        <w:ind w:left="1134" w:hanging="1134"/>
        <w:outlineLvl w:val="6"/>
        <w:rPr>
          <w:szCs w:val="22"/>
          <w:lang w:val="hr-HR"/>
        </w:rPr>
      </w:pPr>
    </w:p>
    <w:tbl>
      <w:tblPr>
        <w:tblW w:w="10632" w:type="dxa"/>
        <w:tblInd w:w="-318" w:type="dxa"/>
        <w:tblLook w:val="04A0" w:firstRow="1" w:lastRow="0" w:firstColumn="1" w:lastColumn="0" w:noHBand="0" w:noVBand="1"/>
      </w:tblPr>
      <w:tblGrid>
        <w:gridCol w:w="450"/>
        <w:gridCol w:w="687"/>
        <w:gridCol w:w="670"/>
        <w:gridCol w:w="710"/>
        <w:gridCol w:w="717"/>
        <w:gridCol w:w="691"/>
        <w:gridCol w:w="770"/>
        <w:gridCol w:w="779"/>
        <w:gridCol w:w="794"/>
        <w:gridCol w:w="653"/>
        <w:gridCol w:w="630"/>
        <w:gridCol w:w="643"/>
        <w:gridCol w:w="670"/>
        <w:gridCol w:w="683"/>
        <w:gridCol w:w="558"/>
        <w:gridCol w:w="527"/>
      </w:tblGrid>
      <w:tr w:rsidR="007D0548" w:rsidRPr="00F410C8" w14:paraId="3CB1CAF0" w14:textId="77777777" w:rsidTr="0077258C">
        <w:tc>
          <w:tcPr>
            <w:tcW w:w="10632" w:type="dxa"/>
            <w:gridSpan w:val="16"/>
            <w:shd w:val="clear" w:color="auto" w:fill="auto"/>
          </w:tcPr>
          <w:p w14:paraId="30EAD9C9" w14:textId="77777777" w:rsidR="007D0548" w:rsidRPr="00510442" w:rsidRDefault="00650582" w:rsidP="00886F68">
            <w:pPr>
              <w:keepNext/>
              <w:widowControl w:val="0"/>
              <w:spacing w:line="240" w:lineRule="auto"/>
              <w:ind w:left="1134" w:hanging="1134"/>
              <w:outlineLvl w:val="6"/>
              <w:rPr>
                <w:rFonts w:ascii="Arial" w:hAnsi="Arial" w:cs="Arial"/>
                <w:sz w:val="20"/>
                <w:lang w:val="hr-HR"/>
              </w:rPr>
            </w:pPr>
            <w:r w:rsidRPr="00510442">
              <w:rPr>
                <w:rFonts w:ascii="Arial" w:hAnsi="Arial" w:cs="Arial"/>
                <w:sz w:val="20"/>
                <w:lang w:val="hr-HR"/>
              </w:rPr>
              <w:t xml:space="preserve">Broj izloženih riziku </w:t>
            </w:r>
            <w:r w:rsidR="007D0548" w:rsidRPr="00510442">
              <w:rPr>
                <w:rFonts w:ascii="Arial" w:hAnsi="Arial" w:cs="Arial"/>
                <w:sz w:val="20"/>
                <w:lang w:val="hr-HR"/>
              </w:rPr>
              <w:t xml:space="preserve">: </w:t>
            </w:r>
            <w:r w:rsidRPr="00510442">
              <w:rPr>
                <w:rFonts w:ascii="Arial" w:hAnsi="Arial" w:cs="Arial"/>
                <w:sz w:val="20"/>
                <w:lang w:val="hr-HR"/>
              </w:rPr>
              <w:t>broj d</w:t>
            </w:r>
            <w:r w:rsidR="00490021" w:rsidRPr="00510442">
              <w:rPr>
                <w:rFonts w:ascii="Arial" w:hAnsi="Arial" w:cs="Arial"/>
                <w:sz w:val="20"/>
                <w:lang w:val="hr-HR"/>
              </w:rPr>
              <w:t>ogađaj</w:t>
            </w:r>
            <w:r w:rsidRPr="00510442">
              <w:rPr>
                <w:rFonts w:ascii="Arial" w:hAnsi="Arial" w:cs="Arial"/>
                <w:sz w:val="20"/>
                <w:lang w:val="hr-HR"/>
              </w:rPr>
              <w:t>a</w:t>
            </w:r>
          </w:p>
        </w:tc>
      </w:tr>
      <w:tr w:rsidR="007D0548" w:rsidRPr="00510442" w14:paraId="206C6A6B" w14:textId="77777777" w:rsidTr="0077258C">
        <w:tc>
          <w:tcPr>
            <w:tcW w:w="450" w:type="dxa"/>
            <w:shd w:val="clear" w:color="auto" w:fill="auto"/>
          </w:tcPr>
          <w:p w14:paraId="0BC327A4" w14:textId="77777777" w:rsidR="007D0548" w:rsidRPr="00510442" w:rsidRDefault="007D0548" w:rsidP="009B5630">
            <w:pPr>
              <w:spacing w:line="240" w:lineRule="auto"/>
              <w:rPr>
                <w:sz w:val="20"/>
                <w:lang w:val="hr-HR"/>
              </w:rPr>
            </w:pPr>
            <w:r w:rsidRPr="00510442">
              <w:rPr>
                <w:sz w:val="20"/>
                <w:lang w:val="hr-HR"/>
              </w:rPr>
              <w:t>(1)</w:t>
            </w:r>
          </w:p>
        </w:tc>
        <w:tc>
          <w:tcPr>
            <w:tcW w:w="691" w:type="dxa"/>
            <w:shd w:val="clear" w:color="auto" w:fill="auto"/>
          </w:tcPr>
          <w:p w14:paraId="58D478DF" w14:textId="77777777" w:rsidR="007D0548" w:rsidRPr="00510442" w:rsidRDefault="007D0548" w:rsidP="009B5630">
            <w:pPr>
              <w:spacing w:line="240" w:lineRule="auto"/>
              <w:ind w:left="-45"/>
              <w:rPr>
                <w:sz w:val="20"/>
                <w:lang w:val="hr-HR"/>
              </w:rPr>
            </w:pPr>
            <w:r w:rsidRPr="00510442">
              <w:rPr>
                <w:sz w:val="20"/>
                <w:lang w:val="hr-HR"/>
              </w:rPr>
              <w:t>199:0</w:t>
            </w:r>
          </w:p>
        </w:tc>
        <w:tc>
          <w:tcPr>
            <w:tcW w:w="672" w:type="dxa"/>
            <w:shd w:val="clear" w:color="auto" w:fill="auto"/>
          </w:tcPr>
          <w:p w14:paraId="6A2DE8FD" w14:textId="77777777" w:rsidR="007D0548" w:rsidRPr="00510442" w:rsidRDefault="007D0548" w:rsidP="009B5630">
            <w:pPr>
              <w:spacing w:line="240" w:lineRule="auto"/>
              <w:ind w:left="-45"/>
              <w:rPr>
                <w:sz w:val="20"/>
                <w:lang w:val="hr-HR"/>
              </w:rPr>
            </w:pPr>
            <w:r w:rsidRPr="00510442">
              <w:rPr>
                <w:sz w:val="20"/>
                <w:lang w:val="hr-HR"/>
              </w:rPr>
              <w:t>190:2</w:t>
            </w:r>
          </w:p>
        </w:tc>
        <w:tc>
          <w:tcPr>
            <w:tcW w:w="714" w:type="dxa"/>
            <w:shd w:val="clear" w:color="auto" w:fill="auto"/>
          </w:tcPr>
          <w:p w14:paraId="7E5013EA" w14:textId="77777777" w:rsidR="007D0548" w:rsidRPr="00510442" w:rsidRDefault="007D0548" w:rsidP="009B5630">
            <w:pPr>
              <w:spacing w:line="240" w:lineRule="auto"/>
              <w:ind w:left="-45"/>
              <w:rPr>
                <w:sz w:val="20"/>
                <w:lang w:val="hr-HR"/>
              </w:rPr>
            </w:pPr>
            <w:r w:rsidRPr="00510442">
              <w:rPr>
                <w:sz w:val="20"/>
                <w:lang w:val="hr-HR"/>
              </w:rPr>
              <w:t>188:2</w:t>
            </w:r>
          </w:p>
        </w:tc>
        <w:tc>
          <w:tcPr>
            <w:tcW w:w="722" w:type="dxa"/>
            <w:shd w:val="clear" w:color="auto" w:fill="auto"/>
          </w:tcPr>
          <w:p w14:paraId="6118E853" w14:textId="77777777" w:rsidR="007D0548" w:rsidRPr="00510442" w:rsidRDefault="007D0548" w:rsidP="009B5630">
            <w:pPr>
              <w:spacing w:line="240" w:lineRule="auto"/>
              <w:ind w:left="-45"/>
              <w:rPr>
                <w:sz w:val="20"/>
                <w:lang w:val="hr-HR"/>
              </w:rPr>
            </w:pPr>
            <w:r w:rsidRPr="00510442">
              <w:rPr>
                <w:sz w:val="20"/>
                <w:lang w:val="hr-HR"/>
              </w:rPr>
              <w:t>183:6</w:t>
            </w:r>
          </w:p>
        </w:tc>
        <w:tc>
          <w:tcPr>
            <w:tcW w:w="694" w:type="dxa"/>
            <w:shd w:val="clear" w:color="auto" w:fill="auto"/>
          </w:tcPr>
          <w:p w14:paraId="13959CC9" w14:textId="77777777" w:rsidR="007D0548" w:rsidRPr="00510442" w:rsidRDefault="007D0548" w:rsidP="009B5630">
            <w:pPr>
              <w:spacing w:line="240" w:lineRule="auto"/>
              <w:ind w:left="-45"/>
              <w:rPr>
                <w:sz w:val="20"/>
                <w:lang w:val="hr-HR"/>
              </w:rPr>
            </w:pPr>
            <w:r w:rsidRPr="00510442">
              <w:rPr>
                <w:sz w:val="20"/>
                <w:lang w:val="hr-HR"/>
              </w:rPr>
              <w:t>176:8</w:t>
            </w:r>
          </w:p>
        </w:tc>
        <w:tc>
          <w:tcPr>
            <w:tcW w:w="772" w:type="dxa"/>
            <w:shd w:val="clear" w:color="auto" w:fill="auto"/>
          </w:tcPr>
          <w:p w14:paraId="6DAC7C52" w14:textId="77777777" w:rsidR="007D0548" w:rsidRPr="00510442" w:rsidRDefault="007D0548" w:rsidP="009B5630">
            <w:pPr>
              <w:spacing w:line="240" w:lineRule="auto"/>
              <w:ind w:left="-45"/>
              <w:rPr>
                <w:sz w:val="20"/>
                <w:lang w:val="hr-HR"/>
              </w:rPr>
            </w:pPr>
            <w:r w:rsidRPr="00510442">
              <w:rPr>
                <w:sz w:val="20"/>
                <w:lang w:val="hr-HR"/>
              </w:rPr>
              <w:t>156:10</w:t>
            </w:r>
          </w:p>
        </w:tc>
        <w:tc>
          <w:tcPr>
            <w:tcW w:w="782" w:type="dxa"/>
            <w:shd w:val="clear" w:color="auto" w:fill="auto"/>
          </w:tcPr>
          <w:p w14:paraId="0D2A4390" w14:textId="77777777" w:rsidR="007D0548" w:rsidRPr="00510442" w:rsidRDefault="007D0548" w:rsidP="009B5630">
            <w:pPr>
              <w:spacing w:line="240" w:lineRule="auto"/>
              <w:ind w:left="-45"/>
              <w:rPr>
                <w:sz w:val="20"/>
                <w:lang w:val="hr-HR"/>
              </w:rPr>
            </w:pPr>
            <w:r w:rsidRPr="00510442">
              <w:rPr>
                <w:sz w:val="20"/>
                <w:lang w:val="hr-HR"/>
              </w:rPr>
              <w:t>140:11</w:t>
            </w:r>
          </w:p>
        </w:tc>
        <w:tc>
          <w:tcPr>
            <w:tcW w:w="798" w:type="dxa"/>
            <w:shd w:val="clear" w:color="auto" w:fill="auto"/>
          </w:tcPr>
          <w:p w14:paraId="296EA2D6" w14:textId="77777777" w:rsidR="007D0548" w:rsidRPr="00510442" w:rsidRDefault="007D0548" w:rsidP="009B5630">
            <w:pPr>
              <w:spacing w:line="240" w:lineRule="auto"/>
              <w:ind w:left="-45"/>
              <w:rPr>
                <w:sz w:val="20"/>
                <w:lang w:val="hr-HR"/>
              </w:rPr>
            </w:pPr>
            <w:r w:rsidRPr="00510442">
              <w:rPr>
                <w:sz w:val="20"/>
                <w:lang w:val="hr-HR"/>
              </w:rPr>
              <w:t>105:14</w:t>
            </w:r>
          </w:p>
        </w:tc>
        <w:tc>
          <w:tcPr>
            <w:tcW w:w="654" w:type="dxa"/>
            <w:shd w:val="clear" w:color="auto" w:fill="auto"/>
          </w:tcPr>
          <w:p w14:paraId="1469B613" w14:textId="77777777" w:rsidR="007D0548" w:rsidRPr="00510442" w:rsidRDefault="007D0548" w:rsidP="009B5630">
            <w:pPr>
              <w:spacing w:line="240" w:lineRule="auto"/>
              <w:ind w:left="-45"/>
              <w:rPr>
                <w:sz w:val="20"/>
                <w:lang w:val="hr-HR"/>
              </w:rPr>
            </w:pPr>
            <w:r w:rsidRPr="00510442">
              <w:rPr>
                <w:sz w:val="20"/>
                <w:lang w:val="hr-HR"/>
              </w:rPr>
              <w:t>87:18</w:t>
            </w:r>
          </w:p>
        </w:tc>
        <w:tc>
          <w:tcPr>
            <w:tcW w:w="630" w:type="dxa"/>
            <w:shd w:val="clear" w:color="auto" w:fill="auto"/>
          </w:tcPr>
          <w:p w14:paraId="367AB192" w14:textId="77777777" w:rsidR="007D0548" w:rsidRPr="00510442" w:rsidRDefault="007D0548" w:rsidP="009B5630">
            <w:pPr>
              <w:spacing w:line="240" w:lineRule="auto"/>
              <w:ind w:left="-45"/>
              <w:rPr>
                <w:sz w:val="20"/>
                <w:lang w:val="hr-HR"/>
              </w:rPr>
            </w:pPr>
            <w:r w:rsidRPr="00510442">
              <w:rPr>
                <w:sz w:val="20"/>
                <w:lang w:val="hr-HR"/>
              </w:rPr>
              <w:t>64:22</w:t>
            </w:r>
          </w:p>
        </w:tc>
        <w:tc>
          <w:tcPr>
            <w:tcW w:w="644" w:type="dxa"/>
            <w:shd w:val="clear" w:color="auto" w:fill="auto"/>
          </w:tcPr>
          <w:p w14:paraId="1BFB107F" w14:textId="77777777" w:rsidR="007D0548" w:rsidRPr="00510442" w:rsidRDefault="007D0548" w:rsidP="009B5630">
            <w:pPr>
              <w:spacing w:line="240" w:lineRule="auto"/>
              <w:ind w:left="-45"/>
              <w:rPr>
                <w:sz w:val="20"/>
                <w:lang w:val="hr-HR"/>
              </w:rPr>
            </w:pPr>
            <w:r w:rsidRPr="00510442">
              <w:rPr>
                <w:sz w:val="20"/>
                <w:lang w:val="hr-HR"/>
              </w:rPr>
              <w:t>46:23</w:t>
            </w:r>
          </w:p>
        </w:tc>
        <w:tc>
          <w:tcPr>
            <w:tcW w:w="672" w:type="dxa"/>
            <w:shd w:val="clear" w:color="auto" w:fill="auto"/>
          </w:tcPr>
          <w:p w14:paraId="09B4A58B" w14:textId="77777777" w:rsidR="007D0548" w:rsidRPr="00510442" w:rsidRDefault="007D0548" w:rsidP="009B5630">
            <w:pPr>
              <w:spacing w:line="240" w:lineRule="auto"/>
              <w:ind w:left="-45"/>
              <w:rPr>
                <w:sz w:val="20"/>
                <w:lang w:val="hr-HR"/>
              </w:rPr>
            </w:pPr>
            <w:r w:rsidRPr="00510442">
              <w:rPr>
                <w:sz w:val="20"/>
                <w:lang w:val="hr-HR"/>
              </w:rPr>
              <w:t>27:25</w:t>
            </w:r>
          </w:p>
        </w:tc>
        <w:tc>
          <w:tcPr>
            <w:tcW w:w="686" w:type="dxa"/>
            <w:shd w:val="clear" w:color="auto" w:fill="auto"/>
          </w:tcPr>
          <w:p w14:paraId="723F6AF5" w14:textId="77777777" w:rsidR="007D0548" w:rsidRPr="00510442" w:rsidRDefault="007D0548" w:rsidP="009B5630">
            <w:pPr>
              <w:spacing w:line="240" w:lineRule="auto"/>
              <w:ind w:left="-45"/>
              <w:rPr>
                <w:sz w:val="20"/>
                <w:lang w:val="hr-HR"/>
              </w:rPr>
            </w:pPr>
            <w:r w:rsidRPr="00510442">
              <w:rPr>
                <w:sz w:val="20"/>
                <w:lang w:val="hr-HR"/>
              </w:rPr>
              <w:t>20:25</w:t>
            </w:r>
          </w:p>
        </w:tc>
        <w:tc>
          <w:tcPr>
            <w:tcW w:w="560" w:type="dxa"/>
            <w:shd w:val="clear" w:color="auto" w:fill="auto"/>
          </w:tcPr>
          <w:p w14:paraId="05F73251" w14:textId="77777777" w:rsidR="007D0548" w:rsidRPr="00510442" w:rsidRDefault="007D0548" w:rsidP="009B5630">
            <w:pPr>
              <w:spacing w:line="240" w:lineRule="auto"/>
              <w:ind w:left="-45"/>
              <w:rPr>
                <w:sz w:val="20"/>
                <w:lang w:val="hr-HR"/>
              </w:rPr>
            </w:pPr>
            <w:r w:rsidRPr="00510442">
              <w:rPr>
                <w:sz w:val="20"/>
                <w:lang w:val="hr-HR"/>
              </w:rPr>
              <w:t>2:25</w:t>
            </w:r>
          </w:p>
        </w:tc>
        <w:tc>
          <w:tcPr>
            <w:tcW w:w="491" w:type="dxa"/>
            <w:shd w:val="clear" w:color="auto" w:fill="auto"/>
          </w:tcPr>
          <w:p w14:paraId="775203E5" w14:textId="77777777" w:rsidR="007D0548" w:rsidRPr="00510442" w:rsidRDefault="007D0548" w:rsidP="009B5630">
            <w:pPr>
              <w:spacing w:line="240" w:lineRule="auto"/>
              <w:ind w:left="-45"/>
              <w:rPr>
                <w:sz w:val="20"/>
                <w:lang w:val="hr-HR"/>
              </w:rPr>
            </w:pPr>
            <w:r w:rsidRPr="00510442">
              <w:rPr>
                <w:sz w:val="20"/>
                <w:lang w:val="hr-HR"/>
              </w:rPr>
              <w:t>0:25</w:t>
            </w:r>
          </w:p>
        </w:tc>
      </w:tr>
      <w:tr w:rsidR="007D0548" w:rsidRPr="00510442" w14:paraId="03BA7195" w14:textId="77777777" w:rsidTr="0077258C">
        <w:tc>
          <w:tcPr>
            <w:tcW w:w="450" w:type="dxa"/>
            <w:shd w:val="clear" w:color="auto" w:fill="auto"/>
          </w:tcPr>
          <w:p w14:paraId="7A3B5905" w14:textId="77777777" w:rsidR="007D0548" w:rsidRPr="00510442" w:rsidRDefault="007D0548" w:rsidP="009B5630">
            <w:pPr>
              <w:spacing w:line="240" w:lineRule="auto"/>
              <w:rPr>
                <w:sz w:val="20"/>
                <w:lang w:val="hr-HR"/>
              </w:rPr>
            </w:pPr>
            <w:r w:rsidRPr="00510442">
              <w:rPr>
                <w:sz w:val="20"/>
                <w:lang w:val="hr-HR"/>
              </w:rPr>
              <w:t>(2)</w:t>
            </w:r>
          </w:p>
        </w:tc>
        <w:tc>
          <w:tcPr>
            <w:tcW w:w="691" w:type="dxa"/>
            <w:shd w:val="clear" w:color="auto" w:fill="auto"/>
          </w:tcPr>
          <w:p w14:paraId="51D2FFF7" w14:textId="77777777" w:rsidR="007D0548" w:rsidRPr="00510442" w:rsidRDefault="007D0548" w:rsidP="009B5630">
            <w:pPr>
              <w:spacing w:line="240" w:lineRule="auto"/>
              <w:ind w:left="-45"/>
              <w:rPr>
                <w:sz w:val="20"/>
                <w:lang w:val="hr-HR"/>
              </w:rPr>
            </w:pPr>
            <w:r w:rsidRPr="00510442">
              <w:rPr>
                <w:sz w:val="20"/>
                <w:lang w:val="hr-HR"/>
              </w:rPr>
              <w:t>198:0</w:t>
            </w:r>
          </w:p>
        </w:tc>
        <w:tc>
          <w:tcPr>
            <w:tcW w:w="672" w:type="dxa"/>
            <w:shd w:val="clear" w:color="auto" w:fill="auto"/>
          </w:tcPr>
          <w:p w14:paraId="26B276FB" w14:textId="77777777" w:rsidR="007D0548" w:rsidRPr="00510442" w:rsidRDefault="007D0548" w:rsidP="009B5630">
            <w:pPr>
              <w:spacing w:line="240" w:lineRule="auto"/>
              <w:ind w:left="-45"/>
              <w:rPr>
                <w:sz w:val="20"/>
                <w:lang w:val="hr-HR"/>
              </w:rPr>
            </w:pPr>
            <w:r w:rsidRPr="00510442">
              <w:rPr>
                <w:sz w:val="20"/>
                <w:lang w:val="hr-HR"/>
              </w:rPr>
              <w:t>196:0</w:t>
            </w:r>
          </w:p>
        </w:tc>
        <w:tc>
          <w:tcPr>
            <w:tcW w:w="714" w:type="dxa"/>
            <w:shd w:val="clear" w:color="auto" w:fill="auto"/>
          </w:tcPr>
          <w:p w14:paraId="278B4344" w14:textId="77777777" w:rsidR="007D0548" w:rsidRPr="00510442" w:rsidRDefault="007D0548" w:rsidP="009B5630">
            <w:pPr>
              <w:spacing w:line="240" w:lineRule="auto"/>
              <w:ind w:left="-45"/>
              <w:rPr>
                <w:sz w:val="20"/>
                <w:lang w:val="hr-HR"/>
              </w:rPr>
            </w:pPr>
            <w:r w:rsidRPr="00510442">
              <w:rPr>
                <w:sz w:val="20"/>
                <w:lang w:val="hr-HR"/>
              </w:rPr>
              <w:t>192:0</w:t>
            </w:r>
          </w:p>
        </w:tc>
        <w:tc>
          <w:tcPr>
            <w:tcW w:w="722" w:type="dxa"/>
            <w:shd w:val="clear" w:color="auto" w:fill="auto"/>
          </w:tcPr>
          <w:p w14:paraId="24A05781" w14:textId="77777777" w:rsidR="007D0548" w:rsidRPr="00510442" w:rsidRDefault="007D0548" w:rsidP="009B5630">
            <w:pPr>
              <w:spacing w:line="240" w:lineRule="auto"/>
              <w:ind w:left="-45"/>
              <w:rPr>
                <w:sz w:val="20"/>
                <w:lang w:val="hr-HR"/>
              </w:rPr>
            </w:pPr>
            <w:r w:rsidRPr="00510442">
              <w:rPr>
                <w:sz w:val="20"/>
                <w:lang w:val="hr-HR"/>
              </w:rPr>
              <w:t>187:4</w:t>
            </w:r>
          </w:p>
        </w:tc>
        <w:tc>
          <w:tcPr>
            <w:tcW w:w="694" w:type="dxa"/>
            <w:shd w:val="clear" w:color="auto" w:fill="auto"/>
          </w:tcPr>
          <w:p w14:paraId="3649B480" w14:textId="77777777" w:rsidR="007D0548" w:rsidRPr="00510442" w:rsidRDefault="007D0548" w:rsidP="009B5630">
            <w:pPr>
              <w:spacing w:line="240" w:lineRule="auto"/>
              <w:ind w:left="-45"/>
              <w:rPr>
                <w:sz w:val="20"/>
                <w:lang w:val="hr-HR"/>
              </w:rPr>
            </w:pPr>
            <w:r w:rsidRPr="00510442">
              <w:rPr>
                <w:sz w:val="20"/>
                <w:lang w:val="hr-HR"/>
              </w:rPr>
              <w:t>184:5</w:t>
            </w:r>
          </w:p>
        </w:tc>
        <w:tc>
          <w:tcPr>
            <w:tcW w:w="772" w:type="dxa"/>
            <w:shd w:val="clear" w:color="auto" w:fill="auto"/>
          </w:tcPr>
          <w:p w14:paraId="449E54A9" w14:textId="77777777" w:rsidR="007D0548" w:rsidRPr="00510442" w:rsidRDefault="007D0548" w:rsidP="009B5630">
            <w:pPr>
              <w:spacing w:line="240" w:lineRule="auto"/>
              <w:ind w:left="-45"/>
              <w:rPr>
                <w:sz w:val="20"/>
                <w:lang w:val="hr-HR"/>
              </w:rPr>
            </w:pPr>
            <w:r w:rsidRPr="00510442">
              <w:rPr>
                <w:sz w:val="20"/>
                <w:lang w:val="hr-HR"/>
              </w:rPr>
              <w:t>164:7</w:t>
            </w:r>
          </w:p>
        </w:tc>
        <w:tc>
          <w:tcPr>
            <w:tcW w:w="782" w:type="dxa"/>
            <w:shd w:val="clear" w:color="auto" w:fill="auto"/>
          </w:tcPr>
          <w:p w14:paraId="0922C026" w14:textId="77777777" w:rsidR="007D0548" w:rsidRPr="00510442" w:rsidRDefault="007D0548" w:rsidP="009B5630">
            <w:pPr>
              <w:spacing w:line="240" w:lineRule="auto"/>
              <w:ind w:left="-45"/>
              <w:rPr>
                <w:sz w:val="20"/>
                <w:lang w:val="hr-HR"/>
              </w:rPr>
            </w:pPr>
            <w:r w:rsidRPr="00510442">
              <w:rPr>
                <w:sz w:val="20"/>
                <w:lang w:val="hr-HR"/>
              </w:rPr>
              <w:t>152:7</w:t>
            </w:r>
          </w:p>
        </w:tc>
        <w:tc>
          <w:tcPr>
            <w:tcW w:w="798" w:type="dxa"/>
            <w:shd w:val="clear" w:color="auto" w:fill="auto"/>
          </w:tcPr>
          <w:p w14:paraId="153222BC" w14:textId="77777777" w:rsidR="007D0548" w:rsidRPr="00510442" w:rsidRDefault="007D0548" w:rsidP="009B5630">
            <w:pPr>
              <w:spacing w:line="240" w:lineRule="auto"/>
              <w:ind w:left="-45"/>
              <w:rPr>
                <w:sz w:val="20"/>
                <w:lang w:val="hr-HR"/>
              </w:rPr>
            </w:pPr>
            <w:r w:rsidRPr="00510442">
              <w:rPr>
                <w:sz w:val="20"/>
                <w:lang w:val="hr-HR"/>
              </w:rPr>
              <w:t>119:8</w:t>
            </w:r>
          </w:p>
        </w:tc>
        <w:tc>
          <w:tcPr>
            <w:tcW w:w="654" w:type="dxa"/>
            <w:shd w:val="clear" w:color="auto" w:fill="auto"/>
          </w:tcPr>
          <w:p w14:paraId="3F6B513A" w14:textId="77777777" w:rsidR="007D0548" w:rsidRPr="00510442" w:rsidRDefault="007D0548" w:rsidP="009B5630">
            <w:pPr>
              <w:spacing w:line="240" w:lineRule="auto"/>
              <w:ind w:left="-45"/>
              <w:rPr>
                <w:sz w:val="20"/>
                <w:lang w:val="hr-HR"/>
              </w:rPr>
            </w:pPr>
            <w:r w:rsidRPr="00510442">
              <w:rPr>
                <w:sz w:val="20"/>
                <w:lang w:val="hr-HR"/>
              </w:rPr>
              <w:t>100:8</w:t>
            </w:r>
          </w:p>
        </w:tc>
        <w:tc>
          <w:tcPr>
            <w:tcW w:w="630" w:type="dxa"/>
            <w:shd w:val="clear" w:color="auto" w:fill="auto"/>
          </w:tcPr>
          <w:p w14:paraId="1317EA20" w14:textId="77777777" w:rsidR="007D0548" w:rsidRPr="00510442" w:rsidRDefault="007D0548" w:rsidP="009B5630">
            <w:pPr>
              <w:spacing w:line="240" w:lineRule="auto"/>
              <w:ind w:left="-45"/>
              <w:rPr>
                <w:sz w:val="20"/>
                <w:lang w:val="hr-HR"/>
              </w:rPr>
            </w:pPr>
            <w:r w:rsidRPr="00510442">
              <w:rPr>
                <w:sz w:val="20"/>
                <w:lang w:val="hr-HR"/>
              </w:rPr>
              <w:t>76:10</w:t>
            </w:r>
          </w:p>
        </w:tc>
        <w:tc>
          <w:tcPr>
            <w:tcW w:w="644" w:type="dxa"/>
            <w:shd w:val="clear" w:color="auto" w:fill="auto"/>
          </w:tcPr>
          <w:p w14:paraId="177D8F1D" w14:textId="77777777" w:rsidR="007D0548" w:rsidRPr="00510442" w:rsidRDefault="007D0548" w:rsidP="009B5630">
            <w:pPr>
              <w:spacing w:line="240" w:lineRule="auto"/>
              <w:ind w:left="-45"/>
              <w:rPr>
                <w:sz w:val="20"/>
                <w:lang w:val="hr-HR"/>
              </w:rPr>
            </w:pPr>
            <w:r w:rsidRPr="00510442">
              <w:rPr>
                <w:sz w:val="20"/>
                <w:lang w:val="hr-HR"/>
              </w:rPr>
              <w:t>56:11</w:t>
            </w:r>
          </w:p>
        </w:tc>
        <w:tc>
          <w:tcPr>
            <w:tcW w:w="672" w:type="dxa"/>
            <w:shd w:val="clear" w:color="auto" w:fill="auto"/>
          </w:tcPr>
          <w:p w14:paraId="46E81BEF" w14:textId="77777777" w:rsidR="007D0548" w:rsidRPr="00510442" w:rsidRDefault="007D0548" w:rsidP="009B5630">
            <w:pPr>
              <w:spacing w:line="240" w:lineRule="auto"/>
              <w:ind w:left="-45"/>
              <w:rPr>
                <w:sz w:val="20"/>
                <w:lang w:val="hr-HR"/>
              </w:rPr>
            </w:pPr>
            <w:r w:rsidRPr="00510442">
              <w:rPr>
                <w:sz w:val="20"/>
                <w:lang w:val="hr-HR"/>
              </w:rPr>
              <w:t>31:11</w:t>
            </w:r>
          </w:p>
        </w:tc>
        <w:tc>
          <w:tcPr>
            <w:tcW w:w="686" w:type="dxa"/>
            <w:shd w:val="clear" w:color="auto" w:fill="auto"/>
          </w:tcPr>
          <w:p w14:paraId="518475D7" w14:textId="77777777" w:rsidR="007D0548" w:rsidRPr="00510442" w:rsidRDefault="007D0548" w:rsidP="009B5630">
            <w:pPr>
              <w:spacing w:line="240" w:lineRule="auto"/>
              <w:ind w:left="-45"/>
              <w:rPr>
                <w:sz w:val="20"/>
                <w:lang w:val="hr-HR"/>
              </w:rPr>
            </w:pPr>
            <w:r w:rsidRPr="00510442">
              <w:rPr>
                <w:sz w:val="20"/>
                <w:lang w:val="hr-HR"/>
              </w:rPr>
              <w:t>13:12</w:t>
            </w:r>
          </w:p>
        </w:tc>
        <w:tc>
          <w:tcPr>
            <w:tcW w:w="560" w:type="dxa"/>
            <w:shd w:val="clear" w:color="auto" w:fill="auto"/>
          </w:tcPr>
          <w:p w14:paraId="61A9A706" w14:textId="77777777" w:rsidR="007D0548" w:rsidRPr="00510442" w:rsidRDefault="009845D2" w:rsidP="009B5630">
            <w:pPr>
              <w:spacing w:line="240" w:lineRule="auto"/>
              <w:ind w:left="-45"/>
              <w:rPr>
                <w:sz w:val="20"/>
                <w:lang w:val="hr-HR"/>
              </w:rPr>
            </w:pPr>
            <w:r w:rsidRPr="00510442">
              <w:rPr>
                <w:sz w:val="20"/>
                <w:lang w:val="hr-HR"/>
              </w:rPr>
              <w:t>0</w:t>
            </w:r>
            <w:r w:rsidR="007D0548" w:rsidRPr="00510442">
              <w:rPr>
                <w:sz w:val="20"/>
                <w:lang w:val="hr-HR"/>
              </w:rPr>
              <w:t>:12</w:t>
            </w:r>
          </w:p>
        </w:tc>
        <w:tc>
          <w:tcPr>
            <w:tcW w:w="491" w:type="dxa"/>
            <w:shd w:val="clear" w:color="auto" w:fill="auto"/>
          </w:tcPr>
          <w:p w14:paraId="44797CED" w14:textId="77777777" w:rsidR="007D0548" w:rsidRPr="00510442" w:rsidRDefault="007D0548" w:rsidP="009B5630">
            <w:pPr>
              <w:spacing w:line="240" w:lineRule="auto"/>
              <w:ind w:left="-45"/>
              <w:rPr>
                <w:sz w:val="20"/>
                <w:lang w:val="hr-HR"/>
              </w:rPr>
            </w:pPr>
          </w:p>
        </w:tc>
      </w:tr>
    </w:tbl>
    <w:p w14:paraId="22A420AC" w14:textId="77777777" w:rsidR="00936EF9" w:rsidRPr="00510442" w:rsidRDefault="00936EF9" w:rsidP="0091773C">
      <w:pPr>
        <w:pStyle w:val="Text"/>
        <w:spacing w:before="0"/>
        <w:jc w:val="left"/>
        <w:rPr>
          <w:rFonts w:eastAsia="MS Mincho"/>
          <w:color w:val="000000"/>
          <w:sz w:val="22"/>
          <w:szCs w:val="22"/>
          <w:lang w:val="hr-HR" w:eastAsia="ja-JP"/>
        </w:rPr>
      </w:pPr>
    </w:p>
    <w:p w14:paraId="0D861B2A" w14:textId="77777777" w:rsidR="00AE3BDB" w:rsidRPr="00510442" w:rsidRDefault="00AE3BDB" w:rsidP="00891EFB">
      <w:pPr>
        <w:pStyle w:val="Nottoc-headings"/>
        <w:spacing w:before="0" w:after="0"/>
        <w:ind w:left="0" w:firstLine="0"/>
        <w:rPr>
          <w:rFonts w:ascii="Times New Roman" w:eastAsia="MS Mincho" w:hAnsi="Times New Roman"/>
          <w:b w:val="0"/>
          <w:sz w:val="22"/>
          <w:szCs w:val="22"/>
          <w:lang w:val="hr-HR"/>
        </w:rPr>
      </w:pPr>
      <w:r w:rsidRPr="00510442">
        <w:rPr>
          <w:rFonts w:ascii="Times New Roman" w:eastAsia="MS Mincho" w:hAnsi="Times New Roman"/>
          <w:b w:val="0"/>
          <w:sz w:val="22"/>
          <w:szCs w:val="22"/>
          <w:lang w:val="hr-HR"/>
        </w:rPr>
        <w:t xml:space="preserve">Nema kontroliranih ispitivanja u pedijatrijskih bolesnika s c-Kit pozitivnim GIST-om. </w:t>
      </w:r>
      <w:r w:rsidR="00D65EF8" w:rsidRPr="00510442">
        <w:rPr>
          <w:rFonts w:ascii="Times New Roman" w:eastAsia="MS Mincho" w:hAnsi="Times New Roman"/>
          <w:b w:val="0"/>
          <w:sz w:val="22"/>
          <w:szCs w:val="22"/>
          <w:lang w:val="hr-HR"/>
        </w:rPr>
        <w:t xml:space="preserve">U </w:t>
      </w:r>
      <w:r w:rsidR="007914C7" w:rsidRPr="00510442">
        <w:rPr>
          <w:rFonts w:ascii="Times New Roman" w:eastAsia="MS Mincho" w:hAnsi="Times New Roman"/>
          <w:b w:val="0"/>
          <w:sz w:val="22"/>
          <w:szCs w:val="22"/>
          <w:lang w:val="hr-HR"/>
        </w:rPr>
        <w:t>7 </w:t>
      </w:r>
      <w:r w:rsidR="00D65EF8" w:rsidRPr="00510442">
        <w:rPr>
          <w:rFonts w:ascii="Times New Roman" w:eastAsia="MS Mincho" w:hAnsi="Times New Roman"/>
          <w:b w:val="0"/>
          <w:sz w:val="22"/>
          <w:szCs w:val="22"/>
          <w:lang w:val="hr-HR"/>
        </w:rPr>
        <w:t>publikacija zabilježeno je se</w:t>
      </w:r>
      <w:r w:rsidRPr="00510442">
        <w:rPr>
          <w:rFonts w:ascii="Times New Roman" w:eastAsia="MS Mincho" w:hAnsi="Times New Roman"/>
          <w:b w:val="0"/>
          <w:sz w:val="22"/>
          <w:szCs w:val="22"/>
          <w:lang w:val="hr-HR"/>
        </w:rPr>
        <w:t>damnaest (17)</w:t>
      </w:r>
      <w:r w:rsidR="007914C7" w:rsidRPr="00510442">
        <w:rPr>
          <w:rFonts w:ascii="Times New Roman" w:eastAsia="MS Mincho" w:hAnsi="Times New Roman"/>
          <w:b w:val="0"/>
          <w:sz w:val="22"/>
          <w:szCs w:val="22"/>
          <w:lang w:val="hr-HR"/>
        </w:rPr>
        <w:t> </w:t>
      </w:r>
      <w:r w:rsidRPr="00510442">
        <w:rPr>
          <w:rFonts w:ascii="Times New Roman" w:eastAsia="MS Mincho" w:hAnsi="Times New Roman"/>
          <w:b w:val="0"/>
          <w:sz w:val="22"/>
          <w:szCs w:val="22"/>
          <w:lang w:val="hr-HR"/>
        </w:rPr>
        <w:t>bolesnika s GIST-om (sa ili bez Kit ili PDFGR mutacija). Dob tih bolesnika bila je u rasponu od 8 do 18 godina, a imatinib se primjenj</w:t>
      </w:r>
      <w:r w:rsidR="00D65EF8" w:rsidRPr="00510442">
        <w:rPr>
          <w:rFonts w:ascii="Times New Roman" w:eastAsia="MS Mincho" w:hAnsi="Times New Roman"/>
          <w:b w:val="0"/>
          <w:sz w:val="22"/>
          <w:szCs w:val="22"/>
          <w:lang w:val="hr-HR"/>
        </w:rPr>
        <w:t>i</w:t>
      </w:r>
      <w:r w:rsidRPr="00510442">
        <w:rPr>
          <w:rFonts w:ascii="Times New Roman" w:eastAsia="MS Mincho" w:hAnsi="Times New Roman"/>
          <w:b w:val="0"/>
          <w:sz w:val="22"/>
          <w:szCs w:val="22"/>
          <w:lang w:val="hr-HR"/>
        </w:rPr>
        <w:t xml:space="preserve">vao kao adjuvantno liječenje i </w:t>
      </w:r>
      <w:r w:rsidR="00155C9C" w:rsidRPr="00510442">
        <w:rPr>
          <w:rFonts w:ascii="Times New Roman" w:eastAsia="MS Mincho" w:hAnsi="Times New Roman"/>
          <w:b w:val="0"/>
          <w:sz w:val="22"/>
          <w:szCs w:val="22"/>
          <w:lang w:val="hr-HR"/>
        </w:rPr>
        <w:t xml:space="preserve">za </w:t>
      </w:r>
      <w:r w:rsidRPr="00510442">
        <w:rPr>
          <w:rFonts w:ascii="Times New Roman" w:eastAsia="MS Mincho" w:hAnsi="Times New Roman"/>
          <w:b w:val="0"/>
          <w:sz w:val="22"/>
          <w:szCs w:val="22"/>
          <w:lang w:val="hr-HR"/>
        </w:rPr>
        <w:t xml:space="preserve">liječenje metastaza u dozama od 300 do 800 mg </w:t>
      </w:r>
      <w:r w:rsidR="00D65EF8" w:rsidRPr="00510442">
        <w:rPr>
          <w:rFonts w:ascii="Times New Roman" w:eastAsia="MS Mincho" w:hAnsi="Times New Roman"/>
          <w:b w:val="0"/>
          <w:sz w:val="22"/>
          <w:szCs w:val="22"/>
          <w:lang w:val="hr-HR"/>
        </w:rPr>
        <w:t>na dan</w:t>
      </w:r>
      <w:r w:rsidRPr="00510442">
        <w:rPr>
          <w:rFonts w:ascii="Times New Roman" w:eastAsia="MS Mincho" w:hAnsi="Times New Roman"/>
          <w:b w:val="0"/>
          <w:sz w:val="22"/>
          <w:szCs w:val="22"/>
          <w:lang w:val="hr-HR"/>
        </w:rPr>
        <w:t>. Većina pedijatrijskih bolesnika liječenih zbog GIST-a nije ima</w:t>
      </w:r>
      <w:r w:rsidR="00D65EF8" w:rsidRPr="00510442">
        <w:rPr>
          <w:rFonts w:ascii="Times New Roman" w:eastAsia="MS Mincho" w:hAnsi="Times New Roman"/>
          <w:b w:val="0"/>
          <w:sz w:val="22"/>
          <w:szCs w:val="22"/>
          <w:lang w:val="hr-HR"/>
        </w:rPr>
        <w:t>la podatke koji bi potvrdili c-K</w:t>
      </w:r>
      <w:r w:rsidRPr="00510442">
        <w:rPr>
          <w:rFonts w:ascii="Times New Roman" w:eastAsia="MS Mincho" w:hAnsi="Times New Roman"/>
          <w:b w:val="0"/>
          <w:sz w:val="22"/>
          <w:szCs w:val="22"/>
          <w:lang w:val="hr-HR"/>
        </w:rPr>
        <w:t>it ili PDGFR mutacije koje su možda dovele do miješanih kliničkih ishoda.</w:t>
      </w:r>
    </w:p>
    <w:p w14:paraId="6CCCC1F8" w14:textId="77777777" w:rsidR="00AE3BDB" w:rsidRPr="00510442" w:rsidRDefault="00AE3BDB" w:rsidP="00891EFB">
      <w:pPr>
        <w:pStyle w:val="Text"/>
        <w:spacing w:before="0"/>
        <w:rPr>
          <w:rFonts w:eastAsia="MS Mincho"/>
          <w:sz w:val="22"/>
          <w:szCs w:val="22"/>
          <w:lang w:val="hr-HR"/>
        </w:rPr>
      </w:pPr>
    </w:p>
    <w:p w14:paraId="063A2B47" w14:textId="77777777" w:rsidR="004C5C42" w:rsidRPr="00510442" w:rsidRDefault="006D37AA" w:rsidP="00891EFB">
      <w:pPr>
        <w:pStyle w:val="Nottoc-headings"/>
        <w:spacing w:before="0" w:after="0"/>
        <w:rPr>
          <w:rFonts w:ascii="Times New Roman" w:eastAsia="MS Mincho" w:hAnsi="Times New Roman"/>
          <w:b w:val="0"/>
          <w:color w:val="000000"/>
          <w:sz w:val="22"/>
          <w:szCs w:val="22"/>
          <w:u w:val="single"/>
          <w:lang w:val="hr-HR" w:eastAsia="ja-JP"/>
        </w:rPr>
      </w:pPr>
      <w:r w:rsidRPr="00510442">
        <w:rPr>
          <w:rFonts w:ascii="Times New Roman" w:eastAsia="MS Mincho" w:hAnsi="Times New Roman"/>
          <w:b w:val="0"/>
          <w:sz w:val="22"/>
          <w:szCs w:val="22"/>
          <w:u w:val="single"/>
          <w:lang w:val="hr-HR"/>
        </w:rPr>
        <w:t>Klinička ispitivanja kod DFSP-a</w:t>
      </w:r>
    </w:p>
    <w:p w14:paraId="009AF0BA" w14:textId="77FF3B93" w:rsidR="006D37AA" w:rsidRPr="00510442" w:rsidRDefault="006D37AA" w:rsidP="00891EFB">
      <w:pPr>
        <w:pStyle w:val="Text"/>
        <w:spacing w:before="0"/>
        <w:jc w:val="left"/>
        <w:rPr>
          <w:color w:val="000000"/>
          <w:sz w:val="22"/>
          <w:szCs w:val="22"/>
          <w:lang w:val="hr-HR" w:eastAsia="ja-JP"/>
        </w:rPr>
      </w:pPr>
      <w:r w:rsidRPr="00510442">
        <w:rPr>
          <w:color w:val="000000"/>
          <w:sz w:val="22"/>
          <w:szCs w:val="22"/>
          <w:lang w:val="hr-HR" w:eastAsia="ja-JP"/>
        </w:rPr>
        <w:t>Provedeno je jedno otvoreno, multicentrično kliničko ispitivanje faze II (studija B2225) koje je uključivalo 12</w:t>
      </w:r>
      <w:r w:rsidR="00576112" w:rsidRPr="00510442">
        <w:rPr>
          <w:color w:val="000000"/>
          <w:sz w:val="22"/>
          <w:szCs w:val="22"/>
          <w:lang w:val="hr-HR" w:eastAsia="ja-JP"/>
        </w:rPr>
        <w:t> </w:t>
      </w:r>
      <w:r w:rsidRPr="00510442">
        <w:rPr>
          <w:color w:val="000000"/>
          <w:sz w:val="22"/>
          <w:szCs w:val="22"/>
          <w:lang w:val="hr-HR" w:eastAsia="ja-JP"/>
        </w:rPr>
        <w:t xml:space="preserve">bolesnika s DFSP-om liječenih </w:t>
      </w:r>
      <w:r w:rsidR="00B0477E">
        <w:rPr>
          <w:sz w:val="22"/>
          <w:szCs w:val="22"/>
          <w:lang w:val="hr-HR"/>
        </w:rPr>
        <w:t xml:space="preserve">lijekom </w:t>
      </w:r>
      <w:r w:rsidRPr="00510442">
        <w:rPr>
          <w:color w:val="000000"/>
          <w:sz w:val="22"/>
          <w:szCs w:val="22"/>
          <w:lang w:val="hr-HR" w:eastAsia="ja-JP"/>
        </w:rPr>
        <w:t>Glivec 800</w:t>
      </w:r>
      <w:r w:rsidR="00576112" w:rsidRPr="00510442">
        <w:rPr>
          <w:color w:val="000000"/>
          <w:sz w:val="22"/>
          <w:szCs w:val="22"/>
          <w:lang w:val="hr-HR" w:eastAsia="ja-JP"/>
        </w:rPr>
        <w:t> </w:t>
      </w:r>
      <w:r w:rsidRPr="00510442">
        <w:rPr>
          <w:color w:val="000000"/>
          <w:sz w:val="22"/>
          <w:szCs w:val="22"/>
          <w:lang w:val="hr-HR" w:eastAsia="ja-JP"/>
        </w:rPr>
        <w:t xml:space="preserve">mg </w:t>
      </w:r>
      <w:r w:rsidR="002F0206" w:rsidRPr="00510442">
        <w:rPr>
          <w:color w:val="000000"/>
          <w:sz w:val="22"/>
          <w:szCs w:val="22"/>
          <w:lang w:val="hr-HR" w:eastAsia="ja-JP"/>
        </w:rPr>
        <w:t>na dan</w:t>
      </w:r>
      <w:r w:rsidRPr="00510442">
        <w:rPr>
          <w:color w:val="000000"/>
          <w:sz w:val="22"/>
          <w:szCs w:val="22"/>
          <w:lang w:val="hr-HR" w:eastAsia="ja-JP"/>
        </w:rPr>
        <w:t>. Dob bolesnika s DFSP-om kretala se od 23 do 75</w:t>
      </w:r>
      <w:r w:rsidR="00576112" w:rsidRPr="00510442">
        <w:rPr>
          <w:color w:val="000000"/>
          <w:sz w:val="22"/>
          <w:szCs w:val="22"/>
          <w:lang w:val="hr-HR" w:eastAsia="ja-JP"/>
        </w:rPr>
        <w:t> </w:t>
      </w:r>
      <w:r w:rsidRPr="00510442">
        <w:rPr>
          <w:color w:val="000000"/>
          <w:sz w:val="22"/>
          <w:szCs w:val="22"/>
          <w:lang w:val="hr-HR" w:eastAsia="ja-JP"/>
        </w:rPr>
        <w:t>godina; DFSP je bio metastazirajući, lokalno recidivirajući nakon inicijalnog resekcijskog kirurškog zahvata te nije smatran podobnim za dodatni resekcijski kirurški zahvat u trenutku uključivanja u studiju. Primarni dokaz djelotvornosti temeljio se na objektivnim stopama odgovora. Od 12</w:t>
      </w:r>
      <w:r w:rsidR="00576112" w:rsidRPr="00510442">
        <w:rPr>
          <w:color w:val="000000"/>
          <w:sz w:val="22"/>
          <w:szCs w:val="22"/>
          <w:lang w:val="hr-HR" w:eastAsia="ja-JP"/>
        </w:rPr>
        <w:t> </w:t>
      </w:r>
      <w:r w:rsidRPr="00510442">
        <w:rPr>
          <w:color w:val="000000"/>
          <w:sz w:val="22"/>
          <w:szCs w:val="22"/>
          <w:lang w:val="hr-HR" w:eastAsia="ja-JP"/>
        </w:rPr>
        <w:t xml:space="preserve">uključenih bolesnika, 9 je imalo odgovor, jedan potpuni, a 8 djelomični. </w:t>
      </w:r>
      <w:r w:rsidRPr="00510442">
        <w:rPr>
          <w:color w:val="000000"/>
          <w:sz w:val="22"/>
          <w:szCs w:val="22"/>
          <w:lang w:val="hr-HR"/>
        </w:rPr>
        <w:t>Tri bolesnika s djelomičnim odgovorom su kasnije postigla stanje bez bolesti uz pomoć kirurškog zahvata</w:t>
      </w:r>
      <w:r w:rsidRPr="00510442">
        <w:rPr>
          <w:color w:val="000000"/>
          <w:sz w:val="22"/>
          <w:szCs w:val="22"/>
          <w:lang w:val="hr-HR" w:eastAsia="ja-JP"/>
        </w:rPr>
        <w:t xml:space="preserve">. </w:t>
      </w:r>
      <w:r w:rsidRPr="00510442">
        <w:rPr>
          <w:sz w:val="22"/>
          <w:szCs w:val="22"/>
          <w:lang w:val="hr-HR"/>
        </w:rPr>
        <w:t xml:space="preserve">Medijan </w:t>
      </w:r>
      <w:r w:rsidRPr="00510442">
        <w:rPr>
          <w:color w:val="000000"/>
          <w:sz w:val="22"/>
          <w:szCs w:val="22"/>
          <w:lang w:val="hr-HR" w:eastAsia="ja-JP"/>
        </w:rPr>
        <w:t>trajanja terapije u studiji B2225 iznosio je 6,2</w:t>
      </w:r>
      <w:r w:rsidR="00576112" w:rsidRPr="00510442">
        <w:rPr>
          <w:color w:val="000000"/>
          <w:sz w:val="22"/>
          <w:szCs w:val="22"/>
          <w:lang w:val="hr-HR" w:eastAsia="ja-JP"/>
        </w:rPr>
        <w:t> </w:t>
      </w:r>
      <w:r w:rsidRPr="00510442">
        <w:rPr>
          <w:color w:val="000000"/>
          <w:sz w:val="22"/>
          <w:szCs w:val="22"/>
          <w:lang w:val="hr-HR" w:eastAsia="ja-JP"/>
        </w:rPr>
        <w:t>mjeseca, s maksimalnim trajanjem od 24,3</w:t>
      </w:r>
      <w:r w:rsidR="00576112" w:rsidRPr="00510442">
        <w:rPr>
          <w:color w:val="000000"/>
          <w:sz w:val="22"/>
          <w:szCs w:val="22"/>
          <w:lang w:val="hr-HR" w:eastAsia="ja-JP"/>
        </w:rPr>
        <w:t> </w:t>
      </w:r>
      <w:r w:rsidRPr="00510442">
        <w:rPr>
          <w:color w:val="000000"/>
          <w:sz w:val="22"/>
          <w:szCs w:val="22"/>
          <w:lang w:val="hr-HR" w:eastAsia="ja-JP"/>
        </w:rPr>
        <w:t>mjeseca. U 5</w:t>
      </w:r>
      <w:r w:rsidR="00576112" w:rsidRPr="00510442">
        <w:rPr>
          <w:color w:val="000000"/>
          <w:sz w:val="22"/>
          <w:szCs w:val="22"/>
          <w:lang w:val="hr-HR" w:eastAsia="ja-JP"/>
        </w:rPr>
        <w:t> </w:t>
      </w:r>
      <w:r w:rsidRPr="00510442">
        <w:rPr>
          <w:color w:val="000000"/>
          <w:sz w:val="22"/>
          <w:szCs w:val="22"/>
          <w:lang w:val="hr-HR" w:eastAsia="ja-JP"/>
        </w:rPr>
        <w:t xml:space="preserve">objavljenih prikaza slučajeva zabilježeno je dodatnih 6 bolesnika s DFSP-om liječenih </w:t>
      </w:r>
      <w:r w:rsidR="00B0477E">
        <w:rPr>
          <w:sz w:val="22"/>
          <w:szCs w:val="22"/>
          <w:lang w:val="hr-HR"/>
        </w:rPr>
        <w:t xml:space="preserve">lijekom </w:t>
      </w:r>
      <w:r w:rsidRPr="00510442">
        <w:rPr>
          <w:color w:val="000000"/>
          <w:sz w:val="22"/>
          <w:szCs w:val="22"/>
          <w:lang w:val="hr-HR" w:eastAsia="ja-JP"/>
        </w:rPr>
        <w:t>Glivec, s rasponom starosti od 18</w:t>
      </w:r>
      <w:r w:rsidR="00576112" w:rsidRPr="00510442">
        <w:rPr>
          <w:color w:val="000000"/>
          <w:sz w:val="22"/>
          <w:szCs w:val="22"/>
          <w:lang w:val="hr-HR" w:eastAsia="ja-JP"/>
        </w:rPr>
        <w:t> </w:t>
      </w:r>
      <w:r w:rsidRPr="00510442">
        <w:rPr>
          <w:color w:val="000000"/>
          <w:sz w:val="22"/>
          <w:szCs w:val="22"/>
          <w:lang w:val="hr-HR" w:eastAsia="ja-JP"/>
        </w:rPr>
        <w:t>mjeseci do 49</w:t>
      </w:r>
      <w:r w:rsidR="00576112" w:rsidRPr="00510442">
        <w:rPr>
          <w:color w:val="000000"/>
          <w:sz w:val="22"/>
          <w:szCs w:val="22"/>
          <w:lang w:val="hr-HR" w:eastAsia="ja-JP"/>
        </w:rPr>
        <w:t> </w:t>
      </w:r>
      <w:r w:rsidRPr="00510442">
        <w:rPr>
          <w:color w:val="000000"/>
          <w:sz w:val="22"/>
          <w:szCs w:val="22"/>
          <w:lang w:val="hr-HR" w:eastAsia="ja-JP"/>
        </w:rPr>
        <w:t>godina. Odrasli bolesnici navedeni u objavljenoj literaturi su liječeni ili s 400</w:t>
      </w:r>
      <w:r w:rsidR="00576112" w:rsidRPr="00510442">
        <w:rPr>
          <w:color w:val="000000"/>
          <w:sz w:val="22"/>
          <w:szCs w:val="22"/>
          <w:lang w:val="hr-HR" w:eastAsia="ja-JP"/>
        </w:rPr>
        <w:t> </w:t>
      </w:r>
      <w:r w:rsidRPr="00510442">
        <w:rPr>
          <w:color w:val="000000"/>
          <w:sz w:val="22"/>
          <w:szCs w:val="22"/>
          <w:lang w:val="hr-HR" w:eastAsia="ja-JP"/>
        </w:rPr>
        <w:t>mg (4</w:t>
      </w:r>
      <w:r w:rsidR="00576112" w:rsidRPr="00510442">
        <w:rPr>
          <w:color w:val="000000"/>
          <w:sz w:val="22"/>
          <w:szCs w:val="22"/>
          <w:lang w:val="hr-HR" w:eastAsia="ja-JP"/>
        </w:rPr>
        <w:t> </w:t>
      </w:r>
      <w:r w:rsidRPr="00510442">
        <w:rPr>
          <w:color w:val="000000"/>
          <w:sz w:val="22"/>
          <w:szCs w:val="22"/>
          <w:lang w:val="hr-HR" w:eastAsia="ja-JP"/>
        </w:rPr>
        <w:t>slučaja) ili s 800</w:t>
      </w:r>
      <w:r w:rsidR="00576112" w:rsidRPr="00510442">
        <w:rPr>
          <w:color w:val="000000"/>
          <w:sz w:val="22"/>
          <w:szCs w:val="22"/>
          <w:lang w:val="hr-HR" w:eastAsia="ja-JP"/>
        </w:rPr>
        <w:t> </w:t>
      </w:r>
      <w:r w:rsidRPr="00510442">
        <w:rPr>
          <w:color w:val="000000"/>
          <w:sz w:val="22"/>
          <w:szCs w:val="22"/>
          <w:lang w:val="hr-HR" w:eastAsia="ja-JP"/>
        </w:rPr>
        <w:t xml:space="preserve">mg (1 slučaj) </w:t>
      </w:r>
      <w:r w:rsidR="00A752CC" w:rsidRPr="00512481">
        <w:rPr>
          <w:sz w:val="22"/>
          <w:szCs w:val="22"/>
          <w:lang w:val="hr-HR"/>
        </w:rPr>
        <w:t xml:space="preserve">lijeka </w:t>
      </w:r>
      <w:r w:rsidRPr="00510442">
        <w:rPr>
          <w:color w:val="000000"/>
          <w:sz w:val="22"/>
          <w:szCs w:val="22"/>
          <w:lang w:val="hr-HR" w:eastAsia="ja-JP"/>
        </w:rPr>
        <w:t xml:space="preserve">Glivec </w:t>
      </w:r>
      <w:r w:rsidR="002F0206" w:rsidRPr="00510442">
        <w:rPr>
          <w:color w:val="000000"/>
          <w:sz w:val="22"/>
          <w:szCs w:val="22"/>
          <w:lang w:val="hr-HR" w:eastAsia="ja-JP"/>
        </w:rPr>
        <w:t>na dan</w:t>
      </w:r>
      <w:r w:rsidRPr="00510442">
        <w:rPr>
          <w:color w:val="000000"/>
          <w:sz w:val="22"/>
          <w:szCs w:val="22"/>
          <w:lang w:val="hr-HR" w:eastAsia="ja-JP"/>
        </w:rPr>
        <w:t xml:space="preserve">. </w:t>
      </w:r>
      <w:r w:rsidR="008C33AB" w:rsidRPr="00510442">
        <w:rPr>
          <w:color w:val="000000"/>
          <w:sz w:val="22"/>
          <w:szCs w:val="22"/>
          <w:lang w:val="hr-HR" w:eastAsia="ja-JP"/>
        </w:rPr>
        <w:t>Pet (</w:t>
      </w:r>
      <w:r w:rsidRPr="00510442">
        <w:rPr>
          <w:color w:val="000000"/>
          <w:sz w:val="22"/>
          <w:szCs w:val="22"/>
          <w:lang w:val="hr-HR" w:eastAsia="ja-JP"/>
        </w:rPr>
        <w:t>5</w:t>
      </w:r>
      <w:r w:rsidR="008C33AB" w:rsidRPr="00510442">
        <w:rPr>
          <w:color w:val="000000"/>
          <w:sz w:val="22"/>
          <w:szCs w:val="22"/>
          <w:lang w:val="hr-HR" w:eastAsia="ja-JP"/>
        </w:rPr>
        <w:t>)</w:t>
      </w:r>
      <w:r w:rsidR="00576112" w:rsidRPr="00510442">
        <w:rPr>
          <w:color w:val="000000"/>
          <w:sz w:val="22"/>
          <w:szCs w:val="22"/>
          <w:lang w:val="hr-HR" w:eastAsia="ja-JP"/>
        </w:rPr>
        <w:t> </w:t>
      </w:r>
      <w:r w:rsidRPr="00510442">
        <w:rPr>
          <w:color w:val="000000"/>
          <w:sz w:val="22"/>
          <w:szCs w:val="22"/>
          <w:lang w:val="hr-HR" w:eastAsia="ja-JP"/>
        </w:rPr>
        <w:t>bolesnika je imalo odgovor, 3</w:t>
      </w:r>
      <w:r w:rsidR="00576112" w:rsidRPr="00510442">
        <w:rPr>
          <w:color w:val="000000"/>
          <w:sz w:val="22"/>
          <w:szCs w:val="22"/>
          <w:lang w:val="hr-HR" w:eastAsia="ja-JP"/>
        </w:rPr>
        <w:t xml:space="preserve"> </w:t>
      </w:r>
      <w:r w:rsidRPr="00510442">
        <w:rPr>
          <w:color w:val="000000"/>
          <w:sz w:val="22"/>
          <w:szCs w:val="22"/>
          <w:lang w:val="hr-HR" w:eastAsia="ja-JP"/>
        </w:rPr>
        <w:t xml:space="preserve">potpuni i 2 djelomični. </w:t>
      </w:r>
      <w:r w:rsidRPr="00510442">
        <w:rPr>
          <w:sz w:val="22"/>
          <w:szCs w:val="22"/>
          <w:lang w:val="hr-HR"/>
        </w:rPr>
        <w:t xml:space="preserve">Medijan </w:t>
      </w:r>
      <w:r w:rsidRPr="00510442">
        <w:rPr>
          <w:color w:val="000000"/>
          <w:sz w:val="22"/>
          <w:szCs w:val="22"/>
          <w:lang w:val="hr-HR" w:eastAsia="ja-JP"/>
        </w:rPr>
        <w:t>trajanja liječenja u objavljenoj literaturi kretao se između 4</w:t>
      </w:r>
      <w:r w:rsidR="00576112" w:rsidRPr="00510442">
        <w:rPr>
          <w:color w:val="000000"/>
          <w:sz w:val="22"/>
          <w:szCs w:val="22"/>
          <w:lang w:val="hr-HR" w:eastAsia="ja-JP"/>
        </w:rPr>
        <w:t> </w:t>
      </w:r>
      <w:r w:rsidRPr="00510442">
        <w:rPr>
          <w:color w:val="000000"/>
          <w:sz w:val="22"/>
          <w:szCs w:val="22"/>
          <w:lang w:val="hr-HR" w:eastAsia="ja-JP"/>
        </w:rPr>
        <w:t>tjedana i više od 20</w:t>
      </w:r>
      <w:r w:rsidR="00576112" w:rsidRPr="00510442">
        <w:rPr>
          <w:color w:val="000000"/>
          <w:sz w:val="22"/>
          <w:szCs w:val="22"/>
          <w:lang w:val="hr-HR" w:eastAsia="ja-JP"/>
        </w:rPr>
        <w:t> </w:t>
      </w:r>
      <w:r w:rsidRPr="00510442">
        <w:rPr>
          <w:color w:val="000000"/>
          <w:sz w:val="22"/>
          <w:szCs w:val="22"/>
          <w:lang w:val="hr-HR" w:eastAsia="ja-JP"/>
        </w:rPr>
        <w:t xml:space="preserve">mjeseci. Translokacija t(17:22)[(q22:q13)], ili njezin genski proizvod, je bila prisutna kod gotovo svih bolesnika koji su odgovorili na liječenje </w:t>
      </w:r>
      <w:r w:rsidR="00B0477E">
        <w:rPr>
          <w:sz w:val="22"/>
          <w:szCs w:val="22"/>
          <w:lang w:val="hr-HR"/>
        </w:rPr>
        <w:t xml:space="preserve">lijekom </w:t>
      </w:r>
      <w:r w:rsidRPr="00510442">
        <w:rPr>
          <w:color w:val="000000"/>
          <w:sz w:val="22"/>
          <w:szCs w:val="22"/>
          <w:lang w:val="hr-HR" w:eastAsia="ja-JP"/>
        </w:rPr>
        <w:t>Glivec.</w:t>
      </w:r>
    </w:p>
    <w:p w14:paraId="5311D04F" w14:textId="77777777" w:rsidR="006B732B" w:rsidRPr="00510442" w:rsidRDefault="006B732B" w:rsidP="009B5630">
      <w:pPr>
        <w:numPr>
          <w:ilvl w:val="12"/>
          <w:numId w:val="0"/>
        </w:numPr>
        <w:spacing w:line="240" w:lineRule="auto"/>
        <w:ind w:right="-2"/>
        <w:rPr>
          <w:color w:val="000000"/>
          <w:szCs w:val="22"/>
          <w:lang w:val="hr-HR"/>
        </w:rPr>
      </w:pPr>
    </w:p>
    <w:p w14:paraId="6D713E24" w14:textId="77777777" w:rsidR="00AE3BDB" w:rsidRPr="00510442" w:rsidRDefault="00AE3BDB" w:rsidP="009B5630">
      <w:pPr>
        <w:numPr>
          <w:ilvl w:val="12"/>
          <w:numId w:val="0"/>
        </w:numPr>
        <w:spacing w:line="240" w:lineRule="auto"/>
        <w:ind w:right="-2"/>
        <w:rPr>
          <w:lang w:val="hr-HR"/>
        </w:rPr>
      </w:pPr>
      <w:r w:rsidRPr="00510442">
        <w:rPr>
          <w:color w:val="000000"/>
          <w:szCs w:val="22"/>
          <w:lang w:val="hr-HR"/>
        </w:rPr>
        <w:t xml:space="preserve">Nema kontroliranih ispitivanja u pedijatrijskih bolesnika s DFSP-om. </w:t>
      </w:r>
      <w:r w:rsidR="00D65EF8" w:rsidRPr="00510442">
        <w:rPr>
          <w:color w:val="000000"/>
          <w:szCs w:val="22"/>
          <w:lang w:val="hr-HR"/>
        </w:rPr>
        <w:t>U 3</w:t>
      </w:r>
      <w:r w:rsidR="007914C7" w:rsidRPr="00510442">
        <w:rPr>
          <w:color w:val="000000"/>
          <w:szCs w:val="22"/>
          <w:lang w:val="hr-HR"/>
        </w:rPr>
        <w:t> </w:t>
      </w:r>
      <w:r w:rsidR="00D65EF8" w:rsidRPr="00510442">
        <w:rPr>
          <w:color w:val="000000"/>
          <w:szCs w:val="22"/>
          <w:lang w:val="hr-HR"/>
        </w:rPr>
        <w:t>publikacije zabilježeno je p</w:t>
      </w:r>
      <w:r w:rsidRPr="00510442">
        <w:rPr>
          <w:color w:val="000000"/>
          <w:szCs w:val="22"/>
          <w:lang w:val="hr-HR"/>
        </w:rPr>
        <w:t>et (5)</w:t>
      </w:r>
      <w:r w:rsidR="007914C7" w:rsidRPr="00510442">
        <w:rPr>
          <w:color w:val="000000"/>
          <w:szCs w:val="22"/>
          <w:lang w:val="hr-HR"/>
        </w:rPr>
        <w:t> </w:t>
      </w:r>
      <w:r w:rsidRPr="00510442">
        <w:rPr>
          <w:color w:val="000000"/>
          <w:szCs w:val="22"/>
          <w:lang w:val="hr-HR"/>
        </w:rPr>
        <w:t xml:space="preserve">bolesnika s DFSP-om i </w:t>
      </w:r>
      <w:r w:rsidR="006F1BFB" w:rsidRPr="00510442">
        <w:rPr>
          <w:color w:val="000000"/>
          <w:szCs w:val="22"/>
          <w:lang w:val="hr-HR"/>
        </w:rPr>
        <w:t xml:space="preserve">preraspodjelom </w:t>
      </w:r>
      <w:r w:rsidRPr="00510442">
        <w:rPr>
          <w:color w:val="000000"/>
          <w:szCs w:val="22"/>
          <w:lang w:val="hr-HR"/>
        </w:rPr>
        <w:t>PDGFR gena. Dob tih bolesnika bila je u rasponu od novorođenčadi do 14 godina, a imatinib se primjenjivao u dozi od 50</w:t>
      </w:r>
      <w:r w:rsidRPr="00510442">
        <w:rPr>
          <w:lang w:val="hr-HR"/>
        </w:rPr>
        <w:t xml:space="preserve"> mg </w:t>
      </w:r>
      <w:r w:rsidR="00D65EF8" w:rsidRPr="00510442">
        <w:rPr>
          <w:lang w:val="hr-HR"/>
        </w:rPr>
        <w:t>na dan</w:t>
      </w:r>
      <w:r w:rsidRPr="00510442">
        <w:rPr>
          <w:lang w:val="hr-HR"/>
        </w:rPr>
        <w:t xml:space="preserve"> ili u dozama u rasponu od 400 do 520 mg/m</w:t>
      </w:r>
      <w:r w:rsidRPr="00510442">
        <w:rPr>
          <w:vertAlign w:val="superscript"/>
          <w:lang w:val="hr-HR"/>
        </w:rPr>
        <w:t>2</w:t>
      </w:r>
      <w:r w:rsidRPr="00510442">
        <w:rPr>
          <w:lang w:val="hr-HR"/>
        </w:rPr>
        <w:t xml:space="preserve"> </w:t>
      </w:r>
      <w:r w:rsidR="00D65EF8" w:rsidRPr="00510442">
        <w:rPr>
          <w:lang w:val="hr-HR"/>
        </w:rPr>
        <w:t>na dan</w:t>
      </w:r>
      <w:r w:rsidRPr="00510442">
        <w:rPr>
          <w:lang w:val="hr-HR"/>
        </w:rPr>
        <w:t xml:space="preserve">. </w:t>
      </w:r>
      <w:r w:rsidR="00A70413" w:rsidRPr="00510442">
        <w:rPr>
          <w:lang w:val="hr-HR"/>
        </w:rPr>
        <w:t>Svi su bolesnici postigli djelomič</w:t>
      </w:r>
      <w:r w:rsidR="00155C9C" w:rsidRPr="00510442">
        <w:rPr>
          <w:lang w:val="hr-HR"/>
        </w:rPr>
        <w:t>a</w:t>
      </w:r>
      <w:r w:rsidR="00A70413" w:rsidRPr="00510442">
        <w:rPr>
          <w:lang w:val="hr-HR"/>
        </w:rPr>
        <w:t xml:space="preserve">n i/ili </w:t>
      </w:r>
      <w:r w:rsidR="007914C7" w:rsidRPr="00510442">
        <w:rPr>
          <w:lang w:val="hr-HR"/>
        </w:rPr>
        <w:t>potpun</w:t>
      </w:r>
      <w:r w:rsidR="00A70413" w:rsidRPr="00510442">
        <w:rPr>
          <w:lang w:val="hr-HR"/>
        </w:rPr>
        <w:t xml:space="preserve"> odgovor.</w:t>
      </w:r>
    </w:p>
    <w:p w14:paraId="2C69CF69" w14:textId="77777777" w:rsidR="00A70413" w:rsidRPr="00510442" w:rsidRDefault="00A70413" w:rsidP="003179A4">
      <w:pPr>
        <w:keepNext/>
        <w:numPr>
          <w:ilvl w:val="12"/>
          <w:numId w:val="0"/>
        </w:numPr>
        <w:spacing w:line="240" w:lineRule="auto"/>
        <w:ind w:right="-2"/>
        <w:rPr>
          <w:lang w:val="hr-HR"/>
        </w:rPr>
      </w:pPr>
    </w:p>
    <w:p w14:paraId="7246AB02" w14:textId="77777777" w:rsidR="00742D63" w:rsidRPr="00510442" w:rsidRDefault="00742D63" w:rsidP="003179A4">
      <w:pPr>
        <w:keepNext/>
        <w:tabs>
          <w:tab w:val="clear" w:pos="567"/>
        </w:tabs>
        <w:spacing w:line="240" w:lineRule="auto"/>
        <w:ind w:left="567" w:hanging="567"/>
        <w:outlineLvl w:val="0"/>
        <w:rPr>
          <w:b/>
          <w:szCs w:val="22"/>
          <w:lang w:val="hr-HR"/>
        </w:rPr>
      </w:pPr>
      <w:r w:rsidRPr="00510442">
        <w:rPr>
          <w:b/>
          <w:szCs w:val="22"/>
          <w:lang w:val="hr-HR"/>
        </w:rPr>
        <w:t>5.2</w:t>
      </w:r>
      <w:r w:rsidRPr="00510442">
        <w:rPr>
          <w:b/>
          <w:szCs w:val="22"/>
          <w:lang w:val="hr-HR"/>
        </w:rPr>
        <w:tab/>
        <w:t>Farmakokinetička svojstva</w:t>
      </w:r>
    </w:p>
    <w:p w14:paraId="1C1B70F4" w14:textId="77777777" w:rsidR="009B57ED" w:rsidRPr="00510442" w:rsidRDefault="009B57ED" w:rsidP="003179A4">
      <w:pPr>
        <w:pStyle w:val="EndnoteText"/>
        <w:keepNext/>
        <w:widowControl w:val="0"/>
        <w:tabs>
          <w:tab w:val="clear" w:pos="567"/>
        </w:tabs>
        <w:rPr>
          <w:color w:val="000000"/>
          <w:szCs w:val="22"/>
          <w:lang w:val="hr-HR"/>
        </w:rPr>
      </w:pPr>
    </w:p>
    <w:p w14:paraId="63C8F29E" w14:textId="159D76E8" w:rsidR="009B57ED" w:rsidRPr="00510442" w:rsidRDefault="00BE4EC4" w:rsidP="003179A4">
      <w:pPr>
        <w:pStyle w:val="EndnoteText"/>
        <w:keepNext/>
        <w:widowControl w:val="0"/>
        <w:tabs>
          <w:tab w:val="clear" w:pos="567"/>
        </w:tabs>
        <w:rPr>
          <w:color w:val="000000"/>
          <w:szCs w:val="22"/>
          <w:u w:val="single"/>
          <w:lang w:val="hr-HR"/>
        </w:rPr>
      </w:pPr>
      <w:r w:rsidRPr="00510442">
        <w:rPr>
          <w:szCs w:val="22"/>
          <w:u w:val="single"/>
          <w:lang w:val="hr-HR"/>
        </w:rPr>
        <w:t xml:space="preserve">Farmakokinetika </w:t>
      </w:r>
      <w:r w:rsidR="00A752CC" w:rsidRPr="00A752CC">
        <w:rPr>
          <w:szCs w:val="22"/>
          <w:u w:val="single"/>
          <w:lang w:val="hr-HR"/>
        </w:rPr>
        <w:t xml:space="preserve">lijeka </w:t>
      </w:r>
      <w:r w:rsidRPr="00510442">
        <w:rPr>
          <w:szCs w:val="22"/>
          <w:u w:val="single"/>
          <w:lang w:val="hr-HR"/>
        </w:rPr>
        <w:t>Glivec</w:t>
      </w:r>
    </w:p>
    <w:p w14:paraId="2F107728" w14:textId="54E76989" w:rsidR="009B57ED" w:rsidRPr="00510442" w:rsidRDefault="00BE4EC4" w:rsidP="00A74D02">
      <w:pPr>
        <w:pStyle w:val="EndnoteText"/>
        <w:widowControl w:val="0"/>
        <w:tabs>
          <w:tab w:val="clear" w:pos="567"/>
        </w:tabs>
        <w:rPr>
          <w:color w:val="000000"/>
          <w:szCs w:val="22"/>
          <w:lang w:val="hr-HR"/>
        </w:rPr>
      </w:pPr>
      <w:r w:rsidRPr="00510442">
        <w:rPr>
          <w:szCs w:val="22"/>
          <w:lang w:val="hr-HR"/>
        </w:rPr>
        <w:t xml:space="preserve">Farmakokinetika </w:t>
      </w:r>
      <w:r w:rsidR="00A752CC" w:rsidRPr="00512481">
        <w:rPr>
          <w:szCs w:val="22"/>
          <w:lang w:val="hr-HR"/>
        </w:rPr>
        <w:t xml:space="preserve">lijeka </w:t>
      </w:r>
      <w:r w:rsidRPr="00510442">
        <w:rPr>
          <w:szCs w:val="22"/>
          <w:lang w:val="hr-HR"/>
        </w:rPr>
        <w:t xml:space="preserve">Glivec ocijenjena je na rasponu doziranja od 25 do </w:t>
      </w:r>
      <w:r w:rsidR="009B57ED" w:rsidRPr="00510442">
        <w:rPr>
          <w:color w:val="000000"/>
          <w:szCs w:val="22"/>
          <w:lang w:val="hr-HR"/>
        </w:rPr>
        <w:t xml:space="preserve">1000 mg. </w:t>
      </w:r>
      <w:r w:rsidRPr="00510442">
        <w:rPr>
          <w:szCs w:val="22"/>
          <w:lang w:val="hr-HR"/>
        </w:rPr>
        <w:t>Farmakokinetički profili u plazmi analizirani su na dan</w:t>
      </w:r>
      <w:r w:rsidR="009B57ED" w:rsidRPr="00510442">
        <w:rPr>
          <w:color w:val="000000"/>
          <w:szCs w:val="22"/>
          <w:lang w:val="hr-HR"/>
        </w:rPr>
        <w:t xml:space="preserve"> 1 </w:t>
      </w:r>
      <w:r w:rsidRPr="00510442">
        <w:rPr>
          <w:szCs w:val="22"/>
          <w:lang w:val="hr-HR"/>
        </w:rPr>
        <w:t>te ili na dan</w:t>
      </w:r>
      <w:r w:rsidR="009B57ED" w:rsidRPr="00510442">
        <w:rPr>
          <w:color w:val="000000"/>
          <w:szCs w:val="22"/>
          <w:lang w:val="hr-HR"/>
        </w:rPr>
        <w:t xml:space="preserve"> 7 </w:t>
      </w:r>
      <w:r w:rsidRPr="00510442">
        <w:rPr>
          <w:color w:val="000000"/>
          <w:szCs w:val="22"/>
          <w:lang w:val="hr-HR"/>
        </w:rPr>
        <w:t>ili na dan</w:t>
      </w:r>
      <w:r w:rsidR="009B57ED" w:rsidRPr="00510442">
        <w:rPr>
          <w:color w:val="000000"/>
          <w:szCs w:val="22"/>
          <w:lang w:val="hr-HR"/>
        </w:rPr>
        <w:t xml:space="preserve"> 28, </w:t>
      </w:r>
      <w:r w:rsidRPr="00510442">
        <w:rPr>
          <w:szCs w:val="22"/>
          <w:lang w:val="hr-HR"/>
        </w:rPr>
        <w:t xml:space="preserve">a do toga su vremena koncentracije u plazmi postigle </w:t>
      </w:r>
      <w:r w:rsidR="002B5ED4" w:rsidRPr="00510442">
        <w:rPr>
          <w:szCs w:val="22"/>
          <w:lang w:val="hr-HR"/>
        </w:rPr>
        <w:t>stanje dinamičke ravnoteže</w:t>
      </w:r>
      <w:r w:rsidR="009B57ED" w:rsidRPr="00510442">
        <w:rPr>
          <w:color w:val="000000"/>
          <w:szCs w:val="22"/>
          <w:lang w:val="hr-HR"/>
        </w:rPr>
        <w:t>.</w:t>
      </w:r>
    </w:p>
    <w:p w14:paraId="25B8189E" w14:textId="77777777" w:rsidR="009B57ED" w:rsidRPr="00510442" w:rsidRDefault="009B57ED" w:rsidP="007F1BD0">
      <w:pPr>
        <w:pStyle w:val="EndnoteText"/>
        <w:widowControl w:val="0"/>
        <w:tabs>
          <w:tab w:val="clear" w:pos="567"/>
        </w:tabs>
        <w:rPr>
          <w:color w:val="000000"/>
          <w:szCs w:val="22"/>
          <w:lang w:val="hr-HR"/>
        </w:rPr>
      </w:pPr>
    </w:p>
    <w:p w14:paraId="22952C22" w14:textId="77777777" w:rsidR="009B57ED" w:rsidRPr="00510442" w:rsidRDefault="00742D63" w:rsidP="003179A4">
      <w:pPr>
        <w:pStyle w:val="EndnoteText"/>
        <w:keepNext/>
        <w:widowControl w:val="0"/>
        <w:tabs>
          <w:tab w:val="clear" w:pos="567"/>
        </w:tabs>
        <w:rPr>
          <w:color w:val="000000"/>
          <w:szCs w:val="22"/>
          <w:lang w:val="hr-HR"/>
        </w:rPr>
      </w:pPr>
      <w:r w:rsidRPr="00510442">
        <w:rPr>
          <w:iCs/>
          <w:szCs w:val="22"/>
          <w:u w:val="single"/>
          <w:lang w:val="hr-HR"/>
        </w:rPr>
        <w:t>Apsorpcija</w:t>
      </w:r>
    </w:p>
    <w:p w14:paraId="4FCAD9CF" w14:textId="77777777" w:rsidR="009B57ED" w:rsidRPr="00510442" w:rsidRDefault="00BE4EC4" w:rsidP="00E368A2">
      <w:pPr>
        <w:pStyle w:val="EndnoteText"/>
        <w:widowControl w:val="0"/>
        <w:tabs>
          <w:tab w:val="clear" w:pos="567"/>
        </w:tabs>
        <w:rPr>
          <w:color w:val="000000"/>
          <w:szCs w:val="22"/>
          <w:lang w:val="hr-HR"/>
        </w:rPr>
      </w:pPr>
      <w:r w:rsidRPr="00510442">
        <w:rPr>
          <w:szCs w:val="22"/>
          <w:lang w:val="hr-HR"/>
        </w:rPr>
        <w:t>Srednja apsolutna bioraspoloživost za formulaciju kapsula je 98%. Između bolesnika postojala je velika varijabilnost u AUC razinama imatiniba u plazmi nakon jedne oralne doze. Kada im je doza dana uz obrok s velikim sadržajem masti, brzina apsorpcije imatiniba se minimalno smanjila (11% smanjenje vrijednosti C</w:t>
      </w:r>
      <w:r w:rsidRPr="00510442">
        <w:rPr>
          <w:szCs w:val="22"/>
          <w:vertAlign w:val="subscript"/>
          <w:lang w:val="hr-HR"/>
        </w:rPr>
        <w:t>max</w:t>
      </w:r>
      <w:r w:rsidRPr="00510442">
        <w:rPr>
          <w:szCs w:val="22"/>
          <w:lang w:val="hr-HR"/>
        </w:rPr>
        <w:t xml:space="preserve"> i produženje t</w:t>
      </w:r>
      <w:r w:rsidRPr="00510442">
        <w:rPr>
          <w:szCs w:val="22"/>
          <w:vertAlign w:val="subscript"/>
          <w:lang w:val="hr-HR"/>
        </w:rPr>
        <w:t>max</w:t>
      </w:r>
      <w:r w:rsidRPr="00510442">
        <w:rPr>
          <w:szCs w:val="22"/>
          <w:lang w:val="hr-HR"/>
        </w:rPr>
        <w:t xml:space="preserve"> za 1,5</w:t>
      </w:r>
      <w:r w:rsidRPr="00510442">
        <w:rPr>
          <w:color w:val="000000"/>
          <w:szCs w:val="22"/>
          <w:lang w:val="hr-HR"/>
        </w:rPr>
        <w:t> </w:t>
      </w:r>
      <w:r w:rsidRPr="00510442">
        <w:rPr>
          <w:szCs w:val="22"/>
          <w:lang w:val="hr-HR"/>
        </w:rPr>
        <w:t xml:space="preserve">h), uz malo smanjenje AUC vrijednosti (7,4%) u usporedbi kod stanja </w:t>
      </w:r>
      <w:r w:rsidR="003865C5" w:rsidRPr="00510442">
        <w:rPr>
          <w:szCs w:val="22"/>
          <w:lang w:val="hr-HR"/>
        </w:rPr>
        <w:t>natašte</w:t>
      </w:r>
      <w:r w:rsidRPr="00510442">
        <w:rPr>
          <w:szCs w:val="22"/>
          <w:lang w:val="hr-HR"/>
        </w:rPr>
        <w:t>. Učinak prethodnog gastrointestinalnog kirurškog zahvata na apsorpciju lijeka nije ispitan.</w:t>
      </w:r>
    </w:p>
    <w:p w14:paraId="3412C2A6" w14:textId="77777777" w:rsidR="009B57ED" w:rsidRPr="00510442" w:rsidRDefault="009B57ED" w:rsidP="00954FF7">
      <w:pPr>
        <w:pStyle w:val="EndnoteText"/>
        <w:widowControl w:val="0"/>
        <w:tabs>
          <w:tab w:val="clear" w:pos="567"/>
        </w:tabs>
        <w:rPr>
          <w:color w:val="000000"/>
          <w:szCs w:val="22"/>
          <w:lang w:val="hr-HR"/>
        </w:rPr>
      </w:pPr>
    </w:p>
    <w:p w14:paraId="4EC23C16" w14:textId="77777777" w:rsidR="009B57ED" w:rsidRPr="00510442" w:rsidRDefault="00742D63" w:rsidP="003179A4">
      <w:pPr>
        <w:pStyle w:val="EndnoteText"/>
        <w:keepNext/>
        <w:widowControl w:val="0"/>
        <w:tabs>
          <w:tab w:val="clear" w:pos="567"/>
        </w:tabs>
        <w:rPr>
          <w:color w:val="000000"/>
          <w:szCs w:val="22"/>
          <w:lang w:val="hr-HR"/>
        </w:rPr>
      </w:pPr>
      <w:r w:rsidRPr="00510442">
        <w:rPr>
          <w:iCs/>
          <w:szCs w:val="22"/>
          <w:u w:val="single"/>
          <w:lang w:val="hr-HR"/>
        </w:rPr>
        <w:t>Distribucija</w:t>
      </w:r>
    </w:p>
    <w:p w14:paraId="0C87F368" w14:textId="77777777" w:rsidR="009B57ED" w:rsidRPr="00510442" w:rsidRDefault="00BE4EC4" w:rsidP="00236E0E">
      <w:pPr>
        <w:pStyle w:val="EndnoteText"/>
        <w:widowControl w:val="0"/>
        <w:tabs>
          <w:tab w:val="clear" w:pos="567"/>
        </w:tabs>
        <w:rPr>
          <w:color w:val="000000"/>
          <w:szCs w:val="22"/>
          <w:lang w:val="hr-HR"/>
        </w:rPr>
      </w:pPr>
      <w:r w:rsidRPr="00510442">
        <w:rPr>
          <w:szCs w:val="22"/>
          <w:lang w:val="hr-HR"/>
        </w:rPr>
        <w:t xml:space="preserve">Kod klinički značajnih koncentracija imatiniba vezanje na </w:t>
      </w:r>
      <w:r w:rsidR="000524A9" w:rsidRPr="00510442">
        <w:rPr>
          <w:szCs w:val="22"/>
          <w:lang w:val="hr-HR"/>
        </w:rPr>
        <w:t xml:space="preserve">proteine </w:t>
      </w:r>
      <w:r w:rsidRPr="00510442">
        <w:rPr>
          <w:szCs w:val="22"/>
          <w:lang w:val="hr-HR"/>
        </w:rPr>
        <w:t xml:space="preserve">plazme bilo je oko 95% na temelju </w:t>
      </w:r>
      <w:r w:rsidRPr="00510442">
        <w:rPr>
          <w:i/>
          <w:szCs w:val="22"/>
          <w:lang w:val="hr-HR"/>
        </w:rPr>
        <w:t>in vitro</w:t>
      </w:r>
      <w:r w:rsidRPr="00510442">
        <w:rPr>
          <w:szCs w:val="22"/>
          <w:lang w:val="hr-HR"/>
        </w:rPr>
        <w:t xml:space="preserve"> pokusa, uglavnom na albumin i α-kiseli glikoprotein, uz slabo vezanje na lipoproteine.</w:t>
      </w:r>
    </w:p>
    <w:p w14:paraId="5691A755" w14:textId="77777777" w:rsidR="009B57ED" w:rsidRPr="00510442" w:rsidRDefault="009B57ED" w:rsidP="003C0A50">
      <w:pPr>
        <w:pStyle w:val="EndnoteText"/>
        <w:widowControl w:val="0"/>
        <w:tabs>
          <w:tab w:val="clear" w:pos="567"/>
        </w:tabs>
        <w:rPr>
          <w:color w:val="000000"/>
          <w:szCs w:val="22"/>
          <w:lang w:val="hr-HR"/>
        </w:rPr>
      </w:pPr>
    </w:p>
    <w:p w14:paraId="2CCD5DD1" w14:textId="77777777" w:rsidR="009B57ED" w:rsidRPr="00510442" w:rsidRDefault="00742D63" w:rsidP="003179A4">
      <w:pPr>
        <w:pStyle w:val="EndnoteText"/>
        <w:keepNext/>
        <w:widowControl w:val="0"/>
        <w:tabs>
          <w:tab w:val="clear" w:pos="567"/>
        </w:tabs>
        <w:rPr>
          <w:color w:val="000000"/>
          <w:szCs w:val="22"/>
          <w:u w:val="single"/>
          <w:lang w:val="hr-HR"/>
        </w:rPr>
      </w:pPr>
      <w:r w:rsidRPr="00510442">
        <w:rPr>
          <w:iCs/>
          <w:szCs w:val="22"/>
          <w:u w:val="single"/>
          <w:lang w:val="hr-HR"/>
        </w:rPr>
        <w:t>Biotransformacija</w:t>
      </w:r>
    </w:p>
    <w:p w14:paraId="5D94F104" w14:textId="77777777" w:rsidR="009B57ED" w:rsidRPr="00510442" w:rsidRDefault="008B3CFF" w:rsidP="003C0A50">
      <w:pPr>
        <w:pStyle w:val="EndnoteText"/>
        <w:widowControl w:val="0"/>
        <w:tabs>
          <w:tab w:val="clear" w:pos="567"/>
        </w:tabs>
        <w:rPr>
          <w:color w:val="000000"/>
          <w:szCs w:val="22"/>
          <w:lang w:val="hr-HR"/>
        </w:rPr>
      </w:pPr>
      <w:r w:rsidRPr="00510442">
        <w:rPr>
          <w:szCs w:val="22"/>
          <w:lang w:val="hr-HR"/>
        </w:rPr>
        <w:t xml:space="preserve">Glavni metabolit u cirkulaciji u ljudi je N-demetilirani piperazinski derivat, koji je po </w:t>
      </w:r>
      <w:r w:rsidRPr="00510442">
        <w:rPr>
          <w:i/>
          <w:szCs w:val="22"/>
          <w:lang w:val="hr-HR"/>
        </w:rPr>
        <w:t>in vitro</w:t>
      </w:r>
      <w:r w:rsidRPr="00510442">
        <w:rPr>
          <w:szCs w:val="22"/>
          <w:lang w:val="hr-HR"/>
        </w:rPr>
        <w:t xml:space="preserve"> potentnosti sličan roditeljskoj tvari. Utvrđeno je da AUC za taj metabolit u plazmi iznosi samo 16% AUC-a imatiniba. Vezanje N-demetiliranog metabolita na bjelančevine plazme je slično onom roditeljske tvari</w:t>
      </w:r>
      <w:r w:rsidR="009B57ED" w:rsidRPr="00510442">
        <w:rPr>
          <w:color w:val="000000"/>
          <w:szCs w:val="22"/>
          <w:lang w:val="hr-HR"/>
        </w:rPr>
        <w:t>.</w:t>
      </w:r>
    </w:p>
    <w:p w14:paraId="35EF1B58" w14:textId="77777777" w:rsidR="009B57ED" w:rsidRPr="00510442" w:rsidRDefault="009B57ED" w:rsidP="003B190A">
      <w:pPr>
        <w:pStyle w:val="EndnoteText"/>
        <w:widowControl w:val="0"/>
        <w:tabs>
          <w:tab w:val="clear" w:pos="567"/>
        </w:tabs>
        <w:rPr>
          <w:color w:val="000000"/>
          <w:szCs w:val="22"/>
          <w:lang w:val="hr-HR"/>
        </w:rPr>
      </w:pPr>
    </w:p>
    <w:p w14:paraId="30F8C03C" w14:textId="77777777" w:rsidR="009B57ED" w:rsidRPr="00510442" w:rsidRDefault="008B3CFF" w:rsidP="004D775F">
      <w:pPr>
        <w:pStyle w:val="Text"/>
        <w:widowControl w:val="0"/>
        <w:spacing w:before="0"/>
        <w:jc w:val="left"/>
        <w:rPr>
          <w:color w:val="000000"/>
          <w:sz w:val="22"/>
          <w:szCs w:val="22"/>
          <w:lang w:val="hr-HR"/>
        </w:rPr>
      </w:pPr>
      <w:r w:rsidRPr="00510442">
        <w:rPr>
          <w:sz w:val="22"/>
          <w:szCs w:val="22"/>
          <w:lang w:val="hr-HR"/>
        </w:rPr>
        <w:t xml:space="preserve">Imatinib i N-demetil metabolit zajedno su bili odgovorni za oko 65% cirkulirajuće radioaktivnosti </w:t>
      </w:r>
      <w:r w:rsidR="009B57ED" w:rsidRPr="00510442">
        <w:rPr>
          <w:color w:val="000000"/>
          <w:sz w:val="22"/>
          <w:szCs w:val="22"/>
          <w:lang w:val="hr-HR"/>
        </w:rPr>
        <w:t>(AUC</w:t>
      </w:r>
      <w:r w:rsidR="009B57ED" w:rsidRPr="00510442">
        <w:rPr>
          <w:color w:val="000000"/>
          <w:sz w:val="22"/>
          <w:szCs w:val="22"/>
          <w:vertAlign w:val="subscript"/>
          <w:lang w:val="hr-HR"/>
        </w:rPr>
        <w:t>(0-48h)</w:t>
      </w:r>
      <w:r w:rsidR="009B57ED" w:rsidRPr="00510442">
        <w:rPr>
          <w:color w:val="000000"/>
          <w:sz w:val="22"/>
          <w:szCs w:val="22"/>
          <w:lang w:val="hr-HR"/>
        </w:rPr>
        <w:t xml:space="preserve">). </w:t>
      </w:r>
      <w:r w:rsidRPr="00510442">
        <w:rPr>
          <w:sz w:val="22"/>
          <w:szCs w:val="22"/>
          <w:lang w:val="hr-HR"/>
        </w:rPr>
        <w:t>Preostala se cirkulirajuća radioaktivnost sastojala od određenog broja manje važnih metabolita</w:t>
      </w:r>
      <w:r w:rsidR="009B57ED" w:rsidRPr="00510442">
        <w:rPr>
          <w:color w:val="000000"/>
          <w:sz w:val="22"/>
          <w:szCs w:val="22"/>
          <w:lang w:val="hr-HR"/>
        </w:rPr>
        <w:t>.</w:t>
      </w:r>
    </w:p>
    <w:p w14:paraId="51F3794A" w14:textId="77777777" w:rsidR="009B57ED" w:rsidRPr="00510442" w:rsidRDefault="009B57ED" w:rsidP="004D775F">
      <w:pPr>
        <w:pStyle w:val="Text"/>
        <w:widowControl w:val="0"/>
        <w:spacing w:before="0"/>
        <w:jc w:val="left"/>
        <w:rPr>
          <w:color w:val="000000"/>
          <w:sz w:val="22"/>
          <w:szCs w:val="22"/>
          <w:lang w:val="hr-HR"/>
        </w:rPr>
      </w:pPr>
    </w:p>
    <w:p w14:paraId="0480EE45" w14:textId="77777777" w:rsidR="009B57ED" w:rsidRPr="00510442" w:rsidRDefault="008B3CFF" w:rsidP="00457295">
      <w:pPr>
        <w:pStyle w:val="Text"/>
        <w:widowControl w:val="0"/>
        <w:spacing w:before="0"/>
        <w:jc w:val="left"/>
        <w:rPr>
          <w:color w:val="000000"/>
          <w:sz w:val="22"/>
          <w:szCs w:val="22"/>
          <w:lang w:val="hr-HR"/>
        </w:rPr>
      </w:pPr>
      <w:r w:rsidRPr="00510442">
        <w:rPr>
          <w:i/>
          <w:sz w:val="22"/>
          <w:szCs w:val="22"/>
          <w:lang w:val="hr-HR"/>
        </w:rPr>
        <w:t>In vitro</w:t>
      </w:r>
      <w:r w:rsidRPr="00510442">
        <w:rPr>
          <w:sz w:val="22"/>
          <w:szCs w:val="22"/>
          <w:lang w:val="hr-HR"/>
        </w:rPr>
        <w:t xml:space="preserve"> rezultati su pokazali da je CYP3A4 bio glavni humani P450 enzim koji katalizira biotransformaciju imatiniba. Od skupine potencijalnih lijekova za isto</w:t>
      </w:r>
      <w:r w:rsidR="00B45790" w:rsidRPr="00510442">
        <w:rPr>
          <w:sz w:val="22"/>
          <w:szCs w:val="22"/>
          <w:lang w:val="hr-HR"/>
        </w:rPr>
        <w:t>dobn</w:t>
      </w:r>
      <w:r w:rsidRPr="00510442">
        <w:rPr>
          <w:sz w:val="22"/>
          <w:szCs w:val="22"/>
          <w:lang w:val="hr-HR"/>
        </w:rPr>
        <w:t>u primjenu (acetaminofen, aciklovir, alopurinol, amfotericin, citarabin, eritromicin, flukonazol, hidroksiureja, norfloksacin, penicilin V) samo su eritromicin</w:t>
      </w:r>
      <w:r w:rsidRPr="00510442">
        <w:rPr>
          <w:color w:val="000000"/>
          <w:sz w:val="22"/>
          <w:szCs w:val="22"/>
          <w:lang w:val="hr-HR"/>
        </w:rPr>
        <w:t xml:space="preserve"> </w:t>
      </w:r>
      <w:r w:rsidR="009B57ED" w:rsidRPr="00510442">
        <w:rPr>
          <w:color w:val="000000"/>
          <w:sz w:val="22"/>
          <w:szCs w:val="22"/>
          <w:lang w:val="hr-HR"/>
        </w:rPr>
        <w:t>(IC</w:t>
      </w:r>
      <w:r w:rsidR="009B57ED" w:rsidRPr="00510442">
        <w:rPr>
          <w:color w:val="000000"/>
          <w:sz w:val="22"/>
          <w:szCs w:val="22"/>
          <w:vertAlign w:val="subscript"/>
          <w:lang w:val="hr-HR"/>
        </w:rPr>
        <w:t>50</w:t>
      </w:r>
      <w:r w:rsidR="009B57ED" w:rsidRPr="00510442">
        <w:rPr>
          <w:color w:val="000000"/>
          <w:sz w:val="22"/>
          <w:szCs w:val="22"/>
          <w:lang w:val="hr-HR"/>
        </w:rPr>
        <w:t xml:space="preserve"> 50 µM) </w:t>
      </w:r>
      <w:r w:rsidRPr="00510442">
        <w:rPr>
          <w:sz w:val="22"/>
          <w:szCs w:val="22"/>
          <w:lang w:val="hr-HR"/>
        </w:rPr>
        <w:t xml:space="preserve">i flukonazol </w:t>
      </w:r>
      <w:r w:rsidR="009B57ED" w:rsidRPr="00510442">
        <w:rPr>
          <w:color w:val="000000"/>
          <w:sz w:val="22"/>
          <w:szCs w:val="22"/>
          <w:lang w:val="hr-HR"/>
        </w:rPr>
        <w:t>(IC</w:t>
      </w:r>
      <w:r w:rsidR="009B57ED" w:rsidRPr="00510442">
        <w:rPr>
          <w:color w:val="000000"/>
          <w:sz w:val="22"/>
          <w:szCs w:val="22"/>
          <w:vertAlign w:val="subscript"/>
          <w:lang w:val="hr-HR"/>
        </w:rPr>
        <w:t>50</w:t>
      </w:r>
      <w:r w:rsidR="009B57ED" w:rsidRPr="00510442">
        <w:rPr>
          <w:color w:val="000000"/>
          <w:sz w:val="22"/>
          <w:szCs w:val="22"/>
          <w:lang w:val="hr-HR"/>
        </w:rPr>
        <w:t xml:space="preserve"> 118 µM) </w:t>
      </w:r>
      <w:r w:rsidRPr="00510442">
        <w:rPr>
          <w:sz w:val="22"/>
          <w:szCs w:val="22"/>
          <w:lang w:val="hr-HR"/>
        </w:rPr>
        <w:t>pokazali da inhibiraju metabolizam imatiniba što bi moglo biti klinički značajno</w:t>
      </w:r>
      <w:r w:rsidR="009B57ED" w:rsidRPr="00510442">
        <w:rPr>
          <w:color w:val="000000"/>
          <w:sz w:val="22"/>
          <w:szCs w:val="22"/>
          <w:lang w:val="hr-HR"/>
        </w:rPr>
        <w:t>.</w:t>
      </w:r>
    </w:p>
    <w:p w14:paraId="61416D22" w14:textId="77777777" w:rsidR="009B57ED" w:rsidRPr="00510442" w:rsidRDefault="009B57ED" w:rsidP="00E74D30">
      <w:pPr>
        <w:pStyle w:val="Text"/>
        <w:widowControl w:val="0"/>
        <w:spacing w:before="0"/>
        <w:jc w:val="left"/>
        <w:rPr>
          <w:color w:val="000000"/>
          <w:sz w:val="22"/>
          <w:szCs w:val="22"/>
          <w:lang w:val="hr-HR"/>
        </w:rPr>
      </w:pPr>
    </w:p>
    <w:p w14:paraId="2604A7AA" w14:textId="77777777" w:rsidR="009B57ED" w:rsidRPr="00510442" w:rsidRDefault="008B3CFF" w:rsidP="00E74D30">
      <w:pPr>
        <w:pStyle w:val="Text"/>
        <w:widowControl w:val="0"/>
        <w:spacing w:before="0"/>
        <w:jc w:val="left"/>
        <w:rPr>
          <w:color w:val="000000"/>
          <w:sz w:val="22"/>
          <w:szCs w:val="22"/>
          <w:lang w:val="hr-HR"/>
        </w:rPr>
      </w:pPr>
      <w:r w:rsidRPr="00510442">
        <w:rPr>
          <w:sz w:val="22"/>
          <w:szCs w:val="22"/>
          <w:lang w:val="hr-HR"/>
        </w:rPr>
        <w:t xml:space="preserve">Pokazalo se da je imatinib </w:t>
      </w:r>
      <w:r w:rsidRPr="00510442">
        <w:rPr>
          <w:i/>
          <w:sz w:val="22"/>
          <w:szCs w:val="22"/>
          <w:lang w:val="hr-HR"/>
        </w:rPr>
        <w:t>in vitro</w:t>
      </w:r>
      <w:r w:rsidRPr="00510442">
        <w:rPr>
          <w:sz w:val="22"/>
          <w:szCs w:val="22"/>
          <w:lang w:val="hr-HR"/>
        </w:rPr>
        <w:t xml:space="preserve"> kompetitivni inhibitor supstrata markera za CYP2C9, CYP2D6 i CYP3A4/5. K</w:t>
      </w:r>
      <w:r w:rsidRPr="00510442">
        <w:rPr>
          <w:sz w:val="22"/>
          <w:szCs w:val="22"/>
          <w:vertAlign w:val="subscript"/>
          <w:lang w:val="hr-HR"/>
        </w:rPr>
        <w:t>i</w:t>
      </w:r>
      <w:r w:rsidRPr="00510442">
        <w:rPr>
          <w:sz w:val="22"/>
          <w:szCs w:val="22"/>
          <w:lang w:val="hr-HR"/>
        </w:rPr>
        <w:t xml:space="preserve"> vrijednosti u jetrenim mikrosomima čovjeka bile su 27, 7,5, odnosno </w:t>
      </w:r>
      <w:r w:rsidR="009B57ED" w:rsidRPr="00510442">
        <w:rPr>
          <w:color w:val="000000"/>
          <w:sz w:val="22"/>
          <w:szCs w:val="22"/>
          <w:lang w:val="hr-HR"/>
        </w:rPr>
        <w:t>7</w:t>
      </w:r>
      <w:r w:rsidRPr="00510442">
        <w:rPr>
          <w:color w:val="000000"/>
          <w:sz w:val="22"/>
          <w:szCs w:val="22"/>
          <w:lang w:val="hr-HR"/>
        </w:rPr>
        <w:t>,</w:t>
      </w:r>
      <w:r w:rsidR="009B57ED" w:rsidRPr="00510442">
        <w:rPr>
          <w:color w:val="000000"/>
          <w:sz w:val="22"/>
          <w:szCs w:val="22"/>
          <w:lang w:val="hr-HR"/>
        </w:rPr>
        <w:t>9 </w:t>
      </w:r>
      <w:r w:rsidR="009B57ED" w:rsidRPr="00307897">
        <w:rPr>
          <w:color w:val="000000"/>
          <w:sz w:val="22"/>
          <w:szCs w:val="22"/>
          <w:lang w:val="hr-HR"/>
        </w:rPr>
        <w:sym w:font="Symbol" w:char="F06D"/>
      </w:r>
      <w:r w:rsidRPr="00307897">
        <w:rPr>
          <w:color w:val="000000"/>
          <w:sz w:val="22"/>
          <w:szCs w:val="22"/>
          <w:lang w:val="hr-HR"/>
        </w:rPr>
        <w:t>mol/l</w:t>
      </w:r>
      <w:r w:rsidR="009B57ED" w:rsidRPr="00307897">
        <w:rPr>
          <w:color w:val="000000"/>
          <w:sz w:val="22"/>
          <w:szCs w:val="22"/>
          <w:lang w:val="hr-HR"/>
        </w:rPr>
        <w:t xml:space="preserve">. </w:t>
      </w:r>
      <w:r w:rsidRPr="00A00164">
        <w:rPr>
          <w:sz w:val="22"/>
          <w:szCs w:val="22"/>
          <w:lang w:val="hr-HR"/>
        </w:rPr>
        <w:t xml:space="preserve">Maksimalne koncentracije imatiniba u plazmi bolesnika iznose </w:t>
      </w:r>
      <w:r w:rsidR="009B57ED" w:rsidRPr="00973BDD">
        <w:rPr>
          <w:color w:val="000000"/>
          <w:sz w:val="22"/>
          <w:szCs w:val="22"/>
          <w:lang w:val="hr-HR"/>
        </w:rPr>
        <w:t>2</w:t>
      </w:r>
      <w:r w:rsidR="00B3500D" w:rsidRPr="000B51EB">
        <w:rPr>
          <w:color w:val="000000"/>
          <w:sz w:val="22"/>
          <w:szCs w:val="22"/>
          <w:lang w:val="hr-HR"/>
        </w:rPr>
        <w:noBreakHyphen/>
      </w:r>
      <w:r w:rsidR="009B57ED" w:rsidRPr="00510442">
        <w:rPr>
          <w:color w:val="000000"/>
          <w:sz w:val="22"/>
          <w:szCs w:val="22"/>
          <w:lang w:val="hr-HR"/>
        </w:rPr>
        <w:t>4 </w:t>
      </w:r>
      <w:r w:rsidR="009B57ED" w:rsidRPr="00307897">
        <w:rPr>
          <w:color w:val="000000"/>
          <w:sz w:val="22"/>
          <w:szCs w:val="22"/>
          <w:lang w:val="hr-HR"/>
        </w:rPr>
        <w:sym w:font="Symbol" w:char="F06D"/>
      </w:r>
      <w:r w:rsidR="009B57ED" w:rsidRPr="00307897">
        <w:rPr>
          <w:color w:val="000000"/>
          <w:sz w:val="22"/>
          <w:szCs w:val="22"/>
          <w:lang w:val="hr-HR"/>
        </w:rPr>
        <w:t xml:space="preserve">mol/l </w:t>
      </w:r>
      <w:r w:rsidRPr="00A00164">
        <w:rPr>
          <w:sz w:val="22"/>
          <w:szCs w:val="22"/>
          <w:lang w:val="hr-HR"/>
        </w:rPr>
        <w:t>pa je prema tome moguća inhibicija metabolizma isto</w:t>
      </w:r>
      <w:r w:rsidR="00B45790" w:rsidRPr="00973BDD">
        <w:rPr>
          <w:sz w:val="22"/>
          <w:szCs w:val="22"/>
          <w:lang w:val="hr-HR"/>
        </w:rPr>
        <w:t>dobn</w:t>
      </w:r>
      <w:r w:rsidRPr="000B51EB">
        <w:rPr>
          <w:sz w:val="22"/>
          <w:szCs w:val="22"/>
          <w:lang w:val="hr-HR"/>
        </w:rPr>
        <w:t>o primijenjenih lijekova, koji se odvija posredstvom CYP2D6 i/ili CYP3A4/5. Imatinib nije ometao biotransformaciju 5-fluorouracila, ali je inhibirao metabolizam paklitaksela, što je bila posljedica</w:t>
      </w:r>
      <w:r w:rsidRPr="00510442">
        <w:rPr>
          <w:sz w:val="22"/>
          <w:szCs w:val="22"/>
          <w:lang w:val="hr-HR"/>
        </w:rPr>
        <w:t xml:space="preserve"> kompetitivne inhibicije CYP2C8</w:t>
      </w:r>
      <w:r w:rsidR="009B57ED" w:rsidRPr="00510442">
        <w:rPr>
          <w:color w:val="000000"/>
          <w:sz w:val="22"/>
          <w:szCs w:val="22"/>
          <w:lang w:val="hr-HR"/>
        </w:rPr>
        <w:t xml:space="preserve"> (K</w:t>
      </w:r>
      <w:r w:rsidR="009B57ED" w:rsidRPr="00510442">
        <w:rPr>
          <w:color w:val="000000"/>
          <w:sz w:val="22"/>
          <w:szCs w:val="22"/>
          <w:vertAlign w:val="subscript"/>
          <w:lang w:val="hr-HR"/>
        </w:rPr>
        <w:t>i</w:t>
      </w:r>
      <w:r w:rsidR="009B57ED" w:rsidRPr="00510442">
        <w:rPr>
          <w:color w:val="000000"/>
          <w:sz w:val="22"/>
          <w:szCs w:val="22"/>
          <w:lang w:val="hr-HR"/>
        </w:rPr>
        <w:t xml:space="preserve"> = 34</w:t>
      </w:r>
      <w:r w:rsidRPr="00510442">
        <w:rPr>
          <w:color w:val="000000"/>
          <w:sz w:val="22"/>
          <w:szCs w:val="22"/>
          <w:lang w:val="hr-HR"/>
        </w:rPr>
        <w:t>,</w:t>
      </w:r>
      <w:r w:rsidR="009B57ED" w:rsidRPr="00510442">
        <w:rPr>
          <w:color w:val="000000"/>
          <w:sz w:val="22"/>
          <w:szCs w:val="22"/>
          <w:lang w:val="hr-HR"/>
        </w:rPr>
        <w:t xml:space="preserve">7 µM). </w:t>
      </w:r>
      <w:r w:rsidRPr="00510442">
        <w:rPr>
          <w:sz w:val="22"/>
          <w:szCs w:val="22"/>
          <w:lang w:val="hr-HR"/>
        </w:rPr>
        <w:t>Ta K</w:t>
      </w:r>
      <w:r w:rsidRPr="00510442">
        <w:rPr>
          <w:sz w:val="22"/>
          <w:szCs w:val="22"/>
          <w:vertAlign w:val="subscript"/>
          <w:lang w:val="hr-HR"/>
        </w:rPr>
        <w:t xml:space="preserve">i </w:t>
      </w:r>
      <w:r w:rsidRPr="00510442">
        <w:rPr>
          <w:sz w:val="22"/>
          <w:szCs w:val="22"/>
          <w:lang w:val="hr-HR"/>
        </w:rPr>
        <w:t>vrijednost je daleko viša nego što su očekivane razine imatiniba u plazmi bolesnika, pa se prema tome ne očekuje nikakva interakcija nakon isto</w:t>
      </w:r>
      <w:r w:rsidR="00B45790" w:rsidRPr="00510442">
        <w:rPr>
          <w:sz w:val="22"/>
          <w:szCs w:val="22"/>
          <w:lang w:val="hr-HR"/>
        </w:rPr>
        <w:t>dobn</w:t>
      </w:r>
      <w:r w:rsidRPr="00510442">
        <w:rPr>
          <w:sz w:val="22"/>
          <w:szCs w:val="22"/>
          <w:lang w:val="hr-HR"/>
        </w:rPr>
        <w:t>e primjene bilo 5-fluorouracila bilo paklitaksela i imatiniba</w:t>
      </w:r>
      <w:r w:rsidR="009B57ED" w:rsidRPr="00510442">
        <w:rPr>
          <w:color w:val="000000"/>
          <w:sz w:val="22"/>
          <w:szCs w:val="22"/>
          <w:lang w:val="hr-HR"/>
        </w:rPr>
        <w:t>.</w:t>
      </w:r>
    </w:p>
    <w:p w14:paraId="1BA0F755" w14:textId="77777777" w:rsidR="009B57ED" w:rsidRPr="00510442" w:rsidRDefault="009B57ED" w:rsidP="009F6FC2">
      <w:pPr>
        <w:pStyle w:val="EndnoteText"/>
        <w:widowControl w:val="0"/>
        <w:tabs>
          <w:tab w:val="clear" w:pos="567"/>
        </w:tabs>
        <w:rPr>
          <w:color w:val="000000"/>
          <w:szCs w:val="22"/>
          <w:lang w:val="hr-HR"/>
        </w:rPr>
      </w:pPr>
    </w:p>
    <w:p w14:paraId="093D31CD" w14:textId="77777777" w:rsidR="009B57ED" w:rsidRPr="00510442" w:rsidRDefault="00742D63" w:rsidP="003179A4">
      <w:pPr>
        <w:pStyle w:val="EndnoteText"/>
        <w:keepNext/>
        <w:widowControl w:val="0"/>
        <w:tabs>
          <w:tab w:val="clear" w:pos="567"/>
        </w:tabs>
        <w:rPr>
          <w:color w:val="000000"/>
          <w:szCs w:val="22"/>
          <w:lang w:val="hr-HR"/>
        </w:rPr>
      </w:pPr>
      <w:r w:rsidRPr="00510442">
        <w:rPr>
          <w:iCs/>
          <w:szCs w:val="22"/>
          <w:u w:val="single"/>
          <w:lang w:val="hr-HR"/>
        </w:rPr>
        <w:t>Eliminacija</w:t>
      </w:r>
    </w:p>
    <w:p w14:paraId="0BAC489D" w14:textId="77777777" w:rsidR="009B57ED" w:rsidRPr="00510442" w:rsidRDefault="008B3CFF" w:rsidP="00A742FC">
      <w:pPr>
        <w:pStyle w:val="EndnoteText"/>
        <w:widowControl w:val="0"/>
        <w:tabs>
          <w:tab w:val="clear" w:pos="567"/>
        </w:tabs>
        <w:rPr>
          <w:color w:val="000000"/>
          <w:szCs w:val="22"/>
          <w:lang w:val="hr-HR"/>
        </w:rPr>
      </w:pPr>
      <w:r w:rsidRPr="00510442">
        <w:rPr>
          <w:szCs w:val="22"/>
          <w:lang w:val="hr-HR"/>
        </w:rPr>
        <w:t xml:space="preserve">Na temelju izlučivanja spoja(eva) nakon oralne, </w:t>
      </w:r>
      <w:r w:rsidRPr="00510442">
        <w:rPr>
          <w:szCs w:val="22"/>
          <w:vertAlign w:val="superscript"/>
          <w:lang w:val="hr-HR"/>
        </w:rPr>
        <w:t>14</w:t>
      </w:r>
      <w:r w:rsidRPr="00510442">
        <w:rPr>
          <w:szCs w:val="22"/>
          <w:lang w:val="hr-HR"/>
        </w:rPr>
        <w:t xml:space="preserve">C-označene doze imatiniba, oko 81% doze izlučilo se u roku od </w:t>
      </w:r>
      <w:r w:rsidR="009B57ED" w:rsidRPr="00510442">
        <w:rPr>
          <w:color w:val="000000"/>
          <w:szCs w:val="22"/>
          <w:lang w:val="hr-HR"/>
        </w:rPr>
        <w:t>7 </w:t>
      </w:r>
      <w:r w:rsidRPr="00510442">
        <w:rPr>
          <w:color w:val="000000"/>
          <w:szCs w:val="22"/>
          <w:lang w:val="hr-HR"/>
        </w:rPr>
        <w:t>dana u stolici</w:t>
      </w:r>
      <w:r w:rsidR="009B57ED" w:rsidRPr="00510442">
        <w:rPr>
          <w:color w:val="000000"/>
          <w:szCs w:val="22"/>
          <w:lang w:val="hr-HR"/>
        </w:rPr>
        <w:t xml:space="preserve"> (68% </w:t>
      </w:r>
      <w:r w:rsidRPr="00510442">
        <w:rPr>
          <w:color w:val="000000"/>
          <w:szCs w:val="22"/>
          <w:lang w:val="hr-HR"/>
        </w:rPr>
        <w:t>doze</w:t>
      </w:r>
      <w:r w:rsidR="009B57ED" w:rsidRPr="00510442">
        <w:rPr>
          <w:color w:val="000000"/>
          <w:szCs w:val="22"/>
          <w:lang w:val="hr-HR"/>
        </w:rPr>
        <w:t xml:space="preserve">) </w:t>
      </w:r>
      <w:r w:rsidRPr="00510442">
        <w:rPr>
          <w:color w:val="000000"/>
          <w:szCs w:val="22"/>
          <w:lang w:val="hr-HR"/>
        </w:rPr>
        <w:t>i mokraći</w:t>
      </w:r>
      <w:r w:rsidR="009B57ED" w:rsidRPr="00510442">
        <w:rPr>
          <w:color w:val="000000"/>
          <w:szCs w:val="22"/>
          <w:lang w:val="hr-HR"/>
        </w:rPr>
        <w:t xml:space="preserve"> (13% </w:t>
      </w:r>
      <w:r w:rsidRPr="00510442">
        <w:rPr>
          <w:color w:val="000000"/>
          <w:szCs w:val="22"/>
          <w:lang w:val="hr-HR"/>
        </w:rPr>
        <w:t>doze</w:t>
      </w:r>
      <w:r w:rsidR="009B57ED" w:rsidRPr="00510442">
        <w:rPr>
          <w:color w:val="000000"/>
          <w:szCs w:val="22"/>
          <w:lang w:val="hr-HR"/>
        </w:rPr>
        <w:t xml:space="preserve">). </w:t>
      </w:r>
      <w:r w:rsidRPr="00510442">
        <w:rPr>
          <w:szCs w:val="22"/>
          <w:lang w:val="hr-HR"/>
        </w:rPr>
        <w:t>Na nepromijenjeni imatinib otpadalo je 25% doze (5% mokraća, 20% stolica), dok su ostalo bili metaboliti</w:t>
      </w:r>
      <w:r w:rsidR="009B57ED" w:rsidRPr="00510442">
        <w:rPr>
          <w:color w:val="000000"/>
          <w:szCs w:val="22"/>
          <w:lang w:val="hr-HR"/>
        </w:rPr>
        <w:t>.</w:t>
      </w:r>
    </w:p>
    <w:p w14:paraId="6B6A58EB" w14:textId="77777777" w:rsidR="009B57ED" w:rsidRPr="00510442" w:rsidRDefault="009B57ED" w:rsidP="00D57A17">
      <w:pPr>
        <w:pStyle w:val="EndnoteText"/>
        <w:widowControl w:val="0"/>
        <w:tabs>
          <w:tab w:val="clear" w:pos="567"/>
        </w:tabs>
        <w:rPr>
          <w:color w:val="000000"/>
          <w:szCs w:val="22"/>
          <w:lang w:val="hr-HR"/>
        </w:rPr>
      </w:pPr>
    </w:p>
    <w:p w14:paraId="69E21DD0" w14:textId="77777777" w:rsidR="009B57ED" w:rsidRPr="00510442" w:rsidRDefault="00501142" w:rsidP="003179A4">
      <w:pPr>
        <w:pStyle w:val="EndnoteText"/>
        <w:keepNext/>
        <w:widowControl w:val="0"/>
        <w:tabs>
          <w:tab w:val="clear" w:pos="567"/>
        </w:tabs>
        <w:rPr>
          <w:color w:val="000000"/>
          <w:szCs w:val="22"/>
          <w:lang w:val="hr-HR"/>
        </w:rPr>
      </w:pPr>
      <w:r w:rsidRPr="00510442">
        <w:rPr>
          <w:szCs w:val="22"/>
          <w:u w:val="single"/>
          <w:lang w:val="hr-HR"/>
        </w:rPr>
        <w:t>Farmakokinetika u plazmi</w:t>
      </w:r>
    </w:p>
    <w:p w14:paraId="229EAAE0" w14:textId="77777777" w:rsidR="009B57ED" w:rsidRPr="00510442" w:rsidRDefault="00501142" w:rsidP="00C51EC7">
      <w:pPr>
        <w:pStyle w:val="EndnoteText"/>
        <w:widowControl w:val="0"/>
        <w:tabs>
          <w:tab w:val="clear" w:pos="567"/>
        </w:tabs>
        <w:rPr>
          <w:color w:val="000000"/>
          <w:szCs w:val="22"/>
          <w:lang w:val="hr-HR"/>
        </w:rPr>
      </w:pPr>
      <w:r w:rsidRPr="00510442">
        <w:rPr>
          <w:szCs w:val="22"/>
          <w:lang w:val="hr-HR"/>
        </w:rPr>
        <w:t xml:space="preserve">Nakon </w:t>
      </w:r>
      <w:r w:rsidR="00EB755E" w:rsidRPr="00510442">
        <w:rPr>
          <w:szCs w:val="22"/>
          <w:lang w:val="hr-HR"/>
        </w:rPr>
        <w:t>per</w:t>
      </w:r>
      <w:r w:rsidRPr="00510442">
        <w:rPr>
          <w:szCs w:val="22"/>
          <w:lang w:val="hr-HR"/>
        </w:rPr>
        <w:t>oralne primjene u zdravih dobrovoljaca, t</w:t>
      </w:r>
      <w:r w:rsidRPr="00510442">
        <w:rPr>
          <w:szCs w:val="22"/>
          <w:vertAlign w:val="subscript"/>
          <w:lang w:val="hr-HR"/>
        </w:rPr>
        <w:t xml:space="preserve">½ </w:t>
      </w:r>
      <w:r w:rsidRPr="00510442">
        <w:rPr>
          <w:szCs w:val="22"/>
          <w:lang w:val="hr-HR"/>
        </w:rPr>
        <w:t>bilo je oko 18</w:t>
      </w:r>
      <w:r w:rsidRPr="00510442">
        <w:rPr>
          <w:color w:val="000000"/>
          <w:szCs w:val="22"/>
          <w:lang w:val="hr-HR"/>
        </w:rPr>
        <w:t> </w:t>
      </w:r>
      <w:r w:rsidRPr="00510442">
        <w:rPr>
          <w:szCs w:val="22"/>
          <w:lang w:val="hr-HR"/>
        </w:rPr>
        <w:t>h, što navodi na zaključak da je doziranje jedanput na dan primjereno. Povećanje srednje AUC vrijednosti uz povećanje doze bilo je linearno i proporcionalno prema dozi u rasponu od 25</w:t>
      </w:r>
      <w:r w:rsidR="00B3500D" w:rsidRPr="00510442">
        <w:rPr>
          <w:szCs w:val="22"/>
          <w:lang w:val="hr-HR"/>
        </w:rPr>
        <w:noBreakHyphen/>
      </w:r>
      <w:r w:rsidRPr="00510442">
        <w:rPr>
          <w:szCs w:val="22"/>
          <w:lang w:val="hr-HR"/>
        </w:rPr>
        <w:t>1000</w:t>
      </w:r>
      <w:r w:rsidRPr="00510442">
        <w:rPr>
          <w:color w:val="000000"/>
          <w:szCs w:val="22"/>
          <w:lang w:val="hr-HR"/>
        </w:rPr>
        <w:t> </w:t>
      </w:r>
      <w:r w:rsidRPr="00510442">
        <w:rPr>
          <w:szCs w:val="22"/>
          <w:lang w:val="hr-HR"/>
        </w:rPr>
        <w:t xml:space="preserve">mg imatiniba nakon </w:t>
      </w:r>
      <w:r w:rsidR="00BC5A51" w:rsidRPr="00510442">
        <w:rPr>
          <w:szCs w:val="22"/>
          <w:lang w:val="hr-HR"/>
        </w:rPr>
        <w:t>per</w:t>
      </w:r>
      <w:r w:rsidRPr="00510442">
        <w:rPr>
          <w:szCs w:val="22"/>
          <w:lang w:val="hr-HR"/>
        </w:rPr>
        <w:t>oralne primjene. Nije bilo promjene kinetike imatiniba nakon ponovljenog doziranja, a akumulacija je bila 1,5</w:t>
      </w:r>
      <w:r w:rsidR="00B3500D" w:rsidRPr="00510442">
        <w:rPr>
          <w:szCs w:val="22"/>
          <w:lang w:val="hr-HR"/>
        </w:rPr>
        <w:noBreakHyphen/>
      </w:r>
      <w:r w:rsidRPr="00510442">
        <w:rPr>
          <w:szCs w:val="22"/>
          <w:lang w:val="hr-HR"/>
        </w:rPr>
        <w:t>2,5</w:t>
      </w:r>
      <w:r w:rsidR="00B3500D" w:rsidRPr="00510442">
        <w:rPr>
          <w:szCs w:val="22"/>
          <w:lang w:val="hr-HR"/>
        </w:rPr>
        <w:t> </w:t>
      </w:r>
      <w:r w:rsidRPr="00510442">
        <w:rPr>
          <w:szCs w:val="22"/>
          <w:lang w:val="hr-HR"/>
        </w:rPr>
        <w:t xml:space="preserve">puta veća u </w:t>
      </w:r>
      <w:r w:rsidR="00871E0C" w:rsidRPr="00510442">
        <w:rPr>
          <w:szCs w:val="22"/>
          <w:lang w:val="hr-HR"/>
        </w:rPr>
        <w:t>stanju dinamičke ravnoteže</w:t>
      </w:r>
      <w:r w:rsidRPr="00510442">
        <w:rPr>
          <w:szCs w:val="22"/>
          <w:lang w:val="hr-HR"/>
        </w:rPr>
        <w:t xml:space="preserve"> kada je lijek doziran jednom </w:t>
      </w:r>
      <w:r w:rsidR="00871E0C" w:rsidRPr="00510442">
        <w:rPr>
          <w:szCs w:val="22"/>
          <w:lang w:val="hr-HR"/>
        </w:rPr>
        <w:t>na dan</w:t>
      </w:r>
      <w:r w:rsidR="009B57ED" w:rsidRPr="00510442">
        <w:rPr>
          <w:color w:val="000000"/>
          <w:szCs w:val="22"/>
          <w:lang w:val="hr-HR"/>
        </w:rPr>
        <w:t>.</w:t>
      </w:r>
    </w:p>
    <w:p w14:paraId="3C0E25F2" w14:textId="77777777" w:rsidR="009B57ED" w:rsidRPr="00510442" w:rsidRDefault="009B57ED" w:rsidP="00CB66CC">
      <w:pPr>
        <w:pStyle w:val="EndnoteText"/>
        <w:widowControl w:val="0"/>
        <w:tabs>
          <w:tab w:val="clear" w:pos="567"/>
        </w:tabs>
        <w:rPr>
          <w:color w:val="000000"/>
          <w:szCs w:val="22"/>
          <w:lang w:val="hr-HR"/>
        </w:rPr>
      </w:pPr>
    </w:p>
    <w:p w14:paraId="05D29533" w14:textId="77777777" w:rsidR="009B57ED" w:rsidRPr="00510442" w:rsidRDefault="0098768E" w:rsidP="003179A4">
      <w:pPr>
        <w:pStyle w:val="EndnoteText"/>
        <w:keepNext/>
        <w:widowControl w:val="0"/>
        <w:tabs>
          <w:tab w:val="clear" w:pos="567"/>
        </w:tabs>
        <w:rPr>
          <w:color w:val="000000"/>
          <w:szCs w:val="22"/>
          <w:u w:val="single"/>
          <w:lang w:val="hr-HR"/>
        </w:rPr>
      </w:pPr>
      <w:r w:rsidRPr="00510442">
        <w:rPr>
          <w:szCs w:val="22"/>
          <w:u w:val="single"/>
          <w:lang w:val="hr-HR"/>
        </w:rPr>
        <w:lastRenderedPageBreak/>
        <w:t>Farmakokinetika u bolesnika s GIST-om</w:t>
      </w:r>
    </w:p>
    <w:p w14:paraId="7AB288A9" w14:textId="77777777" w:rsidR="00640E62" w:rsidRPr="00510442" w:rsidRDefault="00640E62" w:rsidP="00112AD1">
      <w:pPr>
        <w:pStyle w:val="Text"/>
        <w:widowControl w:val="0"/>
        <w:spacing w:before="0"/>
        <w:jc w:val="left"/>
        <w:rPr>
          <w:sz w:val="22"/>
          <w:szCs w:val="22"/>
          <w:lang w:val="hr-HR"/>
        </w:rPr>
      </w:pPr>
      <w:r w:rsidRPr="00510442">
        <w:rPr>
          <w:sz w:val="22"/>
          <w:szCs w:val="22"/>
          <w:lang w:val="hr-HR"/>
        </w:rPr>
        <w:t xml:space="preserve">U bolesnika s GIST-om izloženost u </w:t>
      </w:r>
      <w:r w:rsidR="00C2493E" w:rsidRPr="00510442">
        <w:rPr>
          <w:sz w:val="22"/>
          <w:szCs w:val="22"/>
          <w:lang w:val="hr-HR"/>
        </w:rPr>
        <w:t>stanju dinamičke ravnoteže</w:t>
      </w:r>
      <w:r w:rsidRPr="00510442">
        <w:rPr>
          <w:sz w:val="22"/>
          <w:szCs w:val="22"/>
          <w:lang w:val="hr-HR"/>
        </w:rPr>
        <w:t xml:space="preserve"> bila je 1,5</w:t>
      </w:r>
      <w:r w:rsidR="00C2493E" w:rsidRPr="00510442">
        <w:rPr>
          <w:sz w:val="22"/>
          <w:szCs w:val="22"/>
          <w:lang w:val="hr-HR"/>
        </w:rPr>
        <w:t xml:space="preserve"> puta</w:t>
      </w:r>
      <w:r w:rsidRPr="00510442">
        <w:rPr>
          <w:sz w:val="22"/>
          <w:szCs w:val="22"/>
          <w:lang w:val="hr-HR"/>
        </w:rPr>
        <w:t xml:space="preserve"> veća od one koja je zapažena u bolesnika s </w:t>
      </w:r>
      <w:r w:rsidR="00B655F5" w:rsidRPr="00510442">
        <w:rPr>
          <w:sz w:val="22"/>
          <w:szCs w:val="22"/>
          <w:lang w:val="hr-HR"/>
        </w:rPr>
        <w:t>K</w:t>
      </w:r>
      <w:r w:rsidRPr="00510442">
        <w:rPr>
          <w:sz w:val="22"/>
          <w:szCs w:val="22"/>
          <w:lang w:val="hr-HR"/>
        </w:rPr>
        <w:t>ML-om uz isto doziranje (400</w:t>
      </w:r>
      <w:r w:rsidRPr="00510442">
        <w:rPr>
          <w:snapToGrid w:val="0"/>
          <w:color w:val="000000"/>
          <w:sz w:val="22"/>
          <w:szCs w:val="22"/>
          <w:lang w:val="hr-HR"/>
        </w:rPr>
        <w:t> </w:t>
      </w:r>
      <w:r w:rsidRPr="00510442">
        <w:rPr>
          <w:sz w:val="22"/>
          <w:szCs w:val="22"/>
          <w:lang w:val="hr-HR"/>
        </w:rPr>
        <w:t xml:space="preserve">mg </w:t>
      </w:r>
      <w:r w:rsidR="00C2493E" w:rsidRPr="00510442">
        <w:rPr>
          <w:sz w:val="22"/>
          <w:szCs w:val="22"/>
          <w:lang w:val="hr-HR"/>
        </w:rPr>
        <w:t>na dan</w:t>
      </w:r>
      <w:r w:rsidRPr="00510442">
        <w:rPr>
          <w:sz w:val="22"/>
          <w:szCs w:val="22"/>
          <w:lang w:val="hr-HR"/>
        </w:rPr>
        <w:t>). Na temelju preliminarne analize populacijske farmakokinetike u bolesnika s GIST-om, utvrđeno je da tri varijable (albumin, WBC i bilirubin) imaju statistički značajan odnos s farmakokinetikom imatiniba. Smanjene vrijednosti albumina uzrokovale su smanjeni klirens (CL/f); a više WBC razine su dovele do smanjenja CL/f vrijednosti. No, te veze nisu dovoljno izražene da bi opravdale prilagođavanje doze. U toj bi populaciji bolesnika prisutnost metastaza u jetri mogla potencijalno dovesti do jetrene insuficijencije i smanjenog metabolizma.</w:t>
      </w:r>
    </w:p>
    <w:p w14:paraId="2E31B202" w14:textId="77777777" w:rsidR="009B57ED" w:rsidRPr="00510442" w:rsidRDefault="009B57ED" w:rsidP="00112AD1">
      <w:pPr>
        <w:pStyle w:val="EndnoteText"/>
        <w:widowControl w:val="0"/>
        <w:tabs>
          <w:tab w:val="clear" w:pos="567"/>
        </w:tabs>
        <w:rPr>
          <w:color w:val="000000"/>
          <w:szCs w:val="22"/>
          <w:lang w:val="hr-HR"/>
        </w:rPr>
      </w:pPr>
    </w:p>
    <w:p w14:paraId="4386BEE2" w14:textId="77777777" w:rsidR="009B57ED" w:rsidRPr="00510442" w:rsidRDefault="004A41ED" w:rsidP="003179A4">
      <w:pPr>
        <w:pStyle w:val="EndnoteText"/>
        <w:keepNext/>
        <w:widowControl w:val="0"/>
        <w:tabs>
          <w:tab w:val="clear" w:pos="567"/>
        </w:tabs>
        <w:rPr>
          <w:color w:val="000000"/>
          <w:szCs w:val="22"/>
          <w:lang w:val="hr-HR"/>
        </w:rPr>
      </w:pPr>
      <w:r w:rsidRPr="00510442">
        <w:rPr>
          <w:szCs w:val="22"/>
          <w:u w:val="single"/>
          <w:lang w:val="hr-HR"/>
        </w:rPr>
        <w:t>Farmakokinetika populacije</w:t>
      </w:r>
    </w:p>
    <w:p w14:paraId="2355BADF" w14:textId="77777777" w:rsidR="004A41ED" w:rsidRPr="00510442" w:rsidRDefault="004A41ED" w:rsidP="00C1291A">
      <w:pPr>
        <w:pStyle w:val="EndnoteText"/>
        <w:widowControl w:val="0"/>
        <w:tabs>
          <w:tab w:val="clear" w:pos="567"/>
        </w:tabs>
        <w:rPr>
          <w:szCs w:val="22"/>
          <w:lang w:val="hr-HR"/>
        </w:rPr>
      </w:pPr>
      <w:r w:rsidRPr="00510442">
        <w:rPr>
          <w:szCs w:val="22"/>
          <w:lang w:val="hr-HR"/>
        </w:rPr>
        <w:t xml:space="preserve">Na temelju analize farmakokinetike populacije u </w:t>
      </w:r>
      <w:r w:rsidR="00B655F5" w:rsidRPr="00510442">
        <w:rPr>
          <w:szCs w:val="22"/>
          <w:lang w:val="hr-HR"/>
        </w:rPr>
        <w:t>K</w:t>
      </w:r>
      <w:r w:rsidRPr="00510442">
        <w:rPr>
          <w:szCs w:val="22"/>
          <w:lang w:val="hr-HR"/>
        </w:rPr>
        <w:t xml:space="preserve">ML bolesnika, učinak dobi na volumen raspodjele bio je malen (povećanje od 12% u bolesnika starih </w:t>
      </w:r>
      <w:r w:rsidRPr="00510442">
        <w:rPr>
          <w:color w:val="000000"/>
          <w:szCs w:val="22"/>
          <w:lang w:val="hr-HR"/>
        </w:rPr>
        <w:t>&gt;65 </w:t>
      </w:r>
      <w:r w:rsidRPr="00510442">
        <w:rPr>
          <w:szCs w:val="22"/>
          <w:lang w:val="hr-HR"/>
        </w:rPr>
        <w:t>godina). Smatra se da ta promjena nije klinički značajna. Učinak tjelesne težine na klirens imatiniba takav je da se za bolesnika koji teži 50</w:t>
      </w:r>
      <w:r w:rsidRPr="00510442">
        <w:rPr>
          <w:color w:val="000000"/>
          <w:szCs w:val="22"/>
          <w:lang w:val="hr-HR"/>
        </w:rPr>
        <w:t> </w:t>
      </w:r>
      <w:r w:rsidRPr="00510442">
        <w:rPr>
          <w:szCs w:val="22"/>
          <w:lang w:val="hr-HR"/>
        </w:rPr>
        <w:t>kg očekuje da će srednji klirens biti 8,5</w:t>
      </w:r>
      <w:r w:rsidRPr="00510442">
        <w:rPr>
          <w:color w:val="000000"/>
          <w:szCs w:val="22"/>
          <w:lang w:val="hr-HR"/>
        </w:rPr>
        <w:t> </w:t>
      </w:r>
      <w:r w:rsidRPr="00510442">
        <w:rPr>
          <w:szCs w:val="22"/>
          <w:lang w:val="hr-HR"/>
        </w:rPr>
        <w:t>l/h, dok će se za bolesnika od 100</w:t>
      </w:r>
      <w:r w:rsidRPr="00510442">
        <w:rPr>
          <w:color w:val="000000"/>
          <w:szCs w:val="22"/>
          <w:lang w:val="hr-HR"/>
        </w:rPr>
        <w:t> </w:t>
      </w:r>
      <w:r w:rsidRPr="00510442">
        <w:rPr>
          <w:szCs w:val="22"/>
          <w:lang w:val="hr-HR"/>
        </w:rPr>
        <w:t>kg klirens povećati na 11,8</w:t>
      </w:r>
      <w:r w:rsidRPr="00510442">
        <w:rPr>
          <w:color w:val="000000"/>
          <w:szCs w:val="22"/>
          <w:lang w:val="hr-HR"/>
        </w:rPr>
        <w:t> </w:t>
      </w:r>
      <w:r w:rsidRPr="00510442">
        <w:rPr>
          <w:szCs w:val="22"/>
          <w:lang w:val="hr-HR"/>
        </w:rPr>
        <w:t>l/h. Za ove se promjene smatra da nisu dovoljne da bi opravdale prilagođavanje doze na temelju kilograma tjelesne težine. Spol nema učinka na kinetiku imatiniba.</w:t>
      </w:r>
    </w:p>
    <w:p w14:paraId="2AEEBD87" w14:textId="77777777" w:rsidR="009B57ED" w:rsidRPr="00510442" w:rsidRDefault="009B57ED" w:rsidP="0091773C">
      <w:pPr>
        <w:pStyle w:val="EndnoteText"/>
        <w:widowControl w:val="0"/>
        <w:tabs>
          <w:tab w:val="clear" w:pos="567"/>
        </w:tabs>
        <w:rPr>
          <w:color w:val="000000"/>
          <w:szCs w:val="22"/>
          <w:lang w:val="hr-HR"/>
        </w:rPr>
      </w:pPr>
    </w:p>
    <w:p w14:paraId="23E9A695" w14:textId="77777777" w:rsidR="009B57ED" w:rsidRPr="00510442" w:rsidRDefault="004A41ED" w:rsidP="003179A4">
      <w:pPr>
        <w:pStyle w:val="EndnoteText"/>
        <w:keepNext/>
        <w:widowControl w:val="0"/>
        <w:tabs>
          <w:tab w:val="clear" w:pos="567"/>
        </w:tabs>
        <w:rPr>
          <w:color w:val="000000"/>
          <w:szCs w:val="22"/>
          <w:u w:val="single"/>
          <w:lang w:val="hr-HR"/>
        </w:rPr>
      </w:pPr>
      <w:r w:rsidRPr="00510442">
        <w:rPr>
          <w:szCs w:val="22"/>
          <w:u w:val="single"/>
          <w:lang w:val="hr-HR"/>
        </w:rPr>
        <w:t>Farmakokinetika u djece</w:t>
      </w:r>
    </w:p>
    <w:p w14:paraId="55A860FE" w14:textId="77777777" w:rsidR="004A41ED" w:rsidRPr="00510442" w:rsidRDefault="004A41ED" w:rsidP="0091773C">
      <w:pPr>
        <w:pStyle w:val="EndnoteText"/>
        <w:widowControl w:val="0"/>
        <w:rPr>
          <w:szCs w:val="22"/>
          <w:lang w:val="hr-HR"/>
        </w:rPr>
      </w:pPr>
      <w:r w:rsidRPr="00510442">
        <w:rPr>
          <w:szCs w:val="22"/>
          <w:lang w:val="hr-HR"/>
        </w:rPr>
        <w:t xml:space="preserve">Kao i u odraslih bolesnika, imatinib se brzo apsorbirao nakon </w:t>
      </w:r>
      <w:r w:rsidR="00163258" w:rsidRPr="00510442">
        <w:rPr>
          <w:szCs w:val="22"/>
          <w:lang w:val="hr-HR"/>
        </w:rPr>
        <w:t>per</w:t>
      </w:r>
      <w:r w:rsidRPr="00510442">
        <w:rPr>
          <w:szCs w:val="22"/>
          <w:lang w:val="hr-HR"/>
        </w:rPr>
        <w:t>oralne primjene u pedijatrijskih bolesnika i u ispitivanjima faze I i faze II. Doziranje u djece od 260 odnosno 340</w:t>
      </w:r>
      <w:r w:rsidRPr="00510442">
        <w:rPr>
          <w:color w:val="000000"/>
          <w:szCs w:val="22"/>
          <w:lang w:val="hr-HR"/>
        </w:rPr>
        <w:t> </w:t>
      </w:r>
      <w:r w:rsidRPr="00510442">
        <w:rPr>
          <w:szCs w:val="22"/>
          <w:lang w:val="hr-HR"/>
        </w:rPr>
        <w:t>mg/m</w:t>
      </w:r>
      <w:r w:rsidRPr="00510442">
        <w:rPr>
          <w:szCs w:val="22"/>
          <w:vertAlign w:val="superscript"/>
          <w:lang w:val="hr-HR"/>
        </w:rPr>
        <w:t>2</w:t>
      </w:r>
      <w:r w:rsidRPr="00510442">
        <w:rPr>
          <w:szCs w:val="22"/>
          <w:lang w:val="hr-HR"/>
        </w:rPr>
        <w:t>/dan postiglo je istu izloženost, kao i doze od 400</w:t>
      </w:r>
      <w:r w:rsidRPr="00510442">
        <w:rPr>
          <w:color w:val="000000"/>
          <w:szCs w:val="22"/>
          <w:lang w:val="hr-HR"/>
        </w:rPr>
        <w:t> </w:t>
      </w:r>
      <w:r w:rsidRPr="00510442">
        <w:rPr>
          <w:szCs w:val="22"/>
          <w:lang w:val="hr-HR"/>
        </w:rPr>
        <w:t>mg i 600</w:t>
      </w:r>
      <w:r w:rsidRPr="00510442">
        <w:rPr>
          <w:color w:val="000000"/>
          <w:szCs w:val="22"/>
          <w:lang w:val="hr-HR"/>
        </w:rPr>
        <w:t> </w:t>
      </w:r>
      <w:r w:rsidRPr="00510442">
        <w:rPr>
          <w:szCs w:val="22"/>
          <w:lang w:val="hr-HR"/>
        </w:rPr>
        <w:t>mg u odraslih bolesnika. Usporedba AUC</w:t>
      </w:r>
      <w:r w:rsidRPr="00510442">
        <w:rPr>
          <w:szCs w:val="22"/>
          <w:vertAlign w:val="subscript"/>
          <w:lang w:val="hr-HR"/>
        </w:rPr>
        <w:t>(0-24)</w:t>
      </w:r>
      <w:r w:rsidRPr="00510442">
        <w:rPr>
          <w:szCs w:val="22"/>
          <w:lang w:val="hr-HR"/>
        </w:rPr>
        <w:t xml:space="preserve"> na dan</w:t>
      </w:r>
      <w:r w:rsidRPr="00510442">
        <w:rPr>
          <w:color w:val="000000"/>
          <w:szCs w:val="22"/>
          <w:lang w:val="hr-HR"/>
        </w:rPr>
        <w:t> </w:t>
      </w:r>
      <w:r w:rsidRPr="00510442">
        <w:rPr>
          <w:szCs w:val="22"/>
          <w:lang w:val="hr-HR"/>
        </w:rPr>
        <w:t>8 i dan</w:t>
      </w:r>
      <w:r w:rsidRPr="00510442">
        <w:rPr>
          <w:color w:val="000000"/>
          <w:szCs w:val="22"/>
          <w:lang w:val="hr-HR"/>
        </w:rPr>
        <w:t> </w:t>
      </w:r>
      <w:r w:rsidRPr="00510442">
        <w:rPr>
          <w:szCs w:val="22"/>
          <w:lang w:val="hr-HR"/>
        </w:rPr>
        <w:t>1 na nivou doze od 340</w:t>
      </w:r>
      <w:r w:rsidRPr="00510442">
        <w:rPr>
          <w:color w:val="000000"/>
          <w:szCs w:val="22"/>
          <w:lang w:val="hr-HR"/>
        </w:rPr>
        <w:t> </w:t>
      </w:r>
      <w:r w:rsidRPr="00510442">
        <w:rPr>
          <w:szCs w:val="22"/>
          <w:lang w:val="hr-HR"/>
        </w:rPr>
        <w:t>mg/m</w:t>
      </w:r>
      <w:r w:rsidRPr="00510442">
        <w:rPr>
          <w:szCs w:val="22"/>
          <w:vertAlign w:val="superscript"/>
          <w:lang w:val="hr-HR"/>
        </w:rPr>
        <w:t>2</w:t>
      </w:r>
      <w:r w:rsidRPr="00510442">
        <w:rPr>
          <w:szCs w:val="22"/>
          <w:lang w:val="hr-HR"/>
        </w:rPr>
        <w:t>/dan otkrila je 1,7</w:t>
      </w:r>
      <w:r w:rsidR="007C4C31" w:rsidRPr="00510442">
        <w:rPr>
          <w:szCs w:val="22"/>
          <w:lang w:val="hr-HR"/>
        </w:rPr>
        <w:t xml:space="preserve"> puta veću</w:t>
      </w:r>
      <w:r w:rsidRPr="00510442">
        <w:rPr>
          <w:szCs w:val="22"/>
          <w:lang w:val="hr-HR"/>
        </w:rPr>
        <w:t xml:space="preserve"> akumulaciju lijeka nakon ponovljenog doziranja jednom </w:t>
      </w:r>
      <w:r w:rsidR="007C4C31" w:rsidRPr="00510442">
        <w:rPr>
          <w:szCs w:val="22"/>
          <w:lang w:val="hr-HR"/>
        </w:rPr>
        <w:t>na dan</w:t>
      </w:r>
      <w:r w:rsidRPr="00510442">
        <w:rPr>
          <w:szCs w:val="22"/>
          <w:lang w:val="hr-HR"/>
        </w:rPr>
        <w:t>.</w:t>
      </w:r>
    </w:p>
    <w:p w14:paraId="379DD953" w14:textId="77777777" w:rsidR="00BB3F83" w:rsidRPr="00510442" w:rsidRDefault="00BB3F83" w:rsidP="0091773C">
      <w:pPr>
        <w:pStyle w:val="EndnoteText"/>
        <w:widowControl w:val="0"/>
        <w:rPr>
          <w:szCs w:val="22"/>
          <w:lang w:val="hr-HR"/>
        </w:rPr>
      </w:pPr>
    </w:p>
    <w:p w14:paraId="3DA711F4" w14:textId="77777777" w:rsidR="00BB3F83" w:rsidRPr="00510442" w:rsidRDefault="002C75DC" w:rsidP="0091773C">
      <w:pPr>
        <w:pStyle w:val="EndnoteText"/>
        <w:widowControl w:val="0"/>
        <w:rPr>
          <w:szCs w:val="22"/>
          <w:lang w:val="hr-HR"/>
        </w:rPr>
      </w:pPr>
      <w:r w:rsidRPr="00510442">
        <w:rPr>
          <w:color w:val="000000"/>
          <w:szCs w:val="22"/>
          <w:lang w:val="hr-HR"/>
        </w:rPr>
        <w:t>Na temelju farmakokinetičke analize zbirne populacije pedijatrijskih bolesnika s hematološkim poremećajima (CML, Ph+ALL ili drugi hematološki poremećaji koji se liječe imatinibom), klirens imatiniba povećava se s rastom tjelesne površine (BSA). Nakon korekcije s obzirom na učinak tjelesne površine, ostale demografske odrednice kao što su dob, tjelesna težina i indeks tjelesne mase, nisu imale klinički značajne učinke na izloženost imatinibu. Analizom je potvrđeno da je izloženost imatinibu u pedijatrijskih bolesnika koji su primali 260 mg/m</w:t>
      </w:r>
      <w:r w:rsidRPr="00510442">
        <w:rPr>
          <w:color w:val="000000"/>
          <w:szCs w:val="22"/>
          <w:vertAlign w:val="superscript"/>
          <w:lang w:val="hr-HR"/>
        </w:rPr>
        <w:t>2</w:t>
      </w:r>
      <w:r w:rsidRPr="00510442">
        <w:rPr>
          <w:color w:val="000000"/>
          <w:szCs w:val="22"/>
          <w:lang w:val="hr-HR"/>
        </w:rPr>
        <w:t xml:space="preserve"> jedanput na dan (najviše 400 mg jedanput na dan) ili 340 mg/m</w:t>
      </w:r>
      <w:r w:rsidRPr="00510442">
        <w:rPr>
          <w:color w:val="000000"/>
          <w:szCs w:val="22"/>
          <w:vertAlign w:val="superscript"/>
          <w:lang w:val="hr-HR"/>
        </w:rPr>
        <w:t>2</w:t>
      </w:r>
      <w:r w:rsidRPr="00510442">
        <w:rPr>
          <w:color w:val="000000"/>
          <w:szCs w:val="22"/>
          <w:lang w:val="hr-HR"/>
        </w:rPr>
        <w:t xml:space="preserve"> jedanput na dan (najviše 600 mg jedanput na dan) bila s</w:t>
      </w:r>
      <w:r w:rsidR="00D0208A" w:rsidRPr="00510442">
        <w:rPr>
          <w:color w:val="000000"/>
          <w:szCs w:val="22"/>
          <w:lang w:val="hr-HR"/>
        </w:rPr>
        <w:t>l</w:t>
      </w:r>
      <w:r w:rsidRPr="00510442">
        <w:rPr>
          <w:color w:val="000000"/>
          <w:szCs w:val="22"/>
          <w:lang w:val="hr-HR"/>
        </w:rPr>
        <w:t>ična onoj u odraslih bolesnika koji su primali imatinib 400 mg ili 600 mg jedanput na dan.</w:t>
      </w:r>
    </w:p>
    <w:p w14:paraId="4D689E73" w14:textId="77777777" w:rsidR="009B57ED" w:rsidRPr="00510442" w:rsidRDefault="009B57ED" w:rsidP="0091773C">
      <w:pPr>
        <w:pStyle w:val="EndnoteText"/>
        <w:widowControl w:val="0"/>
        <w:tabs>
          <w:tab w:val="clear" w:pos="567"/>
        </w:tabs>
        <w:rPr>
          <w:color w:val="000000"/>
          <w:szCs w:val="22"/>
          <w:lang w:val="hr-HR"/>
        </w:rPr>
      </w:pPr>
    </w:p>
    <w:p w14:paraId="41936F54" w14:textId="77777777" w:rsidR="009B57ED" w:rsidRPr="00510442" w:rsidRDefault="00224533" w:rsidP="003179A4">
      <w:pPr>
        <w:pStyle w:val="EndnoteText"/>
        <w:keepNext/>
        <w:widowControl w:val="0"/>
        <w:tabs>
          <w:tab w:val="clear" w:pos="567"/>
        </w:tabs>
        <w:rPr>
          <w:color w:val="000000"/>
          <w:szCs w:val="22"/>
          <w:lang w:val="hr-HR"/>
        </w:rPr>
      </w:pPr>
      <w:r w:rsidRPr="00510442">
        <w:rPr>
          <w:szCs w:val="22"/>
          <w:u w:val="single"/>
          <w:lang w:val="hr-HR"/>
        </w:rPr>
        <w:t>Oštećenje funkcije organa</w:t>
      </w:r>
    </w:p>
    <w:p w14:paraId="5022C347" w14:textId="77777777" w:rsidR="00A81047" w:rsidRPr="00510442" w:rsidRDefault="00A81047" w:rsidP="009B5630">
      <w:pPr>
        <w:spacing w:line="240" w:lineRule="auto"/>
        <w:rPr>
          <w:szCs w:val="22"/>
          <w:lang w:val="hr-HR"/>
        </w:rPr>
      </w:pPr>
      <w:r w:rsidRPr="00510442">
        <w:rPr>
          <w:szCs w:val="22"/>
          <w:lang w:val="hr-HR"/>
        </w:rPr>
        <w:t>Imatinib i njegovi metaboliti ne izlučuju se u značajnoj mjeri preko bubrega. Izgleda da bolesnici s blagim i umjerenim oštećenjem funkcije bubrega imaju veću izloženost u plazmi od bolesnika s normalnom funkcijom bubrega. Povećanje je otprilike 1,5 do 2</w:t>
      </w:r>
      <w:r w:rsidR="009F4CF9" w:rsidRPr="00510442">
        <w:rPr>
          <w:szCs w:val="22"/>
          <w:lang w:val="hr-HR"/>
        </w:rPr>
        <w:t xml:space="preserve"> puta veće</w:t>
      </w:r>
      <w:r w:rsidRPr="00510442">
        <w:rPr>
          <w:szCs w:val="22"/>
          <w:lang w:val="hr-HR"/>
        </w:rPr>
        <w:t>, a odgovara 1,5</w:t>
      </w:r>
      <w:r w:rsidR="009F4CF9" w:rsidRPr="00510442">
        <w:rPr>
          <w:szCs w:val="22"/>
          <w:lang w:val="hr-HR"/>
        </w:rPr>
        <w:t xml:space="preserve"> puta većem</w:t>
      </w:r>
      <w:r w:rsidRPr="00510442">
        <w:rPr>
          <w:szCs w:val="22"/>
          <w:lang w:val="hr-HR"/>
        </w:rPr>
        <w:t xml:space="preserve"> povećanju α-kiselog glikoproteina u plazmi, za koji se imatinib snažno veže. Klirens slobodnog lijeka za imatinib je vjerojatno sličan između bolesnika s oštećenjem bubrega i onih s normalnom funkcijom bubrega, budući da izlučivanje bubregom predstavlja samo manji metabolički put eliminacije za imatinib (vidjeti dijelove 4.2 i 4.4).</w:t>
      </w:r>
    </w:p>
    <w:p w14:paraId="60AA6BDC" w14:textId="77777777" w:rsidR="00A81047" w:rsidRPr="00510442" w:rsidRDefault="00A81047" w:rsidP="009B5630">
      <w:pPr>
        <w:spacing w:line="240" w:lineRule="auto"/>
        <w:rPr>
          <w:szCs w:val="22"/>
          <w:lang w:val="hr-HR"/>
        </w:rPr>
      </w:pPr>
    </w:p>
    <w:p w14:paraId="04F8B470" w14:textId="77777777" w:rsidR="00A81047" w:rsidRPr="00510442" w:rsidRDefault="00A81047" w:rsidP="009B5630">
      <w:pPr>
        <w:spacing w:line="240" w:lineRule="auto"/>
        <w:rPr>
          <w:szCs w:val="22"/>
          <w:lang w:val="hr-HR"/>
        </w:rPr>
      </w:pPr>
      <w:r w:rsidRPr="00510442">
        <w:rPr>
          <w:szCs w:val="22"/>
          <w:lang w:val="hr-HR"/>
        </w:rPr>
        <w:t>Iako su rezultati farmakokinetičke analize pokazali da postoji značajna razlika između ispitanika, srednja izloženost imatinibu nije se povećala u bolesnika s različitim stupnjevima poremećaja funkcije jetre, u usporedbi s bolesnicima s normalnom funkcijom jetre (vidjeti dijelove 4.2, 4.4 i 4.8).</w:t>
      </w:r>
    </w:p>
    <w:p w14:paraId="542ED42C" w14:textId="77777777" w:rsidR="009B57ED" w:rsidRPr="00510442" w:rsidRDefault="009B57ED" w:rsidP="0091773C">
      <w:pPr>
        <w:pStyle w:val="EndnoteText"/>
        <w:widowControl w:val="0"/>
        <w:tabs>
          <w:tab w:val="clear" w:pos="567"/>
        </w:tabs>
        <w:rPr>
          <w:color w:val="000000"/>
          <w:szCs w:val="22"/>
          <w:lang w:val="hr-HR"/>
        </w:rPr>
      </w:pPr>
    </w:p>
    <w:p w14:paraId="238E91A0" w14:textId="77777777" w:rsidR="00742D63" w:rsidRPr="00510442" w:rsidRDefault="00742D63" w:rsidP="003179A4">
      <w:pPr>
        <w:keepNext/>
        <w:tabs>
          <w:tab w:val="clear" w:pos="567"/>
        </w:tabs>
        <w:spacing w:line="240" w:lineRule="auto"/>
        <w:ind w:left="567" w:hanging="567"/>
        <w:outlineLvl w:val="0"/>
        <w:rPr>
          <w:szCs w:val="22"/>
          <w:lang w:val="hr-HR"/>
        </w:rPr>
      </w:pPr>
      <w:r w:rsidRPr="00510442">
        <w:rPr>
          <w:b/>
          <w:szCs w:val="22"/>
          <w:lang w:val="hr-HR"/>
        </w:rPr>
        <w:t>5.3</w:t>
      </w:r>
      <w:r w:rsidRPr="00510442">
        <w:rPr>
          <w:b/>
          <w:szCs w:val="22"/>
          <w:lang w:val="hr-HR"/>
        </w:rPr>
        <w:tab/>
        <w:t>Neklinički podaci o sigurnosti primjene</w:t>
      </w:r>
    </w:p>
    <w:p w14:paraId="2F756158" w14:textId="77777777" w:rsidR="009B57ED" w:rsidRPr="00510442" w:rsidRDefault="009B57ED" w:rsidP="003179A4">
      <w:pPr>
        <w:pStyle w:val="EndnoteText"/>
        <w:keepNext/>
        <w:widowControl w:val="0"/>
        <w:tabs>
          <w:tab w:val="clear" w:pos="567"/>
        </w:tabs>
        <w:rPr>
          <w:color w:val="000000"/>
          <w:szCs w:val="22"/>
          <w:lang w:val="hr-HR"/>
        </w:rPr>
      </w:pPr>
    </w:p>
    <w:p w14:paraId="45244BFA" w14:textId="77777777" w:rsidR="00246C62" w:rsidRPr="00510442" w:rsidRDefault="001B77C9" w:rsidP="009B5630">
      <w:pPr>
        <w:spacing w:line="240" w:lineRule="auto"/>
        <w:outlineLvl w:val="0"/>
        <w:rPr>
          <w:szCs w:val="22"/>
          <w:lang w:val="hr-HR"/>
        </w:rPr>
      </w:pPr>
      <w:r w:rsidRPr="00510442">
        <w:rPr>
          <w:szCs w:val="22"/>
          <w:lang w:val="hr-HR"/>
        </w:rPr>
        <w:t>Ne</w:t>
      </w:r>
      <w:r w:rsidR="00246C62" w:rsidRPr="00510442">
        <w:rPr>
          <w:szCs w:val="22"/>
          <w:lang w:val="hr-HR"/>
        </w:rPr>
        <w:t>klinički profil sigurnosti primjene imatiniba utvrđivan je u štakora, pasa, majmuna i kunića.</w:t>
      </w:r>
    </w:p>
    <w:p w14:paraId="1C839BF3" w14:textId="77777777" w:rsidR="009B57ED" w:rsidRPr="00510442" w:rsidRDefault="009B57ED" w:rsidP="0091773C">
      <w:pPr>
        <w:widowControl w:val="0"/>
        <w:tabs>
          <w:tab w:val="clear" w:pos="567"/>
        </w:tabs>
        <w:spacing w:line="240" w:lineRule="auto"/>
        <w:rPr>
          <w:color w:val="000000"/>
          <w:szCs w:val="22"/>
          <w:lang w:val="hr-HR"/>
        </w:rPr>
      </w:pPr>
    </w:p>
    <w:p w14:paraId="000282DC" w14:textId="77777777" w:rsidR="00246C62" w:rsidRPr="00510442" w:rsidRDefault="00246C62" w:rsidP="009B5630">
      <w:pPr>
        <w:spacing w:line="240" w:lineRule="auto"/>
        <w:rPr>
          <w:szCs w:val="22"/>
          <w:lang w:val="hr-HR"/>
        </w:rPr>
      </w:pPr>
      <w:r w:rsidRPr="00510442">
        <w:rPr>
          <w:szCs w:val="22"/>
          <w:lang w:val="hr-HR"/>
        </w:rPr>
        <w:t>Ispitivanjima toksičnosti višestrukih doza otkrivene su blage do umjerene hematološke promjene u štakora, pasa i majmuna, uz promjene u koštanoj srži u štakora i pasa.</w:t>
      </w:r>
    </w:p>
    <w:p w14:paraId="7B62F3A1" w14:textId="77777777" w:rsidR="009B57ED" w:rsidRPr="00510442" w:rsidRDefault="009B57ED" w:rsidP="0091773C">
      <w:pPr>
        <w:pStyle w:val="Text"/>
        <w:widowControl w:val="0"/>
        <w:spacing w:before="0"/>
        <w:jc w:val="left"/>
        <w:outlineLvl w:val="0"/>
        <w:rPr>
          <w:color w:val="000000"/>
          <w:sz w:val="22"/>
          <w:szCs w:val="22"/>
          <w:lang w:val="hr-HR"/>
        </w:rPr>
      </w:pPr>
    </w:p>
    <w:p w14:paraId="1E297329" w14:textId="77777777" w:rsidR="009B57ED" w:rsidRPr="00510442" w:rsidRDefault="00CC2634" w:rsidP="00422F71">
      <w:pPr>
        <w:pStyle w:val="Text"/>
        <w:widowControl w:val="0"/>
        <w:spacing w:before="0"/>
        <w:jc w:val="left"/>
        <w:outlineLvl w:val="0"/>
        <w:rPr>
          <w:color w:val="000000"/>
          <w:sz w:val="22"/>
          <w:szCs w:val="22"/>
          <w:lang w:val="hr-HR"/>
        </w:rPr>
      </w:pPr>
      <w:r w:rsidRPr="00510442">
        <w:rPr>
          <w:sz w:val="22"/>
          <w:szCs w:val="22"/>
          <w:lang w:val="hr-HR"/>
        </w:rPr>
        <w:t xml:space="preserve">Jetra je bila ciljni organ u štakora i pasa. U obje su vrste zapažena blaga do umjerena povećanja razine transaminaza, te mala smanjenja razina kolesterola, triglicerida, ukupnih </w:t>
      </w:r>
      <w:r w:rsidR="008052CA" w:rsidRPr="00510442">
        <w:rPr>
          <w:sz w:val="22"/>
          <w:szCs w:val="22"/>
          <w:lang w:val="hr-HR"/>
        </w:rPr>
        <w:t xml:space="preserve">proteina </w:t>
      </w:r>
      <w:r w:rsidRPr="00510442">
        <w:rPr>
          <w:sz w:val="22"/>
          <w:szCs w:val="22"/>
          <w:lang w:val="hr-HR"/>
        </w:rPr>
        <w:t xml:space="preserve">i albumina. U jetri štakora nisu uočene histopatološke promjene. Teška jetrena toksičnost zapažena je u pasa koji su </w:t>
      </w:r>
      <w:r w:rsidRPr="00510442">
        <w:rPr>
          <w:sz w:val="22"/>
          <w:szCs w:val="22"/>
          <w:lang w:val="hr-HR"/>
        </w:rPr>
        <w:lastRenderedPageBreak/>
        <w:t>liječeni 2</w:t>
      </w:r>
      <w:r w:rsidRPr="00510442">
        <w:rPr>
          <w:color w:val="000000"/>
          <w:sz w:val="22"/>
          <w:szCs w:val="22"/>
          <w:lang w:val="hr-HR"/>
        </w:rPr>
        <w:t> </w:t>
      </w:r>
      <w:r w:rsidRPr="00510442">
        <w:rPr>
          <w:sz w:val="22"/>
          <w:szCs w:val="22"/>
          <w:lang w:val="hr-HR"/>
        </w:rPr>
        <w:t>tjedna, uz povišene jetrene enzime, hepatocelularnu nekrozu, nekrozu žučnih vodova te hiperplaziju žučnih vodova.</w:t>
      </w:r>
    </w:p>
    <w:p w14:paraId="37339D20" w14:textId="77777777" w:rsidR="009B57ED" w:rsidRPr="00510442" w:rsidRDefault="009B57ED" w:rsidP="009B5630">
      <w:pPr>
        <w:pStyle w:val="Text"/>
        <w:widowControl w:val="0"/>
        <w:spacing w:before="0"/>
        <w:jc w:val="left"/>
        <w:outlineLvl w:val="0"/>
        <w:rPr>
          <w:color w:val="000000"/>
          <w:sz w:val="22"/>
          <w:szCs w:val="22"/>
          <w:lang w:val="hr-HR"/>
        </w:rPr>
      </w:pPr>
    </w:p>
    <w:p w14:paraId="521F9510" w14:textId="77777777" w:rsidR="00F50149" w:rsidRPr="00510442" w:rsidRDefault="00F50149" w:rsidP="0091773C">
      <w:pPr>
        <w:pStyle w:val="Text"/>
        <w:widowControl w:val="0"/>
        <w:spacing w:before="0"/>
        <w:jc w:val="left"/>
        <w:outlineLvl w:val="0"/>
        <w:rPr>
          <w:sz w:val="22"/>
          <w:szCs w:val="22"/>
          <w:lang w:val="hr-HR"/>
        </w:rPr>
      </w:pPr>
      <w:r w:rsidRPr="00510442">
        <w:rPr>
          <w:sz w:val="22"/>
          <w:szCs w:val="22"/>
          <w:lang w:val="hr-HR"/>
        </w:rPr>
        <w:t>Bubrežna toksičnost je uočena u majmuna koji su liječeni 2</w:t>
      </w:r>
      <w:r w:rsidRPr="00510442">
        <w:rPr>
          <w:color w:val="000000"/>
          <w:sz w:val="22"/>
          <w:szCs w:val="22"/>
          <w:lang w:val="hr-HR"/>
        </w:rPr>
        <w:t> </w:t>
      </w:r>
      <w:r w:rsidRPr="00510442">
        <w:rPr>
          <w:sz w:val="22"/>
          <w:szCs w:val="22"/>
          <w:lang w:val="hr-HR"/>
        </w:rPr>
        <w:t>tjedna, uz fokalnu mineralizaciju i dilataciju bubrežnih kanalića i tubularnu nefrozu. Povišene koncentracije N-ureje u krvi (BUN) i kreatinina zapažene su u nekoliko od tih životinja. U ispitivanju kod štakora koje je trajalo 13</w:t>
      </w:r>
      <w:r w:rsidRPr="00510442">
        <w:rPr>
          <w:color w:val="000000"/>
          <w:sz w:val="22"/>
          <w:szCs w:val="22"/>
          <w:lang w:val="hr-HR"/>
        </w:rPr>
        <w:t> </w:t>
      </w:r>
      <w:r w:rsidRPr="00510442">
        <w:rPr>
          <w:sz w:val="22"/>
          <w:szCs w:val="22"/>
          <w:lang w:val="hr-HR"/>
        </w:rPr>
        <w:t>tjedana zapažena je hiperplazija prijelaznog epitela u bubrežnoj papili te u mokraćnom mjehuru uz doze ≥6</w:t>
      </w:r>
      <w:r w:rsidRPr="00510442">
        <w:rPr>
          <w:color w:val="000000"/>
          <w:sz w:val="22"/>
          <w:szCs w:val="22"/>
          <w:lang w:val="hr-HR"/>
        </w:rPr>
        <w:t> </w:t>
      </w:r>
      <w:r w:rsidRPr="00510442">
        <w:rPr>
          <w:sz w:val="22"/>
          <w:szCs w:val="22"/>
          <w:lang w:val="hr-HR"/>
        </w:rPr>
        <w:t>mg/kg, bez promjena parametara za serum ili mokraću. Povećana stopa oportunističkih infekcija zapažena je kod kroničnog liječenja imatinibom.</w:t>
      </w:r>
    </w:p>
    <w:p w14:paraId="20A668BF" w14:textId="77777777" w:rsidR="009B57ED" w:rsidRPr="00510442" w:rsidRDefault="009B57ED" w:rsidP="00422F71">
      <w:pPr>
        <w:pStyle w:val="Text"/>
        <w:widowControl w:val="0"/>
        <w:spacing w:before="0"/>
        <w:jc w:val="left"/>
        <w:outlineLvl w:val="0"/>
        <w:rPr>
          <w:color w:val="000000"/>
          <w:sz w:val="22"/>
          <w:szCs w:val="22"/>
          <w:lang w:val="hr-HR"/>
        </w:rPr>
      </w:pPr>
    </w:p>
    <w:p w14:paraId="2B0D2A60" w14:textId="77777777" w:rsidR="00251291" w:rsidRPr="00510442" w:rsidRDefault="00251291" w:rsidP="00422F71">
      <w:pPr>
        <w:pStyle w:val="Text"/>
        <w:widowControl w:val="0"/>
        <w:spacing w:before="0"/>
        <w:jc w:val="left"/>
        <w:outlineLvl w:val="0"/>
        <w:rPr>
          <w:sz w:val="22"/>
          <w:szCs w:val="22"/>
          <w:lang w:val="hr-HR"/>
        </w:rPr>
      </w:pPr>
      <w:r w:rsidRPr="00510442">
        <w:rPr>
          <w:sz w:val="22"/>
          <w:szCs w:val="22"/>
          <w:lang w:val="hr-HR"/>
        </w:rPr>
        <w:t>U 39-tjednom ispitivanju na majmunima, NOAEL (razina kod koje se ne uočava štetan učinak) nije utvrđen pri najnižoj dozi od 15</w:t>
      </w:r>
      <w:r w:rsidRPr="00510442">
        <w:rPr>
          <w:color w:val="000000"/>
          <w:sz w:val="22"/>
          <w:szCs w:val="22"/>
          <w:lang w:val="hr-HR"/>
        </w:rPr>
        <w:t> </w:t>
      </w:r>
      <w:r w:rsidRPr="00510442">
        <w:rPr>
          <w:sz w:val="22"/>
          <w:szCs w:val="22"/>
          <w:lang w:val="hr-HR"/>
        </w:rPr>
        <w:t>mg/kg, koja iznosi približno jednu trećinu maksimalne doze za ljude od 800</w:t>
      </w:r>
      <w:r w:rsidRPr="00510442">
        <w:rPr>
          <w:color w:val="000000"/>
          <w:sz w:val="22"/>
          <w:szCs w:val="22"/>
          <w:lang w:val="hr-HR"/>
        </w:rPr>
        <w:t> </w:t>
      </w:r>
      <w:r w:rsidRPr="00510442">
        <w:rPr>
          <w:sz w:val="22"/>
          <w:szCs w:val="22"/>
          <w:lang w:val="hr-HR"/>
        </w:rPr>
        <w:t>mg temeljeno na veličini površine tijela. Rezultat liječenja u tih životinja bilo je pogoršanje malarijskih infekcija koje se u normalnim okolnostima suprimirane.</w:t>
      </w:r>
    </w:p>
    <w:p w14:paraId="331F6730" w14:textId="77777777" w:rsidR="00251291" w:rsidRPr="00510442" w:rsidRDefault="00251291" w:rsidP="00422F71">
      <w:pPr>
        <w:pStyle w:val="Text"/>
        <w:widowControl w:val="0"/>
        <w:spacing w:before="0"/>
        <w:jc w:val="left"/>
        <w:outlineLvl w:val="0"/>
        <w:rPr>
          <w:sz w:val="22"/>
          <w:szCs w:val="22"/>
          <w:lang w:val="hr-HR"/>
        </w:rPr>
      </w:pPr>
    </w:p>
    <w:p w14:paraId="56C66CC2" w14:textId="77777777" w:rsidR="00251291" w:rsidRPr="00510442" w:rsidRDefault="00251291" w:rsidP="009B5630">
      <w:pPr>
        <w:spacing w:line="240" w:lineRule="auto"/>
        <w:rPr>
          <w:szCs w:val="22"/>
          <w:lang w:val="hr-HR"/>
        </w:rPr>
      </w:pPr>
      <w:r w:rsidRPr="00510442">
        <w:rPr>
          <w:szCs w:val="22"/>
          <w:lang w:val="hr-HR"/>
        </w:rPr>
        <w:t xml:space="preserve">Imatinib nije smatran genotoksičnim kada je ispitivan u </w:t>
      </w:r>
      <w:r w:rsidRPr="00510442">
        <w:rPr>
          <w:i/>
          <w:szCs w:val="22"/>
          <w:lang w:val="hr-HR"/>
        </w:rPr>
        <w:t>in vitro</w:t>
      </w:r>
      <w:r w:rsidRPr="00510442">
        <w:rPr>
          <w:szCs w:val="22"/>
          <w:lang w:val="hr-HR"/>
        </w:rPr>
        <w:t xml:space="preserve"> pokusu na bakterijskim stanicama (Ames test), u </w:t>
      </w:r>
      <w:r w:rsidRPr="00510442">
        <w:rPr>
          <w:i/>
          <w:szCs w:val="22"/>
          <w:lang w:val="hr-HR"/>
        </w:rPr>
        <w:t>in vitro</w:t>
      </w:r>
      <w:r w:rsidRPr="00510442">
        <w:rPr>
          <w:szCs w:val="22"/>
          <w:lang w:val="hr-HR"/>
        </w:rPr>
        <w:t xml:space="preserve"> pokusu na stanicama sisavaca (limfom miša) te u </w:t>
      </w:r>
      <w:r w:rsidRPr="00510442">
        <w:rPr>
          <w:i/>
          <w:szCs w:val="22"/>
          <w:lang w:val="hr-HR"/>
        </w:rPr>
        <w:t>in vivo</w:t>
      </w:r>
      <w:r w:rsidRPr="00510442">
        <w:rPr>
          <w:szCs w:val="22"/>
          <w:lang w:val="hr-HR"/>
        </w:rPr>
        <w:t xml:space="preserve"> testu na mikronukleusu štakora. Pozitivni su genotoksični učinci dobiveni za imatinib u </w:t>
      </w:r>
      <w:r w:rsidRPr="00510442">
        <w:rPr>
          <w:i/>
          <w:szCs w:val="22"/>
          <w:lang w:val="hr-HR"/>
        </w:rPr>
        <w:t>in vitro</w:t>
      </w:r>
      <w:r w:rsidRPr="00510442">
        <w:rPr>
          <w:szCs w:val="22"/>
          <w:lang w:val="hr-HR"/>
        </w:rPr>
        <w:t xml:space="preserve"> testu na stanicama sisavca (jajnik kineskog hrčka) na klastogenost (aberacija kromosoma) u prisutnosti metaboličke aktivacije. Dva međuproizvoda proizvodnog procesa, koji su također prisutni u gotovom proizvodu, su u Amesovom testu pozitivna na mutagenezu. Jedan od tih međuproizvoda je također bio pozitivan u pokusu na limfomu miša.</w:t>
      </w:r>
    </w:p>
    <w:p w14:paraId="154743E4" w14:textId="77777777" w:rsidR="009B57ED" w:rsidRPr="00510442" w:rsidRDefault="009B57ED" w:rsidP="0091773C">
      <w:pPr>
        <w:pStyle w:val="Text"/>
        <w:widowControl w:val="0"/>
        <w:spacing w:before="0"/>
        <w:jc w:val="left"/>
        <w:outlineLvl w:val="0"/>
        <w:rPr>
          <w:color w:val="000000"/>
          <w:sz w:val="22"/>
          <w:szCs w:val="22"/>
          <w:lang w:val="hr-HR"/>
        </w:rPr>
      </w:pPr>
    </w:p>
    <w:p w14:paraId="6A044D81" w14:textId="77777777" w:rsidR="00251291" w:rsidRPr="00510442" w:rsidRDefault="00251291" w:rsidP="00422F71">
      <w:pPr>
        <w:pStyle w:val="Text"/>
        <w:widowControl w:val="0"/>
        <w:spacing w:before="0"/>
        <w:jc w:val="left"/>
        <w:rPr>
          <w:sz w:val="22"/>
          <w:szCs w:val="22"/>
          <w:lang w:val="hr-HR"/>
        </w:rPr>
      </w:pPr>
      <w:r w:rsidRPr="00510442">
        <w:rPr>
          <w:sz w:val="22"/>
          <w:szCs w:val="22"/>
          <w:lang w:val="hr-HR"/>
        </w:rPr>
        <w:t>U ispitivanju fertilnosti, u mužjaka štakora koji su primali dozu tijekom 70</w:t>
      </w:r>
      <w:r w:rsidR="00D97E76" w:rsidRPr="00510442">
        <w:rPr>
          <w:color w:val="000000"/>
          <w:sz w:val="22"/>
          <w:szCs w:val="22"/>
          <w:lang w:val="hr-HR"/>
        </w:rPr>
        <w:t> </w:t>
      </w:r>
      <w:r w:rsidRPr="00510442">
        <w:rPr>
          <w:sz w:val="22"/>
          <w:szCs w:val="22"/>
          <w:lang w:val="hr-HR"/>
        </w:rPr>
        <w:t>dana prije parenja, smanjila se težina testisa i epididimisa te postotak pokretljive sperme uz dozu od 60</w:t>
      </w:r>
      <w:r w:rsidR="00D97E76" w:rsidRPr="00510442">
        <w:rPr>
          <w:color w:val="000000"/>
          <w:sz w:val="22"/>
          <w:szCs w:val="22"/>
          <w:lang w:val="hr-HR"/>
        </w:rPr>
        <w:t> </w:t>
      </w:r>
      <w:r w:rsidRPr="00510442">
        <w:rPr>
          <w:sz w:val="22"/>
          <w:szCs w:val="22"/>
          <w:lang w:val="hr-HR"/>
        </w:rPr>
        <w:t>mg/kg, što je približno jednako maksimalnoj kliničkoj dozi od 800</w:t>
      </w:r>
      <w:r w:rsidR="00D97E76" w:rsidRPr="00510442">
        <w:rPr>
          <w:color w:val="000000"/>
          <w:sz w:val="22"/>
          <w:szCs w:val="22"/>
          <w:lang w:val="hr-HR"/>
        </w:rPr>
        <w:t> </w:t>
      </w:r>
      <w:r w:rsidRPr="00510442">
        <w:rPr>
          <w:sz w:val="22"/>
          <w:szCs w:val="22"/>
          <w:lang w:val="hr-HR"/>
        </w:rPr>
        <w:t>mg/dan, temeljeno na veličini površine tijela. To nije zapaženo pri dozama ≤20</w:t>
      </w:r>
      <w:r w:rsidR="00D97E76" w:rsidRPr="00510442">
        <w:rPr>
          <w:color w:val="000000"/>
          <w:sz w:val="22"/>
          <w:szCs w:val="22"/>
          <w:lang w:val="hr-HR"/>
        </w:rPr>
        <w:t> </w:t>
      </w:r>
      <w:r w:rsidRPr="00510442">
        <w:rPr>
          <w:sz w:val="22"/>
          <w:szCs w:val="22"/>
          <w:lang w:val="hr-HR"/>
        </w:rPr>
        <w:t>mg/kg. Malo do umjereno smanjenje spermatogeneze također je zapaženo kod pasa pri oralnoj dozi od ≥30</w:t>
      </w:r>
      <w:r w:rsidR="00781C79" w:rsidRPr="00510442">
        <w:rPr>
          <w:sz w:val="22"/>
          <w:szCs w:val="22"/>
          <w:lang w:val="hr-HR"/>
        </w:rPr>
        <w:t> </w:t>
      </w:r>
      <w:r w:rsidRPr="00510442">
        <w:rPr>
          <w:sz w:val="22"/>
          <w:szCs w:val="22"/>
          <w:lang w:val="hr-HR"/>
        </w:rPr>
        <w:t>mg/kg. Kada su ženke štakora dobivale dozu tijekom 14</w:t>
      </w:r>
      <w:r w:rsidR="00D97E76" w:rsidRPr="00510442">
        <w:rPr>
          <w:color w:val="000000"/>
          <w:sz w:val="22"/>
          <w:szCs w:val="22"/>
          <w:lang w:val="hr-HR"/>
        </w:rPr>
        <w:t> </w:t>
      </w:r>
      <w:r w:rsidRPr="00510442">
        <w:rPr>
          <w:sz w:val="22"/>
          <w:szCs w:val="22"/>
          <w:lang w:val="hr-HR"/>
        </w:rPr>
        <w:t xml:space="preserve">dana prije parenja pa sve do </w:t>
      </w:r>
      <w:r w:rsidR="00D97E76" w:rsidRPr="00510442">
        <w:rPr>
          <w:sz w:val="22"/>
          <w:szCs w:val="22"/>
          <w:lang w:val="hr-HR"/>
        </w:rPr>
        <w:t>6.</w:t>
      </w:r>
      <w:r w:rsidR="00D97E76" w:rsidRPr="00510442">
        <w:rPr>
          <w:color w:val="000000"/>
          <w:sz w:val="22"/>
          <w:szCs w:val="22"/>
          <w:lang w:val="hr-HR"/>
        </w:rPr>
        <w:t> </w:t>
      </w:r>
      <w:r w:rsidRPr="00510442">
        <w:rPr>
          <w:sz w:val="22"/>
          <w:szCs w:val="22"/>
          <w:lang w:val="hr-HR"/>
        </w:rPr>
        <w:t>gestacijskog dana, nije bilo učinka na parenje ili na broj skotnih ženki. Pri dozi od 60</w:t>
      </w:r>
      <w:r w:rsidR="00D97E76" w:rsidRPr="00510442">
        <w:rPr>
          <w:color w:val="000000"/>
          <w:sz w:val="22"/>
          <w:szCs w:val="22"/>
          <w:lang w:val="hr-HR"/>
        </w:rPr>
        <w:t> </w:t>
      </w:r>
      <w:r w:rsidRPr="00510442">
        <w:rPr>
          <w:sz w:val="22"/>
          <w:szCs w:val="22"/>
          <w:lang w:val="hr-HR"/>
        </w:rPr>
        <w:t xml:space="preserve">mg/kg, ženke štakora su imale značajan postimplantacijski gubitak fetusa te smanjeni broj živih fetusa. To nije uočeno pri dozama od </w:t>
      </w:r>
      <w:r w:rsidR="00D97E76" w:rsidRPr="00510442">
        <w:rPr>
          <w:color w:val="000000"/>
          <w:sz w:val="22"/>
          <w:szCs w:val="22"/>
          <w:lang w:val="hr-HR"/>
        </w:rPr>
        <w:t>≤20 </w:t>
      </w:r>
      <w:r w:rsidRPr="00510442">
        <w:rPr>
          <w:sz w:val="22"/>
          <w:szCs w:val="22"/>
          <w:lang w:val="hr-HR"/>
        </w:rPr>
        <w:t>mg/kg.</w:t>
      </w:r>
    </w:p>
    <w:p w14:paraId="421E393C" w14:textId="77777777" w:rsidR="009B57ED" w:rsidRPr="00510442" w:rsidRDefault="009B57ED" w:rsidP="00422F71">
      <w:pPr>
        <w:pStyle w:val="Text"/>
        <w:widowControl w:val="0"/>
        <w:spacing w:before="0"/>
        <w:jc w:val="left"/>
        <w:rPr>
          <w:color w:val="000000"/>
          <w:sz w:val="22"/>
          <w:szCs w:val="22"/>
          <w:lang w:val="hr-HR"/>
        </w:rPr>
      </w:pPr>
    </w:p>
    <w:p w14:paraId="1C8697CD" w14:textId="77777777" w:rsidR="00702C9A" w:rsidRPr="00510442" w:rsidRDefault="00702C9A" w:rsidP="009B5630">
      <w:pPr>
        <w:spacing w:line="240" w:lineRule="auto"/>
        <w:rPr>
          <w:szCs w:val="22"/>
          <w:lang w:val="hr-HR"/>
        </w:rPr>
      </w:pPr>
      <w:r w:rsidRPr="00510442">
        <w:rPr>
          <w:szCs w:val="22"/>
          <w:lang w:val="hr-HR"/>
        </w:rPr>
        <w:t xml:space="preserve">U ispitivanju prenatalnog i postnatalnog razvoja u štakora, uočen je crveni vaginalni iscjedak u skupini koja je </w:t>
      </w:r>
      <w:r w:rsidR="00541C00" w:rsidRPr="00510442">
        <w:rPr>
          <w:szCs w:val="22"/>
          <w:lang w:val="hr-HR"/>
        </w:rPr>
        <w:t>per</w:t>
      </w:r>
      <w:r w:rsidRPr="00510442">
        <w:rPr>
          <w:szCs w:val="22"/>
          <w:lang w:val="hr-HR"/>
        </w:rPr>
        <w:t>oralno primala 45</w:t>
      </w:r>
      <w:r w:rsidRPr="00510442">
        <w:rPr>
          <w:color w:val="000000"/>
          <w:szCs w:val="22"/>
          <w:lang w:val="hr-HR"/>
        </w:rPr>
        <w:t> </w:t>
      </w:r>
      <w:r w:rsidRPr="00510442">
        <w:rPr>
          <w:szCs w:val="22"/>
          <w:lang w:val="hr-HR"/>
        </w:rPr>
        <w:t>mg/kg/dan bilo na 14. bilo na 15.</w:t>
      </w:r>
      <w:r w:rsidRPr="00510442">
        <w:rPr>
          <w:color w:val="000000"/>
          <w:szCs w:val="22"/>
          <w:lang w:val="hr-HR"/>
        </w:rPr>
        <w:t> </w:t>
      </w:r>
      <w:r w:rsidRPr="00510442">
        <w:rPr>
          <w:szCs w:val="22"/>
          <w:lang w:val="hr-HR"/>
        </w:rPr>
        <w:t xml:space="preserve">dan gestacije. Pri istoj dozi povećao se broj mrtvorođenih mladunaca, kao i onih koji su uginuli </w:t>
      </w:r>
      <w:r w:rsidR="0058214F" w:rsidRPr="00510442">
        <w:rPr>
          <w:szCs w:val="22"/>
          <w:lang w:val="hr-HR"/>
        </w:rPr>
        <w:t xml:space="preserve">postpartalno </w:t>
      </w:r>
      <w:r w:rsidRPr="00510442">
        <w:rPr>
          <w:szCs w:val="22"/>
          <w:lang w:val="hr-HR"/>
        </w:rPr>
        <w:t>između dana</w:t>
      </w:r>
      <w:r w:rsidRPr="00510442">
        <w:rPr>
          <w:color w:val="000000"/>
          <w:szCs w:val="22"/>
          <w:lang w:val="hr-HR"/>
        </w:rPr>
        <w:t> </w:t>
      </w:r>
      <w:r w:rsidRPr="00510442">
        <w:rPr>
          <w:szCs w:val="22"/>
          <w:lang w:val="hr-HR"/>
        </w:rPr>
        <w:t>0 i 4. U F</w:t>
      </w:r>
      <w:r w:rsidRPr="00510442">
        <w:rPr>
          <w:szCs w:val="22"/>
          <w:vertAlign w:val="subscript"/>
          <w:lang w:val="hr-HR"/>
        </w:rPr>
        <w:t>1</w:t>
      </w:r>
      <w:r w:rsidRPr="00510442">
        <w:rPr>
          <w:szCs w:val="22"/>
          <w:lang w:val="hr-HR"/>
        </w:rPr>
        <w:t xml:space="preserve"> potomstva, pri istoj dozi, smanjile su se srednje tjelesne težine od poroda sve do konačnog žrtvovanja, a broj okota koji su postigli kriterij za prepucijsku separaciju bio je malo smanjen. Nije bilo utjecaja na F</w:t>
      </w:r>
      <w:r w:rsidRPr="00510442">
        <w:rPr>
          <w:szCs w:val="22"/>
          <w:vertAlign w:val="subscript"/>
          <w:lang w:val="hr-HR"/>
        </w:rPr>
        <w:t>1</w:t>
      </w:r>
      <w:r w:rsidRPr="00510442">
        <w:rPr>
          <w:szCs w:val="22"/>
          <w:lang w:val="hr-HR"/>
        </w:rPr>
        <w:t xml:space="preserve"> fertilnost, dok je pri 45</w:t>
      </w:r>
      <w:r w:rsidRPr="00510442">
        <w:rPr>
          <w:color w:val="000000"/>
          <w:szCs w:val="22"/>
          <w:lang w:val="hr-HR"/>
        </w:rPr>
        <w:t> </w:t>
      </w:r>
      <w:r w:rsidRPr="00510442">
        <w:rPr>
          <w:szCs w:val="22"/>
          <w:lang w:val="hr-HR"/>
        </w:rPr>
        <w:t>mg/kg/dan zapažen povećani broj resorpcija i smanjeni broj fetusa sposobnih za život. Razina kod koje se ne uočava učinak (NOEL) i za roditeljske ženke i za F</w:t>
      </w:r>
      <w:r w:rsidRPr="00510442">
        <w:rPr>
          <w:szCs w:val="22"/>
          <w:vertAlign w:val="subscript"/>
          <w:lang w:val="hr-HR"/>
        </w:rPr>
        <w:t>1</w:t>
      </w:r>
      <w:r w:rsidRPr="00510442">
        <w:rPr>
          <w:szCs w:val="22"/>
          <w:lang w:val="hr-HR"/>
        </w:rPr>
        <w:t xml:space="preserve"> generaciju bila je 15</w:t>
      </w:r>
      <w:r w:rsidRPr="00510442">
        <w:rPr>
          <w:color w:val="000000"/>
          <w:szCs w:val="22"/>
          <w:lang w:val="hr-HR"/>
        </w:rPr>
        <w:t> </w:t>
      </w:r>
      <w:r w:rsidRPr="00510442">
        <w:rPr>
          <w:szCs w:val="22"/>
          <w:lang w:val="hr-HR"/>
        </w:rPr>
        <w:t>mg/kg/dan (jedna četvrtina maksimalne doze za ljude od 800</w:t>
      </w:r>
      <w:r w:rsidRPr="00510442">
        <w:rPr>
          <w:color w:val="000000"/>
          <w:szCs w:val="22"/>
          <w:lang w:val="hr-HR"/>
        </w:rPr>
        <w:t> </w:t>
      </w:r>
      <w:r w:rsidRPr="00510442">
        <w:rPr>
          <w:szCs w:val="22"/>
          <w:lang w:val="hr-HR"/>
        </w:rPr>
        <w:t>mg).</w:t>
      </w:r>
    </w:p>
    <w:p w14:paraId="727A679D" w14:textId="77777777" w:rsidR="009B57ED" w:rsidRPr="00510442" w:rsidRDefault="009B57ED" w:rsidP="0091773C">
      <w:pPr>
        <w:pStyle w:val="Text"/>
        <w:widowControl w:val="0"/>
        <w:spacing w:before="0"/>
        <w:jc w:val="left"/>
        <w:rPr>
          <w:color w:val="000000"/>
          <w:sz w:val="22"/>
          <w:szCs w:val="22"/>
          <w:lang w:val="hr-HR"/>
        </w:rPr>
      </w:pPr>
    </w:p>
    <w:p w14:paraId="5CE5F190" w14:textId="77777777" w:rsidR="00A208F7" w:rsidRPr="00510442" w:rsidRDefault="00A208F7" w:rsidP="009B5630">
      <w:pPr>
        <w:spacing w:line="240" w:lineRule="auto"/>
        <w:rPr>
          <w:szCs w:val="22"/>
          <w:lang w:val="hr-HR"/>
        </w:rPr>
      </w:pPr>
      <w:r w:rsidRPr="00510442">
        <w:rPr>
          <w:szCs w:val="22"/>
          <w:lang w:val="hr-HR"/>
        </w:rPr>
        <w:t xml:space="preserve">Imatinib je bio teratogen u štakora kada je primjenjivan tijekom organogeneze u dozama </w:t>
      </w:r>
      <w:r w:rsidRPr="00510442">
        <w:rPr>
          <w:color w:val="000000"/>
          <w:szCs w:val="22"/>
          <w:lang w:val="hr-HR"/>
        </w:rPr>
        <w:t>≥100 mg/kg</w:t>
      </w:r>
      <w:r w:rsidRPr="00510442">
        <w:rPr>
          <w:szCs w:val="22"/>
          <w:lang w:val="hr-HR"/>
        </w:rPr>
        <w:t>, koje su približno jednake maksimalnoj kliničkoj dozi od 800</w:t>
      </w:r>
      <w:r w:rsidRPr="00510442">
        <w:rPr>
          <w:color w:val="000000"/>
          <w:szCs w:val="22"/>
          <w:lang w:val="hr-HR"/>
        </w:rPr>
        <w:t> </w:t>
      </w:r>
      <w:r w:rsidRPr="00510442">
        <w:rPr>
          <w:szCs w:val="22"/>
          <w:lang w:val="hr-HR"/>
        </w:rPr>
        <w:t>mg/dan, temeljeno na veličini površine tijela. Teratogeni su učinci uključivali e</w:t>
      </w:r>
      <w:r w:rsidR="00C931A5" w:rsidRPr="00510442">
        <w:rPr>
          <w:szCs w:val="22"/>
          <w:lang w:val="hr-HR"/>
        </w:rPr>
        <w:t>gz</w:t>
      </w:r>
      <w:r w:rsidRPr="00510442">
        <w:rPr>
          <w:szCs w:val="22"/>
          <w:lang w:val="hr-HR"/>
        </w:rPr>
        <w:t xml:space="preserve">encefaliju ili encefalokelu, odsutnost/smanjenje čeonih i odsutnost tjemenih kostiju. Ti učinci nisu uočeni pri dozama od </w:t>
      </w:r>
      <w:r w:rsidRPr="00510442">
        <w:rPr>
          <w:color w:val="000000"/>
          <w:szCs w:val="22"/>
          <w:lang w:val="hr-HR"/>
        </w:rPr>
        <w:t>≤30 </w:t>
      </w:r>
      <w:r w:rsidRPr="00510442">
        <w:rPr>
          <w:szCs w:val="22"/>
          <w:lang w:val="hr-HR"/>
        </w:rPr>
        <w:t>mg/kg.</w:t>
      </w:r>
    </w:p>
    <w:p w14:paraId="7C710124" w14:textId="77777777" w:rsidR="00572EB3" w:rsidRPr="00510442" w:rsidRDefault="00572EB3" w:rsidP="00572EB3">
      <w:pPr>
        <w:pStyle w:val="Text"/>
        <w:widowControl w:val="0"/>
        <w:spacing w:before="0"/>
        <w:jc w:val="left"/>
        <w:rPr>
          <w:color w:val="000000"/>
          <w:sz w:val="22"/>
          <w:szCs w:val="22"/>
          <w:lang w:val="hr-HR"/>
        </w:rPr>
      </w:pPr>
    </w:p>
    <w:p w14:paraId="1645CE7F" w14:textId="77777777" w:rsidR="00572EB3" w:rsidRPr="00510442" w:rsidRDefault="00572EB3" w:rsidP="00572EB3">
      <w:pPr>
        <w:pStyle w:val="Text"/>
        <w:widowControl w:val="0"/>
        <w:spacing w:before="0"/>
        <w:jc w:val="left"/>
        <w:rPr>
          <w:color w:val="000000"/>
          <w:sz w:val="22"/>
          <w:szCs w:val="22"/>
          <w:lang w:val="hr-HR"/>
        </w:rPr>
      </w:pPr>
      <w:r w:rsidRPr="00510442">
        <w:rPr>
          <w:color w:val="000000"/>
          <w:sz w:val="22"/>
          <w:szCs w:val="22"/>
          <w:lang w:val="hr-HR"/>
        </w:rPr>
        <w:t>Nisu bili uočeni novi ciljni organi u toksikološkom ispitivanju juvenilnog razvoja u štakora (10 do 70</w:t>
      </w:r>
      <w:r w:rsidR="00200866" w:rsidRPr="00510442">
        <w:rPr>
          <w:color w:val="000000"/>
          <w:sz w:val="22"/>
          <w:szCs w:val="22"/>
          <w:lang w:val="hr-HR"/>
        </w:rPr>
        <w:t> </w:t>
      </w:r>
      <w:r w:rsidRPr="00510442">
        <w:rPr>
          <w:color w:val="000000"/>
          <w:sz w:val="22"/>
          <w:szCs w:val="22"/>
          <w:lang w:val="hr-HR"/>
        </w:rPr>
        <w:t>dana nakon okota) u odnosu na poznate ciljne organe u odraslih štakora. U toksikološkom ispitivanju u juvenilnih životinja, učinci na rast, odgodu vaginalnog otvaranja i odvajanje prepucija uočeni su pri izloženosti koja iznosi otprilike 0,3 do 2 puta prosječne izloženosti u djece pri najvišoj preporučenoj dozi od 340 mg/m</w:t>
      </w:r>
      <w:r w:rsidRPr="00510442">
        <w:rPr>
          <w:color w:val="000000"/>
          <w:sz w:val="22"/>
          <w:szCs w:val="22"/>
          <w:vertAlign w:val="superscript"/>
          <w:lang w:val="hr-HR"/>
        </w:rPr>
        <w:t>2</w:t>
      </w:r>
      <w:r w:rsidRPr="00510442">
        <w:rPr>
          <w:color w:val="000000"/>
          <w:sz w:val="22"/>
          <w:szCs w:val="22"/>
          <w:lang w:val="hr-HR"/>
        </w:rPr>
        <w:t>. K tome, mortalitet je uočen u juvenilnih životinja (oko faze odbijanja) pri izloženosti koja je iznosila otprilike 2 puta prosječne izloženosti u djece pri najvišoj preporučenoj dozi od 340 mg/m</w:t>
      </w:r>
      <w:r w:rsidRPr="00510442">
        <w:rPr>
          <w:color w:val="000000"/>
          <w:sz w:val="22"/>
          <w:szCs w:val="22"/>
          <w:vertAlign w:val="superscript"/>
          <w:lang w:val="hr-HR"/>
        </w:rPr>
        <w:t>2</w:t>
      </w:r>
      <w:r w:rsidRPr="00510442">
        <w:rPr>
          <w:color w:val="000000"/>
          <w:sz w:val="22"/>
          <w:szCs w:val="22"/>
          <w:lang w:val="hr-HR"/>
        </w:rPr>
        <w:t>.</w:t>
      </w:r>
    </w:p>
    <w:p w14:paraId="0F0FA0E7" w14:textId="77777777" w:rsidR="009B57ED" w:rsidRPr="00510442" w:rsidRDefault="009B57ED" w:rsidP="0091773C">
      <w:pPr>
        <w:pStyle w:val="Text"/>
        <w:widowControl w:val="0"/>
        <w:spacing w:before="0"/>
        <w:jc w:val="left"/>
        <w:rPr>
          <w:color w:val="000000"/>
          <w:sz w:val="22"/>
          <w:szCs w:val="22"/>
          <w:lang w:val="hr-HR"/>
        </w:rPr>
      </w:pPr>
    </w:p>
    <w:p w14:paraId="659C6B53" w14:textId="77777777" w:rsidR="00FE4628" w:rsidRPr="00510442" w:rsidRDefault="00FE4628" w:rsidP="009B5630">
      <w:pPr>
        <w:spacing w:line="240" w:lineRule="auto"/>
        <w:rPr>
          <w:szCs w:val="22"/>
          <w:lang w:val="hr-HR"/>
        </w:rPr>
      </w:pPr>
      <w:r w:rsidRPr="00510442">
        <w:rPr>
          <w:szCs w:val="22"/>
          <w:lang w:val="hr-HR"/>
        </w:rPr>
        <w:t xml:space="preserve">U 2-godišnjoj studiji </w:t>
      </w:r>
      <w:r w:rsidR="00521316" w:rsidRPr="00510442">
        <w:rPr>
          <w:szCs w:val="22"/>
          <w:lang w:val="hr-HR"/>
        </w:rPr>
        <w:t>kancerogenosti</w:t>
      </w:r>
      <w:r w:rsidRPr="00510442">
        <w:rPr>
          <w:szCs w:val="22"/>
          <w:lang w:val="hr-HR"/>
        </w:rPr>
        <w:t xml:space="preserve"> u štakora primjena imatiniba od 15, 30 i 60</w:t>
      </w:r>
      <w:r w:rsidRPr="00510442">
        <w:rPr>
          <w:color w:val="000000"/>
          <w:szCs w:val="22"/>
          <w:lang w:val="hr-HR"/>
        </w:rPr>
        <w:t> </w:t>
      </w:r>
      <w:r w:rsidRPr="00510442">
        <w:rPr>
          <w:szCs w:val="22"/>
          <w:lang w:val="hr-HR"/>
        </w:rPr>
        <w:t>mg/kg/dan rezultirala je statistički značajnim smanjenjem dužine života mužjaka uz 60</w:t>
      </w:r>
      <w:r w:rsidRPr="00510442">
        <w:rPr>
          <w:color w:val="000000"/>
          <w:szCs w:val="22"/>
          <w:lang w:val="hr-HR"/>
        </w:rPr>
        <w:t> </w:t>
      </w:r>
      <w:r w:rsidRPr="00510442">
        <w:rPr>
          <w:szCs w:val="22"/>
          <w:lang w:val="hr-HR"/>
        </w:rPr>
        <w:t>mg/kg/dan i ženki uz ≥30</w:t>
      </w:r>
      <w:r w:rsidRPr="00510442">
        <w:rPr>
          <w:color w:val="000000"/>
          <w:szCs w:val="22"/>
          <w:lang w:val="hr-HR"/>
        </w:rPr>
        <w:t> </w:t>
      </w:r>
      <w:r w:rsidRPr="00510442">
        <w:rPr>
          <w:szCs w:val="22"/>
          <w:lang w:val="hr-HR"/>
        </w:rPr>
        <w:t xml:space="preserve">mg/kg/dan. Histopatološko ispitivanje mrtvih životinja otkrilo je kardiomiopatiju (kod oba spola), kroničnu </w:t>
      </w:r>
      <w:r w:rsidRPr="00510442">
        <w:rPr>
          <w:szCs w:val="22"/>
          <w:lang w:val="hr-HR"/>
        </w:rPr>
        <w:lastRenderedPageBreak/>
        <w:t>progresivnu nefropatiju (ženke) i papilom prepucijske žlijezde kao glavne uzroke smrti ili razloge za žrtvovanje. Ciljni organi neoplastičkih promjena bili su bubrezi, mokraćni mjehur, uretra, žlijezda prepucija i klitorisa, tanko crijevo, paratireoidne žlijezde, nadbubrežne žlijezde i ne-žljezdani želudac.</w:t>
      </w:r>
    </w:p>
    <w:p w14:paraId="3CCE2BD7" w14:textId="77777777" w:rsidR="009B57ED" w:rsidRPr="00510442" w:rsidRDefault="009B57ED" w:rsidP="009B5630">
      <w:pPr>
        <w:spacing w:line="240" w:lineRule="auto"/>
        <w:rPr>
          <w:color w:val="000000"/>
          <w:szCs w:val="22"/>
          <w:lang w:val="hr-HR"/>
        </w:rPr>
      </w:pPr>
    </w:p>
    <w:p w14:paraId="4C74A508" w14:textId="77777777" w:rsidR="005B4FD0" w:rsidRPr="00510442" w:rsidRDefault="005777D7" w:rsidP="009B5630">
      <w:pPr>
        <w:spacing w:line="240" w:lineRule="auto"/>
        <w:rPr>
          <w:szCs w:val="22"/>
          <w:lang w:val="hr-HR"/>
        </w:rPr>
      </w:pPr>
      <w:r w:rsidRPr="00510442">
        <w:rPr>
          <w:szCs w:val="22"/>
          <w:lang w:val="hr-HR"/>
        </w:rPr>
        <w:t>Papilom/karcinom žlijezde prepucija/klitorisa su zabilježeni pri dozama od 30</w:t>
      </w:r>
      <w:r w:rsidRPr="00510442">
        <w:rPr>
          <w:bCs/>
          <w:color w:val="000000"/>
          <w:szCs w:val="22"/>
          <w:lang w:val="hr-HR"/>
        </w:rPr>
        <w:t> </w:t>
      </w:r>
      <w:r w:rsidRPr="00510442">
        <w:rPr>
          <w:szCs w:val="22"/>
          <w:lang w:val="hr-HR"/>
        </w:rPr>
        <w:t>mg/kg/dan na više, što odgovara otprilike 0,5, odnosno 0,3</w:t>
      </w:r>
      <w:r w:rsidRPr="00510442">
        <w:rPr>
          <w:bCs/>
          <w:color w:val="000000"/>
          <w:szCs w:val="22"/>
          <w:lang w:val="hr-HR"/>
        </w:rPr>
        <w:t> </w:t>
      </w:r>
      <w:r w:rsidRPr="00510442">
        <w:rPr>
          <w:szCs w:val="22"/>
          <w:lang w:val="hr-HR"/>
        </w:rPr>
        <w:t>puta dnevne izloženosti u ljudi (temeljeno na AUC) kod 400</w:t>
      </w:r>
      <w:r w:rsidRPr="00510442">
        <w:rPr>
          <w:bCs/>
          <w:color w:val="000000"/>
          <w:szCs w:val="22"/>
          <w:lang w:val="hr-HR"/>
        </w:rPr>
        <w:t> </w:t>
      </w:r>
      <w:r w:rsidRPr="00510442">
        <w:rPr>
          <w:szCs w:val="22"/>
          <w:lang w:val="hr-HR"/>
        </w:rPr>
        <w:t>mg/dan, odnosno 800</w:t>
      </w:r>
      <w:r w:rsidRPr="00510442">
        <w:rPr>
          <w:bCs/>
          <w:color w:val="000000"/>
          <w:szCs w:val="22"/>
          <w:lang w:val="hr-HR"/>
        </w:rPr>
        <w:t> </w:t>
      </w:r>
      <w:r w:rsidRPr="00510442">
        <w:rPr>
          <w:szCs w:val="22"/>
          <w:lang w:val="hr-HR"/>
        </w:rPr>
        <w:t>mg/dan te 0,4</w:t>
      </w:r>
      <w:r w:rsidRPr="00510442">
        <w:rPr>
          <w:bCs/>
          <w:color w:val="000000"/>
          <w:szCs w:val="22"/>
          <w:lang w:val="hr-HR"/>
        </w:rPr>
        <w:t> </w:t>
      </w:r>
      <w:r w:rsidRPr="00510442">
        <w:rPr>
          <w:szCs w:val="22"/>
          <w:lang w:val="hr-HR"/>
        </w:rPr>
        <w:t>puta dnevne izloženosti u djece (temeljeno na AUC) kod 340</w:t>
      </w:r>
      <w:r w:rsidRPr="00510442">
        <w:rPr>
          <w:bCs/>
          <w:color w:val="000000"/>
          <w:szCs w:val="22"/>
          <w:lang w:val="hr-HR"/>
        </w:rPr>
        <w:t> </w:t>
      </w:r>
      <w:r w:rsidRPr="00510442">
        <w:rPr>
          <w:szCs w:val="22"/>
          <w:lang w:val="hr-HR"/>
        </w:rPr>
        <w:t>mg/m</w:t>
      </w:r>
      <w:r w:rsidRPr="00510442">
        <w:rPr>
          <w:szCs w:val="22"/>
          <w:vertAlign w:val="superscript"/>
          <w:lang w:val="hr-HR"/>
        </w:rPr>
        <w:t>2</w:t>
      </w:r>
      <w:r w:rsidRPr="00510442">
        <w:rPr>
          <w:szCs w:val="22"/>
          <w:lang w:val="hr-HR"/>
        </w:rPr>
        <w:t>/dan. Razina kod koje se ne uočava učinak (NOEL) iznosila je 15</w:t>
      </w:r>
      <w:r w:rsidRPr="00510442">
        <w:rPr>
          <w:bCs/>
          <w:color w:val="000000"/>
          <w:szCs w:val="22"/>
          <w:lang w:val="hr-HR"/>
        </w:rPr>
        <w:t> </w:t>
      </w:r>
      <w:r w:rsidRPr="00510442">
        <w:rPr>
          <w:szCs w:val="22"/>
          <w:lang w:val="hr-HR"/>
        </w:rPr>
        <w:t>mg/kg/dan.</w:t>
      </w:r>
    </w:p>
    <w:p w14:paraId="31EBFA26" w14:textId="77777777" w:rsidR="005777D7" w:rsidRPr="00510442" w:rsidRDefault="005777D7" w:rsidP="009B5630">
      <w:pPr>
        <w:spacing w:line="240" w:lineRule="auto"/>
        <w:rPr>
          <w:szCs w:val="22"/>
          <w:lang w:val="hr-HR"/>
        </w:rPr>
      </w:pPr>
      <w:r w:rsidRPr="00510442">
        <w:rPr>
          <w:szCs w:val="22"/>
          <w:lang w:val="hr-HR"/>
        </w:rPr>
        <w:t xml:space="preserve">Bubrežni adenom/karcinom, papilom mokraćnog mjehura i uretre, adenokarcinomi tankog crijeva, adenomi paratireoidnih žlijezda, dobroćudni i zloćudni medularni tumori nadbubrežnih žlijezda i papilomi/karcinomi nežljezdanog </w:t>
      </w:r>
      <w:r w:rsidR="00505B2B" w:rsidRPr="00510442">
        <w:rPr>
          <w:szCs w:val="22"/>
          <w:lang w:val="hr-HR"/>
        </w:rPr>
        <w:t xml:space="preserve">dijela </w:t>
      </w:r>
      <w:r w:rsidRPr="00510442">
        <w:rPr>
          <w:szCs w:val="22"/>
          <w:lang w:val="hr-HR"/>
        </w:rPr>
        <w:t>želuca zabilježeni su uz 60</w:t>
      </w:r>
      <w:r w:rsidRPr="00510442">
        <w:rPr>
          <w:bCs/>
          <w:color w:val="000000"/>
          <w:szCs w:val="22"/>
          <w:lang w:val="hr-HR"/>
        </w:rPr>
        <w:t> </w:t>
      </w:r>
      <w:r w:rsidRPr="00510442">
        <w:rPr>
          <w:szCs w:val="22"/>
          <w:lang w:val="hr-HR"/>
        </w:rPr>
        <w:t>mg/kg/dan, što odgovara otprilike 1,7, odnosno 1</w:t>
      </w:r>
      <w:r w:rsidRPr="00510442">
        <w:rPr>
          <w:bCs/>
          <w:color w:val="000000"/>
          <w:szCs w:val="22"/>
          <w:lang w:val="hr-HR"/>
        </w:rPr>
        <w:t> </w:t>
      </w:r>
      <w:r w:rsidRPr="00510442">
        <w:rPr>
          <w:szCs w:val="22"/>
          <w:lang w:val="hr-HR"/>
        </w:rPr>
        <w:t>puta dnevne izloženosti u ljudi (temeljeno na AUC) kod 400</w:t>
      </w:r>
      <w:r w:rsidRPr="00510442">
        <w:rPr>
          <w:bCs/>
          <w:color w:val="000000"/>
          <w:szCs w:val="22"/>
          <w:lang w:val="hr-HR"/>
        </w:rPr>
        <w:t> </w:t>
      </w:r>
      <w:r w:rsidRPr="00510442">
        <w:rPr>
          <w:szCs w:val="22"/>
          <w:lang w:val="hr-HR"/>
        </w:rPr>
        <w:t>mg/dan, odnosno 800</w:t>
      </w:r>
      <w:r w:rsidRPr="00510442">
        <w:rPr>
          <w:bCs/>
          <w:color w:val="000000"/>
          <w:szCs w:val="22"/>
          <w:lang w:val="hr-HR"/>
        </w:rPr>
        <w:t> </w:t>
      </w:r>
      <w:r w:rsidRPr="00510442">
        <w:rPr>
          <w:szCs w:val="22"/>
          <w:lang w:val="hr-HR"/>
        </w:rPr>
        <w:t>mg/dan te 1,2</w:t>
      </w:r>
      <w:r w:rsidRPr="00510442">
        <w:rPr>
          <w:bCs/>
          <w:color w:val="000000"/>
          <w:szCs w:val="22"/>
          <w:lang w:val="hr-HR"/>
        </w:rPr>
        <w:t> </w:t>
      </w:r>
      <w:r w:rsidRPr="00510442">
        <w:rPr>
          <w:szCs w:val="22"/>
          <w:lang w:val="hr-HR"/>
        </w:rPr>
        <w:t>puta dnevne izloženosti u djece (temeljeno na AUC) kod 340</w:t>
      </w:r>
      <w:r w:rsidRPr="00510442">
        <w:rPr>
          <w:bCs/>
          <w:color w:val="000000"/>
          <w:szCs w:val="22"/>
          <w:lang w:val="hr-HR"/>
        </w:rPr>
        <w:t> </w:t>
      </w:r>
      <w:r w:rsidRPr="00510442">
        <w:rPr>
          <w:szCs w:val="22"/>
          <w:lang w:val="hr-HR"/>
        </w:rPr>
        <w:t>mg/m</w:t>
      </w:r>
      <w:r w:rsidRPr="00510442">
        <w:rPr>
          <w:szCs w:val="22"/>
          <w:vertAlign w:val="superscript"/>
          <w:lang w:val="hr-HR"/>
        </w:rPr>
        <w:t>2</w:t>
      </w:r>
      <w:r w:rsidRPr="00510442">
        <w:rPr>
          <w:szCs w:val="22"/>
          <w:lang w:val="hr-HR"/>
        </w:rPr>
        <w:t>/dan. Razina kod koje se ne uočava učinak (NOEL) iznosila je 30</w:t>
      </w:r>
      <w:r w:rsidRPr="00510442">
        <w:rPr>
          <w:bCs/>
          <w:color w:val="000000"/>
          <w:szCs w:val="22"/>
          <w:lang w:val="hr-HR"/>
        </w:rPr>
        <w:t> </w:t>
      </w:r>
      <w:r w:rsidRPr="00510442">
        <w:rPr>
          <w:szCs w:val="22"/>
          <w:lang w:val="hr-HR"/>
        </w:rPr>
        <w:t>mg/kg/dan.</w:t>
      </w:r>
    </w:p>
    <w:p w14:paraId="44E86044" w14:textId="77777777" w:rsidR="009B57ED" w:rsidRPr="00510442" w:rsidRDefault="009B57ED" w:rsidP="009B5630">
      <w:pPr>
        <w:spacing w:line="240" w:lineRule="auto"/>
        <w:rPr>
          <w:bCs/>
          <w:color w:val="000000"/>
          <w:szCs w:val="22"/>
          <w:lang w:val="hr-HR"/>
        </w:rPr>
      </w:pPr>
    </w:p>
    <w:p w14:paraId="21C1F017" w14:textId="77777777" w:rsidR="009B57ED" w:rsidRPr="00510442" w:rsidRDefault="00487E97" w:rsidP="009B5630">
      <w:pPr>
        <w:spacing w:line="240" w:lineRule="auto"/>
        <w:rPr>
          <w:color w:val="000000"/>
          <w:szCs w:val="22"/>
          <w:lang w:val="hr-HR"/>
        </w:rPr>
      </w:pPr>
      <w:r w:rsidRPr="00510442">
        <w:rPr>
          <w:szCs w:val="22"/>
          <w:lang w:val="hr-HR"/>
        </w:rPr>
        <w:t xml:space="preserve">Iz ovih nalaza studije </w:t>
      </w:r>
      <w:r w:rsidR="00E9799C" w:rsidRPr="00510442">
        <w:rPr>
          <w:szCs w:val="22"/>
          <w:lang w:val="hr-HR"/>
        </w:rPr>
        <w:t>kancerogenosti</w:t>
      </w:r>
      <w:r w:rsidRPr="00510442">
        <w:rPr>
          <w:szCs w:val="22"/>
          <w:lang w:val="hr-HR"/>
        </w:rPr>
        <w:t xml:space="preserve"> u štakora još nije razjašnjen mehanizam, kao ni važnost za ljude.</w:t>
      </w:r>
    </w:p>
    <w:p w14:paraId="28245E99" w14:textId="77777777" w:rsidR="009B57ED" w:rsidRPr="00510442" w:rsidRDefault="009B57ED" w:rsidP="009B5630">
      <w:pPr>
        <w:spacing w:line="240" w:lineRule="auto"/>
        <w:rPr>
          <w:bCs/>
          <w:color w:val="000000"/>
          <w:szCs w:val="22"/>
          <w:lang w:val="hr-HR"/>
        </w:rPr>
      </w:pPr>
    </w:p>
    <w:p w14:paraId="164DEEEC" w14:textId="77777777" w:rsidR="009B57ED" w:rsidRPr="00510442" w:rsidRDefault="00487E97" w:rsidP="009B5630">
      <w:pPr>
        <w:spacing w:line="240" w:lineRule="auto"/>
        <w:rPr>
          <w:szCs w:val="22"/>
          <w:lang w:val="hr-HR"/>
        </w:rPr>
      </w:pPr>
      <w:r w:rsidRPr="00510442">
        <w:rPr>
          <w:szCs w:val="22"/>
          <w:lang w:val="hr-HR"/>
        </w:rPr>
        <w:t>Neneoplastičk</w:t>
      </w:r>
      <w:r w:rsidR="00E04426" w:rsidRPr="00510442">
        <w:rPr>
          <w:szCs w:val="22"/>
          <w:lang w:val="hr-HR"/>
        </w:rPr>
        <w:t>e</w:t>
      </w:r>
      <w:r w:rsidRPr="00510442">
        <w:rPr>
          <w:szCs w:val="22"/>
          <w:lang w:val="hr-HR"/>
        </w:rPr>
        <w:t xml:space="preserve"> </w:t>
      </w:r>
      <w:r w:rsidR="00E04426" w:rsidRPr="00510442">
        <w:rPr>
          <w:szCs w:val="22"/>
          <w:lang w:val="hr-HR"/>
        </w:rPr>
        <w:t xml:space="preserve">lezije </w:t>
      </w:r>
      <w:r w:rsidRPr="00510442">
        <w:rPr>
          <w:szCs w:val="22"/>
          <w:lang w:val="hr-HR"/>
        </w:rPr>
        <w:t>koj</w:t>
      </w:r>
      <w:r w:rsidR="00566998" w:rsidRPr="00510442">
        <w:rPr>
          <w:szCs w:val="22"/>
          <w:lang w:val="hr-HR"/>
        </w:rPr>
        <w:t>e</w:t>
      </w:r>
      <w:r w:rsidRPr="00510442">
        <w:rPr>
          <w:szCs w:val="22"/>
          <w:lang w:val="hr-HR"/>
        </w:rPr>
        <w:t xml:space="preserve"> nisu identificiran</w:t>
      </w:r>
      <w:r w:rsidR="00566998" w:rsidRPr="00510442">
        <w:rPr>
          <w:szCs w:val="22"/>
          <w:lang w:val="hr-HR"/>
        </w:rPr>
        <w:t>e</w:t>
      </w:r>
      <w:r w:rsidRPr="00510442">
        <w:rPr>
          <w:szCs w:val="22"/>
          <w:lang w:val="hr-HR"/>
        </w:rPr>
        <w:t xml:space="preserve"> u prethodnim </w:t>
      </w:r>
      <w:r w:rsidR="001B77C9" w:rsidRPr="00510442">
        <w:rPr>
          <w:szCs w:val="22"/>
          <w:lang w:val="hr-HR"/>
        </w:rPr>
        <w:t xml:space="preserve">nekliničkim </w:t>
      </w:r>
      <w:r w:rsidRPr="00510442">
        <w:rPr>
          <w:szCs w:val="22"/>
          <w:lang w:val="hr-HR"/>
        </w:rPr>
        <w:t>ispitivanjima javil</w:t>
      </w:r>
      <w:r w:rsidR="00566998" w:rsidRPr="00510442">
        <w:rPr>
          <w:szCs w:val="22"/>
          <w:lang w:val="hr-HR"/>
        </w:rPr>
        <w:t>e</w:t>
      </w:r>
      <w:r w:rsidRPr="00510442">
        <w:rPr>
          <w:szCs w:val="22"/>
          <w:lang w:val="hr-HR"/>
        </w:rPr>
        <w:t xml:space="preserve"> su se kod kardiovaskularnog sustava, gušterače, endokrinih organa i zuba. Najvažnije promjene uključivale su srčanu hipertrofiju i dilataciju, što je dovelo do znakova srčane insuficijencije u nekih životinja.</w:t>
      </w:r>
    </w:p>
    <w:p w14:paraId="46D39752" w14:textId="77777777" w:rsidR="007C636B" w:rsidRPr="00510442" w:rsidRDefault="007C636B" w:rsidP="009B5630">
      <w:pPr>
        <w:spacing w:line="240" w:lineRule="auto"/>
        <w:rPr>
          <w:szCs w:val="22"/>
          <w:lang w:val="hr-HR"/>
        </w:rPr>
      </w:pPr>
    </w:p>
    <w:p w14:paraId="3E60F87C" w14:textId="77777777" w:rsidR="007C636B" w:rsidRPr="00510442" w:rsidRDefault="007C636B" w:rsidP="009B5630">
      <w:pPr>
        <w:spacing w:line="240" w:lineRule="auto"/>
        <w:rPr>
          <w:color w:val="000000"/>
          <w:szCs w:val="22"/>
          <w:lang w:val="hr-HR"/>
        </w:rPr>
      </w:pPr>
      <w:r w:rsidRPr="00510442">
        <w:rPr>
          <w:szCs w:val="22"/>
          <w:lang w:val="hr-HR"/>
        </w:rPr>
        <w:t xml:space="preserve">Djelatna tvar imatinib predstavlja rizik </w:t>
      </w:r>
      <w:r w:rsidR="00FD78EF" w:rsidRPr="00510442">
        <w:rPr>
          <w:szCs w:val="22"/>
          <w:lang w:val="hr-HR"/>
        </w:rPr>
        <w:t xml:space="preserve">za okoliš </w:t>
      </w:r>
      <w:r w:rsidRPr="00510442">
        <w:rPr>
          <w:szCs w:val="22"/>
          <w:lang w:val="hr-HR"/>
        </w:rPr>
        <w:t>za organizme</w:t>
      </w:r>
      <w:r w:rsidR="00FD78EF" w:rsidRPr="00510442">
        <w:rPr>
          <w:szCs w:val="22"/>
          <w:lang w:val="hr-HR"/>
        </w:rPr>
        <w:t xml:space="preserve"> koji žive u sedimentnom tlu</w:t>
      </w:r>
      <w:r w:rsidRPr="00510442">
        <w:rPr>
          <w:szCs w:val="22"/>
          <w:lang w:val="hr-HR"/>
        </w:rPr>
        <w:t>.</w:t>
      </w:r>
    </w:p>
    <w:p w14:paraId="292982C4" w14:textId="77777777" w:rsidR="009B57ED" w:rsidRPr="00510442" w:rsidRDefault="009B57ED" w:rsidP="0091773C">
      <w:pPr>
        <w:pStyle w:val="EndnoteText"/>
        <w:widowControl w:val="0"/>
        <w:tabs>
          <w:tab w:val="clear" w:pos="567"/>
        </w:tabs>
        <w:rPr>
          <w:color w:val="000000"/>
          <w:szCs w:val="22"/>
          <w:lang w:val="hr-HR"/>
        </w:rPr>
      </w:pPr>
    </w:p>
    <w:p w14:paraId="388A6B40" w14:textId="77777777" w:rsidR="009B57ED" w:rsidRPr="00510442" w:rsidRDefault="009B57ED" w:rsidP="00422F71">
      <w:pPr>
        <w:pStyle w:val="EndnoteText"/>
        <w:widowControl w:val="0"/>
        <w:tabs>
          <w:tab w:val="clear" w:pos="567"/>
        </w:tabs>
        <w:rPr>
          <w:color w:val="000000"/>
          <w:szCs w:val="22"/>
          <w:lang w:val="hr-HR"/>
        </w:rPr>
      </w:pPr>
    </w:p>
    <w:p w14:paraId="31414C1E" w14:textId="77777777" w:rsidR="00742D63" w:rsidRPr="00510442" w:rsidRDefault="00742D63" w:rsidP="003179A4">
      <w:pPr>
        <w:keepNext/>
        <w:tabs>
          <w:tab w:val="clear" w:pos="567"/>
        </w:tabs>
        <w:spacing w:line="240" w:lineRule="auto"/>
        <w:ind w:left="567" w:hanging="567"/>
        <w:rPr>
          <w:b/>
          <w:szCs w:val="22"/>
          <w:lang w:val="hr-HR"/>
        </w:rPr>
      </w:pPr>
      <w:r w:rsidRPr="00510442">
        <w:rPr>
          <w:b/>
          <w:szCs w:val="22"/>
          <w:lang w:val="hr-HR"/>
        </w:rPr>
        <w:t>6.</w:t>
      </w:r>
      <w:r w:rsidRPr="00510442">
        <w:rPr>
          <w:b/>
          <w:szCs w:val="22"/>
          <w:lang w:val="hr-HR"/>
        </w:rPr>
        <w:tab/>
        <w:t>FARMACEUTSKI PODACI</w:t>
      </w:r>
    </w:p>
    <w:p w14:paraId="3111FAE2" w14:textId="77777777" w:rsidR="009B57ED" w:rsidRPr="00510442" w:rsidRDefault="009B57ED" w:rsidP="003179A4">
      <w:pPr>
        <w:pStyle w:val="EndnoteText"/>
        <w:keepNext/>
        <w:widowControl w:val="0"/>
        <w:tabs>
          <w:tab w:val="clear" w:pos="567"/>
        </w:tabs>
        <w:rPr>
          <w:color w:val="000000"/>
          <w:szCs w:val="22"/>
          <w:lang w:val="hr-HR"/>
        </w:rPr>
      </w:pPr>
    </w:p>
    <w:p w14:paraId="19D27DBB" w14:textId="77777777" w:rsidR="00742D63" w:rsidRPr="00510442" w:rsidRDefault="00742D63" w:rsidP="003179A4">
      <w:pPr>
        <w:keepNext/>
        <w:tabs>
          <w:tab w:val="clear" w:pos="567"/>
        </w:tabs>
        <w:spacing w:line="240" w:lineRule="auto"/>
        <w:ind w:left="567" w:hanging="567"/>
        <w:outlineLvl w:val="0"/>
        <w:rPr>
          <w:szCs w:val="22"/>
          <w:lang w:val="hr-HR"/>
        </w:rPr>
      </w:pPr>
      <w:r w:rsidRPr="00510442">
        <w:rPr>
          <w:b/>
          <w:szCs w:val="22"/>
          <w:lang w:val="hr-HR"/>
        </w:rPr>
        <w:t>6.1</w:t>
      </w:r>
      <w:r w:rsidRPr="00510442">
        <w:rPr>
          <w:b/>
          <w:szCs w:val="22"/>
          <w:lang w:val="hr-HR"/>
        </w:rPr>
        <w:tab/>
        <w:t>Popis pomoćnih tvari</w:t>
      </w:r>
    </w:p>
    <w:p w14:paraId="3B2E294E" w14:textId="77777777" w:rsidR="009B57ED" w:rsidRPr="00510442" w:rsidRDefault="009B57ED" w:rsidP="003179A4">
      <w:pPr>
        <w:keepNext/>
        <w:widowControl w:val="0"/>
        <w:tabs>
          <w:tab w:val="clear" w:pos="567"/>
        </w:tabs>
        <w:spacing w:line="240" w:lineRule="auto"/>
        <w:ind w:left="567" w:hanging="567"/>
        <w:rPr>
          <w:color w:val="000000"/>
          <w:szCs w:val="22"/>
          <w:lang w:val="hr-HR"/>
        </w:rPr>
      </w:pPr>
    </w:p>
    <w:p w14:paraId="649A9C23" w14:textId="77777777" w:rsidR="001F6305" w:rsidRPr="00510442" w:rsidRDefault="001F6305" w:rsidP="003179A4">
      <w:pPr>
        <w:keepNext/>
        <w:widowControl w:val="0"/>
        <w:tabs>
          <w:tab w:val="clear" w:pos="567"/>
        </w:tabs>
        <w:spacing w:line="240" w:lineRule="auto"/>
        <w:ind w:left="2268" w:hanging="2268"/>
        <w:rPr>
          <w:color w:val="000000"/>
          <w:szCs w:val="22"/>
          <w:lang w:val="hr-HR"/>
        </w:rPr>
      </w:pPr>
      <w:r w:rsidRPr="00510442">
        <w:rPr>
          <w:color w:val="000000"/>
          <w:szCs w:val="22"/>
          <w:lang w:val="hr-HR"/>
        </w:rPr>
        <w:t>Sadržaj kapsule:</w:t>
      </w:r>
      <w:r w:rsidRPr="00510442">
        <w:rPr>
          <w:color w:val="000000"/>
          <w:szCs w:val="22"/>
          <w:lang w:val="hr-HR"/>
        </w:rPr>
        <w:tab/>
        <w:t>celuloza, mikrokristalična</w:t>
      </w:r>
    </w:p>
    <w:p w14:paraId="1A64E6F3" w14:textId="77777777" w:rsidR="001F6305" w:rsidRPr="00510442" w:rsidRDefault="001F6305" w:rsidP="003179A4">
      <w:pPr>
        <w:keepNext/>
        <w:widowControl w:val="0"/>
        <w:tabs>
          <w:tab w:val="clear" w:pos="567"/>
        </w:tabs>
        <w:spacing w:line="240" w:lineRule="auto"/>
        <w:ind w:left="2268"/>
        <w:rPr>
          <w:color w:val="000000"/>
          <w:szCs w:val="22"/>
          <w:lang w:val="hr-HR"/>
        </w:rPr>
      </w:pPr>
      <w:r w:rsidRPr="00510442">
        <w:rPr>
          <w:color w:val="000000"/>
          <w:szCs w:val="22"/>
          <w:lang w:val="hr-HR"/>
        </w:rPr>
        <w:t>krospovidon</w:t>
      </w:r>
    </w:p>
    <w:p w14:paraId="2BFCB1E6" w14:textId="77777777" w:rsidR="001F6305" w:rsidRPr="00510442" w:rsidRDefault="001F6305" w:rsidP="003179A4">
      <w:pPr>
        <w:keepNext/>
        <w:widowControl w:val="0"/>
        <w:tabs>
          <w:tab w:val="clear" w:pos="567"/>
        </w:tabs>
        <w:spacing w:line="240" w:lineRule="auto"/>
        <w:ind w:left="2268"/>
        <w:rPr>
          <w:color w:val="000000"/>
          <w:szCs w:val="22"/>
          <w:lang w:val="hr-HR"/>
        </w:rPr>
      </w:pPr>
      <w:r w:rsidRPr="00510442">
        <w:rPr>
          <w:color w:val="000000"/>
          <w:szCs w:val="22"/>
          <w:lang w:val="hr-HR"/>
        </w:rPr>
        <w:t>magnezijev stearat</w:t>
      </w:r>
    </w:p>
    <w:p w14:paraId="1841922F" w14:textId="77777777" w:rsidR="001F6305" w:rsidRPr="00510442" w:rsidRDefault="001F6305" w:rsidP="001F6305">
      <w:pPr>
        <w:widowControl w:val="0"/>
        <w:tabs>
          <w:tab w:val="clear" w:pos="567"/>
        </w:tabs>
        <w:spacing w:line="240" w:lineRule="auto"/>
        <w:ind w:left="2268"/>
        <w:rPr>
          <w:color w:val="000000"/>
          <w:szCs w:val="22"/>
          <w:lang w:val="hr-HR"/>
        </w:rPr>
      </w:pPr>
      <w:r w:rsidRPr="00510442">
        <w:rPr>
          <w:color w:val="000000"/>
          <w:szCs w:val="22"/>
          <w:lang w:val="hr-HR"/>
        </w:rPr>
        <w:t>silicijev dioksid, koloidni, bezvodni</w:t>
      </w:r>
    </w:p>
    <w:p w14:paraId="2691CF72" w14:textId="77777777" w:rsidR="001F6305" w:rsidRPr="00510442" w:rsidRDefault="001F6305" w:rsidP="001F6305">
      <w:pPr>
        <w:widowControl w:val="0"/>
        <w:tabs>
          <w:tab w:val="clear" w:pos="567"/>
        </w:tabs>
        <w:spacing w:line="240" w:lineRule="auto"/>
        <w:rPr>
          <w:color w:val="000000"/>
          <w:szCs w:val="22"/>
          <w:lang w:val="hr-HR"/>
        </w:rPr>
      </w:pPr>
    </w:p>
    <w:p w14:paraId="42D00EFF" w14:textId="77777777" w:rsidR="001F6305" w:rsidRPr="00510442" w:rsidRDefault="001F6305" w:rsidP="003179A4">
      <w:pPr>
        <w:keepNext/>
        <w:widowControl w:val="0"/>
        <w:tabs>
          <w:tab w:val="clear" w:pos="567"/>
        </w:tabs>
        <w:spacing w:line="240" w:lineRule="auto"/>
        <w:ind w:left="2268" w:hanging="2268"/>
        <w:rPr>
          <w:color w:val="000000"/>
          <w:szCs w:val="22"/>
          <w:lang w:val="hr-HR"/>
        </w:rPr>
      </w:pPr>
      <w:r w:rsidRPr="00510442">
        <w:rPr>
          <w:color w:val="000000"/>
          <w:szCs w:val="22"/>
          <w:lang w:val="hr-HR"/>
        </w:rPr>
        <w:t>Ovojnica kapsule:</w:t>
      </w:r>
      <w:r w:rsidRPr="00510442">
        <w:rPr>
          <w:color w:val="000000"/>
          <w:szCs w:val="22"/>
          <w:lang w:val="hr-HR"/>
        </w:rPr>
        <w:tab/>
        <w:t>želatina</w:t>
      </w:r>
    </w:p>
    <w:p w14:paraId="42DC2A86" w14:textId="77777777" w:rsidR="004F5568" w:rsidRPr="00510442" w:rsidRDefault="004F5568" w:rsidP="003179A4">
      <w:pPr>
        <w:keepNext/>
        <w:widowControl w:val="0"/>
        <w:tabs>
          <w:tab w:val="clear" w:pos="567"/>
        </w:tabs>
        <w:spacing w:line="240" w:lineRule="auto"/>
        <w:ind w:left="2268"/>
        <w:rPr>
          <w:color w:val="000000"/>
          <w:szCs w:val="22"/>
          <w:lang w:val="hr-HR"/>
        </w:rPr>
      </w:pPr>
      <w:r w:rsidRPr="00510442">
        <w:rPr>
          <w:color w:val="000000"/>
          <w:szCs w:val="22"/>
          <w:lang w:val="hr-HR"/>
        </w:rPr>
        <w:t>željezov oksid, crveni (E172)</w:t>
      </w:r>
    </w:p>
    <w:p w14:paraId="13582103" w14:textId="77777777" w:rsidR="001F6305" w:rsidRPr="00510442" w:rsidRDefault="001F6305" w:rsidP="003179A4">
      <w:pPr>
        <w:keepNext/>
        <w:widowControl w:val="0"/>
        <w:tabs>
          <w:tab w:val="clear" w:pos="567"/>
        </w:tabs>
        <w:spacing w:line="240" w:lineRule="auto"/>
        <w:ind w:left="2268"/>
        <w:rPr>
          <w:color w:val="000000"/>
          <w:szCs w:val="22"/>
          <w:lang w:val="hr-HR"/>
        </w:rPr>
      </w:pPr>
      <w:r w:rsidRPr="00510442">
        <w:rPr>
          <w:color w:val="000000"/>
          <w:szCs w:val="22"/>
          <w:lang w:val="hr-HR"/>
        </w:rPr>
        <w:t>željezov oksid, žuti (E172)</w:t>
      </w:r>
    </w:p>
    <w:p w14:paraId="36F72AC2" w14:textId="77777777" w:rsidR="001F6305" w:rsidRPr="00510442" w:rsidRDefault="001F6305" w:rsidP="001F6305">
      <w:pPr>
        <w:widowControl w:val="0"/>
        <w:tabs>
          <w:tab w:val="clear" w:pos="567"/>
        </w:tabs>
        <w:spacing w:line="240" w:lineRule="auto"/>
        <w:ind w:left="2268"/>
        <w:rPr>
          <w:color w:val="000000"/>
          <w:szCs w:val="22"/>
          <w:lang w:val="hr-HR"/>
        </w:rPr>
      </w:pPr>
      <w:r w:rsidRPr="00510442">
        <w:rPr>
          <w:color w:val="000000"/>
          <w:szCs w:val="22"/>
          <w:lang w:val="hr-HR"/>
        </w:rPr>
        <w:t>titanijev dioksid (E171)</w:t>
      </w:r>
    </w:p>
    <w:p w14:paraId="433036EF" w14:textId="77777777" w:rsidR="001F6305" w:rsidRPr="00510442" w:rsidRDefault="001F6305" w:rsidP="001F6305">
      <w:pPr>
        <w:widowControl w:val="0"/>
        <w:tabs>
          <w:tab w:val="clear" w:pos="567"/>
        </w:tabs>
        <w:spacing w:line="240" w:lineRule="auto"/>
        <w:rPr>
          <w:color w:val="000000"/>
          <w:szCs w:val="22"/>
          <w:lang w:val="hr-HR"/>
        </w:rPr>
      </w:pPr>
    </w:p>
    <w:p w14:paraId="2BB83C3A" w14:textId="77777777" w:rsidR="001F6305" w:rsidRPr="00510442" w:rsidRDefault="001F6305" w:rsidP="003179A4">
      <w:pPr>
        <w:keepNext/>
        <w:widowControl w:val="0"/>
        <w:tabs>
          <w:tab w:val="clear" w:pos="567"/>
        </w:tabs>
        <w:spacing w:line="240" w:lineRule="auto"/>
        <w:ind w:left="2268" w:hanging="2268"/>
        <w:rPr>
          <w:color w:val="000000"/>
          <w:szCs w:val="22"/>
          <w:lang w:val="hr-HR"/>
        </w:rPr>
      </w:pPr>
      <w:r w:rsidRPr="00510442">
        <w:rPr>
          <w:color w:val="000000"/>
          <w:szCs w:val="22"/>
          <w:lang w:val="hr-HR"/>
        </w:rPr>
        <w:t>Tinta za označ</w:t>
      </w:r>
      <w:r w:rsidR="00B32623" w:rsidRPr="00510442">
        <w:rPr>
          <w:color w:val="000000"/>
          <w:szCs w:val="22"/>
          <w:lang w:val="hr-HR"/>
        </w:rPr>
        <w:t>i</w:t>
      </w:r>
      <w:r w:rsidRPr="00510442">
        <w:rPr>
          <w:color w:val="000000"/>
          <w:szCs w:val="22"/>
          <w:lang w:val="hr-HR"/>
        </w:rPr>
        <w:t>vanje:</w:t>
      </w:r>
      <w:r w:rsidRPr="00510442">
        <w:rPr>
          <w:color w:val="000000"/>
          <w:szCs w:val="22"/>
          <w:lang w:val="hr-HR"/>
        </w:rPr>
        <w:tab/>
        <w:t>željezov oksid, crveni (E172)</w:t>
      </w:r>
    </w:p>
    <w:p w14:paraId="55EB48E6" w14:textId="77777777" w:rsidR="001F6305" w:rsidRPr="00510442" w:rsidRDefault="001F6305" w:rsidP="001F6305">
      <w:pPr>
        <w:widowControl w:val="0"/>
        <w:tabs>
          <w:tab w:val="clear" w:pos="567"/>
        </w:tabs>
        <w:spacing w:line="240" w:lineRule="auto"/>
        <w:ind w:left="2268"/>
        <w:rPr>
          <w:color w:val="000000"/>
          <w:szCs w:val="22"/>
          <w:lang w:val="hr-HR"/>
        </w:rPr>
      </w:pPr>
      <w:r w:rsidRPr="00510442">
        <w:rPr>
          <w:color w:val="000000"/>
          <w:szCs w:val="22"/>
          <w:lang w:val="hr-HR"/>
        </w:rPr>
        <w:t>šelak</w:t>
      </w:r>
    </w:p>
    <w:p w14:paraId="3E587280" w14:textId="77777777" w:rsidR="001F6305" w:rsidRPr="00510442" w:rsidRDefault="001F6305" w:rsidP="0091773C">
      <w:pPr>
        <w:widowControl w:val="0"/>
        <w:tabs>
          <w:tab w:val="clear" w:pos="567"/>
        </w:tabs>
        <w:spacing w:line="240" w:lineRule="auto"/>
        <w:rPr>
          <w:color w:val="000000"/>
          <w:szCs w:val="22"/>
          <w:lang w:val="hr-HR"/>
        </w:rPr>
      </w:pPr>
    </w:p>
    <w:p w14:paraId="622D7542" w14:textId="77777777" w:rsidR="00742D63" w:rsidRPr="00510442" w:rsidRDefault="00742D63" w:rsidP="003179A4">
      <w:pPr>
        <w:keepNext/>
        <w:tabs>
          <w:tab w:val="clear" w:pos="567"/>
        </w:tabs>
        <w:spacing w:line="240" w:lineRule="auto"/>
        <w:ind w:left="567" w:hanging="567"/>
        <w:outlineLvl w:val="0"/>
        <w:rPr>
          <w:szCs w:val="22"/>
          <w:lang w:val="hr-HR"/>
        </w:rPr>
      </w:pPr>
      <w:r w:rsidRPr="00510442">
        <w:rPr>
          <w:b/>
          <w:szCs w:val="22"/>
          <w:lang w:val="hr-HR"/>
        </w:rPr>
        <w:t>6.2</w:t>
      </w:r>
      <w:r w:rsidRPr="00510442">
        <w:rPr>
          <w:b/>
          <w:szCs w:val="22"/>
          <w:lang w:val="hr-HR"/>
        </w:rPr>
        <w:tab/>
        <w:t>Inkompatibilnosti</w:t>
      </w:r>
    </w:p>
    <w:p w14:paraId="04F8603D" w14:textId="77777777" w:rsidR="009B57ED" w:rsidRPr="00510442" w:rsidRDefault="009B57ED" w:rsidP="003179A4">
      <w:pPr>
        <w:keepNext/>
        <w:widowControl w:val="0"/>
        <w:tabs>
          <w:tab w:val="clear" w:pos="567"/>
        </w:tabs>
        <w:spacing w:line="240" w:lineRule="auto"/>
        <w:rPr>
          <w:color w:val="000000"/>
          <w:szCs w:val="22"/>
          <w:lang w:val="hr-HR"/>
        </w:rPr>
      </w:pPr>
    </w:p>
    <w:p w14:paraId="4790AFEB" w14:textId="77777777" w:rsidR="009B57ED" w:rsidRPr="00510442" w:rsidRDefault="00295AB9" w:rsidP="003B339C">
      <w:pPr>
        <w:widowControl w:val="0"/>
        <w:tabs>
          <w:tab w:val="clear" w:pos="567"/>
        </w:tabs>
        <w:spacing w:line="240" w:lineRule="auto"/>
        <w:rPr>
          <w:color w:val="000000"/>
          <w:szCs w:val="22"/>
          <w:lang w:val="hr-HR"/>
        </w:rPr>
      </w:pPr>
      <w:r w:rsidRPr="00510442">
        <w:rPr>
          <w:szCs w:val="22"/>
          <w:lang w:val="hr-HR"/>
        </w:rPr>
        <w:t>Nije primjenjivo</w:t>
      </w:r>
      <w:r w:rsidR="00742D63" w:rsidRPr="00510442">
        <w:rPr>
          <w:color w:val="000000"/>
          <w:szCs w:val="22"/>
          <w:lang w:val="hr-HR"/>
        </w:rPr>
        <w:t>.</w:t>
      </w:r>
    </w:p>
    <w:p w14:paraId="14B9A736" w14:textId="77777777" w:rsidR="009B57ED" w:rsidRPr="00510442" w:rsidRDefault="009B57ED" w:rsidP="003B339C">
      <w:pPr>
        <w:pStyle w:val="EndnoteText"/>
        <w:widowControl w:val="0"/>
        <w:tabs>
          <w:tab w:val="clear" w:pos="567"/>
        </w:tabs>
        <w:rPr>
          <w:color w:val="000000"/>
          <w:szCs w:val="22"/>
          <w:lang w:val="hr-HR"/>
        </w:rPr>
      </w:pPr>
    </w:p>
    <w:p w14:paraId="3150781E" w14:textId="77777777" w:rsidR="00742D63" w:rsidRPr="00510442" w:rsidRDefault="00742D63" w:rsidP="003179A4">
      <w:pPr>
        <w:keepNext/>
        <w:tabs>
          <w:tab w:val="clear" w:pos="567"/>
        </w:tabs>
        <w:spacing w:line="240" w:lineRule="auto"/>
        <w:ind w:left="567" w:hanging="567"/>
        <w:outlineLvl w:val="0"/>
        <w:rPr>
          <w:szCs w:val="22"/>
          <w:lang w:val="hr-HR"/>
        </w:rPr>
      </w:pPr>
      <w:r w:rsidRPr="00510442">
        <w:rPr>
          <w:b/>
          <w:szCs w:val="22"/>
          <w:lang w:val="hr-HR"/>
        </w:rPr>
        <w:t>6.3</w:t>
      </w:r>
      <w:r w:rsidRPr="00510442">
        <w:rPr>
          <w:b/>
          <w:szCs w:val="22"/>
          <w:lang w:val="hr-HR"/>
        </w:rPr>
        <w:tab/>
        <w:t>Rok valjanosti</w:t>
      </w:r>
    </w:p>
    <w:p w14:paraId="771CE4E5" w14:textId="77777777" w:rsidR="009B57ED" w:rsidRPr="00510442" w:rsidRDefault="009B57ED" w:rsidP="003179A4">
      <w:pPr>
        <w:keepNext/>
        <w:widowControl w:val="0"/>
        <w:tabs>
          <w:tab w:val="clear" w:pos="567"/>
        </w:tabs>
        <w:spacing w:line="240" w:lineRule="auto"/>
        <w:rPr>
          <w:color w:val="000000"/>
          <w:szCs w:val="22"/>
          <w:lang w:val="hr-HR"/>
        </w:rPr>
      </w:pPr>
    </w:p>
    <w:p w14:paraId="2A8628C4" w14:textId="77777777" w:rsidR="009B57ED" w:rsidRPr="00510442" w:rsidRDefault="009B57ED" w:rsidP="003B339C">
      <w:pPr>
        <w:pStyle w:val="EndnoteText"/>
        <w:widowControl w:val="0"/>
        <w:tabs>
          <w:tab w:val="clear" w:pos="567"/>
        </w:tabs>
        <w:rPr>
          <w:color w:val="000000"/>
          <w:szCs w:val="22"/>
          <w:lang w:val="hr-HR"/>
        </w:rPr>
      </w:pPr>
      <w:r w:rsidRPr="00510442">
        <w:rPr>
          <w:color w:val="000000"/>
          <w:szCs w:val="22"/>
          <w:lang w:val="hr-HR"/>
        </w:rPr>
        <w:t>2 </w:t>
      </w:r>
      <w:r w:rsidR="008E44FC" w:rsidRPr="00510442">
        <w:rPr>
          <w:color w:val="000000"/>
          <w:szCs w:val="22"/>
          <w:lang w:val="hr-HR"/>
        </w:rPr>
        <w:t>godine</w:t>
      </w:r>
    </w:p>
    <w:p w14:paraId="77D6BF8A" w14:textId="77777777" w:rsidR="009B57ED" w:rsidRPr="00510442" w:rsidRDefault="009B57ED" w:rsidP="003B339C">
      <w:pPr>
        <w:pStyle w:val="EndnoteText"/>
        <w:widowControl w:val="0"/>
        <w:tabs>
          <w:tab w:val="clear" w:pos="567"/>
        </w:tabs>
        <w:rPr>
          <w:color w:val="000000"/>
          <w:szCs w:val="22"/>
          <w:lang w:val="hr-HR"/>
        </w:rPr>
      </w:pPr>
    </w:p>
    <w:p w14:paraId="047F1742" w14:textId="77777777" w:rsidR="00742D63" w:rsidRPr="00510442" w:rsidRDefault="00742D63" w:rsidP="003179A4">
      <w:pPr>
        <w:keepNext/>
        <w:tabs>
          <w:tab w:val="clear" w:pos="567"/>
        </w:tabs>
        <w:spacing w:line="240" w:lineRule="auto"/>
        <w:ind w:left="567" w:hanging="567"/>
        <w:outlineLvl w:val="0"/>
        <w:rPr>
          <w:szCs w:val="22"/>
          <w:lang w:val="hr-HR"/>
        </w:rPr>
      </w:pPr>
      <w:r w:rsidRPr="00510442">
        <w:rPr>
          <w:b/>
          <w:szCs w:val="22"/>
          <w:lang w:val="hr-HR"/>
        </w:rPr>
        <w:t>6.4</w:t>
      </w:r>
      <w:r w:rsidRPr="00510442">
        <w:rPr>
          <w:b/>
          <w:szCs w:val="22"/>
          <w:lang w:val="hr-HR"/>
        </w:rPr>
        <w:tab/>
        <w:t>Posebne mjere pri čuvanju lijeka</w:t>
      </w:r>
    </w:p>
    <w:p w14:paraId="1AABF7DA" w14:textId="77777777" w:rsidR="009B57ED" w:rsidRPr="00510442" w:rsidRDefault="009B57ED" w:rsidP="003179A4">
      <w:pPr>
        <w:keepNext/>
        <w:widowControl w:val="0"/>
        <w:tabs>
          <w:tab w:val="clear" w:pos="567"/>
        </w:tabs>
        <w:spacing w:line="240" w:lineRule="auto"/>
        <w:rPr>
          <w:color w:val="000000"/>
          <w:szCs w:val="22"/>
          <w:lang w:val="hr-HR"/>
        </w:rPr>
      </w:pPr>
    </w:p>
    <w:p w14:paraId="52501480" w14:textId="77777777" w:rsidR="009B57ED" w:rsidRPr="00307897" w:rsidRDefault="008E44FC" w:rsidP="003B339C">
      <w:pPr>
        <w:widowControl w:val="0"/>
        <w:tabs>
          <w:tab w:val="clear" w:pos="567"/>
        </w:tabs>
        <w:spacing w:line="240" w:lineRule="auto"/>
        <w:rPr>
          <w:color w:val="000000"/>
          <w:szCs w:val="22"/>
          <w:lang w:val="hr-HR"/>
        </w:rPr>
      </w:pPr>
      <w:r w:rsidRPr="00510442">
        <w:rPr>
          <w:szCs w:val="22"/>
          <w:lang w:val="hr-HR"/>
        </w:rPr>
        <w:t xml:space="preserve">Ne čuvati na temperaturi iznad </w:t>
      </w:r>
      <w:r w:rsidR="009B57ED" w:rsidRPr="00510442">
        <w:rPr>
          <w:color w:val="000000"/>
          <w:szCs w:val="22"/>
          <w:lang w:val="hr-HR"/>
        </w:rPr>
        <w:t>30</w:t>
      </w:r>
      <w:r w:rsidR="009B57ED" w:rsidRPr="00307897">
        <w:rPr>
          <w:color w:val="000000"/>
          <w:szCs w:val="22"/>
          <w:lang w:val="hr-HR"/>
        </w:rPr>
        <w:sym w:font="Symbol" w:char="F0B0"/>
      </w:r>
      <w:r w:rsidR="009B57ED" w:rsidRPr="00307897">
        <w:rPr>
          <w:color w:val="000000"/>
          <w:szCs w:val="22"/>
          <w:lang w:val="hr-HR"/>
        </w:rPr>
        <w:t>C.</w:t>
      </w:r>
    </w:p>
    <w:p w14:paraId="652F5614" w14:textId="77777777" w:rsidR="009B57ED" w:rsidRPr="00307897" w:rsidRDefault="009B57ED" w:rsidP="003B339C">
      <w:pPr>
        <w:widowControl w:val="0"/>
        <w:tabs>
          <w:tab w:val="clear" w:pos="567"/>
        </w:tabs>
        <w:spacing w:line="240" w:lineRule="auto"/>
        <w:rPr>
          <w:color w:val="000000"/>
          <w:szCs w:val="22"/>
          <w:lang w:val="hr-HR"/>
        </w:rPr>
      </w:pPr>
    </w:p>
    <w:p w14:paraId="64062677" w14:textId="77777777" w:rsidR="009B57ED" w:rsidRPr="00510442" w:rsidRDefault="008E44FC" w:rsidP="003B339C">
      <w:pPr>
        <w:widowControl w:val="0"/>
        <w:tabs>
          <w:tab w:val="clear" w:pos="567"/>
        </w:tabs>
        <w:spacing w:line="240" w:lineRule="auto"/>
        <w:rPr>
          <w:color w:val="000000"/>
          <w:szCs w:val="22"/>
          <w:lang w:val="hr-HR"/>
        </w:rPr>
      </w:pPr>
      <w:r w:rsidRPr="00A00164">
        <w:rPr>
          <w:szCs w:val="22"/>
          <w:lang w:val="hr-HR"/>
        </w:rPr>
        <w:t>Čuvati u originalnom pak</w:t>
      </w:r>
      <w:r w:rsidR="00187A7D" w:rsidRPr="00973BDD">
        <w:rPr>
          <w:szCs w:val="22"/>
          <w:lang w:val="hr-HR"/>
        </w:rPr>
        <w:t>ir</w:t>
      </w:r>
      <w:r w:rsidRPr="000B51EB">
        <w:rPr>
          <w:szCs w:val="22"/>
          <w:lang w:val="hr-HR"/>
        </w:rPr>
        <w:t>anju radi zaštite od vlage</w:t>
      </w:r>
      <w:r w:rsidR="009B57ED" w:rsidRPr="00510442">
        <w:rPr>
          <w:color w:val="000000"/>
          <w:szCs w:val="22"/>
          <w:lang w:val="hr-HR"/>
        </w:rPr>
        <w:t>.</w:t>
      </w:r>
    </w:p>
    <w:p w14:paraId="5AFE7DF8" w14:textId="77777777" w:rsidR="009B57ED" w:rsidRPr="00510442" w:rsidRDefault="009B57ED" w:rsidP="003B339C">
      <w:pPr>
        <w:widowControl w:val="0"/>
        <w:tabs>
          <w:tab w:val="clear" w:pos="567"/>
        </w:tabs>
        <w:spacing w:line="240" w:lineRule="auto"/>
        <w:rPr>
          <w:color w:val="000000"/>
          <w:szCs w:val="22"/>
          <w:lang w:val="hr-HR"/>
        </w:rPr>
      </w:pPr>
    </w:p>
    <w:p w14:paraId="70336BA8" w14:textId="77777777" w:rsidR="009B57ED" w:rsidRPr="00510442" w:rsidRDefault="009B57ED" w:rsidP="003179A4">
      <w:pPr>
        <w:keepNext/>
        <w:widowControl w:val="0"/>
        <w:tabs>
          <w:tab w:val="clear" w:pos="567"/>
        </w:tabs>
        <w:spacing w:line="240" w:lineRule="auto"/>
        <w:ind w:left="567" w:hanging="567"/>
        <w:rPr>
          <w:color w:val="000000"/>
          <w:szCs w:val="22"/>
          <w:lang w:val="hr-HR"/>
        </w:rPr>
      </w:pPr>
      <w:r w:rsidRPr="00510442">
        <w:rPr>
          <w:b/>
          <w:color w:val="000000"/>
          <w:szCs w:val="22"/>
          <w:lang w:val="hr-HR"/>
        </w:rPr>
        <w:lastRenderedPageBreak/>
        <w:t>6.5</w:t>
      </w:r>
      <w:r w:rsidRPr="00510442">
        <w:rPr>
          <w:b/>
          <w:color w:val="000000"/>
          <w:szCs w:val="22"/>
          <w:lang w:val="hr-HR"/>
        </w:rPr>
        <w:tab/>
      </w:r>
      <w:r w:rsidR="00742D63" w:rsidRPr="00510442">
        <w:rPr>
          <w:b/>
          <w:szCs w:val="22"/>
          <w:lang w:val="hr-HR"/>
        </w:rPr>
        <w:t>Vrsta i sadržaj spremnika</w:t>
      </w:r>
    </w:p>
    <w:p w14:paraId="7FB600B1" w14:textId="77777777" w:rsidR="009B57ED" w:rsidRPr="00510442" w:rsidRDefault="009B57ED" w:rsidP="003179A4">
      <w:pPr>
        <w:pStyle w:val="EndnoteText"/>
        <w:keepNext/>
        <w:widowControl w:val="0"/>
        <w:tabs>
          <w:tab w:val="clear" w:pos="567"/>
        </w:tabs>
        <w:rPr>
          <w:color w:val="000000"/>
          <w:szCs w:val="22"/>
          <w:lang w:val="hr-HR"/>
        </w:rPr>
      </w:pPr>
    </w:p>
    <w:p w14:paraId="04457F77" w14:textId="77777777" w:rsidR="009B57ED" w:rsidRPr="00510442" w:rsidRDefault="009B57ED" w:rsidP="003B339C">
      <w:pPr>
        <w:pStyle w:val="EndnoteText"/>
        <w:widowControl w:val="0"/>
        <w:tabs>
          <w:tab w:val="clear" w:pos="567"/>
        </w:tabs>
        <w:rPr>
          <w:color w:val="000000"/>
          <w:szCs w:val="22"/>
          <w:lang w:val="hr-HR"/>
        </w:rPr>
      </w:pPr>
      <w:r w:rsidRPr="00510442">
        <w:rPr>
          <w:color w:val="000000"/>
          <w:szCs w:val="22"/>
          <w:lang w:val="hr-HR"/>
        </w:rPr>
        <w:t>PVC/alumini</w:t>
      </w:r>
      <w:r w:rsidR="008E44FC" w:rsidRPr="00510442">
        <w:rPr>
          <w:color w:val="000000"/>
          <w:szCs w:val="22"/>
          <w:lang w:val="hr-HR"/>
        </w:rPr>
        <w:t>j</w:t>
      </w:r>
      <w:r w:rsidRPr="00510442">
        <w:rPr>
          <w:color w:val="000000"/>
          <w:szCs w:val="22"/>
          <w:lang w:val="hr-HR"/>
        </w:rPr>
        <w:t xml:space="preserve"> blister</w:t>
      </w:r>
      <w:r w:rsidR="008E44FC" w:rsidRPr="00510442">
        <w:rPr>
          <w:color w:val="000000"/>
          <w:szCs w:val="22"/>
          <w:lang w:val="hr-HR"/>
        </w:rPr>
        <w:t>i</w:t>
      </w:r>
    </w:p>
    <w:p w14:paraId="7937A0C3" w14:textId="77777777" w:rsidR="009B57ED" w:rsidRPr="00510442" w:rsidRDefault="009B57ED" w:rsidP="00204719">
      <w:pPr>
        <w:widowControl w:val="0"/>
        <w:tabs>
          <w:tab w:val="clear" w:pos="567"/>
        </w:tabs>
        <w:spacing w:line="240" w:lineRule="auto"/>
        <w:ind w:left="567" w:hanging="567"/>
        <w:rPr>
          <w:color w:val="000000"/>
          <w:szCs w:val="22"/>
          <w:lang w:val="hr-HR"/>
        </w:rPr>
      </w:pPr>
    </w:p>
    <w:p w14:paraId="57B2AF3B" w14:textId="77777777" w:rsidR="001D3842" w:rsidRPr="00510442" w:rsidRDefault="001D3842" w:rsidP="001D3842">
      <w:pPr>
        <w:pStyle w:val="EndnoteText"/>
        <w:widowControl w:val="0"/>
        <w:tabs>
          <w:tab w:val="clear" w:pos="567"/>
        </w:tabs>
        <w:rPr>
          <w:color w:val="000000"/>
          <w:szCs w:val="22"/>
          <w:lang w:val="hr-HR"/>
        </w:rPr>
      </w:pPr>
      <w:r w:rsidRPr="00510442">
        <w:rPr>
          <w:color w:val="000000"/>
          <w:szCs w:val="22"/>
          <w:lang w:val="hr-HR"/>
        </w:rPr>
        <w:t>Pakiranja sadrže 24, 48, 96, 120 i 180 kapsula.</w:t>
      </w:r>
    </w:p>
    <w:p w14:paraId="7CF9465E" w14:textId="77777777" w:rsidR="009B57ED" w:rsidRPr="00510442" w:rsidRDefault="009B57ED" w:rsidP="00204719">
      <w:pPr>
        <w:pStyle w:val="EndnoteText"/>
        <w:widowControl w:val="0"/>
        <w:tabs>
          <w:tab w:val="clear" w:pos="567"/>
        </w:tabs>
        <w:rPr>
          <w:color w:val="000000"/>
          <w:szCs w:val="22"/>
          <w:lang w:val="hr-HR"/>
        </w:rPr>
      </w:pPr>
    </w:p>
    <w:p w14:paraId="020D7F7C" w14:textId="77777777" w:rsidR="00AC4503" w:rsidRPr="00510442" w:rsidRDefault="00AC4503" w:rsidP="00204719">
      <w:pPr>
        <w:pStyle w:val="EndnoteText"/>
        <w:widowControl w:val="0"/>
        <w:tabs>
          <w:tab w:val="clear" w:pos="567"/>
        </w:tabs>
        <w:rPr>
          <w:lang w:val="hr-HR"/>
        </w:rPr>
      </w:pPr>
      <w:r w:rsidRPr="00510442">
        <w:rPr>
          <w:lang w:val="hr-HR"/>
        </w:rPr>
        <w:t>Na tržištu se ne moraju nalaziti sve veličine pakiranja.</w:t>
      </w:r>
    </w:p>
    <w:p w14:paraId="5AE06AEC" w14:textId="77777777" w:rsidR="00AC4503" w:rsidRPr="00510442" w:rsidRDefault="00AC4503" w:rsidP="00204719">
      <w:pPr>
        <w:pStyle w:val="EndnoteText"/>
        <w:widowControl w:val="0"/>
        <w:tabs>
          <w:tab w:val="clear" w:pos="567"/>
        </w:tabs>
        <w:rPr>
          <w:color w:val="000000"/>
          <w:szCs w:val="22"/>
          <w:lang w:val="hr-HR"/>
        </w:rPr>
      </w:pPr>
    </w:p>
    <w:p w14:paraId="6E72C663" w14:textId="77777777" w:rsidR="009B57ED" w:rsidRPr="00510442" w:rsidRDefault="009B57ED" w:rsidP="003179A4">
      <w:pPr>
        <w:keepNext/>
        <w:widowControl w:val="0"/>
        <w:tabs>
          <w:tab w:val="clear" w:pos="567"/>
        </w:tabs>
        <w:spacing w:line="240" w:lineRule="auto"/>
        <w:ind w:left="567" w:hanging="567"/>
        <w:rPr>
          <w:color w:val="000000"/>
          <w:szCs w:val="22"/>
          <w:lang w:val="hr-HR"/>
        </w:rPr>
      </w:pPr>
      <w:r w:rsidRPr="00307897">
        <w:rPr>
          <w:b/>
          <w:color w:val="000000"/>
          <w:szCs w:val="22"/>
          <w:lang w:val="hr-HR"/>
        </w:rPr>
        <w:t>6.6</w:t>
      </w:r>
      <w:r w:rsidRPr="00307897">
        <w:rPr>
          <w:b/>
          <w:color w:val="000000"/>
          <w:szCs w:val="22"/>
          <w:lang w:val="hr-HR"/>
        </w:rPr>
        <w:tab/>
      </w:r>
      <w:r w:rsidR="00791378" w:rsidRPr="00510442">
        <w:rPr>
          <w:b/>
          <w:szCs w:val="22"/>
          <w:lang w:val="hr-HR"/>
        </w:rPr>
        <w:t>Posebne mjere za zbrinjavanje</w:t>
      </w:r>
    </w:p>
    <w:p w14:paraId="4431AEF6" w14:textId="77777777" w:rsidR="009B57ED" w:rsidRPr="00510442" w:rsidRDefault="009B57ED" w:rsidP="003179A4">
      <w:pPr>
        <w:pStyle w:val="EndnoteText"/>
        <w:keepNext/>
        <w:widowControl w:val="0"/>
        <w:tabs>
          <w:tab w:val="clear" w:pos="567"/>
        </w:tabs>
        <w:rPr>
          <w:color w:val="000000"/>
          <w:szCs w:val="22"/>
          <w:lang w:val="hr-HR"/>
        </w:rPr>
      </w:pPr>
    </w:p>
    <w:p w14:paraId="4111FBE4" w14:textId="77777777" w:rsidR="009B57ED" w:rsidRPr="00510442" w:rsidRDefault="00820965" w:rsidP="00204719">
      <w:pPr>
        <w:pStyle w:val="EndnoteText"/>
        <w:widowControl w:val="0"/>
        <w:tabs>
          <w:tab w:val="clear" w:pos="567"/>
        </w:tabs>
        <w:rPr>
          <w:color w:val="000000"/>
          <w:szCs w:val="22"/>
          <w:lang w:val="hr-HR"/>
        </w:rPr>
      </w:pPr>
      <w:r w:rsidRPr="00510442">
        <w:rPr>
          <w:szCs w:val="22"/>
          <w:lang w:val="hr-HR"/>
        </w:rPr>
        <w:t xml:space="preserve">Neiskorišteni lijek ili otpadni materijal </w:t>
      </w:r>
      <w:r w:rsidR="009924D7" w:rsidRPr="00510442">
        <w:rPr>
          <w:lang w:val="hr-HR"/>
        </w:rPr>
        <w:t xml:space="preserve">potrebno je </w:t>
      </w:r>
      <w:r w:rsidRPr="00510442">
        <w:rPr>
          <w:szCs w:val="22"/>
          <w:lang w:val="hr-HR"/>
        </w:rPr>
        <w:t xml:space="preserve">zbrinuti sukladno </w:t>
      </w:r>
      <w:r w:rsidR="009924D7" w:rsidRPr="00510442">
        <w:rPr>
          <w:szCs w:val="22"/>
          <w:lang w:val="hr-HR"/>
        </w:rPr>
        <w:t xml:space="preserve">nacionalnim </w:t>
      </w:r>
      <w:r w:rsidRPr="00510442">
        <w:rPr>
          <w:szCs w:val="22"/>
          <w:lang w:val="hr-HR"/>
        </w:rPr>
        <w:t>propisima</w:t>
      </w:r>
      <w:r w:rsidR="009B57ED" w:rsidRPr="00510442">
        <w:rPr>
          <w:color w:val="000000"/>
          <w:szCs w:val="22"/>
          <w:lang w:val="hr-HR"/>
        </w:rPr>
        <w:t>.</w:t>
      </w:r>
    </w:p>
    <w:p w14:paraId="69F94293" w14:textId="77777777" w:rsidR="009B57ED" w:rsidRPr="00510442" w:rsidRDefault="009B57ED" w:rsidP="00204719">
      <w:pPr>
        <w:pStyle w:val="EndnoteText"/>
        <w:widowControl w:val="0"/>
        <w:tabs>
          <w:tab w:val="clear" w:pos="567"/>
        </w:tabs>
        <w:rPr>
          <w:color w:val="000000"/>
          <w:szCs w:val="22"/>
          <w:lang w:val="hr-HR"/>
        </w:rPr>
      </w:pPr>
    </w:p>
    <w:p w14:paraId="1A7BFF0F" w14:textId="77777777" w:rsidR="009B57ED" w:rsidRPr="00510442" w:rsidRDefault="009B57ED" w:rsidP="00204719">
      <w:pPr>
        <w:pStyle w:val="EndnoteText"/>
        <w:widowControl w:val="0"/>
        <w:tabs>
          <w:tab w:val="clear" w:pos="567"/>
        </w:tabs>
        <w:rPr>
          <w:color w:val="000000"/>
          <w:szCs w:val="22"/>
          <w:lang w:val="hr-HR"/>
        </w:rPr>
      </w:pPr>
    </w:p>
    <w:p w14:paraId="21F4AD61" w14:textId="77777777" w:rsidR="00791378" w:rsidRPr="00510442" w:rsidRDefault="00791378" w:rsidP="003179A4">
      <w:pPr>
        <w:keepNext/>
        <w:tabs>
          <w:tab w:val="clear" w:pos="567"/>
        </w:tabs>
        <w:spacing w:line="240" w:lineRule="auto"/>
        <w:ind w:left="567" w:hanging="567"/>
        <w:rPr>
          <w:szCs w:val="22"/>
          <w:lang w:val="hr-HR"/>
        </w:rPr>
      </w:pPr>
      <w:r w:rsidRPr="00510442">
        <w:rPr>
          <w:b/>
          <w:szCs w:val="22"/>
          <w:lang w:val="hr-HR"/>
        </w:rPr>
        <w:t>7.</w:t>
      </w:r>
      <w:r w:rsidRPr="00510442">
        <w:rPr>
          <w:b/>
          <w:szCs w:val="22"/>
          <w:lang w:val="hr-HR"/>
        </w:rPr>
        <w:tab/>
        <w:t>NOSITELJ ODOBRENJA ZA STAVLJANJE LIJEKA U PROMET</w:t>
      </w:r>
    </w:p>
    <w:p w14:paraId="42AC2E4A" w14:textId="77777777" w:rsidR="009B57ED" w:rsidRPr="00510442" w:rsidRDefault="009B57ED" w:rsidP="003179A4">
      <w:pPr>
        <w:pStyle w:val="EndnoteText"/>
        <w:keepNext/>
        <w:widowControl w:val="0"/>
        <w:tabs>
          <w:tab w:val="clear" w:pos="567"/>
        </w:tabs>
        <w:rPr>
          <w:color w:val="000000"/>
          <w:szCs w:val="22"/>
          <w:lang w:val="hr-HR"/>
        </w:rPr>
      </w:pPr>
    </w:p>
    <w:p w14:paraId="6278B4BB" w14:textId="77777777" w:rsidR="009B57ED" w:rsidRPr="00510442" w:rsidRDefault="009B57ED" w:rsidP="003179A4">
      <w:pPr>
        <w:keepNext/>
        <w:widowControl w:val="0"/>
        <w:tabs>
          <w:tab w:val="clear" w:pos="567"/>
        </w:tabs>
        <w:spacing w:line="240" w:lineRule="auto"/>
        <w:rPr>
          <w:color w:val="000000"/>
          <w:szCs w:val="22"/>
          <w:lang w:val="hr-HR"/>
        </w:rPr>
      </w:pPr>
      <w:r w:rsidRPr="00510442">
        <w:rPr>
          <w:color w:val="000000"/>
          <w:szCs w:val="22"/>
          <w:lang w:val="hr-HR"/>
        </w:rPr>
        <w:t>Novartis Europharm Limited</w:t>
      </w:r>
    </w:p>
    <w:p w14:paraId="4BBA60B2" w14:textId="77777777" w:rsidR="00E24CAD" w:rsidRPr="00510442" w:rsidRDefault="00E24CAD" w:rsidP="00E24CAD">
      <w:pPr>
        <w:keepNext/>
        <w:widowControl w:val="0"/>
        <w:spacing w:line="240" w:lineRule="auto"/>
        <w:rPr>
          <w:color w:val="000000"/>
          <w:lang w:val="hr-HR"/>
        </w:rPr>
      </w:pPr>
      <w:r w:rsidRPr="00510442">
        <w:rPr>
          <w:color w:val="000000"/>
          <w:lang w:val="hr-HR"/>
        </w:rPr>
        <w:t>Vista Building</w:t>
      </w:r>
    </w:p>
    <w:p w14:paraId="481C62AE" w14:textId="77777777" w:rsidR="00E24CAD" w:rsidRPr="00510442" w:rsidRDefault="00E24CAD" w:rsidP="00E24CAD">
      <w:pPr>
        <w:keepNext/>
        <w:widowControl w:val="0"/>
        <w:spacing w:line="240" w:lineRule="auto"/>
        <w:rPr>
          <w:color w:val="000000"/>
          <w:lang w:val="hr-HR"/>
        </w:rPr>
      </w:pPr>
      <w:r w:rsidRPr="00510442">
        <w:rPr>
          <w:color w:val="000000"/>
          <w:lang w:val="hr-HR"/>
        </w:rPr>
        <w:t>Elm Park, Merrion Road</w:t>
      </w:r>
    </w:p>
    <w:p w14:paraId="04029B22" w14:textId="77777777" w:rsidR="00E24CAD" w:rsidRPr="00510442" w:rsidRDefault="00E24CAD" w:rsidP="00E24CAD">
      <w:pPr>
        <w:keepNext/>
        <w:widowControl w:val="0"/>
        <w:spacing w:line="240" w:lineRule="auto"/>
        <w:rPr>
          <w:color w:val="000000"/>
          <w:lang w:val="hr-HR"/>
        </w:rPr>
      </w:pPr>
      <w:r w:rsidRPr="00510442">
        <w:rPr>
          <w:color w:val="000000"/>
          <w:lang w:val="hr-HR"/>
        </w:rPr>
        <w:t>Dublin 4</w:t>
      </w:r>
    </w:p>
    <w:p w14:paraId="73062CBB" w14:textId="77777777" w:rsidR="009B57ED" w:rsidRPr="00307897" w:rsidRDefault="00E24CAD" w:rsidP="00204719">
      <w:pPr>
        <w:widowControl w:val="0"/>
        <w:tabs>
          <w:tab w:val="clear" w:pos="567"/>
        </w:tabs>
        <w:spacing w:line="240" w:lineRule="auto"/>
        <w:rPr>
          <w:color w:val="000000"/>
          <w:szCs w:val="22"/>
          <w:lang w:val="hr-HR"/>
        </w:rPr>
      </w:pPr>
      <w:r w:rsidRPr="00510442">
        <w:rPr>
          <w:color w:val="000000"/>
          <w:lang w:val="hr-HR"/>
        </w:rPr>
        <w:t>Irska</w:t>
      </w:r>
    </w:p>
    <w:p w14:paraId="4EEF09C7" w14:textId="77777777" w:rsidR="009B57ED" w:rsidRPr="00307897" w:rsidRDefault="009B57ED" w:rsidP="00204719">
      <w:pPr>
        <w:widowControl w:val="0"/>
        <w:tabs>
          <w:tab w:val="clear" w:pos="567"/>
        </w:tabs>
        <w:spacing w:line="240" w:lineRule="auto"/>
        <w:rPr>
          <w:color w:val="000000"/>
          <w:szCs w:val="22"/>
          <w:lang w:val="hr-HR"/>
        </w:rPr>
      </w:pPr>
    </w:p>
    <w:p w14:paraId="4356FD45" w14:textId="77777777" w:rsidR="009B57ED" w:rsidRPr="00A00164" w:rsidRDefault="009B57ED" w:rsidP="00204719">
      <w:pPr>
        <w:pStyle w:val="EndnoteText"/>
        <w:widowControl w:val="0"/>
        <w:tabs>
          <w:tab w:val="clear" w:pos="567"/>
        </w:tabs>
        <w:rPr>
          <w:color w:val="000000"/>
          <w:szCs w:val="22"/>
          <w:lang w:val="hr-HR"/>
        </w:rPr>
      </w:pPr>
    </w:p>
    <w:p w14:paraId="7B3F2212" w14:textId="77777777" w:rsidR="00791378" w:rsidRPr="00510442" w:rsidRDefault="00791378" w:rsidP="003179A4">
      <w:pPr>
        <w:keepNext/>
        <w:tabs>
          <w:tab w:val="clear" w:pos="567"/>
        </w:tabs>
        <w:spacing w:line="240" w:lineRule="auto"/>
        <w:ind w:left="567" w:hanging="567"/>
        <w:rPr>
          <w:b/>
          <w:szCs w:val="22"/>
          <w:lang w:val="hr-HR"/>
        </w:rPr>
      </w:pPr>
      <w:r w:rsidRPr="00510442">
        <w:rPr>
          <w:b/>
          <w:szCs w:val="22"/>
          <w:lang w:val="hr-HR"/>
        </w:rPr>
        <w:t>8.</w:t>
      </w:r>
      <w:r w:rsidRPr="00510442">
        <w:rPr>
          <w:b/>
          <w:szCs w:val="22"/>
          <w:lang w:val="hr-HR"/>
        </w:rPr>
        <w:tab/>
        <w:t>BROJ(EVI) ODOBRENJA ZA STAVLJANJE LIJEKA U PROMET</w:t>
      </w:r>
    </w:p>
    <w:p w14:paraId="400AFCDB" w14:textId="77777777" w:rsidR="009B57ED" w:rsidRPr="00510442" w:rsidRDefault="009B57ED" w:rsidP="003179A4">
      <w:pPr>
        <w:pStyle w:val="EndnoteText"/>
        <w:keepNext/>
        <w:widowControl w:val="0"/>
        <w:tabs>
          <w:tab w:val="clear" w:pos="567"/>
        </w:tabs>
        <w:rPr>
          <w:color w:val="000000"/>
          <w:szCs w:val="22"/>
          <w:lang w:val="hr-HR"/>
        </w:rPr>
      </w:pPr>
    </w:p>
    <w:p w14:paraId="3FC0F438" w14:textId="77777777" w:rsidR="00DD1A56" w:rsidRPr="00510442" w:rsidRDefault="00DD1A56" w:rsidP="00DD1A56">
      <w:pPr>
        <w:pStyle w:val="EndnoteText"/>
        <w:widowControl w:val="0"/>
        <w:tabs>
          <w:tab w:val="clear" w:pos="567"/>
        </w:tabs>
        <w:rPr>
          <w:color w:val="000000"/>
          <w:szCs w:val="22"/>
          <w:lang w:val="hr-HR"/>
        </w:rPr>
      </w:pPr>
      <w:r w:rsidRPr="00510442">
        <w:rPr>
          <w:color w:val="000000"/>
          <w:szCs w:val="22"/>
          <w:lang w:val="hr-HR"/>
        </w:rPr>
        <w:t>EU/1/01/198/002-006</w:t>
      </w:r>
    </w:p>
    <w:p w14:paraId="6865D73E" w14:textId="77777777" w:rsidR="00DD1A56" w:rsidRPr="00510442" w:rsidRDefault="00DD1A56" w:rsidP="00204719">
      <w:pPr>
        <w:pStyle w:val="EndnoteText"/>
        <w:widowControl w:val="0"/>
        <w:tabs>
          <w:tab w:val="clear" w:pos="567"/>
        </w:tabs>
        <w:rPr>
          <w:color w:val="000000"/>
          <w:szCs w:val="22"/>
          <w:lang w:val="hr-HR"/>
        </w:rPr>
      </w:pPr>
    </w:p>
    <w:p w14:paraId="25FF49A1" w14:textId="77777777" w:rsidR="009B57ED" w:rsidRPr="00510442" w:rsidRDefault="009B57ED" w:rsidP="00204719">
      <w:pPr>
        <w:widowControl w:val="0"/>
        <w:tabs>
          <w:tab w:val="clear" w:pos="567"/>
        </w:tabs>
        <w:spacing w:line="240" w:lineRule="auto"/>
        <w:rPr>
          <w:color w:val="000000"/>
          <w:szCs w:val="22"/>
          <w:lang w:val="hr-HR"/>
        </w:rPr>
      </w:pPr>
    </w:p>
    <w:p w14:paraId="4DB872BD" w14:textId="77777777" w:rsidR="00E443E5" w:rsidRPr="00510442" w:rsidRDefault="00791378" w:rsidP="003179A4">
      <w:pPr>
        <w:keepNext/>
        <w:tabs>
          <w:tab w:val="clear" w:pos="567"/>
        </w:tabs>
        <w:spacing w:line="240" w:lineRule="auto"/>
        <w:ind w:left="567" w:hanging="567"/>
        <w:rPr>
          <w:b/>
          <w:szCs w:val="22"/>
          <w:lang w:val="hr-HR"/>
        </w:rPr>
      </w:pPr>
      <w:r w:rsidRPr="00510442">
        <w:rPr>
          <w:b/>
          <w:szCs w:val="22"/>
          <w:lang w:val="hr-HR"/>
        </w:rPr>
        <w:t>9.</w:t>
      </w:r>
      <w:r w:rsidRPr="00510442">
        <w:rPr>
          <w:b/>
          <w:szCs w:val="22"/>
          <w:lang w:val="hr-HR"/>
        </w:rPr>
        <w:tab/>
        <w:t>DATUM PRVOG ODOBRENJA/DATUM OBNOVE ODOBRENJA</w:t>
      </w:r>
    </w:p>
    <w:p w14:paraId="3816A0EA" w14:textId="77777777" w:rsidR="009B57ED" w:rsidRPr="00510442" w:rsidRDefault="009B57ED" w:rsidP="003179A4">
      <w:pPr>
        <w:keepNext/>
        <w:widowControl w:val="0"/>
        <w:spacing w:line="240" w:lineRule="auto"/>
        <w:rPr>
          <w:color w:val="000000"/>
          <w:szCs w:val="22"/>
          <w:lang w:val="hr-HR"/>
        </w:rPr>
      </w:pPr>
    </w:p>
    <w:p w14:paraId="57280C32" w14:textId="77777777" w:rsidR="009B57ED" w:rsidRPr="00510442" w:rsidRDefault="00791378" w:rsidP="003179A4">
      <w:pPr>
        <w:keepNext/>
        <w:widowControl w:val="0"/>
        <w:spacing w:line="240" w:lineRule="auto"/>
        <w:rPr>
          <w:color w:val="000000"/>
          <w:szCs w:val="22"/>
          <w:lang w:val="hr-HR"/>
        </w:rPr>
      </w:pPr>
      <w:r w:rsidRPr="00510442">
        <w:rPr>
          <w:szCs w:val="22"/>
          <w:lang w:val="hr-HR"/>
        </w:rPr>
        <w:t>Datum prvog odobrenja</w:t>
      </w:r>
      <w:r w:rsidR="009B57ED" w:rsidRPr="00510442">
        <w:rPr>
          <w:color w:val="000000"/>
          <w:szCs w:val="22"/>
          <w:lang w:val="hr-HR"/>
        </w:rPr>
        <w:t>: 7</w:t>
      </w:r>
      <w:r w:rsidR="00A71FEF" w:rsidRPr="00510442">
        <w:rPr>
          <w:color w:val="000000"/>
          <w:szCs w:val="22"/>
          <w:lang w:val="hr-HR"/>
        </w:rPr>
        <w:t>. studenog</w:t>
      </w:r>
      <w:r w:rsidR="00F11614" w:rsidRPr="00510442">
        <w:rPr>
          <w:color w:val="000000"/>
          <w:szCs w:val="22"/>
          <w:lang w:val="hr-HR"/>
        </w:rPr>
        <w:t xml:space="preserve"> </w:t>
      </w:r>
      <w:r w:rsidR="009B57ED" w:rsidRPr="00510442">
        <w:rPr>
          <w:color w:val="000000"/>
          <w:szCs w:val="22"/>
          <w:lang w:val="hr-HR"/>
        </w:rPr>
        <w:t>2001</w:t>
      </w:r>
      <w:r w:rsidR="00A71FEF" w:rsidRPr="00510442">
        <w:rPr>
          <w:color w:val="000000"/>
          <w:szCs w:val="22"/>
          <w:lang w:val="hr-HR"/>
        </w:rPr>
        <w:t>.</w:t>
      </w:r>
    </w:p>
    <w:p w14:paraId="3668B62D" w14:textId="77777777" w:rsidR="009B57ED" w:rsidRPr="00510442" w:rsidRDefault="00791378" w:rsidP="00204719">
      <w:pPr>
        <w:widowControl w:val="0"/>
        <w:tabs>
          <w:tab w:val="clear" w:pos="567"/>
        </w:tabs>
        <w:spacing w:line="240" w:lineRule="auto"/>
        <w:rPr>
          <w:color w:val="000000"/>
          <w:szCs w:val="22"/>
          <w:lang w:val="hr-HR"/>
        </w:rPr>
      </w:pPr>
      <w:r w:rsidRPr="00510442">
        <w:rPr>
          <w:szCs w:val="22"/>
          <w:lang w:val="hr-HR"/>
        </w:rPr>
        <w:t>Datum posljednje obnove</w:t>
      </w:r>
      <w:r w:rsidR="00B93409" w:rsidRPr="00510442">
        <w:rPr>
          <w:szCs w:val="22"/>
          <w:lang w:val="hr-HR"/>
        </w:rPr>
        <w:t xml:space="preserve"> odobrenja</w:t>
      </w:r>
      <w:r w:rsidR="009B57ED" w:rsidRPr="00510442">
        <w:rPr>
          <w:color w:val="000000"/>
          <w:szCs w:val="22"/>
          <w:lang w:val="hr-HR"/>
        </w:rPr>
        <w:t>:</w:t>
      </w:r>
      <w:r w:rsidR="007C4AB0" w:rsidRPr="00510442">
        <w:rPr>
          <w:color w:val="000000"/>
          <w:szCs w:val="22"/>
          <w:lang w:val="hr-HR"/>
        </w:rPr>
        <w:t xml:space="preserve"> 7</w:t>
      </w:r>
      <w:r w:rsidR="00A71FEF" w:rsidRPr="00510442">
        <w:rPr>
          <w:color w:val="000000"/>
          <w:szCs w:val="22"/>
          <w:lang w:val="hr-HR"/>
        </w:rPr>
        <w:t>. studenog</w:t>
      </w:r>
      <w:r w:rsidR="00F11614" w:rsidRPr="00510442">
        <w:rPr>
          <w:color w:val="000000"/>
          <w:szCs w:val="22"/>
          <w:lang w:val="hr-HR"/>
        </w:rPr>
        <w:t xml:space="preserve"> </w:t>
      </w:r>
      <w:r w:rsidR="007C4AB0" w:rsidRPr="00510442">
        <w:rPr>
          <w:color w:val="000000"/>
          <w:szCs w:val="22"/>
          <w:lang w:val="hr-HR"/>
        </w:rPr>
        <w:t>2006</w:t>
      </w:r>
      <w:r w:rsidR="00A71FEF" w:rsidRPr="00510442">
        <w:rPr>
          <w:color w:val="000000"/>
          <w:szCs w:val="22"/>
          <w:lang w:val="hr-HR"/>
        </w:rPr>
        <w:t>.</w:t>
      </w:r>
    </w:p>
    <w:p w14:paraId="6A21B848" w14:textId="77777777" w:rsidR="009B57ED" w:rsidRPr="00510442" w:rsidRDefault="009B57ED" w:rsidP="00204719">
      <w:pPr>
        <w:widowControl w:val="0"/>
        <w:tabs>
          <w:tab w:val="clear" w:pos="567"/>
        </w:tabs>
        <w:spacing w:line="240" w:lineRule="auto"/>
        <w:rPr>
          <w:color w:val="000000"/>
          <w:szCs w:val="22"/>
          <w:lang w:val="hr-HR"/>
        </w:rPr>
      </w:pPr>
    </w:p>
    <w:p w14:paraId="2AA79D7D" w14:textId="77777777" w:rsidR="009B57ED" w:rsidRPr="00510442" w:rsidRDefault="009B57ED" w:rsidP="00204719">
      <w:pPr>
        <w:widowControl w:val="0"/>
        <w:tabs>
          <w:tab w:val="clear" w:pos="567"/>
        </w:tabs>
        <w:spacing w:line="240" w:lineRule="auto"/>
        <w:rPr>
          <w:color w:val="000000"/>
          <w:szCs w:val="22"/>
          <w:lang w:val="hr-HR"/>
        </w:rPr>
      </w:pPr>
    </w:p>
    <w:p w14:paraId="7B519D7F" w14:textId="77777777" w:rsidR="00791378" w:rsidRPr="00510442" w:rsidRDefault="00791378" w:rsidP="00204719">
      <w:pPr>
        <w:tabs>
          <w:tab w:val="clear" w:pos="567"/>
        </w:tabs>
        <w:spacing w:line="240" w:lineRule="auto"/>
        <w:ind w:left="567" w:hanging="567"/>
        <w:rPr>
          <w:b/>
          <w:szCs w:val="22"/>
          <w:lang w:val="hr-HR"/>
        </w:rPr>
      </w:pPr>
      <w:r w:rsidRPr="00510442">
        <w:rPr>
          <w:b/>
          <w:szCs w:val="22"/>
          <w:lang w:val="hr-HR"/>
        </w:rPr>
        <w:t>10.</w:t>
      </w:r>
      <w:r w:rsidRPr="00510442">
        <w:rPr>
          <w:b/>
          <w:szCs w:val="22"/>
          <w:lang w:val="hr-HR"/>
        </w:rPr>
        <w:tab/>
        <w:t>DATUM REVIZIJE TEKSTA</w:t>
      </w:r>
    </w:p>
    <w:p w14:paraId="05141038" w14:textId="77777777" w:rsidR="00681006" w:rsidRPr="00510442" w:rsidRDefault="00681006" w:rsidP="00204719">
      <w:pPr>
        <w:widowControl w:val="0"/>
        <w:tabs>
          <w:tab w:val="clear" w:pos="567"/>
        </w:tabs>
        <w:spacing w:line="240" w:lineRule="auto"/>
        <w:ind w:left="567" w:hanging="567"/>
        <w:rPr>
          <w:bCs/>
          <w:color w:val="000000"/>
          <w:szCs w:val="22"/>
          <w:lang w:val="hr-HR"/>
        </w:rPr>
      </w:pPr>
    </w:p>
    <w:p w14:paraId="6DBEEA37" w14:textId="77777777" w:rsidR="00681006" w:rsidRPr="00510442" w:rsidRDefault="00681006" w:rsidP="00204719">
      <w:pPr>
        <w:widowControl w:val="0"/>
        <w:tabs>
          <w:tab w:val="clear" w:pos="567"/>
        </w:tabs>
        <w:spacing w:line="240" w:lineRule="auto"/>
        <w:ind w:left="567" w:hanging="567"/>
        <w:rPr>
          <w:bCs/>
          <w:color w:val="000000"/>
          <w:szCs w:val="22"/>
          <w:lang w:val="hr-HR"/>
        </w:rPr>
      </w:pPr>
    </w:p>
    <w:p w14:paraId="502C30D2" w14:textId="77777777" w:rsidR="00681006" w:rsidRPr="00510442" w:rsidRDefault="00791378" w:rsidP="0091773C">
      <w:pPr>
        <w:widowControl w:val="0"/>
        <w:tabs>
          <w:tab w:val="clear" w:pos="567"/>
        </w:tabs>
        <w:spacing w:line="240" w:lineRule="auto"/>
        <w:rPr>
          <w:szCs w:val="22"/>
          <w:lang w:val="hr-HR"/>
        </w:rPr>
      </w:pPr>
      <w:r w:rsidRPr="00510442">
        <w:rPr>
          <w:szCs w:val="22"/>
          <w:lang w:val="hr-HR"/>
        </w:rPr>
        <w:t xml:space="preserve">Detaljnije informacije o ovom lijeku dostupne su na </w:t>
      </w:r>
      <w:r w:rsidR="00346FAE" w:rsidRPr="00510442">
        <w:rPr>
          <w:lang w:val="hr-HR"/>
        </w:rPr>
        <w:t xml:space="preserve">internetskoj </w:t>
      </w:r>
      <w:r w:rsidRPr="00510442">
        <w:rPr>
          <w:szCs w:val="22"/>
          <w:lang w:val="hr-HR"/>
        </w:rPr>
        <w:t>stranici Europske agencije za lijekove</w:t>
      </w:r>
      <w:r w:rsidRPr="00510442">
        <w:rPr>
          <w:color w:val="0000FF"/>
          <w:szCs w:val="22"/>
          <w:lang w:val="hr-HR"/>
        </w:rPr>
        <w:t xml:space="preserve"> </w:t>
      </w:r>
      <w:hyperlink r:id="rId16" w:history="1">
        <w:r w:rsidR="00346FAE" w:rsidRPr="00510442">
          <w:rPr>
            <w:rStyle w:val="Hyperlink"/>
            <w:szCs w:val="22"/>
            <w:lang w:val="hr-HR"/>
          </w:rPr>
          <w:t>http://www.ema.europa.eu</w:t>
        </w:r>
      </w:hyperlink>
      <w:r w:rsidR="00EE2C5E" w:rsidRPr="00510442">
        <w:rPr>
          <w:szCs w:val="22"/>
          <w:lang w:val="hr-HR"/>
        </w:rPr>
        <w:t>.</w:t>
      </w:r>
    </w:p>
    <w:p w14:paraId="4A59D768" w14:textId="77777777" w:rsidR="00E90D9A" w:rsidRPr="00510442" w:rsidRDefault="009B57ED" w:rsidP="00737007">
      <w:pPr>
        <w:tabs>
          <w:tab w:val="clear" w:pos="567"/>
        </w:tabs>
        <w:spacing w:line="240" w:lineRule="auto"/>
        <w:rPr>
          <w:szCs w:val="22"/>
          <w:lang w:val="hr-HR"/>
        </w:rPr>
      </w:pPr>
      <w:r w:rsidRPr="00510442">
        <w:rPr>
          <w:b/>
          <w:color w:val="000000"/>
          <w:szCs w:val="22"/>
          <w:lang w:val="hr-HR"/>
        </w:rPr>
        <w:br w:type="page"/>
      </w:r>
      <w:r w:rsidR="00C712C6" w:rsidRPr="00510442">
        <w:rPr>
          <w:noProof/>
          <w:lang w:eastAsia="en-GB"/>
        </w:rPr>
        <w:lastRenderedPageBreak/>
        <w:drawing>
          <wp:inline distT="0" distB="0" distL="0" distR="0" wp14:anchorId="3A3887BD" wp14:editId="25BC28F7">
            <wp:extent cx="198755" cy="174625"/>
            <wp:effectExtent l="0" t="0" r="0" b="0"/>
            <wp:docPr id="4" name="Picture 1" descr="C:\Users\horemansk\AppData\Local\Microsoft\Windows\Temporary Internet Files\Content.Word\BT_1000x858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remansk\AppData\Local\Microsoft\Windows\Temporary Internet Files\Content.Word\BT_1000x858px.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8755" cy="174625"/>
                    </a:xfrm>
                    <a:prstGeom prst="rect">
                      <a:avLst/>
                    </a:prstGeom>
                    <a:noFill/>
                    <a:ln>
                      <a:noFill/>
                    </a:ln>
                  </pic:spPr>
                </pic:pic>
              </a:graphicData>
            </a:graphic>
          </wp:inline>
        </w:drawing>
      </w:r>
      <w:r w:rsidR="00E90D9A" w:rsidRPr="00510442">
        <w:rPr>
          <w:szCs w:val="22"/>
          <w:lang w:val="hr-HR"/>
        </w:rPr>
        <w:t xml:space="preserve">Ovaj je lijek pod dodatnim praćenjem. Time se omogućuje brzo otkrivanje novih sigurnosnih informacija. Od zdravstvenih </w:t>
      </w:r>
      <w:r w:rsidR="00BA0099" w:rsidRPr="00510442">
        <w:rPr>
          <w:szCs w:val="22"/>
          <w:lang w:val="hr-HR"/>
        </w:rPr>
        <w:t xml:space="preserve">radnika </w:t>
      </w:r>
      <w:r w:rsidR="00E90D9A" w:rsidRPr="00510442">
        <w:rPr>
          <w:szCs w:val="22"/>
          <w:lang w:val="hr-HR"/>
        </w:rPr>
        <w:t>se traži da prijave svaku sumnju na nuspojavu za ovaj lijek. Za postupak prijavljivanja nuspojava vidjeti dio 4.8.</w:t>
      </w:r>
    </w:p>
    <w:p w14:paraId="73A998EE" w14:textId="77777777" w:rsidR="00E90D9A" w:rsidRPr="00510442" w:rsidRDefault="00E90D9A" w:rsidP="00E90D9A">
      <w:pPr>
        <w:tabs>
          <w:tab w:val="clear" w:pos="567"/>
        </w:tabs>
        <w:spacing w:line="240" w:lineRule="auto"/>
        <w:rPr>
          <w:szCs w:val="22"/>
          <w:lang w:val="hr-HR"/>
        </w:rPr>
      </w:pPr>
    </w:p>
    <w:p w14:paraId="4C5CCEBB" w14:textId="77777777" w:rsidR="00E90D9A" w:rsidRPr="00510442" w:rsidRDefault="00E90D9A" w:rsidP="00E90D9A">
      <w:pPr>
        <w:tabs>
          <w:tab w:val="clear" w:pos="567"/>
        </w:tabs>
        <w:spacing w:line="240" w:lineRule="auto"/>
        <w:rPr>
          <w:szCs w:val="22"/>
          <w:lang w:val="hr-HR"/>
        </w:rPr>
      </w:pPr>
    </w:p>
    <w:p w14:paraId="1F73C7E8" w14:textId="77777777" w:rsidR="003A274D" w:rsidRPr="00510442" w:rsidRDefault="003A274D" w:rsidP="003A274D">
      <w:pPr>
        <w:widowControl w:val="0"/>
        <w:tabs>
          <w:tab w:val="clear" w:pos="567"/>
        </w:tabs>
        <w:spacing w:line="240" w:lineRule="auto"/>
        <w:ind w:left="567" w:hanging="567"/>
        <w:rPr>
          <w:color w:val="000000"/>
          <w:szCs w:val="22"/>
          <w:lang w:val="hr-HR"/>
        </w:rPr>
      </w:pPr>
      <w:r w:rsidRPr="00510442">
        <w:rPr>
          <w:b/>
          <w:color w:val="000000"/>
          <w:szCs w:val="22"/>
          <w:lang w:val="hr-HR"/>
        </w:rPr>
        <w:t>1.</w:t>
      </w:r>
      <w:r w:rsidRPr="00510442">
        <w:rPr>
          <w:b/>
          <w:color w:val="000000"/>
          <w:szCs w:val="22"/>
          <w:lang w:val="hr-HR"/>
        </w:rPr>
        <w:tab/>
      </w:r>
      <w:r w:rsidRPr="00510442">
        <w:rPr>
          <w:b/>
          <w:szCs w:val="22"/>
          <w:lang w:val="hr-HR"/>
        </w:rPr>
        <w:t>NAZIV LIJEKA</w:t>
      </w:r>
    </w:p>
    <w:p w14:paraId="37C8DF4E" w14:textId="77777777" w:rsidR="003A274D" w:rsidRPr="00510442" w:rsidRDefault="003A274D" w:rsidP="003A274D">
      <w:pPr>
        <w:pStyle w:val="EndnoteText"/>
        <w:widowControl w:val="0"/>
        <w:tabs>
          <w:tab w:val="clear" w:pos="567"/>
        </w:tabs>
        <w:rPr>
          <w:color w:val="000000"/>
          <w:szCs w:val="22"/>
          <w:lang w:val="hr-HR"/>
        </w:rPr>
      </w:pPr>
    </w:p>
    <w:p w14:paraId="302B8CE0" w14:textId="77777777" w:rsidR="003A274D" w:rsidRPr="00510442" w:rsidRDefault="003A274D" w:rsidP="00DB1645">
      <w:pPr>
        <w:widowControl w:val="0"/>
        <w:tabs>
          <w:tab w:val="clear" w:pos="567"/>
        </w:tabs>
        <w:spacing w:line="240" w:lineRule="auto"/>
        <w:rPr>
          <w:color w:val="000000"/>
          <w:szCs w:val="22"/>
          <w:lang w:val="hr-HR"/>
        </w:rPr>
      </w:pPr>
      <w:r w:rsidRPr="00510442">
        <w:rPr>
          <w:color w:val="000000"/>
          <w:szCs w:val="22"/>
          <w:lang w:val="hr-HR"/>
        </w:rPr>
        <w:t>Glivec 100 mg filmom obložene tablete</w:t>
      </w:r>
    </w:p>
    <w:p w14:paraId="11C8498A" w14:textId="77777777" w:rsidR="00BA0099" w:rsidRPr="00510442" w:rsidRDefault="00BA0099" w:rsidP="00BA0099">
      <w:pPr>
        <w:widowControl w:val="0"/>
        <w:tabs>
          <w:tab w:val="clear" w:pos="567"/>
        </w:tabs>
        <w:spacing w:line="240" w:lineRule="auto"/>
        <w:rPr>
          <w:color w:val="000000"/>
          <w:szCs w:val="22"/>
          <w:lang w:val="hr-HR"/>
        </w:rPr>
      </w:pPr>
      <w:r w:rsidRPr="00510442">
        <w:rPr>
          <w:color w:val="000000"/>
          <w:szCs w:val="22"/>
          <w:lang w:val="hr-HR"/>
        </w:rPr>
        <w:t>Glivec 400 mg filmom obložene tablete</w:t>
      </w:r>
    </w:p>
    <w:p w14:paraId="4BB9F6A5" w14:textId="77777777" w:rsidR="003A274D" w:rsidRPr="00510442" w:rsidRDefault="003A274D" w:rsidP="003A274D">
      <w:pPr>
        <w:pStyle w:val="EndnoteText"/>
        <w:widowControl w:val="0"/>
        <w:tabs>
          <w:tab w:val="clear" w:pos="567"/>
        </w:tabs>
        <w:rPr>
          <w:color w:val="000000"/>
          <w:szCs w:val="22"/>
          <w:lang w:val="hr-HR"/>
        </w:rPr>
      </w:pPr>
    </w:p>
    <w:p w14:paraId="3837E4AB" w14:textId="77777777" w:rsidR="003A274D" w:rsidRPr="00510442" w:rsidRDefault="003A274D" w:rsidP="003A274D">
      <w:pPr>
        <w:pStyle w:val="EndnoteText"/>
        <w:widowControl w:val="0"/>
        <w:tabs>
          <w:tab w:val="clear" w:pos="567"/>
        </w:tabs>
        <w:rPr>
          <w:color w:val="000000"/>
          <w:szCs w:val="22"/>
          <w:lang w:val="hr-HR"/>
        </w:rPr>
      </w:pPr>
    </w:p>
    <w:p w14:paraId="534C4DF6" w14:textId="77777777" w:rsidR="003A274D" w:rsidRPr="00510442" w:rsidRDefault="003A274D" w:rsidP="003179A4">
      <w:pPr>
        <w:keepNext/>
        <w:widowControl w:val="0"/>
        <w:tabs>
          <w:tab w:val="clear" w:pos="567"/>
        </w:tabs>
        <w:spacing w:line="240" w:lineRule="auto"/>
        <w:rPr>
          <w:szCs w:val="22"/>
          <w:lang w:val="hr-HR"/>
        </w:rPr>
      </w:pPr>
      <w:r w:rsidRPr="00510442">
        <w:rPr>
          <w:b/>
          <w:szCs w:val="22"/>
          <w:lang w:val="hr-HR"/>
        </w:rPr>
        <w:t>2.</w:t>
      </w:r>
      <w:r w:rsidRPr="00510442">
        <w:rPr>
          <w:b/>
          <w:szCs w:val="22"/>
          <w:lang w:val="hr-HR"/>
        </w:rPr>
        <w:tab/>
        <w:t>KVALITATIVNI I KVANTITATIVNI SASTAV</w:t>
      </w:r>
    </w:p>
    <w:p w14:paraId="3157A80A" w14:textId="77777777" w:rsidR="003A274D" w:rsidRPr="00510442" w:rsidRDefault="003A274D" w:rsidP="003179A4">
      <w:pPr>
        <w:keepNext/>
        <w:widowControl w:val="0"/>
        <w:tabs>
          <w:tab w:val="clear" w:pos="567"/>
        </w:tabs>
        <w:spacing w:line="240" w:lineRule="auto"/>
        <w:rPr>
          <w:color w:val="000000"/>
          <w:szCs w:val="22"/>
          <w:lang w:val="hr-HR"/>
        </w:rPr>
      </w:pPr>
    </w:p>
    <w:p w14:paraId="0AD66107" w14:textId="77777777" w:rsidR="006010C6" w:rsidRPr="00C73E53" w:rsidRDefault="006010C6" w:rsidP="006010C6">
      <w:pPr>
        <w:keepNext/>
        <w:widowControl w:val="0"/>
        <w:tabs>
          <w:tab w:val="clear" w:pos="567"/>
        </w:tabs>
        <w:spacing w:line="240" w:lineRule="auto"/>
        <w:rPr>
          <w:color w:val="000000"/>
          <w:szCs w:val="22"/>
          <w:u w:val="single"/>
          <w:lang w:val="hr-HR"/>
        </w:rPr>
      </w:pPr>
      <w:r w:rsidRPr="00C73E53">
        <w:rPr>
          <w:color w:val="000000"/>
          <w:szCs w:val="22"/>
          <w:u w:val="single"/>
          <w:lang w:val="hr-HR"/>
        </w:rPr>
        <w:t xml:space="preserve">Glivec 100 mg </w:t>
      </w:r>
      <w:r w:rsidRPr="00A43A81">
        <w:rPr>
          <w:color w:val="000000"/>
          <w:szCs w:val="22"/>
          <w:u w:val="single"/>
          <w:lang w:val="hr-HR"/>
        </w:rPr>
        <w:t>filmom obložene tablete</w:t>
      </w:r>
    </w:p>
    <w:p w14:paraId="5D54F167" w14:textId="77777777" w:rsidR="003A274D" w:rsidRPr="00510442" w:rsidRDefault="003A274D" w:rsidP="00DB1645">
      <w:pPr>
        <w:widowControl w:val="0"/>
        <w:tabs>
          <w:tab w:val="clear" w:pos="567"/>
        </w:tabs>
        <w:spacing w:line="240" w:lineRule="auto"/>
        <w:rPr>
          <w:color w:val="000000"/>
          <w:szCs w:val="22"/>
          <w:lang w:val="hr-HR"/>
        </w:rPr>
      </w:pPr>
      <w:r w:rsidRPr="00510442">
        <w:rPr>
          <w:color w:val="000000"/>
          <w:szCs w:val="22"/>
          <w:lang w:val="hr-HR"/>
        </w:rPr>
        <w:t>Svaka filmom obložena tableta sadrži 100 mg imatiniba (</w:t>
      </w:r>
      <w:r w:rsidRPr="00510442">
        <w:rPr>
          <w:szCs w:val="22"/>
          <w:lang w:val="hr-HR"/>
        </w:rPr>
        <w:t>u obliku imatinibmesilata</w:t>
      </w:r>
      <w:r w:rsidRPr="00510442">
        <w:rPr>
          <w:color w:val="000000"/>
          <w:szCs w:val="22"/>
          <w:lang w:val="hr-HR"/>
        </w:rPr>
        <w:t>).</w:t>
      </w:r>
    </w:p>
    <w:p w14:paraId="1EBDEE89" w14:textId="77777777" w:rsidR="003A274D" w:rsidRPr="00510442" w:rsidRDefault="003A274D" w:rsidP="003A274D">
      <w:pPr>
        <w:widowControl w:val="0"/>
        <w:tabs>
          <w:tab w:val="clear" w:pos="567"/>
        </w:tabs>
        <w:spacing w:line="240" w:lineRule="auto"/>
        <w:rPr>
          <w:color w:val="000000"/>
          <w:szCs w:val="22"/>
          <w:lang w:val="hr-HR"/>
        </w:rPr>
      </w:pPr>
    </w:p>
    <w:p w14:paraId="7774C9BE" w14:textId="77777777" w:rsidR="006010C6" w:rsidRPr="00C73E53" w:rsidRDefault="006010C6" w:rsidP="006010C6">
      <w:pPr>
        <w:keepNext/>
        <w:widowControl w:val="0"/>
        <w:tabs>
          <w:tab w:val="clear" w:pos="567"/>
        </w:tabs>
        <w:spacing w:line="240" w:lineRule="auto"/>
        <w:rPr>
          <w:color w:val="000000"/>
          <w:szCs w:val="22"/>
          <w:u w:val="single"/>
          <w:lang w:val="hr-HR"/>
        </w:rPr>
      </w:pPr>
      <w:r w:rsidRPr="00C73E53">
        <w:rPr>
          <w:color w:val="000000"/>
          <w:szCs w:val="22"/>
          <w:u w:val="single"/>
          <w:lang w:val="hr-HR"/>
        </w:rPr>
        <w:t xml:space="preserve">Glivec 400 mg </w:t>
      </w:r>
      <w:r w:rsidRPr="00A43A81">
        <w:rPr>
          <w:color w:val="000000"/>
          <w:szCs w:val="22"/>
          <w:u w:val="single"/>
          <w:lang w:val="hr-HR"/>
        </w:rPr>
        <w:t>filmom obložene tablete</w:t>
      </w:r>
    </w:p>
    <w:p w14:paraId="566C8545" w14:textId="77777777" w:rsidR="006010C6" w:rsidRPr="00510442" w:rsidRDefault="006010C6" w:rsidP="006010C6">
      <w:pPr>
        <w:widowControl w:val="0"/>
        <w:tabs>
          <w:tab w:val="clear" w:pos="567"/>
        </w:tabs>
        <w:spacing w:line="240" w:lineRule="auto"/>
        <w:rPr>
          <w:color w:val="000000"/>
          <w:szCs w:val="22"/>
          <w:lang w:val="hr-HR"/>
        </w:rPr>
      </w:pPr>
      <w:r w:rsidRPr="00510442">
        <w:rPr>
          <w:color w:val="000000"/>
          <w:szCs w:val="22"/>
          <w:lang w:val="hr-HR"/>
        </w:rPr>
        <w:t>Svaka filmom obložena tableta sadrži 400 mg imatiniba (</w:t>
      </w:r>
      <w:r w:rsidRPr="00510442">
        <w:rPr>
          <w:szCs w:val="22"/>
          <w:lang w:val="hr-HR"/>
        </w:rPr>
        <w:t>u obliku imatinibmesilata</w:t>
      </w:r>
      <w:r w:rsidRPr="00510442">
        <w:rPr>
          <w:color w:val="000000"/>
          <w:szCs w:val="22"/>
          <w:lang w:val="hr-HR"/>
        </w:rPr>
        <w:t>).</w:t>
      </w:r>
    </w:p>
    <w:p w14:paraId="1C417CAA" w14:textId="77777777" w:rsidR="006010C6" w:rsidRPr="00510442" w:rsidRDefault="006010C6" w:rsidP="003A274D">
      <w:pPr>
        <w:widowControl w:val="0"/>
        <w:tabs>
          <w:tab w:val="clear" w:pos="567"/>
        </w:tabs>
        <w:spacing w:line="240" w:lineRule="auto"/>
        <w:rPr>
          <w:szCs w:val="22"/>
          <w:lang w:val="hr-HR"/>
        </w:rPr>
      </w:pPr>
    </w:p>
    <w:p w14:paraId="17583C02" w14:textId="77777777" w:rsidR="003A274D" w:rsidRPr="00510442" w:rsidRDefault="003A274D" w:rsidP="003A274D">
      <w:pPr>
        <w:widowControl w:val="0"/>
        <w:tabs>
          <w:tab w:val="clear" w:pos="567"/>
        </w:tabs>
        <w:spacing w:line="240" w:lineRule="auto"/>
        <w:rPr>
          <w:color w:val="000000"/>
          <w:szCs w:val="22"/>
          <w:lang w:val="hr-HR"/>
        </w:rPr>
      </w:pPr>
      <w:r w:rsidRPr="00510442">
        <w:rPr>
          <w:szCs w:val="22"/>
          <w:lang w:val="hr-HR"/>
        </w:rPr>
        <w:t>Za cjeloviti popis pomoćnih tvari vidjeti dio 6.1.</w:t>
      </w:r>
    </w:p>
    <w:p w14:paraId="2F02DFAF" w14:textId="77777777" w:rsidR="003A274D" w:rsidRPr="00510442" w:rsidRDefault="003A274D" w:rsidP="003A274D">
      <w:pPr>
        <w:widowControl w:val="0"/>
        <w:tabs>
          <w:tab w:val="clear" w:pos="567"/>
        </w:tabs>
        <w:spacing w:line="240" w:lineRule="auto"/>
        <w:rPr>
          <w:color w:val="000000"/>
          <w:szCs w:val="22"/>
          <w:lang w:val="hr-HR"/>
        </w:rPr>
      </w:pPr>
    </w:p>
    <w:p w14:paraId="1C4C16F1" w14:textId="77777777" w:rsidR="003A274D" w:rsidRPr="00510442" w:rsidRDefault="003A274D" w:rsidP="003A274D">
      <w:pPr>
        <w:widowControl w:val="0"/>
        <w:tabs>
          <w:tab w:val="clear" w:pos="567"/>
        </w:tabs>
        <w:spacing w:line="240" w:lineRule="auto"/>
        <w:rPr>
          <w:color w:val="000000"/>
          <w:szCs w:val="22"/>
          <w:lang w:val="hr-HR"/>
        </w:rPr>
      </w:pPr>
    </w:p>
    <w:p w14:paraId="2E18D147" w14:textId="77777777" w:rsidR="003A274D" w:rsidRPr="00510442" w:rsidRDefault="003A274D" w:rsidP="003179A4">
      <w:pPr>
        <w:keepNext/>
        <w:tabs>
          <w:tab w:val="clear" w:pos="567"/>
        </w:tabs>
        <w:spacing w:line="240" w:lineRule="auto"/>
        <w:ind w:left="567" w:hanging="567"/>
        <w:rPr>
          <w:caps/>
          <w:szCs w:val="22"/>
          <w:lang w:val="hr-HR"/>
        </w:rPr>
      </w:pPr>
      <w:r w:rsidRPr="00510442">
        <w:rPr>
          <w:b/>
          <w:szCs w:val="22"/>
          <w:lang w:val="hr-HR"/>
        </w:rPr>
        <w:t>3.</w:t>
      </w:r>
      <w:r w:rsidRPr="00510442">
        <w:rPr>
          <w:b/>
          <w:szCs w:val="22"/>
          <w:lang w:val="hr-HR"/>
        </w:rPr>
        <w:tab/>
        <w:t>FARMACEUTSKI OBLIK</w:t>
      </w:r>
    </w:p>
    <w:p w14:paraId="09214D57" w14:textId="77777777" w:rsidR="003A274D" w:rsidRPr="00510442" w:rsidRDefault="003A274D" w:rsidP="003179A4">
      <w:pPr>
        <w:pStyle w:val="EndnoteText"/>
        <w:keepNext/>
        <w:widowControl w:val="0"/>
        <w:tabs>
          <w:tab w:val="clear" w:pos="567"/>
        </w:tabs>
        <w:rPr>
          <w:color w:val="000000"/>
          <w:szCs w:val="22"/>
          <w:lang w:val="hr-HR"/>
        </w:rPr>
      </w:pPr>
    </w:p>
    <w:p w14:paraId="5DA0AD17" w14:textId="77777777" w:rsidR="003A274D" w:rsidRPr="00510442" w:rsidRDefault="003A274D" w:rsidP="00DB1645">
      <w:pPr>
        <w:widowControl w:val="0"/>
        <w:tabs>
          <w:tab w:val="clear" w:pos="567"/>
        </w:tabs>
        <w:spacing w:line="240" w:lineRule="auto"/>
        <w:rPr>
          <w:color w:val="000000"/>
          <w:szCs w:val="22"/>
          <w:lang w:val="hr-HR"/>
        </w:rPr>
      </w:pPr>
      <w:r w:rsidRPr="00510442">
        <w:rPr>
          <w:color w:val="000000"/>
          <w:szCs w:val="22"/>
          <w:lang w:val="hr-HR"/>
        </w:rPr>
        <w:t>Filmom obložena tableta</w:t>
      </w:r>
    </w:p>
    <w:p w14:paraId="781D24D1" w14:textId="77777777" w:rsidR="003A274D" w:rsidRPr="00510442" w:rsidRDefault="003A274D" w:rsidP="00DB1645">
      <w:pPr>
        <w:widowControl w:val="0"/>
        <w:tabs>
          <w:tab w:val="clear" w:pos="567"/>
        </w:tabs>
        <w:spacing w:line="240" w:lineRule="auto"/>
        <w:rPr>
          <w:color w:val="000000"/>
          <w:szCs w:val="22"/>
          <w:lang w:val="hr-HR"/>
        </w:rPr>
      </w:pPr>
    </w:p>
    <w:p w14:paraId="111A617C" w14:textId="77777777" w:rsidR="00393F8E" w:rsidRPr="00C4405E" w:rsidRDefault="00393F8E" w:rsidP="00393F8E">
      <w:pPr>
        <w:keepNext/>
        <w:widowControl w:val="0"/>
        <w:tabs>
          <w:tab w:val="clear" w:pos="567"/>
        </w:tabs>
        <w:spacing w:line="240" w:lineRule="auto"/>
        <w:rPr>
          <w:color w:val="000000"/>
          <w:szCs w:val="22"/>
          <w:u w:val="single"/>
          <w:lang w:val="hr-HR"/>
        </w:rPr>
      </w:pPr>
      <w:r w:rsidRPr="00C4405E">
        <w:rPr>
          <w:color w:val="000000"/>
          <w:szCs w:val="22"/>
          <w:u w:val="single"/>
          <w:lang w:val="hr-HR"/>
        </w:rPr>
        <w:t xml:space="preserve">Glivec 100 mg </w:t>
      </w:r>
      <w:r w:rsidRPr="00A43A81">
        <w:rPr>
          <w:color w:val="000000"/>
          <w:szCs w:val="22"/>
          <w:u w:val="single"/>
          <w:lang w:val="hr-HR"/>
        </w:rPr>
        <w:t>filmom obložene tablete</w:t>
      </w:r>
    </w:p>
    <w:p w14:paraId="3C1A99C1" w14:textId="77777777" w:rsidR="003A274D" w:rsidRPr="00510442" w:rsidRDefault="003A274D" w:rsidP="00DB1645">
      <w:pPr>
        <w:widowControl w:val="0"/>
        <w:tabs>
          <w:tab w:val="clear" w:pos="567"/>
        </w:tabs>
        <w:spacing w:line="240" w:lineRule="auto"/>
        <w:rPr>
          <w:color w:val="000000"/>
          <w:szCs w:val="22"/>
          <w:lang w:val="hr-HR"/>
        </w:rPr>
      </w:pPr>
      <w:r w:rsidRPr="00510442">
        <w:rPr>
          <w:szCs w:val="22"/>
          <w:lang w:val="hr-HR"/>
        </w:rPr>
        <w:t xml:space="preserve">Jako tamnožuta do smećkastonarančasta okrugla filmom obložena tableta, s oznakom </w:t>
      </w:r>
      <w:r w:rsidRPr="00510442">
        <w:rPr>
          <w:lang w:val="hr-HR"/>
        </w:rPr>
        <w:t>„</w:t>
      </w:r>
      <w:r w:rsidRPr="00510442">
        <w:rPr>
          <w:color w:val="000000"/>
          <w:szCs w:val="22"/>
          <w:lang w:val="hr-HR"/>
        </w:rPr>
        <w:t>NVR</w:t>
      </w:r>
      <w:r w:rsidRPr="00510442">
        <w:rPr>
          <w:lang w:val="hr-HR"/>
        </w:rPr>
        <w:t>“</w:t>
      </w:r>
      <w:r w:rsidRPr="00510442">
        <w:rPr>
          <w:color w:val="000000"/>
          <w:szCs w:val="22"/>
          <w:lang w:val="hr-HR"/>
        </w:rPr>
        <w:t xml:space="preserve"> </w:t>
      </w:r>
      <w:r w:rsidRPr="00510442">
        <w:rPr>
          <w:szCs w:val="22"/>
          <w:lang w:val="hr-HR"/>
        </w:rPr>
        <w:t>na jednoj te oznakom</w:t>
      </w:r>
      <w:r w:rsidRPr="00510442">
        <w:rPr>
          <w:color w:val="000000"/>
          <w:szCs w:val="22"/>
          <w:lang w:val="hr-HR"/>
        </w:rPr>
        <w:t xml:space="preserve"> </w:t>
      </w:r>
      <w:r w:rsidRPr="00510442">
        <w:rPr>
          <w:lang w:val="hr-HR"/>
        </w:rPr>
        <w:t>„</w:t>
      </w:r>
      <w:r w:rsidRPr="00510442">
        <w:rPr>
          <w:color w:val="000000"/>
          <w:szCs w:val="22"/>
          <w:lang w:val="hr-HR"/>
        </w:rPr>
        <w:t>SA</w:t>
      </w:r>
      <w:r w:rsidRPr="00510442">
        <w:rPr>
          <w:lang w:val="hr-HR"/>
        </w:rPr>
        <w:t>“</w:t>
      </w:r>
      <w:r w:rsidRPr="00510442">
        <w:rPr>
          <w:color w:val="000000"/>
          <w:szCs w:val="22"/>
          <w:lang w:val="hr-HR"/>
        </w:rPr>
        <w:t xml:space="preserve"> </w:t>
      </w:r>
      <w:r w:rsidRPr="00510442">
        <w:rPr>
          <w:szCs w:val="22"/>
          <w:lang w:val="hr-HR"/>
        </w:rPr>
        <w:t>i urezom na drugoj strani</w:t>
      </w:r>
      <w:r w:rsidRPr="00510442">
        <w:rPr>
          <w:color w:val="000000"/>
          <w:szCs w:val="22"/>
          <w:lang w:val="hr-HR"/>
        </w:rPr>
        <w:t>.</w:t>
      </w:r>
    </w:p>
    <w:p w14:paraId="6389546F" w14:textId="77777777" w:rsidR="003A274D" w:rsidRPr="00510442" w:rsidRDefault="003A274D" w:rsidP="003A274D">
      <w:pPr>
        <w:widowControl w:val="0"/>
        <w:tabs>
          <w:tab w:val="clear" w:pos="567"/>
        </w:tabs>
        <w:spacing w:line="240" w:lineRule="auto"/>
        <w:rPr>
          <w:color w:val="000000"/>
          <w:szCs w:val="22"/>
          <w:lang w:val="hr-HR"/>
        </w:rPr>
      </w:pPr>
    </w:p>
    <w:p w14:paraId="2678FF91" w14:textId="77777777" w:rsidR="00393F8E" w:rsidRPr="00C4405E" w:rsidRDefault="00393F8E" w:rsidP="00393F8E">
      <w:pPr>
        <w:keepNext/>
        <w:widowControl w:val="0"/>
        <w:tabs>
          <w:tab w:val="clear" w:pos="567"/>
        </w:tabs>
        <w:spacing w:line="240" w:lineRule="auto"/>
        <w:rPr>
          <w:color w:val="000000"/>
          <w:szCs w:val="22"/>
          <w:u w:val="single"/>
          <w:lang w:val="hr-HR"/>
        </w:rPr>
      </w:pPr>
      <w:r w:rsidRPr="00C4405E">
        <w:rPr>
          <w:color w:val="000000"/>
          <w:szCs w:val="22"/>
          <w:u w:val="single"/>
          <w:lang w:val="hr-HR"/>
        </w:rPr>
        <w:t xml:space="preserve">Glivec 400 mg </w:t>
      </w:r>
      <w:r w:rsidRPr="00A43A81">
        <w:rPr>
          <w:color w:val="000000"/>
          <w:szCs w:val="22"/>
          <w:u w:val="single"/>
          <w:lang w:val="hr-HR"/>
        </w:rPr>
        <w:t>filmom obložene tablete</w:t>
      </w:r>
    </w:p>
    <w:p w14:paraId="0AF11DF8" w14:textId="77777777" w:rsidR="00393F8E" w:rsidRPr="00510442" w:rsidRDefault="00393F8E" w:rsidP="00393F8E">
      <w:pPr>
        <w:widowControl w:val="0"/>
        <w:tabs>
          <w:tab w:val="clear" w:pos="567"/>
        </w:tabs>
        <w:spacing w:line="240" w:lineRule="auto"/>
        <w:rPr>
          <w:color w:val="000000"/>
          <w:szCs w:val="22"/>
          <w:lang w:val="hr-HR"/>
        </w:rPr>
      </w:pPr>
      <w:r w:rsidRPr="00510442">
        <w:rPr>
          <w:szCs w:val="22"/>
          <w:lang w:val="hr-HR"/>
        </w:rPr>
        <w:t>Jako tamnožuta do smećkastonarančasta, ovalna, bikonveksna filmom obložena tableta ukošenih rubova te s utisnutom oznakom</w:t>
      </w:r>
      <w:r w:rsidRPr="00510442">
        <w:rPr>
          <w:color w:val="000000"/>
          <w:szCs w:val="22"/>
          <w:lang w:val="hr-HR"/>
        </w:rPr>
        <w:t xml:space="preserve"> </w:t>
      </w:r>
      <w:r w:rsidRPr="00510442">
        <w:rPr>
          <w:lang w:val="hr-HR"/>
        </w:rPr>
        <w:t>„glivec“</w:t>
      </w:r>
      <w:r w:rsidRPr="00510442">
        <w:rPr>
          <w:color w:val="000000"/>
          <w:szCs w:val="22"/>
          <w:lang w:val="hr-HR"/>
        </w:rPr>
        <w:t xml:space="preserve"> </w:t>
      </w:r>
      <w:r w:rsidRPr="00510442">
        <w:rPr>
          <w:szCs w:val="22"/>
          <w:lang w:val="hr-HR"/>
        </w:rPr>
        <w:t>na jednoj strani</w:t>
      </w:r>
      <w:r w:rsidRPr="00510442">
        <w:rPr>
          <w:color w:val="000000"/>
          <w:szCs w:val="22"/>
          <w:lang w:val="hr-HR"/>
        </w:rPr>
        <w:t>.</w:t>
      </w:r>
    </w:p>
    <w:p w14:paraId="5F1760B9" w14:textId="77777777" w:rsidR="003A274D" w:rsidRPr="00510442" w:rsidRDefault="003A274D" w:rsidP="003A274D">
      <w:pPr>
        <w:widowControl w:val="0"/>
        <w:tabs>
          <w:tab w:val="clear" w:pos="567"/>
        </w:tabs>
        <w:spacing w:line="240" w:lineRule="auto"/>
        <w:rPr>
          <w:color w:val="000000"/>
          <w:szCs w:val="22"/>
          <w:lang w:val="hr-HR"/>
        </w:rPr>
      </w:pPr>
    </w:p>
    <w:p w14:paraId="1EE68ACD" w14:textId="77777777" w:rsidR="00393F8E" w:rsidRPr="00510442" w:rsidRDefault="00393F8E" w:rsidP="003A274D">
      <w:pPr>
        <w:widowControl w:val="0"/>
        <w:tabs>
          <w:tab w:val="clear" w:pos="567"/>
        </w:tabs>
        <w:spacing w:line="240" w:lineRule="auto"/>
        <w:rPr>
          <w:color w:val="000000"/>
          <w:szCs w:val="22"/>
          <w:lang w:val="hr-HR"/>
        </w:rPr>
      </w:pPr>
    </w:p>
    <w:p w14:paraId="0D679C0A" w14:textId="77777777" w:rsidR="003A274D" w:rsidRPr="00510442" w:rsidRDefault="003A274D" w:rsidP="003179A4">
      <w:pPr>
        <w:keepNext/>
        <w:tabs>
          <w:tab w:val="clear" w:pos="567"/>
        </w:tabs>
        <w:spacing w:line="240" w:lineRule="auto"/>
        <w:ind w:left="567" w:hanging="567"/>
        <w:rPr>
          <w:caps/>
          <w:szCs w:val="22"/>
          <w:lang w:val="hr-HR"/>
        </w:rPr>
      </w:pPr>
      <w:r w:rsidRPr="00510442">
        <w:rPr>
          <w:b/>
          <w:caps/>
          <w:szCs w:val="22"/>
          <w:lang w:val="hr-HR"/>
        </w:rPr>
        <w:t>4.</w:t>
      </w:r>
      <w:r w:rsidRPr="00510442">
        <w:rPr>
          <w:b/>
          <w:caps/>
          <w:szCs w:val="22"/>
          <w:lang w:val="hr-HR"/>
        </w:rPr>
        <w:tab/>
        <w:t>KLINIČKI PODACI</w:t>
      </w:r>
    </w:p>
    <w:p w14:paraId="5AD9DCA2" w14:textId="77777777" w:rsidR="003A274D" w:rsidRPr="00510442" w:rsidRDefault="003A274D" w:rsidP="003179A4">
      <w:pPr>
        <w:pStyle w:val="EndnoteText"/>
        <w:keepNext/>
        <w:widowControl w:val="0"/>
        <w:tabs>
          <w:tab w:val="clear" w:pos="567"/>
        </w:tabs>
        <w:rPr>
          <w:color w:val="000000"/>
          <w:szCs w:val="22"/>
          <w:lang w:val="hr-HR"/>
        </w:rPr>
      </w:pPr>
    </w:p>
    <w:p w14:paraId="72F22B1C" w14:textId="77777777" w:rsidR="003A274D" w:rsidRPr="00510442" w:rsidRDefault="003A274D" w:rsidP="003179A4">
      <w:pPr>
        <w:keepNext/>
        <w:tabs>
          <w:tab w:val="clear" w:pos="567"/>
        </w:tabs>
        <w:spacing w:line="240" w:lineRule="auto"/>
        <w:ind w:left="567" w:hanging="567"/>
        <w:outlineLvl w:val="0"/>
        <w:rPr>
          <w:szCs w:val="22"/>
          <w:lang w:val="hr-HR"/>
        </w:rPr>
      </w:pPr>
      <w:r w:rsidRPr="00510442">
        <w:rPr>
          <w:b/>
          <w:szCs w:val="22"/>
          <w:lang w:val="hr-HR"/>
        </w:rPr>
        <w:t>4.1</w:t>
      </w:r>
      <w:r w:rsidRPr="00510442">
        <w:rPr>
          <w:b/>
          <w:szCs w:val="22"/>
          <w:lang w:val="hr-HR"/>
        </w:rPr>
        <w:tab/>
        <w:t>Terapijske indikacije</w:t>
      </w:r>
    </w:p>
    <w:p w14:paraId="4F6CBF77" w14:textId="77777777" w:rsidR="003A274D" w:rsidRPr="00510442" w:rsidRDefault="003A274D" w:rsidP="003179A4">
      <w:pPr>
        <w:pStyle w:val="EndnoteText"/>
        <w:keepNext/>
        <w:widowControl w:val="0"/>
        <w:tabs>
          <w:tab w:val="clear" w:pos="567"/>
        </w:tabs>
        <w:rPr>
          <w:color w:val="000000"/>
          <w:szCs w:val="22"/>
          <w:lang w:val="hr-HR"/>
        </w:rPr>
      </w:pPr>
    </w:p>
    <w:p w14:paraId="19FA2075" w14:textId="77777777" w:rsidR="003A274D" w:rsidRPr="00510442" w:rsidRDefault="003A274D" w:rsidP="003179A4">
      <w:pPr>
        <w:pStyle w:val="EndnoteText"/>
        <w:keepNext/>
        <w:widowControl w:val="0"/>
        <w:tabs>
          <w:tab w:val="clear" w:pos="567"/>
        </w:tabs>
        <w:rPr>
          <w:snapToGrid w:val="0"/>
          <w:color w:val="000000"/>
          <w:szCs w:val="22"/>
          <w:lang w:val="hr-HR" w:eastAsia="de-DE"/>
        </w:rPr>
      </w:pPr>
      <w:r w:rsidRPr="00510442">
        <w:rPr>
          <w:szCs w:val="22"/>
          <w:lang w:val="hr-HR"/>
        </w:rPr>
        <w:t>Glivec je indiciran za liječenje</w:t>
      </w:r>
    </w:p>
    <w:p w14:paraId="2BBBF562" w14:textId="77777777" w:rsidR="003A274D" w:rsidRPr="00510442" w:rsidRDefault="003A274D" w:rsidP="003A274D">
      <w:pPr>
        <w:pStyle w:val="EndnoteText"/>
        <w:widowControl w:val="0"/>
        <w:numPr>
          <w:ilvl w:val="0"/>
          <w:numId w:val="8"/>
        </w:numPr>
        <w:rPr>
          <w:snapToGrid w:val="0"/>
          <w:color w:val="000000"/>
          <w:szCs w:val="22"/>
          <w:lang w:val="hr-HR" w:eastAsia="de-DE"/>
        </w:rPr>
      </w:pPr>
      <w:r w:rsidRPr="00510442">
        <w:rPr>
          <w:szCs w:val="22"/>
          <w:lang w:val="hr-HR"/>
        </w:rPr>
        <w:t>odraslih i pedijatrijskih bolesnika s novodijagnosticiranom kroničnom mijeloičnom leukemijom (KML) s pozitivnim Philadelphia (Ph+) kromosomom (bcr-abl), u kojih se transplantacija koštane srži ne smatra prvom linijom liječenja.</w:t>
      </w:r>
    </w:p>
    <w:p w14:paraId="64C17203" w14:textId="77777777" w:rsidR="003A274D" w:rsidRPr="00510442" w:rsidRDefault="003A274D" w:rsidP="003A274D">
      <w:pPr>
        <w:pStyle w:val="EndnoteText"/>
        <w:widowControl w:val="0"/>
        <w:numPr>
          <w:ilvl w:val="0"/>
          <w:numId w:val="8"/>
        </w:numPr>
        <w:rPr>
          <w:snapToGrid w:val="0"/>
          <w:color w:val="000000"/>
          <w:szCs w:val="22"/>
          <w:lang w:val="hr-HR" w:eastAsia="de-DE"/>
        </w:rPr>
      </w:pPr>
      <w:r w:rsidRPr="00510442">
        <w:rPr>
          <w:szCs w:val="22"/>
          <w:lang w:val="hr-HR"/>
        </w:rPr>
        <w:t>odraslih i pedijatrijskih bolesnika s Ph+ KML-om u kroničnoj fazi nakon neuspjeha terapije interferonom-alfa, ili u ubrzanoj fazi ili u blastičnoj krizi</w:t>
      </w:r>
      <w:r w:rsidRPr="00510442">
        <w:rPr>
          <w:snapToGrid w:val="0"/>
          <w:color w:val="000000"/>
          <w:szCs w:val="22"/>
          <w:lang w:val="hr-HR" w:eastAsia="de-DE"/>
        </w:rPr>
        <w:t>.</w:t>
      </w:r>
    </w:p>
    <w:p w14:paraId="6C3FCCE1" w14:textId="77777777" w:rsidR="003A274D" w:rsidRPr="00510442" w:rsidRDefault="003A274D" w:rsidP="003A274D">
      <w:pPr>
        <w:pStyle w:val="EndnoteText"/>
        <w:widowControl w:val="0"/>
        <w:numPr>
          <w:ilvl w:val="0"/>
          <w:numId w:val="8"/>
        </w:numPr>
        <w:rPr>
          <w:snapToGrid w:val="0"/>
          <w:color w:val="000000"/>
          <w:szCs w:val="22"/>
          <w:lang w:val="hr-HR" w:eastAsia="de-DE"/>
        </w:rPr>
      </w:pPr>
      <w:r w:rsidRPr="00510442">
        <w:rPr>
          <w:szCs w:val="22"/>
          <w:lang w:val="hr-HR"/>
        </w:rPr>
        <w:t>odraslih i pedijatrijskih bolesnika s novodijagnosticiranom akutnom limfoblastičnom leukemijom s pozitivnim Philadelphia kromosomom (Ph+ ALL) uz kemoterapiju</w:t>
      </w:r>
      <w:r w:rsidRPr="00510442">
        <w:rPr>
          <w:color w:val="000000"/>
          <w:szCs w:val="22"/>
          <w:lang w:val="hr-HR"/>
        </w:rPr>
        <w:t>.</w:t>
      </w:r>
    </w:p>
    <w:p w14:paraId="66A3D43D" w14:textId="77777777" w:rsidR="003A274D" w:rsidRPr="00510442" w:rsidRDefault="003A274D" w:rsidP="003A274D">
      <w:pPr>
        <w:pStyle w:val="EndnoteText"/>
        <w:widowControl w:val="0"/>
        <w:numPr>
          <w:ilvl w:val="0"/>
          <w:numId w:val="8"/>
        </w:numPr>
        <w:rPr>
          <w:snapToGrid w:val="0"/>
          <w:color w:val="000000"/>
          <w:szCs w:val="22"/>
          <w:lang w:val="hr-HR" w:eastAsia="de-DE"/>
        </w:rPr>
      </w:pPr>
      <w:r w:rsidRPr="00510442">
        <w:rPr>
          <w:szCs w:val="22"/>
          <w:lang w:val="hr-HR"/>
        </w:rPr>
        <w:t>odraslih bolesnika s recidivirajućim ili refraktornim Ph+ ALL-om u obliku monoterapije</w:t>
      </w:r>
      <w:r w:rsidRPr="00510442">
        <w:rPr>
          <w:rFonts w:eastAsia="MS Mincho"/>
          <w:color w:val="000000"/>
          <w:szCs w:val="22"/>
          <w:lang w:val="hr-HR" w:eastAsia="ja-JP"/>
        </w:rPr>
        <w:t>.</w:t>
      </w:r>
    </w:p>
    <w:p w14:paraId="361215C8" w14:textId="77777777" w:rsidR="003A274D" w:rsidRPr="00510442" w:rsidRDefault="003A274D" w:rsidP="003A274D">
      <w:pPr>
        <w:pStyle w:val="EndnoteText"/>
        <w:widowControl w:val="0"/>
        <w:numPr>
          <w:ilvl w:val="0"/>
          <w:numId w:val="8"/>
        </w:numPr>
        <w:rPr>
          <w:snapToGrid w:val="0"/>
          <w:color w:val="000000"/>
          <w:szCs w:val="22"/>
          <w:lang w:val="hr-HR" w:eastAsia="de-DE"/>
        </w:rPr>
      </w:pPr>
      <w:r w:rsidRPr="00510442">
        <w:rPr>
          <w:szCs w:val="22"/>
          <w:lang w:val="hr-HR"/>
        </w:rPr>
        <w:t>odraslih bolesnika s mijelodisplastičnim/mijeloproliferativnim bolestima (MDS/MPD) povezanim s preraspodjelom gena za receptor za faktor rasta koji potječe od trombocita (PDGFR)</w:t>
      </w:r>
      <w:r w:rsidRPr="00510442">
        <w:rPr>
          <w:snapToGrid w:val="0"/>
          <w:color w:val="000000"/>
          <w:szCs w:val="22"/>
          <w:lang w:val="hr-HR"/>
        </w:rPr>
        <w:t>.</w:t>
      </w:r>
    </w:p>
    <w:p w14:paraId="6EDA6987" w14:textId="77777777" w:rsidR="003A274D" w:rsidRPr="00973BDD" w:rsidRDefault="003A274D" w:rsidP="003A274D">
      <w:pPr>
        <w:pStyle w:val="EndnoteText"/>
        <w:widowControl w:val="0"/>
        <w:numPr>
          <w:ilvl w:val="0"/>
          <w:numId w:val="8"/>
        </w:numPr>
        <w:rPr>
          <w:snapToGrid w:val="0"/>
          <w:color w:val="000000"/>
          <w:szCs w:val="22"/>
          <w:lang w:val="hr-HR" w:eastAsia="de-DE"/>
        </w:rPr>
      </w:pPr>
      <w:r w:rsidRPr="00510442">
        <w:rPr>
          <w:szCs w:val="22"/>
          <w:lang w:val="hr-HR"/>
        </w:rPr>
        <w:t xml:space="preserve">odraslih bolesnika s uznapredovalim hipereozinofilnim sindromom (HES) i/ili kroničnom eozinofilnom leukemijom (KEL) s </w:t>
      </w:r>
      <w:r w:rsidRPr="00510442">
        <w:rPr>
          <w:color w:val="000000"/>
          <w:szCs w:val="22"/>
          <w:lang w:val="hr-HR"/>
        </w:rPr>
        <w:t>FIP1L1-PDGFR</w:t>
      </w:r>
      <w:r w:rsidRPr="00307897">
        <w:rPr>
          <w:color w:val="000000"/>
          <w:szCs w:val="22"/>
          <w:lang w:val="hr-HR"/>
        </w:rPr>
        <w:sym w:font="Symbol" w:char="F061"/>
      </w:r>
      <w:r w:rsidRPr="00307897">
        <w:rPr>
          <w:color w:val="000000"/>
          <w:szCs w:val="22"/>
          <w:lang w:val="hr-HR"/>
        </w:rPr>
        <w:t xml:space="preserve"> </w:t>
      </w:r>
      <w:r w:rsidRPr="00307897">
        <w:rPr>
          <w:szCs w:val="22"/>
          <w:lang w:val="hr-HR"/>
        </w:rPr>
        <w:t>preraspodjelom</w:t>
      </w:r>
      <w:r w:rsidRPr="00A00164">
        <w:rPr>
          <w:color w:val="000000"/>
          <w:szCs w:val="22"/>
          <w:lang w:val="hr-HR"/>
        </w:rPr>
        <w:t>.</w:t>
      </w:r>
    </w:p>
    <w:p w14:paraId="4C0F5202" w14:textId="77777777" w:rsidR="003A274D" w:rsidRPr="000B51EB" w:rsidRDefault="003A274D" w:rsidP="003A274D">
      <w:pPr>
        <w:pStyle w:val="EndnoteText"/>
        <w:widowControl w:val="0"/>
        <w:tabs>
          <w:tab w:val="clear" w:pos="567"/>
        </w:tabs>
        <w:rPr>
          <w:snapToGrid w:val="0"/>
          <w:color w:val="000000"/>
          <w:szCs w:val="22"/>
          <w:lang w:val="hr-HR" w:eastAsia="de-DE"/>
        </w:rPr>
      </w:pPr>
    </w:p>
    <w:p w14:paraId="02C9FB36" w14:textId="4CC8A302" w:rsidR="003A274D" w:rsidRPr="00510442" w:rsidRDefault="003A274D" w:rsidP="003A274D">
      <w:pPr>
        <w:pStyle w:val="EndnoteText"/>
        <w:widowControl w:val="0"/>
        <w:tabs>
          <w:tab w:val="clear" w:pos="567"/>
        </w:tabs>
        <w:rPr>
          <w:color w:val="000000"/>
          <w:szCs w:val="22"/>
          <w:lang w:val="hr-HR"/>
        </w:rPr>
      </w:pPr>
      <w:r w:rsidRPr="00510442">
        <w:rPr>
          <w:szCs w:val="22"/>
          <w:lang w:val="hr-HR"/>
        </w:rPr>
        <w:t xml:space="preserve">Učinak </w:t>
      </w:r>
      <w:r w:rsidR="00A752CC" w:rsidRPr="00512481">
        <w:rPr>
          <w:szCs w:val="22"/>
          <w:lang w:val="hr-HR"/>
        </w:rPr>
        <w:t xml:space="preserve">lijeka </w:t>
      </w:r>
      <w:r w:rsidRPr="00510442">
        <w:rPr>
          <w:szCs w:val="22"/>
          <w:lang w:val="hr-HR"/>
        </w:rPr>
        <w:t>Glivec na ishod transplantacije koštane srži nije utvrđen</w:t>
      </w:r>
      <w:r w:rsidRPr="00510442">
        <w:rPr>
          <w:snapToGrid w:val="0"/>
          <w:color w:val="000000"/>
          <w:szCs w:val="22"/>
          <w:lang w:val="hr-HR" w:eastAsia="de-DE"/>
        </w:rPr>
        <w:t>.</w:t>
      </w:r>
    </w:p>
    <w:p w14:paraId="19B6E9FC" w14:textId="77777777" w:rsidR="003A274D" w:rsidRPr="00510442" w:rsidRDefault="003A274D" w:rsidP="003A274D">
      <w:pPr>
        <w:widowControl w:val="0"/>
        <w:tabs>
          <w:tab w:val="clear" w:pos="567"/>
        </w:tabs>
        <w:spacing w:line="240" w:lineRule="auto"/>
        <w:rPr>
          <w:color w:val="000000"/>
          <w:szCs w:val="22"/>
          <w:lang w:val="hr-HR"/>
        </w:rPr>
      </w:pPr>
    </w:p>
    <w:p w14:paraId="193B3833" w14:textId="77777777" w:rsidR="003A274D" w:rsidRPr="00510442" w:rsidRDefault="003A274D" w:rsidP="003179A4">
      <w:pPr>
        <w:keepNext/>
        <w:widowControl w:val="0"/>
        <w:tabs>
          <w:tab w:val="clear" w:pos="567"/>
        </w:tabs>
        <w:spacing w:line="240" w:lineRule="auto"/>
        <w:rPr>
          <w:color w:val="000000"/>
          <w:szCs w:val="22"/>
          <w:lang w:val="hr-HR"/>
        </w:rPr>
      </w:pPr>
      <w:r w:rsidRPr="00510442">
        <w:rPr>
          <w:szCs w:val="22"/>
          <w:lang w:val="hr-HR"/>
        </w:rPr>
        <w:lastRenderedPageBreak/>
        <w:t>Glivec je indiciran za</w:t>
      </w:r>
    </w:p>
    <w:p w14:paraId="0FE7CA3B" w14:textId="77777777" w:rsidR="003A274D" w:rsidRPr="00510442" w:rsidRDefault="003A274D" w:rsidP="003A274D">
      <w:pPr>
        <w:widowControl w:val="0"/>
        <w:numPr>
          <w:ilvl w:val="0"/>
          <w:numId w:val="11"/>
        </w:numPr>
        <w:tabs>
          <w:tab w:val="clear" w:pos="227"/>
          <w:tab w:val="clear" w:pos="567"/>
        </w:tabs>
        <w:spacing w:line="240" w:lineRule="auto"/>
        <w:ind w:left="567" w:hanging="567"/>
        <w:rPr>
          <w:color w:val="000000"/>
          <w:szCs w:val="22"/>
          <w:lang w:val="hr-HR"/>
        </w:rPr>
      </w:pPr>
      <w:r w:rsidRPr="00510442">
        <w:rPr>
          <w:szCs w:val="22"/>
          <w:lang w:val="hr-HR"/>
        </w:rPr>
        <w:t>liječenje odraslih bolesnika s Kit (CD 117) pozitivnim inoperabilnim i/ili metastazirajućim malignim gastrointestinalnim stromalnim tumorima (GIST)</w:t>
      </w:r>
      <w:r w:rsidRPr="00510442">
        <w:rPr>
          <w:color w:val="000000"/>
          <w:szCs w:val="22"/>
          <w:lang w:val="hr-HR"/>
        </w:rPr>
        <w:t>.</w:t>
      </w:r>
    </w:p>
    <w:p w14:paraId="4A45FAC5" w14:textId="77777777" w:rsidR="003A274D" w:rsidRPr="00510442" w:rsidRDefault="003A274D" w:rsidP="003A274D">
      <w:pPr>
        <w:numPr>
          <w:ilvl w:val="0"/>
          <w:numId w:val="11"/>
        </w:numPr>
        <w:tabs>
          <w:tab w:val="clear" w:pos="227"/>
          <w:tab w:val="num" w:pos="567"/>
        </w:tabs>
        <w:autoSpaceDE w:val="0"/>
        <w:autoSpaceDN w:val="0"/>
        <w:adjustRightInd w:val="0"/>
        <w:spacing w:line="240" w:lineRule="auto"/>
        <w:ind w:left="567" w:hanging="567"/>
        <w:rPr>
          <w:color w:val="000000"/>
          <w:szCs w:val="22"/>
          <w:lang w:val="hr-HR"/>
        </w:rPr>
      </w:pPr>
      <w:r w:rsidRPr="00510442">
        <w:rPr>
          <w:szCs w:val="22"/>
          <w:lang w:val="hr-HR"/>
        </w:rPr>
        <w:t xml:space="preserve">adjuvantno liječenje odraslih bolesnika s visokim rizikom od recidiva bolesti nakon resekcije </w:t>
      </w:r>
      <w:r w:rsidRPr="00510442">
        <w:rPr>
          <w:color w:val="000000"/>
          <w:szCs w:val="22"/>
          <w:lang w:val="hr-HR"/>
        </w:rPr>
        <w:t>Kit (CD117)-</w:t>
      </w:r>
      <w:r w:rsidRPr="00510442">
        <w:rPr>
          <w:szCs w:val="22"/>
          <w:lang w:val="hr-HR"/>
        </w:rPr>
        <w:t>pozitivnog GIST-a. Bolesnici s niskim ili vrlo niskim rizikom od recidiva ne bi trebali primati adjuvantno liječenje</w:t>
      </w:r>
      <w:r w:rsidRPr="00510442">
        <w:rPr>
          <w:color w:val="000000"/>
          <w:szCs w:val="22"/>
          <w:lang w:val="hr-HR"/>
        </w:rPr>
        <w:t>.</w:t>
      </w:r>
    </w:p>
    <w:p w14:paraId="79B24063" w14:textId="77777777" w:rsidR="003A274D" w:rsidRPr="00510442" w:rsidRDefault="003A274D" w:rsidP="003A274D">
      <w:pPr>
        <w:widowControl w:val="0"/>
        <w:numPr>
          <w:ilvl w:val="0"/>
          <w:numId w:val="10"/>
        </w:numPr>
        <w:tabs>
          <w:tab w:val="clear" w:pos="227"/>
          <w:tab w:val="clear" w:pos="567"/>
        </w:tabs>
        <w:spacing w:line="240" w:lineRule="auto"/>
        <w:ind w:left="567" w:hanging="567"/>
        <w:rPr>
          <w:color w:val="000000"/>
          <w:szCs w:val="22"/>
          <w:lang w:val="hr-HR"/>
        </w:rPr>
      </w:pPr>
      <w:r w:rsidRPr="00510442">
        <w:rPr>
          <w:szCs w:val="22"/>
          <w:lang w:val="hr-HR"/>
        </w:rPr>
        <w:t>liječenje odraslih bolesnika s inoperabilnim dermatofibrosarkomom protuberans (DFSP) i odraslih bolesnika s rekurentnim i/ili metastazirajućim DFSP-om koji nisu podobni za kirurški zahvat</w:t>
      </w:r>
      <w:r w:rsidRPr="00510442">
        <w:rPr>
          <w:color w:val="000000"/>
          <w:szCs w:val="22"/>
          <w:lang w:val="hr-HR"/>
        </w:rPr>
        <w:t>.</w:t>
      </w:r>
    </w:p>
    <w:p w14:paraId="465D1A96" w14:textId="77777777" w:rsidR="003A274D" w:rsidRPr="00510442" w:rsidRDefault="003A274D" w:rsidP="003A274D">
      <w:pPr>
        <w:widowControl w:val="0"/>
        <w:tabs>
          <w:tab w:val="clear" w:pos="567"/>
        </w:tabs>
        <w:spacing w:line="240" w:lineRule="auto"/>
        <w:rPr>
          <w:color w:val="000000"/>
          <w:szCs w:val="22"/>
          <w:lang w:val="hr-HR"/>
        </w:rPr>
      </w:pPr>
    </w:p>
    <w:p w14:paraId="7CD1D9CF" w14:textId="674A2DEB" w:rsidR="003A274D" w:rsidRPr="00510442" w:rsidRDefault="003A274D" w:rsidP="003A274D">
      <w:pPr>
        <w:pStyle w:val="Text"/>
        <w:widowControl w:val="0"/>
        <w:spacing w:before="0"/>
        <w:jc w:val="left"/>
        <w:rPr>
          <w:sz w:val="22"/>
          <w:szCs w:val="22"/>
          <w:lang w:val="hr-HR"/>
        </w:rPr>
      </w:pPr>
      <w:r w:rsidRPr="00510442">
        <w:rPr>
          <w:sz w:val="22"/>
          <w:szCs w:val="22"/>
          <w:lang w:val="hr-HR"/>
        </w:rPr>
        <w:t xml:space="preserve">Učinkovitost </w:t>
      </w:r>
      <w:r w:rsidR="00A752CC" w:rsidRPr="00512481">
        <w:rPr>
          <w:sz w:val="22"/>
          <w:szCs w:val="22"/>
          <w:lang w:val="hr-HR"/>
        </w:rPr>
        <w:t xml:space="preserve">lijeka </w:t>
      </w:r>
      <w:r w:rsidRPr="00510442">
        <w:rPr>
          <w:sz w:val="22"/>
          <w:szCs w:val="22"/>
          <w:lang w:val="hr-HR"/>
        </w:rPr>
        <w:t xml:space="preserve">Glivec u odraslih i pedijatrijskih bolesnika temelji se na ukupnim hematološkim i citogenetskim stopama odgovora i preživljenju bez napredovanja bolesti u bolesnika sa KML-om, na hematološkim i citogenetskim stopama odgovora u bolesnika s Ph+ </w:t>
      </w:r>
      <w:smartTag w:uri="urn:schemas-microsoft-com:office:smarttags" w:element="stockticker">
        <w:r w:rsidRPr="00510442">
          <w:rPr>
            <w:sz w:val="22"/>
            <w:szCs w:val="22"/>
            <w:lang w:val="hr-HR"/>
          </w:rPr>
          <w:t>ALL</w:t>
        </w:r>
      </w:smartTag>
      <w:r w:rsidRPr="00510442">
        <w:rPr>
          <w:sz w:val="22"/>
          <w:szCs w:val="22"/>
          <w:lang w:val="hr-HR"/>
        </w:rPr>
        <w:t xml:space="preserve">-om i </w:t>
      </w:r>
      <w:smartTag w:uri="urn:schemas-microsoft-com:office:smarttags" w:element="stockticker">
        <w:r w:rsidRPr="00510442">
          <w:rPr>
            <w:sz w:val="22"/>
            <w:szCs w:val="22"/>
            <w:lang w:val="hr-HR"/>
          </w:rPr>
          <w:t>MDS</w:t>
        </w:r>
      </w:smartTag>
      <w:r w:rsidRPr="00510442">
        <w:rPr>
          <w:sz w:val="22"/>
          <w:szCs w:val="22"/>
          <w:lang w:val="hr-HR"/>
        </w:rPr>
        <w:t xml:space="preserve">/MPD-om, na hematološkim stopama odgovora u bolesnika s HES/KEL-om, na objektivnim stopama odgovora u odraslih bolesnika s inoperabilnim i/ili metastazirajućim GIST-om i DFSP-om te na preživljenju bez recidiva bolesti kod adjuvantnog liječenja GIST-a. Iskustvo s </w:t>
      </w:r>
      <w:r w:rsidR="00B0477E">
        <w:rPr>
          <w:sz w:val="22"/>
          <w:szCs w:val="22"/>
          <w:lang w:val="hr-HR"/>
        </w:rPr>
        <w:t xml:space="preserve">lijekom </w:t>
      </w:r>
      <w:r w:rsidRPr="00510442">
        <w:rPr>
          <w:sz w:val="22"/>
          <w:szCs w:val="22"/>
          <w:lang w:val="hr-HR"/>
        </w:rPr>
        <w:t xml:space="preserve">Glivec u bolesnika s </w:t>
      </w:r>
      <w:smartTag w:uri="urn:schemas-microsoft-com:office:smarttags" w:element="stockticker">
        <w:r w:rsidRPr="00510442">
          <w:rPr>
            <w:sz w:val="22"/>
            <w:szCs w:val="22"/>
            <w:lang w:val="hr-HR"/>
          </w:rPr>
          <w:t>MDS</w:t>
        </w:r>
      </w:smartTag>
      <w:r w:rsidRPr="00510442">
        <w:rPr>
          <w:sz w:val="22"/>
          <w:szCs w:val="22"/>
          <w:lang w:val="hr-HR"/>
        </w:rPr>
        <w:t>/MPD</w:t>
      </w:r>
      <w:r w:rsidRPr="00510442">
        <w:rPr>
          <w:sz w:val="22"/>
          <w:szCs w:val="22"/>
          <w:lang w:val="hr-HR"/>
        </w:rPr>
        <w:noBreakHyphen/>
        <w:t>om povezanim s preraspodjelom gena za PDGFR je vrlo ograničeno (vidjeti dio 5.1). Osim za novodijagnosticirani KML u kroničnoj fazi, ne postoje kontrolirana ispitivanja koja bi demonstrirala kliničku korist ili povećano preživljenje za ove bolesti.</w:t>
      </w:r>
    </w:p>
    <w:p w14:paraId="199DDAEE" w14:textId="77777777" w:rsidR="003A274D" w:rsidRPr="00510442" w:rsidRDefault="003A274D" w:rsidP="003A274D">
      <w:pPr>
        <w:pStyle w:val="Text"/>
        <w:widowControl w:val="0"/>
        <w:spacing w:before="0"/>
        <w:jc w:val="left"/>
        <w:rPr>
          <w:color w:val="000000"/>
          <w:sz w:val="22"/>
          <w:szCs w:val="22"/>
          <w:lang w:val="hr-HR"/>
        </w:rPr>
      </w:pPr>
    </w:p>
    <w:p w14:paraId="57E49255" w14:textId="77777777" w:rsidR="003A274D" w:rsidRPr="00510442" w:rsidRDefault="003A274D" w:rsidP="003179A4">
      <w:pPr>
        <w:keepNext/>
        <w:tabs>
          <w:tab w:val="clear" w:pos="567"/>
        </w:tabs>
        <w:spacing w:line="240" w:lineRule="auto"/>
        <w:ind w:left="567" w:hanging="567"/>
        <w:outlineLvl w:val="0"/>
        <w:rPr>
          <w:b/>
          <w:szCs w:val="22"/>
          <w:lang w:val="hr-HR"/>
        </w:rPr>
      </w:pPr>
      <w:r w:rsidRPr="00510442">
        <w:rPr>
          <w:b/>
          <w:szCs w:val="22"/>
          <w:lang w:val="hr-HR"/>
        </w:rPr>
        <w:t>4.2</w:t>
      </w:r>
      <w:r w:rsidRPr="00510442">
        <w:rPr>
          <w:b/>
          <w:szCs w:val="22"/>
          <w:lang w:val="hr-HR"/>
        </w:rPr>
        <w:tab/>
        <w:t>Doziranje i način primjene</w:t>
      </w:r>
    </w:p>
    <w:p w14:paraId="76CEB7B8" w14:textId="77777777" w:rsidR="003A274D" w:rsidRPr="00510442" w:rsidRDefault="003A274D" w:rsidP="003179A4">
      <w:pPr>
        <w:pStyle w:val="EndnoteText"/>
        <w:keepNext/>
        <w:widowControl w:val="0"/>
        <w:tabs>
          <w:tab w:val="clear" w:pos="567"/>
        </w:tabs>
        <w:rPr>
          <w:color w:val="000000"/>
          <w:szCs w:val="22"/>
          <w:lang w:val="hr-HR"/>
        </w:rPr>
      </w:pPr>
    </w:p>
    <w:p w14:paraId="736AFCCF" w14:textId="77777777" w:rsidR="003A274D" w:rsidRPr="00510442" w:rsidRDefault="003A274D" w:rsidP="003A274D">
      <w:pPr>
        <w:pStyle w:val="EndnoteText"/>
        <w:widowControl w:val="0"/>
        <w:tabs>
          <w:tab w:val="clear" w:pos="567"/>
        </w:tabs>
        <w:rPr>
          <w:color w:val="000000"/>
          <w:szCs w:val="22"/>
          <w:lang w:val="hr-HR"/>
        </w:rPr>
      </w:pPr>
      <w:r w:rsidRPr="00510442">
        <w:rPr>
          <w:szCs w:val="22"/>
          <w:lang w:val="hr-HR"/>
        </w:rPr>
        <w:t>Terapiju treba započeti liječnik s iskustvom u liječenju bolesnika s hematološkim zloćudnim bolestima, odnosno malignim sarkomima</w:t>
      </w:r>
      <w:r w:rsidRPr="00510442">
        <w:rPr>
          <w:color w:val="000000"/>
          <w:szCs w:val="22"/>
          <w:lang w:val="hr-HR"/>
        </w:rPr>
        <w:t>.</w:t>
      </w:r>
    </w:p>
    <w:p w14:paraId="6A7191D9" w14:textId="77777777" w:rsidR="003A274D" w:rsidRPr="00510442" w:rsidRDefault="003A274D" w:rsidP="00DB1645">
      <w:pPr>
        <w:pStyle w:val="EndnoteText"/>
        <w:widowControl w:val="0"/>
        <w:tabs>
          <w:tab w:val="clear" w:pos="567"/>
        </w:tabs>
        <w:rPr>
          <w:color w:val="000000"/>
          <w:szCs w:val="22"/>
          <w:lang w:val="hr-HR"/>
        </w:rPr>
      </w:pPr>
    </w:p>
    <w:p w14:paraId="21F52D64" w14:textId="77777777" w:rsidR="00CA0C9D" w:rsidRPr="00510442" w:rsidRDefault="00CA0C9D" w:rsidP="00CA0C9D">
      <w:pPr>
        <w:pStyle w:val="EndnoteText"/>
        <w:widowControl w:val="0"/>
        <w:rPr>
          <w:color w:val="000000"/>
          <w:szCs w:val="22"/>
          <w:lang w:val="hr-HR"/>
        </w:rPr>
      </w:pPr>
      <w:r w:rsidRPr="00510442">
        <w:rPr>
          <w:szCs w:val="22"/>
          <w:lang w:val="hr-HR"/>
        </w:rPr>
        <w:t xml:space="preserve">Za doze, osim </w:t>
      </w:r>
      <w:r w:rsidRPr="00510442">
        <w:rPr>
          <w:color w:val="000000"/>
          <w:szCs w:val="22"/>
          <w:lang w:val="hr-HR"/>
        </w:rPr>
        <w:t>400 mg i 800 mg (</w:t>
      </w:r>
      <w:r w:rsidRPr="00510442">
        <w:rPr>
          <w:szCs w:val="22"/>
          <w:lang w:val="hr-HR"/>
        </w:rPr>
        <w:t>vidjeti niže navedenu preporuku doziranja</w:t>
      </w:r>
      <w:r w:rsidRPr="00510442">
        <w:rPr>
          <w:color w:val="000000"/>
          <w:szCs w:val="22"/>
          <w:lang w:val="hr-HR"/>
        </w:rPr>
        <w:t xml:space="preserve">) </w:t>
      </w:r>
      <w:r w:rsidR="000D6098" w:rsidRPr="00510442">
        <w:rPr>
          <w:szCs w:val="22"/>
          <w:lang w:val="hr-HR"/>
        </w:rPr>
        <w:t>dostupna je</w:t>
      </w:r>
      <w:r w:rsidRPr="00510442">
        <w:rPr>
          <w:szCs w:val="22"/>
          <w:lang w:val="hr-HR"/>
        </w:rPr>
        <w:t xml:space="preserve"> tableta od</w:t>
      </w:r>
      <w:r w:rsidRPr="00510442">
        <w:rPr>
          <w:color w:val="000000"/>
          <w:szCs w:val="22"/>
          <w:lang w:val="hr-HR"/>
        </w:rPr>
        <w:t xml:space="preserve"> 100 mg </w:t>
      </w:r>
      <w:r w:rsidRPr="00510442">
        <w:rPr>
          <w:szCs w:val="22"/>
          <w:lang w:val="hr-HR"/>
        </w:rPr>
        <w:t>koja se može prepoloviti</w:t>
      </w:r>
      <w:r w:rsidRPr="00510442">
        <w:rPr>
          <w:color w:val="000000"/>
          <w:szCs w:val="22"/>
          <w:lang w:val="hr-HR"/>
        </w:rPr>
        <w:t>.</w:t>
      </w:r>
      <w:r w:rsidR="000D6098" w:rsidRPr="00510442">
        <w:rPr>
          <w:color w:val="000000"/>
          <w:szCs w:val="22"/>
          <w:lang w:val="hr-HR"/>
        </w:rPr>
        <w:t xml:space="preserve"> </w:t>
      </w:r>
    </w:p>
    <w:p w14:paraId="55DB1CF5" w14:textId="77777777" w:rsidR="003A274D" w:rsidRPr="00510442" w:rsidRDefault="003A274D" w:rsidP="00DB1645">
      <w:pPr>
        <w:widowControl w:val="0"/>
        <w:tabs>
          <w:tab w:val="clear" w:pos="567"/>
        </w:tabs>
        <w:spacing w:line="240" w:lineRule="auto"/>
        <w:rPr>
          <w:color w:val="000000"/>
          <w:szCs w:val="22"/>
          <w:lang w:val="hr-HR"/>
        </w:rPr>
      </w:pPr>
      <w:r w:rsidRPr="00510442">
        <w:rPr>
          <w:szCs w:val="22"/>
          <w:lang w:val="hr-HR"/>
        </w:rPr>
        <w:t xml:space="preserve">Za doze od 400 mg i više </w:t>
      </w:r>
      <w:r w:rsidRPr="00510442">
        <w:rPr>
          <w:color w:val="000000"/>
          <w:szCs w:val="22"/>
          <w:lang w:val="hr-HR"/>
        </w:rPr>
        <w:t>(</w:t>
      </w:r>
      <w:r w:rsidRPr="00510442">
        <w:rPr>
          <w:szCs w:val="22"/>
          <w:lang w:val="hr-HR"/>
        </w:rPr>
        <w:t>vidjeti niže navedenu preporuku doziranja</w:t>
      </w:r>
      <w:r w:rsidRPr="00510442">
        <w:rPr>
          <w:color w:val="000000"/>
          <w:szCs w:val="22"/>
          <w:lang w:val="hr-HR"/>
        </w:rPr>
        <w:t xml:space="preserve">) </w:t>
      </w:r>
      <w:r w:rsidRPr="00510442">
        <w:rPr>
          <w:szCs w:val="22"/>
          <w:lang w:val="hr-HR"/>
        </w:rPr>
        <w:t>postoji tableta od</w:t>
      </w:r>
      <w:r w:rsidRPr="00510442">
        <w:rPr>
          <w:color w:val="000000"/>
          <w:szCs w:val="22"/>
          <w:lang w:val="hr-HR"/>
        </w:rPr>
        <w:t xml:space="preserve"> 400 mg </w:t>
      </w:r>
      <w:r w:rsidRPr="00510442">
        <w:rPr>
          <w:szCs w:val="22"/>
          <w:lang w:val="hr-HR"/>
        </w:rPr>
        <w:t>koja se ne može prepoloviti</w:t>
      </w:r>
      <w:r w:rsidRPr="00510442">
        <w:rPr>
          <w:color w:val="000000"/>
          <w:szCs w:val="22"/>
          <w:lang w:val="hr-HR"/>
        </w:rPr>
        <w:t>.</w:t>
      </w:r>
    </w:p>
    <w:p w14:paraId="51F2D5B8" w14:textId="77777777" w:rsidR="003A274D" w:rsidRPr="00510442" w:rsidRDefault="003A274D" w:rsidP="003A274D">
      <w:pPr>
        <w:pStyle w:val="EndnoteText"/>
        <w:widowControl w:val="0"/>
        <w:tabs>
          <w:tab w:val="clear" w:pos="567"/>
        </w:tabs>
        <w:rPr>
          <w:color w:val="000000"/>
          <w:szCs w:val="22"/>
          <w:lang w:val="hr-HR"/>
        </w:rPr>
      </w:pPr>
    </w:p>
    <w:p w14:paraId="6BFDD134" w14:textId="77777777" w:rsidR="003A274D" w:rsidRPr="00510442" w:rsidRDefault="003A274D" w:rsidP="00DB1645">
      <w:pPr>
        <w:pStyle w:val="EndnoteText"/>
        <w:widowControl w:val="0"/>
        <w:tabs>
          <w:tab w:val="clear" w:pos="567"/>
        </w:tabs>
        <w:rPr>
          <w:color w:val="000000"/>
          <w:szCs w:val="22"/>
          <w:lang w:val="hr-HR"/>
        </w:rPr>
      </w:pPr>
      <w:r w:rsidRPr="00510442">
        <w:rPr>
          <w:szCs w:val="22"/>
          <w:lang w:val="hr-HR"/>
        </w:rPr>
        <w:t>Preporučenu dozu treba primjenjivati peroralno, uz obrok i veliku čašu vode, da bi se rizik od gastrointestinalnih iritacija sveo na najmanju moguću mjeru. Doze od</w:t>
      </w:r>
      <w:r w:rsidRPr="00510442">
        <w:rPr>
          <w:color w:val="000000"/>
          <w:szCs w:val="22"/>
          <w:lang w:val="hr-HR"/>
        </w:rPr>
        <w:t xml:space="preserve"> 400 mg ili 600 mg </w:t>
      </w:r>
      <w:r w:rsidRPr="00510442">
        <w:rPr>
          <w:szCs w:val="22"/>
          <w:lang w:val="hr-HR"/>
        </w:rPr>
        <w:t xml:space="preserve">trebaju se primijeniti jednom na dan, dok se dnevna doza od </w:t>
      </w:r>
      <w:r w:rsidRPr="00510442">
        <w:rPr>
          <w:color w:val="000000"/>
          <w:szCs w:val="22"/>
          <w:lang w:val="hr-HR"/>
        </w:rPr>
        <w:t xml:space="preserve">800 mg </w:t>
      </w:r>
      <w:r w:rsidRPr="00510442">
        <w:rPr>
          <w:szCs w:val="22"/>
          <w:lang w:val="hr-HR"/>
        </w:rPr>
        <w:t xml:space="preserve">treba primijeniti kao </w:t>
      </w:r>
      <w:r w:rsidRPr="00510442">
        <w:rPr>
          <w:color w:val="000000"/>
          <w:szCs w:val="22"/>
          <w:lang w:val="hr-HR"/>
        </w:rPr>
        <w:t xml:space="preserve">400 mg </w:t>
      </w:r>
      <w:r w:rsidRPr="00510442">
        <w:rPr>
          <w:szCs w:val="22"/>
          <w:lang w:val="hr-HR"/>
        </w:rPr>
        <w:t>dvaput na dan, ujutro i navečer</w:t>
      </w:r>
      <w:r w:rsidRPr="00510442">
        <w:rPr>
          <w:color w:val="000000"/>
          <w:szCs w:val="22"/>
          <w:lang w:val="hr-HR"/>
        </w:rPr>
        <w:t>.</w:t>
      </w:r>
    </w:p>
    <w:p w14:paraId="034F9E2C" w14:textId="77777777" w:rsidR="003A274D" w:rsidRPr="00510442" w:rsidRDefault="003A274D" w:rsidP="00DB1645">
      <w:pPr>
        <w:pStyle w:val="EndnoteText"/>
        <w:widowControl w:val="0"/>
        <w:tabs>
          <w:tab w:val="clear" w:pos="567"/>
        </w:tabs>
        <w:rPr>
          <w:color w:val="000000"/>
          <w:szCs w:val="22"/>
          <w:lang w:val="hr-HR"/>
        </w:rPr>
      </w:pPr>
    </w:p>
    <w:p w14:paraId="2073AF37" w14:textId="77777777" w:rsidR="003A274D" w:rsidRPr="00510442" w:rsidRDefault="003A274D" w:rsidP="00DB1645">
      <w:pPr>
        <w:widowControl w:val="0"/>
        <w:tabs>
          <w:tab w:val="clear" w:pos="567"/>
        </w:tabs>
        <w:spacing w:line="240" w:lineRule="auto"/>
        <w:rPr>
          <w:color w:val="000000"/>
          <w:szCs w:val="22"/>
          <w:lang w:val="hr-HR"/>
        </w:rPr>
      </w:pPr>
      <w:r w:rsidRPr="00510442">
        <w:rPr>
          <w:szCs w:val="22"/>
          <w:lang w:val="hr-HR"/>
        </w:rPr>
        <w:t xml:space="preserve">Bolesnicima koji ne mogu progutati filmom obložene tablete, tablete se mogu dispergirati u čaši obične vode ili soka od jabuke. Potreban broj tableta treba staviti u odgovarajući volumen napitka </w:t>
      </w:r>
      <w:r w:rsidRPr="00510442">
        <w:rPr>
          <w:color w:val="000000"/>
          <w:szCs w:val="22"/>
          <w:lang w:val="hr-HR"/>
        </w:rPr>
        <w:t xml:space="preserve">(oko 50 ml za tabletu od 100 mg te 200 ml za tabletu od 400 mg) </w:t>
      </w:r>
      <w:r w:rsidRPr="00510442">
        <w:rPr>
          <w:szCs w:val="22"/>
          <w:lang w:val="hr-HR"/>
        </w:rPr>
        <w:t>i promiješati žlicom</w:t>
      </w:r>
      <w:r w:rsidRPr="00510442">
        <w:rPr>
          <w:color w:val="000000"/>
          <w:szCs w:val="22"/>
          <w:lang w:val="hr-HR"/>
        </w:rPr>
        <w:t xml:space="preserve">. </w:t>
      </w:r>
      <w:r w:rsidRPr="00510442">
        <w:rPr>
          <w:szCs w:val="22"/>
          <w:lang w:val="hr-HR"/>
        </w:rPr>
        <w:t>Suspenzija se mora primijeniti odmah nakon potpunog raspada tablete(a)</w:t>
      </w:r>
      <w:r w:rsidRPr="00510442">
        <w:rPr>
          <w:color w:val="000000"/>
          <w:szCs w:val="22"/>
          <w:lang w:val="hr-HR"/>
        </w:rPr>
        <w:t>.</w:t>
      </w:r>
    </w:p>
    <w:p w14:paraId="1115916D" w14:textId="77777777" w:rsidR="003A274D" w:rsidRPr="00510442" w:rsidRDefault="003A274D" w:rsidP="003A274D">
      <w:pPr>
        <w:pStyle w:val="BodyText"/>
        <w:widowControl w:val="0"/>
        <w:spacing w:line="240" w:lineRule="auto"/>
        <w:rPr>
          <w:b w:val="0"/>
          <w:i w:val="0"/>
          <w:color w:val="000000"/>
          <w:szCs w:val="22"/>
          <w:lang w:val="hr-HR"/>
        </w:rPr>
      </w:pPr>
    </w:p>
    <w:p w14:paraId="0378AECF" w14:textId="77777777" w:rsidR="003A274D" w:rsidRPr="00510442" w:rsidRDefault="003A274D" w:rsidP="003179A4">
      <w:pPr>
        <w:pStyle w:val="BodyText"/>
        <w:keepNext/>
        <w:widowControl w:val="0"/>
        <w:spacing w:line="240" w:lineRule="auto"/>
        <w:rPr>
          <w:b w:val="0"/>
          <w:i w:val="0"/>
          <w:color w:val="000000"/>
          <w:szCs w:val="22"/>
          <w:u w:val="single"/>
          <w:lang w:val="hr-HR"/>
        </w:rPr>
      </w:pPr>
      <w:r w:rsidRPr="00510442">
        <w:rPr>
          <w:b w:val="0"/>
          <w:i w:val="0"/>
          <w:color w:val="000000"/>
          <w:szCs w:val="22"/>
          <w:u w:val="single"/>
          <w:lang w:val="hr-HR"/>
        </w:rPr>
        <w:t>Doziranje za KML u odraslih bolesnika</w:t>
      </w:r>
    </w:p>
    <w:p w14:paraId="47D6F51E" w14:textId="23D0797F" w:rsidR="003A274D" w:rsidRPr="00510442" w:rsidRDefault="003A274D" w:rsidP="003A274D">
      <w:pPr>
        <w:pStyle w:val="BodyText"/>
        <w:widowControl w:val="0"/>
        <w:spacing w:line="240" w:lineRule="auto"/>
        <w:rPr>
          <w:b w:val="0"/>
          <w:i w:val="0"/>
          <w:snapToGrid w:val="0"/>
          <w:color w:val="000000"/>
          <w:szCs w:val="22"/>
          <w:lang w:val="hr-HR"/>
        </w:rPr>
      </w:pPr>
      <w:r w:rsidRPr="00510442">
        <w:rPr>
          <w:b w:val="0"/>
          <w:i w:val="0"/>
          <w:szCs w:val="22"/>
          <w:lang w:val="hr-HR"/>
        </w:rPr>
        <w:t xml:space="preserve">Za odrasle bolesnike u kroničnoj fazi KML-a preporučena doza </w:t>
      </w:r>
      <w:r w:rsidR="00A752CC" w:rsidRPr="00A752CC">
        <w:rPr>
          <w:b w:val="0"/>
          <w:i w:val="0"/>
          <w:szCs w:val="22"/>
          <w:lang w:val="hr-HR"/>
        </w:rPr>
        <w:t xml:space="preserve">lijeka </w:t>
      </w:r>
      <w:r w:rsidRPr="00510442">
        <w:rPr>
          <w:b w:val="0"/>
          <w:i w:val="0"/>
          <w:szCs w:val="22"/>
          <w:lang w:val="hr-HR"/>
        </w:rPr>
        <w:t xml:space="preserve">Glivec iznosi </w:t>
      </w:r>
      <w:r w:rsidRPr="00510442">
        <w:rPr>
          <w:b w:val="0"/>
          <w:i w:val="0"/>
          <w:color w:val="000000"/>
          <w:szCs w:val="22"/>
          <w:lang w:val="hr-HR"/>
        </w:rPr>
        <w:t xml:space="preserve">400 mg/dan. </w:t>
      </w:r>
      <w:r w:rsidRPr="00510442">
        <w:rPr>
          <w:b w:val="0"/>
          <w:i w:val="0"/>
          <w:szCs w:val="22"/>
          <w:lang w:val="hr-HR"/>
        </w:rPr>
        <w:t>Kronična faza KML-a se definira kada su ispunjeni svi navedeni kriteriji: blasti</w:t>
      </w:r>
      <w:r w:rsidRPr="00510442">
        <w:rPr>
          <w:b w:val="0"/>
          <w:i w:val="0"/>
          <w:snapToGrid w:val="0"/>
          <w:color w:val="000000"/>
          <w:szCs w:val="22"/>
          <w:lang w:val="hr-HR"/>
        </w:rPr>
        <w:t xml:space="preserve"> &lt;15% </w:t>
      </w:r>
      <w:r w:rsidRPr="00510442">
        <w:rPr>
          <w:b w:val="0"/>
          <w:i w:val="0"/>
          <w:szCs w:val="22"/>
          <w:lang w:val="hr-HR"/>
        </w:rPr>
        <w:t>u krvi i koštanoj srži, bazofili u perifernoj krvi</w:t>
      </w:r>
      <w:r w:rsidRPr="00510442">
        <w:rPr>
          <w:b w:val="0"/>
          <w:i w:val="0"/>
          <w:snapToGrid w:val="0"/>
          <w:color w:val="000000"/>
          <w:szCs w:val="22"/>
          <w:lang w:val="hr-HR"/>
        </w:rPr>
        <w:t xml:space="preserve"> &lt;20%, trombociti &gt;100 x 10</w:t>
      </w:r>
      <w:r w:rsidRPr="00510442">
        <w:rPr>
          <w:b w:val="0"/>
          <w:i w:val="0"/>
          <w:snapToGrid w:val="0"/>
          <w:color w:val="000000"/>
          <w:szCs w:val="22"/>
          <w:vertAlign w:val="superscript"/>
          <w:lang w:val="hr-HR"/>
        </w:rPr>
        <w:t>9</w:t>
      </w:r>
      <w:r w:rsidRPr="00510442">
        <w:rPr>
          <w:b w:val="0"/>
          <w:i w:val="0"/>
          <w:snapToGrid w:val="0"/>
          <w:color w:val="000000"/>
          <w:szCs w:val="22"/>
          <w:lang w:val="hr-HR"/>
        </w:rPr>
        <w:t>/l.</w:t>
      </w:r>
    </w:p>
    <w:p w14:paraId="1C866966" w14:textId="77777777" w:rsidR="003A274D" w:rsidRPr="00510442" w:rsidRDefault="003A274D" w:rsidP="003A274D">
      <w:pPr>
        <w:pStyle w:val="BodyText"/>
        <w:widowControl w:val="0"/>
        <w:spacing w:line="240" w:lineRule="auto"/>
        <w:rPr>
          <w:b w:val="0"/>
          <w:i w:val="0"/>
          <w:color w:val="000000"/>
          <w:szCs w:val="22"/>
          <w:lang w:val="hr-HR"/>
        </w:rPr>
      </w:pPr>
    </w:p>
    <w:p w14:paraId="6B863E4D" w14:textId="0FD1D0E9" w:rsidR="003A274D" w:rsidRPr="000B51EB" w:rsidRDefault="003A274D" w:rsidP="003A274D">
      <w:pPr>
        <w:pStyle w:val="BodyText"/>
        <w:widowControl w:val="0"/>
        <w:spacing w:line="240" w:lineRule="auto"/>
        <w:rPr>
          <w:b w:val="0"/>
          <w:i w:val="0"/>
          <w:snapToGrid w:val="0"/>
          <w:color w:val="000000"/>
          <w:szCs w:val="22"/>
          <w:lang w:val="hr-HR"/>
        </w:rPr>
      </w:pPr>
      <w:r w:rsidRPr="00510442">
        <w:rPr>
          <w:b w:val="0"/>
          <w:i w:val="0"/>
          <w:szCs w:val="22"/>
          <w:lang w:val="hr-HR"/>
        </w:rPr>
        <w:t xml:space="preserve">Za odrasle bolesnike u ubrzanoj fazi preporučena doza </w:t>
      </w:r>
      <w:r w:rsidR="00A752CC" w:rsidRPr="00A752CC">
        <w:rPr>
          <w:b w:val="0"/>
          <w:i w:val="0"/>
          <w:szCs w:val="22"/>
          <w:lang w:val="hr-HR"/>
        </w:rPr>
        <w:t xml:space="preserve">lijeka </w:t>
      </w:r>
      <w:r w:rsidRPr="00510442">
        <w:rPr>
          <w:b w:val="0"/>
          <w:i w:val="0"/>
          <w:szCs w:val="22"/>
          <w:lang w:val="hr-HR"/>
        </w:rPr>
        <w:t xml:space="preserve">Glivec iznosi </w:t>
      </w:r>
      <w:r w:rsidRPr="00510442">
        <w:rPr>
          <w:b w:val="0"/>
          <w:i w:val="0"/>
          <w:color w:val="000000"/>
          <w:szCs w:val="22"/>
          <w:lang w:val="hr-HR"/>
        </w:rPr>
        <w:t xml:space="preserve">600 mg/dan. </w:t>
      </w:r>
      <w:r w:rsidRPr="00510442">
        <w:rPr>
          <w:b w:val="0"/>
          <w:i w:val="0"/>
          <w:szCs w:val="22"/>
          <w:lang w:val="hr-HR"/>
        </w:rPr>
        <w:t>Ubrzana faza se definira prisutnošću bilo kojeg od sljedećih kriterija: blasti</w:t>
      </w:r>
      <w:r w:rsidRPr="00510442">
        <w:rPr>
          <w:b w:val="0"/>
          <w:i w:val="0"/>
          <w:snapToGrid w:val="0"/>
          <w:color w:val="000000"/>
          <w:szCs w:val="22"/>
          <w:lang w:val="hr-HR"/>
        </w:rPr>
        <w:t xml:space="preserve"> </w:t>
      </w:r>
      <w:r w:rsidRPr="00307897">
        <w:rPr>
          <w:b w:val="0"/>
          <w:i w:val="0"/>
          <w:snapToGrid w:val="0"/>
          <w:color w:val="000000"/>
          <w:szCs w:val="22"/>
          <w:lang w:val="hr-HR"/>
        </w:rPr>
        <w:sym w:font="Symbol" w:char="F0B3"/>
      </w:r>
      <w:r w:rsidRPr="00307897">
        <w:rPr>
          <w:b w:val="0"/>
          <w:i w:val="0"/>
          <w:snapToGrid w:val="0"/>
          <w:color w:val="000000"/>
          <w:szCs w:val="22"/>
          <w:lang w:val="hr-HR"/>
        </w:rPr>
        <w:t xml:space="preserve">15% ali &lt;30% </w:t>
      </w:r>
      <w:r w:rsidRPr="00307897">
        <w:rPr>
          <w:b w:val="0"/>
          <w:i w:val="0"/>
          <w:szCs w:val="22"/>
          <w:lang w:val="hr-HR"/>
        </w:rPr>
        <w:t>u krvi ili koštanoj srži, blasti plus promijelociti</w:t>
      </w:r>
      <w:r w:rsidRPr="00A00164">
        <w:rPr>
          <w:b w:val="0"/>
          <w:i w:val="0"/>
          <w:snapToGrid w:val="0"/>
          <w:color w:val="000000"/>
          <w:szCs w:val="22"/>
          <w:lang w:val="hr-HR"/>
        </w:rPr>
        <w:t xml:space="preserve"> </w:t>
      </w:r>
      <w:r w:rsidRPr="00307897">
        <w:rPr>
          <w:b w:val="0"/>
          <w:i w:val="0"/>
          <w:snapToGrid w:val="0"/>
          <w:color w:val="000000"/>
          <w:szCs w:val="22"/>
          <w:lang w:val="hr-HR"/>
        </w:rPr>
        <w:sym w:font="Symbol" w:char="F0B3"/>
      </w:r>
      <w:r w:rsidRPr="00307897">
        <w:rPr>
          <w:b w:val="0"/>
          <w:i w:val="0"/>
          <w:snapToGrid w:val="0"/>
          <w:color w:val="000000"/>
          <w:szCs w:val="22"/>
          <w:lang w:val="hr-HR"/>
        </w:rPr>
        <w:t xml:space="preserve">30% </w:t>
      </w:r>
      <w:r w:rsidRPr="00A00164">
        <w:rPr>
          <w:b w:val="0"/>
          <w:i w:val="0"/>
          <w:szCs w:val="22"/>
          <w:lang w:val="hr-HR"/>
        </w:rPr>
        <w:t>u krvi ili koštanoj srži (što daje</w:t>
      </w:r>
      <w:r w:rsidRPr="00973BDD">
        <w:rPr>
          <w:b w:val="0"/>
          <w:i w:val="0"/>
          <w:snapToGrid w:val="0"/>
          <w:color w:val="000000"/>
          <w:szCs w:val="22"/>
          <w:lang w:val="hr-HR"/>
        </w:rPr>
        <w:t xml:space="preserve"> &lt;30% blasta), </w:t>
      </w:r>
      <w:r w:rsidRPr="000B51EB">
        <w:rPr>
          <w:b w:val="0"/>
          <w:i w:val="0"/>
          <w:szCs w:val="22"/>
          <w:lang w:val="hr-HR"/>
        </w:rPr>
        <w:t>bazofili u perifernoj krvi</w:t>
      </w:r>
      <w:r w:rsidRPr="00510442">
        <w:rPr>
          <w:b w:val="0"/>
          <w:i w:val="0"/>
          <w:snapToGrid w:val="0"/>
          <w:color w:val="000000"/>
          <w:szCs w:val="22"/>
          <w:lang w:val="hr-HR"/>
        </w:rPr>
        <w:t xml:space="preserve"> </w:t>
      </w:r>
      <w:r w:rsidRPr="00307897">
        <w:rPr>
          <w:b w:val="0"/>
          <w:i w:val="0"/>
          <w:snapToGrid w:val="0"/>
          <w:color w:val="000000"/>
          <w:szCs w:val="22"/>
          <w:lang w:val="hr-HR"/>
        </w:rPr>
        <w:sym w:font="Symbol" w:char="F0B3"/>
      </w:r>
      <w:r w:rsidRPr="00307897">
        <w:rPr>
          <w:b w:val="0"/>
          <w:i w:val="0"/>
          <w:snapToGrid w:val="0"/>
          <w:color w:val="000000"/>
          <w:szCs w:val="22"/>
          <w:lang w:val="hr-HR"/>
        </w:rPr>
        <w:t>20%, trombociti &lt;100 x 10</w:t>
      </w:r>
      <w:r w:rsidRPr="00307897">
        <w:rPr>
          <w:b w:val="0"/>
          <w:i w:val="0"/>
          <w:snapToGrid w:val="0"/>
          <w:color w:val="000000"/>
          <w:szCs w:val="22"/>
          <w:vertAlign w:val="superscript"/>
          <w:lang w:val="hr-HR"/>
        </w:rPr>
        <w:t>9</w:t>
      </w:r>
      <w:r w:rsidRPr="00A00164">
        <w:rPr>
          <w:b w:val="0"/>
          <w:i w:val="0"/>
          <w:snapToGrid w:val="0"/>
          <w:color w:val="000000"/>
          <w:szCs w:val="22"/>
          <w:lang w:val="hr-HR"/>
        </w:rPr>
        <w:t xml:space="preserve">/l </w:t>
      </w:r>
      <w:r w:rsidRPr="00973BDD">
        <w:rPr>
          <w:b w:val="0"/>
          <w:i w:val="0"/>
          <w:szCs w:val="22"/>
          <w:lang w:val="hr-HR"/>
        </w:rPr>
        <w:t>nevezano uz terapiju</w:t>
      </w:r>
      <w:r w:rsidRPr="000B51EB">
        <w:rPr>
          <w:b w:val="0"/>
          <w:i w:val="0"/>
          <w:snapToGrid w:val="0"/>
          <w:color w:val="000000"/>
          <w:szCs w:val="22"/>
          <w:lang w:val="hr-HR"/>
        </w:rPr>
        <w:t>.</w:t>
      </w:r>
    </w:p>
    <w:p w14:paraId="1810FE6B" w14:textId="77777777" w:rsidR="003A274D" w:rsidRPr="00510442" w:rsidRDefault="003A274D" w:rsidP="003A274D">
      <w:pPr>
        <w:pStyle w:val="BodyText"/>
        <w:widowControl w:val="0"/>
        <w:spacing w:line="240" w:lineRule="auto"/>
        <w:rPr>
          <w:b w:val="0"/>
          <w:i w:val="0"/>
          <w:color w:val="000000"/>
          <w:szCs w:val="22"/>
          <w:lang w:val="hr-HR"/>
        </w:rPr>
      </w:pPr>
    </w:p>
    <w:p w14:paraId="5EFD1ED1" w14:textId="7F4830F7" w:rsidR="003A274D" w:rsidRPr="000B51EB" w:rsidRDefault="003A274D" w:rsidP="003A274D">
      <w:pPr>
        <w:pStyle w:val="BodyText"/>
        <w:widowControl w:val="0"/>
        <w:spacing w:line="240" w:lineRule="auto"/>
        <w:rPr>
          <w:b w:val="0"/>
          <w:i w:val="0"/>
          <w:color w:val="000000"/>
          <w:szCs w:val="22"/>
          <w:lang w:val="hr-HR"/>
        </w:rPr>
      </w:pPr>
      <w:r w:rsidRPr="00510442">
        <w:rPr>
          <w:b w:val="0"/>
          <w:i w:val="0"/>
          <w:szCs w:val="22"/>
          <w:lang w:val="hr-HR"/>
        </w:rPr>
        <w:t xml:space="preserve">Za odrasle bolesnike u blastičnoj krizi preporučena doza </w:t>
      </w:r>
      <w:r w:rsidR="00A752CC" w:rsidRPr="00A752CC">
        <w:rPr>
          <w:b w:val="0"/>
          <w:i w:val="0"/>
          <w:szCs w:val="22"/>
          <w:lang w:val="hr-HR"/>
        </w:rPr>
        <w:t xml:space="preserve">lijeka </w:t>
      </w:r>
      <w:r w:rsidRPr="00510442">
        <w:rPr>
          <w:b w:val="0"/>
          <w:i w:val="0"/>
          <w:szCs w:val="22"/>
          <w:lang w:val="hr-HR"/>
        </w:rPr>
        <w:t xml:space="preserve">Glivec iznosi </w:t>
      </w:r>
      <w:r w:rsidRPr="00510442">
        <w:rPr>
          <w:b w:val="0"/>
          <w:i w:val="0"/>
          <w:color w:val="000000"/>
          <w:szCs w:val="22"/>
          <w:lang w:val="hr-HR"/>
        </w:rPr>
        <w:t xml:space="preserve">600 mg/dan. </w:t>
      </w:r>
      <w:r w:rsidRPr="00510442">
        <w:rPr>
          <w:b w:val="0"/>
          <w:i w:val="0"/>
          <w:szCs w:val="22"/>
          <w:lang w:val="hr-HR"/>
        </w:rPr>
        <w:t>Blastična se kriza definira kao blasti</w:t>
      </w:r>
      <w:r w:rsidRPr="00510442">
        <w:rPr>
          <w:b w:val="0"/>
          <w:i w:val="0"/>
          <w:snapToGrid w:val="0"/>
          <w:color w:val="000000"/>
          <w:szCs w:val="22"/>
          <w:lang w:val="hr-HR"/>
        </w:rPr>
        <w:t xml:space="preserve"> </w:t>
      </w:r>
      <w:r w:rsidRPr="00307897">
        <w:rPr>
          <w:b w:val="0"/>
          <w:i w:val="0"/>
          <w:snapToGrid w:val="0"/>
          <w:color w:val="000000"/>
          <w:szCs w:val="22"/>
          <w:lang w:val="hr-HR"/>
        </w:rPr>
        <w:sym w:font="Symbol" w:char="F0B3"/>
      </w:r>
      <w:r w:rsidRPr="00307897">
        <w:rPr>
          <w:b w:val="0"/>
          <w:i w:val="0"/>
          <w:snapToGrid w:val="0"/>
          <w:color w:val="000000"/>
          <w:szCs w:val="22"/>
          <w:lang w:val="hr-HR"/>
        </w:rPr>
        <w:t xml:space="preserve">30% </w:t>
      </w:r>
      <w:r w:rsidRPr="00A00164">
        <w:rPr>
          <w:b w:val="0"/>
          <w:i w:val="0"/>
          <w:szCs w:val="22"/>
          <w:lang w:val="hr-HR"/>
        </w:rPr>
        <w:t>u krvi ili koštanoj srži ili postojanje ekstramedularne bolesti osim hepatosplenomegalije</w:t>
      </w:r>
      <w:r w:rsidRPr="00973BDD">
        <w:rPr>
          <w:b w:val="0"/>
          <w:i w:val="0"/>
          <w:snapToGrid w:val="0"/>
          <w:color w:val="000000"/>
          <w:szCs w:val="22"/>
          <w:lang w:val="hr-HR"/>
        </w:rPr>
        <w:t>.</w:t>
      </w:r>
    </w:p>
    <w:p w14:paraId="2F9430DD" w14:textId="77777777" w:rsidR="003A274D" w:rsidRPr="00510442" w:rsidRDefault="003A274D" w:rsidP="003A274D">
      <w:pPr>
        <w:pStyle w:val="EndnoteText"/>
        <w:widowControl w:val="0"/>
        <w:tabs>
          <w:tab w:val="clear" w:pos="567"/>
        </w:tabs>
        <w:rPr>
          <w:color w:val="000000"/>
          <w:szCs w:val="22"/>
          <w:lang w:val="hr-HR"/>
        </w:rPr>
      </w:pPr>
    </w:p>
    <w:p w14:paraId="63234834" w14:textId="0F8B6806" w:rsidR="003A274D" w:rsidRPr="00510442" w:rsidRDefault="003A274D" w:rsidP="003A274D">
      <w:pPr>
        <w:pStyle w:val="EndnoteText"/>
        <w:widowControl w:val="0"/>
        <w:tabs>
          <w:tab w:val="clear" w:pos="567"/>
        </w:tabs>
        <w:rPr>
          <w:color w:val="000000"/>
          <w:szCs w:val="22"/>
          <w:lang w:val="hr-HR"/>
        </w:rPr>
      </w:pPr>
      <w:r w:rsidRPr="00510442">
        <w:rPr>
          <w:szCs w:val="22"/>
          <w:lang w:val="hr-HR"/>
        </w:rPr>
        <w:t>Trajanje liječenja</w:t>
      </w:r>
      <w:r w:rsidRPr="00510442">
        <w:rPr>
          <w:color w:val="000000"/>
          <w:szCs w:val="22"/>
          <w:lang w:val="hr-HR"/>
        </w:rPr>
        <w:t xml:space="preserve">: </w:t>
      </w:r>
      <w:r w:rsidRPr="00510442">
        <w:rPr>
          <w:szCs w:val="22"/>
          <w:lang w:val="hr-HR"/>
        </w:rPr>
        <w:t xml:space="preserve">u kliničkim ispitivanjima se liječenje </w:t>
      </w:r>
      <w:r w:rsidR="00B0477E">
        <w:rPr>
          <w:szCs w:val="22"/>
          <w:lang w:val="hr-HR"/>
        </w:rPr>
        <w:t xml:space="preserve">lijekom </w:t>
      </w:r>
      <w:r w:rsidRPr="00510442">
        <w:rPr>
          <w:szCs w:val="22"/>
          <w:lang w:val="hr-HR"/>
        </w:rPr>
        <w:t>Glivec nastavljalo sve do progresije bolesti. Učinak prekida liječenja nakon postizanja potpunog citogenetskog odgovora nije ispitivan</w:t>
      </w:r>
      <w:r w:rsidRPr="00510442">
        <w:rPr>
          <w:color w:val="000000"/>
          <w:szCs w:val="22"/>
          <w:lang w:val="hr-HR"/>
        </w:rPr>
        <w:t>.</w:t>
      </w:r>
    </w:p>
    <w:p w14:paraId="5B95DC63" w14:textId="77777777" w:rsidR="003A274D" w:rsidRPr="00510442" w:rsidRDefault="003A274D" w:rsidP="003A274D">
      <w:pPr>
        <w:pStyle w:val="EndnoteText"/>
        <w:widowControl w:val="0"/>
        <w:tabs>
          <w:tab w:val="clear" w:pos="567"/>
        </w:tabs>
        <w:rPr>
          <w:color w:val="000000"/>
          <w:szCs w:val="22"/>
          <w:lang w:val="hr-HR"/>
        </w:rPr>
      </w:pPr>
    </w:p>
    <w:p w14:paraId="1F34B894" w14:textId="77777777" w:rsidR="003A274D" w:rsidRPr="00510442" w:rsidRDefault="003A274D" w:rsidP="003A274D">
      <w:pPr>
        <w:pStyle w:val="EndnoteText"/>
        <w:widowControl w:val="0"/>
        <w:tabs>
          <w:tab w:val="clear" w:pos="567"/>
        </w:tabs>
        <w:rPr>
          <w:color w:val="000000"/>
          <w:szCs w:val="22"/>
          <w:lang w:val="hr-HR"/>
        </w:rPr>
      </w:pPr>
      <w:r w:rsidRPr="00510442">
        <w:rPr>
          <w:szCs w:val="22"/>
          <w:lang w:val="hr-HR"/>
        </w:rPr>
        <w:lastRenderedPageBreak/>
        <w:t xml:space="preserve">Povećanja doze od </w:t>
      </w:r>
      <w:r w:rsidRPr="00510442">
        <w:rPr>
          <w:color w:val="000000"/>
          <w:szCs w:val="22"/>
          <w:lang w:val="hr-HR"/>
        </w:rPr>
        <w:t xml:space="preserve">400 mg do 600 mg ili 800 mg </w:t>
      </w:r>
      <w:r w:rsidRPr="00510442">
        <w:rPr>
          <w:szCs w:val="22"/>
          <w:lang w:val="hr-HR"/>
        </w:rPr>
        <w:t xml:space="preserve">u bolesnika s kroničnom fazom bolesti, ili od </w:t>
      </w:r>
      <w:r w:rsidRPr="00510442">
        <w:rPr>
          <w:color w:val="000000"/>
          <w:szCs w:val="22"/>
          <w:lang w:val="hr-HR"/>
        </w:rPr>
        <w:t xml:space="preserve">600 mg </w:t>
      </w:r>
      <w:r w:rsidRPr="00510442">
        <w:rPr>
          <w:szCs w:val="22"/>
          <w:lang w:val="hr-HR"/>
        </w:rPr>
        <w:t xml:space="preserve">do maksimalno </w:t>
      </w:r>
      <w:r w:rsidRPr="00510442">
        <w:rPr>
          <w:color w:val="000000"/>
          <w:szCs w:val="22"/>
          <w:lang w:val="hr-HR"/>
        </w:rPr>
        <w:t>800 mg (</w:t>
      </w:r>
      <w:r w:rsidRPr="00510442">
        <w:rPr>
          <w:szCs w:val="22"/>
          <w:lang w:val="hr-HR"/>
        </w:rPr>
        <w:t xml:space="preserve">dano kao </w:t>
      </w:r>
      <w:r w:rsidRPr="00510442">
        <w:rPr>
          <w:color w:val="000000"/>
          <w:szCs w:val="22"/>
          <w:lang w:val="hr-HR"/>
        </w:rPr>
        <w:t xml:space="preserve">400 mg </w:t>
      </w:r>
      <w:r w:rsidRPr="00510442">
        <w:rPr>
          <w:szCs w:val="22"/>
          <w:lang w:val="hr-HR"/>
        </w:rPr>
        <w:t>dvaput na dan</w:t>
      </w:r>
      <w:r w:rsidRPr="00510442">
        <w:rPr>
          <w:color w:val="000000"/>
          <w:szCs w:val="22"/>
          <w:lang w:val="hr-HR"/>
        </w:rPr>
        <w:t xml:space="preserve">) </w:t>
      </w:r>
      <w:r w:rsidRPr="00510442">
        <w:rPr>
          <w:szCs w:val="22"/>
          <w:lang w:val="hr-HR"/>
        </w:rPr>
        <w:t>u bolesnika s ubrzanom fazom ili blastičnom krizom može se razmotriti u odsustvu teške nuspojave i teške neutropenije ili trombocitopenije nepovezanih s leukemijom u sljedećim situacijama: progresija bolesti (u bilo kojem trenutku)</w:t>
      </w:r>
      <w:r w:rsidRPr="00510442">
        <w:rPr>
          <w:color w:val="000000"/>
          <w:szCs w:val="22"/>
          <w:lang w:val="hr-HR"/>
        </w:rPr>
        <w:t xml:space="preserve">; </w:t>
      </w:r>
      <w:r w:rsidRPr="00510442">
        <w:rPr>
          <w:szCs w:val="22"/>
          <w:lang w:val="hr-HR"/>
        </w:rPr>
        <w:t xml:space="preserve">neuspjeh u postizanju zadovoljavajućeg hematološkog odgovora nakon liječenja u trajanju od najmanje </w:t>
      </w:r>
      <w:r w:rsidRPr="00510442">
        <w:rPr>
          <w:color w:val="000000"/>
          <w:szCs w:val="22"/>
          <w:lang w:val="hr-HR"/>
        </w:rPr>
        <w:t xml:space="preserve">3 mjeseca; </w:t>
      </w:r>
      <w:r w:rsidRPr="00510442">
        <w:rPr>
          <w:szCs w:val="22"/>
          <w:lang w:val="hr-HR"/>
        </w:rPr>
        <w:t xml:space="preserve">neuspjeh u postizanju citogenetskog odgovora nakon </w:t>
      </w:r>
      <w:r w:rsidRPr="00510442">
        <w:rPr>
          <w:color w:val="000000"/>
          <w:szCs w:val="22"/>
          <w:lang w:val="hr-HR"/>
        </w:rPr>
        <w:t xml:space="preserve">12 mjeseci liječenja; </w:t>
      </w:r>
      <w:r w:rsidRPr="00510442">
        <w:rPr>
          <w:szCs w:val="22"/>
          <w:lang w:val="hr-HR"/>
        </w:rPr>
        <w:t>ili gubitak ranije postignutoga hematološkog i/ili citogenetskog odgovora</w:t>
      </w:r>
      <w:r w:rsidRPr="00510442">
        <w:rPr>
          <w:color w:val="000000"/>
          <w:szCs w:val="22"/>
          <w:lang w:val="hr-HR"/>
        </w:rPr>
        <w:t xml:space="preserve">. </w:t>
      </w:r>
      <w:r w:rsidRPr="00510442">
        <w:rPr>
          <w:szCs w:val="22"/>
          <w:lang w:val="hr-HR"/>
        </w:rPr>
        <w:t>Nakon povećanja doze bolesnike treba pozorno pratiti, jer uz više doze postoji mogućnost za povećanu incidenciju nuspojava</w:t>
      </w:r>
      <w:r w:rsidRPr="00510442">
        <w:rPr>
          <w:color w:val="000000"/>
          <w:szCs w:val="22"/>
          <w:lang w:val="hr-HR"/>
        </w:rPr>
        <w:t>.</w:t>
      </w:r>
    </w:p>
    <w:p w14:paraId="4499CDD9" w14:textId="77777777" w:rsidR="003A274D" w:rsidRPr="00510442" w:rsidRDefault="003A274D" w:rsidP="003A274D">
      <w:pPr>
        <w:pStyle w:val="EndnoteText"/>
        <w:widowControl w:val="0"/>
        <w:tabs>
          <w:tab w:val="clear" w:pos="567"/>
        </w:tabs>
        <w:rPr>
          <w:color w:val="000000"/>
          <w:szCs w:val="22"/>
          <w:lang w:val="hr-HR"/>
        </w:rPr>
      </w:pPr>
    </w:p>
    <w:p w14:paraId="5B7ACDA1" w14:textId="77777777" w:rsidR="003A274D" w:rsidRPr="00510442" w:rsidRDefault="003A274D" w:rsidP="003179A4">
      <w:pPr>
        <w:pStyle w:val="EndnoteText"/>
        <w:keepNext/>
        <w:widowControl w:val="0"/>
        <w:tabs>
          <w:tab w:val="clear" w:pos="567"/>
        </w:tabs>
        <w:rPr>
          <w:color w:val="000000"/>
          <w:szCs w:val="22"/>
          <w:lang w:val="hr-HR"/>
        </w:rPr>
      </w:pPr>
      <w:r w:rsidRPr="00510442">
        <w:rPr>
          <w:szCs w:val="22"/>
          <w:u w:val="single"/>
          <w:lang w:val="hr-HR"/>
        </w:rPr>
        <w:t>Doziranje za KML u djece</w:t>
      </w:r>
    </w:p>
    <w:p w14:paraId="112F847D" w14:textId="77777777" w:rsidR="003A274D" w:rsidRPr="00510442" w:rsidRDefault="003A274D" w:rsidP="003A274D">
      <w:pPr>
        <w:pStyle w:val="EndnoteText"/>
        <w:widowControl w:val="0"/>
        <w:tabs>
          <w:tab w:val="clear" w:pos="567"/>
        </w:tabs>
        <w:rPr>
          <w:color w:val="000000"/>
          <w:szCs w:val="22"/>
          <w:lang w:val="hr-HR"/>
        </w:rPr>
      </w:pPr>
      <w:r w:rsidRPr="00510442">
        <w:rPr>
          <w:szCs w:val="22"/>
          <w:lang w:val="hr-HR"/>
        </w:rPr>
        <w:t xml:space="preserve">U djece se doziranje treba temeljiti na veličini površine tijela </w:t>
      </w:r>
      <w:r w:rsidRPr="00510442">
        <w:rPr>
          <w:color w:val="000000"/>
          <w:szCs w:val="22"/>
          <w:lang w:val="hr-HR"/>
        </w:rPr>
        <w:t>(mg/m</w:t>
      </w:r>
      <w:r w:rsidRPr="00510442">
        <w:rPr>
          <w:color w:val="000000"/>
          <w:szCs w:val="22"/>
          <w:vertAlign w:val="superscript"/>
          <w:lang w:val="hr-HR"/>
        </w:rPr>
        <w:t>2</w:t>
      </w:r>
      <w:r w:rsidRPr="00510442">
        <w:rPr>
          <w:color w:val="000000"/>
          <w:szCs w:val="22"/>
          <w:lang w:val="hr-HR"/>
        </w:rPr>
        <w:t xml:space="preserve">). </w:t>
      </w:r>
      <w:r w:rsidRPr="00510442">
        <w:rPr>
          <w:szCs w:val="22"/>
          <w:lang w:val="hr-HR"/>
        </w:rPr>
        <w:t xml:space="preserve">Doza od </w:t>
      </w:r>
      <w:r w:rsidRPr="00510442">
        <w:rPr>
          <w:color w:val="000000"/>
          <w:szCs w:val="22"/>
          <w:lang w:val="hr-HR"/>
        </w:rPr>
        <w:t>340 mg/m</w:t>
      </w:r>
      <w:r w:rsidRPr="00510442">
        <w:rPr>
          <w:color w:val="000000"/>
          <w:szCs w:val="22"/>
          <w:vertAlign w:val="superscript"/>
          <w:lang w:val="hr-HR"/>
        </w:rPr>
        <w:t>2</w:t>
      </w:r>
      <w:r w:rsidRPr="00510442">
        <w:rPr>
          <w:color w:val="000000"/>
          <w:szCs w:val="22"/>
          <w:lang w:val="hr-HR"/>
        </w:rPr>
        <w:t xml:space="preserve"> </w:t>
      </w:r>
      <w:r w:rsidRPr="00510442">
        <w:rPr>
          <w:szCs w:val="22"/>
          <w:lang w:val="hr-HR"/>
        </w:rPr>
        <w:t>na dan preporučuju se za djecu s kroničnom fazom KML-a i s uznapredovalom fazom KML-a (ne smije se prekoračiti ukupna doza od</w:t>
      </w:r>
      <w:r w:rsidRPr="00510442">
        <w:rPr>
          <w:color w:val="000000"/>
          <w:szCs w:val="22"/>
          <w:lang w:val="hr-HR"/>
        </w:rPr>
        <w:t xml:space="preserve"> 800 mg). </w:t>
      </w:r>
      <w:r w:rsidRPr="00510442">
        <w:rPr>
          <w:szCs w:val="22"/>
          <w:lang w:val="hr-HR"/>
        </w:rPr>
        <w:t xml:space="preserve">Terapija se može primjenjivati kao doza koja se daje jednom na dan, ili se dnevna doza može podijeliti u dvije primjene – jedna ujutro, a jedna navečer. Postojeća preporuka doziranja temeljena je na malenom broju pedijatrijskih bolesnika (vidjeti dijelove </w:t>
      </w:r>
      <w:r w:rsidRPr="00510442">
        <w:rPr>
          <w:color w:val="000000"/>
          <w:szCs w:val="22"/>
          <w:lang w:val="hr-HR"/>
        </w:rPr>
        <w:t xml:space="preserve">5.1 i 5.2). </w:t>
      </w:r>
      <w:r w:rsidRPr="00510442">
        <w:rPr>
          <w:szCs w:val="22"/>
          <w:lang w:val="hr-HR"/>
        </w:rPr>
        <w:t xml:space="preserve">Ne postoji iskustvo s liječenjem djece mlađe od </w:t>
      </w:r>
      <w:r w:rsidRPr="00510442">
        <w:rPr>
          <w:color w:val="000000"/>
          <w:szCs w:val="22"/>
          <w:lang w:val="hr-HR"/>
        </w:rPr>
        <w:t>2 godine.</w:t>
      </w:r>
    </w:p>
    <w:p w14:paraId="66FA7192" w14:textId="77777777" w:rsidR="003A274D" w:rsidRPr="00510442" w:rsidRDefault="003A274D" w:rsidP="003A274D">
      <w:pPr>
        <w:pStyle w:val="EndnoteText"/>
        <w:widowControl w:val="0"/>
        <w:tabs>
          <w:tab w:val="clear" w:pos="567"/>
        </w:tabs>
        <w:rPr>
          <w:color w:val="000000"/>
          <w:szCs w:val="22"/>
          <w:lang w:val="hr-HR"/>
        </w:rPr>
      </w:pPr>
    </w:p>
    <w:p w14:paraId="30E3D6CA" w14:textId="77777777" w:rsidR="003A274D" w:rsidRPr="00510442" w:rsidRDefault="003A274D" w:rsidP="003A274D">
      <w:pPr>
        <w:pStyle w:val="EndnoteText"/>
        <w:widowControl w:val="0"/>
        <w:tabs>
          <w:tab w:val="clear" w:pos="567"/>
        </w:tabs>
        <w:rPr>
          <w:color w:val="000000"/>
          <w:szCs w:val="22"/>
          <w:lang w:val="hr-HR"/>
        </w:rPr>
      </w:pPr>
      <w:r w:rsidRPr="00510442">
        <w:rPr>
          <w:szCs w:val="22"/>
          <w:lang w:val="hr-HR"/>
        </w:rPr>
        <w:t xml:space="preserve">U djece se mogu razmotriti povećanja doze od </w:t>
      </w:r>
      <w:r w:rsidRPr="00510442">
        <w:rPr>
          <w:color w:val="000000"/>
          <w:szCs w:val="22"/>
          <w:lang w:val="hr-HR"/>
        </w:rPr>
        <w:t>340 mg/m</w:t>
      </w:r>
      <w:r w:rsidRPr="00510442">
        <w:rPr>
          <w:color w:val="000000"/>
          <w:szCs w:val="22"/>
          <w:vertAlign w:val="superscript"/>
          <w:lang w:val="hr-HR"/>
        </w:rPr>
        <w:t>2</w:t>
      </w:r>
      <w:r w:rsidRPr="00510442">
        <w:rPr>
          <w:color w:val="000000"/>
          <w:szCs w:val="22"/>
          <w:lang w:val="hr-HR"/>
        </w:rPr>
        <w:t xml:space="preserve"> </w:t>
      </w:r>
      <w:r w:rsidRPr="00510442">
        <w:rPr>
          <w:szCs w:val="22"/>
          <w:lang w:val="hr-HR"/>
        </w:rPr>
        <w:t xml:space="preserve">na dan do </w:t>
      </w:r>
      <w:r w:rsidRPr="00510442">
        <w:rPr>
          <w:color w:val="000000"/>
          <w:szCs w:val="22"/>
          <w:lang w:val="hr-HR"/>
        </w:rPr>
        <w:t>570 mg/m</w:t>
      </w:r>
      <w:r w:rsidRPr="00510442">
        <w:rPr>
          <w:color w:val="000000"/>
          <w:szCs w:val="22"/>
          <w:vertAlign w:val="superscript"/>
          <w:lang w:val="hr-HR"/>
        </w:rPr>
        <w:t>2</w:t>
      </w:r>
      <w:r w:rsidRPr="00510442">
        <w:rPr>
          <w:color w:val="000000"/>
          <w:szCs w:val="22"/>
          <w:lang w:val="hr-HR"/>
        </w:rPr>
        <w:t xml:space="preserve"> </w:t>
      </w:r>
      <w:r w:rsidRPr="00510442">
        <w:rPr>
          <w:szCs w:val="22"/>
          <w:lang w:val="hr-HR"/>
        </w:rPr>
        <w:t>na dan (ne smije se prekoračiti ukupna doza od</w:t>
      </w:r>
      <w:r w:rsidRPr="00510442">
        <w:rPr>
          <w:color w:val="000000"/>
          <w:szCs w:val="22"/>
          <w:lang w:val="hr-HR"/>
        </w:rPr>
        <w:t xml:space="preserve"> 800 mg) </w:t>
      </w:r>
      <w:r w:rsidRPr="00510442">
        <w:rPr>
          <w:szCs w:val="22"/>
          <w:lang w:val="hr-HR"/>
        </w:rPr>
        <w:t>u odsustvu teške nuspojave i teške neutropenije ili trombocitopenije nepovezanih s leukemijom u sljedećim situacijama: progresija bolesti (u bilo kojem trenutku)</w:t>
      </w:r>
      <w:r w:rsidRPr="00510442">
        <w:rPr>
          <w:color w:val="000000"/>
          <w:szCs w:val="22"/>
          <w:lang w:val="hr-HR"/>
        </w:rPr>
        <w:t xml:space="preserve">; </w:t>
      </w:r>
      <w:r w:rsidRPr="00510442">
        <w:rPr>
          <w:szCs w:val="22"/>
          <w:lang w:val="hr-HR"/>
        </w:rPr>
        <w:t xml:space="preserve">neuspjeh u postizanju zadovoljavajućeg hematološkog odgovora nakon liječenja u trajanju od najmanje </w:t>
      </w:r>
      <w:r w:rsidRPr="00510442">
        <w:rPr>
          <w:color w:val="000000"/>
          <w:szCs w:val="22"/>
          <w:lang w:val="hr-HR"/>
        </w:rPr>
        <w:t xml:space="preserve">3 mjeseca; </w:t>
      </w:r>
      <w:r w:rsidRPr="00510442">
        <w:rPr>
          <w:szCs w:val="22"/>
          <w:lang w:val="hr-HR"/>
        </w:rPr>
        <w:t xml:space="preserve">neuspjeh u postizanju citogenetskog odgovora nakon </w:t>
      </w:r>
      <w:r w:rsidRPr="00510442">
        <w:rPr>
          <w:color w:val="000000"/>
          <w:szCs w:val="22"/>
          <w:lang w:val="hr-HR"/>
        </w:rPr>
        <w:t>12 </w:t>
      </w:r>
      <w:r w:rsidRPr="00510442">
        <w:rPr>
          <w:szCs w:val="22"/>
          <w:lang w:val="hr-HR"/>
        </w:rPr>
        <w:t>mjeseci liječenja</w:t>
      </w:r>
      <w:r w:rsidRPr="00510442">
        <w:rPr>
          <w:color w:val="000000"/>
          <w:szCs w:val="22"/>
          <w:lang w:val="hr-HR"/>
        </w:rPr>
        <w:t xml:space="preserve">; </w:t>
      </w:r>
      <w:r w:rsidRPr="00510442">
        <w:rPr>
          <w:szCs w:val="22"/>
          <w:lang w:val="hr-HR"/>
        </w:rPr>
        <w:t>ili gubitak ranije postignutoga hematološkog i/ili citogenetskog odgovora</w:t>
      </w:r>
      <w:r w:rsidRPr="00510442">
        <w:rPr>
          <w:color w:val="000000"/>
          <w:szCs w:val="22"/>
          <w:lang w:val="hr-HR"/>
        </w:rPr>
        <w:t xml:space="preserve">. </w:t>
      </w:r>
      <w:r w:rsidRPr="00510442">
        <w:rPr>
          <w:szCs w:val="22"/>
          <w:lang w:val="hr-HR"/>
        </w:rPr>
        <w:t>Nakon povećanja doze bolesnike treba pozorno pratiti, jer uz više doze postoji mogućnost za povećanu incidenciju nuspojava</w:t>
      </w:r>
      <w:r w:rsidRPr="00510442">
        <w:rPr>
          <w:color w:val="000000"/>
          <w:szCs w:val="22"/>
          <w:lang w:val="hr-HR"/>
        </w:rPr>
        <w:t>.</w:t>
      </w:r>
    </w:p>
    <w:p w14:paraId="2FB3DAAD" w14:textId="77777777" w:rsidR="003A274D" w:rsidRPr="00510442" w:rsidRDefault="003A274D" w:rsidP="003A274D">
      <w:pPr>
        <w:pStyle w:val="EndnoteText"/>
        <w:widowControl w:val="0"/>
        <w:tabs>
          <w:tab w:val="clear" w:pos="567"/>
        </w:tabs>
        <w:rPr>
          <w:color w:val="000000"/>
          <w:szCs w:val="22"/>
          <w:lang w:val="hr-HR"/>
        </w:rPr>
      </w:pPr>
    </w:p>
    <w:p w14:paraId="21D8E9C7" w14:textId="77777777" w:rsidR="003A274D" w:rsidRPr="00510442" w:rsidRDefault="003A274D" w:rsidP="003179A4">
      <w:pPr>
        <w:pStyle w:val="EndnoteText"/>
        <w:keepNext/>
        <w:widowControl w:val="0"/>
        <w:tabs>
          <w:tab w:val="clear" w:pos="567"/>
        </w:tabs>
        <w:rPr>
          <w:color w:val="000000"/>
          <w:szCs w:val="22"/>
          <w:u w:val="single"/>
          <w:lang w:val="hr-HR"/>
        </w:rPr>
      </w:pPr>
      <w:r w:rsidRPr="00510442">
        <w:rPr>
          <w:szCs w:val="22"/>
          <w:u w:val="single"/>
          <w:lang w:val="hr-HR"/>
        </w:rPr>
        <w:t>Doziranje za Ph+ ALL u odraslih bolesnika</w:t>
      </w:r>
    </w:p>
    <w:p w14:paraId="198D4359" w14:textId="72225E0E" w:rsidR="003A274D" w:rsidRPr="00510442" w:rsidRDefault="003A274D" w:rsidP="003A274D">
      <w:pPr>
        <w:pStyle w:val="EndnoteText"/>
        <w:widowControl w:val="0"/>
        <w:tabs>
          <w:tab w:val="clear" w:pos="567"/>
        </w:tabs>
        <w:rPr>
          <w:color w:val="000000"/>
          <w:szCs w:val="22"/>
          <w:lang w:val="hr-HR"/>
        </w:rPr>
      </w:pPr>
      <w:r w:rsidRPr="00510442">
        <w:rPr>
          <w:szCs w:val="22"/>
          <w:lang w:val="hr-HR"/>
        </w:rPr>
        <w:t xml:space="preserve">Za odrasle bolesnike s Ph+ ALL-om preporučena doza </w:t>
      </w:r>
      <w:r w:rsidR="002F2A44" w:rsidRPr="00512481">
        <w:rPr>
          <w:szCs w:val="22"/>
          <w:lang w:val="hr-HR"/>
        </w:rPr>
        <w:t xml:space="preserve">lijeka </w:t>
      </w:r>
      <w:r w:rsidRPr="00510442">
        <w:rPr>
          <w:szCs w:val="22"/>
          <w:lang w:val="hr-HR"/>
        </w:rPr>
        <w:t>Glivec iznosi</w:t>
      </w:r>
      <w:r w:rsidRPr="00510442">
        <w:rPr>
          <w:color w:val="000000"/>
          <w:szCs w:val="22"/>
          <w:lang w:val="hr-HR"/>
        </w:rPr>
        <w:t xml:space="preserve"> 600 mg/dan.</w:t>
      </w:r>
      <w:r w:rsidRPr="00510442">
        <w:rPr>
          <w:rFonts w:eastAsia="MS Mincho"/>
          <w:color w:val="000000"/>
          <w:szCs w:val="22"/>
          <w:lang w:val="hr-HR" w:eastAsia="ja-JP"/>
        </w:rPr>
        <w:t xml:space="preserve"> Specijalisti </w:t>
      </w:r>
      <w:r w:rsidRPr="00510442">
        <w:rPr>
          <w:szCs w:val="22"/>
          <w:lang w:val="hr-HR"/>
        </w:rPr>
        <w:t>hematolozi uključeni u liječenje ove bolesti trebaju nadzirati terapiju kroz sve faze liječenja</w:t>
      </w:r>
      <w:r w:rsidRPr="00510442">
        <w:rPr>
          <w:rFonts w:eastAsia="MS Mincho"/>
          <w:color w:val="000000"/>
          <w:szCs w:val="22"/>
          <w:lang w:val="hr-HR" w:eastAsia="ja-JP"/>
        </w:rPr>
        <w:t>.</w:t>
      </w:r>
    </w:p>
    <w:p w14:paraId="5B5D6ED1" w14:textId="77777777" w:rsidR="003A274D" w:rsidRPr="00510442" w:rsidRDefault="003A274D" w:rsidP="003A274D">
      <w:pPr>
        <w:spacing w:line="240" w:lineRule="auto"/>
        <w:rPr>
          <w:color w:val="000000"/>
          <w:szCs w:val="22"/>
          <w:lang w:val="hr-HR"/>
        </w:rPr>
      </w:pPr>
    </w:p>
    <w:p w14:paraId="2A713EB0" w14:textId="4C10672D" w:rsidR="003A274D" w:rsidRPr="00510442" w:rsidRDefault="003A274D" w:rsidP="003A274D">
      <w:pPr>
        <w:spacing w:line="240" w:lineRule="auto"/>
        <w:rPr>
          <w:rFonts w:eastAsia="MS Mincho"/>
          <w:color w:val="000000"/>
          <w:szCs w:val="22"/>
          <w:lang w:val="hr-HR" w:eastAsia="ja-JP"/>
        </w:rPr>
      </w:pPr>
      <w:r w:rsidRPr="00510442">
        <w:rPr>
          <w:szCs w:val="22"/>
          <w:lang w:val="hr-HR"/>
        </w:rPr>
        <w:t>Plan liječenja: na temelju postojećih podataka, Glivec se pokazao učinkovitim i sigurnim u dozi od</w:t>
      </w:r>
      <w:r w:rsidRPr="00510442">
        <w:rPr>
          <w:rFonts w:eastAsia="MS Mincho"/>
          <w:color w:val="000000"/>
          <w:szCs w:val="22"/>
          <w:lang w:val="hr-HR" w:eastAsia="ja-JP"/>
        </w:rPr>
        <w:t xml:space="preserve"> 600 mg/</w:t>
      </w:r>
      <w:r w:rsidRPr="00510442">
        <w:rPr>
          <w:szCs w:val="22"/>
          <w:lang w:val="hr-HR"/>
        </w:rPr>
        <w:t xml:space="preserve"> dan u kombinaciji s kemoterapijom u indukcijskoj fazi te u konsolidacijskoj fazi i fazi održavanja kemoterapije (vidjeti dio </w:t>
      </w:r>
      <w:r w:rsidRPr="00510442">
        <w:rPr>
          <w:rFonts w:eastAsia="MS Mincho"/>
          <w:color w:val="000000"/>
          <w:szCs w:val="22"/>
          <w:lang w:val="hr-HR" w:eastAsia="ja-JP"/>
        </w:rPr>
        <w:t xml:space="preserve">5.1) </w:t>
      </w:r>
      <w:r w:rsidRPr="00510442">
        <w:rPr>
          <w:szCs w:val="22"/>
          <w:lang w:val="hr-HR"/>
        </w:rPr>
        <w:t xml:space="preserve">u odraslih bolesnika s novodijagnosticiranim Ph+ ALL-om. Trajanje terapije </w:t>
      </w:r>
      <w:r w:rsidR="00B0477E">
        <w:rPr>
          <w:szCs w:val="22"/>
          <w:lang w:val="hr-HR"/>
        </w:rPr>
        <w:t xml:space="preserve">lijekom </w:t>
      </w:r>
      <w:r w:rsidRPr="00510442">
        <w:rPr>
          <w:szCs w:val="22"/>
          <w:lang w:val="hr-HR"/>
        </w:rPr>
        <w:t xml:space="preserve">Glivec može se razlikovati s obzirom na odabrani program liječenja, no općenito se može reći da su se dužom izloženošću </w:t>
      </w:r>
      <w:r w:rsidR="00561038">
        <w:rPr>
          <w:szCs w:val="22"/>
          <w:lang w:val="hr-HR"/>
        </w:rPr>
        <w:t xml:space="preserve">lijeku </w:t>
      </w:r>
      <w:r w:rsidRPr="00510442">
        <w:rPr>
          <w:szCs w:val="22"/>
          <w:lang w:val="hr-HR"/>
        </w:rPr>
        <w:t>Glivec dobivali bolji rezultati</w:t>
      </w:r>
      <w:r w:rsidRPr="00510442">
        <w:rPr>
          <w:rFonts w:eastAsia="MS Mincho"/>
          <w:color w:val="000000"/>
          <w:szCs w:val="22"/>
          <w:lang w:val="hr-HR" w:eastAsia="ja-JP"/>
        </w:rPr>
        <w:t>.</w:t>
      </w:r>
    </w:p>
    <w:p w14:paraId="557EBBF4" w14:textId="77777777" w:rsidR="003A274D" w:rsidRPr="00510442" w:rsidRDefault="003A274D" w:rsidP="003A274D">
      <w:pPr>
        <w:spacing w:line="240" w:lineRule="auto"/>
        <w:rPr>
          <w:rFonts w:eastAsia="MS Mincho"/>
          <w:color w:val="000000"/>
          <w:szCs w:val="22"/>
          <w:lang w:val="hr-HR" w:eastAsia="ja-JP"/>
        </w:rPr>
      </w:pPr>
    </w:p>
    <w:p w14:paraId="79FD6D8F" w14:textId="2C5319E4" w:rsidR="003A274D" w:rsidRPr="00510442" w:rsidRDefault="003A274D" w:rsidP="003A274D">
      <w:pPr>
        <w:spacing w:line="240" w:lineRule="auto"/>
        <w:rPr>
          <w:rFonts w:eastAsia="MS Mincho"/>
          <w:color w:val="000000"/>
          <w:szCs w:val="22"/>
          <w:lang w:val="hr-HR" w:eastAsia="ja-JP"/>
        </w:rPr>
      </w:pPr>
      <w:r w:rsidRPr="00510442">
        <w:rPr>
          <w:szCs w:val="22"/>
          <w:lang w:val="hr-HR"/>
        </w:rPr>
        <w:t xml:space="preserve">Za odrasle bolesnike s recidivirajućim ili refraktornim Ph+ ALL-om, monoterapija </w:t>
      </w:r>
      <w:r w:rsidR="00B0477E">
        <w:rPr>
          <w:szCs w:val="22"/>
          <w:lang w:val="hr-HR"/>
        </w:rPr>
        <w:t xml:space="preserve">lijekom </w:t>
      </w:r>
      <w:r w:rsidRPr="00510442">
        <w:rPr>
          <w:szCs w:val="22"/>
          <w:lang w:val="hr-HR"/>
        </w:rPr>
        <w:t xml:space="preserve">Glivec u dozi od </w:t>
      </w:r>
      <w:r w:rsidRPr="00510442">
        <w:rPr>
          <w:rFonts w:eastAsia="MS Mincho"/>
          <w:color w:val="000000"/>
          <w:szCs w:val="22"/>
          <w:lang w:val="hr-HR" w:eastAsia="ja-JP"/>
        </w:rPr>
        <w:t xml:space="preserve">600 mg/dan </w:t>
      </w:r>
      <w:r w:rsidRPr="00510442">
        <w:rPr>
          <w:szCs w:val="22"/>
          <w:lang w:val="hr-HR"/>
        </w:rPr>
        <w:t>je sigurna, učinkovita te se može davati do pojave progresije bolesti</w:t>
      </w:r>
      <w:r w:rsidRPr="00510442">
        <w:rPr>
          <w:rFonts w:eastAsia="MS Mincho"/>
          <w:color w:val="000000"/>
          <w:szCs w:val="22"/>
          <w:lang w:val="hr-HR" w:eastAsia="ja-JP"/>
        </w:rPr>
        <w:t>.</w:t>
      </w:r>
    </w:p>
    <w:p w14:paraId="0A60F2B3" w14:textId="77777777" w:rsidR="003A274D" w:rsidRPr="00510442" w:rsidRDefault="003A274D" w:rsidP="003A274D">
      <w:pPr>
        <w:spacing w:line="240" w:lineRule="auto"/>
        <w:rPr>
          <w:rFonts w:eastAsia="MS Mincho"/>
          <w:color w:val="000000"/>
          <w:szCs w:val="22"/>
          <w:lang w:val="hr-HR" w:eastAsia="ja-JP"/>
        </w:rPr>
      </w:pPr>
    </w:p>
    <w:p w14:paraId="444B784C" w14:textId="77777777" w:rsidR="003A274D" w:rsidRPr="00510442" w:rsidRDefault="003A274D" w:rsidP="003179A4">
      <w:pPr>
        <w:keepNext/>
        <w:spacing w:line="240" w:lineRule="auto"/>
        <w:rPr>
          <w:rFonts w:eastAsia="MS Mincho"/>
          <w:color w:val="000000"/>
          <w:szCs w:val="22"/>
          <w:u w:val="single"/>
          <w:lang w:val="hr-HR" w:eastAsia="ja-JP"/>
        </w:rPr>
      </w:pPr>
      <w:r w:rsidRPr="00510442">
        <w:rPr>
          <w:rFonts w:eastAsia="MS Mincho"/>
          <w:color w:val="000000"/>
          <w:szCs w:val="22"/>
          <w:u w:val="single"/>
          <w:lang w:val="hr-HR" w:eastAsia="ja-JP"/>
        </w:rPr>
        <w:t>Doziranje za Ph+ ALL u djece</w:t>
      </w:r>
    </w:p>
    <w:p w14:paraId="1E52C916" w14:textId="77777777" w:rsidR="003A274D" w:rsidRPr="00510442" w:rsidRDefault="003A274D" w:rsidP="003A274D">
      <w:pPr>
        <w:spacing w:line="240" w:lineRule="auto"/>
        <w:rPr>
          <w:color w:val="000000"/>
          <w:szCs w:val="22"/>
          <w:lang w:val="hr-HR"/>
        </w:rPr>
      </w:pPr>
      <w:r w:rsidRPr="00510442">
        <w:rPr>
          <w:szCs w:val="22"/>
          <w:lang w:val="hr-HR"/>
        </w:rPr>
        <w:t xml:space="preserve">U djece se doziranje treba temeljiti na veličini površine tijela </w:t>
      </w:r>
      <w:r w:rsidRPr="00510442">
        <w:rPr>
          <w:color w:val="000000"/>
          <w:szCs w:val="22"/>
          <w:lang w:val="hr-HR"/>
        </w:rPr>
        <w:t>(mg/m</w:t>
      </w:r>
      <w:r w:rsidRPr="00510442">
        <w:rPr>
          <w:color w:val="000000"/>
          <w:szCs w:val="22"/>
          <w:vertAlign w:val="superscript"/>
          <w:lang w:val="hr-HR"/>
        </w:rPr>
        <w:t>2</w:t>
      </w:r>
      <w:r w:rsidRPr="00510442">
        <w:rPr>
          <w:color w:val="000000"/>
          <w:szCs w:val="22"/>
          <w:lang w:val="hr-HR"/>
        </w:rPr>
        <w:t xml:space="preserve">). </w:t>
      </w:r>
      <w:r w:rsidRPr="00510442">
        <w:rPr>
          <w:szCs w:val="22"/>
          <w:lang w:val="hr-HR"/>
        </w:rPr>
        <w:t xml:space="preserve">Doza od </w:t>
      </w:r>
      <w:r w:rsidRPr="00510442">
        <w:rPr>
          <w:color w:val="000000"/>
          <w:szCs w:val="22"/>
          <w:lang w:val="hr-HR"/>
        </w:rPr>
        <w:t>340 mg/m</w:t>
      </w:r>
      <w:r w:rsidRPr="00510442">
        <w:rPr>
          <w:color w:val="000000"/>
          <w:szCs w:val="22"/>
          <w:vertAlign w:val="superscript"/>
          <w:lang w:val="hr-HR"/>
        </w:rPr>
        <w:t>2</w:t>
      </w:r>
      <w:r w:rsidRPr="00510442">
        <w:rPr>
          <w:color w:val="000000"/>
          <w:szCs w:val="22"/>
          <w:lang w:val="hr-HR"/>
        </w:rPr>
        <w:t xml:space="preserve"> </w:t>
      </w:r>
      <w:r w:rsidRPr="00510442">
        <w:rPr>
          <w:szCs w:val="22"/>
          <w:lang w:val="hr-HR"/>
        </w:rPr>
        <w:t>na dan preporučuje se za djecu s</w:t>
      </w:r>
      <w:r w:rsidRPr="00510442">
        <w:rPr>
          <w:color w:val="000000"/>
          <w:lang w:val="hr-HR"/>
        </w:rPr>
        <w:t xml:space="preserve"> Ph+ ALL (</w:t>
      </w:r>
      <w:r w:rsidRPr="00510442">
        <w:rPr>
          <w:szCs w:val="22"/>
          <w:lang w:val="hr-HR"/>
        </w:rPr>
        <w:t>ne smije se prekoračiti ukupna doza od</w:t>
      </w:r>
      <w:r w:rsidRPr="00510442">
        <w:rPr>
          <w:color w:val="000000"/>
          <w:lang w:val="hr-HR"/>
        </w:rPr>
        <w:t xml:space="preserve"> 600 mg).</w:t>
      </w:r>
    </w:p>
    <w:p w14:paraId="68F923C9" w14:textId="77777777" w:rsidR="003A274D" w:rsidRPr="00510442" w:rsidRDefault="003A274D" w:rsidP="003A274D">
      <w:pPr>
        <w:spacing w:line="240" w:lineRule="auto"/>
        <w:rPr>
          <w:color w:val="000000"/>
          <w:szCs w:val="22"/>
          <w:lang w:val="hr-HR"/>
        </w:rPr>
      </w:pPr>
    </w:p>
    <w:p w14:paraId="38DECB35" w14:textId="77777777" w:rsidR="003A274D" w:rsidRPr="00510442" w:rsidRDefault="003A274D" w:rsidP="003179A4">
      <w:pPr>
        <w:pStyle w:val="EndnoteText"/>
        <w:keepNext/>
        <w:widowControl w:val="0"/>
        <w:tabs>
          <w:tab w:val="clear" w:pos="567"/>
        </w:tabs>
        <w:rPr>
          <w:color w:val="000000"/>
          <w:szCs w:val="22"/>
          <w:u w:val="single"/>
          <w:lang w:val="hr-HR"/>
        </w:rPr>
      </w:pPr>
      <w:r w:rsidRPr="00510442">
        <w:rPr>
          <w:szCs w:val="22"/>
          <w:u w:val="single"/>
          <w:lang w:val="hr-HR"/>
        </w:rPr>
        <w:t>Doziranje za MDS/MPD</w:t>
      </w:r>
    </w:p>
    <w:p w14:paraId="56268D64" w14:textId="0B1512ED" w:rsidR="003A274D" w:rsidRPr="00510442" w:rsidRDefault="003A274D" w:rsidP="003A274D">
      <w:pPr>
        <w:pStyle w:val="EndnoteText"/>
        <w:widowControl w:val="0"/>
        <w:tabs>
          <w:tab w:val="clear" w:pos="567"/>
        </w:tabs>
        <w:rPr>
          <w:color w:val="000000"/>
          <w:szCs w:val="22"/>
          <w:lang w:val="hr-HR"/>
        </w:rPr>
      </w:pPr>
      <w:r w:rsidRPr="00510442">
        <w:rPr>
          <w:szCs w:val="22"/>
          <w:lang w:val="hr-HR"/>
        </w:rPr>
        <w:t xml:space="preserve">Za odrasle bolesnike s MDS/MPD-om preporučena doza </w:t>
      </w:r>
      <w:r w:rsidR="004007D1" w:rsidRPr="00512481">
        <w:rPr>
          <w:szCs w:val="22"/>
          <w:lang w:val="hr-HR"/>
        </w:rPr>
        <w:t xml:space="preserve">lijeka </w:t>
      </w:r>
      <w:r w:rsidRPr="00510442">
        <w:rPr>
          <w:szCs w:val="22"/>
          <w:lang w:val="hr-HR"/>
        </w:rPr>
        <w:t xml:space="preserve">Glivec iznosi </w:t>
      </w:r>
      <w:r w:rsidRPr="00510442">
        <w:rPr>
          <w:color w:val="000000"/>
          <w:szCs w:val="22"/>
          <w:lang w:val="hr-HR"/>
        </w:rPr>
        <w:t>400 mg/dan.</w:t>
      </w:r>
    </w:p>
    <w:p w14:paraId="200B06B4" w14:textId="77777777" w:rsidR="003A274D" w:rsidRPr="00510442" w:rsidRDefault="003A274D" w:rsidP="003A274D">
      <w:pPr>
        <w:pStyle w:val="EndnoteText"/>
        <w:widowControl w:val="0"/>
        <w:tabs>
          <w:tab w:val="clear" w:pos="567"/>
        </w:tabs>
        <w:rPr>
          <w:color w:val="000000"/>
          <w:szCs w:val="22"/>
          <w:lang w:val="hr-HR"/>
        </w:rPr>
      </w:pPr>
    </w:p>
    <w:p w14:paraId="620CE4E8" w14:textId="4283D26F" w:rsidR="003A274D" w:rsidRPr="00510442" w:rsidRDefault="003A274D" w:rsidP="003A274D">
      <w:pPr>
        <w:pStyle w:val="EndnoteText"/>
        <w:widowControl w:val="0"/>
        <w:tabs>
          <w:tab w:val="clear" w:pos="567"/>
        </w:tabs>
        <w:rPr>
          <w:color w:val="000000"/>
          <w:szCs w:val="22"/>
          <w:lang w:val="hr-HR"/>
        </w:rPr>
      </w:pPr>
      <w:r w:rsidRPr="00510442">
        <w:rPr>
          <w:szCs w:val="22"/>
          <w:lang w:val="hr-HR"/>
        </w:rPr>
        <w:t xml:space="preserve">Trajanje liječenja: u jedinom kliničkom ispitivanju provedenom do sada, liječenje </w:t>
      </w:r>
      <w:r w:rsidR="00B0477E">
        <w:rPr>
          <w:szCs w:val="22"/>
          <w:lang w:val="hr-HR"/>
        </w:rPr>
        <w:t xml:space="preserve">lijekom </w:t>
      </w:r>
      <w:r w:rsidRPr="00510442">
        <w:rPr>
          <w:szCs w:val="22"/>
          <w:lang w:val="hr-HR"/>
        </w:rPr>
        <w:t xml:space="preserve">Glivec je nastavljeno do progresije bolesti (vidjeti dio </w:t>
      </w:r>
      <w:r w:rsidRPr="00510442">
        <w:rPr>
          <w:color w:val="000000"/>
          <w:szCs w:val="22"/>
          <w:lang w:val="hr-HR"/>
        </w:rPr>
        <w:t xml:space="preserve">5.1). </w:t>
      </w:r>
      <w:r w:rsidRPr="00510442">
        <w:rPr>
          <w:szCs w:val="22"/>
          <w:lang w:val="hr-HR"/>
        </w:rPr>
        <w:t>U vrijeme analize, medijan trajanja liječenja bio je</w:t>
      </w:r>
      <w:r w:rsidRPr="00510442">
        <w:rPr>
          <w:color w:val="000000"/>
          <w:szCs w:val="22"/>
          <w:lang w:val="hr-HR"/>
        </w:rPr>
        <w:t xml:space="preserve"> 47 mjeseci (24 dana - 60 mjeseci).</w:t>
      </w:r>
    </w:p>
    <w:p w14:paraId="23B676FE" w14:textId="77777777" w:rsidR="003A274D" w:rsidRPr="00510442" w:rsidRDefault="003A274D" w:rsidP="003A274D">
      <w:pPr>
        <w:pStyle w:val="EndnoteText"/>
        <w:widowControl w:val="0"/>
        <w:tabs>
          <w:tab w:val="clear" w:pos="567"/>
        </w:tabs>
        <w:rPr>
          <w:color w:val="000000"/>
          <w:szCs w:val="22"/>
          <w:lang w:val="hr-HR"/>
        </w:rPr>
      </w:pPr>
    </w:p>
    <w:p w14:paraId="29FFB887" w14:textId="77777777" w:rsidR="003A274D" w:rsidRPr="00510442" w:rsidRDefault="003A274D" w:rsidP="003179A4">
      <w:pPr>
        <w:pStyle w:val="EndnoteText"/>
        <w:keepNext/>
        <w:widowControl w:val="0"/>
        <w:tabs>
          <w:tab w:val="clear" w:pos="567"/>
        </w:tabs>
        <w:rPr>
          <w:color w:val="000000"/>
          <w:szCs w:val="22"/>
          <w:u w:val="single"/>
          <w:lang w:val="hr-HR"/>
        </w:rPr>
      </w:pPr>
      <w:r w:rsidRPr="00510442">
        <w:rPr>
          <w:szCs w:val="22"/>
          <w:u w:val="single"/>
          <w:lang w:val="hr-HR"/>
        </w:rPr>
        <w:t>Doziranje za HES/KEL</w:t>
      </w:r>
    </w:p>
    <w:p w14:paraId="5256ED1B" w14:textId="562CB8FA" w:rsidR="003A274D" w:rsidRPr="00510442" w:rsidRDefault="003A274D" w:rsidP="003A274D">
      <w:pPr>
        <w:pStyle w:val="Text"/>
        <w:spacing w:before="0"/>
        <w:jc w:val="left"/>
        <w:rPr>
          <w:color w:val="000000"/>
          <w:sz w:val="22"/>
          <w:szCs w:val="22"/>
          <w:lang w:val="hr-HR"/>
        </w:rPr>
      </w:pPr>
      <w:r w:rsidRPr="00510442">
        <w:rPr>
          <w:sz w:val="22"/>
          <w:szCs w:val="22"/>
          <w:lang w:val="hr-HR"/>
        </w:rPr>
        <w:t xml:space="preserve">Za odrasle bolesnike s HES/KEL-om preporučena doza </w:t>
      </w:r>
      <w:r w:rsidR="004007D1" w:rsidRPr="00512481">
        <w:rPr>
          <w:sz w:val="22"/>
          <w:szCs w:val="22"/>
          <w:lang w:val="hr-HR"/>
        </w:rPr>
        <w:t xml:space="preserve">lijeka </w:t>
      </w:r>
      <w:r w:rsidRPr="00510442">
        <w:rPr>
          <w:sz w:val="22"/>
          <w:szCs w:val="22"/>
          <w:lang w:val="hr-HR"/>
        </w:rPr>
        <w:t xml:space="preserve">Glivec iznosi </w:t>
      </w:r>
      <w:r w:rsidRPr="00510442">
        <w:rPr>
          <w:color w:val="000000"/>
          <w:sz w:val="22"/>
          <w:szCs w:val="22"/>
          <w:lang w:val="hr-HR"/>
        </w:rPr>
        <w:t>100 mg/dan.</w:t>
      </w:r>
    </w:p>
    <w:p w14:paraId="6BD30B62" w14:textId="77777777" w:rsidR="003A274D" w:rsidRPr="00510442" w:rsidRDefault="003A274D" w:rsidP="003A274D">
      <w:pPr>
        <w:pStyle w:val="Text"/>
        <w:spacing w:before="0"/>
        <w:jc w:val="left"/>
        <w:rPr>
          <w:color w:val="000000"/>
          <w:sz w:val="22"/>
          <w:szCs w:val="22"/>
          <w:lang w:val="hr-HR"/>
        </w:rPr>
      </w:pPr>
    </w:p>
    <w:p w14:paraId="1A68A1FE" w14:textId="77777777" w:rsidR="003A274D" w:rsidRPr="00510442" w:rsidRDefault="003A274D" w:rsidP="003A274D">
      <w:pPr>
        <w:pStyle w:val="Text"/>
        <w:spacing w:before="0"/>
        <w:jc w:val="left"/>
        <w:rPr>
          <w:color w:val="000000"/>
          <w:sz w:val="22"/>
          <w:szCs w:val="22"/>
          <w:lang w:val="hr-HR"/>
        </w:rPr>
      </w:pPr>
      <w:r w:rsidRPr="00510442">
        <w:rPr>
          <w:sz w:val="22"/>
          <w:szCs w:val="22"/>
          <w:lang w:val="hr-HR"/>
        </w:rPr>
        <w:t xml:space="preserve">Povećanje doze od </w:t>
      </w:r>
      <w:r w:rsidRPr="00510442">
        <w:rPr>
          <w:color w:val="000000"/>
          <w:sz w:val="22"/>
          <w:szCs w:val="22"/>
          <w:lang w:val="hr-HR"/>
        </w:rPr>
        <w:t xml:space="preserve">100 mg do 400 mg </w:t>
      </w:r>
      <w:r w:rsidRPr="00510442">
        <w:rPr>
          <w:sz w:val="22"/>
          <w:szCs w:val="22"/>
          <w:lang w:val="hr-HR"/>
        </w:rPr>
        <w:t>može se razmotriti u odsustvu nuspojava, ako se pregledom utvrdi nedovoljan odgovor na terapiju</w:t>
      </w:r>
      <w:r w:rsidRPr="00510442">
        <w:rPr>
          <w:color w:val="000000"/>
          <w:sz w:val="22"/>
          <w:szCs w:val="22"/>
          <w:lang w:val="hr-HR"/>
        </w:rPr>
        <w:t>.</w:t>
      </w:r>
    </w:p>
    <w:p w14:paraId="3B1B5CA0" w14:textId="77777777" w:rsidR="003A274D" w:rsidRPr="00510442" w:rsidRDefault="003A274D" w:rsidP="003A274D">
      <w:pPr>
        <w:pStyle w:val="Text"/>
        <w:spacing w:before="0"/>
        <w:jc w:val="left"/>
        <w:rPr>
          <w:color w:val="000000"/>
          <w:sz w:val="22"/>
          <w:szCs w:val="22"/>
          <w:lang w:val="hr-HR"/>
        </w:rPr>
      </w:pPr>
    </w:p>
    <w:p w14:paraId="23BD2751" w14:textId="77777777" w:rsidR="003A274D" w:rsidRPr="00510442" w:rsidRDefault="003A274D" w:rsidP="003A274D">
      <w:pPr>
        <w:pStyle w:val="Text"/>
        <w:spacing w:before="0"/>
        <w:jc w:val="left"/>
        <w:rPr>
          <w:color w:val="000000"/>
          <w:sz w:val="22"/>
          <w:szCs w:val="22"/>
          <w:lang w:val="hr-HR"/>
        </w:rPr>
      </w:pPr>
      <w:r w:rsidRPr="00510442">
        <w:rPr>
          <w:sz w:val="22"/>
          <w:szCs w:val="22"/>
          <w:lang w:val="hr-HR"/>
        </w:rPr>
        <w:t>Liječenje treba nastaviti dokle god bolesnik ima korist od liječenja</w:t>
      </w:r>
      <w:r w:rsidRPr="00510442">
        <w:rPr>
          <w:color w:val="000000"/>
          <w:sz w:val="22"/>
          <w:szCs w:val="22"/>
          <w:lang w:val="hr-HR"/>
        </w:rPr>
        <w:t>.</w:t>
      </w:r>
    </w:p>
    <w:p w14:paraId="2A9A02F4" w14:textId="77777777" w:rsidR="003A274D" w:rsidRPr="00510442" w:rsidRDefault="003A274D" w:rsidP="003A274D">
      <w:pPr>
        <w:pStyle w:val="EndnoteText"/>
        <w:widowControl w:val="0"/>
        <w:tabs>
          <w:tab w:val="clear" w:pos="567"/>
        </w:tabs>
        <w:rPr>
          <w:color w:val="000000"/>
          <w:szCs w:val="22"/>
          <w:lang w:val="hr-HR"/>
        </w:rPr>
      </w:pPr>
    </w:p>
    <w:p w14:paraId="71700AC7" w14:textId="77777777" w:rsidR="003A274D" w:rsidRPr="00510442" w:rsidRDefault="003A274D" w:rsidP="003179A4">
      <w:pPr>
        <w:pStyle w:val="EndnoteText"/>
        <w:keepNext/>
        <w:widowControl w:val="0"/>
        <w:tabs>
          <w:tab w:val="clear" w:pos="567"/>
        </w:tabs>
        <w:rPr>
          <w:color w:val="000000"/>
          <w:szCs w:val="22"/>
          <w:u w:val="single"/>
          <w:lang w:val="hr-HR"/>
        </w:rPr>
      </w:pPr>
      <w:r w:rsidRPr="00510442">
        <w:rPr>
          <w:szCs w:val="22"/>
          <w:u w:val="single"/>
          <w:lang w:val="hr-HR"/>
        </w:rPr>
        <w:lastRenderedPageBreak/>
        <w:t>Doziranje za GIST</w:t>
      </w:r>
    </w:p>
    <w:p w14:paraId="725A60B6" w14:textId="0CC121B2" w:rsidR="003A274D" w:rsidRPr="00510442" w:rsidRDefault="003A274D" w:rsidP="003A274D">
      <w:pPr>
        <w:pStyle w:val="EndnoteText"/>
        <w:widowControl w:val="0"/>
        <w:tabs>
          <w:tab w:val="clear" w:pos="567"/>
        </w:tabs>
        <w:rPr>
          <w:color w:val="000000"/>
          <w:szCs w:val="22"/>
          <w:lang w:val="hr-HR"/>
        </w:rPr>
      </w:pPr>
      <w:r w:rsidRPr="00510442">
        <w:rPr>
          <w:szCs w:val="22"/>
          <w:lang w:val="hr-HR"/>
        </w:rPr>
        <w:t xml:space="preserve">Za bolesnike s inoperabilnim i/ili metastazirajućim malignim GIST-om preporučena doza </w:t>
      </w:r>
      <w:r w:rsidR="004007D1" w:rsidRPr="00512481">
        <w:rPr>
          <w:szCs w:val="22"/>
          <w:lang w:val="hr-HR"/>
        </w:rPr>
        <w:t xml:space="preserve">lijeka </w:t>
      </w:r>
      <w:r w:rsidRPr="00510442">
        <w:rPr>
          <w:szCs w:val="22"/>
          <w:lang w:val="hr-HR"/>
        </w:rPr>
        <w:t xml:space="preserve">Glivec iznosi </w:t>
      </w:r>
      <w:r w:rsidRPr="00510442">
        <w:rPr>
          <w:color w:val="000000"/>
          <w:szCs w:val="22"/>
          <w:lang w:val="hr-HR"/>
        </w:rPr>
        <w:t>400 mg/dan.</w:t>
      </w:r>
    </w:p>
    <w:p w14:paraId="103D2007" w14:textId="77777777" w:rsidR="003A274D" w:rsidRPr="00510442" w:rsidRDefault="003A274D" w:rsidP="003A274D">
      <w:pPr>
        <w:pStyle w:val="EndnoteText"/>
        <w:widowControl w:val="0"/>
        <w:tabs>
          <w:tab w:val="clear" w:pos="567"/>
        </w:tabs>
        <w:rPr>
          <w:color w:val="000000"/>
          <w:szCs w:val="22"/>
          <w:lang w:val="hr-HR"/>
        </w:rPr>
      </w:pPr>
    </w:p>
    <w:p w14:paraId="14027467" w14:textId="77777777" w:rsidR="003A274D" w:rsidRPr="00510442" w:rsidRDefault="003A274D" w:rsidP="003A274D">
      <w:pPr>
        <w:pStyle w:val="EndnoteText"/>
        <w:widowControl w:val="0"/>
        <w:tabs>
          <w:tab w:val="clear" w:pos="567"/>
        </w:tabs>
        <w:rPr>
          <w:color w:val="000000"/>
          <w:szCs w:val="22"/>
          <w:lang w:val="hr-HR"/>
        </w:rPr>
      </w:pPr>
      <w:r w:rsidRPr="00510442">
        <w:rPr>
          <w:szCs w:val="22"/>
          <w:lang w:val="hr-HR"/>
        </w:rPr>
        <w:t xml:space="preserve">Postoje ograničeni podaci o učinku povećanja doze s </w:t>
      </w:r>
      <w:r w:rsidRPr="00510442">
        <w:rPr>
          <w:color w:val="000000"/>
          <w:szCs w:val="22"/>
          <w:lang w:val="hr-HR"/>
        </w:rPr>
        <w:t xml:space="preserve">400 mg na 600 mg ili 800 mg </w:t>
      </w:r>
      <w:r w:rsidRPr="00510442">
        <w:rPr>
          <w:szCs w:val="22"/>
          <w:lang w:val="hr-HR"/>
        </w:rPr>
        <w:t>u bolesnika u kojih do progresije dolazi uz nižu dozu (vidjeti dio</w:t>
      </w:r>
      <w:r w:rsidRPr="00510442">
        <w:rPr>
          <w:color w:val="000000"/>
          <w:szCs w:val="22"/>
          <w:lang w:val="hr-HR"/>
        </w:rPr>
        <w:t xml:space="preserve"> 5.1).</w:t>
      </w:r>
    </w:p>
    <w:p w14:paraId="3D384E50" w14:textId="77777777" w:rsidR="003A274D" w:rsidRPr="00510442" w:rsidRDefault="003A274D" w:rsidP="003A274D">
      <w:pPr>
        <w:pStyle w:val="EndnoteText"/>
        <w:widowControl w:val="0"/>
        <w:tabs>
          <w:tab w:val="clear" w:pos="567"/>
        </w:tabs>
        <w:rPr>
          <w:color w:val="000000"/>
          <w:szCs w:val="22"/>
          <w:lang w:val="hr-HR"/>
        </w:rPr>
      </w:pPr>
    </w:p>
    <w:p w14:paraId="34212410" w14:textId="68365917" w:rsidR="003A274D" w:rsidRPr="00510442" w:rsidRDefault="003A274D" w:rsidP="003A274D">
      <w:pPr>
        <w:pStyle w:val="EndnoteText"/>
        <w:widowControl w:val="0"/>
        <w:tabs>
          <w:tab w:val="clear" w:pos="567"/>
        </w:tabs>
        <w:rPr>
          <w:color w:val="000000"/>
          <w:szCs w:val="22"/>
          <w:lang w:val="hr-HR"/>
        </w:rPr>
      </w:pPr>
      <w:r w:rsidRPr="00510442">
        <w:rPr>
          <w:szCs w:val="22"/>
          <w:lang w:val="hr-HR"/>
        </w:rPr>
        <w:t xml:space="preserve">Trajanje liječenja: u kliničkim ispitivanjima na bolesnicima s GIST-om, liječenje </w:t>
      </w:r>
      <w:r w:rsidR="00B0477E">
        <w:rPr>
          <w:szCs w:val="22"/>
          <w:lang w:val="hr-HR"/>
        </w:rPr>
        <w:t xml:space="preserve">lijekom </w:t>
      </w:r>
      <w:r w:rsidRPr="00510442">
        <w:rPr>
          <w:szCs w:val="22"/>
          <w:lang w:val="hr-HR"/>
        </w:rPr>
        <w:t xml:space="preserve">Glivec nastavljeno je sve do progresije bolesti. U vrijeme provođenja analize, medijan trajanja liječenja iznosio je </w:t>
      </w:r>
      <w:r w:rsidRPr="00510442">
        <w:rPr>
          <w:color w:val="000000"/>
          <w:szCs w:val="22"/>
          <w:lang w:val="hr-HR"/>
        </w:rPr>
        <w:t xml:space="preserve">7 mjeseci (7 dana do 13 mjeseci). </w:t>
      </w:r>
      <w:r w:rsidRPr="00510442">
        <w:rPr>
          <w:szCs w:val="22"/>
          <w:lang w:val="hr-HR"/>
        </w:rPr>
        <w:t>Učinak prekida liječenja nakon postizanja odgovora nije ispitivan</w:t>
      </w:r>
      <w:r w:rsidRPr="00510442">
        <w:rPr>
          <w:color w:val="000000"/>
          <w:szCs w:val="22"/>
          <w:lang w:val="hr-HR"/>
        </w:rPr>
        <w:t>.</w:t>
      </w:r>
    </w:p>
    <w:p w14:paraId="76713AD9" w14:textId="77777777" w:rsidR="003A274D" w:rsidRPr="00510442" w:rsidRDefault="003A274D" w:rsidP="003A274D">
      <w:pPr>
        <w:pStyle w:val="EndnoteText"/>
        <w:widowControl w:val="0"/>
        <w:tabs>
          <w:tab w:val="clear" w:pos="567"/>
        </w:tabs>
        <w:rPr>
          <w:color w:val="000000"/>
          <w:szCs w:val="22"/>
          <w:lang w:val="hr-HR"/>
        </w:rPr>
      </w:pPr>
    </w:p>
    <w:p w14:paraId="70EB8A25" w14:textId="0804C6BD" w:rsidR="003A274D" w:rsidRPr="00510442" w:rsidRDefault="003A274D" w:rsidP="003A274D">
      <w:pPr>
        <w:pStyle w:val="Text"/>
        <w:spacing w:before="0"/>
        <w:jc w:val="left"/>
        <w:rPr>
          <w:color w:val="000000"/>
          <w:sz w:val="22"/>
          <w:szCs w:val="22"/>
          <w:lang w:val="hr-HR"/>
        </w:rPr>
      </w:pPr>
      <w:r w:rsidRPr="00510442">
        <w:rPr>
          <w:sz w:val="22"/>
          <w:szCs w:val="22"/>
          <w:lang w:val="hr-HR"/>
        </w:rPr>
        <w:t xml:space="preserve">Za adjuvantno liječenje odraslih bolesnika nakon resekcije GIST-a preporučena doza </w:t>
      </w:r>
      <w:r w:rsidR="004007D1" w:rsidRPr="00512481">
        <w:rPr>
          <w:sz w:val="22"/>
          <w:szCs w:val="22"/>
          <w:lang w:val="hr-HR"/>
        </w:rPr>
        <w:t xml:space="preserve">lijeka </w:t>
      </w:r>
      <w:r w:rsidRPr="00510442">
        <w:rPr>
          <w:sz w:val="22"/>
          <w:szCs w:val="22"/>
          <w:lang w:val="hr-HR"/>
        </w:rPr>
        <w:t xml:space="preserve">Glivec iznosi </w:t>
      </w:r>
      <w:r w:rsidRPr="00510442">
        <w:rPr>
          <w:color w:val="000000"/>
          <w:sz w:val="22"/>
          <w:szCs w:val="22"/>
          <w:lang w:val="hr-HR"/>
        </w:rPr>
        <w:t xml:space="preserve">400 mg/dan. </w:t>
      </w:r>
      <w:r w:rsidRPr="00510442">
        <w:rPr>
          <w:sz w:val="22"/>
          <w:szCs w:val="22"/>
          <w:lang w:val="hr-HR"/>
        </w:rPr>
        <w:t xml:space="preserve">Do sada nije </w:t>
      </w:r>
      <w:r w:rsidR="0037744A" w:rsidRPr="00510442">
        <w:rPr>
          <w:sz w:val="22"/>
          <w:szCs w:val="22"/>
          <w:lang w:val="hr-HR"/>
        </w:rPr>
        <w:t xml:space="preserve">ustanovljeno </w:t>
      </w:r>
      <w:r w:rsidRPr="00510442">
        <w:rPr>
          <w:sz w:val="22"/>
          <w:szCs w:val="22"/>
          <w:lang w:val="hr-HR"/>
        </w:rPr>
        <w:t xml:space="preserve">optimalno trajanje liječenja. Duljina liječenja u kliničkom ispitivanju vezanom uz ovu indikaciju bila je </w:t>
      </w:r>
      <w:r w:rsidRPr="00510442">
        <w:rPr>
          <w:color w:val="000000"/>
          <w:sz w:val="22"/>
          <w:szCs w:val="22"/>
          <w:lang w:val="hr-HR"/>
        </w:rPr>
        <w:t>36 mjeseci (vidjeti dio 5.1).</w:t>
      </w:r>
    </w:p>
    <w:p w14:paraId="171F9C43" w14:textId="77777777" w:rsidR="003A274D" w:rsidRPr="00510442" w:rsidRDefault="003A274D" w:rsidP="003A274D">
      <w:pPr>
        <w:pStyle w:val="EndnoteText"/>
        <w:widowControl w:val="0"/>
        <w:tabs>
          <w:tab w:val="clear" w:pos="567"/>
        </w:tabs>
        <w:rPr>
          <w:color w:val="000000"/>
          <w:szCs w:val="22"/>
          <w:lang w:val="hr-HR"/>
        </w:rPr>
      </w:pPr>
    </w:p>
    <w:p w14:paraId="32BA82B1" w14:textId="77777777" w:rsidR="003A274D" w:rsidRPr="00510442" w:rsidRDefault="003A274D" w:rsidP="003179A4">
      <w:pPr>
        <w:pStyle w:val="EndnoteText"/>
        <w:keepNext/>
        <w:widowControl w:val="0"/>
        <w:tabs>
          <w:tab w:val="clear" w:pos="567"/>
        </w:tabs>
        <w:rPr>
          <w:color w:val="000000"/>
          <w:szCs w:val="22"/>
          <w:u w:val="single"/>
          <w:lang w:val="hr-HR"/>
        </w:rPr>
      </w:pPr>
      <w:r w:rsidRPr="00510442">
        <w:rPr>
          <w:color w:val="000000"/>
          <w:szCs w:val="22"/>
          <w:u w:val="single"/>
          <w:lang w:val="hr-HR"/>
        </w:rPr>
        <w:t>Doziranje za DFSP</w:t>
      </w:r>
    </w:p>
    <w:p w14:paraId="38349DAA" w14:textId="3A48EC0B" w:rsidR="003A274D" w:rsidRPr="00510442" w:rsidRDefault="003A274D" w:rsidP="003A274D">
      <w:pPr>
        <w:pStyle w:val="EndnoteText"/>
        <w:widowControl w:val="0"/>
        <w:tabs>
          <w:tab w:val="clear" w:pos="567"/>
        </w:tabs>
        <w:rPr>
          <w:color w:val="000000"/>
          <w:szCs w:val="22"/>
          <w:lang w:val="hr-HR"/>
        </w:rPr>
      </w:pPr>
      <w:r w:rsidRPr="00510442">
        <w:rPr>
          <w:szCs w:val="22"/>
          <w:lang w:val="hr-HR"/>
        </w:rPr>
        <w:t xml:space="preserve">Za odrasle bolesnike s DFSP-om preporučena doza </w:t>
      </w:r>
      <w:r w:rsidR="004007D1" w:rsidRPr="00512481">
        <w:rPr>
          <w:szCs w:val="22"/>
          <w:lang w:val="hr-HR"/>
        </w:rPr>
        <w:t xml:space="preserve">lijeka </w:t>
      </w:r>
      <w:r w:rsidRPr="00510442">
        <w:rPr>
          <w:szCs w:val="22"/>
          <w:lang w:val="hr-HR"/>
        </w:rPr>
        <w:t xml:space="preserve">Glivec iznosi </w:t>
      </w:r>
      <w:r w:rsidRPr="00510442">
        <w:rPr>
          <w:color w:val="000000"/>
          <w:szCs w:val="22"/>
          <w:lang w:val="hr-HR"/>
        </w:rPr>
        <w:t>800 mg/dan.</w:t>
      </w:r>
    </w:p>
    <w:p w14:paraId="559142AC" w14:textId="77777777" w:rsidR="003A274D" w:rsidRPr="00510442" w:rsidRDefault="003A274D" w:rsidP="003A274D">
      <w:pPr>
        <w:pStyle w:val="EndnoteText"/>
        <w:widowControl w:val="0"/>
        <w:tabs>
          <w:tab w:val="clear" w:pos="567"/>
        </w:tabs>
        <w:rPr>
          <w:color w:val="000000"/>
          <w:szCs w:val="22"/>
          <w:lang w:val="hr-HR"/>
        </w:rPr>
      </w:pPr>
    </w:p>
    <w:p w14:paraId="40B79800" w14:textId="77777777" w:rsidR="003A274D" w:rsidRPr="00510442" w:rsidRDefault="003A274D" w:rsidP="003179A4">
      <w:pPr>
        <w:pStyle w:val="EndnoteText"/>
        <w:keepNext/>
        <w:widowControl w:val="0"/>
        <w:tabs>
          <w:tab w:val="clear" w:pos="567"/>
        </w:tabs>
        <w:rPr>
          <w:color w:val="000000"/>
          <w:szCs w:val="22"/>
          <w:u w:val="single"/>
          <w:lang w:val="hr-HR"/>
        </w:rPr>
      </w:pPr>
      <w:r w:rsidRPr="00510442">
        <w:rPr>
          <w:szCs w:val="22"/>
          <w:u w:val="single"/>
          <w:lang w:val="hr-HR"/>
        </w:rPr>
        <w:t>Prilagođavanje doze zbog nuspojava</w:t>
      </w:r>
    </w:p>
    <w:p w14:paraId="5E4F17D5" w14:textId="77777777" w:rsidR="003A274D" w:rsidRPr="00510442" w:rsidRDefault="003A274D" w:rsidP="003179A4">
      <w:pPr>
        <w:pStyle w:val="EndnoteText"/>
        <w:keepNext/>
        <w:widowControl w:val="0"/>
        <w:tabs>
          <w:tab w:val="clear" w:pos="567"/>
        </w:tabs>
        <w:rPr>
          <w:i/>
          <w:color w:val="000000"/>
          <w:szCs w:val="22"/>
          <w:lang w:val="hr-HR"/>
        </w:rPr>
      </w:pPr>
      <w:r w:rsidRPr="00510442">
        <w:rPr>
          <w:i/>
          <w:szCs w:val="22"/>
          <w:lang w:val="hr-HR"/>
        </w:rPr>
        <w:t>Nehematološke nuspojave</w:t>
      </w:r>
    </w:p>
    <w:p w14:paraId="1B522C6F" w14:textId="1A94425B" w:rsidR="003A274D" w:rsidRPr="00510442" w:rsidRDefault="003A274D" w:rsidP="003A274D">
      <w:pPr>
        <w:pStyle w:val="EndnoteText"/>
        <w:widowControl w:val="0"/>
        <w:tabs>
          <w:tab w:val="clear" w:pos="567"/>
        </w:tabs>
        <w:rPr>
          <w:color w:val="000000"/>
          <w:szCs w:val="22"/>
          <w:lang w:val="hr-HR"/>
        </w:rPr>
      </w:pPr>
      <w:r w:rsidRPr="00510442">
        <w:rPr>
          <w:szCs w:val="22"/>
          <w:lang w:val="hr-HR"/>
        </w:rPr>
        <w:t xml:space="preserve">Ako se tijekom primjene </w:t>
      </w:r>
      <w:r w:rsidR="004007D1" w:rsidRPr="00512481">
        <w:rPr>
          <w:szCs w:val="22"/>
          <w:lang w:val="hr-HR"/>
        </w:rPr>
        <w:t xml:space="preserve">lijeka </w:t>
      </w:r>
      <w:r w:rsidRPr="00510442">
        <w:rPr>
          <w:szCs w:val="22"/>
          <w:lang w:val="hr-HR"/>
        </w:rPr>
        <w:t>Glivec razvije teška nehematološka nuspojava, liječenje se mora prekinuti sve dok se događaj ne razriješi. Nakon toga se liječenje može nastaviti ovisno o početnoj težini događaja</w:t>
      </w:r>
      <w:r w:rsidRPr="00510442">
        <w:rPr>
          <w:color w:val="000000"/>
          <w:szCs w:val="22"/>
          <w:lang w:val="hr-HR"/>
        </w:rPr>
        <w:t>.</w:t>
      </w:r>
    </w:p>
    <w:p w14:paraId="3A7F60F0" w14:textId="77777777" w:rsidR="003A274D" w:rsidRPr="00510442" w:rsidRDefault="003A274D" w:rsidP="003A274D">
      <w:pPr>
        <w:pStyle w:val="EndnoteText"/>
        <w:widowControl w:val="0"/>
        <w:tabs>
          <w:tab w:val="clear" w:pos="567"/>
        </w:tabs>
        <w:rPr>
          <w:color w:val="000000"/>
          <w:szCs w:val="22"/>
          <w:lang w:val="hr-HR"/>
        </w:rPr>
      </w:pPr>
    </w:p>
    <w:p w14:paraId="43B69D05" w14:textId="70FC8262" w:rsidR="003A274D" w:rsidRPr="00510442" w:rsidRDefault="003A274D" w:rsidP="003A274D">
      <w:pPr>
        <w:pStyle w:val="EndnoteText"/>
        <w:widowControl w:val="0"/>
        <w:tabs>
          <w:tab w:val="clear" w:pos="567"/>
        </w:tabs>
        <w:rPr>
          <w:color w:val="000000"/>
          <w:szCs w:val="22"/>
          <w:lang w:val="hr-HR"/>
        </w:rPr>
      </w:pPr>
      <w:r w:rsidRPr="00510442">
        <w:rPr>
          <w:szCs w:val="22"/>
          <w:lang w:val="hr-HR"/>
        </w:rPr>
        <w:t>Ako je povećanje bilirubina</w:t>
      </w:r>
      <w:r w:rsidRPr="00510442">
        <w:rPr>
          <w:color w:val="000000"/>
          <w:szCs w:val="22"/>
          <w:lang w:val="hr-HR"/>
        </w:rPr>
        <w:t xml:space="preserve"> </w:t>
      </w:r>
      <w:r w:rsidRPr="00510442">
        <w:rPr>
          <w:szCs w:val="22"/>
          <w:lang w:val="hr-HR"/>
        </w:rPr>
        <w:t>&gt;</w:t>
      </w:r>
      <w:r w:rsidRPr="00510442">
        <w:rPr>
          <w:color w:val="000000"/>
          <w:szCs w:val="22"/>
          <w:lang w:val="hr-HR"/>
        </w:rPr>
        <w:t xml:space="preserve">3 x </w:t>
      </w:r>
      <w:r w:rsidRPr="00510442">
        <w:rPr>
          <w:szCs w:val="22"/>
          <w:lang w:val="hr-HR"/>
        </w:rPr>
        <w:t>institucionalne gornje granice normale (IGGN), ili jetrenih transaminaza &gt;</w:t>
      </w:r>
      <w:r w:rsidRPr="00510442">
        <w:rPr>
          <w:color w:val="000000"/>
          <w:szCs w:val="22"/>
          <w:lang w:val="hr-HR"/>
        </w:rPr>
        <w:t xml:space="preserve">5 x IGGN </w:t>
      </w:r>
      <w:r w:rsidRPr="00510442">
        <w:rPr>
          <w:szCs w:val="22"/>
          <w:lang w:val="hr-HR"/>
        </w:rPr>
        <w:t>vrijednosti</w:t>
      </w:r>
      <w:r w:rsidRPr="00510442">
        <w:rPr>
          <w:color w:val="000000"/>
          <w:szCs w:val="22"/>
          <w:lang w:val="hr-HR"/>
        </w:rPr>
        <w:t xml:space="preserve">, </w:t>
      </w:r>
      <w:r w:rsidRPr="00510442">
        <w:rPr>
          <w:szCs w:val="22"/>
          <w:lang w:val="hr-HR"/>
        </w:rPr>
        <w:t xml:space="preserve">primjenu </w:t>
      </w:r>
      <w:r w:rsidR="004007D1" w:rsidRPr="00512481">
        <w:rPr>
          <w:szCs w:val="22"/>
          <w:lang w:val="hr-HR"/>
        </w:rPr>
        <w:t xml:space="preserve">lijeka </w:t>
      </w:r>
      <w:r w:rsidRPr="00510442">
        <w:rPr>
          <w:szCs w:val="22"/>
          <w:lang w:val="hr-HR"/>
        </w:rPr>
        <w:t xml:space="preserve">Glivec treba ukinuti sve dok se razine bilirubina ne vrate na vrijednost </w:t>
      </w:r>
      <w:r w:rsidRPr="00510442">
        <w:rPr>
          <w:color w:val="000000"/>
          <w:szCs w:val="22"/>
          <w:lang w:val="hr-HR"/>
        </w:rPr>
        <w:t xml:space="preserve">&lt;1,5 x IGGN </w:t>
      </w:r>
      <w:r w:rsidRPr="00510442">
        <w:rPr>
          <w:szCs w:val="22"/>
          <w:lang w:val="hr-HR"/>
        </w:rPr>
        <w:t xml:space="preserve">vrijednosti, a razine transaminaze na vrijednost </w:t>
      </w:r>
      <w:r w:rsidRPr="00510442">
        <w:rPr>
          <w:color w:val="000000"/>
          <w:szCs w:val="22"/>
          <w:lang w:val="hr-HR"/>
        </w:rPr>
        <w:t xml:space="preserve">&lt;2,5 x IGGN </w:t>
      </w:r>
      <w:r w:rsidRPr="00510442">
        <w:rPr>
          <w:szCs w:val="22"/>
          <w:lang w:val="hr-HR"/>
        </w:rPr>
        <w:t>vrijednosti</w:t>
      </w:r>
      <w:r w:rsidRPr="00510442">
        <w:rPr>
          <w:color w:val="000000"/>
          <w:szCs w:val="22"/>
          <w:lang w:val="hr-HR"/>
        </w:rPr>
        <w:t xml:space="preserve">. </w:t>
      </w:r>
      <w:r w:rsidRPr="00510442">
        <w:rPr>
          <w:szCs w:val="22"/>
          <w:lang w:val="hr-HR"/>
        </w:rPr>
        <w:t xml:space="preserve">Tada se liječenje </w:t>
      </w:r>
      <w:r w:rsidR="00B0477E">
        <w:rPr>
          <w:szCs w:val="22"/>
          <w:lang w:val="hr-HR"/>
        </w:rPr>
        <w:t xml:space="preserve">lijekom </w:t>
      </w:r>
      <w:r w:rsidRPr="00510442">
        <w:rPr>
          <w:szCs w:val="22"/>
          <w:lang w:val="hr-HR"/>
        </w:rPr>
        <w:t>Glivec može nastaviti uz sniženu dnevnu dozu. Dozu u odraslih treba sniziti s</w:t>
      </w:r>
      <w:r w:rsidRPr="00510442">
        <w:rPr>
          <w:color w:val="000000"/>
          <w:szCs w:val="22"/>
          <w:lang w:val="hr-HR"/>
        </w:rPr>
        <w:t xml:space="preserve"> 400 na 300 mg ili s 600 na 400 mg, ili s 800 mg na 600 mg, </w:t>
      </w:r>
      <w:r w:rsidRPr="00510442">
        <w:rPr>
          <w:szCs w:val="22"/>
          <w:lang w:val="hr-HR"/>
        </w:rPr>
        <w:t>a u djece s</w:t>
      </w:r>
      <w:r w:rsidRPr="00510442">
        <w:rPr>
          <w:color w:val="000000"/>
          <w:szCs w:val="22"/>
          <w:lang w:val="hr-HR"/>
        </w:rPr>
        <w:t xml:space="preserve"> 340 na 260 mg/m</w:t>
      </w:r>
      <w:r w:rsidRPr="00510442">
        <w:rPr>
          <w:color w:val="000000"/>
          <w:szCs w:val="22"/>
          <w:vertAlign w:val="superscript"/>
          <w:lang w:val="hr-HR"/>
        </w:rPr>
        <w:t>2</w:t>
      </w:r>
      <w:r w:rsidRPr="00510442">
        <w:rPr>
          <w:color w:val="000000"/>
          <w:szCs w:val="22"/>
          <w:lang w:val="hr-HR"/>
        </w:rPr>
        <w:t>/dan.</w:t>
      </w:r>
    </w:p>
    <w:p w14:paraId="4FB2ADBF" w14:textId="77777777" w:rsidR="003A274D" w:rsidRPr="00510442" w:rsidRDefault="003A274D" w:rsidP="003A274D">
      <w:pPr>
        <w:pStyle w:val="EndnoteText"/>
        <w:widowControl w:val="0"/>
        <w:tabs>
          <w:tab w:val="clear" w:pos="567"/>
        </w:tabs>
        <w:rPr>
          <w:color w:val="000000"/>
          <w:szCs w:val="22"/>
          <w:lang w:val="hr-HR"/>
        </w:rPr>
      </w:pPr>
    </w:p>
    <w:p w14:paraId="14C04591" w14:textId="77777777" w:rsidR="003A274D" w:rsidRPr="00510442" w:rsidRDefault="003A274D" w:rsidP="003179A4">
      <w:pPr>
        <w:pStyle w:val="EndnoteText"/>
        <w:keepNext/>
        <w:widowControl w:val="0"/>
        <w:tabs>
          <w:tab w:val="clear" w:pos="567"/>
        </w:tabs>
        <w:rPr>
          <w:i/>
          <w:color w:val="000000"/>
          <w:szCs w:val="22"/>
          <w:lang w:val="hr-HR"/>
        </w:rPr>
      </w:pPr>
      <w:r w:rsidRPr="00510442">
        <w:rPr>
          <w:i/>
          <w:szCs w:val="22"/>
          <w:lang w:val="hr-HR"/>
        </w:rPr>
        <w:t>Hematološke nuspojave</w:t>
      </w:r>
    </w:p>
    <w:p w14:paraId="2F398299" w14:textId="77777777" w:rsidR="003A274D" w:rsidRPr="00510442" w:rsidRDefault="003A274D" w:rsidP="003A274D">
      <w:pPr>
        <w:pStyle w:val="EndnoteText"/>
        <w:widowControl w:val="0"/>
        <w:tabs>
          <w:tab w:val="clear" w:pos="567"/>
        </w:tabs>
        <w:rPr>
          <w:color w:val="000000"/>
          <w:szCs w:val="22"/>
          <w:lang w:val="hr-HR"/>
        </w:rPr>
      </w:pPr>
      <w:r w:rsidRPr="00510442">
        <w:rPr>
          <w:szCs w:val="22"/>
          <w:lang w:val="hr-HR"/>
        </w:rPr>
        <w:t>Preporučuje se dozu smanjiti ili liječenje prekinuti zbog teške neutropenije i trombocitopenije, kao što je prikazano u donjoj tablici</w:t>
      </w:r>
      <w:r w:rsidRPr="00510442">
        <w:rPr>
          <w:color w:val="000000"/>
          <w:szCs w:val="22"/>
          <w:lang w:val="hr-HR"/>
        </w:rPr>
        <w:t>.</w:t>
      </w:r>
    </w:p>
    <w:p w14:paraId="4C5406E4" w14:textId="77777777" w:rsidR="003A274D" w:rsidRPr="00510442" w:rsidRDefault="003A274D" w:rsidP="003A274D">
      <w:pPr>
        <w:pStyle w:val="EndnoteText"/>
        <w:widowControl w:val="0"/>
        <w:tabs>
          <w:tab w:val="clear" w:pos="567"/>
        </w:tabs>
        <w:rPr>
          <w:color w:val="000000"/>
          <w:szCs w:val="22"/>
          <w:lang w:val="hr-HR"/>
        </w:rPr>
      </w:pPr>
    </w:p>
    <w:p w14:paraId="4E993477" w14:textId="77777777" w:rsidR="003A274D" w:rsidRPr="00510442" w:rsidRDefault="003A274D" w:rsidP="003179A4">
      <w:pPr>
        <w:pStyle w:val="EndnoteText"/>
        <w:keepNext/>
        <w:widowControl w:val="0"/>
        <w:tabs>
          <w:tab w:val="clear" w:pos="567"/>
        </w:tabs>
        <w:rPr>
          <w:color w:val="000000"/>
          <w:szCs w:val="22"/>
          <w:lang w:val="hr-HR"/>
        </w:rPr>
      </w:pPr>
      <w:r w:rsidRPr="00510442">
        <w:rPr>
          <w:szCs w:val="22"/>
          <w:lang w:val="hr-HR"/>
        </w:rPr>
        <w:t>Prilagođavanje doze zbog neutropenije i trombocitopenije</w:t>
      </w:r>
      <w:r w:rsidRPr="00510442">
        <w:rPr>
          <w:color w:val="000000"/>
          <w:szCs w:val="22"/>
          <w:lang w:val="hr-HR"/>
        </w:rPr>
        <w:t>:</w:t>
      </w:r>
    </w:p>
    <w:p w14:paraId="667E98B0" w14:textId="77777777" w:rsidR="003A274D" w:rsidRPr="00510442" w:rsidRDefault="003A274D" w:rsidP="003179A4">
      <w:pPr>
        <w:pStyle w:val="EndnoteText"/>
        <w:keepNext/>
        <w:widowControl w:val="0"/>
        <w:tabs>
          <w:tab w:val="clear" w:pos="567"/>
        </w:tabs>
        <w:rPr>
          <w:color w:val="000000"/>
          <w:szCs w:val="22"/>
          <w:lang w:val="hr-HR"/>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2268"/>
        <w:gridCol w:w="4678"/>
      </w:tblGrid>
      <w:tr w:rsidR="003A274D" w:rsidRPr="00F410C8" w14:paraId="3A4C751E" w14:textId="77777777" w:rsidTr="003179A4">
        <w:trPr>
          <w:cantSplit/>
        </w:trPr>
        <w:tc>
          <w:tcPr>
            <w:tcW w:w="2376" w:type="dxa"/>
          </w:tcPr>
          <w:p w14:paraId="21B48183" w14:textId="77777777" w:rsidR="003A274D" w:rsidRPr="00510442" w:rsidRDefault="003A274D" w:rsidP="005E4981">
            <w:pPr>
              <w:pStyle w:val="EndnoteText"/>
              <w:widowControl w:val="0"/>
              <w:tabs>
                <w:tab w:val="clear" w:pos="567"/>
              </w:tabs>
              <w:rPr>
                <w:color w:val="000000"/>
                <w:szCs w:val="22"/>
                <w:lang w:val="hr-HR"/>
              </w:rPr>
            </w:pPr>
            <w:r w:rsidRPr="00510442">
              <w:rPr>
                <w:color w:val="000000"/>
                <w:szCs w:val="22"/>
                <w:lang w:val="hr-HR"/>
              </w:rPr>
              <w:t>HES/KEL (početna doza 100 mg)</w:t>
            </w:r>
          </w:p>
        </w:tc>
        <w:tc>
          <w:tcPr>
            <w:tcW w:w="2268" w:type="dxa"/>
          </w:tcPr>
          <w:p w14:paraId="24D955CF" w14:textId="77777777" w:rsidR="003A274D" w:rsidRPr="00510442" w:rsidRDefault="003A274D" w:rsidP="005E4981">
            <w:pPr>
              <w:pStyle w:val="Table"/>
              <w:keepNext w:val="0"/>
              <w:keepLines w:val="0"/>
              <w:widowControl w:val="0"/>
              <w:suppressLineNumbers/>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ABN &lt; 1,0 x 10</w:t>
            </w:r>
            <w:r w:rsidRPr="00510442">
              <w:rPr>
                <w:rFonts w:ascii="Times New Roman" w:hAnsi="Times New Roman"/>
                <w:color w:val="000000"/>
                <w:sz w:val="22"/>
                <w:szCs w:val="22"/>
                <w:vertAlign w:val="superscript"/>
                <w:lang w:val="hr-HR"/>
              </w:rPr>
              <w:t>9</w:t>
            </w:r>
            <w:r w:rsidRPr="00510442">
              <w:rPr>
                <w:rFonts w:ascii="Times New Roman" w:hAnsi="Times New Roman"/>
                <w:color w:val="000000"/>
                <w:sz w:val="22"/>
                <w:szCs w:val="22"/>
                <w:lang w:val="hr-HR"/>
              </w:rPr>
              <w:t>/l</w:t>
            </w:r>
          </w:p>
          <w:p w14:paraId="40BDAA29" w14:textId="77777777" w:rsidR="003A274D" w:rsidRPr="00510442" w:rsidRDefault="003A274D" w:rsidP="005E4981">
            <w:pPr>
              <w:pStyle w:val="Table"/>
              <w:keepNext w:val="0"/>
              <w:keepLines w:val="0"/>
              <w:widowControl w:val="0"/>
              <w:suppressLineNumbers/>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i/ili</w:t>
            </w:r>
          </w:p>
          <w:p w14:paraId="4735B711" w14:textId="77777777" w:rsidR="003A274D" w:rsidRPr="00510442" w:rsidRDefault="003A274D" w:rsidP="005E4981">
            <w:pPr>
              <w:pStyle w:val="Table"/>
              <w:keepNext w:val="0"/>
              <w:keepLines w:val="0"/>
              <w:widowControl w:val="0"/>
              <w:suppressLineNumbers/>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trombociti &lt; 50 x 10</w:t>
            </w:r>
            <w:r w:rsidRPr="00510442">
              <w:rPr>
                <w:rFonts w:ascii="Times New Roman" w:hAnsi="Times New Roman"/>
                <w:color w:val="000000"/>
                <w:sz w:val="22"/>
                <w:szCs w:val="22"/>
                <w:vertAlign w:val="superscript"/>
                <w:lang w:val="hr-HR"/>
              </w:rPr>
              <w:t>9</w:t>
            </w:r>
            <w:r w:rsidRPr="00510442">
              <w:rPr>
                <w:rFonts w:ascii="Times New Roman" w:hAnsi="Times New Roman"/>
                <w:color w:val="000000"/>
                <w:sz w:val="22"/>
                <w:szCs w:val="22"/>
                <w:lang w:val="hr-HR"/>
              </w:rPr>
              <w:t>/l</w:t>
            </w:r>
          </w:p>
        </w:tc>
        <w:tc>
          <w:tcPr>
            <w:tcW w:w="4678" w:type="dxa"/>
          </w:tcPr>
          <w:p w14:paraId="72BCEEA6" w14:textId="77777777" w:rsidR="003A274D" w:rsidRPr="00307897" w:rsidRDefault="003A274D" w:rsidP="005E4981">
            <w:pPr>
              <w:pStyle w:val="Table"/>
              <w:keepNext w:val="0"/>
              <w:keepLines w:val="0"/>
              <w:widowControl w:val="0"/>
              <w:suppressLineNumbers/>
              <w:tabs>
                <w:tab w:val="clear" w:pos="284"/>
              </w:tabs>
              <w:spacing w:before="0" w:after="0"/>
              <w:ind w:left="469" w:hanging="469"/>
              <w:rPr>
                <w:rFonts w:ascii="Times New Roman" w:hAnsi="Times New Roman"/>
                <w:color w:val="000000"/>
                <w:sz w:val="22"/>
                <w:szCs w:val="22"/>
                <w:lang w:val="hr-HR"/>
              </w:rPr>
            </w:pPr>
            <w:r w:rsidRPr="00510442">
              <w:rPr>
                <w:rFonts w:ascii="Times New Roman" w:hAnsi="Times New Roman"/>
                <w:color w:val="000000"/>
                <w:sz w:val="22"/>
                <w:szCs w:val="22"/>
                <w:lang w:val="hr-HR"/>
              </w:rPr>
              <w:t>1.</w:t>
            </w:r>
            <w:r w:rsidRPr="00510442">
              <w:rPr>
                <w:rFonts w:ascii="Times New Roman" w:hAnsi="Times New Roman"/>
                <w:color w:val="000000"/>
                <w:sz w:val="22"/>
                <w:szCs w:val="22"/>
                <w:lang w:val="hr-HR"/>
              </w:rPr>
              <w:tab/>
            </w:r>
            <w:r w:rsidRPr="00510442">
              <w:rPr>
                <w:rFonts w:ascii="Times New Roman" w:hAnsi="Times New Roman"/>
                <w:sz w:val="22"/>
                <w:szCs w:val="22"/>
                <w:lang w:val="hr-HR"/>
              </w:rPr>
              <w:t xml:space="preserve">Ukinuti Glivec sve dok ABN ne bude </w:t>
            </w:r>
            <w:r w:rsidRPr="00307897">
              <w:rPr>
                <w:rFonts w:ascii="Times New Roman" w:hAnsi="Times New Roman"/>
                <w:color w:val="000000"/>
                <w:sz w:val="22"/>
                <w:szCs w:val="22"/>
                <w:lang w:val="hr-HR"/>
              </w:rPr>
              <w:sym w:font="Symbol" w:char="F0B3"/>
            </w:r>
            <w:r w:rsidRPr="00307897">
              <w:rPr>
                <w:rFonts w:ascii="Times New Roman" w:hAnsi="Times New Roman"/>
                <w:color w:val="000000"/>
                <w:sz w:val="22"/>
                <w:szCs w:val="22"/>
                <w:lang w:val="hr-HR"/>
              </w:rPr>
              <w:t>1,5 x 10</w:t>
            </w:r>
            <w:r w:rsidRPr="00307897">
              <w:rPr>
                <w:rFonts w:ascii="Times New Roman" w:hAnsi="Times New Roman"/>
                <w:color w:val="000000"/>
                <w:sz w:val="22"/>
                <w:szCs w:val="22"/>
                <w:vertAlign w:val="superscript"/>
                <w:lang w:val="hr-HR"/>
              </w:rPr>
              <w:t>9</w:t>
            </w:r>
            <w:r w:rsidRPr="00307897">
              <w:rPr>
                <w:rFonts w:ascii="Times New Roman" w:hAnsi="Times New Roman"/>
                <w:color w:val="000000"/>
                <w:sz w:val="22"/>
                <w:szCs w:val="22"/>
                <w:lang w:val="hr-HR"/>
              </w:rPr>
              <w:t xml:space="preserve">/l i trombociti </w:t>
            </w:r>
            <w:r w:rsidRPr="00307897">
              <w:rPr>
                <w:rFonts w:ascii="Times New Roman" w:hAnsi="Times New Roman"/>
                <w:color w:val="000000"/>
                <w:sz w:val="22"/>
                <w:szCs w:val="22"/>
                <w:lang w:val="hr-HR"/>
              </w:rPr>
              <w:sym w:font="Symbol" w:char="F0B3"/>
            </w:r>
            <w:r w:rsidRPr="00307897">
              <w:rPr>
                <w:rFonts w:ascii="Times New Roman" w:hAnsi="Times New Roman"/>
                <w:color w:val="000000"/>
                <w:sz w:val="22"/>
                <w:szCs w:val="22"/>
                <w:lang w:val="hr-HR"/>
              </w:rPr>
              <w:t>75 x 10</w:t>
            </w:r>
            <w:r w:rsidRPr="00307897">
              <w:rPr>
                <w:rFonts w:ascii="Times New Roman" w:hAnsi="Times New Roman"/>
                <w:color w:val="000000"/>
                <w:sz w:val="22"/>
                <w:szCs w:val="22"/>
                <w:vertAlign w:val="superscript"/>
                <w:lang w:val="hr-HR"/>
              </w:rPr>
              <w:t>9</w:t>
            </w:r>
            <w:r w:rsidRPr="00307897">
              <w:rPr>
                <w:rFonts w:ascii="Times New Roman" w:hAnsi="Times New Roman"/>
                <w:color w:val="000000"/>
                <w:sz w:val="22"/>
                <w:szCs w:val="22"/>
                <w:lang w:val="hr-HR"/>
              </w:rPr>
              <w:t>/l.</w:t>
            </w:r>
          </w:p>
          <w:p w14:paraId="551C5096" w14:textId="2222D86C" w:rsidR="003A274D" w:rsidRPr="00510442" w:rsidRDefault="003A274D" w:rsidP="00B0477E">
            <w:pPr>
              <w:pStyle w:val="Table"/>
              <w:keepNext w:val="0"/>
              <w:keepLines w:val="0"/>
              <w:widowControl w:val="0"/>
              <w:suppressLineNumbers/>
              <w:tabs>
                <w:tab w:val="clear" w:pos="284"/>
              </w:tabs>
              <w:spacing w:before="0" w:after="0"/>
              <w:ind w:left="469" w:hanging="469"/>
              <w:rPr>
                <w:rFonts w:ascii="Times New Roman" w:hAnsi="Times New Roman"/>
                <w:color w:val="000000"/>
                <w:sz w:val="22"/>
                <w:szCs w:val="22"/>
                <w:lang w:val="hr-HR"/>
              </w:rPr>
            </w:pPr>
            <w:r w:rsidRPr="00A00164">
              <w:rPr>
                <w:rFonts w:ascii="Times New Roman" w:hAnsi="Times New Roman"/>
                <w:color w:val="000000"/>
                <w:sz w:val="22"/>
                <w:szCs w:val="22"/>
                <w:lang w:val="hr-HR"/>
              </w:rPr>
              <w:t>2.</w:t>
            </w:r>
            <w:r w:rsidRPr="00A00164">
              <w:rPr>
                <w:rFonts w:ascii="Times New Roman" w:hAnsi="Times New Roman"/>
                <w:color w:val="000000"/>
                <w:sz w:val="22"/>
                <w:szCs w:val="22"/>
                <w:lang w:val="hr-HR"/>
              </w:rPr>
              <w:tab/>
            </w:r>
            <w:r w:rsidRPr="00973BDD">
              <w:rPr>
                <w:rFonts w:ascii="Times New Roman" w:hAnsi="Times New Roman"/>
                <w:sz w:val="22"/>
                <w:szCs w:val="22"/>
                <w:lang w:val="hr-HR"/>
              </w:rPr>
              <w:t>Pon</w:t>
            </w:r>
            <w:r w:rsidRPr="000B51EB">
              <w:rPr>
                <w:rFonts w:ascii="Times New Roman" w:hAnsi="Times New Roman"/>
                <w:sz w:val="22"/>
                <w:szCs w:val="22"/>
                <w:lang w:val="hr-HR"/>
              </w:rPr>
              <w:t xml:space="preserve">ovno uvesti liječenje </w:t>
            </w:r>
            <w:r w:rsidR="00B0477E" w:rsidRPr="00B0477E">
              <w:rPr>
                <w:rFonts w:ascii="Times New Roman" w:hAnsi="Times New Roman"/>
                <w:sz w:val="22"/>
                <w:szCs w:val="22"/>
                <w:lang w:val="hr-HR"/>
              </w:rPr>
              <w:t xml:space="preserve">lijekom </w:t>
            </w:r>
            <w:r w:rsidRPr="000B51EB">
              <w:rPr>
                <w:rFonts w:ascii="Times New Roman" w:hAnsi="Times New Roman"/>
                <w:sz w:val="22"/>
                <w:szCs w:val="22"/>
                <w:lang w:val="hr-HR"/>
              </w:rPr>
              <w:t>Glivec u prijašnjoj dozi (tj. prije teške nuspojave)</w:t>
            </w:r>
            <w:r w:rsidRPr="00510442">
              <w:rPr>
                <w:rFonts w:ascii="Times New Roman" w:hAnsi="Times New Roman"/>
                <w:color w:val="000000"/>
                <w:sz w:val="22"/>
                <w:szCs w:val="22"/>
                <w:lang w:val="hr-HR"/>
              </w:rPr>
              <w:t>.</w:t>
            </w:r>
          </w:p>
        </w:tc>
      </w:tr>
      <w:tr w:rsidR="003A274D" w:rsidRPr="00F410C8" w14:paraId="55698498" w14:textId="77777777" w:rsidTr="003179A4">
        <w:trPr>
          <w:cantSplit/>
        </w:trPr>
        <w:tc>
          <w:tcPr>
            <w:tcW w:w="2376" w:type="dxa"/>
          </w:tcPr>
          <w:p w14:paraId="2235C595" w14:textId="77777777" w:rsidR="003A274D" w:rsidRPr="00510442" w:rsidRDefault="003A274D" w:rsidP="005E4981">
            <w:pPr>
              <w:pStyle w:val="EndnoteText"/>
              <w:widowControl w:val="0"/>
              <w:tabs>
                <w:tab w:val="clear" w:pos="567"/>
              </w:tabs>
              <w:rPr>
                <w:color w:val="000000"/>
                <w:szCs w:val="22"/>
                <w:lang w:val="hr-HR"/>
              </w:rPr>
            </w:pPr>
            <w:r w:rsidRPr="00510442">
              <w:rPr>
                <w:szCs w:val="22"/>
                <w:lang w:val="hr-HR"/>
              </w:rPr>
              <w:t xml:space="preserve">Kronična faza KML-a, MDS/MPD-a i GIST-a (početna doza </w:t>
            </w:r>
            <w:r w:rsidRPr="00510442">
              <w:rPr>
                <w:color w:val="000000"/>
                <w:szCs w:val="22"/>
                <w:lang w:val="hr-HR"/>
              </w:rPr>
              <w:t>400 mg)</w:t>
            </w:r>
          </w:p>
          <w:p w14:paraId="03E9BC20" w14:textId="77777777" w:rsidR="003A274D" w:rsidRPr="00510442" w:rsidRDefault="003A274D" w:rsidP="005E4981">
            <w:pPr>
              <w:pStyle w:val="EndnoteText"/>
              <w:widowControl w:val="0"/>
              <w:tabs>
                <w:tab w:val="clear" w:pos="567"/>
              </w:tabs>
              <w:rPr>
                <w:color w:val="000000"/>
                <w:szCs w:val="22"/>
                <w:lang w:val="hr-HR"/>
              </w:rPr>
            </w:pPr>
            <w:r w:rsidRPr="00510442">
              <w:rPr>
                <w:color w:val="000000"/>
                <w:szCs w:val="22"/>
                <w:lang w:val="hr-HR"/>
              </w:rPr>
              <w:t>HES/KEL</w:t>
            </w:r>
          </w:p>
          <w:p w14:paraId="38E2C6AE" w14:textId="77777777" w:rsidR="003A274D" w:rsidRPr="00510442" w:rsidRDefault="003A274D" w:rsidP="005E4981">
            <w:pPr>
              <w:pStyle w:val="EndnoteText"/>
              <w:widowControl w:val="0"/>
              <w:tabs>
                <w:tab w:val="clear" w:pos="567"/>
              </w:tabs>
              <w:rPr>
                <w:color w:val="000000"/>
                <w:szCs w:val="22"/>
                <w:lang w:val="hr-HR"/>
              </w:rPr>
            </w:pPr>
            <w:r w:rsidRPr="00510442">
              <w:rPr>
                <w:color w:val="000000"/>
                <w:szCs w:val="22"/>
                <w:lang w:val="hr-HR"/>
              </w:rPr>
              <w:t>(doza od 400 mg)</w:t>
            </w:r>
          </w:p>
        </w:tc>
        <w:tc>
          <w:tcPr>
            <w:tcW w:w="2268" w:type="dxa"/>
          </w:tcPr>
          <w:p w14:paraId="6EECDDBF" w14:textId="77777777" w:rsidR="003A274D" w:rsidRPr="00510442" w:rsidRDefault="003A274D" w:rsidP="005E4981">
            <w:pPr>
              <w:pStyle w:val="Table"/>
              <w:keepNext w:val="0"/>
              <w:keepLines w:val="0"/>
              <w:widowControl w:val="0"/>
              <w:suppressLineNumbers/>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ABN &lt; 1,0 x 10</w:t>
            </w:r>
            <w:r w:rsidRPr="00510442">
              <w:rPr>
                <w:rFonts w:ascii="Times New Roman" w:hAnsi="Times New Roman"/>
                <w:color w:val="000000"/>
                <w:sz w:val="22"/>
                <w:szCs w:val="22"/>
                <w:vertAlign w:val="superscript"/>
                <w:lang w:val="hr-HR"/>
              </w:rPr>
              <w:t>9</w:t>
            </w:r>
            <w:r w:rsidRPr="00510442">
              <w:rPr>
                <w:rFonts w:ascii="Times New Roman" w:hAnsi="Times New Roman"/>
                <w:color w:val="000000"/>
                <w:sz w:val="22"/>
                <w:szCs w:val="22"/>
                <w:lang w:val="hr-HR"/>
              </w:rPr>
              <w:t>/l</w:t>
            </w:r>
          </w:p>
          <w:p w14:paraId="1003CEBE" w14:textId="77777777" w:rsidR="003A274D" w:rsidRPr="00510442" w:rsidRDefault="003A274D" w:rsidP="005E4981">
            <w:pPr>
              <w:pStyle w:val="Table"/>
              <w:keepNext w:val="0"/>
              <w:keepLines w:val="0"/>
              <w:widowControl w:val="0"/>
              <w:suppressLineNumbers/>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i/ili</w:t>
            </w:r>
          </w:p>
          <w:p w14:paraId="7D1F074B" w14:textId="77777777" w:rsidR="003A274D" w:rsidRPr="00510442" w:rsidRDefault="003A274D" w:rsidP="005E4981">
            <w:pPr>
              <w:pStyle w:val="EndnoteText"/>
              <w:widowControl w:val="0"/>
              <w:tabs>
                <w:tab w:val="clear" w:pos="567"/>
              </w:tabs>
              <w:rPr>
                <w:color w:val="000000"/>
                <w:szCs w:val="22"/>
                <w:lang w:val="hr-HR"/>
              </w:rPr>
            </w:pPr>
            <w:r w:rsidRPr="00510442">
              <w:rPr>
                <w:color w:val="000000"/>
                <w:szCs w:val="22"/>
                <w:lang w:val="hr-HR"/>
              </w:rPr>
              <w:t>trombociti &lt; 50 x 10</w:t>
            </w:r>
            <w:r w:rsidRPr="00510442">
              <w:rPr>
                <w:color w:val="000000"/>
                <w:szCs w:val="22"/>
                <w:vertAlign w:val="superscript"/>
                <w:lang w:val="hr-HR"/>
              </w:rPr>
              <w:t>9</w:t>
            </w:r>
            <w:r w:rsidRPr="00510442">
              <w:rPr>
                <w:color w:val="000000"/>
                <w:szCs w:val="22"/>
                <w:lang w:val="hr-HR"/>
              </w:rPr>
              <w:t>/l</w:t>
            </w:r>
          </w:p>
        </w:tc>
        <w:tc>
          <w:tcPr>
            <w:tcW w:w="4678" w:type="dxa"/>
          </w:tcPr>
          <w:p w14:paraId="2A67B1E6" w14:textId="77777777" w:rsidR="003A274D" w:rsidRPr="00307897" w:rsidRDefault="003A274D" w:rsidP="005E4981">
            <w:pPr>
              <w:pStyle w:val="Table"/>
              <w:keepNext w:val="0"/>
              <w:keepLines w:val="0"/>
              <w:widowControl w:val="0"/>
              <w:suppressLineNumbers/>
              <w:tabs>
                <w:tab w:val="clear" w:pos="284"/>
              </w:tabs>
              <w:spacing w:before="0" w:after="0"/>
              <w:ind w:left="469" w:hanging="469"/>
              <w:rPr>
                <w:rFonts w:ascii="Times New Roman" w:hAnsi="Times New Roman"/>
                <w:color w:val="000000"/>
                <w:sz w:val="22"/>
                <w:szCs w:val="22"/>
                <w:lang w:val="hr-HR"/>
              </w:rPr>
            </w:pPr>
            <w:r w:rsidRPr="00510442">
              <w:rPr>
                <w:rFonts w:ascii="Times New Roman" w:hAnsi="Times New Roman"/>
                <w:color w:val="000000"/>
                <w:sz w:val="22"/>
                <w:szCs w:val="22"/>
                <w:lang w:val="hr-HR"/>
              </w:rPr>
              <w:t>1.</w:t>
            </w:r>
            <w:r w:rsidRPr="00510442">
              <w:rPr>
                <w:rFonts w:ascii="Times New Roman" w:hAnsi="Times New Roman"/>
                <w:color w:val="000000"/>
                <w:sz w:val="22"/>
                <w:szCs w:val="22"/>
                <w:lang w:val="hr-HR"/>
              </w:rPr>
              <w:tab/>
            </w:r>
            <w:r w:rsidRPr="00510442">
              <w:rPr>
                <w:rFonts w:ascii="Times New Roman" w:hAnsi="Times New Roman"/>
                <w:sz w:val="22"/>
                <w:szCs w:val="22"/>
                <w:lang w:val="hr-HR"/>
              </w:rPr>
              <w:t xml:space="preserve">Ukinuti Glivec sve dok ABN ne bude </w:t>
            </w:r>
            <w:r w:rsidRPr="00307897">
              <w:rPr>
                <w:rFonts w:ascii="Times New Roman" w:hAnsi="Times New Roman"/>
                <w:color w:val="000000"/>
                <w:sz w:val="22"/>
                <w:szCs w:val="22"/>
                <w:lang w:val="hr-HR"/>
              </w:rPr>
              <w:sym w:font="Symbol" w:char="F0B3"/>
            </w:r>
            <w:r w:rsidRPr="00307897">
              <w:rPr>
                <w:rFonts w:ascii="Times New Roman" w:hAnsi="Times New Roman"/>
                <w:color w:val="000000"/>
                <w:sz w:val="22"/>
                <w:szCs w:val="22"/>
                <w:lang w:val="hr-HR"/>
              </w:rPr>
              <w:t>1,5 x 10</w:t>
            </w:r>
            <w:r w:rsidRPr="00307897">
              <w:rPr>
                <w:rFonts w:ascii="Times New Roman" w:hAnsi="Times New Roman"/>
                <w:color w:val="000000"/>
                <w:sz w:val="22"/>
                <w:szCs w:val="22"/>
                <w:vertAlign w:val="superscript"/>
                <w:lang w:val="hr-HR"/>
              </w:rPr>
              <w:t>9</w:t>
            </w:r>
            <w:r w:rsidRPr="00A00164">
              <w:rPr>
                <w:rFonts w:ascii="Times New Roman" w:hAnsi="Times New Roman"/>
                <w:color w:val="000000"/>
                <w:sz w:val="22"/>
                <w:szCs w:val="22"/>
                <w:lang w:val="hr-HR"/>
              </w:rPr>
              <w:t>/l i trom</w:t>
            </w:r>
            <w:r w:rsidR="00120018" w:rsidRPr="00973BDD">
              <w:rPr>
                <w:rFonts w:ascii="Times New Roman" w:hAnsi="Times New Roman"/>
                <w:color w:val="000000"/>
                <w:sz w:val="22"/>
                <w:szCs w:val="22"/>
                <w:lang w:val="hr-HR"/>
              </w:rPr>
              <w:t>b</w:t>
            </w:r>
            <w:r w:rsidRPr="000B51EB">
              <w:rPr>
                <w:rFonts w:ascii="Times New Roman" w:hAnsi="Times New Roman"/>
                <w:color w:val="000000"/>
                <w:sz w:val="22"/>
                <w:szCs w:val="22"/>
                <w:lang w:val="hr-HR"/>
              </w:rPr>
              <w:t xml:space="preserve">ociti </w:t>
            </w:r>
            <w:r w:rsidRPr="00307897">
              <w:rPr>
                <w:rFonts w:ascii="Times New Roman" w:hAnsi="Times New Roman"/>
                <w:color w:val="000000"/>
                <w:sz w:val="22"/>
                <w:szCs w:val="22"/>
                <w:lang w:val="hr-HR"/>
              </w:rPr>
              <w:sym w:font="Symbol" w:char="F0B3"/>
            </w:r>
            <w:r w:rsidRPr="00307897">
              <w:rPr>
                <w:rFonts w:ascii="Times New Roman" w:hAnsi="Times New Roman"/>
                <w:color w:val="000000"/>
                <w:sz w:val="22"/>
                <w:szCs w:val="22"/>
                <w:lang w:val="hr-HR"/>
              </w:rPr>
              <w:t>75 x 10</w:t>
            </w:r>
            <w:r w:rsidRPr="00307897">
              <w:rPr>
                <w:rFonts w:ascii="Times New Roman" w:hAnsi="Times New Roman"/>
                <w:color w:val="000000"/>
                <w:sz w:val="22"/>
                <w:szCs w:val="22"/>
                <w:vertAlign w:val="superscript"/>
                <w:lang w:val="hr-HR"/>
              </w:rPr>
              <w:t>9</w:t>
            </w:r>
            <w:r w:rsidRPr="00307897">
              <w:rPr>
                <w:rFonts w:ascii="Times New Roman" w:hAnsi="Times New Roman"/>
                <w:color w:val="000000"/>
                <w:sz w:val="22"/>
                <w:szCs w:val="22"/>
                <w:lang w:val="hr-HR"/>
              </w:rPr>
              <w:t>/l.</w:t>
            </w:r>
          </w:p>
          <w:p w14:paraId="67207C86" w14:textId="2DD57396" w:rsidR="003A274D" w:rsidRPr="000B51EB" w:rsidRDefault="003A274D" w:rsidP="005E4981">
            <w:pPr>
              <w:pStyle w:val="Table"/>
              <w:keepNext w:val="0"/>
              <w:keepLines w:val="0"/>
              <w:widowControl w:val="0"/>
              <w:suppressLineNumbers/>
              <w:tabs>
                <w:tab w:val="clear" w:pos="284"/>
              </w:tabs>
              <w:spacing w:before="0" w:after="0"/>
              <w:ind w:left="469" w:hanging="469"/>
              <w:rPr>
                <w:rFonts w:ascii="Times New Roman" w:hAnsi="Times New Roman"/>
                <w:color w:val="000000"/>
                <w:sz w:val="22"/>
                <w:szCs w:val="22"/>
                <w:lang w:val="hr-HR"/>
              </w:rPr>
            </w:pPr>
            <w:r w:rsidRPr="00A00164">
              <w:rPr>
                <w:rFonts w:ascii="Times New Roman" w:hAnsi="Times New Roman"/>
                <w:color w:val="000000"/>
                <w:sz w:val="22"/>
                <w:szCs w:val="22"/>
                <w:lang w:val="hr-HR"/>
              </w:rPr>
              <w:t>2.</w:t>
            </w:r>
            <w:r w:rsidRPr="00A00164">
              <w:rPr>
                <w:rFonts w:ascii="Times New Roman" w:hAnsi="Times New Roman"/>
                <w:color w:val="000000"/>
                <w:sz w:val="22"/>
                <w:szCs w:val="22"/>
                <w:lang w:val="hr-HR"/>
              </w:rPr>
              <w:tab/>
            </w:r>
            <w:r w:rsidRPr="00973BDD">
              <w:rPr>
                <w:rFonts w:ascii="Times New Roman" w:hAnsi="Times New Roman"/>
                <w:sz w:val="22"/>
                <w:szCs w:val="22"/>
                <w:lang w:val="hr-HR"/>
              </w:rPr>
              <w:t xml:space="preserve">Ponovno uvesti liječenje </w:t>
            </w:r>
            <w:r w:rsidR="00B0477E" w:rsidRPr="00B0477E">
              <w:rPr>
                <w:rFonts w:ascii="Times New Roman" w:hAnsi="Times New Roman"/>
                <w:sz w:val="22"/>
                <w:szCs w:val="22"/>
                <w:lang w:val="hr-HR"/>
              </w:rPr>
              <w:t xml:space="preserve">lijekom </w:t>
            </w:r>
            <w:r w:rsidRPr="00973BDD">
              <w:rPr>
                <w:rFonts w:ascii="Times New Roman" w:hAnsi="Times New Roman"/>
                <w:sz w:val="22"/>
                <w:szCs w:val="22"/>
                <w:lang w:val="hr-HR"/>
              </w:rPr>
              <w:t>Glivec u prijašnjoj dozi (tj. prije teške nuspojave)</w:t>
            </w:r>
            <w:r w:rsidRPr="000B51EB">
              <w:rPr>
                <w:rFonts w:ascii="Times New Roman" w:hAnsi="Times New Roman"/>
                <w:color w:val="000000"/>
                <w:sz w:val="22"/>
                <w:szCs w:val="22"/>
                <w:lang w:val="hr-HR"/>
              </w:rPr>
              <w:t>.</w:t>
            </w:r>
          </w:p>
          <w:p w14:paraId="645614D1" w14:textId="70C01EDA" w:rsidR="003A274D" w:rsidRPr="00510442" w:rsidRDefault="003A274D" w:rsidP="004007D1">
            <w:pPr>
              <w:pStyle w:val="EndnoteText"/>
              <w:widowControl w:val="0"/>
              <w:tabs>
                <w:tab w:val="clear" w:pos="567"/>
              </w:tabs>
              <w:ind w:left="469" w:hanging="469"/>
              <w:rPr>
                <w:color w:val="000000"/>
                <w:szCs w:val="22"/>
                <w:lang w:val="hr-HR"/>
              </w:rPr>
            </w:pPr>
            <w:r w:rsidRPr="00510442">
              <w:rPr>
                <w:color w:val="000000"/>
                <w:szCs w:val="22"/>
                <w:lang w:val="hr-HR"/>
              </w:rPr>
              <w:t>3.</w:t>
            </w:r>
            <w:r w:rsidRPr="00510442">
              <w:rPr>
                <w:color w:val="000000"/>
                <w:szCs w:val="22"/>
                <w:lang w:val="hr-HR"/>
              </w:rPr>
              <w:tab/>
            </w:r>
            <w:r w:rsidRPr="00510442">
              <w:rPr>
                <w:szCs w:val="22"/>
                <w:lang w:val="hr-HR"/>
              </w:rPr>
              <w:t xml:space="preserve">U slučaju da je ABN ponovno </w:t>
            </w:r>
            <w:r w:rsidRPr="00510442">
              <w:rPr>
                <w:color w:val="000000"/>
                <w:szCs w:val="22"/>
                <w:lang w:val="hr-HR"/>
              </w:rPr>
              <w:t>&lt;1,0 x 10</w:t>
            </w:r>
            <w:r w:rsidRPr="00510442">
              <w:rPr>
                <w:color w:val="000000"/>
                <w:szCs w:val="22"/>
                <w:vertAlign w:val="superscript"/>
                <w:lang w:val="hr-HR"/>
              </w:rPr>
              <w:t>9</w:t>
            </w:r>
            <w:r w:rsidRPr="00510442">
              <w:rPr>
                <w:color w:val="000000"/>
                <w:szCs w:val="22"/>
                <w:lang w:val="hr-HR"/>
              </w:rPr>
              <w:t xml:space="preserve">/l </w:t>
            </w:r>
            <w:r w:rsidRPr="00510442">
              <w:rPr>
                <w:szCs w:val="22"/>
                <w:lang w:val="hr-HR"/>
              </w:rPr>
              <w:t>i/ili trombociti</w:t>
            </w:r>
            <w:r w:rsidRPr="00510442">
              <w:rPr>
                <w:color w:val="000000"/>
                <w:szCs w:val="22"/>
                <w:lang w:val="hr-HR"/>
              </w:rPr>
              <w:t xml:space="preserve"> &lt;50 x 10</w:t>
            </w:r>
            <w:r w:rsidRPr="00510442">
              <w:rPr>
                <w:color w:val="000000"/>
                <w:szCs w:val="22"/>
                <w:vertAlign w:val="superscript"/>
                <w:lang w:val="hr-HR"/>
              </w:rPr>
              <w:t>9</w:t>
            </w:r>
            <w:r w:rsidRPr="00510442">
              <w:rPr>
                <w:color w:val="000000"/>
                <w:szCs w:val="22"/>
                <w:lang w:val="hr-HR"/>
              </w:rPr>
              <w:t xml:space="preserve">/l, </w:t>
            </w:r>
            <w:r w:rsidRPr="00510442">
              <w:rPr>
                <w:szCs w:val="22"/>
                <w:lang w:val="hr-HR"/>
              </w:rPr>
              <w:t xml:space="preserve">treba ponoviti 1. korak i nastaviti primjenu </w:t>
            </w:r>
            <w:r w:rsidR="004007D1" w:rsidRPr="00512481">
              <w:rPr>
                <w:szCs w:val="22"/>
                <w:lang w:val="hr-HR"/>
              </w:rPr>
              <w:t xml:space="preserve">lijeka </w:t>
            </w:r>
            <w:r w:rsidRPr="00510442">
              <w:rPr>
                <w:szCs w:val="22"/>
                <w:lang w:val="hr-HR"/>
              </w:rPr>
              <w:t>Glivec u smanjenoj dozi od</w:t>
            </w:r>
            <w:r w:rsidRPr="00510442">
              <w:rPr>
                <w:color w:val="000000"/>
                <w:szCs w:val="22"/>
                <w:lang w:val="hr-HR"/>
              </w:rPr>
              <w:t xml:space="preserve"> 300 mg.</w:t>
            </w:r>
          </w:p>
        </w:tc>
      </w:tr>
      <w:tr w:rsidR="003A274D" w:rsidRPr="00F410C8" w14:paraId="041BD5F0" w14:textId="77777777" w:rsidTr="003179A4">
        <w:trPr>
          <w:cantSplit/>
        </w:trPr>
        <w:tc>
          <w:tcPr>
            <w:tcW w:w="2376" w:type="dxa"/>
          </w:tcPr>
          <w:p w14:paraId="4C109FEC" w14:textId="77777777" w:rsidR="003A274D" w:rsidRPr="00510442" w:rsidRDefault="003A274D" w:rsidP="005E4981">
            <w:pPr>
              <w:spacing w:line="240" w:lineRule="auto"/>
              <w:rPr>
                <w:szCs w:val="22"/>
                <w:lang w:val="hr-HR"/>
              </w:rPr>
            </w:pPr>
            <w:r w:rsidRPr="00510442">
              <w:rPr>
                <w:szCs w:val="22"/>
                <w:lang w:val="hr-HR"/>
              </w:rPr>
              <w:lastRenderedPageBreak/>
              <w:t>Pedijatrijska kronična faza KML-a</w:t>
            </w:r>
          </w:p>
          <w:p w14:paraId="34D3FF5F" w14:textId="77777777" w:rsidR="003A274D" w:rsidRPr="00510442" w:rsidRDefault="003A274D" w:rsidP="005E4981">
            <w:pPr>
              <w:pStyle w:val="EndnoteText"/>
              <w:widowControl w:val="0"/>
              <w:tabs>
                <w:tab w:val="clear" w:pos="567"/>
              </w:tabs>
              <w:rPr>
                <w:color w:val="000000"/>
                <w:szCs w:val="22"/>
                <w:lang w:val="hr-HR"/>
              </w:rPr>
            </w:pPr>
            <w:r w:rsidRPr="00510442">
              <w:rPr>
                <w:szCs w:val="22"/>
                <w:lang w:val="hr-HR"/>
              </w:rPr>
              <w:t xml:space="preserve">(doza od </w:t>
            </w:r>
            <w:r w:rsidRPr="00510442">
              <w:rPr>
                <w:color w:val="000000"/>
                <w:szCs w:val="22"/>
                <w:lang w:val="hr-HR"/>
              </w:rPr>
              <w:t>340 mg/m</w:t>
            </w:r>
            <w:r w:rsidRPr="00510442">
              <w:rPr>
                <w:color w:val="000000"/>
                <w:szCs w:val="22"/>
                <w:vertAlign w:val="superscript"/>
                <w:lang w:val="hr-HR"/>
              </w:rPr>
              <w:t>2</w:t>
            </w:r>
            <w:r w:rsidRPr="00510442">
              <w:rPr>
                <w:color w:val="000000"/>
                <w:szCs w:val="22"/>
                <w:lang w:val="hr-HR"/>
              </w:rPr>
              <w:t>)</w:t>
            </w:r>
          </w:p>
        </w:tc>
        <w:tc>
          <w:tcPr>
            <w:tcW w:w="2268" w:type="dxa"/>
          </w:tcPr>
          <w:p w14:paraId="43F8A2CC" w14:textId="77777777" w:rsidR="003A274D" w:rsidRPr="00510442" w:rsidRDefault="003A274D" w:rsidP="005E4981">
            <w:pPr>
              <w:pStyle w:val="Table"/>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ABN &lt;1,0 x 10</w:t>
            </w:r>
            <w:r w:rsidRPr="00510442">
              <w:rPr>
                <w:rFonts w:ascii="Times New Roman" w:hAnsi="Times New Roman"/>
                <w:color w:val="000000"/>
                <w:sz w:val="22"/>
                <w:szCs w:val="22"/>
                <w:vertAlign w:val="superscript"/>
                <w:lang w:val="hr-HR"/>
              </w:rPr>
              <w:t>9</w:t>
            </w:r>
            <w:r w:rsidRPr="00510442">
              <w:rPr>
                <w:rFonts w:ascii="Times New Roman" w:hAnsi="Times New Roman"/>
                <w:color w:val="000000"/>
                <w:sz w:val="22"/>
                <w:szCs w:val="22"/>
                <w:lang w:val="hr-HR"/>
              </w:rPr>
              <w:t>/l</w:t>
            </w:r>
          </w:p>
          <w:p w14:paraId="348A4A4C" w14:textId="77777777" w:rsidR="003A274D" w:rsidRPr="00510442" w:rsidRDefault="003A274D" w:rsidP="005E4981">
            <w:pPr>
              <w:pStyle w:val="Table"/>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i/ili</w:t>
            </w:r>
          </w:p>
          <w:p w14:paraId="38510573" w14:textId="77777777" w:rsidR="003A274D" w:rsidRPr="00510442" w:rsidRDefault="003A274D" w:rsidP="005E4981">
            <w:pPr>
              <w:pStyle w:val="Table"/>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trombociti &lt;50 x 10</w:t>
            </w:r>
            <w:r w:rsidRPr="00510442">
              <w:rPr>
                <w:rFonts w:ascii="Times New Roman" w:hAnsi="Times New Roman"/>
                <w:color w:val="000000"/>
                <w:sz w:val="22"/>
                <w:szCs w:val="22"/>
                <w:vertAlign w:val="superscript"/>
                <w:lang w:val="hr-HR"/>
              </w:rPr>
              <w:t>9</w:t>
            </w:r>
            <w:r w:rsidRPr="00510442">
              <w:rPr>
                <w:rFonts w:ascii="Times New Roman" w:hAnsi="Times New Roman"/>
                <w:color w:val="000000"/>
                <w:sz w:val="22"/>
                <w:szCs w:val="22"/>
                <w:lang w:val="hr-HR"/>
              </w:rPr>
              <w:t>/l</w:t>
            </w:r>
          </w:p>
          <w:p w14:paraId="174ADD54" w14:textId="77777777" w:rsidR="003A274D" w:rsidRPr="00510442" w:rsidRDefault="003A274D" w:rsidP="005E4981">
            <w:pPr>
              <w:pStyle w:val="Table"/>
              <w:keepNext w:val="0"/>
              <w:keepLines w:val="0"/>
              <w:widowControl w:val="0"/>
              <w:suppressLineNumbers/>
              <w:spacing w:before="0" w:after="0"/>
              <w:rPr>
                <w:rFonts w:ascii="Times New Roman" w:hAnsi="Times New Roman"/>
                <w:color w:val="000000"/>
                <w:sz w:val="22"/>
                <w:szCs w:val="22"/>
                <w:lang w:val="hr-HR"/>
              </w:rPr>
            </w:pPr>
          </w:p>
        </w:tc>
        <w:tc>
          <w:tcPr>
            <w:tcW w:w="4678" w:type="dxa"/>
          </w:tcPr>
          <w:p w14:paraId="2E199D1C" w14:textId="77777777" w:rsidR="003A274D" w:rsidRPr="00307897" w:rsidRDefault="003A274D" w:rsidP="005E4981">
            <w:pPr>
              <w:pStyle w:val="Table"/>
              <w:keepNext w:val="0"/>
              <w:tabs>
                <w:tab w:val="clear" w:pos="284"/>
              </w:tabs>
              <w:spacing w:before="0" w:after="0"/>
              <w:ind w:left="469" w:hanging="469"/>
              <w:rPr>
                <w:rFonts w:ascii="Times New Roman" w:hAnsi="Times New Roman"/>
                <w:color w:val="000000"/>
                <w:sz w:val="22"/>
                <w:szCs w:val="22"/>
                <w:lang w:val="hr-HR"/>
              </w:rPr>
            </w:pPr>
            <w:r w:rsidRPr="00510442">
              <w:rPr>
                <w:rFonts w:ascii="Times New Roman" w:hAnsi="Times New Roman"/>
                <w:color w:val="000000"/>
                <w:sz w:val="22"/>
                <w:szCs w:val="22"/>
                <w:lang w:val="hr-HR"/>
              </w:rPr>
              <w:t>1.</w:t>
            </w:r>
            <w:r w:rsidRPr="00510442">
              <w:rPr>
                <w:rFonts w:ascii="Times New Roman" w:hAnsi="Times New Roman"/>
                <w:color w:val="000000"/>
                <w:sz w:val="22"/>
                <w:szCs w:val="22"/>
                <w:lang w:val="hr-HR"/>
              </w:rPr>
              <w:tab/>
            </w:r>
            <w:r w:rsidRPr="00510442">
              <w:rPr>
                <w:rFonts w:ascii="Times New Roman" w:hAnsi="Times New Roman"/>
                <w:sz w:val="22"/>
                <w:szCs w:val="22"/>
                <w:lang w:val="hr-HR"/>
              </w:rPr>
              <w:t xml:space="preserve">Ukinuti Glivec sve dok ABN ne bude </w:t>
            </w:r>
            <w:r w:rsidRPr="00307897">
              <w:rPr>
                <w:rFonts w:ascii="Times New Roman" w:hAnsi="Times New Roman"/>
                <w:color w:val="000000"/>
                <w:sz w:val="22"/>
                <w:szCs w:val="22"/>
                <w:lang w:val="hr-HR"/>
              </w:rPr>
              <w:sym w:font="Symbol" w:char="F0B3"/>
            </w:r>
            <w:r w:rsidRPr="00307897">
              <w:rPr>
                <w:rFonts w:ascii="Times New Roman" w:hAnsi="Times New Roman"/>
                <w:color w:val="000000"/>
                <w:sz w:val="22"/>
                <w:szCs w:val="22"/>
                <w:lang w:val="hr-HR"/>
              </w:rPr>
              <w:t>1,5 x 10</w:t>
            </w:r>
            <w:r w:rsidRPr="00307897">
              <w:rPr>
                <w:rFonts w:ascii="Times New Roman" w:hAnsi="Times New Roman"/>
                <w:color w:val="000000"/>
                <w:sz w:val="22"/>
                <w:szCs w:val="22"/>
                <w:vertAlign w:val="superscript"/>
                <w:lang w:val="hr-HR"/>
              </w:rPr>
              <w:t>9</w:t>
            </w:r>
            <w:r w:rsidRPr="00307897">
              <w:rPr>
                <w:rFonts w:ascii="Times New Roman" w:hAnsi="Times New Roman"/>
                <w:color w:val="000000"/>
                <w:sz w:val="22"/>
                <w:szCs w:val="22"/>
                <w:lang w:val="hr-HR"/>
              </w:rPr>
              <w:t>/l i trom</w:t>
            </w:r>
            <w:r w:rsidR="00120018" w:rsidRPr="00A00164">
              <w:rPr>
                <w:rFonts w:ascii="Times New Roman" w:hAnsi="Times New Roman"/>
                <w:color w:val="000000"/>
                <w:sz w:val="22"/>
                <w:szCs w:val="22"/>
                <w:lang w:val="hr-HR"/>
              </w:rPr>
              <w:t>b</w:t>
            </w:r>
            <w:r w:rsidRPr="00973BDD">
              <w:rPr>
                <w:rFonts w:ascii="Times New Roman" w:hAnsi="Times New Roman"/>
                <w:color w:val="000000"/>
                <w:sz w:val="22"/>
                <w:szCs w:val="22"/>
                <w:lang w:val="hr-HR"/>
              </w:rPr>
              <w:t xml:space="preserve">ociti </w:t>
            </w:r>
            <w:r w:rsidRPr="00307897">
              <w:rPr>
                <w:rFonts w:ascii="Times New Roman" w:hAnsi="Times New Roman"/>
                <w:color w:val="000000"/>
                <w:sz w:val="22"/>
                <w:szCs w:val="22"/>
                <w:lang w:val="hr-HR"/>
              </w:rPr>
              <w:sym w:font="Symbol" w:char="F0B3"/>
            </w:r>
            <w:r w:rsidRPr="00307897">
              <w:rPr>
                <w:rFonts w:ascii="Times New Roman" w:hAnsi="Times New Roman"/>
                <w:color w:val="000000"/>
                <w:sz w:val="22"/>
                <w:szCs w:val="22"/>
                <w:lang w:val="hr-HR"/>
              </w:rPr>
              <w:t>75 x 10</w:t>
            </w:r>
            <w:r w:rsidRPr="00307897">
              <w:rPr>
                <w:rFonts w:ascii="Times New Roman" w:hAnsi="Times New Roman"/>
                <w:color w:val="000000"/>
                <w:sz w:val="22"/>
                <w:szCs w:val="22"/>
                <w:vertAlign w:val="superscript"/>
                <w:lang w:val="hr-HR"/>
              </w:rPr>
              <w:t>9</w:t>
            </w:r>
            <w:r w:rsidRPr="00307897">
              <w:rPr>
                <w:rFonts w:ascii="Times New Roman" w:hAnsi="Times New Roman"/>
                <w:color w:val="000000"/>
                <w:sz w:val="22"/>
                <w:szCs w:val="22"/>
                <w:lang w:val="hr-HR"/>
              </w:rPr>
              <w:t>/l.</w:t>
            </w:r>
          </w:p>
          <w:p w14:paraId="27ACFA7D" w14:textId="156C777A" w:rsidR="003A274D" w:rsidRPr="00510442" w:rsidRDefault="003A274D" w:rsidP="005E4981">
            <w:pPr>
              <w:pStyle w:val="Table"/>
              <w:keepNext w:val="0"/>
              <w:tabs>
                <w:tab w:val="clear" w:pos="284"/>
              </w:tabs>
              <w:spacing w:before="0" w:after="0"/>
              <w:ind w:left="469" w:hanging="469"/>
              <w:rPr>
                <w:rFonts w:ascii="Times New Roman" w:hAnsi="Times New Roman"/>
                <w:color w:val="000000"/>
                <w:sz w:val="22"/>
                <w:szCs w:val="22"/>
                <w:lang w:val="hr-HR"/>
              </w:rPr>
            </w:pPr>
            <w:r w:rsidRPr="00A00164">
              <w:rPr>
                <w:rFonts w:ascii="Times New Roman" w:hAnsi="Times New Roman"/>
                <w:color w:val="000000"/>
                <w:sz w:val="22"/>
                <w:szCs w:val="22"/>
                <w:lang w:val="hr-HR"/>
              </w:rPr>
              <w:t>2.</w:t>
            </w:r>
            <w:r w:rsidRPr="00A00164">
              <w:rPr>
                <w:rFonts w:ascii="Times New Roman" w:hAnsi="Times New Roman"/>
                <w:color w:val="000000"/>
                <w:sz w:val="22"/>
                <w:szCs w:val="22"/>
                <w:lang w:val="hr-HR"/>
              </w:rPr>
              <w:tab/>
            </w:r>
            <w:r w:rsidRPr="00973BDD">
              <w:rPr>
                <w:rFonts w:ascii="Times New Roman" w:hAnsi="Times New Roman"/>
                <w:sz w:val="22"/>
                <w:szCs w:val="22"/>
                <w:lang w:val="hr-HR"/>
              </w:rPr>
              <w:t xml:space="preserve">Ponovno uvesti liječenje </w:t>
            </w:r>
            <w:r w:rsidR="00B0477E" w:rsidRPr="00B0477E">
              <w:rPr>
                <w:rFonts w:ascii="Times New Roman" w:hAnsi="Times New Roman"/>
                <w:sz w:val="22"/>
                <w:szCs w:val="22"/>
                <w:lang w:val="hr-HR"/>
              </w:rPr>
              <w:t xml:space="preserve">lijekom </w:t>
            </w:r>
            <w:r w:rsidRPr="00973BDD">
              <w:rPr>
                <w:rFonts w:ascii="Times New Roman" w:hAnsi="Times New Roman"/>
                <w:sz w:val="22"/>
                <w:szCs w:val="22"/>
                <w:lang w:val="hr-HR"/>
              </w:rPr>
              <w:t>Glivec u prijašnjoj dozi (tj.</w:t>
            </w:r>
            <w:r w:rsidRPr="000B51EB">
              <w:rPr>
                <w:rFonts w:ascii="Times New Roman" w:hAnsi="Times New Roman"/>
                <w:sz w:val="22"/>
                <w:szCs w:val="22"/>
                <w:lang w:val="hr-HR"/>
              </w:rPr>
              <w:t xml:space="preserve"> prije teške nuspojave).</w:t>
            </w:r>
          </w:p>
          <w:p w14:paraId="3212538B" w14:textId="7D30348B" w:rsidR="003A274D" w:rsidRPr="00510442" w:rsidRDefault="003A274D" w:rsidP="004007D1">
            <w:pPr>
              <w:pStyle w:val="Table"/>
              <w:keepNext w:val="0"/>
              <w:tabs>
                <w:tab w:val="clear" w:pos="284"/>
              </w:tabs>
              <w:spacing w:before="0" w:after="0"/>
              <w:ind w:left="469" w:hanging="469"/>
              <w:rPr>
                <w:rFonts w:ascii="Times New Roman" w:hAnsi="Times New Roman"/>
                <w:color w:val="000000"/>
                <w:sz w:val="22"/>
                <w:szCs w:val="22"/>
                <w:lang w:val="hr-HR"/>
              </w:rPr>
            </w:pPr>
            <w:r w:rsidRPr="00510442">
              <w:rPr>
                <w:rFonts w:ascii="Times New Roman" w:hAnsi="Times New Roman"/>
                <w:color w:val="000000"/>
                <w:sz w:val="22"/>
                <w:szCs w:val="22"/>
                <w:lang w:val="hr-HR"/>
              </w:rPr>
              <w:t>3.</w:t>
            </w:r>
            <w:r w:rsidRPr="00510442">
              <w:rPr>
                <w:rFonts w:ascii="Times New Roman" w:hAnsi="Times New Roman"/>
                <w:color w:val="000000"/>
                <w:sz w:val="22"/>
                <w:szCs w:val="22"/>
                <w:lang w:val="hr-HR"/>
              </w:rPr>
              <w:tab/>
            </w:r>
            <w:r w:rsidRPr="00510442">
              <w:rPr>
                <w:rFonts w:ascii="Times New Roman" w:hAnsi="Times New Roman"/>
                <w:sz w:val="22"/>
                <w:szCs w:val="22"/>
                <w:lang w:val="hr-HR"/>
              </w:rPr>
              <w:t xml:space="preserve">U slučaju da je ABN ponovno </w:t>
            </w:r>
            <w:r w:rsidRPr="00510442">
              <w:rPr>
                <w:rFonts w:ascii="Times New Roman" w:hAnsi="Times New Roman"/>
                <w:color w:val="000000"/>
                <w:sz w:val="22"/>
                <w:szCs w:val="22"/>
                <w:lang w:val="hr-HR"/>
              </w:rPr>
              <w:t>&lt;1,0 x10</w:t>
            </w:r>
            <w:r w:rsidRPr="00510442">
              <w:rPr>
                <w:rFonts w:ascii="Times New Roman" w:hAnsi="Times New Roman"/>
                <w:color w:val="000000"/>
                <w:sz w:val="22"/>
                <w:szCs w:val="22"/>
                <w:vertAlign w:val="superscript"/>
                <w:lang w:val="hr-HR"/>
              </w:rPr>
              <w:t>9</w:t>
            </w:r>
            <w:r w:rsidRPr="00510442">
              <w:rPr>
                <w:rFonts w:ascii="Times New Roman" w:hAnsi="Times New Roman"/>
                <w:color w:val="000000"/>
                <w:sz w:val="22"/>
                <w:szCs w:val="22"/>
                <w:lang w:val="hr-HR"/>
              </w:rPr>
              <w:t xml:space="preserve">/l </w:t>
            </w:r>
            <w:r w:rsidRPr="00510442">
              <w:rPr>
                <w:rFonts w:ascii="Times New Roman" w:hAnsi="Times New Roman"/>
                <w:sz w:val="22"/>
                <w:szCs w:val="22"/>
                <w:lang w:val="hr-HR"/>
              </w:rPr>
              <w:t>i/ili trombociti</w:t>
            </w:r>
            <w:r w:rsidRPr="00510442">
              <w:rPr>
                <w:rFonts w:ascii="Times New Roman" w:hAnsi="Times New Roman"/>
                <w:color w:val="000000"/>
                <w:sz w:val="22"/>
                <w:szCs w:val="22"/>
                <w:lang w:val="hr-HR"/>
              </w:rPr>
              <w:t xml:space="preserve"> &lt;50 x10</w:t>
            </w:r>
            <w:r w:rsidRPr="00510442">
              <w:rPr>
                <w:rFonts w:ascii="Times New Roman" w:hAnsi="Times New Roman"/>
                <w:color w:val="000000"/>
                <w:sz w:val="22"/>
                <w:szCs w:val="22"/>
                <w:vertAlign w:val="superscript"/>
                <w:lang w:val="hr-HR"/>
              </w:rPr>
              <w:t>9</w:t>
            </w:r>
            <w:r w:rsidRPr="00510442">
              <w:rPr>
                <w:rFonts w:ascii="Times New Roman" w:hAnsi="Times New Roman"/>
                <w:color w:val="000000"/>
                <w:sz w:val="22"/>
                <w:szCs w:val="22"/>
                <w:lang w:val="hr-HR"/>
              </w:rPr>
              <w:t xml:space="preserve">/l, </w:t>
            </w:r>
            <w:r w:rsidRPr="00510442">
              <w:rPr>
                <w:rFonts w:ascii="Times New Roman" w:hAnsi="Times New Roman"/>
                <w:sz w:val="22"/>
                <w:szCs w:val="22"/>
                <w:lang w:val="hr-HR"/>
              </w:rPr>
              <w:t xml:space="preserve">treba ponoviti 1. korak i nastaviti primjenu </w:t>
            </w:r>
            <w:r w:rsidR="004007D1" w:rsidRPr="004007D1">
              <w:rPr>
                <w:rFonts w:ascii="Times New Roman" w:hAnsi="Times New Roman"/>
                <w:sz w:val="22"/>
                <w:szCs w:val="22"/>
                <w:lang w:val="hr-HR"/>
              </w:rPr>
              <w:t xml:space="preserve">lijeka </w:t>
            </w:r>
            <w:r w:rsidRPr="00510442">
              <w:rPr>
                <w:rFonts w:ascii="Times New Roman" w:hAnsi="Times New Roman"/>
                <w:sz w:val="22"/>
                <w:szCs w:val="22"/>
                <w:lang w:val="hr-HR"/>
              </w:rPr>
              <w:t xml:space="preserve">Glivec u smanjenoj dozi od </w:t>
            </w:r>
            <w:r w:rsidRPr="00510442">
              <w:rPr>
                <w:rFonts w:ascii="Times New Roman" w:hAnsi="Times New Roman"/>
                <w:color w:val="000000"/>
                <w:sz w:val="22"/>
                <w:szCs w:val="22"/>
                <w:lang w:val="hr-HR"/>
              </w:rPr>
              <w:t>260 mg/m</w:t>
            </w:r>
            <w:r w:rsidRPr="00510442">
              <w:rPr>
                <w:rFonts w:ascii="Times New Roman" w:hAnsi="Times New Roman"/>
                <w:color w:val="000000"/>
                <w:sz w:val="22"/>
                <w:szCs w:val="22"/>
                <w:vertAlign w:val="superscript"/>
                <w:lang w:val="hr-HR"/>
              </w:rPr>
              <w:t>2</w:t>
            </w:r>
            <w:r w:rsidRPr="00510442">
              <w:rPr>
                <w:rFonts w:ascii="Times New Roman" w:hAnsi="Times New Roman"/>
                <w:color w:val="000000"/>
                <w:sz w:val="22"/>
                <w:szCs w:val="22"/>
                <w:lang w:val="hr-HR"/>
              </w:rPr>
              <w:t>.</w:t>
            </w:r>
          </w:p>
        </w:tc>
      </w:tr>
      <w:tr w:rsidR="003A274D" w:rsidRPr="00F410C8" w14:paraId="2670F379" w14:textId="77777777" w:rsidTr="003179A4">
        <w:trPr>
          <w:cantSplit/>
        </w:trPr>
        <w:tc>
          <w:tcPr>
            <w:tcW w:w="2376" w:type="dxa"/>
            <w:tcBorders>
              <w:bottom w:val="nil"/>
            </w:tcBorders>
          </w:tcPr>
          <w:p w14:paraId="3AEB14E1" w14:textId="77777777" w:rsidR="003A274D" w:rsidRPr="00510442" w:rsidRDefault="003A274D" w:rsidP="005E4981">
            <w:pPr>
              <w:pStyle w:val="EndnoteText"/>
              <w:widowControl w:val="0"/>
              <w:tabs>
                <w:tab w:val="clear" w:pos="567"/>
              </w:tabs>
              <w:rPr>
                <w:color w:val="000000"/>
                <w:szCs w:val="22"/>
                <w:lang w:val="hr-HR"/>
              </w:rPr>
            </w:pPr>
            <w:r w:rsidRPr="00510442">
              <w:rPr>
                <w:szCs w:val="22"/>
                <w:lang w:val="hr-HR"/>
              </w:rPr>
              <w:t xml:space="preserve">Ubrzana faza KML-a i blastična kriza te Ph+ ALL (početna doza </w:t>
            </w:r>
            <w:r w:rsidRPr="00510442">
              <w:rPr>
                <w:color w:val="000000"/>
                <w:szCs w:val="22"/>
                <w:lang w:val="hr-HR"/>
              </w:rPr>
              <w:t>600 mg)</w:t>
            </w:r>
          </w:p>
        </w:tc>
        <w:tc>
          <w:tcPr>
            <w:tcW w:w="2268" w:type="dxa"/>
            <w:tcBorders>
              <w:bottom w:val="nil"/>
            </w:tcBorders>
          </w:tcPr>
          <w:p w14:paraId="678CDA85" w14:textId="77777777" w:rsidR="003A274D" w:rsidRPr="00510442" w:rsidRDefault="003A274D" w:rsidP="005E4981">
            <w:pPr>
              <w:pStyle w:val="Table"/>
              <w:keepNext w:val="0"/>
              <w:keepLines w:val="0"/>
              <w:widowControl w:val="0"/>
              <w:suppressLineNumbers/>
              <w:spacing w:before="0" w:after="0"/>
              <w:rPr>
                <w:rFonts w:ascii="Times New Roman" w:hAnsi="Times New Roman"/>
                <w:color w:val="000000"/>
                <w:sz w:val="22"/>
                <w:szCs w:val="22"/>
                <w:lang w:val="hr-HR"/>
              </w:rPr>
            </w:pPr>
            <w:r w:rsidRPr="00510442">
              <w:rPr>
                <w:rFonts w:ascii="Times New Roman" w:hAnsi="Times New Roman"/>
                <w:color w:val="000000"/>
                <w:sz w:val="22"/>
                <w:szCs w:val="22"/>
                <w:vertAlign w:val="superscript"/>
                <w:lang w:val="hr-HR"/>
              </w:rPr>
              <w:t>a</w:t>
            </w:r>
            <w:r w:rsidRPr="00510442">
              <w:rPr>
                <w:rFonts w:ascii="Times New Roman" w:hAnsi="Times New Roman"/>
                <w:color w:val="000000"/>
                <w:sz w:val="22"/>
                <w:szCs w:val="22"/>
                <w:lang w:val="hr-HR"/>
              </w:rPr>
              <w:t>ABN &lt;0,5 x 10</w:t>
            </w:r>
            <w:r w:rsidRPr="00510442">
              <w:rPr>
                <w:rFonts w:ascii="Times New Roman" w:hAnsi="Times New Roman"/>
                <w:color w:val="000000"/>
                <w:sz w:val="22"/>
                <w:szCs w:val="22"/>
                <w:vertAlign w:val="superscript"/>
                <w:lang w:val="hr-HR"/>
              </w:rPr>
              <w:t>9</w:t>
            </w:r>
            <w:r w:rsidRPr="00510442">
              <w:rPr>
                <w:rFonts w:ascii="Times New Roman" w:hAnsi="Times New Roman"/>
                <w:color w:val="000000"/>
                <w:sz w:val="22"/>
                <w:szCs w:val="22"/>
                <w:lang w:val="hr-HR"/>
              </w:rPr>
              <w:t>/l</w:t>
            </w:r>
          </w:p>
          <w:p w14:paraId="21A817E7" w14:textId="77777777" w:rsidR="003A274D" w:rsidRPr="00510442" w:rsidRDefault="003A274D" w:rsidP="005E4981">
            <w:pPr>
              <w:pStyle w:val="Table"/>
              <w:keepNext w:val="0"/>
              <w:keepLines w:val="0"/>
              <w:widowControl w:val="0"/>
              <w:suppressLineNumbers/>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i/ili</w:t>
            </w:r>
          </w:p>
          <w:p w14:paraId="48A9CEDC" w14:textId="77777777" w:rsidR="003A274D" w:rsidRPr="00510442" w:rsidRDefault="003A274D" w:rsidP="005E4981">
            <w:pPr>
              <w:pStyle w:val="EndnoteText"/>
              <w:widowControl w:val="0"/>
              <w:tabs>
                <w:tab w:val="clear" w:pos="567"/>
              </w:tabs>
              <w:rPr>
                <w:color w:val="000000"/>
                <w:szCs w:val="22"/>
                <w:lang w:val="hr-HR"/>
              </w:rPr>
            </w:pPr>
            <w:r w:rsidRPr="00510442">
              <w:rPr>
                <w:color w:val="000000"/>
                <w:szCs w:val="22"/>
                <w:lang w:val="hr-HR"/>
              </w:rPr>
              <w:t>trombociti &lt;10 x 10</w:t>
            </w:r>
            <w:r w:rsidRPr="00510442">
              <w:rPr>
                <w:color w:val="000000"/>
                <w:szCs w:val="22"/>
                <w:vertAlign w:val="superscript"/>
                <w:lang w:val="hr-HR"/>
              </w:rPr>
              <w:t>9</w:t>
            </w:r>
            <w:r w:rsidRPr="00510442">
              <w:rPr>
                <w:color w:val="000000"/>
                <w:szCs w:val="22"/>
                <w:lang w:val="hr-HR"/>
              </w:rPr>
              <w:t>/l</w:t>
            </w:r>
          </w:p>
        </w:tc>
        <w:tc>
          <w:tcPr>
            <w:tcW w:w="4678" w:type="dxa"/>
            <w:tcBorders>
              <w:bottom w:val="nil"/>
            </w:tcBorders>
          </w:tcPr>
          <w:p w14:paraId="3571B4E0" w14:textId="77777777" w:rsidR="003A274D" w:rsidRPr="00510442" w:rsidRDefault="003A274D" w:rsidP="005E4981">
            <w:pPr>
              <w:pStyle w:val="Table"/>
              <w:keepNext w:val="0"/>
              <w:keepLines w:val="0"/>
              <w:widowControl w:val="0"/>
              <w:suppressLineNumbers/>
              <w:tabs>
                <w:tab w:val="clear" w:pos="284"/>
              </w:tabs>
              <w:spacing w:before="0" w:after="0"/>
              <w:ind w:left="469" w:right="-108" w:hanging="469"/>
              <w:rPr>
                <w:rFonts w:ascii="Times New Roman" w:hAnsi="Times New Roman"/>
                <w:color w:val="000000"/>
                <w:sz w:val="22"/>
                <w:szCs w:val="22"/>
                <w:lang w:val="hr-HR"/>
              </w:rPr>
            </w:pPr>
            <w:r w:rsidRPr="00510442">
              <w:rPr>
                <w:rFonts w:ascii="Times New Roman" w:hAnsi="Times New Roman"/>
                <w:color w:val="000000"/>
                <w:sz w:val="22"/>
                <w:szCs w:val="22"/>
                <w:lang w:val="hr-HR"/>
              </w:rPr>
              <w:t>1.</w:t>
            </w:r>
            <w:r w:rsidRPr="00510442">
              <w:rPr>
                <w:rFonts w:ascii="Times New Roman" w:hAnsi="Times New Roman"/>
                <w:color w:val="000000"/>
                <w:sz w:val="22"/>
                <w:szCs w:val="22"/>
                <w:lang w:val="hr-HR"/>
              </w:rPr>
              <w:tab/>
            </w:r>
            <w:r w:rsidRPr="00510442">
              <w:rPr>
                <w:rFonts w:ascii="Times New Roman" w:hAnsi="Times New Roman"/>
                <w:sz w:val="22"/>
                <w:szCs w:val="22"/>
                <w:lang w:val="hr-HR"/>
              </w:rPr>
              <w:t>Provjeriti je li citopenija povezana s leukemijom (aspirat ili biopsija koštane srži)</w:t>
            </w:r>
            <w:r w:rsidRPr="00510442">
              <w:rPr>
                <w:rFonts w:ascii="Times New Roman" w:hAnsi="Times New Roman"/>
                <w:color w:val="000000"/>
                <w:sz w:val="22"/>
                <w:szCs w:val="22"/>
                <w:lang w:val="hr-HR"/>
              </w:rPr>
              <w:t>.</w:t>
            </w:r>
          </w:p>
          <w:p w14:paraId="6634BEE1" w14:textId="3D5CC5A9" w:rsidR="003A274D" w:rsidRPr="00510442" w:rsidRDefault="003A274D" w:rsidP="005E4981">
            <w:pPr>
              <w:pStyle w:val="Table"/>
              <w:keepNext w:val="0"/>
              <w:keepLines w:val="0"/>
              <w:widowControl w:val="0"/>
              <w:suppressLineNumbers/>
              <w:tabs>
                <w:tab w:val="clear" w:pos="284"/>
              </w:tabs>
              <w:spacing w:before="0" w:after="0"/>
              <w:ind w:left="469" w:hanging="469"/>
              <w:rPr>
                <w:rFonts w:ascii="Times New Roman" w:hAnsi="Times New Roman"/>
                <w:color w:val="000000"/>
                <w:sz w:val="22"/>
                <w:szCs w:val="22"/>
                <w:lang w:val="hr-HR"/>
              </w:rPr>
            </w:pPr>
            <w:r w:rsidRPr="00510442">
              <w:rPr>
                <w:rFonts w:ascii="Times New Roman" w:hAnsi="Times New Roman"/>
                <w:color w:val="000000"/>
                <w:sz w:val="22"/>
                <w:szCs w:val="22"/>
                <w:lang w:val="hr-HR"/>
              </w:rPr>
              <w:t>2.</w:t>
            </w:r>
            <w:r w:rsidRPr="00510442">
              <w:rPr>
                <w:rFonts w:ascii="Times New Roman" w:hAnsi="Times New Roman"/>
                <w:color w:val="000000"/>
                <w:sz w:val="22"/>
                <w:szCs w:val="22"/>
                <w:lang w:val="hr-HR"/>
              </w:rPr>
              <w:tab/>
            </w:r>
            <w:r w:rsidRPr="00510442">
              <w:rPr>
                <w:rFonts w:ascii="Times New Roman" w:hAnsi="Times New Roman"/>
                <w:sz w:val="22"/>
                <w:szCs w:val="22"/>
                <w:lang w:val="hr-HR"/>
              </w:rPr>
              <w:t xml:space="preserve">Ako citopenija nije povezana s leukemijom, dozu </w:t>
            </w:r>
            <w:r w:rsidR="004007D1" w:rsidRPr="004007D1">
              <w:rPr>
                <w:rFonts w:ascii="Times New Roman" w:hAnsi="Times New Roman"/>
                <w:sz w:val="22"/>
                <w:szCs w:val="22"/>
                <w:lang w:val="hr-HR"/>
              </w:rPr>
              <w:t xml:space="preserve">lijeka </w:t>
            </w:r>
            <w:r w:rsidRPr="00510442">
              <w:rPr>
                <w:rFonts w:ascii="Times New Roman" w:hAnsi="Times New Roman"/>
                <w:sz w:val="22"/>
                <w:szCs w:val="22"/>
                <w:lang w:val="hr-HR"/>
              </w:rPr>
              <w:t xml:space="preserve">Glivec treba smanjiti na </w:t>
            </w:r>
            <w:r w:rsidRPr="00510442">
              <w:rPr>
                <w:rFonts w:ascii="Times New Roman" w:hAnsi="Times New Roman"/>
                <w:color w:val="000000"/>
                <w:sz w:val="22"/>
                <w:szCs w:val="22"/>
                <w:lang w:val="hr-HR"/>
              </w:rPr>
              <w:t>400 mg.</w:t>
            </w:r>
          </w:p>
          <w:p w14:paraId="108B9ED9" w14:textId="77777777" w:rsidR="003A274D" w:rsidRPr="00510442" w:rsidRDefault="003A274D" w:rsidP="005E4981">
            <w:pPr>
              <w:pStyle w:val="Table"/>
              <w:keepNext w:val="0"/>
              <w:keepLines w:val="0"/>
              <w:widowControl w:val="0"/>
              <w:suppressLineNumbers/>
              <w:tabs>
                <w:tab w:val="clear" w:pos="284"/>
              </w:tabs>
              <w:spacing w:before="0" w:after="0"/>
              <w:ind w:left="469" w:hanging="469"/>
              <w:rPr>
                <w:rFonts w:ascii="Times New Roman" w:hAnsi="Times New Roman"/>
                <w:color w:val="000000"/>
                <w:sz w:val="22"/>
                <w:szCs w:val="22"/>
                <w:lang w:val="hr-HR"/>
              </w:rPr>
            </w:pPr>
            <w:r w:rsidRPr="00510442">
              <w:rPr>
                <w:rFonts w:ascii="Times New Roman" w:hAnsi="Times New Roman"/>
                <w:color w:val="000000"/>
                <w:sz w:val="22"/>
                <w:szCs w:val="22"/>
                <w:lang w:val="hr-HR"/>
              </w:rPr>
              <w:t>3.</w:t>
            </w:r>
            <w:r w:rsidRPr="00510442">
              <w:rPr>
                <w:rFonts w:ascii="Times New Roman" w:hAnsi="Times New Roman"/>
                <w:color w:val="000000"/>
                <w:sz w:val="22"/>
                <w:szCs w:val="22"/>
                <w:lang w:val="hr-HR"/>
              </w:rPr>
              <w:tab/>
            </w:r>
            <w:r w:rsidRPr="00510442">
              <w:rPr>
                <w:rFonts w:ascii="Times New Roman" w:hAnsi="Times New Roman"/>
                <w:sz w:val="22"/>
                <w:szCs w:val="22"/>
                <w:lang w:val="hr-HR"/>
              </w:rPr>
              <w:t>Ako citopenija ustraje 2</w:t>
            </w:r>
            <w:r w:rsidRPr="00510442">
              <w:rPr>
                <w:rFonts w:ascii="Times New Roman" w:hAnsi="Times New Roman"/>
                <w:color w:val="000000"/>
                <w:sz w:val="22"/>
                <w:szCs w:val="22"/>
                <w:lang w:val="hr-HR"/>
              </w:rPr>
              <w:t> </w:t>
            </w:r>
            <w:r w:rsidRPr="00510442">
              <w:rPr>
                <w:rFonts w:ascii="Times New Roman" w:hAnsi="Times New Roman"/>
                <w:sz w:val="22"/>
                <w:szCs w:val="22"/>
                <w:lang w:val="hr-HR"/>
              </w:rPr>
              <w:t xml:space="preserve">tjedna, dozu ponovno smanjiti na </w:t>
            </w:r>
            <w:r w:rsidRPr="00510442">
              <w:rPr>
                <w:rFonts w:ascii="Times New Roman" w:hAnsi="Times New Roman"/>
                <w:color w:val="000000"/>
                <w:sz w:val="22"/>
                <w:szCs w:val="22"/>
                <w:lang w:val="hr-HR"/>
              </w:rPr>
              <w:t>300 mg.</w:t>
            </w:r>
          </w:p>
          <w:p w14:paraId="5759ADE4" w14:textId="2B17C654" w:rsidR="003A274D" w:rsidRPr="00973BDD" w:rsidRDefault="003A274D" w:rsidP="004007D1">
            <w:pPr>
              <w:pStyle w:val="EndnoteText"/>
              <w:widowControl w:val="0"/>
              <w:tabs>
                <w:tab w:val="clear" w:pos="567"/>
              </w:tabs>
              <w:ind w:left="469" w:hanging="469"/>
              <w:rPr>
                <w:color w:val="000000"/>
                <w:szCs w:val="22"/>
                <w:lang w:val="hr-HR"/>
              </w:rPr>
            </w:pPr>
            <w:r w:rsidRPr="00510442">
              <w:rPr>
                <w:color w:val="000000"/>
                <w:szCs w:val="22"/>
                <w:lang w:val="hr-HR"/>
              </w:rPr>
              <w:t>4.</w:t>
            </w:r>
            <w:r w:rsidRPr="00510442">
              <w:rPr>
                <w:color w:val="000000"/>
                <w:szCs w:val="22"/>
                <w:lang w:val="hr-HR"/>
              </w:rPr>
              <w:tab/>
            </w:r>
            <w:r w:rsidRPr="00510442">
              <w:rPr>
                <w:szCs w:val="22"/>
                <w:lang w:val="hr-HR"/>
              </w:rPr>
              <w:t xml:space="preserve">Ako citopenija ustraje </w:t>
            </w:r>
            <w:r w:rsidRPr="00510442">
              <w:rPr>
                <w:color w:val="000000"/>
                <w:szCs w:val="22"/>
                <w:lang w:val="hr-HR"/>
              </w:rPr>
              <w:t>4 tjedna</w:t>
            </w:r>
            <w:r w:rsidRPr="00510442">
              <w:rPr>
                <w:szCs w:val="22"/>
                <w:lang w:val="hr-HR"/>
              </w:rPr>
              <w:t xml:space="preserve"> i još uvijek nije povezana s leukemijom, prekinuti primjenu </w:t>
            </w:r>
            <w:r w:rsidR="004007D1" w:rsidRPr="00512481">
              <w:rPr>
                <w:szCs w:val="22"/>
                <w:lang w:val="hr-HR"/>
              </w:rPr>
              <w:t xml:space="preserve">lijeka </w:t>
            </w:r>
            <w:r w:rsidRPr="00510442">
              <w:rPr>
                <w:szCs w:val="22"/>
                <w:lang w:val="hr-HR"/>
              </w:rPr>
              <w:t>Glivec sve dok ABN ne bude</w:t>
            </w:r>
            <w:r w:rsidRPr="00510442">
              <w:rPr>
                <w:color w:val="000000"/>
                <w:szCs w:val="22"/>
                <w:lang w:val="hr-HR"/>
              </w:rPr>
              <w:t xml:space="preserve"> </w:t>
            </w:r>
            <w:r w:rsidRPr="00307897">
              <w:rPr>
                <w:color w:val="000000"/>
                <w:szCs w:val="22"/>
                <w:lang w:val="hr-HR"/>
              </w:rPr>
              <w:sym w:font="Symbol" w:char="F0B3"/>
            </w:r>
            <w:r w:rsidRPr="00307897">
              <w:rPr>
                <w:color w:val="000000"/>
                <w:szCs w:val="22"/>
                <w:lang w:val="hr-HR"/>
              </w:rPr>
              <w:t>1 x 10</w:t>
            </w:r>
            <w:r w:rsidRPr="00307897">
              <w:rPr>
                <w:color w:val="000000"/>
                <w:szCs w:val="22"/>
                <w:vertAlign w:val="superscript"/>
                <w:lang w:val="hr-HR"/>
              </w:rPr>
              <w:t>9</w:t>
            </w:r>
            <w:r w:rsidRPr="00307897">
              <w:rPr>
                <w:color w:val="000000"/>
                <w:szCs w:val="22"/>
                <w:lang w:val="hr-HR"/>
              </w:rPr>
              <w:t xml:space="preserve">/l i </w:t>
            </w:r>
            <w:r w:rsidRPr="00A00164">
              <w:rPr>
                <w:szCs w:val="22"/>
                <w:lang w:val="hr-HR"/>
              </w:rPr>
              <w:t>trombociti</w:t>
            </w:r>
            <w:r w:rsidRPr="00973BDD">
              <w:rPr>
                <w:color w:val="000000"/>
                <w:szCs w:val="22"/>
                <w:lang w:val="hr-HR"/>
              </w:rPr>
              <w:t xml:space="preserve"> </w:t>
            </w:r>
            <w:r w:rsidRPr="00307897">
              <w:rPr>
                <w:color w:val="000000"/>
                <w:szCs w:val="22"/>
                <w:lang w:val="hr-HR"/>
              </w:rPr>
              <w:sym w:font="Symbol" w:char="F0B3"/>
            </w:r>
            <w:r w:rsidRPr="00307897">
              <w:rPr>
                <w:color w:val="000000"/>
                <w:szCs w:val="22"/>
                <w:lang w:val="hr-HR"/>
              </w:rPr>
              <w:t>20 x 10</w:t>
            </w:r>
            <w:r w:rsidRPr="00307897">
              <w:rPr>
                <w:color w:val="000000"/>
                <w:szCs w:val="22"/>
                <w:vertAlign w:val="superscript"/>
                <w:lang w:val="hr-HR"/>
              </w:rPr>
              <w:t>9</w:t>
            </w:r>
            <w:r w:rsidRPr="00307897">
              <w:rPr>
                <w:color w:val="000000"/>
                <w:szCs w:val="22"/>
                <w:lang w:val="hr-HR"/>
              </w:rPr>
              <w:t xml:space="preserve">/l, </w:t>
            </w:r>
            <w:r w:rsidRPr="00A00164">
              <w:rPr>
                <w:szCs w:val="22"/>
                <w:lang w:val="hr-HR"/>
              </w:rPr>
              <w:t>nakon toga nastaviti liječenje u dozi od</w:t>
            </w:r>
            <w:r w:rsidRPr="00973BDD">
              <w:rPr>
                <w:color w:val="000000"/>
                <w:szCs w:val="22"/>
                <w:lang w:val="hr-HR"/>
              </w:rPr>
              <w:t xml:space="preserve"> 300 mg.</w:t>
            </w:r>
          </w:p>
        </w:tc>
      </w:tr>
      <w:tr w:rsidR="003A274D" w:rsidRPr="00F410C8" w14:paraId="5BB0CA6C" w14:textId="77777777" w:rsidTr="003179A4">
        <w:trPr>
          <w:cantSplit/>
        </w:trPr>
        <w:tc>
          <w:tcPr>
            <w:tcW w:w="2376" w:type="dxa"/>
            <w:tcBorders>
              <w:bottom w:val="nil"/>
            </w:tcBorders>
          </w:tcPr>
          <w:p w14:paraId="56393528" w14:textId="77777777" w:rsidR="003A274D" w:rsidRPr="00510442" w:rsidRDefault="003A274D" w:rsidP="005E4981">
            <w:pPr>
              <w:pStyle w:val="EndnoteText"/>
              <w:widowControl w:val="0"/>
              <w:tabs>
                <w:tab w:val="clear" w:pos="567"/>
              </w:tabs>
              <w:rPr>
                <w:color w:val="000000"/>
                <w:szCs w:val="22"/>
                <w:lang w:val="hr-HR"/>
              </w:rPr>
            </w:pPr>
            <w:r w:rsidRPr="00510442">
              <w:rPr>
                <w:szCs w:val="22"/>
                <w:lang w:val="hr-HR"/>
              </w:rPr>
              <w:t xml:space="preserve">Pedijatrijska ubrzana faza KML-a i blastična kriza (početna doza </w:t>
            </w:r>
            <w:r w:rsidRPr="00510442">
              <w:rPr>
                <w:color w:val="000000"/>
                <w:szCs w:val="22"/>
                <w:lang w:val="hr-HR"/>
              </w:rPr>
              <w:t>340 mg/m</w:t>
            </w:r>
            <w:r w:rsidRPr="00510442">
              <w:rPr>
                <w:color w:val="000000"/>
                <w:szCs w:val="22"/>
                <w:vertAlign w:val="superscript"/>
                <w:lang w:val="hr-HR"/>
              </w:rPr>
              <w:t>2</w:t>
            </w:r>
            <w:r w:rsidRPr="00510442">
              <w:rPr>
                <w:color w:val="000000"/>
                <w:szCs w:val="22"/>
                <w:lang w:val="hr-HR"/>
              </w:rPr>
              <w:t>)</w:t>
            </w:r>
          </w:p>
        </w:tc>
        <w:tc>
          <w:tcPr>
            <w:tcW w:w="2268" w:type="dxa"/>
            <w:tcBorders>
              <w:bottom w:val="nil"/>
            </w:tcBorders>
          </w:tcPr>
          <w:p w14:paraId="6BB93551" w14:textId="77777777" w:rsidR="003A274D" w:rsidRPr="00510442" w:rsidRDefault="003A274D" w:rsidP="005E4981">
            <w:pPr>
              <w:pStyle w:val="Table"/>
              <w:keepNext w:val="0"/>
              <w:keepLines w:val="0"/>
              <w:widowControl w:val="0"/>
              <w:suppressLineNumbers/>
              <w:spacing w:before="0" w:after="0"/>
              <w:rPr>
                <w:rFonts w:ascii="Times New Roman" w:hAnsi="Times New Roman"/>
                <w:color w:val="000000"/>
                <w:sz w:val="22"/>
                <w:szCs w:val="22"/>
                <w:lang w:val="hr-HR"/>
              </w:rPr>
            </w:pPr>
            <w:r w:rsidRPr="00510442">
              <w:rPr>
                <w:rFonts w:ascii="Times New Roman" w:hAnsi="Times New Roman"/>
                <w:color w:val="000000"/>
                <w:sz w:val="22"/>
                <w:szCs w:val="22"/>
                <w:vertAlign w:val="superscript"/>
                <w:lang w:val="hr-HR"/>
              </w:rPr>
              <w:t>a</w:t>
            </w:r>
            <w:r w:rsidRPr="00510442">
              <w:rPr>
                <w:rFonts w:ascii="Times New Roman" w:hAnsi="Times New Roman"/>
                <w:color w:val="000000"/>
                <w:sz w:val="22"/>
                <w:szCs w:val="22"/>
                <w:lang w:val="hr-HR"/>
              </w:rPr>
              <w:t>ABN &lt;0,5 x 10</w:t>
            </w:r>
            <w:r w:rsidRPr="00510442">
              <w:rPr>
                <w:rFonts w:ascii="Times New Roman" w:hAnsi="Times New Roman"/>
                <w:color w:val="000000"/>
                <w:sz w:val="22"/>
                <w:szCs w:val="22"/>
                <w:vertAlign w:val="superscript"/>
                <w:lang w:val="hr-HR"/>
              </w:rPr>
              <w:t>9</w:t>
            </w:r>
            <w:r w:rsidRPr="00510442">
              <w:rPr>
                <w:rFonts w:ascii="Times New Roman" w:hAnsi="Times New Roman"/>
                <w:color w:val="000000"/>
                <w:sz w:val="22"/>
                <w:szCs w:val="22"/>
                <w:lang w:val="hr-HR"/>
              </w:rPr>
              <w:t>/l</w:t>
            </w:r>
          </w:p>
          <w:p w14:paraId="3B3F52F2" w14:textId="77777777" w:rsidR="003A274D" w:rsidRPr="00510442" w:rsidRDefault="003A274D" w:rsidP="005E4981">
            <w:pPr>
              <w:pStyle w:val="Table"/>
              <w:keepNext w:val="0"/>
              <w:keepLines w:val="0"/>
              <w:widowControl w:val="0"/>
              <w:suppressLineNumbers/>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i/ili</w:t>
            </w:r>
          </w:p>
          <w:p w14:paraId="075DE4C2" w14:textId="77777777" w:rsidR="003A274D" w:rsidRPr="00510442" w:rsidDel="000659A8" w:rsidRDefault="003A274D" w:rsidP="005E4981">
            <w:pPr>
              <w:pStyle w:val="Table"/>
              <w:keepNext w:val="0"/>
              <w:keepLines w:val="0"/>
              <w:widowControl w:val="0"/>
              <w:suppressLineNumbers/>
              <w:spacing w:before="0" w:after="0"/>
              <w:rPr>
                <w:rFonts w:ascii="Times New Roman" w:hAnsi="Times New Roman"/>
                <w:color w:val="000000"/>
                <w:sz w:val="22"/>
                <w:szCs w:val="22"/>
                <w:vertAlign w:val="superscript"/>
                <w:lang w:val="hr-HR"/>
              </w:rPr>
            </w:pPr>
            <w:r w:rsidRPr="00510442">
              <w:rPr>
                <w:rFonts w:ascii="Times New Roman" w:hAnsi="Times New Roman"/>
                <w:color w:val="000000"/>
                <w:sz w:val="22"/>
                <w:szCs w:val="22"/>
                <w:lang w:val="hr-HR"/>
              </w:rPr>
              <w:t>trombociti &lt;10 x 10</w:t>
            </w:r>
            <w:r w:rsidRPr="00510442">
              <w:rPr>
                <w:rFonts w:ascii="Times New Roman" w:hAnsi="Times New Roman"/>
                <w:color w:val="000000"/>
                <w:sz w:val="22"/>
                <w:szCs w:val="22"/>
                <w:vertAlign w:val="superscript"/>
                <w:lang w:val="hr-HR"/>
              </w:rPr>
              <w:t>9</w:t>
            </w:r>
            <w:r w:rsidRPr="00510442">
              <w:rPr>
                <w:rFonts w:ascii="Times New Roman" w:hAnsi="Times New Roman"/>
                <w:color w:val="000000"/>
                <w:sz w:val="22"/>
                <w:szCs w:val="22"/>
                <w:lang w:val="hr-HR"/>
              </w:rPr>
              <w:t>/l</w:t>
            </w:r>
          </w:p>
        </w:tc>
        <w:tc>
          <w:tcPr>
            <w:tcW w:w="4678" w:type="dxa"/>
            <w:tcBorders>
              <w:bottom w:val="nil"/>
            </w:tcBorders>
          </w:tcPr>
          <w:p w14:paraId="381DADF5" w14:textId="77777777" w:rsidR="003A274D" w:rsidRPr="00510442" w:rsidRDefault="003A274D" w:rsidP="005E4981">
            <w:pPr>
              <w:pStyle w:val="Table"/>
              <w:keepNext w:val="0"/>
              <w:keepLines w:val="0"/>
              <w:widowControl w:val="0"/>
              <w:suppressLineNumbers/>
              <w:tabs>
                <w:tab w:val="clear" w:pos="284"/>
              </w:tabs>
              <w:spacing w:before="0" w:after="0"/>
              <w:ind w:left="469" w:right="-108" w:hanging="469"/>
              <w:rPr>
                <w:rFonts w:ascii="Times New Roman" w:hAnsi="Times New Roman"/>
                <w:color w:val="000000"/>
                <w:sz w:val="22"/>
                <w:szCs w:val="22"/>
                <w:lang w:val="hr-HR"/>
              </w:rPr>
            </w:pPr>
            <w:r w:rsidRPr="00510442">
              <w:rPr>
                <w:rFonts w:ascii="Times New Roman" w:hAnsi="Times New Roman"/>
                <w:color w:val="000000"/>
                <w:sz w:val="22"/>
                <w:szCs w:val="22"/>
                <w:lang w:val="hr-HR"/>
              </w:rPr>
              <w:t>1.</w:t>
            </w:r>
            <w:r w:rsidRPr="00510442">
              <w:rPr>
                <w:rFonts w:ascii="Times New Roman" w:hAnsi="Times New Roman"/>
                <w:color w:val="000000"/>
                <w:sz w:val="22"/>
                <w:szCs w:val="22"/>
                <w:lang w:val="hr-HR"/>
              </w:rPr>
              <w:tab/>
            </w:r>
            <w:r w:rsidRPr="00510442">
              <w:rPr>
                <w:rFonts w:ascii="Times New Roman" w:hAnsi="Times New Roman"/>
                <w:sz w:val="22"/>
                <w:szCs w:val="22"/>
                <w:lang w:val="hr-HR"/>
              </w:rPr>
              <w:t>Provjeriti je li citopenija povezana s leukemijom (aspirat ili biopsija koštane srži)</w:t>
            </w:r>
            <w:r w:rsidRPr="00510442">
              <w:rPr>
                <w:rFonts w:ascii="Times New Roman" w:hAnsi="Times New Roman"/>
                <w:color w:val="000000"/>
                <w:sz w:val="22"/>
                <w:szCs w:val="22"/>
                <w:lang w:val="hr-HR"/>
              </w:rPr>
              <w:t>.</w:t>
            </w:r>
          </w:p>
          <w:p w14:paraId="65A774C8" w14:textId="4A204780" w:rsidR="003A274D" w:rsidRPr="00510442" w:rsidRDefault="003A274D" w:rsidP="005E4981">
            <w:pPr>
              <w:pStyle w:val="Table"/>
              <w:keepNext w:val="0"/>
              <w:keepLines w:val="0"/>
              <w:widowControl w:val="0"/>
              <w:suppressLineNumbers/>
              <w:tabs>
                <w:tab w:val="clear" w:pos="284"/>
              </w:tabs>
              <w:spacing w:before="0" w:after="0"/>
              <w:ind w:left="469" w:hanging="469"/>
              <w:rPr>
                <w:rFonts w:ascii="Times New Roman" w:hAnsi="Times New Roman"/>
                <w:color w:val="000000"/>
                <w:sz w:val="22"/>
                <w:szCs w:val="22"/>
                <w:lang w:val="hr-HR"/>
              </w:rPr>
            </w:pPr>
            <w:r w:rsidRPr="00510442">
              <w:rPr>
                <w:rFonts w:ascii="Times New Roman" w:hAnsi="Times New Roman"/>
                <w:color w:val="000000"/>
                <w:sz w:val="22"/>
                <w:szCs w:val="22"/>
                <w:lang w:val="hr-HR"/>
              </w:rPr>
              <w:t>2.</w:t>
            </w:r>
            <w:r w:rsidRPr="00510442">
              <w:rPr>
                <w:rFonts w:ascii="Times New Roman" w:hAnsi="Times New Roman"/>
                <w:color w:val="000000"/>
                <w:sz w:val="22"/>
                <w:szCs w:val="22"/>
                <w:lang w:val="hr-HR"/>
              </w:rPr>
              <w:tab/>
            </w:r>
            <w:r w:rsidRPr="00510442">
              <w:rPr>
                <w:rFonts w:ascii="Times New Roman" w:hAnsi="Times New Roman"/>
                <w:sz w:val="22"/>
                <w:szCs w:val="22"/>
                <w:lang w:val="hr-HR"/>
              </w:rPr>
              <w:t xml:space="preserve">Ako citopenija nije povezana s leukemijom, dozu </w:t>
            </w:r>
            <w:r w:rsidR="004007D1" w:rsidRPr="004007D1">
              <w:rPr>
                <w:rFonts w:ascii="Times New Roman" w:hAnsi="Times New Roman"/>
                <w:sz w:val="22"/>
                <w:szCs w:val="22"/>
                <w:lang w:val="hr-HR"/>
              </w:rPr>
              <w:t xml:space="preserve">lijeka </w:t>
            </w:r>
            <w:r w:rsidRPr="00510442">
              <w:rPr>
                <w:rFonts w:ascii="Times New Roman" w:hAnsi="Times New Roman"/>
                <w:sz w:val="22"/>
                <w:szCs w:val="22"/>
                <w:lang w:val="hr-HR"/>
              </w:rPr>
              <w:t xml:space="preserve">Glivec treba smanjiti na </w:t>
            </w:r>
            <w:r w:rsidRPr="00510442">
              <w:rPr>
                <w:rFonts w:ascii="Times New Roman" w:hAnsi="Times New Roman"/>
                <w:color w:val="000000"/>
                <w:sz w:val="22"/>
                <w:szCs w:val="22"/>
                <w:lang w:val="hr-HR"/>
              </w:rPr>
              <w:t>260 mg/m</w:t>
            </w:r>
            <w:r w:rsidRPr="00510442">
              <w:rPr>
                <w:rFonts w:ascii="Times New Roman" w:hAnsi="Times New Roman"/>
                <w:color w:val="000000"/>
                <w:sz w:val="22"/>
                <w:szCs w:val="22"/>
                <w:vertAlign w:val="superscript"/>
                <w:lang w:val="hr-HR"/>
              </w:rPr>
              <w:t>2</w:t>
            </w:r>
            <w:r w:rsidRPr="00510442">
              <w:rPr>
                <w:rFonts w:ascii="Times New Roman" w:hAnsi="Times New Roman"/>
                <w:color w:val="000000"/>
                <w:sz w:val="22"/>
                <w:szCs w:val="22"/>
                <w:lang w:val="hr-HR"/>
              </w:rPr>
              <w:t>.</w:t>
            </w:r>
          </w:p>
          <w:p w14:paraId="64380242" w14:textId="77777777" w:rsidR="003A274D" w:rsidRPr="00510442" w:rsidRDefault="003A274D" w:rsidP="005E4981">
            <w:pPr>
              <w:pStyle w:val="Table"/>
              <w:keepNext w:val="0"/>
              <w:keepLines w:val="0"/>
              <w:widowControl w:val="0"/>
              <w:suppressLineNumbers/>
              <w:tabs>
                <w:tab w:val="clear" w:pos="284"/>
              </w:tabs>
              <w:spacing w:before="0" w:after="0"/>
              <w:ind w:left="469" w:hanging="469"/>
              <w:rPr>
                <w:rFonts w:ascii="Times New Roman" w:hAnsi="Times New Roman"/>
                <w:color w:val="000000"/>
                <w:sz w:val="22"/>
                <w:szCs w:val="22"/>
                <w:lang w:val="hr-HR"/>
              </w:rPr>
            </w:pPr>
            <w:r w:rsidRPr="00510442">
              <w:rPr>
                <w:rFonts w:ascii="Times New Roman" w:hAnsi="Times New Roman"/>
                <w:color w:val="000000"/>
                <w:sz w:val="22"/>
                <w:szCs w:val="22"/>
                <w:lang w:val="hr-HR"/>
              </w:rPr>
              <w:t>3.</w:t>
            </w:r>
            <w:r w:rsidRPr="00510442">
              <w:rPr>
                <w:rFonts w:ascii="Times New Roman" w:hAnsi="Times New Roman"/>
                <w:color w:val="000000"/>
                <w:sz w:val="22"/>
                <w:szCs w:val="22"/>
                <w:lang w:val="hr-HR"/>
              </w:rPr>
              <w:tab/>
            </w:r>
            <w:r w:rsidRPr="00510442">
              <w:rPr>
                <w:rFonts w:ascii="Times New Roman" w:hAnsi="Times New Roman"/>
                <w:sz w:val="22"/>
                <w:szCs w:val="22"/>
                <w:lang w:val="hr-HR"/>
              </w:rPr>
              <w:t xml:space="preserve">Ako citopenija ustraje </w:t>
            </w:r>
            <w:r w:rsidRPr="00510442">
              <w:rPr>
                <w:rFonts w:ascii="Times New Roman" w:hAnsi="Times New Roman"/>
                <w:color w:val="000000"/>
                <w:sz w:val="22"/>
                <w:szCs w:val="22"/>
                <w:lang w:val="hr-HR"/>
              </w:rPr>
              <w:t xml:space="preserve">2 tjedna, </w:t>
            </w:r>
            <w:r w:rsidRPr="00510442">
              <w:rPr>
                <w:rFonts w:ascii="Times New Roman" w:hAnsi="Times New Roman"/>
                <w:sz w:val="22"/>
                <w:szCs w:val="22"/>
                <w:lang w:val="hr-HR"/>
              </w:rPr>
              <w:t>dozu dodatno smanjiti na</w:t>
            </w:r>
            <w:r w:rsidRPr="00510442">
              <w:rPr>
                <w:rFonts w:ascii="Times New Roman" w:hAnsi="Times New Roman"/>
                <w:color w:val="000000"/>
                <w:sz w:val="22"/>
                <w:szCs w:val="22"/>
                <w:lang w:val="hr-HR"/>
              </w:rPr>
              <w:t xml:space="preserve"> 200 mg/m</w:t>
            </w:r>
            <w:r w:rsidRPr="00510442">
              <w:rPr>
                <w:rFonts w:ascii="Times New Roman" w:hAnsi="Times New Roman"/>
                <w:color w:val="000000"/>
                <w:sz w:val="22"/>
                <w:szCs w:val="22"/>
                <w:vertAlign w:val="superscript"/>
                <w:lang w:val="hr-HR"/>
              </w:rPr>
              <w:t>2</w:t>
            </w:r>
            <w:r w:rsidRPr="00510442">
              <w:rPr>
                <w:rFonts w:ascii="Times New Roman" w:hAnsi="Times New Roman"/>
                <w:color w:val="000000"/>
                <w:sz w:val="22"/>
                <w:szCs w:val="22"/>
                <w:lang w:val="hr-HR"/>
              </w:rPr>
              <w:t>.</w:t>
            </w:r>
          </w:p>
          <w:p w14:paraId="53BB8381" w14:textId="5363E22D" w:rsidR="003A274D" w:rsidRPr="00510442" w:rsidRDefault="003A274D" w:rsidP="004007D1">
            <w:pPr>
              <w:pStyle w:val="Table"/>
              <w:keepNext w:val="0"/>
              <w:keepLines w:val="0"/>
              <w:widowControl w:val="0"/>
              <w:suppressLineNumbers/>
              <w:tabs>
                <w:tab w:val="clear" w:pos="284"/>
              </w:tabs>
              <w:spacing w:before="0" w:after="0"/>
              <w:ind w:left="469" w:right="-108" w:hanging="469"/>
              <w:rPr>
                <w:rFonts w:ascii="Times New Roman" w:hAnsi="Times New Roman"/>
                <w:color w:val="000000"/>
                <w:sz w:val="22"/>
                <w:szCs w:val="22"/>
                <w:lang w:val="hr-HR"/>
              </w:rPr>
            </w:pPr>
            <w:r w:rsidRPr="00510442">
              <w:rPr>
                <w:rFonts w:ascii="Times New Roman" w:hAnsi="Times New Roman"/>
                <w:color w:val="000000"/>
                <w:sz w:val="22"/>
                <w:szCs w:val="22"/>
                <w:lang w:val="hr-HR"/>
              </w:rPr>
              <w:t>4.</w:t>
            </w:r>
            <w:r w:rsidRPr="00510442">
              <w:rPr>
                <w:rFonts w:ascii="Times New Roman" w:hAnsi="Times New Roman"/>
                <w:color w:val="000000"/>
                <w:sz w:val="22"/>
                <w:szCs w:val="22"/>
                <w:lang w:val="hr-HR"/>
              </w:rPr>
              <w:tab/>
            </w:r>
            <w:r w:rsidRPr="00510442">
              <w:rPr>
                <w:rFonts w:ascii="Times New Roman" w:hAnsi="Times New Roman"/>
                <w:sz w:val="22"/>
                <w:szCs w:val="22"/>
                <w:lang w:val="hr-HR"/>
              </w:rPr>
              <w:t xml:space="preserve">Ako citopenija ustraje </w:t>
            </w:r>
            <w:r w:rsidRPr="00510442">
              <w:rPr>
                <w:rFonts w:ascii="Times New Roman" w:hAnsi="Times New Roman"/>
                <w:color w:val="000000"/>
                <w:sz w:val="22"/>
                <w:szCs w:val="22"/>
                <w:lang w:val="hr-HR"/>
              </w:rPr>
              <w:t xml:space="preserve">4 tjedna </w:t>
            </w:r>
            <w:r w:rsidRPr="00510442">
              <w:rPr>
                <w:rFonts w:ascii="Times New Roman" w:hAnsi="Times New Roman"/>
                <w:sz w:val="22"/>
                <w:szCs w:val="22"/>
                <w:lang w:val="hr-HR"/>
              </w:rPr>
              <w:t xml:space="preserve">i još uvijek nije povezana s leukemijom, prekinuti primjenu </w:t>
            </w:r>
            <w:r w:rsidR="004007D1" w:rsidRPr="004007D1">
              <w:rPr>
                <w:rFonts w:ascii="Times New Roman" w:hAnsi="Times New Roman"/>
                <w:sz w:val="22"/>
                <w:szCs w:val="22"/>
                <w:lang w:val="hr-HR"/>
              </w:rPr>
              <w:t xml:space="preserve">lijeka </w:t>
            </w:r>
            <w:r w:rsidRPr="00510442">
              <w:rPr>
                <w:rFonts w:ascii="Times New Roman" w:hAnsi="Times New Roman"/>
                <w:sz w:val="22"/>
                <w:szCs w:val="22"/>
                <w:lang w:val="hr-HR"/>
              </w:rPr>
              <w:t>Glivec sve dok ABN ne bude</w:t>
            </w:r>
            <w:r w:rsidRPr="00510442">
              <w:rPr>
                <w:rFonts w:ascii="Times New Roman" w:hAnsi="Times New Roman"/>
                <w:color w:val="000000"/>
                <w:sz w:val="22"/>
                <w:szCs w:val="22"/>
                <w:lang w:val="hr-HR"/>
              </w:rPr>
              <w:t xml:space="preserve"> </w:t>
            </w:r>
            <w:r w:rsidRPr="00307897">
              <w:rPr>
                <w:rFonts w:ascii="Times New Roman" w:hAnsi="Times New Roman"/>
                <w:color w:val="000000"/>
                <w:sz w:val="22"/>
                <w:szCs w:val="22"/>
                <w:lang w:val="hr-HR"/>
              </w:rPr>
              <w:sym w:font="Symbol" w:char="F0B3"/>
            </w:r>
            <w:r w:rsidRPr="00307897">
              <w:rPr>
                <w:rFonts w:ascii="Times New Roman" w:hAnsi="Times New Roman"/>
                <w:color w:val="000000"/>
                <w:sz w:val="22"/>
                <w:szCs w:val="22"/>
                <w:lang w:val="hr-HR"/>
              </w:rPr>
              <w:t>1 x 10</w:t>
            </w:r>
            <w:r w:rsidRPr="00307897">
              <w:rPr>
                <w:rFonts w:ascii="Times New Roman" w:hAnsi="Times New Roman"/>
                <w:color w:val="000000"/>
                <w:sz w:val="22"/>
                <w:szCs w:val="22"/>
                <w:vertAlign w:val="superscript"/>
                <w:lang w:val="hr-HR"/>
              </w:rPr>
              <w:t>9</w:t>
            </w:r>
            <w:r w:rsidRPr="00307897">
              <w:rPr>
                <w:rFonts w:ascii="Times New Roman" w:hAnsi="Times New Roman"/>
                <w:color w:val="000000"/>
                <w:sz w:val="22"/>
                <w:szCs w:val="22"/>
                <w:lang w:val="hr-HR"/>
              </w:rPr>
              <w:t xml:space="preserve">/i trombociti </w:t>
            </w:r>
            <w:r w:rsidRPr="00307897">
              <w:rPr>
                <w:rFonts w:ascii="Times New Roman" w:hAnsi="Times New Roman"/>
                <w:color w:val="000000"/>
                <w:sz w:val="22"/>
                <w:szCs w:val="22"/>
                <w:lang w:val="hr-HR"/>
              </w:rPr>
              <w:sym w:font="Symbol" w:char="F0B3"/>
            </w:r>
            <w:r w:rsidRPr="00307897">
              <w:rPr>
                <w:rFonts w:ascii="Times New Roman" w:hAnsi="Times New Roman"/>
                <w:color w:val="000000"/>
                <w:sz w:val="22"/>
                <w:szCs w:val="22"/>
                <w:lang w:val="hr-HR"/>
              </w:rPr>
              <w:t>20 x 10</w:t>
            </w:r>
            <w:r w:rsidRPr="00307897">
              <w:rPr>
                <w:rFonts w:ascii="Times New Roman" w:hAnsi="Times New Roman"/>
                <w:color w:val="000000"/>
                <w:sz w:val="22"/>
                <w:szCs w:val="22"/>
                <w:vertAlign w:val="superscript"/>
                <w:lang w:val="hr-HR"/>
              </w:rPr>
              <w:t>9</w:t>
            </w:r>
            <w:r w:rsidRPr="00307897">
              <w:rPr>
                <w:rFonts w:ascii="Times New Roman" w:hAnsi="Times New Roman"/>
                <w:color w:val="000000"/>
                <w:sz w:val="22"/>
                <w:szCs w:val="22"/>
                <w:lang w:val="hr-HR"/>
              </w:rPr>
              <w:t xml:space="preserve">/l, </w:t>
            </w:r>
            <w:r w:rsidRPr="00A00164">
              <w:rPr>
                <w:rFonts w:ascii="Times New Roman" w:hAnsi="Times New Roman"/>
                <w:sz w:val="22"/>
                <w:szCs w:val="22"/>
                <w:lang w:val="hr-HR"/>
              </w:rPr>
              <w:t xml:space="preserve">nakon toga nastaviti liječenje u dozi od </w:t>
            </w:r>
            <w:r w:rsidRPr="00973BDD">
              <w:rPr>
                <w:rFonts w:ascii="Times New Roman" w:hAnsi="Times New Roman"/>
                <w:color w:val="000000"/>
                <w:sz w:val="22"/>
                <w:szCs w:val="22"/>
                <w:lang w:val="hr-HR"/>
              </w:rPr>
              <w:t>200 mg/m</w:t>
            </w:r>
            <w:r w:rsidRPr="000B51EB">
              <w:rPr>
                <w:rFonts w:ascii="Times New Roman" w:hAnsi="Times New Roman"/>
                <w:color w:val="000000"/>
                <w:sz w:val="22"/>
                <w:szCs w:val="22"/>
                <w:vertAlign w:val="superscript"/>
                <w:lang w:val="hr-HR"/>
              </w:rPr>
              <w:t>2</w:t>
            </w:r>
            <w:r w:rsidRPr="00510442">
              <w:rPr>
                <w:rFonts w:ascii="Times New Roman" w:hAnsi="Times New Roman"/>
                <w:color w:val="000000"/>
                <w:sz w:val="22"/>
                <w:szCs w:val="22"/>
                <w:lang w:val="hr-HR"/>
              </w:rPr>
              <w:t>.</w:t>
            </w:r>
          </w:p>
        </w:tc>
      </w:tr>
      <w:tr w:rsidR="003A274D" w:rsidRPr="00F410C8" w14:paraId="4138FD93" w14:textId="77777777" w:rsidTr="003179A4">
        <w:trPr>
          <w:cantSplit/>
        </w:trPr>
        <w:tc>
          <w:tcPr>
            <w:tcW w:w="2376" w:type="dxa"/>
            <w:tcBorders>
              <w:bottom w:val="nil"/>
            </w:tcBorders>
          </w:tcPr>
          <w:p w14:paraId="285273EB" w14:textId="77777777" w:rsidR="003A274D" w:rsidRPr="00510442" w:rsidRDefault="003A274D" w:rsidP="003179A4">
            <w:pPr>
              <w:pStyle w:val="Table"/>
              <w:keepLines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DFSP</w:t>
            </w:r>
          </w:p>
          <w:p w14:paraId="7E35BA4F" w14:textId="77777777" w:rsidR="003A274D" w:rsidRPr="00510442" w:rsidRDefault="003A274D" w:rsidP="003179A4">
            <w:pPr>
              <w:pStyle w:val="EndnoteText"/>
              <w:keepNext/>
              <w:widowControl w:val="0"/>
              <w:tabs>
                <w:tab w:val="clear" w:pos="567"/>
              </w:tabs>
              <w:rPr>
                <w:color w:val="000000"/>
                <w:szCs w:val="22"/>
                <w:lang w:val="hr-HR"/>
              </w:rPr>
            </w:pPr>
            <w:r w:rsidRPr="00510442">
              <w:rPr>
                <w:color w:val="000000"/>
                <w:szCs w:val="22"/>
                <w:lang w:val="hr-HR"/>
              </w:rPr>
              <w:t>(</w:t>
            </w:r>
            <w:r w:rsidRPr="00510442">
              <w:rPr>
                <w:szCs w:val="22"/>
                <w:lang w:val="hr-HR"/>
              </w:rPr>
              <w:t xml:space="preserve">doza od </w:t>
            </w:r>
            <w:r w:rsidRPr="00510442">
              <w:rPr>
                <w:color w:val="000000"/>
                <w:szCs w:val="22"/>
                <w:lang w:val="hr-HR"/>
              </w:rPr>
              <w:t>800 mg)</w:t>
            </w:r>
          </w:p>
        </w:tc>
        <w:tc>
          <w:tcPr>
            <w:tcW w:w="2268" w:type="dxa"/>
            <w:tcBorders>
              <w:bottom w:val="nil"/>
            </w:tcBorders>
          </w:tcPr>
          <w:p w14:paraId="6E3974E3" w14:textId="77777777" w:rsidR="003A274D" w:rsidRPr="00510442" w:rsidRDefault="003A274D" w:rsidP="003179A4">
            <w:pPr>
              <w:pStyle w:val="Table"/>
              <w:keepLines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ABN &lt;1,0 x 10</w:t>
            </w:r>
            <w:r w:rsidRPr="00510442">
              <w:rPr>
                <w:rFonts w:ascii="Times New Roman" w:hAnsi="Times New Roman"/>
                <w:color w:val="000000"/>
                <w:sz w:val="22"/>
                <w:szCs w:val="22"/>
                <w:vertAlign w:val="superscript"/>
                <w:lang w:val="hr-HR"/>
              </w:rPr>
              <w:t>9</w:t>
            </w:r>
            <w:r w:rsidRPr="00510442">
              <w:rPr>
                <w:rFonts w:ascii="Times New Roman" w:hAnsi="Times New Roman"/>
                <w:color w:val="000000"/>
                <w:sz w:val="22"/>
                <w:szCs w:val="22"/>
                <w:lang w:val="hr-HR"/>
              </w:rPr>
              <w:t>/l</w:t>
            </w:r>
          </w:p>
          <w:p w14:paraId="2D4622F9" w14:textId="77777777" w:rsidR="003A274D" w:rsidRPr="00510442" w:rsidRDefault="003A274D" w:rsidP="003179A4">
            <w:pPr>
              <w:pStyle w:val="Table"/>
              <w:keepLines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i/ili</w:t>
            </w:r>
          </w:p>
          <w:p w14:paraId="76B883B2" w14:textId="77777777" w:rsidR="003A274D" w:rsidRPr="00510442" w:rsidRDefault="003A274D" w:rsidP="003179A4">
            <w:pPr>
              <w:pStyle w:val="Table"/>
              <w:keepLines w:val="0"/>
              <w:widowControl w:val="0"/>
              <w:suppressLineNumbers/>
              <w:spacing w:before="0" w:after="0"/>
              <w:rPr>
                <w:rFonts w:ascii="Times New Roman" w:hAnsi="Times New Roman"/>
                <w:color w:val="000000"/>
                <w:sz w:val="22"/>
                <w:szCs w:val="22"/>
                <w:vertAlign w:val="superscript"/>
                <w:lang w:val="hr-HR"/>
              </w:rPr>
            </w:pPr>
            <w:r w:rsidRPr="00510442">
              <w:rPr>
                <w:rFonts w:ascii="Times New Roman" w:hAnsi="Times New Roman"/>
                <w:color w:val="000000"/>
                <w:sz w:val="22"/>
                <w:szCs w:val="22"/>
                <w:lang w:val="hr-HR"/>
              </w:rPr>
              <w:t>trombociti &lt;50 x 10</w:t>
            </w:r>
            <w:r w:rsidRPr="00510442">
              <w:rPr>
                <w:rFonts w:ascii="Times New Roman" w:hAnsi="Times New Roman"/>
                <w:color w:val="000000"/>
                <w:sz w:val="22"/>
                <w:szCs w:val="22"/>
                <w:vertAlign w:val="superscript"/>
                <w:lang w:val="hr-HR"/>
              </w:rPr>
              <w:t>9</w:t>
            </w:r>
            <w:r w:rsidRPr="00510442">
              <w:rPr>
                <w:rFonts w:ascii="Times New Roman" w:hAnsi="Times New Roman"/>
                <w:color w:val="000000"/>
                <w:sz w:val="22"/>
                <w:szCs w:val="22"/>
                <w:lang w:val="hr-HR"/>
              </w:rPr>
              <w:t>/l</w:t>
            </w:r>
          </w:p>
        </w:tc>
        <w:tc>
          <w:tcPr>
            <w:tcW w:w="4678" w:type="dxa"/>
            <w:tcBorders>
              <w:bottom w:val="nil"/>
            </w:tcBorders>
          </w:tcPr>
          <w:p w14:paraId="1FA12A51" w14:textId="77777777" w:rsidR="003A274D" w:rsidRPr="00307897" w:rsidRDefault="003A274D" w:rsidP="003179A4">
            <w:pPr>
              <w:pStyle w:val="Table"/>
              <w:keepLines w:val="0"/>
              <w:widowControl w:val="0"/>
              <w:suppressLineNumbers/>
              <w:tabs>
                <w:tab w:val="clear" w:pos="284"/>
              </w:tabs>
              <w:spacing w:before="0" w:after="0"/>
              <w:ind w:left="469" w:hanging="469"/>
              <w:rPr>
                <w:rFonts w:ascii="Times New Roman" w:hAnsi="Times New Roman"/>
                <w:color w:val="000000"/>
                <w:sz w:val="22"/>
                <w:szCs w:val="22"/>
                <w:lang w:val="hr-HR"/>
              </w:rPr>
            </w:pPr>
            <w:r w:rsidRPr="00510442">
              <w:rPr>
                <w:rFonts w:ascii="Times New Roman" w:hAnsi="Times New Roman"/>
                <w:color w:val="000000"/>
                <w:sz w:val="22"/>
                <w:szCs w:val="22"/>
                <w:lang w:val="hr-HR"/>
              </w:rPr>
              <w:t>1.</w:t>
            </w:r>
            <w:r w:rsidRPr="00510442">
              <w:rPr>
                <w:rFonts w:ascii="Times New Roman" w:hAnsi="Times New Roman"/>
                <w:color w:val="000000"/>
                <w:sz w:val="22"/>
                <w:szCs w:val="22"/>
                <w:lang w:val="hr-HR"/>
              </w:rPr>
              <w:tab/>
            </w:r>
            <w:r w:rsidRPr="00510442">
              <w:rPr>
                <w:rFonts w:ascii="Times New Roman" w:hAnsi="Times New Roman"/>
                <w:sz w:val="22"/>
                <w:szCs w:val="22"/>
                <w:lang w:val="hr-HR"/>
              </w:rPr>
              <w:t xml:space="preserve">Ukinuti Glivec sve dok ABN ne bude </w:t>
            </w:r>
            <w:r w:rsidRPr="00307897">
              <w:rPr>
                <w:rFonts w:ascii="Times New Roman" w:hAnsi="Times New Roman"/>
                <w:color w:val="000000"/>
                <w:sz w:val="22"/>
                <w:szCs w:val="22"/>
                <w:lang w:val="hr-HR"/>
              </w:rPr>
              <w:sym w:font="Symbol" w:char="F0B3"/>
            </w:r>
            <w:r w:rsidRPr="00307897">
              <w:rPr>
                <w:rFonts w:ascii="Times New Roman" w:hAnsi="Times New Roman"/>
                <w:color w:val="000000"/>
                <w:sz w:val="22"/>
                <w:szCs w:val="22"/>
                <w:lang w:val="hr-HR"/>
              </w:rPr>
              <w:t>1,5 x 10</w:t>
            </w:r>
            <w:r w:rsidRPr="00307897">
              <w:rPr>
                <w:rFonts w:ascii="Times New Roman" w:hAnsi="Times New Roman"/>
                <w:color w:val="000000"/>
                <w:sz w:val="22"/>
                <w:szCs w:val="22"/>
                <w:vertAlign w:val="superscript"/>
                <w:lang w:val="hr-HR"/>
              </w:rPr>
              <w:t>9</w:t>
            </w:r>
            <w:r w:rsidRPr="00307897">
              <w:rPr>
                <w:rFonts w:ascii="Times New Roman" w:hAnsi="Times New Roman"/>
                <w:color w:val="000000"/>
                <w:sz w:val="22"/>
                <w:szCs w:val="22"/>
                <w:lang w:val="hr-HR"/>
              </w:rPr>
              <w:t xml:space="preserve">/l i trombociti </w:t>
            </w:r>
            <w:r w:rsidRPr="00307897">
              <w:rPr>
                <w:rFonts w:ascii="Times New Roman" w:hAnsi="Times New Roman"/>
                <w:color w:val="000000"/>
                <w:sz w:val="22"/>
                <w:szCs w:val="22"/>
                <w:lang w:val="hr-HR"/>
              </w:rPr>
              <w:sym w:font="Symbol" w:char="F0B3"/>
            </w:r>
            <w:r w:rsidRPr="00307897">
              <w:rPr>
                <w:rFonts w:ascii="Times New Roman" w:hAnsi="Times New Roman"/>
                <w:color w:val="000000"/>
                <w:sz w:val="22"/>
                <w:szCs w:val="22"/>
                <w:lang w:val="hr-HR"/>
              </w:rPr>
              <w:t>75 x 10</w:t>
            </w:r>
            <w:r w:rsidRPr="00307897">
              <w:rPr>
                <w:rFonts w:ascii="Times New Roman" w:hAnsi="Times New Roman"/>
                <w:color w:val="000000"/>
                <w:sz w:val="22"/>
                <w:szCs w:val="22"/>
                <w:vertAlign w:val="superscript"/>
                <w:lang w:val="hr-HR"/>
              </w:rPr>
              <w:t>9</w:t>
            </w:r>
            <w:r w:rsidRPr="00307897">
              <w:rPr>
                <w:rFonts w:ascii="Times New Roman" w:hAnsi="Times New Roman"/>
                <w:color w:val="000000"/>
                <w:sz w:val="22"/>
                <w:szCs w:val="22"/>
                <w:lang w:val="hr-HR"/>
              </w:rPr>
              <w:t>/l.</w:t>
            </w:r>
          </w:p>
          <w:p w14:paraId="04E13993" w14:textId="39E8A8AC" w:rsidR="003A274D" w:rsidRPr="000B51EB" w:rsidRDefault="003A274D" w:rsidP="003179A4">
            <w:pPr>
              <w:pStyle w:val="Table"/>
              <w:keepLines w:val="0"/>
              <w:widowControl w:val="0"/>
              <w:suppressLineNumbers/>
              <w:tabs>
                <w:tab w:val="clear" w:pos="284"/>
              </w:tabs>
              <w:spacing w:before="0" w:after="0"/>
              <w:ind w:left="469" w:hanging="469"/>
              <w:rPr>
                <w:rFonts w:ascii="Times New Roman" w:hAnsi="Times New Roman"/>
                <w:color w:val="000000"/>
                <w:sz w:val="22"/>
                <w:szCs w:val="22"/>
                <w:lang w:val="hr-HR"/>
              </w:rPr>
            </w:pPr>
            <w:r w:rsidRPr="00A00164">
              <w:rPr>
                <w:rFonts w:ascii="Times New Roman" w:hAnsi="Times New Roman"/>
                <w:color w:val="000000"/>
                <w:sz w:val="22"/>
                <w:szCs w:val="22"/>
                <w:lang w:val="hr-HR"/>
              </w:rPr>
              <w:t>2.</w:t>
            </w:r>
            <w:r w:rsidRPr="00A00164">
              <w:rPr>
                <w:rFonts w:ascii="Times New Roman" w:hAnsi="Times New Roman"/>
                <w:color w:val="000000"/>
                <w:sz w:val="22"/>
                <w:szCs w:val="22"/>
                <w:lang w:val="hr-HR"/>
              </w:rPr>
              <w:tab/>
            </w:r>
            <w:r w:rsidRPr="00973BDD">
              <w:rPr>
                <w:rFonts w:ascii="Times New Roman" w:hAnsi="Times New Roman"/>
                <w:sz w:val="22"/>
                <w:szCs w:val="22"/>
                <w:lang w:val="hr-HR"/>
              </w:rPr>
              <w:t xml:space="preserve">Ponovno uvesti liječenje </w:t>
            </w:r>
            <w:r w:rsidR="00B0477E" w:rsidRPr="00B0477E">
              <w:rPr>
                <w:rFonts w:ascii="Times New Roman" w:hAnsi="Times New Roman"/>
                <w:sz w:val="22"/>
                <w:szCs w:val="22"/>
                <w:lang w:val="hr-HR"/>
              </w:rPr>
              <w:t xml:space="preserve">lijekom </w:t>
            </w:r>
            <w:r w:rsidRPr="00973BDD">
              <w:rPr>
                <w:rFonts w:ascii="Times New Roman" w:hAnsi="Times New Roman"/>
                <w:sz w:val="22"/>
                <w:szCs w:val="22"/>
                <w:lang w:val="hr-HR"/>
              </w:rPr>
              <w:t xml:space="preserve">Glivec u dozi od </w:t>
            </w:r>
            <w:r w:rsidRPr="000B51EB">
              <w:rPr>
                <w:rFonts w:ascii="Times New Roman" w:hAnsi="Times New Roman"/>
                <w:color w:val="000000"/>
                <w:sz w:val="22"/>
                <w:szCs w:val="22"/>
                <w:lang w:val="hr-HR"/>
              </w:rPr>
              <w:t>600 mg.</w:t>
            </w:r>
          </w:p>
          <w:p w14:paraId="4F6A6F34" w14:textId="2D9B9D89" w:rsidR="003A274D" w:rsidRPr="00510442" w:rsidRDefault="003A274D" w:rsidP="004007D1">
            <w:pPr>
              <w:pStyle w:val="Table"/>
              <w:keepLines w:val="0"/>
              <w:widowControl w:val="0"/>
              <w:suppressLineNumbers/>
              <w:tabs>
                <w:tab w:val="clear" w:pos="284"/>
              </w:tabs>
              <w:spacing w:before="0" w:after="0"/>
              <w:ind w:left="469" w:hanging="469"/>
              <w:rPr>
                <w:rFonts w:ascii="Times New Roman" w:hAnsi="Times New Roman"/>
                <w:color w:val="000000"/>
                <w:sz w:val="22"/>
                <w:szCs w:val="22"/>
                <w:lang w:val="hr-HR"/>
              </w:rPr>
            </w:pPr>
            <w:r w:rsidRPr="00510442">
              <w:rPr>
                <w:rFonts w:ascii="Times New Roman" w:hAnsi="Times New Roman"/>
                <w:color w:val="000000"/>
                <w:sz w:val="22"/>
                <w:szCs w:val="22"/>
                <w:lang w:val="hr-HR"/>
              </w:rPr>
              <w:t>3.</w:t>
            </w:r>
            <w:r w:rsidRPr="00510442">
              <w:rPr>
                <w:rFonts w:ascii="Times New Roman" w:hAnsi="Times New Roman"/>
                <w:color w:val="000000"/>
                <w:sz w:val="22"/>
                <w:szCs w:val="22"/>
                <w:lang w:val="hr-HR"/>
              </w:rPr>
              <w:tab/>
            </w:r>
            <w:r w:rsidRPr="00510442">
              <w:rPr>
                <w:rFonts w:ascii="Times New Roman" w:hAnsi="Times New Roman"/>
                <w:sz w:val="22"/>
                <w:szCs w:val="22"/>
                <w:lang w:val="hr-HR"/>
              </w:rPr>
              <w:t xml:space="preserve">U slučaju da je ABN ponovno </w:t>
            </w:r>
            <w:r w:rsidRPr="00510442">
              <w:rPr>
                <w:rFonts w:ascii="Times New Roman" w:hAnsi="Times New Roman"/>
                <w:color w:val="000000"/>
                <w:sz w:val="22"/>
                <w:szCs w:val="22"/>
                <w:lang w:val="hr-HR"/>
              </w:rPr>
              <w:t>&lt;1,0 x 10</w:t>
            </w:r>
            <w:r w:rsidRPr="00510442">
              <w:rPr>
                <w:rFonts w:ascii="Times New Roman" w:hAnsi="Times New Roman"/>
                <w:color w:val="000000"/>
                <w:sz w:val="22"/>
                <w:szCs w:val="22"/>
                <w:vertAlign w:val="superscript"/>
                <w:lang w:val="hr-HR"/>
              </w:rPr>
              <w:t>9</w:t>
            </w:r>
            <w:r w:rsidRPr="00510442">
              <w:rPr>
                <w:rFonts w:ascii="Times New Roman" w:hAnsi="Times New Roman"/>
                <w:color w:val="000000"/>
                <w:sz w:val="22"/>
                <w:szCs w:val="22"/>
                <w:lang w:val="hr-HR"/>
              </w:rPr>
              <w:t xml:space="preserve">/l </w:t>
            </w:r>
            <w:r w:rsidRPr="00510442">
              <w:rPr>
                <w:rFonts w:ascii="Times New Roman" w:hAnsi="Times New Roman"/>
                <w:sz w:val="22"/>
                <w:szCs w:val="22"/>
                <w:lang w:val="hr-HR"/>
              </w:rPr>
              <w:t>i/ili trombociti</w:t>
            </w:r>
            <w:r w:rsidRPr="00510442">
              <w:rPr>
                <w:rFonts w:ascii="Times New Roman" w:hAnsi="Times New Roman"/>
                <w:color w:val="000000"/>
                <w:sz w:val="22"/>
                <w:szCs w:val="22"/>
                <w:lang w:val="hr-HR"/>
              </w:rPr>
              <w:t xml:space="preserve"> &lt;50 x 10</w:t>
            </w:r>
            <w:r w:rsidRPr="00510442">
              <w:rPr>
                <w:rFonts w:ascii="Times New Roman" w:hAnsi="Times New Roman"/>
                <w:color w:val="000000"/>
                <w:sz w:val="22"/>
                <w:szCs w:val="22"/>
                <w:vertAlign w:val="superscript"/>
                <w:lang w:val="hr-HR"/>
              </w:rPr>
              <w:t>9</w:t>
            </w:r>
            <w:r w:rsidRPr="00510442">
              <w:rPr>
                <w:rFonts w:ascii="Times New Roman" w:hAnsi="Times New Roman"/>
                <w:color w:val="000000"/>
                <w:sz w:val="22"/>
                <w:szCs w:val="22"/>
                <w:lang w:val="hr-HR"/>
              </w:rPr>
              <w:t xml:space="preserve">/l, </w:t>
            </w:r>
            <w:r w:rsidRPr="00510442">
              <w:rPr>
                <w:rFonts w:ascii="Times New Roman" w:hAnsi="Times New Roman"/>
                <w:sz w:val="22"/>
                <w:szCs w:val="22"/>
                <w:lang w:val="hr-HR"/>
              </w:rPr>
              <w:t xml:space="preserve">treba ponoviti 1. korak i nastaviti primjenu </w:t>
            </w:r>
            <w:r w:rsidR="004007D1" w:rsidRPr="004007D1">
              <w:rPr>
                <w:rFonts w:ascii="Times New Roman" w:hAnsi="Times New Roman"/>
                <w:sz w:val="22"/>
                <w:szCs w:val="22"/>
                <w:lang w:val="hr-HR"/>
              </w:rPr>
              <w:t xml:space="preserve">lijeka </w:t>
            </w:r>
            <w:r w:rsidRPr="00510442">
              <w:rPr>
                <w:rFonts w:ascii="Times New Roman" w:hAnsi="Times New Roman"/>
                <w:sz w:val="22"/>
                <w:szCs w:val="22"/>
                <w:lang w:val="hr-HR"/>
              </w:rPr>
              <w:t>Glivec u smanjenoj dozi od</w:t>
            </w:r>
            <w:r w:rsidRPr="00510442">
              <w:rPr>
                <w:rFonts w:ascii="Times New Roman" w:hAnsi="Times New Roman"/>
                <w:color w:val="000000"/>
                <w:sz w:val="22"/>
                <w:szCs w:val="22"/>
                <w:lang w:val="hr-HR"/>
              </w:rPr>
              <w:t xml:space="preserve"> 400 mg.</w:t>
            </w:r>
          </w:p>
        </w:tc>
      </w:tr>
      <w:tr w:rsidR="003A274D" w:rsidRPr="00510442" w14:paraId="2F6D612C" w14:textId="77777777" w:rsidTr="003179A4">
        <w:trPr>
          <w:cantSplit/>
        </w:trPr>
        <w:tc>
          <w:tcPr>
            <w:tcW w:w="9322" w:type="dxa"/>
            <w:gridSpan w:val="3"/>
            <w:tcBorders>
              <w:bottom w:val="nil"/>
            </w:tcBorders>
          </w:tcPr>
          <w:p w14:paraId="4264C885" w14:textId="77777777" w:rsidR="003A274D" w:rsidRPr="00510442" w:rsidRDefault="003A274D" w:rsidP="003179A4">
            <w:pPr>
              <w:pStyle w:val="EndnoteText"/>
              <w:keepNext/>
              <w:widowControl w:val="0"/>
              <w:tabs>
                <w:tab w:val="clear" w:pos="567"/>
              </w:tabs>
              <w:rPr>
                <w:color w:val="000000"/>
                <w:szCs w:val="22"/>
                <w:lang w:val="hr-HR"/>
              </w:rPr>
            </w:pPr>
            <w:r w:rsidRPr="00510442">
              <w:rPr>
                <w:color w:val="000000"/>
                <w:szCs w:val="22"/>
                <w:lang w:val="hr-HR"/>
              </w:rPr>
              <w:t xml:space="preserve">ABN = </w:t>
            </w:r>
            <w:r w:rsidRPr="00510442">
              <w:rPr>
                <w:szCs w:val="22"/>
                <w:lang w:val="hr-HR"/>
              </w:rPr>
              <w:t>apsolutni broj neutrofila</w:t>
            </w:r>
          </w:p>
        </w:tc>
      </w:tr>
      <w:tr w:rsidR="003A274D" w:rsidRPr="00F410C8" w14:paraId="2D646A26" w14:textId="77777777" w:rsidTr="003179A4">
        <w:trPr>
          <w:cantSplit/>
        </w:trPr>
        <w:tc>
          <w:tcPr>
            <w:tcW w:w="9322" w:type="dxa"/>
            <w:gridSpan w:val="3"/>
            <w:tcBorders>
              <w:top w:val="nil"/>
            </w:tcBorders>
          </w:tcPr>
          <w:p w14:paraId="12359A12" w14:textId="77777777" w:rsidR="003A274D" w:rsidRPr="00510442" w:rsidRDefault="003A274D" w:rsidP="005E4981">
            <w:pPr>
              <w:pStyle w:val="EndnoteText"/>
              <w:widowControl w:val="0"/>
              <w:tabs>
                <w:tab w:val="clear" w:pos="567"/>
              </w:tabs>
              <w:rPr>
                <w:color w:val="000000"/>
                <w:szCs w:val="22"/>
                <w:lang w:val="hr-HR"/>
              </w:rPr>
            </w:pPr>
            <w:r w:rsidRPr="00510442">
              <w:rPr>
                <w:color w:val="000000"/>
                <w:szCs w:val="22"/>
                <w:vertAlign w:val="superscript"/>
                <w:lang w:val="hr-HR"/>
              </w:rPr>
              <w:t xml:space="preserve">a </w:t>
            </w:r>
            <w:r w:rsidRPr="00510442">
              <w:rPr>
                <w:szCs w:val="22"/>
                <w:lang w:val="hr-HR"/>
              </w:rPr>
              <w:t xml:space="preserve">javlja se nakon najmanje </w:t>
            </w:r>
            <w:r w:rsidRPr="00510442">
              <w:rPr>
                <w:color w:val="000000"/>
                <w:szCs w:val="22"/>
                <w:lang w:val="hr-HR"/>
              </w:rPr>
              <w:t>1 </w:t>
            </w:r>
            <w:r w:rsidRPr="00510442">
              <w:rPr>
                <w:szCs w:val="22"/>
                <w:lang w:val="hr-HR"/>
              </w:rPr>
              <w:t>mjeseca liječenja</w:t>
            </w:r>
          </w:p>
        </w:tc>
      </w:tr>
    </w:tbl>
    <w:p w14:paraId="004903D5" w14:textId="77777777" w:rsidR="003A274D" w:rsidRPr="00510442" w:rsidRDefault="003A274D" w:rsidP="003A274D">
      <w:pPr>
        <w:pStyle w:val="EndnoteText"/>
        <w:widowControl w:val="0"/>
        <w:tabs>
          <w:tab w:val="clear" w:pos="567"/>
        </w:tabs>
        <w:rPr>
          <w:color w:val="000000"/>
          <w:szCs w:val="22"/>
          <w:lang w:val="hr-HR"/>
        </w:rPr>
      </w:pPr>
    </w:p>
    <w:p w14:paraId="0C24B58F" w14:textId="77777777" w:rsidR="003A274D" w:rsidRPr="00510442" w:rsidRDefault="003A274D" w:rsidP="003179A4">
      <w:pPr>
        <w:pStyle w:val="EndnoteText"/>
        <w:keepNext/>
        <w:widowControl w:val="0"/>
        <w:tabs>
          <w:tab w:val="clear" w:pos="567"/>
        </w:tabs>
        <w:rPr>
          <w:color w:val="000000"/>
          <w:szCs w:val="22"/>
          <w:u w:val="single"/>
          <w:lang w:val="hr-HR"/>
        </w:rPr>
      </w:pPr>
      <w:r w:rsidRPr="00510442">
        <w:rPr>
          <w:color w:val="000000"/>
          <w:szCs w:val="22"/>
          <w:u w:val="single"/>
          <w:lang w:val="hr-HR"/>
        </w:rPr>
        <w:t>Posebne populacije</w:t>
      </w:r>
    </w:p>
    <w:p w14:paraId="7755E4BF" w14:textId="77777777" w:rsidR="003A274D" w:rsidRPr="00510442" w:rsidRDefault="003A274D" w:rsidP="003A274D">
      <w:pPr>
        <w:spacing w:line="240" w:lineRule="auto"/>
        <w:rPr>
          <w:color w:val="000000"/>
          <w:szCs w:val="22"/>
          <w:lang w:val="hr-HR"/>
        </w:rPr>
      </w:pPr>
      <w:r w:rsidRPr="00510442">
        <w:rPr>
          <w:i/>
          <w:szCs w:val="22"/>
          <w:lang w:val="hr-HR"/>
        </w:rPr>
        <w:t>Primjena u pedijatriji</w:t>
      </w:r>
      <w:r w:rsidRPr="00510442">
        <w:rPr>
          <w:i/>
          <w:color w:val="000000"/>
          <w:szCs w:val="22"/>
          <w:lang w:val="hr-HR"/>
        </w:rPr>
        <w:t>:</w:t>
      </w:r>
      <w:r w:rsidRPr="00510442">
        <w:rPr>
          <w:color w:val="000000"/>
          <w:szCs w:val="22"/>
          <w:lang w:val="hr-HR"/>
        </w:rPr>
        <w:t xml:space="preserve"> </w:t>
      </w:r>
      <w:r w:rsidRPr="00510442">
        <w:rPr>
          <w:szCs w:val="22"/>
          <w:lang w:val="hr-HR"/>
        </w:rPr>
        <w:t xml:space="preserve">ne postoji iskustvo kod djece s KML-om mlađe od </w:t>
      </w:r>
      <w:r w:rsidRPr="00510442">
        <w:rPr>
          <w:color w:val="000000"/>
          <w:szCs w:val="22"/>
          <w:lang w:val="hr-HR"/>
        </w:rPr>
        <w:t>2 </w:t>
      </w:r>
      <w:r w:rsidRPr="00510442">
        <w:rPr>
          <w:szCs w:val="22"/>
          <w:lang w:val="hr-HR"/>
        </w:rPr>
        <w:t xml:space="preserve">godine i s Ph+ALL mlađe od 1 godine (vidjeti dio </w:t>
      </w:r>
      <w:r w:rsidRPr="00510442">
        <w:rPr>
          <w:color w:val="000000"/>
          <w:szCs w:val="22"/>
          <w:lang w:val="hr-HR"/>
        </w:rPr>
        <w:t xml:space="preserve">5.1). </w:t>
      </w:r>
      <w:r w:rsidRPr="00510442">
        <w:rPr>
          <w:szCs w:val="22"/>
          <w:lang w:val="hr-HR"/>
        </w:rPr>
        <w:t>Postoji vrlo ograničeno iskustvo kod djece s MDS/MPD-om, DFSP-om, GIST-om ili HES/KEL</w:t>
      </w:r>
      <w:r w:rsidRPr="00510442">
        <w:rPr>
          <w:szCs w:val="22"/>
          <w:lang w:val="hr-HR"/>
        </w:rPr>
        <w:noBreakHyphen/>
        <w:t>om</w:t>
      </w:r>
      <w:r w:rsidRPr="00510442">
        <w:rPr>
          <w:color w:val="000000"/>
          <w:szCs w:val="22"/>
          <w:lang w:val="hr-HR"/>
        </w:rPr>
        <w:t>.</w:t>
      </w:r>
    </w:p>
    <w:p w14:paraId="35356BA3" w14:textId="77777777" w:rsidR="003A274D" w:rsidRPr="00510442" w:rsidRDefault="003A274D" w:rsidP="003A274D">
      <w:pPr>
        <w:spacing w:line="240" w:lineRule="auto"/>
        <w:rPr>
          <w:color w:val="000000"/>
          <w:szCs w:val="22"/>
          <w:lang w:val="hr-HR"/>
        </w:rPr>
      </w:pPr>
    </w:p>
    <w:p w14:paraId="5D6F2B4C" w14:textId="77777777" w:rsidR="003A274D" w:rsidRPr="00510442" w:rsidRDefault="003A274D" w:rsidP="003A274D">
      <w:pPr>
        <w:shd w:val="clear" w:color="auto" w:fill="FFFFFF"/>
        <w:spacing w:line="240" w:lineRule="auto"/>
        <w:rPr>
          <w:color w:val="000000"/>
          <w:szCs w:val="22"/>
          <w:lang w:val="hr-HR"/>
        </w:rPr>
      </w:pPr>
      <w:r w:rsidRPr="00510442">
        <w:rPr>
          <w:color w:val="000000"/>
          <w:szCs w:val="22"/>
          <w:lang w:val="hr-HR"/>
        </w:rPr>
        <w:t xml:space="preserve">Sigurnost i djelotvornost imatiniba u djece s MDS/MPD-om, DFSP-om, GIST-om i HES/KEL-om mlađe od 18 godina nisu </w:t>
      </w:r>
      <w:r w:rsidR="0037744A" w:rsidRPr="00510442">
        <w:rPr>
          <w:color w:val="000000"/>
          <w:szCs w:val="22"/>
          <w:lang w:val="hr-HR"/>
        </w:rPr>
        <w:t xml:space="preserve">ustanovljene </w:t>
      </w:r>
      <w:r w:rsidRPr="00510442">
        <w:rPr>
          <w:color w:val="000000"/>
          <w:szCs w:val="22"/>
          <w:lang w:val="hr-HR"/>
        </w:rPr>
        <w:t>u kliničkim ispitivanjima. Trenutačno dostupni objavljeni podaci sažeti su u dijelu 5.1, ali ne mogu se dati nikakve preporuke o doziranju.</w:t>
      </w:r>
    </w:p>
    <w:p w14:paraId="0CDCEFB5" w14:textId="77777777" w:rsidR="003A274D" w:rsidRPr="00510442" w:rsidRDefault="003A274D" w:rsidP="003A274D">
      <w:pPr>
        <w:pStyle w:val="EndnoteText"/>
        <w:widowControl w:val="0"/>
        <w:tabs>
          <w:tab w:val="clear" w:pos="567"/>
        </w:tabs>
        <w:rPr>
          <w:color w:val="000000"/>
          <w:szCs w:val="22"/>
          <w:lang w:val="hr-HR"/>
        </w:rPr>
      </w:pPr>
    </w:p>
    <w:p w14:paraId="12E4B837" w14:textId="77777777" w:rsidR="003A274D" w:rsidRPr="00510442" w:rsidRDefault="003A274D" w:rsidP="003A274D">
      <w:pPr>
        <w:pStyle w:val="EndnoteText"/>
        <w:widowControl w:val="0"/>
        <w:tabs>
          <w:tab w:val="clear" w:pos="567"/>
        </w:tabs>
        <w:rPr>
          <w:color w:val="000000"/>
          <w:szCs w:val="22"/>
          <w:lang w:val="hr-HR"/>
        </w:rPr>
      </w:pPr>
      <w:r w:rsidRPr="00510442">
        <w:rPr>
          <w:i/>
          <w:szCs w:val="22"/>
          <w:lang w:val="hr-HR"/>
        </w:rPr>
        <w:t>Insuficijencija jetre</w:t>
      </w:r>
      <w:r w:rsidRPr="00510442">
        <w:rPr>
          <w:i/>
          <w:color w:val="000000"/>
          <w:szCs w:val="22"/>
          <w:lang w:val="hr-HR"/>
        </w:rPr>
        <w:t>:</w:t>
      </w:r>
      <w:r w:rsidRPr="00510442">
        <w:rPr>
          <w:color w:val="000000"/>
          <w:szCs w:val="22"/>
          <w:lang w:val="hr-HR"/>
        </w:rPr>
        <w:t xml:space="preserve"> </w:t>
      </w:r>
      <w:r w:rsidRPr="00510442">
        <w:rPr>
          <w:szCs w:val="22"/>
          <w:lang w:val="hr-HR"/>
        </w:rPr>
        <w:t xml:space="preserve">imatinib se uglavnom metabolizira preko jetre. Bolesnici s blagim, umjerenim ili teškim poremećajem funkcije jetre trebaju primati minimalnu preporučenu dozu od </w:t>
      </w:r>
      <w:r w:rsidRPr="00510442">
        <w:rPr>
          <w:color w:val="000000"/>
          <w:szCs w:val="22"/>
          <w:lang w:val="hr-HR"/>
        </w:rPr>
        <w:t xml:space="preserve">400 mg </w:t>
      </w:r>
      <w:r w:rsidRPr="00510442">
        <w:rPr>
          <w:szCs w:val="22"/>
          <w:lang w:val="hr-HR"/>
        </w:rPr>
        <w:t>na dan. Doza se može smanjiti ako se ne podnosi (vidjeti dijelove</w:t>
      </w:r>
      <w:r w:rsidRPr="00510442">
        <w:rPr>
          <w:color w:val="000000"/>
          <w:szCs w:val="22"/>
          <w:lang w:val="hr-HR"/>
        </w:rPr>
        <w:t xml:space="preserve"> 4.4, 4.8 i 5.2).</w:t>
      </w:r>
    </w:p>
    <w:p w14:paraId="6B7BD811" w14:textId="77777777" w:rsidR="003A274D" w:rsidRPr="00510442" w:rsidRDefault="003A274D" w:rsidP="003A274D">
      <w:pPr>
        <w:pStyle w:val="EndnoteText"/>
        <w:widowControl w:val="0"/>
        <w:tabs>
          <w:tab w:val="clear" w:pos="567"/>
        </w:tabs>
        <w:rPr>
          <w:color w:val="000000"/>
          <w:szCs w:val="22"/>
          <w:lang w:val="hr-HR"/>
        </w:rPr>
      </w:pPr>
    </w:p>
    <w:p w14:paraId="091CE5F6" w14:textId="77777777" w:rsidR="003A274D" w:rsidRPr="00510442" w:rsidRDefault="003A274D" w:rsidP="003179A4">
      <w:pPr>
        <w:pStyle w:val="Text"/>
        <w:keepNext/>
        <w:spacing w:before="0"/>
        <w:jc w:val="left"/>
        <w:rPr>
          <w:color w:val="000000"/>
          <w:sz w:val="22"/>
          <w:szCs w:val="22"/>
          <w:lang w:val="hr-HR"/>
        </w:rPr>
      </w:pPr>
      <w:r w:rsidRPr="00510442">
        <w:rPr>
          <w:sz w:val="22"/>
          <w:szCs w:val="22"/>
          <w:lang w:val="hr-HR"/>
        </w:rPr>
        <w:lastRenderedPageBreak/>
        <w:t>Klasifikacija poremećaja funkcije jetre</w:t>
      </w:r>
      <w:r w:rsidRPr="00510442">
        <w:rPr>
          <w:color w:val="000000"/>
          <w:sz w:val="22"/>
          <w:szCs w:val="22"/>
          <w:lang w:val="hr-HR"/>
        </w:rPr>
        <w:t>:</w:t>
      </w:r>
    </w:p>
    <w:p w14:paraId="34AEC37E" w14:textId="77777777" w:rsidR="003A274D" w:rsidRPr="00510442" w:rsidRDefault="003A274D" w:rsidP="003179A4">
      <w:pPr>
        <w:pStyle w:val="Text"/>
        <w:keepNext/>
        <w:spacing w:before="0"/>
        <w:jc w:val="left"/>
        <w:rPr>
          <w:color w:val="000000"/>
          <w:sz w:val="22"/>
          <w:szCs w:val="22"/>
          <w:lang w:val="hr-H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4"/>
        <w:gridCol w:w="5811"/>
      </w:tblGrid>
      <w:tr w:rsidR="003A274D" w:rsidRPr="00510442" w14:paraId="129EA948" w14:textId="77777777" w:rsidTr="005E4981">
        <w:tc>
          <w:tcPr>
            <w:tcW w:w="2694" w:type="dxa"/>
          </w:tcPr>
          <w:p w14:paraId="2F8E8A4C" w14:textId="77777777" w:rsidR="003A274D" w:rsidRPr="00510442" w:rsidRDefault="003A274D" w:rsidP="003179A4">
            <w:pPr>
              <w:pStyle w:val="Text"/>
              <w:keepNext/>
              <w:spacing w:before="0"/>
              <w:jc w:val="left"/>
              <w:rPr>
                <w:color w:val="000000"/>
                <w:sz w:val="22"/>
                <w:szCs w:val="22"/>
                <w:lang w:val="hr-HR"/>
              </w:rPr>
            </w:pPr>
            <w:r w:rsidRPr="00510442">
              <w:rPr>
                <w:sz w:val="22"/>
                <w:szCs w:val="22"/>
                <w:lang w:val="hr-HR"/>
              </w:rPr>
              <w:t>Poremećaj funkcije jetre</w:t>
            </w:r>
          </w:p>
        </w:tc>
        <w:tc>
          <w:tcPr>
            <w:tcW w:w="5811" w:type="dxa"/>
          </w:tcPr>
          <w:p w14:paraId="0A5C5111" w14:textId="77777777" w:rsidR="003A274D" w:rsidRPr="00510442" w:rsidRDefault="003A274D" w:rsidP="003179A4">
            <w:pPr>
              <w:pStyle w:val="Text"/>
              <w:keepNext/>
              <w:spacing w:before="0"/>
              <w:jc w:val="left"/>
              <w:rPr>
                <w:color w:val="000000"/>
                <w:sz w:val="22"/>
                <w:szCs w:val="22"/>
                <w:lang w:val="hr-HR"/>
              </w:rPr>
            </w:pPr>
            <w:r w:rsidRPr="00510442">
              <w:rPr>
                <w:sz w:val="22"/>
                <w:szCs w:val="22"/>
                <w:lang w:val="hr-HR"/>
              </w:rPr>
              <w:t>Testovi funkcije jetre</w:t>
            </w:r>
          </w:p>
        </w:tc>
      </w:tr>
      <w:tr w:rsidR="003A274D" w:rsidRPr="00F410C8" w14:paraId="11709870" w14:textId="77777777" w:rsidTr="005E4981">
        <w:tc>
          <w:tcPr>
            <w:tcW w:w="2694" w:type="dxa"/>
          </w:tcPr>
          <w:p w14:paraId="6BD0FA28" w14:textId="77777777" w:rsidR="003A274D" w:rsidRPr="00510442" w:rsidRDefault="003A274D" w:rsidP="003179A4">
            <w:pPr>
              <w:pStyle w:val="Text"/>
              <w:keepNext/>
              <w:spacing w:before="0"/>
              <w:jc w:val="left"/>
              <w:rPr>
                <w:color w:val="000000"/>
                <w:sz w:val="22"/>
                <w:szCs w:val="22"/>
                <w:lang w:val="hr-HR"/>
              </w:rPr>
            </w:pPr>
            <w:r w:rsidRPr="00510442">
              <w:rPr>
                <w:color w:val="000000"/>
                <w:sz w:val="22"/>
                <w:szCs w:val="22"/>
                <w:lang w:val="hr-HR"/>
              </w:rPr>
              <w:t>Blagi</w:t>
            </w:r>
          </w:p>
        </w:tc>
        <w:tc>
          <w:tcPr>
            <w:tcW w:w="5811" w:type="dxa"/>
          </w:tcPr>
          <w:p w14:paraId="4B19C9EA" w14:textId="77777777" w:rsidR="003A274D" w:rsidRPr="00510442" w:rsidRDefault="003A274D" w:rsidP="003179A4">
            <w:pPr>
              <w:keepNext/>
              <w:spacing w:line="240" w:lineRule="auto"/>
              <w:rPr>
                <w:snapToGrid w:val="0"/>
                <w:color w:val="000000"/>
                <w:szCs w:val="22"/>
                <w:lang w:val="hr-HR"/>
              </w:rPr>
            </w:pPr>
            <w:r w:rsidRPr="00510442">
              <w:rPr>
                <w:szCs w:val="22"/>
                <w:lang w:val="hr-HR"/>
              </w:rPr>
              <w:t>Ukupni bilirubin</w:t>
            </w:r>
            <w:r w:rsidRPr="00510442">
              <w:rPr>
                <w:snapToGrid w:val="0"/>
                <w:color w:val="000000"/>
                <w:szCs w:val="22"/>
                <w:lang w:val="hr-HR"/>
              </w:rPr>
              <w:t>: = 1,5 GGN</w:t>
            </w:r>
          </w:p>
          <w:p w14:paraId="3763F9BD" w14:textId="77777777" w:rsidR="003A274D" w:rsidRPr="00510442" w:rsidRDefault="003A274D" w:rsidP="003179A4">
            <w:pPr>
              <w:pStyle w:val="Text"/>
              <w:keepNext/>
              <w:spacing w:before="0"/>
              <w:jc w:val="left"/>
              <w:rPr>
                <w:color w:val="000000"/>
                <w:sz w:val="22"/>
                <w:szCs w:val="22"/>
                <w:lang w:val="hr-HR"/>
              </w:rPr>
            </w:pPr>
            <w:r w:rsidRPr="00510442">
              <w:rPr>
                <w:snapToGrid w:val="0"/>
                <w:color w:val="000000"/>
                <w:sz w:val="22"/>
                <w:szCs w:val="22"/>
                <w:lang w:val="hr-HR"/>
              </w:rPr>
              <w:t>AST: &gt;GGN (</w:t>
            </w:r>
            <w:r w:rsidRPr="00510442">
              <w:rPr>
                <w:sz w:val="22"/>
                <w:szCs w:val="22"/>
                <w:lang w:val="hr-HR"/>
              </w:rPr>
              <w:t xml:space="preserve">može biti normalan ili </w:t>
            </w:r>
            <w:r w:rsidRPr="00510442">
              <w:rPr>
                <w:snapToGrid w:val="0"/>
                <w:color w:val="000000"/>
                <w:sz w:val="22"/>
                <w:szCs w:val="22"/>
                <w:lang w:val="hr-HR"/>
              </w:rPr>
              <w:t xml:space="preserve">&lt;GGN </w:t>
            </w:r>
            <w:r w:rsidRPr="00510442">
              <w:rPr>
                <w:sz w:val="22"/>
                <w:szCs w:val="22"/>
                <w:lang w:val="hr-HR"/>
              </w:rPr>
              <w:t>ako je ukupni bilirubin</w:t>
            </w:r>
            <w:r w:rsidRPr="00510442">
              <w:rPr>
                <w:snapToGrid w:val="0"/>
                <w:color w:val="000000"/>
                <w:sz w:val="22"/>
                <w:szCs w:val="22"/>
                <w:lang w:val="hr-HR"/>
              </w:rPr>
              <w:t xml:space="preserve"> &gt;GGN)</w:t>
            </w:r>
          </w:p>
        </w:tc>
      </w:tr>
      <w:tr w:rsidR="003A274D" w:rsidRPr="00F410C8" w14:paraId="7C3CDC8C" w14:textId="77777777" w:rsidTr="005E4981">
        <w:tc>
          <w:tcPr>
            <w:tcW w:w="2694" w:type="dxa"/>
          </w:tcPr>
          <w:p w14:paraId="2794ACD2" w14:textId="77777777" w:rsidR="003A274D" w:rsidRPr="00510442" w:rsidRDefault="003A274D" w:rsidP="003179A4">
            <w:pPr>
              <w:pStyle w:val="Text"/>
              <w:keepNext/>
              <w:spacing w:before="0"/>
              <w:jc w:val="left"/>
              <w:rPr>
                <w:color w:val="000000"/>
                <w:sz w:val="22"/>
                <w:szCs w:val="22"/>
                <w:lang w:val="hr-HR"/>
              </w:rPr>
            </w:pPr>
            <w:r w:rsidRPr="00510442">
              <w:rPr>
                <w:sz w:val="22"/>
                <w:szCs w:val="22"/>
                <w:lang w:val="hr-HR"/>
              </w:rPr>
              <w:t>Umjereni</w:t>
            </w:r>
          </w:p>
        </w:tc>
        <w:tc>
          <w:tcPr>
            <w:tcW w:w="5811" w:type="dxa"/>
          </w:tcPr>
          <w:p w14:paraId="0DB6CD9B" w14:textId="77777777" w:rsidR="003A274D" w:rsidRPr="00510442" w:rsidRDefault="003A274D" w:rsidP="003179A4">
            <w:pPr>
              <w:keepNext/>
              <w:spacing w:line="240" w:lineRule="auto"/>
              <w:rPr>
                <w:snapToGrid w:val="0"/>
                <w:color w:val="000000"/>
                <w:szCs w:val="22"/>
                <w:lang w:val="hr-HR"/>
              </w:rPr>
            </w:pPr>
            <w:r w:rsidRPr="00510442">
              <w:rPr>
                <w:szCs w:val="22"/>
                <w:lang w:val="hr-HR"/>
              </w:rPr>
              <w:t>Ukupni bilirubin</w:t>
            </w:r>
            <w:r w:rsidRPr="00510442">
              <w:rPr>
                <w:snapToGrid w:val="0"/>
                <w:color w:val="000000"/>
                <w:szCs w:val="22"/>
                <w:lang w:val="hr-HR"/>
              </w:rPr>
              <w:t>: &gt;1,5</w:t>
            </w:r>
            <w:r w:rsidRPr="00510442">
              <w:rPr>
                <w:color w:val="000000"/>
                <w:szCs w:val="22"/>
                <w:lang w:val="hr-HR"/>
              </w:rPr>
              <w:noBreakHyphen/>
            </w:r>
            <w:r w:rsidRPr="00510442">
              <w:rPr>
                <w:snapToGrid w:val="0"/>
                <w:color w:val="000000"/>
                <w:szCs w:val="22"/>
                <w:lang w:val="hr-HR"/>
              </w:rPr>
              <w:t>3,0 GGN</w:t>
            </w:r>
          </w:p>
          <w:p w14:paraId="38FA7A91" w14:textId="77777777" w:rsidR="003A274D" w:rsidRPr="00510442" w:rsidRDefault="003A274D" w:rsidP="003179A4">
            <w:pPr>
              <w:pStyle w:val="Text"/>
              <w:keepNext/>
              <w:spacing w:before="0"/>
              <w:jc w:val="left"/>
              <w:rPr>
                <w:color w:val="000000"/>
                <w:sz w:val="22"/>
                <w:szCs w:val="22"/>
                <w:lang w:val="hr-HR"/>
              </w:rPr>
            </w:pPr>
            <w:r w:rsidRPr="00510442">
              <w:rPr>
                <w:snapToGrid w:val="0"/>
                <w:color w:val="000000"/>
                <w:sz w:val="22"/>
                <w:szCs w:val="22"/>
                <w:lang w:val="hr-HR"/>
              </w:rPr>
              <w:t xml:space="preserve">AST: </w:t>
            </w:r>
            <w:r w:rsidRPr="00510442">
              <w:rPr>
                <w:sz w:val="22"/>
                <w:szCs w:val="22"/>
                <w:lang w:val="hr-HR"/>
              </w:rPr>
              <w:t>bilo koja vrijednost</w:t>
            </w:r>
          </w:p>
        </w:tc>
      </w:tr>
      <w:tr w:rsidR="003A274D" w:rsidRPr="00F410C8" w14:paraId="7E022246" w14:textId="77777777" w:rsidTr="005E4981">
        <w:tc>
          <w:tcPr>
            <w:tcW w:w="2694" w:type="dxa"/>
          </w:tcPr>
          <w:p w14:paraId="45E5D8D3" w14:textId="77777777" w:rsidR="003A274D" w:rsidRPr="00510442" w:rsidRDefault="003A274D" w:rsidP="003179A4">
            <w:pPr>
              <w:pStyle w:val="Text"/>
              <w:keepNext/>
              <w:spacing w:before="0"/>
              <w:jc w:val="left"/>
              <w:rPr>
                <w:color w:val="000000"/>
                <w:sz w:val="22"/>
                <w:szCs w:val="22"/>
                <w:lang w:val="hr-HR"/>
              </w:rPr>
            </w:pPr>
            <w:r w:rsidRPr="00510442">
              <w:rPr>
                <w:sz w:val="22"/>
                <w:szCs w:val="22"/>
                <w:lang w:val="hr-HR"/>
              </w:rPr>
              <w:t>Teški</w:t>
            </w:r>
          </w:p>
        </w:tc>
        <w:tc>
          <w:tcPr>
            <w:tcW w:w="5811" w:type="dxa"/>
          </w:tcPr>
          <w:p w14:paraId="1DBBFB22" w14:textId="77777777" w:rsidR="003A274D" w:rsidRPr="00510442" w:rsidRDefault="003A274D" w:rsidP="003179A4">
            <w:pPr>
              <w:keepNext/>
              <w:spacing w:line="240" w:lineRule="auto"/>
              <w:rPr>
                <w:snapToGrid w:val="0"/>
                <w:color w:val="000000"/>
                <w:szCs w:val="22"/>
                <w:lang w:val="hr-HR"/>
              </w:rPr>
            </w:pPr>
            <w:r w:rsidRPr="00510442">
              <w:rPr>
                <w:szCs w:val="22"/>
                <w:lang w:val="hr-HR"/>
              </w:rPr>
              <w:t>Ukupni bilirubin</w:t>
            </w:r>
            <w:r w:rsidRPr="00510442">
              <w:rPr>
                <w:snapToGrid w:val="0"/>
                <w:color w:val="000000"/>
                <w:szCs w:val="22"/>
                <w:lang w:val="hr-HR"/>
              </w:rPr>
              <w:t>: &gt;3</w:t>
            </w:r>
            <w:r w:rsidRPr="00510442">
              <w:rPr>
                <w:color w:val="000000"/>
                <w:szCs w:val="22"/>
                <w:lang w:val="hr-HR"/>
              </w:rPr>
              <w:noBreakHyphen/>
            </w:r>
            <w:r w:rsidRPr="00510442">
              <w:rPr>
                <w:snapToGrid w:val="0"/>
                <w:color w:val="000000"/>
                <w:szCs w:val="22"/>
                <w:lang w:val="hr-HR"/>
              </w:rPr>
              <w:t>10 GGN</w:t>
            </w:r>
          </w:p>
          <w:p w14:paraId="4F9E1115" w14:textId="77777777" w:rsidR="003A274D" w:rsidRPr="00510442" w:rsidRDefault="003A274D" w:rsidP="003179A4">
            <w:pPr>
              <w:pStyle w:val="Text"/>
              <w:keepNext/>
              <w:spacing w:before="0"/>
              <w:jc w:val="left"/>
              <w:rPr>
                <w:color w:val="000000"/>
                <w:sz w:val="22"/>
                <w:szCs w:val="22"/>
                <w:lang w:val="hr-HR"/>
              </w:rPr>
            </w:pPr>
            <w:r w:rsidRPr="00510442">
              <w:rPr>
                <w:snapToGrid w:val="0"/>
                <w:color w:val="000000"/>
                <w:sz w:val="22"/>
                <w:szCs w:val="22"/>
                <w:lang w:val="hr-HR"/>
              </w:rPr>
              <w:t xml:space="preserve">AST: </w:t>
            </w:r>
            <w:r w:rsidRPr="00510442">
              <w:rPr>
                <w:sz w:val="22"/>
                <w:szCs w:val="22"/>
                <w:lang w:val="hr-HR"/>
              </w:rPr>
              <w:t>bilo koja vrijednost</w:t>
            </w:r>
          </w:p>
        </w:tc>
      </w:tr>
    </w:tbl>
    <w:p w14:paraId="32E9DADB" w14:textId="77777777" w:rsidR="003A274D" w:rsidRPr="00510442" w:rsidRDefault="003A274D" w:rsidP="003179A4">
      <w:pPr>
        <w:pStyle w:val="Text"/>
        <w:keepNext/>
        <w:spacing w:before="0"/>
        <w:jc w:val="left"/>
        <w:rPr>
          <w:color w:val="000000"/>
          <w:sz w:val="22"/>
          <w:szCs w:val="22"/>
          <w:lang w:val="hr-HR"/>
        </w:rPr>
      </w:pPr>
      <w:r w:rsidRPr="00510442">
        <w:rPr>
          <w:color w:val="000000"/>
          <w:sz w:val="22"/>
          <w:szCs w:val="22"/>
          <w:lang w:val="hr-HR"/>
        </w:rPr>
        <w:t xml:space="preserve">GGN = </w:t>
      </w:r>
      <w:r w:rsidRPr="00510442">
        <w:rPr>
          <w:sz w:val="22"/>
          <w:szCs w:val="22"/>
          <w:lang w:val="hr-HR"/>
        </w:rPr>
        <w:t>institucionalna gornja granica normale</w:t>
      </w:r>
    </w:p>
    <w:p w14:paraId="507DCE1D" w14:textId="77777777" w:rsidR="003A274D" w:rsidRPr="00510442" w:rsidRDefault="003A274D" w:rsidP="003A274D">
      <w:pPr>
        <w:autoSpaceDE w:val="0"/>
        <w:autoSpaceDN w:val="0"/>
        <w:adjustRightInd w:val="0"/>
        <w:spacing w:line="240" w:lineRule="auto"/>
        <w:ind w:left="993" w:hanging="993"/>
        <w:rPr>
          <w:rFonts w:eastAsia="MS Mincho"/>
          <w:bCs/>
          <w:color w:val="000000"/>
          <w:szCs w:val="22"/>
          <w:lang w:val="hr-HR" w:eastAsia="ja-JP"/>
        </w:rPr>
      </w:pPr>
      <w:r w:rsidRPr="00510442">
        <w:rPr>
          <w:rFonts w:eastAsia="MS Mincho"/>
          <w:bCs/>
          <w:color w:val="000000"/>
          <w:szCs w:val="22"/>
          <w:lang w:val="hr-HR" w:eastAsia="ja-JP"/>
        </w:rPr>
        <w:t xml:space="preserve">AST = </w:t>
      </w:r>
      <w:r w:rsidRPr="00510442">
        <w:rPr>
          <w:szCs w:val="22"/>
          <w:lang w:val="hr-HR"/>
        </w:rPr>
        <w:t>aspartat-aminotransferaza</w:t>
      </w:r>
    </w:p>
    <w:p w14:paraId="0558FE1D" w14:textId="77777777" w:rsidR="003A274D" w:rsidRPr="00510442" w:rsidRDefault="003A274D" w:rsidP="003A274D">
      <w:pPr>
        <w:pStyle w:val="EndnoteText"/>
        <w:widowControl w:val="0"/>
        <w:tabs>
          <w:tab w:val="clear" w:pos="567"/>
        </w:tabs>
        <w:rPr>
          <w:color w:val="000000"/>
          <w:szCs w:val="22"/>
          <w:lang w:val="hr-HR"/>
        </w:rPr>
      </w:pPr>
    </w:p>
    <w:p w14:paraId="42194E44" w14:textId="77777777" w:rsidR="003A274D" w:rsidRPr="00510442" w:rsidRDefault="003A274D" w:rsidP="003A274D">
      <w:pPr>
        <w:pStyle w:val="EndnoteText"/>
        <w:widowControl w:val="0"/>
        <w:tabs>
          <w:tab w:val="clear" w:pos="567"/>
        </w:tabs>
        <w:rPr>
          <w:color w:val="000000"/>
          <w:szCs w:val="22"/>
          <w:lang w:val="hr-HR"/>
        </w:rPr>
      </w:pPr>
      <w:r w:rsidRPr="00510442">
        <w:rPr>
          <w:i/>
          <w:szCs w:val="22"/>
          <w:lang w:val="hr-HR"/>
        </w:rPr>
        <w:t>Insuficijencija bubrega</w:t>
      </w:r>
      <w:r w:rsidRPr="00510442">
        <w:rPr>
          <w:i/>
          <w:color w:val="000000"/>
          <w:szCs w:val="22"/>
          <w:lang w:val="hr-HR"/>
        </w:rPr>
        <w:t>:</w:t>
      </w:r>
      <w:r w:rsidRPr="00510442">
        <w:rPr>
          <w:color w:val="000000"/>
          <w:szCs w:val="22"/>
          <w:lang w:val="hr-HR"/>
        </w:rPr>
        <w:t xml:space="preserve"> Bolesnici s poremećajem funkcije bubrega ili na dijalizi </w:t>
      </w:r>
      <w:r w:rsidRPr="00510442">
        <w:rPr>
          <w:szCs w:val="22"/>
          <w:lang w:val="hr-HR"/>
        </w:rPr>
        <w:t>trebaju primati minimalnu preporučenu dozu od</w:t>
      </w:r>
      <w:r w:rsidRPr="00510442">
        <w:rPr>
          <w:rFonts w:eastAsia="SimSun"/>
          <w:color w:val="000000"/>
          <w:szCs w:val="22"/>
          <w:lang w:val="hr-HR" w:eastAsia="zh-CN"/>
        </w:rPr>
        <w:t xml:space="preserve"> 400 mg </w:t>
      </w:r>
      <w:r w:rsidRPr="00510442">
        <w:rPr>
          <w:szCs w:val="22"/>
          <w:lang w:val="hr-HR"/>
        </w:rPr>
        <w:t>na dan kao početnu dozu</w:t>
      </w:r>
      <w:r w:rsidRPr="00510442">
        <w:rPr>
          <w:rFonts w:eastAsia="SimSun"/>
          <w:color w:val="000000"/>
          <w:szCs w:val="22"/>
          <w:lang w:val="hr-HR" w:eastAsia="zh-CN"/>
        </w:rPr>
        <w:t xml:space="preserve">. </w:t>
      </w:r>
      <w:r w:rsidRPr="00510442">
        <w:rPr>
          <w:szCs w:val="22"/>
          <w:lang w:val="hr-HR"/>
        </w:rPr>
        <w:t>Međutim, u tih bolesnika se preporučuje oprez. Doza se može smanjiti ako se ne podnosi</w:t>
      </w:r>
      <w:r w:rsidRPr="00510442">
        <w:rPr>
          <w:color w:val="000000"/>
          <w:szCs w:val="22"/>
          <w:lang w:val="hr-HR"/>
        </w:rPr>
        <w:t xml:space="preserve">. Ako se podnosi, doza se može </w:t>
      </w:r>
      <w:r w:rsidRPr="00510442">
        <w:rPr>
          <w:szCs w:val="22"/>
          <w:lang w:val="hr-HR"/>
        </w:rPr>
        <w:t>povećati u nedostatku djelotvornosti</w:t>
      </w:r>
      <w:r w:rsidRPr="00510442">
        <w:rPr>
          <w:color w:val="000000"/>
          <w:szCs w:val="22"/>
          <w:lang w:val="hr-HR"/>
        </w:rPr>
        <w:t xml:space="preserve"> (vidjeti dijelove 4.4 i 5.2).</w:t>
      </w:r>
    </w:p>
    <w:p w14:paraId="5FDC553A" w14:textId="77777777" w:rsidR="003A274D" w:rsidRPr="00510442" w:rsidRDefault="003A274D" w:rsidP="003A274D">
      <w:pPr>
        <w:pStyle w:val="EndnoteText"/>
        <w:widowControl w:val="0"/>
        <w:tabs>
          <w:tab w:val="clear" w:pos="567"/>
        </w:tabs>
        <w:rPr>
          <w:color w:val="000000"/>
          <w:szCs w:val="22"/>
          <w:lang w:val="hr-HR"/>
        </w:rPr>
      </w:pPr>
    </w:p>
    <w:p w14:paraId="22BE79B3" w14:textId="77777777" w:rsidR="003A274D" w:rsidRPr="00510442" w:rsidRDefault="003A274D" w:rsidP="003A274D">
      <w:pPr>
        <w:pStyle w:val="EndnoteText"/>
        <w:widowControl w:val="0"/>
        <w:tabs>
          <w:tab w:val="clear" w:pos="567"/>
        </w:tabs>
        <w:rPr>
          <w:color w:val="000000"/>
          <w:szCs w:val="22"/>
          <w:lang w:val="hr-HR"/>
        </w:rPr>
      </w:pPr>
      <w:r w:rsidRPr="00510442">
        <w:rPr>
          <w:i/>
          <w:color w:val="000000"/>
          <w:szCs w:val="22"/>
          <w:lang w:val="hr-HR"/>
        </w:rPr>
        <w:t xml:space="preserve">Stariji </w:t>
      </w:r>
      <w:r w:rsidR="00CB2B8E" w:rsidRPr="00510442">
        <w:rPr>
          <w:i/>
          <w:color w:val="000000"/>
          <w:szCs w:val="22"/>
          <w:lang w:val="hr-HR"/>
        </w:rPr>
        <w:t>ljudi</w:t>
      </w:r>
      <w:r w:rsidRPr="00510442">
        <w:rPr>
          <w:i/>
          <w:color w:val="000000"/>
          <w:szCs w:val="22"/>
          <w:lang w:val="hr-HR"/>
        </w:rPr>
        <w:t>:</w:t>
      </w:r>
      <w:r w:rsidRPr="00510442">
        <w:rPr>
          <w:color w:val="000000"/>
          <w:szCs w:val="22"/>
          <w:lang w:val="hr-HR"/>
        </w:rPr>
        <w:t xml:space="preserve"> </w:t>
      </w:r>
      <w:r w:rsidRPr="00510442">
        <w:rPr>
          <w:szCs w:val="22"/>
          <w:lang w:val="hr-HR"/>
        </w:rPr>
        <w:t xml:space="preserve">farmakokinetika imatiniba nije specifično ispitivana u starijih </w:t>
      </w:r>
      <w:r w:rsidR="00CB2B8E" w:rsidRPr="00510442">
        <w:rPr>
          <w:szCs w:val="22"/>
          <w:lang w:val="hr-HR"/>
        </w:rPr>
        <w:t>ljudi</w:t>
      </w:r>
      <w:r w:rsidRPr="00510442">
        <w:rPr>
          <w:color w:val="000000"/>
          <w:szCs w:val="22"/>
          <w:lang w:val="hr-HR"/>
        </w:rPr>
        <w:t xml:space="preserve">. </w:t>
      </w:r>
      <w:r w:rsidRPr="00510442">
        <w:rPr>
          <w:szCs w:val="22"/>
          <w:lang w:val="hr-HR"/>
        </w:rPr>
        <w:t>U kliničkim ispitivanjima koja su uključivala preko 20% bolesnika u dobi od 65 godina i više nisu zapažene značajne farmakokinetičke razlike vezane uz dob kod odraslih bolesnika</w:t>
      </w:r>
      <w:r w:rsidRPr="00510442">
        <w:rPr>
          <w:color w:val="000000"/>
          <w:szCs w:val="22"/>
          <w:lang w:val="hr-HR"/>
        </w:rPr>
        <w:t xml:space="preserve">. </w:t>
      </w:r>
      <w:r w:rsidRPr="00510442">
        <w:rPr>
          <w:szCs w:val="22"/>
          <w:lang w:val="hr-HR"/>
        </w:rPr>
        <w:t xml:space="preserve">Za starije </w:t>
      </w:r>
      <w:r w:rsidR="00CB2B8E" w:rsidRPr="00510442">
        <w:rPr>
          <w:szCs w:val="22"/>
          <w:lang w:val="hr-HR"/>
        </w:rPr>
        <w:t xml:space="preserve">ljude </w:t>
      </w:r>
      <w:r w:rsidRPr="00510442">
        <w:rPr>
          <w:szCs w:val="22"/>
          <w:lang w:val="hr-HR"/>
        </w:rPr>
        <w:t>nije potrebna posebna preporuka doziranja</w:t>
      </w:r>
      <w:r w:rsidRPr="00510442">
        <w:rPr>
          <w:color w:val="000000"/>
          <w:szCs w:val="22"/>
          <w:lang w:val="hr-HR"/>
        </w:rPr>
        <w:t>.</w:t>
      </w:r>
    </w:p>
    <w:p w14:paraId="004F8386" w14:textId="77777777" w:rsidR="003A274D" w:rsidRPr="00510442" w:rsidRDefault="003A274D" w:rsidP="003A274D">
      <w:pPr>
        <w:pStyle w:val="EndnoteText"/>
        <w:widowControl w:val="0"/>
        <w:tabs>
          <w:tab w:val="clear" w:pos="567"/>
        </w:tabs>
        <w:rPr>
          <w:color w:val="000000"/>
          <w:szCs w:val="22"/>
          <w:lang w:val="hr-HR"/>
        </w:rPr>
      </w:pPr>
    </w:p>
    <w:p w14:paraId="057567B3" w14:textId="77777777" w:rsidR="00BE41B8" w:rsidRPr="00510442" w:rsidRDefault="00BE41B8" w:rsidP="003179A4">
      <w:pPr>
        <w:keepNext/>
        <w:tabs>
          <w:tab w:val="clear" w:pos="567"/>
        </w:tabs>
        <w:spacing w:line="240" w:lineRule="auto"/>
        <w:ind w:left="567" w:hanging="567"/>
        <w:rPr>
          <w:szCs w:val="22"/>
          <w:lang w:val="hr-HR"/>
        </w:rPr>
      </w:pPr>
      <w:r w:rsidRPr="00510442">
        <w:rPr>
          <w:b/>
          <w:szCs w:val="22"/>
          <w:lang w:val="hr-HR"/>
        </w:rPr>
        <w:t>4.3</w:t>
      </w:r>
      <w:r w:rsidRPr="00510442">
        <w:rPr>
          <w:b/>
          <w:szCs w:val="22"/>
          <w:lang w:val="hr-HR"/>
        </w:rPr>
        <w:tab/>
        <w:t>Kontraindikacije</w:t>
      </w:r>
    </w:p>
    <w:p w14:paraId="04180477" w14:textId="77777777" w:rsidR="00BE41B8" w:rsidRPr="00510442" w:rsidRDefault="00BE41B8" w:rsidP="003179A4">
      <w:pPr>
        <w:pStyle w:val="EndnoteText"/>
        <w:keepNext/>
        <w:widowControl w:val="0"/>
        <w:tabs>
          <w:tab w:val="clear" w:pos="567"/>
        </w:tabs>
        <w:rPr>
          <w:color w:val="000000"/>
          <w:szCs w:val="22"/>
          <w:lang w:val="hr-HR"/>
        </w:rPr>
      </w:pPr>
    </w:p>
    <w:p w14:paraId="28700131" w14:textId="77777777" w:rsidR="00BE41B8" w:rsidRPr="00510442" w:rsidRDefault="00BE41B8" w:rsidP="00BE41B8">
      <w:pPr>
        <w:pStyle w:val="EndnoteText"/>
        <w:widowControl w:val="0"/>
        <w:tabs>
          <w:tab w:val="clear" w:pos="567"/>
        </w:tabs>
        <w:rPr>
          <w:color w:val="000000"/>
          <w:szCs w:val="22"/>
          <w:lang w:val="hr-HR"/>
        </w:rPr>
      </w:pPr>
      <w:r w:rsidRPr="00510442">
        <w:rPr>
          <w:szCs w:val="22"/>
          <w:lang w:val="hr-HR"/>
        </w:rPr>
        <w:t>Preosjetljivost na djelatnu tvar ili neku od pomoćnih tvari navedenih u dijelu 6.1.</w:t>
      </w:r>
    </w:p>
    <w:p w14:paraId="6BEA6BB0" w14:textId="77777777" w:rsidR="00BE41B8" w:rsidRPr="00510442" w:rsidRDefault="00BE41B8" w:rsidP="00BE41B8">
      <w:pPr>
        <w:pStyle w:val="EndnoteText"/>
        <w:widowControl w:val="0"/>
        <w:tabs>
          <w:tab w:val="clear" w:pos="567"/>
        </w:tabs>
        <w:rPr>
          <w:color w:val="000000"/>
          <w:szCs w:val="22"/>
          <w:lang w:val="hr-HR"/>
        </w:rPr>
      </w:pPr>
    </w:p>
    <w:p w14:paraId="1B323597" w14:textId="77777777" w:rsidR="00BE41B8" w:rsidRPr="00510442" w:rsidRDefault="00BE41B8" w:rsidP="003179A4">
      <w:pPr>
        <w:keepNext/>
        <w:tabs>
          <w:tab w:val="clear" w:pos="567"/>
        </w:tabs>
        <w:spacing w:line="240" w:lineRule="auto"/>
        <w:ind w:left="567" w:hanging="567"/>
        <w:rPr>
          <w:b/>
          <w:szCs w:val="22"/>
          <w:lang w:val="hr-HR"/>
        </w:rPr>
      </w:pPr>
      <w:r w:rsidRPr="00510442">
        <w:rPr>
          <w:b/>
          <w:szCs w:val="22"/>
          <w:lang w:val="hr-HR"/>
        </w:rPr>
        <w:t>4.4</w:t>
      </w:r>
      <w:r w:rsidRPr="00510442">
        <w:rPr>
          <w:b/>
          <w:szCs w:val="22"/>
          <w:lang w:val="hr-HR"/>
        </w:rPr>
        <w:tab/>
        <w:t>Posebna upozorenja i mjere opreza pri uporabi</w:t>
      </w:r>
    </w:p>
    <w:p w14:paraId="703E9A46" w14:textId="77777777" w:rsidR="00BE41B8" w:rsidRPr="00510442" w:rsidRDefault="00BE41B8" w:rsidP="003179A4">
      <w:pPr>
        <w:pStyle w:val="EndnoteText"/>
        <w:keepNext/>
        <w:widowControl w:val="0"/>
        <w:tabs>
          <w:tab w:val="clear" w:pos="567"/>
        </w:tabs>
        <w:rPr>
          <w:color w:val="000000"/>
          <w:szCs w:val="22"/>
          <w:lang w:val="hr-HR"/>
        </w:rPr>
      </w:pPr>
    </w:p>
    <w:p w14:paraId="2CB16704" w14:textId="77777777" w:rsidR="00BE41B8" w:rsidRPr="00510442" w:rsidRDefault="00BE41B8" w:rsidP="00BE41B8">
      <w:pPr>
        <w:pStyle w:val="EndnoteText"/>
        <w:widowControl w:val="0"/>
        <w:tabs>
          <w:tab w:val="clear" w:pos="567"/>
          <w:tab w:val="left" w:pos="7655"/>
        </w:tabs>
        <w:rPr>
          <w:color w:val="000000"/>
          <w:szCs w:val="22"/>
          <w:lang w:val="hr-HR"/>
        </w:rPr>
      </w:pPr>
      <w:r w:rsidRPr="00510442">
        <w:rPr>
          <w:szCs w:val="22"/>
          <w:lang w:val="hr-HR"/>
        </w:rPr>
        <w:t>Kada se Glivec primjenjuje istodobno s drugim lijekovima postoji mogućnost za interakcije lijekova</w:t>
      </w:r>
      <w:r w:rsidRPr="00510442">
        <w:rPr>
          <w:color w:val="000000"/>
          <w:szCs w:val="22"/>
          <w:lang w:val="hr-HR"/>
        </w:rPr>
        <w:t>. Potreban je oprez kada se</w:t>
      </w:r>
      <w:r w:rsidRPr="00510442">
        <w:rPr>
          <w:szCs w:val="22"/>
          <w:lang w:val="hr-HR"/>
        </w:rPr>
        <w:t xml:space="preserve"> Glivec uzima s inhibitorima proteaze, azolnim antimikoticima, određenim makrolidima (vidjeti dio 4.5), CYP3A4 supstratima s uskim terapijskim prozorom (npr. ciklosporin, pimozid, takrolimus, sirolimus, ergotamin, diergotamin, fentanil, alfentanil, terfenadin, bortezomib, docetaksel, kvinidin) ili varfarinom i drugim derivatima kumarina (vidjeti dio 4.5).</w:t>
      </w:r>
    </w:p>
    <w:p w14:paraId="2CC9DA66" w14:textId="77777777" w:rsidR="00BE41B8" w:rsidRPr="00510442" w:rsidRDefault="00BE41B8" w:rsidP="00BE41B8">
      <w:pPr>
        <w:pStyle w:val="EndnoteText"/>
        <w:widowControl w:val="0"/>
        <w:tabs>
          <w:tab w:val="clear" w:pos="567"/>
          <w:tab w:val="left" w:pos="7655"/>
        </w:tabs>
        <w:rPr>
          <w:color w:val="000000"/>
          <w:szCs w:val="22"/>
          <w:lang w:val="hr-HR"/>
        </w:rPr>
      </w:pPr>
    </w:p>
    <w:p w14:paraId="56CC3BA4" w14:textId="45F75C72" w:rsidR="00BE41B8" w:rsidRPr="00510442" w:rsidRDefault="00BE41B8" w:rsidP="00BE41B8">
      <w:pPr>
        <w:pStyle w:val="EndnoteText"/>
        <w:widowControl w:val="0"/>
        <w:tabs>
          <w:tab w:val="clear" w:pos="567"/>
          <w:tab w:val="left" w:pos="7655"/>
        </w:tabs>
        <w:rPr>
          <w:color w:val="000000"/>
          <w:szCs w:val="22"/>
          <w:lang w:val="hr-HR"/>
        </w:rPr>
      </w:pPr>
      <w:r w:rsidRPr="00510442">
        <w:rPr>
          <w:szCs w:val="22"/>
          <w:lang w:val="hr-HR"/>
        </w:rPr>
        <w:t xml:space="preserve">Istodobna primjena imatiniba i lijekova koji induciraju CYP3A4 (npr. deksametazon, fenitoin, karbamazepin, rifampicin, fenobarbital ili </w:t>
      </w:r>
      <w:r w:rsidRPr="00510442">
        <w:rPr>
          <w:i/>
          <w:szCs w:val="22"/>
          <w:lang w:val="hr-HR"/>
        </w:rPr>
        <w:t>Hypericum perforatum</w:t>
      </w:r>
      <w:r w:rsidRPr="00510442">
        <w:rPr>
          <w:szCs w:val="22"/>
          <w:lang w:val="hr-HR"/>
        </w:rPr>
        <w:t xml:space="preserve">, poznat također kao gospina trava) može značajno smanjiti izloženost </w:t>
      </w:r>
      <w:r w:rsidR="00561038">
        <w:rPr>
          <w:szCs w:val="22"/>
          <w:lang w:val="hr-HR"/>
        </w:rPr>
        <w:t xml:space="preserve">lijeku </w:t>
      </w:r>
      <w:r w:rsidRPr="00510442">
        <w:rPr>
          <w:szCs w:val="22"/>
          <w:lang w:val="hr-HR"/>
        </w:rPr>
        <w:t>Glivec, što potencijalno povećava rizik od neuspjeha terapije. Zbog toga treba izbjegavati istodobnu primjenu jakih CYP3A4 induktora i imatiniba (vidjeti dio 4.5).</w:t>
      </w:r>
    </w:p>
    <w:p w14:paraId="7418F271" w14:textId="77777777" w:rsidR="00BE41B8" w:rsidRPr="00510442" w:rsidRDefault="00BE41B8" w:rsidP="00BE41B8">
      <w:pPr>
        <w:pStyle w:val="EndnoteText"/>
        <w:widowControl w:val="0"/>
        <w:tabs>
          <w:tab w:val="clear" w:pos="567"/>
          <w:tab w:val="left" w:pos="7655"/>
        </w:tabs>
        <w:rPr>
          <w:color w:val="000000"/>
          <w:szCs w:val="22"/>
          <w:lang w:val="hr-HR"/>
        </w:rPr>
      </w:pPr>
    </w:p>
    <w:p w14:paraId="7C19E085" w14:textId="77777777" w:rsidR="00BE41B8" w:rsidRPr="00510442" w:rsidRDefault="00BE41B8" w:rsidP="003179A4">
      <w:pPr>
        <w:pStyle w:val="EndnoteText"/>
        <w:keepNext/>
        <w:widowControl w:val="0"/>
        <w:tabs>
          <w:tab w:val="clear" w:pos="567"/>
          <w:tab w:val="left" w:pos="7655"/>
        </w:tabs>
        <w:rPr>
          <w:color w:val="000000"/>
          <w:szCs w:val="22"/>
          <w:u w:val="single"/>
          <w:lang w:val="hr-HR"/>
        </w:rPr>
      </w:pPr>
      <w:r w:rsidRPr="00510442">
        <w:rPr>
          <w:color w:val="000000"/>
          <w:szCs w:val="22"/>
          <w:u w:val="single"/>
          <w:lang w:val="hr-HR"/>
        </w:rPr>
        <w:t>Hipotireoza</w:t>
      </w:r>
    </w:p>
    <w:p w14:paraId="07C737BF" w14:textId="3DA26CC9" w:rsidR="00BE41B8" w:rsidRPr="00510442" w:rsidRDefault="00BE41B8" w:rsidP="00BE41B8">
      <w:pPr>
        <w:pStyle w:val="EndnoteText"/>
        <w:widowControl w:val="0"/>
        <w:tabs>
          <w:tab w:val="clear" w:pos="567"/>
          <w:tab w:val="left" w:pos="7655"/>
        </w:tabs>
        <w:rPr>
          <w:iCs/>
          <w:color w:val="000000"/>
          <w:szCs w:val="22"/>
          <w:lang w:val="hr-HR"/>
        </w:rPr>
      </w:pPr>
      <w:r w:rsidRPr="00510442">
        <w:rPr>
          <w:szCs w:val="22"/>
          <w:lang w:val="hr-HR"/>
        </w:rPr>
        <w:t xml:space="preserve">U bolesnika u kojih je obavljena tireoidektomija i koji primaju nadomjesnu terapiju levotiroksinom zabilježeni su klinički slučajevi hipotireoze tijekom liječenja </w:t>
      </w:r>
      <w:r w:rsidR="00B0477E">
        <w:rPr>
          <w:szCs w:val="22"/>
          <w:lang w:val="hr-HR"/>
        </w:rPr>
        <w:t xml:space="preserve">lijekom </w:t>
      </w:r>
      <w:r w:rsidRPr="00510442">
        <w:rPr>
          <w:szCs w:val="22"/>
          <w:lang w:val="hr-HR"/>
        </w:rPr>
        <w:t xml:space="preserve">Glivec (vidjeti dio </w:t>
      </w:r>
      <w:r w:rsidRPr="00510442">
        <w:rPr>
          <w:iCs/>
          <w:color w:val="000000"/>
          <w:szCs w:val="22"/>
          <w:lang w:val="hr-HR"/>
        </w:rPr>
        <w:t xml:space="preserve">4.5). </w:t>
      </w:r>
      <w:r w:rsidRPr="00510442">
        <w:rPr>
          <w:szCs w:val="22"/>
          <w:lang w:val="hr-HR"/>
        </w:rPr>
        <w:t>U takvih bolesnika trebaju se pažljivo pratiti razine tireotropina</w:t>
      </w:r>
      <w:r w:rsidRPr="00510442">
        <w:rPr>
          <w:iCs/>
          <w:color w:val="000000"/>
          <w:szCs w:val="22"/>
          <w:lang w:val="hr-HR"/>
        </w:rPr>
        <w:t xml:space="preserve"> (TSH).</w:t>
      </w:r>
    </w:p>
    <w:p w14:paraId="00B23D62" w14:textId="77777777" w:rsidR="00BE41B8" w:rsidRPr="00510442" w:rsidRDefault="00BE41B8" w:rsidP="00BE41B8">
      <w:pPr>
        <w:pStyle w:val="EndnoteText"/>
        <w:widowControl w:val="0"/>
        <w:tabs>
          <w:tab w:val="clear" w:pos="567"/>
          <w:tab w:val="left" w:pos="7655"/>
        </w:tabs>
        <w:rPr>
          <w:color w:val="000000"/>
          <w:szCs w:val="22"/>
          <w:u w:val="single"/>
          <w:lang w:val="hr-HR"/>
        </w:rPr>
      </w:pPr>
    </w:p>
    <w:p w14:paraId="50E98568" w14:textId="77777777" w:rsidR="00BE41B8" w:rsidRPr="00510442" w:rsidRDefault="00BE41B8" w:rsidP="003179A4">
      <w:pPr>
        <w:pStyle w:val="EndnoteText"/>
        <w:keepNext/>
        <w:widowControl w:val="0"/>
        <w:tabs>
          <w:tab w:val="clear" w:pos="567"/>
          <w:tab w:val="left" w:pos="7655"/>
        </w:tabs>
        <w:rPr>
          <w:color w:val="000000"/>
          <w:szCs w:val="22"/>
          <w:u w:val="single"/>
          <w:lang w:val="hr-HR"/>
        </w:rPr>
      </w:pPr>
      <w:r w:rsidRPr="00510442">
        <w:rPr>
          <w:color w:val="000000"/>
          <w:szCs w:val="22"/>
          <w:u w:val="single"/>
          <w:lang w:val="hr-HR"/>
        </w:rPr>
        <w:t>Hepatotoksičnost</w:t>
      </w:r>
    </w:p>
    <w:p w14:paraId="29AFD873" w14:textId="1B344007" w:rsidR="00BE41B8" w:rsidRPr="00510442" w:rsidRDefault="00BE41B8" w:rsidP="00BE41B8">
      <w:pPr>
        <w:pStyle w:val="EndnoteText"/>
        <w:widowControl w:val="0"/>
        <w:tabs>
          <w:tab w:val="clear" w:pos="567"/>
        </w:tabs>
        <w:rPr>
          <w:color w:val="000000"/>
          <w:szCs w:val="22"/>
          <w:lang w:val="hr-HR"/>
        </w:rPr>
      </w:pPr>
      <w:r w:rsidRPr="00510442">
        <w:rPr>
          <w:szCs w:val="22"/>
          <w:lang w:val="hr-HR"/>
        </w:rPr>
        <w:t xml:space="preserve">Metabolizam </w:t>
      </w:r>
      <w:r w:rsidR="004007D1" w:rsidRPr="00512481">
        <w:rPr>
          <w:szCs w:val="22"/>
          <w:lang w:val="hr-HR"/>
        </w:rPr>
        <w:t xml:space="preserve">lijeka </w:t>
      </w:r>
      <w:r w:rsidRPr="00510442">
        <w:rPr>
          <w:szCs w:val="22"/>
          <w:lang w:val="hr-HR"/>
        </w:rPr>
        <w:t>Glivec odvija se uglavnom preko jetre, dok se samo 13% izlučuje preko bubrega. U bolesnika s poremećajem funkcije jetre (blagi, umjereni ili teški), potrebno je pažljivo pratiti perifernu krvnu sliku i jetrene enzime (vidjeti dijelove 4.2, 4.8 i 5.2). Potrebno je imati na umu da bolesnici s GIST-om mogu imati metastaze u jetri koje mogu dovesti do oštećenja jetre</w:t>
      </w:r>
      <w:r w:rsidRPr="00510442">
        <w:rPr>
          <w:color w:val="000000"/>
          <w:szCs w:val="22"/>
          <w:lang w:val="hr-HR"/>
        </w:rPr>
        <w:t>.</w:t>
      </w:r>
    </w:p>
    <w:p w14:paraId="5A0F87C5" w14:textId="77777777" w:rsidR="00BE41B8" w:rsidRPr="00510442" w:rsidRDefault="00BE41B8" w:rsidP="00BE41B8">
      <w:pPr>
        <w:pStyle w:val="EndnoteText"/>
        <w:widowControl w:val="0"/>
        <w:tabs>
          <w:tab w:val="clear" w:pos="567"/>
        </w:tabs>
        <w:rPr>
          <w:color w:val="000000"/>
          <w:szCs w:val="22"/>
          <w:lang w:val="hr-HR"/>
        </w:rPr>
      </w:pPr>
    </w:p>
    <w:p w14:paraId="20D88229" w14:textId="77777777" w:rsidR="00BE41B8" w:rsidRPr="00510442" w:rsidRDefault="00BE41B8" w:rsidP="00BE41B8">
      <w:pPr>
        <w:pStyle w:val="EndnoteText"/>
        <w:widowControl w:val="0"/>
        <w:tabs>
          <w:tab w:val="clear" w:pos="567"/>
        </w:tabs>
        <w:rPr>
          <w:color w:val="000000"/>
          <w:szCs w:val="22"/>
          <w:lang w:val="hr-HR"/>
        </w:rPr>
      </w:pPr>
      <w:r w:rsidRPr="00510442">
        <w:rPr>
          <w:szCs w:val="22"/>
          <w:lang w:val="hr-HR"/>
        </w:rPr>
        <w:t>Uz imatinib su uočeni slučajevi oštećenja jetre, uključujući zatajenje jetre i jetrenu nekrozu. Kada se imatinib kombinirao s režimima visokih doza kemoterapije otkriveno je povećanje ozbiljnih jetrenih reakcija. U slučajevima kada se imatinib kombinira s režimima kemoterapije za koje je poznato da su povezani s poremećajem funkcije jetre potrebno je pažljivo praćenje jetrene funkcije (vidjeti dijelove 4.5 i 4.8).</w:t>
      </w:r>
    </w:p>
    <w:p w14:paraId="2D062075" w14:textId="77777777" w:rsidR="00BE41B8" w:rsidRPr="00510442" w:rsidRDefault="00BE41B8" w:rsidP="00BE41B8">
      <w:pPr>
        <w:pStyle w:val="EndnoteText"/>
        <w:widowControl w:val="0"/>
        <w:tabs>
          <w:tab w:val="clear" w:pos="567"/>
        </w:tabs>
        <w:rPr>
          <w:color w:val="000000"/>
          <w:szCs w:val="22"/>
          <w:lang w:val="hr-HR"/>
        </w:rPr>
      </w:pPr>
    </w:p>
    <w:p w14:paraId="5F17FFDE" w14:textId="77777777" w:rsidR="00BE41B8" w:rsidRPr="00510442" w:rsidRDefault="00BE41B8" w:rsidP="003179A4">
      <w:pPr>
        <w:pStyle w:val="EndnoteText"/>
        <w:keepNext/>
        <w:widowControl w:val="0"/>
        <w:tabs>
          <w:tab w:val="clear" w:pos="567"/>
        </w:tabs>
        <w:rPr>
          <w:color w:val="000000"/>
          <w:szCs w:val="22"/>
          <w:lang w:val="hr-HR"/>
        </w:rPr>
      </w:pPr>
      <w:r w:rsidRPr="00510442">
        <w:rPr>
          <w:color w:val="000000"/>
          <w:szCs w:val="22"/>
          <w:u w:val="single"/>
          <w:lang w:val="hr-HR"/>
        </w:rPr>
        <w:lastRenderedPageBreak/>
        <w:t>Retencija tekućine</w:t>
      </w:r>
    </w:p>
    <w:p w14:paraId="36BFDFE9" w14:textId="77777777" w:rsidR="00BE41B8" w:rsidRPr="00510442" w:rsidRDefault="00BE41B8" w:rsidP="00BE41B8">
      <w:pPr>
        <w:pStyle w:val="EndnoteText"/>
        <w:widowControl w:val="0"/>
        <w:tabs>
          <w:tab w:val="clear" w:pos="567"/>
        </w:tabs>
        <w:rPr>
          <w:color w:val="000000"/>
          <w:szCs w:val="22"/>
          <w:lang w:val="hr-HR"/>
        </w:rPr>
      </w:pPr>
      <w:r w:rsidRPr="00510442">
        <w:rPr>
          <w:szCs w:val="22"/>
          <w:lang w:val="hr-HR"/>
        </w:rPr>
        <w:t>Pojava teške retencije tekućine (pleuralni izljev, edem, plućni edem, ascites, površinski edem) zabilježena je u približno 2,5% novodijagnosticiranih KML bolesnika koji su uzimali Glivec. Zbog toga se naročito preporučuje redovito kontrolirati tjelesnu težinu bolesnika. Neočekivani, nagli porast tjelesne težine treba pažljivo ispitati te, ukoliko je potrebno, poduzeti odgovarajuće suportivne i terapijske mjere. U kliničkim je ispitivanjima zabilježena povećana incidencija tih događaja u starijih ljudi te u onih koji su ranije bolovali od bolesti srca. Zbog toga se mora oprezno postupati u bolesnika s poremećenom srčanom funkcijom.</w:t>
      </w:r>
    </w:p>
    <w:p w14:paraId="79FDB593" w14:textId="77777777" w:rsidR="00BE41B8" w:rsidRPr="00510442" w:rsidRDefault="00BE41B8" w:rsidP="00BE41B8">
      <w:pPr>
        <w:pStyle w:val="EndnoteText"/>
        <w:widowControl w:val="0"/>
        <w:tabs>
          <w:tab w:val="clear" w:pos="567"/>
        </w:tabs>
        <w:rPr>
          <w:color w:val="000000"/>
          <w:szCs w:val="22"/>
          <w:lang w:val="hr-HR"/>
        </w:rPr>
      </w:pPr>
    </w:p>
    <w:p w14:paraId="152BB0A1" w14:textId="77777777" w:rsidR="00BE41B8" w:rsidRPr="00510442" w:rsidRDefault="00BE41B8" w:rsidP="003179A4">
      <w:pPr>
        <w:pStyle w:val="EndnoteText"/>
        <w:keepNext/>
        <w:widowControl w:val="0"/>
        <w:tabs>
          <w:tab w:val="clear" w:pos="567"/>
        </w:tabs>
        <w:rPr>
          <w:color w:val="000000"/>
          <w:szCs w:val="22"/>
          <w:lang w:val="hr-HR"/>
        </w:rPr>
      </w:pPr>
      <w:r w:rsidRPr="00510442">
        <w:rPr>
          <w:color w:val="000000"/>
          <w:szCs w:val="22"/>
          <w:u w:val="single"/>
          <w:lang w:val="hr-HR"/>
        </w:rPr>
        <w:t>Bolesnici sa srčanom bolešću</w:t>
      </w:r>
    </w:p>
    <w:p w14:paraId="4823DD71" w14:textId="77777777" w:rsidR="00BE41B8" w:rsidRPr="00510442" w:rsidRDefault="00BE41B8" w:rsidP="00BE41B8">
      <w:pPr>
        <w:pStyle w:val="EndnoteText"/>
        <w:widowControl w:val="0"/>
        <w:tabs>
          <w:tab w:val="clear" w:pos="567"/>
        </w:tabs>
        <w:rPr>
          <w:color w:val="000000"/>
          <w:szCs w:val="22"/>
          <w:lang w:val="hr-HR"/>
        </w:rPr>
      </w:pPr>
      <w:r w:rsidRPr="00510442">
        <w:rPr>
          <w:color w:val="000000"/>
          <w:szCs w:val="22"/>
          <w:lang w:val="hr-HR"/>
        </w:rPr>
        <w:t xml:space="preserve">Bolesnike sa srčanom bolešću, faktorom rizika za </w:t>
      </w:r>
      <w:r w:rsidRPr="00510442">
        <w:rPr>
          <w:szCs w:val="22"/>
          <w:lang w:val="hr-HR"/>
        </w:rPr>
        <w:t>zatajenje srca ili ranijim zatajenjem bubrega</w:t>
      </w:r>
      <w:r w:rsidRPr="00510442">
        <w:rPr>
          <w:color w:val="000000"/>
          <w:szCs w:val="22"/>
          <w:lang w:val="hr-HR"/>
        </w:rPr>
        <w:t xml:space="preserve"> </w:t>
      </w:r>
      <w:r w:rsidRPr="00510442">
        <w:rPr>
          <w:szCs w:val="22"/>
          <w:lang w:val="hr-HR"/>
        </w:rPr>
        <w:t>treba pažljivo pratiti, a svakog bolesnika sa znakovima ili simptomima koji ukazuju na zatajenje srca ili bubrega treba pregledati i liječiti</w:t>
      </w:r>
      <w:r w:rsidRPr="00510442">
        <w:rPr>
          <w:color w:val="000000"/>
          <w:szCs w:val="22"/>
          <w:lang w:val="hr-HR"/>
        </w:rPr>
        <w:t>.</w:t>
      </w:r>
    </w:p>
    <w:p w14:paraId="22F3006F" w14:textId="77777777" w:rsidR="00BE41B8" w:rsidRPr="00510442" w:rsidRDefault="00BE41B8" w:rsidP="00BE41B8">
      <w:pPr>
        <w:pStyle w:val="Text"/>
        <w:spacing w:before="0"/>
        <w:jc w:val="left"/>
        <w:rPr>
          <w:color w:val="000000"/>
          <w:sz w:val="22"/>
          <w:szCs w:val="22"/>
          <w:lang w:val="hr-HR"/>
        </w:rPr>
      </w:pPr>
    </w:p>
    <w:p w14:paraId="5F6467A2" w14:textId="77777777" w:rsidR="00BE41B8" w:rsidRPr="00510442" w:rsidRDefault="00BE41B8" w:rsidP="00BE41B8">
      <w:pPr>
        <w:pStyle w:val="Text"/>
        <w:spacing w:before="0"/>
        <w:jc w:val="left"/>
        <w:rPr>
          <w:sz w:val="22"/>
          <w:szCs w:val="22"/>
          <w:lang w:val="hr-HR"/>
        </w:rPr>
      </w:pPr>
      <w:r w:rsidRPr="00510442">
        <w:rPr>
          <w:sz w:val="22"/>
          <w:szCs w:val="22"/>
          <w:lang w:val="hr-HR"/>
        </w:rPr>
        <w:t>U bolesnika s hipereozinofilnim sindromom (HES) s okultnom infiltracijom HES stanica unutar miokarda, izolirani slučajevi kardiogenog šoka/disfunkcije lijeve klijetke bili su povezani s degranulacijom HES stanica po uvođenju terapije imatinibom. Zabilježena je reverzibilnost stanja uz primjenu sistemskih steroida, cirkulatornih potpornih mjera i privremeno ukidanje imatiniba. Budući da su srčane nuspojave zabilježene manje često uz imatinib, prije početka liječenja u HES/KEL populaciji potrebno je uzeti u obzir pažljivu procjenu omjera koristi i rizika od terapije imatinibom.</w:t>
      </w:r>
    </w:p>
    <w:p w14:paraId="29E88C5E" w14:textId="77777777" w:rsidR="00BE41B8" w:rsidRPr="00510442" w:rsidRDefault="00BE41B8" w:rsidP="00BE41B8">
      <w:pPr>
        <w:pStyle w:val="Text"/>
        <w:spacing w:before="0"/>
        <w:jc w:val="left"/>
        <w:rPr>
          <w:sz w:val="22"/>
          <w:szCs w:val="22"/>
          <w:lang w:val="hr-HR"/>
        </w:rPr>
      </w:pPr>
    </w:p>
    <w:p w14:paraId="595DB5CF" w14:textId="77777777" w:rsidR="00BE41B8" w:rsidRPr="00510442" w:rsidRDefault="00BE41B8" w:rsidP="00BE41B8">
      <w:pPr>
        <w:pStyle w:val="Text"/>
        <w:spacing w:before="0"/>
        <w:jc w:val="left"/>
        <w:rPr>
          <w:color w:val="000000"/>
          <w:sz w:val="22"/>
          <w:szCs w:val="22"/>
          <w:lang w:val="hr-HR"/>
        </w:rPr>
      </w:pPr>
      <w:r w:rsidRPr="00510442">
        <w:rPr>
          <w:sz w:val="22"/>
          <w:szCs w:val="22"/>
          <w:lang w:val="hr-HR"/>
        </w:rPr>
        <w:t>Mijelodisplastične/mijeloproliferativne bolesti s preraspodjelom PDGFR gena mogu biti povezane s visokim razinama eozinofila. Prije primjene imatiniba u bolesnika s HES/KEL</w:t>
      </w:r>
      <w:r w:rsidRPr="00510442">
        <w:rPr>
          <w:sz w:val="22"/>
          <w:szCs w:val="22"/>
          <w:lang w:val="hr-HR"/>
        </w:rPr>
        <w:noBreakHyphen/>
        <w:t>om i u bolesnika s MDS/MPD-om povezanim s visokim razinama eozinofila potrebno je razmisliti o pregledu kod specijaliste kardiologa, obavljanje ehokardiograma i određivanje serumskog troponina. Ako je bilo što abnormalno, na početku terapije je potrebno razmisliti o kontrolnom pregledu kod specijaliste kardiologa i profilaktičkoj primjeni sistemskih steroida (1</w:t>
      </w:r>
      <w:r w:rsidRPr="00510442">
        <w:rPr>
          <w:sz w:val="22"/>
          <w:szCs w:val="22"/>
          <w:lang w:val="hr-HR"/>
        </w:rPr>
        <w:noBreakHyphen/>
        <w:t>2</w:t>
      </w:r>
      <w:r w:rsidRPr="00510442">
        <w:rPr>
          <w:color w:val="000000"/>
          <w:sz w:val="22"/>
          <w:szCs w:val="22"/>
          <w:lang w:val="hr-HR"/>
        </w:rPr>
        <w:t> </w:t>
      </w:r>
      <w:r w:rsidRPr="00510442">
        <w:rPr>
          <w:sz w:val="22"/>
          <w:szCs w:val="22"/>
          <w:lang w:val="hr-HR"/>
        </w:rPr>
        <w:t>mg/kg) tijekom jednog do dva tjedna istodobno uz imatinib.</w:t>
      </w:r>
    </w:p>
    <w:p w14:paraId="7B14A0DC" w14:textId="77777777" w:rsidR="00BE41B8" w:rsidRPr="00510442" w:rsidRDefault="00BE41B8" w:rsidP="00BE41B8">
      <w:pPr>
        <w:pStyle w:val="EndnoteText"/>
        <w:widowControl w:val="0"/>
        <w:tabs>
          <w:tab w:val="clear" w:pos="567"/>
        </w:tabs>
        <w:rPr>
          <w:color w:val="000000"/>
          <w:szCs w:val="22"/>
          <w:lang w:val="hr-HR"/>
        </w:rPr>
      </w:pPr>
    </w:p>
    <w:p w14:paraId="616C0FE1" w14:textId="77777777" w:rsidR="00BE41B8" w:rsidRPr="00510442" w:rsidRDefault="00BE41B8" w:rsidP="003179A4">
      <w:pPr>
        <w:pStyle w:val="EndnoteText"/>
        <w:keepNext/>
        <w:widowControl w:val="0"/>
        <w:tabs>
          <w:tab w:val="clear" w:pos="567"/>
        </w:tabs>
        <w:rPr>
          <w:color w:val="000000"/>
          <w:szCs w:val="22"/>
          <w:lang w:val="hr-HR"/>
        </w:rPr>
      </w:pPr>
      <w:r w:rsidRPr="00510442">
        <w:rPr>
          <w:color w:val="000000"/>
          <w:szCs w:val="22"/>
          <w:u w:val="single"/>
          <w:lang w:val="hr-HR"/>
        </w:rPr>
        <w:t>Gastrointestinalna krvarenja</w:t>
      </w:r>
    </w:p>
    <w:p w14:paraId="09AA239A" w14:textId="77777777" w:rsidR="00BE41B8" w:rsidRPr="00510442" w:rsidRDefault="00BE41B8" w:rsidP="00BE41B8">
      <w:pPr>
        <w:pStyle w:val="EndnoteText"/>
        <w:widowControl w:val="0"/>
        <w:tabs>
          <w:tab w:val="clear" w:pos="567"/>
        </w:tabs>
        <w:rPr>
          <w:snapToGrid w:val="0"/>
          <w:color w:val="000000"/>
          <w:szCs w:val="22"/>
          <w:lang w:val="hr-HR"/>
        </w:rPr>
      </w:pPr>
      <w:r w:rsidRPr="00510442">
        <w:rPr>
          <w:szCs w:val="22"/>
          <w:lang w:val="hr-HR"/>
        </w:rPr>
        <w:t>U ispitivanju s bolesnicima s inoperabilnim i/ili metastazirajućim GIST-om zabilježena su i gastrointestinalna i intratumorska krvarenja (vidjeti dio 4.8). Na temelju raspoloživih podataka nisu identificirani predispozicijski faktori (npr. veličina tumora, lokacija tumora, poremećaji koagulacije) zbog kojih bi bolesnici s GIST-om bili izloženi većem riziku od bilo kojeg tipa krvarenja</w:t>
      </w:r>
      <w:r w:rsidRPr="00510442">
        <w:rPr>
          <w:snapToGrid w:val="0"/>
          <w:color w:val="000000"/>
          <w:szCs w:val="22"/>
          <w:lang w:val="hr-HR"/>
        </w:rPr>
        <w:t xml:space="preserve">. </w:t>
      </w:r>
      <w:r w:rsidRPr="00510442">
        <w:rPr>
          <w:szCs w:val="22"/>
          <w:lang w:val="hr-HR"/>
        </w:rPr>
        <w:t>S obzirom na to da je povećana vaskularizacija i sklonost krvarenju dio prirode i kliničkog tijeka GIST</w:t>
      </w:r>
      <w:r w:rsidRPr="00510442">
        <w:rPr>
          <w:szCs w:val="22"/>
          <w:lang w:val="hr-HR"/>
        </w:rPr>
        <w:noBreakHyphen/>
        <w:t>a, u svih bolesnika mora se provoditi standardna praksa i postupci za kontrolu i liječenje krvarenja</w:t>
      </w:r>
      <w:r w:rsidRPr="00510442">
        <w:rPr>
          <w:snapToGrid w:val="0"/>
          <w:color w:val="000000"/>
          <w:szCs w:val="22"/>
          <w:lang w:val="hr-HR"/>
        </w:rPr>
        <w:t>.</w:t>
      </w:r>
    </w:p>
    <w:p w14:paraId="5F247DE5" w14:textId="77777777" w:rsidR="004C7699" w:rsidRPr="00510442" w:rsidRDefault="004C7699" w:rsidP="004C7699">
      <w:pPr>
        <w:pStyle w:val="EndnoteText"/>
        <w:widowControl w:val="0"/>
        <w:tabs>
          <w:tab w:val="clear" w:pos="567"/>
        </w:tabs>
        <w:rPr>
          <w:snapToGrid w:val="0"/>
          <w:color w:val="000000"/>
          <w:szCs w:val="22"/>
          <w:lang w:val="hr-HR"/>
        </w:rPr>
      </w:pPr>
    </w:p>
    <w:p w14:paraId="15FEA7D0" w14:textId="3E88FA53" w:rsidR="004C7699" w:rsidRPr="00510442" w:rsidRDefault="004C7699" w:rsidP="004C7699">
      <w:pPr>
        <w:pStyle w:val="EndnoteText"/>
        <w:widowControl w:val="0"/>
        <w:tabs>
          <w:tab w:val="clear" w:pos="567"/>
        </w:tabs>
        <w:rPr>
          <w:snapToGrid w:val="0"/>
          <w:color w:val="000000"/>
          <w:szCs w:val="22"/>
          <w:lang w:val="hr-HR"/>
        </w:rPr>
      </w:pPr>
      <w:r w:rsidRPr="00510442">
        <w:rPr>
          <w:snapToGrid w:val="0"/>
          <w:color w:val="000000"/>
          <w:szCs w:val="22"/>
          <w:lang w:val="hr-HR"/>
        </w:rPr>
        <w:t xml:space="preserve">Osim toga, gastrična antralna vaskularna ektazija (GAVE), rijetki uzrok gastrointestinalnog krvarenja, zabilježena je nakon stavljanja lijeka u promet u bolesnika s KML-om, ALL-om i drugim bolestima (vidjeti dio 4.8). Ukoliko je potrebno, može se razmotriti prekid liječenja </w:t>
      </w:r>
      <w:r w:rsidR="00B0477E">
        <w:rPr>
          <w:szCs w:val="22"/>
          <w:lang w:val="hr-HR"/>
        </w:rPr>
        <w:t xml:space="preserve">lijekom </w:t>
      </w:r>
      <w:r w:rsidRPr="00510442">
        <w:rPr>
          <w:snapToGrid w:val="0"/>
          <w:color w:val="000000"/>
          <w:szCs w:val="22"/>
          <w:lang w:val="hr-HR"/>
        </w:rPr>
        <w:t>Glivec.</w:t>
      </w:r>
    </w:p>
    <w:p w14:paraId="6578A66F" w14:textId="77777777" w:rsidR="00BE41B8" w:rsidRPr="00510442" w:rsidRDefault="00BE41B8" w:rsidP="00BE41B8">
      <w:pPr>
        <w:pStyle w:val="EndnoteText"/>
        <w:widowControl w:val="0"/>
        <w:tabs>
          <w:tab w:val="clear" w:pos="567"/>
        </w:tabs>
        <w:rPr>
          <w:snapToGrid w:val="0"/>
          <w:color w:val="000000"/>
          <w:szCs w:val="22"/>
          <w:lang w:val="hr-HR"/>
        </w:rPr>
      </w:pPr>
    </w:p>
    <w:p w14:paraId="6095E24A" w14:textId="77777777" w:rsidR="00BE41B8" w:rsidRPr="00510442" w:rsidRDefault="00BE41B8" w:rsidP="003179A4">
      <w:pPr>
        <w:pStyle w:val="EndnoteText"/>
        <w:keepNext/>
        <w:widowControl w:val="0"/>
        <w:tabs>
          <w:tab w:val="clear" w:pos="567"/>
        </w:tabs>
        <w:rPr>
          <w:snapToGrid w:val="0"/>
          <w:color w:val="000000"/>
          <w:szCs w:val="22"/>
          <w:lang w:val="hr-HR"/>
        </w:rPr>
      </w:pPr>
      <w:r w:rsidRPr="00510442">
        <w:rPr>
          <w:snapToGrid w:val="0"/>
          <w:color w:val="000000"/>
          <w:szCs w:val="22"/>
          <w:u w:val="single"/>
          <w:lang w:val="hr-HR"/>
        </w:rPr>
        <w:t>Sindrom lize tumora</w:t>
      </w:r>
    </w:p>
    <w:p w14:paraId="71171549" w14:textId="27F81B52" w:rsidR="00BE41B8" w:rsidRPr="00510442" w:rsidRDefault="00BE41B8" w:rsidP="00BE41B8">
      <w:pPr>
        <w:pStyle w:val="EndnoteText"/>
        <w:widowControl w:val="0"/>
        <w:tabs>
          <w:tab w:val="clear" w:pos="567"/>
        </w:tabs>
        <w:rPr>
          <w:strike/>
          <w:color w:val="000000"/>
          <w:szCs w:val="22"/>
          <w:lang w:val="hr-HR"/>
        </w:rPr>
      </w:pPr>
      <w:r w:rsidRPr="00510442">
        <w:rPr>
          <w:szCs w:val="22"/>
          <w:lang w:val="hr-HR"/>
        </w:rPr>
        <w:t xml:space="preserve">Zbog moguće pojave sindroma lize tumora, prije početka terapije </w:t>
      </w:r>
      <w:r w:rsidR="00B0477E">
        <w:rPr>
          <w:szCs w:val="22"/>
          <w:lang w:val="hr-HR"/>
        </w:rPr>
        <w:t xml:space="preserve">lijekom </w:t>
      </w:r>
      <w:r w:rsidRPr="00510442">
        <w:rPr>
          <w:szCs w:val="22"/>
          <w:lang w:val="hr-HR"/>
        </w:rPr>
        <w:t>Glivec preporučuje se korekcija klinički značajne dehidracije i liječenje visokih razina mokraćne kiseline (vidjeti dio 4.8).</w:t>
      </w:r>
    </w:p>
    <w:p w14:paraId="1D987AA5" w14:textId="77777777" w:rsidR="00BB2B5C" w:rsidRPr="00510442" w:rsidRDefault="00BB2B5C" w:rsidP="00BB2B5C">
      <w:pPr>
        <w:pStyle w:val="EndnoteText"/>
        <w:widowControl w:val="0"/>
        <w:tabs>
          <w:tab w:val="clear" w:pos="567"/>
        </w:tabs>
        <w:rPr>
          <w:snapToGrid w:val="0"/>
          <w:color w:val="000000"/>
          <w:szCs w:val="22"/>
          <w:lang w:val="hr-HR"/>
        </w:rPr>
      </w:pPr>
    </w:p>
    <w:p w14:paraId="7DA5DFC8" w14:textId="77777777" w:rsidR="00BB2B5C" w:rsidRPr="00510442" w:rsidRDefault="00BB2B5C" w:rsidP="00BB2B5C">
      <w:pPr>
        <w:pStyle w:val="EndnoteText"/>
        <w:keepNext/>
        <w:widowControl w:val="0"/>
        <w:tabs>
          <w:tab w:val="clear" w:pos="567"/>
        </w:tabs>
        <w:rPr>
          <w:snapToGrid w:val="0"/>
          <w:color w:val="000000"/>
          <w:szCs w:val="22"/>
          <w:u w:val="single"/>
          <w:lang w:val="hr-HR"/>
        </w:rPr>
      </w:pPr>
      <w:r w:rsidRPr="00510442">
        <w:rPr>
          <w:snapToGrid w:val="0"/>
          <w:color w:val="000000"/>
          <w:szCs w:val="22"/>
          <w:u w:val="single"/>
          <w:lang w:val="hr-HR"/>
        </w:rPr>
        <w:t>Ponovna aktivacija hepatitisa B</w:t>
      </w:r>
    </w:p>
    <w:p w14:paraId="5F8705AC" w14:textId="77777777" w:rsidR="00BB2B5C" w:rsidRPr="00510442" w:rsidRDefault="00BB2B5C" w:rsidP="00BB2B5C">
      <w:pPr>
        <w:pStyle w:val="EndnoteText"/>
        <w:widowControl w:val="0"/>
        <w:tabs>
          <w:tab w:val="clear" w:pos="567"/>
        </w:tabs>
        <w:rPr>
          <w:snapToGrid w:val="0"/>
          <w:color w:val="000000"/>
          <w:szCs w:val="22"/>
          <w:lang w:val="hr-HR"/>
        </w:rPr>
      </w:pPr>
      <w:r w:rsidRPr="00510442">
        <w:rPr>
          <w:snapToGrid w:val="0"/>
          <w:color w:val="000000"/>
          <w:szCs w:val="22"/>
          <w:lang w:val="hr-HR"/>
        </w:rPr>
        <w:t>U bolesnika koji su kronični nositelji virusa hepatitisa B pojavila se ponovna aktivacija tog virusa nakon što su primili inhibitore BCR-ABL tirozin kinaze. U nekim je slučajevima došlo do akutnog zatajenja jetre ili fulminantnog hepatitisa što je dovelo do transplantacije jetre ili smrtnog ishoda.</w:t>
      </w:r>
    </w:p>
    <w:p w14:paraId="59F187CD" w14:textId="77777777" w:rsidR="00BB2B5C" w:rsidRPr="00510442" w:rsidRDefault="00BB2B5C" w:rsidP="00BB2B5C">
      <w:pPr>
        <w:pStyle w:val="EndnoteText"/>
        <w:widowControl w:val="0"/>
        <w:tabs>
          <w:tab w:val="clear" w:pos="567"/>
        </w:tabs>
        <w:rPr>
          <w:snapToGrid w:val="0"/>
          <w:color w:val="000000"/>
          <w:szCs w:val="22"/>
          <w:lang w:val="hr-HR"/>
        </w:rPr>
      </w:pPr>
    </w:p>
    <w:p w14:paraId="21F3A807" w14:textId="5C555449" w:rsidR="004B3C1A" w:rsidRPr="00510442" w:rsidRDefault="004B3C1A" w:rsidP="004B3C1A">
      <w:pPr>
        <w:pStyle w:val="EndnoteText"/>
        <w:widowControl w:val="0"/>
        <w:tabs>
          <w:tab w:val="clear" w:pos="567"/>
        </w:tabs>
        <w:rPr>
          <w:strike/>
          <w:color w:val="000000"/>
          <w:szCs w:val="22"/>
          <w:lang w:val="hr-HR"/>
        </w:rPr>
      </w:pPr>
      <w:r w:rsidRPr="00510442">
        <w:rPr>
          <w:snapToGrid w:val="0"/>
          <w:color w:val="000000"/>
          <w:szCs w:val="22"/>
          <w:lang w:val="hr-HR"/>
        </w:rPr>
        <w:t>Bolesnike je potrebno testirati na infekciju HBV</w:t>
      </w:r>
      <w:r w:rsidR="006976DF" w:rsidRPr="00510442">
        <w:rPr>
          <w:snapToGrid w:val="0"/>
          <w:color w:val="000000"/>
          <w:szCs w:val="22"/>
          <w:lang w:val="hr-HR"/>
        </w:rPr>
        <w:noBreakHyphen/>
      </w:r>
      <w:r w:rsidRPr="00510442">
        <w:rPr>
          <w:snapToGrid w:val="0"/>
          <w:color w:val="000000"/>
          <w:szCs w:val="22"/>
          <w:lang w:val="hr-HR"/>
        </w:rPr>
        <w:t xml:space="preserve">om prije početka liječenja </w:t>
      </w:r>
      <w:r w:rsidR="00B0477E">
        <w:rPr>
          <w:szCs w:val="22"/>
          <w:lang w:val="hr-HR"/>
        </w:rPr>
        <w:t xml:space="preserve">lijekom </w:t>
      </w:r>
      <w:r w:rsidRPr="00510442">
        <w:rPr>
          <w:snapToGrid w:val="0"/>
          <w:color w:val="000000"/>
          <w:szCs w:val="22"/>
          <w:lang w:val="hr-HR"/>
        </w:rPr>
        <w:t xml:space="preserve">Glivec. Prije početka liječenja bolesnika s pozitivnim serološkim nalazima na hepatitis B (uključujući one s aktivnom bolešću) te za bolesnike za koje se pokaže da su pozitivni na HBV tijekom liječenja, potrebno je savjetovati se sa stručnjacima za bolesti jetre i liječenje hepatitisa B. Nositelje virusa HBV kojima je potrebno liječenje </w:t>
      </w:r>
      <w:r w:rsidR="00B0477E">
        <w:rPr>
          <w:szCs w:val="22"/>
          <w:lang w:val="hr-HR"/>
        </w:rPr>
        <w:t xml:space="preserve">lijekom </w:t>
      </w:r>
      <w:r w:rsidRPr="00510442">
        <w:rPr>
          <w:snapToGrid w:val="0"/>
          <w:color w:val="000000"/>
          <w:szCs w:val="22"/>
          <w:lang w:val="hr-HR"/>
        </w:rPr>
        <w:t>Glivec potrebno je pozorno nadzirati radi utvrđivanja eventualnih znakova i simptoma aktivne infekcije HBV</w:t>
      </w:r>
      <w:r w:rsidR="006976DF" w:rsidRPr="00510442">
        <w:rPr>
          <w:snapToGrid w:val="0"/>
          <w:color w:val="000000"/>
          <w:szCs w:val="22"/>
          <w:lang w:val="hr-HR"/>
        </w:rPr>
        <w:noBreakHyphen/>
      </w:r>
      <w:r w:rsidRPr="00510442">
        <w:rPr>
          <w:snapToGrid w:val="0"/>
          <w:color w:val="000000"/>
          <w:szCs w:val="22"/>
          <w:lang w:val="hr-HR"/>
        </w:rPr>
        <w:t>om tijekom terapije te nekoliko mjeseci nakon završetka terapije (vidjeti dio 4.8).</w:t>
      </w:r>
    </w:p>
    <w:p w14:paraId="1B81E53E" w14:textId="77777777" w:rsidR="003E4103" w:rsidRPr="00510442" w:rsidRDefault="003E4103" w:rsidP="003E4103">
      <w:pPr>
        <w:pStyle w:val="EndnoteText"/>
        <w:widowControl w:val="0"/>
        <w:tabs>
          <w:tab w:val="clear" w:pos="567"/>
        </w:tabs>
        <w:rPr>
          <w:snapToGrid w:val="0"/>
          <w:color w:val="000000"/>
          <w:szCs w:val="22"/>
          <w:u w:val="single"/>
          <w:lang w:val="hr-HR"/>
        </w:rPr>
      </w:pPr>
    </w:p>
    <w:p w14:paraId="6144470D" w14:textId="77777777" w:rsidR="003E4103" w:rsidRPr="00510442" w:rsidRDefault="003E4103" w:rsidP="001202A6">
      <w:pPr>
        <w:pStyle w:val="EndnoteText"/>
        <w:keepNext/>
        <w:widowControl w:val="0"/>
        <w:tabs>
          <w:tab w:val="clear" w:pos="567"/>
        </w:tabs>
        <w:rPr>
          <w:snapToGrid w:val="0"/>
          <w:color w:val="000000"/>
          <w:szCs w:val="22"/>
          <w:u w:val="single"/>
          <w:lang w:val="hr-HR"/>
        </w:rPr>
      </w:pPr>
      <w:r w:rsidRPr="00510442">
        <w:rPr>
          <w:snapToGrid w:val="0"/>
          <w:color w:val="000000"/>
          <w:szCs w:val="22"/>
          <w:u w:val="single"/>
          <w:lang w:val="hr-HR"/>
        </w:rPr>
        <w:t>Fototoksičnost</w:t>
      </w:r>
    </w:p>
    <w:p w14:paraId="13669B29" w14:textId="77777777" w:rsidR="003E4103" w:rsidRPr="00510442" w:rsidRDefault="003E4103" w:rsidP="003E4103">
      <w:pPr>
        <w:rPr>
          <w:snapToGrid w:val="0"/>
          <w:color w:val="000000"/>
          <w:szCs w:val="22"/>
          <w:lang w:val="hr-HR"/>
        </w:rPr>
      </w:pPr>
      <w:r w:rsidRPr="00510442">
        <w:rPr>
          <w:snapToGrid w:val="0"/>
          <w:color w:val="000000"/>
          <w:szCs w:val="22"/>
          <w:lang w:val="hr-HR"/>
        </w:rPr>
        <w:t>Izlaganje izravnoj sunčevoj svjetlosti</w:t>
      </w:r>
      <w:r w:rsidR="00B36D20" w:rsidRPr="00510442">
        <w:rPr>
          <w:snapToGrid w:val="0"/>
          <w:color w:val="000000"/>
          <w:szCs w:val="22"/>
          <w:lang w:val="hr-HR"/>
        </w:rPr>
        <w:t xml:space="preserve"> je</w:t>
      </w:r>
      <w:r w:rsidRPr="00510442">
        <w:rPr>
          <w:snapToGrid w:val="0"/>
          <w:color w:val="000000"/>
          <w:szCs w:val="22"/>
          <w:lang w:val="hr-HR"/>
        </w:rPr>
        <w:t xml:space="preserve"> </w:t>
      </w:r>
      <w:r w:rsidR="00B36D20" w:rsidRPr="00510442">
        <w:rPr>
          <w:snapToGrid w:val="0"/>
          <w:color w:val="000000"/>
          <w:szCs w:val="22"/>
          <w:lang w:val="hr-HR"/>
        </w:rPr>
        <w:t>po</w:t>
      </w:r>
      <w:r w:rsidRPr="00510442">
        <w:rPr>
          <w:snapToGrid w:val="0"/>
          <w:color w:val="000000"/>
          <w:szCs w:val="22"/>
          <w:lang w:val="hr-HR"/>
        </w:rPr>
        <w:t>treb</w:t>
      </w:r>
      <w:r w:rsidR="00B36D20" w:rsidRPr="00510442">
        <w:rPr>
          <w:snapToGrid w:val="0"/>
          <w:color w:val="000000"/>
          <w:szCs w:val="22"/>
          <w:lang w:val="hr-HR"/>
        </w:rPr>
        <w:t>no</w:t>
      </w:r>
      <w:r w:rsidRPr="00510442">
        <w:rPr>
          <w:snapToGrid w:val="0"/>
          <w:color w:val="000000"/>
          <w:szCs w:val="22"/>
          <w:lang w:val="hr-HR"/>
        </w:rPr>
        <w:t xml:space="preserve"> izbjegavati ili minimizirati zbog rizika </w:t>
      </w:r>
      <w:r w:rsidR="003A42D7" w:rsidRPr="00510442">
        <w:rPr>
          <w:snapToGrid w:val="0"/>
          <w:color w:val="000000"/>
          <w:szCs w:val="22"/>
          <w:lang w:val="hr-HR"/>
        </w:rPr>
        <w:t xml:space="preserve">od </w:t>
      </w:r>
      <w:r w:rsidRPr="00510442">
        <w:rPr>
          <w:snapToGrid w:val="0"/>
          <w:color w:val="000000"/>
          <w:szCs w:val="22"/>
          <w:lang w:val="hr-HR"/>
        </w:rPr>
        <w:t>fototoksičnosti povezanog s liječenjem imatinibom. Bolesni</w:t>
      </w:r>
      <w:r w:rsidR="008913F7" w:rsidRPr="00510442">
        <w:rPr>
          <w:snapToGrid w:val="0"/>
          <w:color w:val="000000"/>
          <w:szCs w:val="22"/>
          <w:lang w:val="hr-HR"/>
        </w:rPr>
        <w:t xml:space="preserve">ke je potrebno </w:t>
      </w:r>
      <w:r w:rsidRPr="00510442">
        <w:rPr>
          <w:snapToGrid w:val="0"/>
          <w:color w:val="000000"/>
          <w:szCs w:val="22"/>
          <w:lang w:val="hr-HR"/>
        </w:rPr>
        <w:t>upu</w:t>
      </w:r>
      <w:r w:rsidR="008913F7" w:rsidRPr="00510442">
        <w:rPr>
          <w:snapToGrid w:val="0"/>
          <w:color w:val="000000"/>
          <w:szCs w:val="22"/>
          <w:lang w:val="hr-HR"/>
        </w:rPr>
        <w:t>titi</w:t>
      </w:r>
      <w:r w:rsidRPr="00510442">
        <w:rPr>
          <w:snapToGrid w:val="0"/>
          <w:color w:val="000000"/>
          <w:szCs w:val="22"/>
          <w:lang w:val="hr-HR"/>
        </w:rPr>
        <w:t xml:space="preserve"> na korištenje mjera kao što su zaštitna odjeća i sredstvo za sunčanje s visokim faktorom zaštite od sunca (SPF).</w:t>
      </w:r>
    </w:p>
    <w:p w14:paraId="625B3AC6" w14:textId="77777777" w:rsidR="00BF0A0C" w:rsidRPr="00510442" w:rsidRDefault="00BF0A0C" w:rsidP="003E4103">
      <w:pPr>
        <w:rPr>
          <w:snapToGrid w:val="0"/>
          <w:color w:val="000000"/>
          <w:szCs w:val="22"/>
          <w:lang w:val="hr-HR"/>
        </w:rPr>
      </w:pPr>
    </w:p>
    <w:p w14:paraId="60EAB7B0" w14:textId="77777777" w:rsidR="00BF0A0C" w:rsidRPr="00760469" w:rsidRDefault="00BF0A0C" w:rsidP="00BF0A0C">
      <w:pPr>
        <w:pStyle w:val="EndnoteText"/>
        <w:keepNext/>
        <w:widowControl w:val="0"/>
        <w:tabs>
          <w:tab w:val="clear" w:pos="567"/>
        </w:tabs>
        <w:rPr>
          <w:snapToGrid w:val="0"/>
          <w:color w:val="000000"/>
          <w:szCs w:val="22"/>
          <w:u w:val="single"/>
          <w:lang w:val="hr-HR"/>
        </w:rPr>
      </w:pPr>
      <w:r w:rsidRPr="00760469">
        <w:rPr>
          <w:snapToGrid w:val="0"/>
          <w:color w:val="000000"/>
          <w:szCs w:val="22"/>
          <w:u w:val="single"/>
          <w:lang w:val="hr-HR"/>
        </w:rPr>
        <w:t>Trombotič</w:t>
      </w:r>
      <w:r w:rsidR="00E1279B" w:rsidRPr="00760469">
        <w:rPr>
          <w:snapToGrid w:val="0"/>
          <w:color w:val="000000"/>
          <w:szCs w:val="22"/>
          <w:u w:val="single"/>
          <w:lang w:val="hr-HR"/>
        </w:rPr>
        <w:t>n</w:t>
      </w:r>
      <w:r w:rsidRPr="00760469">
        <w:rPr>
          <w:snapToGrid w:val="0"/>
          <w:color w:val="000000"/>
          <w:szCs w:val="22"/>
          <w:u w:val="single"/>
          <w:lang w:val="hr-HR"/>
        </w:rPr>
        <w:t>a mikroangiopatija</w:t>
      </w:r>
    </w:p>
    <w:p w14:paraId="2795BB26" w14:textId="508F65BC" w:rsidR="00BF0A0C" w:rsidRPr="00510442" w:rsidRDefault="00BF0A0C" w:rsidP="00BF0A0C">
      <w:pPr>
        <w:pStyle w:val="EndnoteText"/>
        <w:widowControl w:val="0"/>
        <w:tabs>
          <w:tab w:val="clear" w:pos="567"/>
        </w:tabs>
        <w:rPr>
          <w:color w:val="000000"/>
          <w:szCs w:val="22"/>
          <w:lang w:val="hr-HR"/>
        </w:rPr>
      </w:pPr>
      <w:r w:rsidRPr="00760469">
        <w:rPr>
          <w:color w:val="000000"/>
          <w:szCs w:val="22"/>
          <w:lang w:val="hr-HR"/>
        </w:rPr>
        <w:t>Inhibitori BCR-ABL tirozin kinaze (TKI</w:t>
      </w:r>
      <w:r w:rsidRPr="00760469">
        <w:rPr>
          <w:color w:val="000000"/>
          <w:szCs w:val="22"/>
          <w:lang w:val="hr-HR"/>
        </w:rPr>
        <w:noBreakHyphen/>
        <w:t>evi) povezani su s trombotič</w:t>
      </w:r>
      <w:r w:rsidR="001E3C76" w:rsidRPr="00760469">
        <w:rPr>
          <w:color w:val="000000"/>
          <w:szCs w:val="22"/>
          <w:lang w:val="hr-HR"/>
        </w:rPr>
        <w:t>n</w:t>
      </w:r>
      <w:r w:rsidRPr="00760469">
        <w:rPr>
          <w:color w:val="000000"/>
          <w:szCs w:val="22"/>
          <w:lang w:val="hr-HR"/>
        </w:rPr>
        <w:t>om mikroangiopatijom (TMA), uključujući izvješća o pojedinačnom slučaju za Glivec (vidjeti dio 4.8). Ako se</w:t>
      </w:r>
      <w:r w:rsidRPr="00510442">
        <w:rPr>
          <w:color w:val="000000"/>
          <w:szCs w:val="22"/>
          <w:lang w:val="hr-HR"/>
        </w:rPr>
        <w:t xml:space="preserve"> laboratorijski ili klinički nalaz povezan s TMA</w:t>
      </w:r>
      <w:r w:rsidRPr="00510442">
        <w:rPr>
          <w:color w:val="000000"/>
          <w:szCs w:val="22"/>
          <w:lang w:val="hr-HR"/>
        </w:rPr>
        <w:noBreakHyphen/>
        <w:t xml:space="preserve">om javi u bolesnika koji prima Glivec, liječenje je potrebno prekinuti i provesti temeljito istraživanje TMA, uključujući ADAMTS13 aktivnost i određivanje anti-ADAMTS13-protutijela. Ako su anti-ADAMTS13-protutijela povišena istodobno sa sniženom ADAMTS13 aktivnosti, liječenje </w:t>
      </w:r>
      <w:r w:rsidR="00B0477E">
        <w:rPr>
          <w:szCs w:val="22"/>
          <w:lang w:val="hr-HR"/>
        </w:rPr>
        <w:t xml:space="preserve">lijekom </w:t>
      </w:r>
      <w:r w:rsidRPr="00510442">
        <w:rPr>
          <w:color w:val="000000"/>
          <w:szCs w:val="22"/>
          <w:lang w:val="hr-HR"/>
        </w:rPr>
        <w:t>Glivec se ne smije nastaviti.</w:t>
      </w:r>
    </w:p>
    <w:p w14:paraId="36395CF9" w14:textId="77777777" w:rsidR="00BE41B8" w:rsidRPr="00307897" w:rsidRDefault="00BE41B8" w:rsidP="00BE41B8">
      <w:pPr>
        <w:pStyle w:val="EndnoteText"/>
        <w:widowControl w:val="0"/>
        <w:tabs>
          <w:tab w:val="clear" w:pos="567"/>
        </w:tabs>
        <w:rPr>
          <w:color w:val="000000"/>
          <w:szCs w:val="22"/>
          <w:lang w:val="hr-HR"/>
        </w:rPr>
      </w:pPr>
    </w:p>
    <w:p w14:paraId="51B090D3" w14:textId="77777777" w:rsidR="00BE41B8" w:rsidRPr="00A00164" w:rsidRDefault="00BE41B8" w:rsidP="003179A4">
      <w:pPr>
        <w:pStyle w:val="EndnoteText"/>
        <w:keepNext/>
        <w:widowControl w:val="0"/>
        <w:tabs>
          <w:tab w:val="clear" w:pos="567"/>
        </w:tabs>
        <w:rPr>
          <w:color w:val="000000"/>
          <w:szCs w:val="22"/>
          <w:lang w:val="hr-HR"/>
        </w:rPr>
      </w:pPr>
      <w:r w:rsidRPr="00307897">
        <w:rPr>
          <w:szCs w:val="22"/>
          <w:u w:val="single"/>
          <w:lang w:val="hr-HR"/>
        </w:rPr>
        <w:t>Laboratorijske pretrage</w:t>
      </w:r>
    </w:p>
    <w:p w14:paraId="7DB0DCB8" w14:textId="490762A9" w:rsidR="00BE41B8" w:rsidRPr="00510442" w:rsidRDefault="00BE41B8" w:rsidP="00BE41B8">
      <w:pPr>
        <w:pStyle w:val="EndnoteText"/>
        <w:widowControl w:val="0"/>
        <w:tabs>
          <w:tab w:val="clear" w:pos="567"/>
        </w:tabs>
        <w:rPr>
          <w:color w:val="000000"/>
          <w:szCs w:val="22"/>
          <w:lang w:val="hr-HR"/>
        </w:rPr>
      </w:pPr>
      <w:r w:rsidRPr="00973BDD">
        <w:rPr>
          <w:szCs w:val="22"/>
          <w:lang w:val="hr-HR"/>
        </w:rPr>
        <w:t xml:space="preserve">Tijekom terapije </w:t>
      </w:r>
      <w:r w:rsidR="00B27A2B">
        <w:rPr>
          <w:szCs w:val="22"/>
          <w:lang w:val="hr-HR"/>
        </w:rPr>
        <w:t xml:space="preserve">lijekom </w:t>
      </w:r>
      <w:r w:rsidRPr="00973BDD">
        <w:rPr>
          <w:szCs w:val="22"/>
          <w:lang w:val="hr-HR"/>
        </w:rPr>
        <w:t>Glivec mora se redovito kontrol</w:t>
      </w:r>
      <w:r w:rsidRPr="000B51EB">
        <w:rPr>
          <w:szCs w:val="22"/>
          <w:lang w:val="hr-HR"/>
        </w:rPr>
        <w:t xml:space="preserve">irati kompletna krvna slika. Liječenje </w:t>
      </w:r>
      <w:r w:rsidR="00B27A2B">
        <w:rPr>
          <w:szCs w:val="22"/>
          <w:lang w:val="hr-HR"/>
        </w:rPr>
        <w:t xml:space="preserve">lijekom </w:t>
      </w:r>
      <w:r w:rsidRPr="000B51EB">
        <w:rPr>
          <w:szCs w:val="22"/>
          <w:lang w:val="hr-HR"/>
        </w:rPr>
        <w:t>Glivec je kod bolesnika s KML-om povezano s neutropenijom</w:t>
      </w:r>
      <w:r w:rsidRPr="00510442">
        <w:rPr>
          <w:szCs w:val="22"/>
          <w:lang w:val="hr-HR"/>
        </w:rPr>
        <w:t xml:space="preserve"> ili trombocitopenijom. Međutim, pojava ovih citopenija ovisi o stadiju liječene bolesti, a mnogo su češće u bolesnika s ubrzanom fazom KML-a ili blastičnom krizom, u odnosu na bolesnike s kroničnom fazom KML-a. Liječenje </w:t>
      </w:r>
      <w:r w:rsidR="00B27A2B">
        <w:rPr>
          <w:szCs w:val="22"/>
          <w:lang w:val="hr-HR"/>
        </w:rPr>
        <w:t xml:space="preserve">lijekom </w:t>
      </w:r>
      <w:r w:rsidRPr="00510442">
        <w:rPr>
          <w:szCs w:val="22"/>
          <w:lang w:val="hr-HR"/>
        </w:rPr>
        <w:t>Glivec može se prekinuti ili se doza može smanjiti, kao što se preporučuje u dijelu 4.2.</w:t>
      </w:r>
    </w:p>
    <w:p w14:paraId="05107888" w14:textId="77777777" w:rsidR="00BE41B8" w:rsidRPr="00510442" w:rsidRDefault="00BE41B8" w:rsidP="00BE41B8">
      <w:pPr>
        <w:pStyle w:val="EndnoteText"/>
        <w:widowControl w:val="0"/>
        <w:tabs>
          <w:tab w:val="clear" w:pos="567"/>
        </w:tabs>
        <w:rPr>
          <w:color w:val="000000"/>
          <w:szCs w:val="22"/>
          <w:lang w:val="hr-HR"/>
        </w:rPr>
      </w:pPr>
    </w:p>
    <w:p w14:paraId="63ECAC48" w14:textId="77777777" w:rsidR="00BE41B8" w:rsidRPr="00510442" w:rsidRDefault="00BE41B8" w:rsidP="00BE41B8">
      <w:pPr>
        <w:pStyle w:val="EndnoteText"/>
        <w:widowControl w:val="0"/>
        <w:tabs>
          <w:tab w:val="clear" w:pos="567"/>
        </w:tabs>
        <w:rPr>
          <w:color w:val="000000"/>
          <w:szCs w:val="22"/>
          <w:lang w:val="hr-HR"/>
        </w:rPr>
      </w:pPr>
      <w:r w:rsidRPr="00510442">
        <w:rPr>
          <w:szCs w:val="22"/>
          <w:lang w:val="hr-HR"/>
        </w:rPr>
        <w:t>Funkciju jetre (transaminaze, bilirubin, alkalna fosfataza) treba redovito kontrolirati u bolesnika koji primaju Glivec</w:t>
      </w:r>
      <w:r w:rsidRPr="00510442">
        <w:rPr>
          <w:color w:val="000000"/>
          <w:szCs w:val="22"/>
          <w:lang w:val="hr-HR"/>
        </w:rPr>
        <w:t>.</w:t>
      </w:r>
    </w:p>
    <w:p w14:paraId="099A2CD0" w14:textId="77777777" w:rsidR="00BE41B8" w:rsidRPr="00510442" w:rsidRDefault="00BE41B8" w:rsidP="00BE41B8">
      <w:pPr>
        <w:pStyle w:val="EndnoteText"/>
        <w:widowControl w:val="0"/>
        <w:tabs>
          <w:tab w:val="clear" w:pos="567"/>
        </w:tabs>
        <w:rPr>
          <w:color w:val="000000"/>
          <w:szCs w:val="22"/>
          <w:lang w:val="hr-HR"/>
        </w:rPr>
      </w:pPr>
    </w:p>
    <w:p w14:paraId="7AB5D531" w14:textId="77777777" w:rsidR="00BE41B8" w:rsidRPr="00510442" w:rsidRDefault="00BE41B8" w:rsidP="00BE41B8">
      <w:pPr>
        <w:pStyle w:val="EndnoteText"/>
        <w:widowControl w:val="0"/>
        <w:tabs>
          <w:tab w:val="clear" w:pos="567"/>
        </w:tabs>
        <w:rPr>
          <w:color w:val="000000"/>
          <w:szCs w:val="22"/>
          <w:lang w:val="hr-HR"/>
        </w:rPr>
      </w:pPr>
      <w:r w:rsidRPr="00510442">
        <w:rPr>
          <w:szCs w:val="22"/>
          <w:lang w:val="hr-HR"/>
        </w:rPr>
        <w:t>U bolesnika s oštećenom funkcijom bubrega izgleda da je izloženost imatinibu u plazmi viša nego u bolesnika s normalnom funkcijom bubrega, vjerojatno zbog povišene razine alfa-kiselog glikoproteina (AGP) u plazmi, proteina koji veže imatinib, u tih bolesnika. Bolesnici s oštećenjem bubrega moraju primiti najnižu početnu dozu. Bolesnike s teškim oštećenjem bubrega treba liječiti s oprezom. Doza se može smanjiti ako se ne podnosi (vidjeti dijelove 4.2 i 5.2).</w:t>
      </w:r>
    </w:p>
    <w:p w14:paraId="2CC0AA65" w14:textId="77777777" w:rsidR="00BE41B8" w:rsidRPr="00510442" w:rsidRDefault="00BE41B8" w:rsidP="00BE41B8">
      <w:pPr>
        <w:pStyle w:val="EndnoteText"/>
        <w:widowControl w:val="0"/>
        <w:tabs>
          <w:tab w:val="clear" w:pos="567"/>
        </w:tabs>
        <w:rPr>
          <w:color w:val="000000"/>
          <w:szCs w:val="22"/>
          <w:lang w:val="hr-HR"/>
        </w:rPr>
      </w:pPr>
    </w:p>
    <w:p w14:paraId="7655A640" w14:textId="77777777" w:rsidR="00B440E4" w:rsidRPr="00510442" w:rsidRDefault="00B440E4" w:rsidP="00B440E4">
      <w:pPr>
        <w:pStyle w:val="EndnoteText"/>
        <w:widowControl w:val="0"/>
        <w:tabs>
          <w:tab w:val="clear" w:pos="567"/>
        </w:tabs>
        <w:rPr>
          <w:color w:val="000000"/>
          <w:szCs w:val="22"/>
          <w:lang w:val="hr-HR"/>
        </w:rPr>
      </w:pPr>
      <w:r w:rsidRPr="00510442">
        <w:rPr>
          <w:color w:val="000000"/>
          <w:szCs w:val="22"/>
          <w:lang w:val="hr-HR"/>
        </w:rPr>
        <w:t>Dugotrajno liječenje imatinibom može biti povezano s klinički značajnim padom funkcije bubrega. Stoga, funkciju bubrega treba ispitati prije početka terapije imatinibom i pažljivo pratiti tijekom terapije, uz posebnu pozornost na one bolesnike koji posjeduju faktore rizika za bubrežnu disfunkciju. Ako se uoči bubrežna disfunkcija, potrebno je uvesti odgovarajući nadzor i liječenje u skladu sa standardnim smjernicama liječenja.</w:t>
      </w:r>
    </w:p>
    <w:p w14:paraId="4ED7E2FB" w14:textId="77777777" w:rsidR="00B440E4" w:rsidRPr="00510442" w:rsidRDefault="00B440E4" w:rsidP="00B440E4">
      <w:pPr>
        <w:pStyle w:val="EndnoteText"/>
        <w:widowControl w:val="0"/>
        <w:tabs>
          <w:tab w:val="clear" w:pos="567"/>
        </w:tabs>
        <w:rPr>
          <w:color w:val="000000"/>
          <w:szCs w:val="22"/>
          <w:lang w:val="hr-HR"/>
        </w:rPr>
      </w:pPr>
    </w:p>
    <w:p w14:paraId="4B2B893B" w14:textId="77777777" w:rsidR="00BE41B8" w:rsidRPr="00510442" w:rsidRDefault="00BE41B8" w:rsidP="00FF5600">
      <w:pPr>
        <w:pStyle w:val="TOC6"/>
        <w:rPr>
          <w:lang w:val="hr-HR"/>
        </w:rPr>
      </w:pPr>
      <w:r w:rsidRPr="00510442">
        <w:rPr>
          <w:lang w:val="hr-HR"/>
        </w:rPr>
        <w:t>Pedijatrijska populacija</w:t>
      </w:r>
    </w:p>
    <w:p w14:paraId="603C724D" w14:textId="77777777" w:rsidR="00BE41B8" w:rsidRPr="00510442" w:rsidRDefault="00BE41B8" w:rsidP="00BE41B8">
      <w:pPr>
        <w:pStyle w:val="EndnoteText"/>
        <w:widowControl w:val="0"/>
        <w:tabs>
          <w:tab w:val="clear" w:pos="567"/>
        </w:tabs>
        <w:rPr>
          <w:color w:val="000000"/>
          <w:szCs w:val="22"/>
          <w:lang w:val="hr-HR"/>
        </w:rPr>
      </w:pPr>
      <w:r w:rsidRPr="00510442">
        <w:rPr>
          <w:szCs w:val="22"/>
          <w:lang w:val="hr-HR"/>
        </w:rPr>
        <w:t xml:space="preserve">Prijavljeni su slučajevi zastoja u rastu koji su se pojavili kod djece i preadolescenata koji su primali imatinib. </w:t>
      </w:r>
      <w:r w:rsidR="006F505F" w:rsidRPr="00510442">
        <w:rPr>
          <w:szCs w:val="22"/>
          <w:lang w:val="hr-HR"/>
        </w:rPr>
        <w:t>U opservacijskom ispitivanju u pedijatrijskoj populaciji s KML</w:t>
      </w:r>
      <w:r w:rsidR="00B1593B" w:rsidRPr="00510442">
        <w:rPr>
          <w:szCs w:val="22"/>
          <w:lang w:val="hr-HR"/>
        </w:rPr>
        <w:noBreakHyphen/>
      </w:r>
      <w:r w:rsidR="006F505F" w:rsidRPr="00510442">
        <w:rPr>
          <w:szCs w:val="22"/>
          <w:lang w:val="hr-HR"/>
        </w:rPr>
        <w:t xml:space="preserve">om prijavljeno je </w:t>
      </w:r>
      <w:r w:rsidR="00382B11" w:rsidRPr="00510442">
        <w:rPr>
          <w:szCs w:val="22"/>
          <w:lang w:val="hr-HR"/>
        </w:rPr>
        <w:t xml:space="preserve">statistički značajno </w:t>
      </w:r>
      <w:r w:rsidR="006F505F" w:rsidRPr="00510442">
        <w:rPr>
          <w:szCs w:val="22"/>
          <w:lang w:val="hr-HR"/>
        </w:rPr>
        <w:t xml:space="preserve">smanjenje </w:t>
      </w:r>
      <w:r w:rsidR="00382B11" w:rsidRPr="00510442">
        <w:rPr>
          <w:szCs w:val="22"/>
          <w:lang w:val="hr-HR"/>
        </w:rPr>
        <w:t xml:space="preserve">(nejasnog kliničkog značaja) </w:t>
      </w:r>
      <w:r w:rsidR="006F505F" w:rsidRPr="00510442">
        <w:rPr>
          <w:szCs w:val="22"/>
          <w:lang w:val="hr-HR"/>
        </w:rPr>
        <w:t xml:space="preserve">medijana </w:t>
      </w:r>
      <w:r w:rsidR="00F63A0F" w:rsidRPr="00510442">
        <w:rPr>
          <w:szCs w:val="22"/>
          <w:lang w:val="hr-HR"/>
        </w:rPr>
        <w:t xml:space="preserve">skora </w:t>
      </w:r>
      <w:r w:rsidR="006F505F" w:rsidRPr="00510442">
        <w:rPr>
          <w:szCs w:val="22"/>
          <w:lang w:val="hr-HR"/>
        </w:rPr>
        <w:t xml:space="preserve">standardne devijacije </w:t>
      </w:r>
      <w:r w:rsidR="00F63A0F" w:rsidRPr="00510442">
        <w:rPr>
          <w:szCs w:val="22"/>
          <w:lang w:val="hr-HR"/>
        </w:rPr>
        <w:t xml:space="preserve">za </w:t>
      </w:r>
      <w:r w:rsidR="006F505F" w:rsidRPr="00510442">
        <w:rPr>
          <w:szCs w:val="22"/>
          <w:lang w:val="hr-HR"/>
        </w:rPr>
        <w:t>tjelesn</w:t>
      </w:r>
      <w:r w:rsidR="00F63A0F" w:rsidRPr="00510442">
        <w:rPr>
          <w:szCs w:val="22"/>
          <w:lang w:val="hr-HR"/>
        </w:rPr>
        <w:t>u</w:t>
      </w:r>
      <w:r w:rsidR="006F505F" w:rsidRPr="00510442">
        <w:rPr>
          <w:szCs w:val="22"/>
          <w:lang w:val="hr-HR"/>
        </w:rPr>
        <w:t xml:space="preserve"> visin</w:t>
      </w:r>
      <w:r w:rsidR="00F63A0F" w:rsidRPr="00510442">
        <w:rPr>
          <w:szCs w:val="22"/>
          <w:lang w:val="hr-HR"/>
        </w:rPr>
        <w:t>u</w:t>
      </w:r>
      <w:r w:rsidR="006F505F" w:rsidRPr="00510442">
        <w:rPr>
          <w:szCs w:val="22"/>
          <w:lang w:val="hr-HR"/>
        </w:rPr>
        <w:t xml:space="preserve"> nakon 12 i 24</w:t>
      </w:r>
      <w:r w:rsidR="0080673F" w:rsidRPr="00510442">
        <w:rPr>
          <w:szCs w:val="22"/>
          <w:lang w:val="hr-HR"/>
        </w:rPr>
        <w:t> </w:t>
      </w:r>
      <w:r w:rsidR="006F505F" w:rsidRPr="00510442">
        <w:rPr>
          <w:szCs w:val="22"/>
          <w:lang w:val="hr-HR"/>
        </w:rPr>
        <w:t>mjeseca liječenja u dvije male podskupine bez obzira na pubertetski status ili spol. P</w:t>
      </w:r>
      <w:r w:rsidRPr="00510442">
        <w:rPr>
          <w:szCs w:val="22"/>
          <w:lang w:val="hr-HR"/>
        </w:rPr>
        <w:t xml:space="preserve">reporučuje </w:t>
      </w:r>
      <w:r w:rsidR="006F505F" w:rsidRPr="00510442">
        <w:rPr>
          <w:szCs w:val="22"/>
          <w:lang w:val="hr-HR"/>
        </w:rPr>
        <w:t xml:space="preserve">se </w:t>
      </w:r>
      <w:r w:rsidRPr="00510442">
        <w:rPr>
          <w:szCs w:val="22"/>
          <w:lang w:val="hr-HR"/>
        </w:rPr>
        <w:t>pažljivo praćenje rasta kod djece koja se liječe imatinibom (vidjeti dio</w:t>
      </w:r>
      <w:r w:rsidR="00FF5600" w:rsidRPr="00510442">
        <w:rPr>
          <w:szCs w:val="22"/>
          <w:lang w:val="hr-HR"/>
        </w:rPr>
        <w:t> </w:t>
      </w:r>
      <w:r w:rsidRPr="00510442">
        <w:rPr>
          <w:szCs w:val="22"/>
          <w:lang w:val="hr-HR"/>
        </w:rPr>
        <w:t>4.8).</w:t>
      </w:r>
    </w:p>
    <w:p w14:paraId="09F9D3F6" w14:textId="77777777" w:rsidR="00BE41B8" w:rsidRPr="00510442" w:rsidRDefault="00BE41B8" w:rsidP="00BE41B8">
      <w:pPr>
        <w:pStyle w:val="EndnoteText"/>
        <w:widowControl w:val="0"/>
        <w:tabs>
          <w:tab w:val="clear" w:pos="567"/>
        </w:tabs>
        <w:rPr>
          <w:color w:val="000000"/>
          <w:szCs w:val="22"/>
          <w:lang w:val="hr-HR"/>
        </w:rPr>
      </w:pPr>
    </w:p>
    <w:p w14:paraId="50452BA1" w14:textId="77777777" w:rsidR="00BE41B8" w:rsidRPr="00510442" w:rsidRDefault="00BE41B8" w:rsidP="002A1B53">
      <w:pPr>
        <w:keepNext/>
        <w:tabs>
          <w:tab w:val="clear" w:pos="567"/>
        </w:tabs>
        <w:spacing w:line="240" w:lineRule="auto"/>
        <w:ind w:left="567" w:hanging="567"/>
        <w:outlineLvl w:val="0"/>
        <w:rPr>
          <w:szCs w:val="22"/>
          <w:lang w:val="hr-HR"/>
        </w:rPr>
      </w:pPr>
      <w:r w:rsidRPr="00510442">
        <w:rPr>
          <w:b/>
          <w:szCs w:val="22"/>
          <w:lang w:val="hr-HR"/>
        </w:rPr>
        <w:t>4.5</w:t>
      </w:r>
      <w:r w:rsidRPr="00510442">
        <w:rPr>
          <w:b/>
          <w:szCs w:val="22"/>
          <w:lang w:val="hr-HR"/>
        </w:rPr>
        <w:tab/>
        <w:t>Interakcije s drugim lijekovima i drugi oblici interakcija</w:t>
      </w:r>
    </w:p>
    <w:p w14:paraId="08A7A039" w14:textId="77777777" w:rsidR="00BE41B8" w:rsidRPr="00510442" w:rsidRDefault="00BE41B8" w:rsidP="002A1B53">
      <w:pPr>
        <w:pStyle w:val="EndnoteText"/>
        <w:keepNext/>
        <w:widowControl w:val="0"/>
        <w:tabs>
          <w:tab w:val="clear" w:pos="567"/>
        </w:tabs>
        <w:rPr>
          <w:color w:val="000000"/>
          <w:szCs w:val="22"/>
          <w:lang w:val="hr-HR"/>
        </w:rPr>
      </w:pPr>
    </w:p>
    <w:p w14:paraId="21BA714B" w14:textId="77777777" w:rsidR="00BE41B8" w:rsidRPr="00510442" w:rsidRDefault="00BE41B8" w:rsidP="002A1B53">
      <w:pPr>
        <w:pStyle w:val="Text"/>
        <w:keepNext/>
        <w:widowControl w:val="0"/>
        <w:spacing w:before="0"/>
        <w:jc w:val="left"/>
        <w:rPr>
          <w:color w:val="000000"/>
          <w:sz w:val="22"/>
          <w:szCs w:val="22"/>
          <w:u w:val="single"/>
          <w:lang w:val="hr-HR"/>
        </w:rPr>
      </w:pPr>
      <w:r w:rsidRPr="00510442">
        <w:rPr>
          <w:sz w:val="22"/>
          <w:szCs w:val="22"/>
          <w:u w:val="single"/>
          <w:lang w:val="hr-HR"/>
        </w:rPr>
        <w:t xml:space="preserve">Djelatne tvari koje mogu </w:t>
      </w:r>
      <w:r w:rsidRPr="00510442">
        <w:rPr>
          <w:b/>
          <w:sz w:val="22"/>
          <w:szCs w:val="22"/>
          <w:u w:val="single"/>
          <w:lang w:val="hr-HR"/>
        </w:rPr>
        <w:t>povećati</w:t>
      </w:r>
      <w:r w:rsidRPr="00510442">
        <w:rPr>
          <w:sz w:val="22"/>
          <w:szCs w:val="22"/>
          <w:u w:val="single"/>
          <w:lang w:val="hr-HR"/>
        </w:rPr>
        <w:t xml:space="preserve"> koncentracije imatiniba u plazmi</w:t>
      </w:r>
      <w:r w:rsidRPr="00510442">
        <w:rPr>
          <w:color w:val="000000"/>
          <w:sz w:val="22"/>
          <w:szCs w:val="22"/>
          <w:u w:val="single"/>
          <w:lang w:val="hr-HR"/>
        </w:rPr>
        <w:t>:</w:t>
      </w:r>
    </w:p>
    <w:p w14:paraId="089901C6" w14:textId="77777777" w:rsidR="00BE41B8" w:rsidRPr="00510442" w:rsidRDefault="00BE41B8" w:rsidP="00BE41B8">
      <w:pPr>
        <w:pStyle w:val="Text"/>
        <w:widowControl w:val="0"/>
        <w:spacing w:before="0"/>
        <w:jc w:val="left"/>
        <w:rPr>
          <w:color w:val="000000"/>
          <w:sz w:val="22"/>
          <w:szCs w:val="22"/>
          <w:lang w:val="hr-HR"/>
        </w:rPr>
      </w:pPr>
      <w:r w:rsidRPr="00510442">
        <w:rPr>
          <w:sz w:val="22"/>
          <w:szCs w:val="22"/>
          <w:lang w:val="hr-HR"/>
        </w:rPr>
        <w:t>Tvari koje inhibiraju djelovanje CYP3A4 izoenzima citokroma P450 (npr. inhibitori proteaze kao što su indinavir, lopinavir/ritonavir, ritonavir, sakvinavir, telaprevir, nelfinavir, boceprevir; azolni antimikotici uključujući ketokonazol, itrakonazol, posakonazol, vorikonazol; određeni makrolidi kao što su eritromicin, klaritromicin i telitromicin) mogle bi smanjiti metabolizam i povećati koncentracije imatiniba. U zdravih je ispitanika došlo do značajnog povećanja izloženosti imatinibu (srednji C</w:t>
      </w:r>
      <w:r w:rsidRPr="00510442">
        <w:rPr>
          <w:sz w:val="22"/>
          <w:szCs w:val="22"/>
          <w:vertAlign w:val="subscript"/>
          <w:lang w:val="hr-HR"/>
        </w:rPr>
        <w:t>max</w:t>
      </w:r>
      <w:r w:rsidRPr="00510442">
        <w:rPr>
          <w:sz w:val="22"/>
          <w:szCs w:val="22"/>
          <w:lang w:val="hr-HR"/>
        </w:rPr>
        <w:t xml:space="preserve"> i AUC imatiniba povećali su se za 26%, odnosno 40%), kada je imatinib primjenjivan istodobno s jednokratnom dozom ketokonazola (CYP3A4 inhibitor). Kada se Glivec primjenjuje s inhibitorima porodice CYP3A4, potrebno je oprezno postupati</w:t>
      </w:r>
      <w:r w:rsidRPr="00510442">
        <w:rPr>
          <w:color w:val="000000"/>
          <w:sz w:val="22"/>
          <w:szCs w:val="22"/>
          <w:lang w:val="hr-HR"/>
        </w:rPr>
        <w:t>.</w:t>
      </w:r>
    </w:p>
    <w:p w14:paraId="70E5ACE5" w14:textId="77777777" w:rsidR="00BE41B8" w:rsidRPr="00510442" w:rsidRDefault="00BE41B8" w:rsidP="00BE41B8">
      <w:pPr>
        <w:pStyle w:val="Text"/>
        <w:widowControl w:val="0"/>
        <w:spacing w:before="0"/>
        <w:jc w:val="left"/>
        <w:rPr>
          <w:color w:val="000000"/>
          <w:sz w:val="22"/>
          <w:szCs w:val="22"/>
          <w:lang w:val="hr-HR"/>
        </w:rPr>
      </w:pPr>
    </w:p>
    <w:p w14:paraId="3626AE39" w14:textId="77777777" w:rsidR="00BE41B8" w:rsidRPr="00510442" w:rsidRDefault="00BE41B8" w:rsidP="002A1B53">
      <w:pPr>
        <w:pStyle w:val="Text"/>
        <w:keepNext/>
        <w:widowControl w:val="0"/>
        <w:spacing w:before="0"/>
        <w:jc w:val="left"/>
        <w:rPr>
          <w:color w:val="000000"/>
          <w:sz w:val="22"/>
          <w:szCs w:val="22"/>
          <w:u w:val="single"/>
          <w:lang w:val="hr-HR"/>
        </w:rPr>
      </w:pPr>
      <w:r w:rsidRPr="00510442">
        <w:rPr>
          <w:sz w:val="22"/>
          <w:szCs w:val="22"/>
          <w:u w:val="single"/>
          <w:lang w:val="hr-HR"/>
        </w:rPr>
        <w:lastRenderedPageBreak/>
        <w:t xml:space="preserve">Djelatne tvari koje mogu </w:t>
      </w:r>
      <w:r w:rsidRPr="00510442">
        <w:rPr>
          <w:b/>
          <w:sz w:val="22"/>
          <w:szCs w:val="22"/>
          <w:u w:val="single"/>
          <w:lang w:val="hr-HR"/>
        </w:rPr>
        <w:t>smanjiti</w:t>
      </w:r>
      <w:r w:rsidRPr="00510442">
        <w:rPr>
          <w:sz w:val="22"/>
          <w:szCs w:val="22"/>
          <w:u w:val="single"/>
          <w:lang w:val="hr-HR"/>
        </w:rPr>
        <w:t xml:space="preserve"> koncentracije imatiniba u plazmi</w:t>
      </w:r>
      <w:r w:rsidRPr="00510442">
        <w:rPr>
          <w:color w:val="000000"/>
          <w:sz w:val="22"/>
          <w:szCs w:val="22"/>
          <w:u w:val="single"/>
          <w:lang w:val="hr-HR"/>
        </w:rPr>
        <w:t>:</w:t>
      </w:r>
    </w:p>
    <w:p w14:paraId="04F6A33E" w14:textId="00929F6D" w:rsidR="00BE41B8" w:rsidRPr="00510442" w:rsidRDefault="00BE41B8" w:rsidP="00BE41B8">
      <w:pPr>
        <w:pStyle w:val="Text"/>
        <w:widowControl w:val="0"/>
        <w:spacing w:before="0"/>
        <w:jc w:val="left"/>
        <w:rPr>
          <w:color w:val="000000"/>
          <w:sz w:val="22"/>
          <w:szCs w:val="22"/>
          <w:lang w:val="hr-HR"/>
        </w:rPr>
      </w:pPr>
      <w:r w:rsidRPr="00510442">
        <w:rPr>
          <w:sz w:val="22"/>
          <w:szCs w:val="22"/>
          <w:lang w:val="hr-HR"/>
        </w:rPr>
        <w:t>Tvari koje induciraju djelovanje CYP3A4</w:t>
      </w:r>
      <w:r w:rsidRPr="00510442">
        <w:rPr>
          <w:color w:val="000000"/>
          <w:sz w:val="22"/>
          <w:szCs w:val="22"/>
          <w:lang w:val="hr-HR"/>
        </w:rPr>
        <w:t xml:space="preserve"> (</w:t>
      </w:r>
      <w:r w:rsidRPr="00510442">
        <w:rPr>
          <w:sz w:val="22"/>
          <w:szCs w:val="22"/>
          <w:lang w:val="hr-HR"/>
        </w:rPr>
        <w:t xml:space="preserve">npr. deksametazon, fenitoin, karbamazepin, rifampicin, fenobarbital, fosfenitoin, primidon ili </w:t>
      </w:r>
      <w:r w:rsidRPr="00510442">
        <w:rPr>
          <w:i/>
          <w:sz w:val="22"/>
          <w:szCs w:val="22"/>
          <w:lang w:val="hr-HR"/>
        </w:rPr>
        <w:t>Hypericum perforatum</w:t>
      </w:r>
      <w:r w:rsidRPr="00510442">
        <w:rPr>
          <w:sz w:val="22"/>
          <w:szCs w:val="22"/>
          <w:lang w:val="hr-HR"/>
        </w:rPr>
        <w:t>, poznat također kao gospina trava</w:t>
      </w:r>
      <w:r w:rsidRPr="00510442">
        <w:rPr>
          <w:color w:val="000000"/>
          <w:sz w:val="22"/>
          <w:szCs w:val="22"/>
          <w:lang w:val="hr-HR"/>
        </w:rPr>
        <w:t xml:space="preserve">) </w:t>
      </w:r>
      <w:r w:rsidRPr="00510442">
        <w:rPr>
          <w:sz w:val="22"/>
          <w:szCs w:val="22"/>
          <w:lang w:val="hr-HR"/>
        </w:rPr>
        <w:t xml:space="preserve">mogu značajno smanjiti izloženost </w:t>
      </w:r>
      <w:r w:rsidR="00561038" w:rsidRPr="00561038">
        <w:rPr>
          <w:sz w:val="22"/>
          <w:szCs w:val="22"/>
          <w:lang w:val="hr-HR"/>
        </w:rPr>
        <w:t xml:space="preserve">lijeku </w:t>
      </w:r>
      <w:r w:rsidRPr="00510442">
        <w:rPr>
          <w:sz w:val="22"/>
          <w:szCs w:val="22"/>
          <w:lang w:val="hr-HR"/>
        </w:rPr>
        <w:t>Glivec, čime se potencijalno povećava rizik od neuspjeha terapije</w:t>
      </w:r>
      <w:r w:rsidRPr="00510442">
        <w:rPr>
          <w:color w:val="000000"/>
          <w:sz w:val="22"/>
          <w:szCs w:val="22"/>
          <w:lang w:val="hr-HR"/>
        </w:rPr>
        <w:t xml:space="preserve">. </w:t>
      </w:r>
      <w:r w:rsidRPr="00510442">
        <w:rPr>
          <w:sz w:val="22"/>
          <w:szCs w:val="22"/>
          <w:lang w:val="hr-HR"/>
        </w:rPr>
        <w:t xml:space="preserve">Prethodno liječenje s višestrukim dozama rifampicina od </w:t>
      </w:r>
      <w:r w:rsidRPr="00510442">
        <w:rPr>
          <w:color w:val="000000"/>
          <w:sz w:val="22"/>
          <w:szCs w:val="22"/>
          <w:lang w:val="hr-HR"/>
        </w:rPr>
        <w:t>600 mg</w:t>
      </w:r>
      <w:r w:rsidRPr="00510442">
        <w:rPr>
          <w:sz w:val="22"/>
          <w:szCs w:val="22"/>
          <w:lang w:val="hr-HR"/>
        </w:rPr>
        <w:t xml:space="preserve">, nakon čega je slijedila jednokratna doza </w:t>
      </w:r>
      <w:r w:rsidR="004007D1" w:rsidRPr="00512481">
        <w:rPr>
          <w:sz w:val="22"/>
          <w:szCs w:val="22"/>
          <w:lang w:val="hr-HR"/>
        </w:rPr>
        <w:t xml:space="preserve">lijeka </w:t>
      </w:r>
      <w:r w:rsidRPr="00510442">
        <w:rPr>
          <w:sz w:val="22"/>
          <w:szCs w:val="22"/>
          <w:lang w:val="hr-HR"/>
        </w:rPr>
        <w:t>Glivec od</w:t>
      </w:r>
      <w:r w:rsidRPr="00510442">
        <w:rPr>
          <w:color w:val="000000"/>
          <w:sz w:val="22"/>
          <w:szCs w:val="22"/>
          <w:lang w:val="hr-HR"/>
        </w:rPr>
        <w:t xml:space="preserve"> 400 mg</w:t>
      </w:r>
      <w:r w:rsidRPr="00510442">
        <w:rPr>
          <w:sz w:val="22"/>
          <w:szCs w:val="22"/>
          <w:lang w:val="hr-HR"/>
        </w:rPr>
        <w:t xml:space="preserve">, rezultiralo je smanjenjem </w:t>
      </w:r>
      <w:r w:rsidRPr="00510442">
        <w:rPr>
          <w:color w:val="000000"/>
          <w:sz w:val="22"/>
          <w:szCs w:val="22"/>
          <w:lang w:val="hr-HR"/>
        </w:rPr>
        <w:t>C</w:t>
      </w:r>
      <w:r w:rsidRPr="00510442">
        <w:rPr>
          <w:color w:val="000000"/>
          <w:sz w:val="22"/>
          <w:szCs w:val="22"/>
          <w:vertAlign w:val="subscript"/>
          <w:lang w:val="hr-HR"/>
        </w:rPr>
        <w:t>max</w:t>
      </w:r>
      <w:r w:rsidRPr="00510442">
        <w:rPr>
          <w:color w:val="000000"/>
          <w:sz w:val="22"/>
          <w:szCs w:val="22"/>
          <w:lang w:val="hr-HR"/>
        </w:rPr>
        <w:t xml:space="preserve"> i AUC</w:t>
      </w:r>
      <w:r w:rsidRPr="00510442">
        <w:rPr>
          <w:color w:val="000000"/>
          <w:sz w:val="22"/>
          <w:szCs w:val="22"/>
          <w:vertAlign w:val="subscript"/>
          <w:lang w:val="hr-HR"/>
        </w:rPr>
        <w:t>(0-∞)</w:t>
      </w:r>
      <w:r w:rsidRPr="00510442">
        <w:rPr>
          <w:color w:val="000000"/>
          <w:sz w:val="22"/>
          <w:szCs w:val="22"/>
          <w:lang w:val="hr-HR"/>
        </w:rPr>
        <w:t xml:space="preserve"> </w:t>
      </w:r>
      <w:r w:rsidRPr="00510442">
        <w:rPr>
          <w:sz w:val="22"/>
          <w:szCs w:val="22"/>
          <w:lang w:val="hr-HR"/>
        </w:rPr>
        <w:t>za najmanje</w:t>
      </w:r>
      <w:r w:rsidRPr="00510442">
        <w:rPr>
          <w:color w:val="000000"/>
          <w:sz w:val="22"/>
          <w:szCs w:val="22"/>
          <w:lang w:val="hr-HR"/>
        </w:rPr>
        <w:t xml:space="preserve"> 54% odnosno 74% </w:t>
      </w:r>
      <w:r w:rsidRPr="00510442">
        <w:rPr>
          <w:sz w:val="22"/>
          <w:szCs w:val="22"/>
          <w:lang w:val="hr-HR"/>
        </w:rPr>
        <w:t>bez liječenja rifampicinom</w:t>
      </w:r>
      <w:r w:rsidRPr="00510442">
        <w:rPr>
          <w:snapToGrid w:val="0"/>
          <w:color w:val="000000"/>
          <w:sz w:val="22"/>
          <w:szCs w:val="22"/>
          <w:lang w:val="hr-HR"/>
        </w:rPr>
        <w:t xml:space="preserve">. </w:t>
      </w:r>
      <w:r w:rsidRPr="00510442">
        <w:rPr>
          <w:sz w:val="22"/>
          <w:szCs w:val="22"/>
          <w:lang w:val="hr-HR"/>
        </w:rPr>
        <w:t xml:space="preserve">Slični rezultati su uočeni u bolesnika s malignim gliomima koji su liječeni </w:t>
      </w:r>
      <w:r w:rsidR="00B27A2B">
        <w:rPr>
          <w:sz w:val="22"/>
          <w:szCs w:val="22"/>
          <w:lang w:val="hr-HR"/>
        </w:rPr>
        <w:t xml:space="preserve">lijekom </w:t>
      </w:r>
      <w:r w:rsidRPr="00510442">
        <w:rPr>
          <w:sz w:val="22"/>
          <w:szCs w:val="22"/>
          <w:lang w:val="hr-HR"/>
        </w:rPr>
        <w:t>Glivec dok su uzimali antiepileptičke lijekove koji induciraju enzime, poput karbamazepina, okskarbazepina i fenitoina. AUC imatiniba u plazmi smanjio se za 73% u usporedbi s bolesnicima koji nisu primali antiepileptičke lijekove koji induciraju enzime. Istodobnu primjenu rifampicina ili drugih jakih CYP3A4 induktora i imatiniba potrebno je izbjegavati</w:t>
      </w:r>
      <w:r w:rsidRPr="00510442">
        <w:rPr>
          <w:color w:val="000000"/>
          <w:sz w:val="22"/>
          <w:szCs w:val="22"/>
          <w:lang w:val="hr-HR"/>
        </w:rPr>
        <w:t>.</w:t>
      </w:r>
    </w:p>
    <w:p w14:paraId="04E12F89" w14:textId="77777777" w:rsidR="00BE41B8" w:rsidRPr="00510442" w:rsidRDefault="00BE41B8" w:rsidP="00BE41B8">
      <w:pPr>
        <w:pStyle w:val="Text"/>
        <w:widowControl w:val="0"/>
        <w:spacing w:before="0"/>
        <w:jc w:val="left"/>
        <w:rPr>
          <w:color w:val="000000"/>
          <w:sz w:val="22"/>
          <w:szCs w:val="22"/>
          <w:lang w:val="hr-HR"/>
        </w:rPr>
      </w:pPr>
    </w:p>
    <w:p w14:paraId="4DE93C1D" w14:textId="77777777" w:rsidR="00BE41B8" w:rsidRPr="00510442" w:rsidRDefault="00BE41B8" w:rsidP="003179A4">
      <w:pPr>
        <w:pStyle w:val="Text"/>
        <w:keepNext/>
        <w:widowControl w:val="0"/>
        <w:spacing w:before="0"/>
        <w:jc w:val="left"/>
        <w:rPr>
          <w:b/>
          <w:color w:val="000000"/>
          <w:sz w:val="22"/>
          <w:szCs w:val="22"/>
          <w:lang w:val="hr-HR"/>
        </w:rPr>
      </w:pPr>
      <w:r w:rsidRPr="00510442">
        <w:rPr>
          <w:b/>
          <w:sz w:val="22"/>
          <w:szCs w:val="22"/>
          <w:lang w:val="hr-HR"/>
        </w:rPr>
        <w:t>Djelatne tvari čije bi koncentracije u plazmi Glivec mogao promijeniti</w:t>
      </w:r>
    </w:p>
    <w:p w14:paraId="07B3F7DC" w14:textId="77777777" w:rsidR="00BE41B8" w:rsidRPr="00510442" w:rsidRDefault="00BE41B8" w:rsidP="00BE41B8">
      <w:pPr>
        <w:pStyle w:val="Text"/>
        <w:widowControl w:val="0"/>
        <w:spacing w:before="0"/>
        <w:jc w:val="left"/>
        <w:rPr>
          <w:color w:val="000000"/>
          <w:sz w:val="22"/>
          <w:szCs w:val="22"/>
          <w:lang w:val="hr-HR"/>
        </w:rPr>
      </w:pPr>
      <w:r w:rsidRPr="00510442">
        <w:rPr>
          <w:color w:val="000000"/>
          <w:sz w:val="22"/>
          <w:szCs w:val="22"/>
          <w:lang w:val="hr-HR"/>
        </w:rPr>
        <w:t>Imatinib povećava sredn</w:t>
      </w:r>
      <w:r w:rsidR="00120018" w:rsidRPr="00510442">
        <w:rPr>
          <w:color w:val="000000"/>
          <w:sz w:val="22"/>
          <w:szCs w:val="22"/>
          <w:lang w:val="hr-HR"/>
        </w:rPr>
        <w:t>j</w:t>
      </w:r>
      <w:r w:rsidRPr="00510442">
        <w:rPr>
          <w:color w:val="000000"/>
          <w:sz w:val="22"/>
          <w:szCs w:val="22"/>
          <w:lang w:val="hr-HR"/>
        </w:rPr>
        <w:t>u vrijednost C</w:t>
      </w:r>
      <w:r w:rsidRPr="00510442">
        <w:rPr>
          <w:color w:val="000000"/>
          <w:sz w:val="22"/>
          <w:szCs w:val="22"/>
          <w:vertAlign w:val="subscript"/>
          <w:lang w:val="hr-HR"/>
        </w:rPr>
        <w:t>max</w:t>
      </w:r>
      <w:r w:rsidRPr="00510442">
        <w:rPr>
          <w:color w:val="000000"/>
          <w:sz w:val="22"/>
          <w:szCs w:val="22"/>
          <w:lang w:val="hr-HR"/>
        </w:rPr>
        <w:t xml:space="preserve"> i AUC simvastatina (CYP3A4 supstrat) za 2, odnosno 3,5</w:t>
      </w:r>
      <w:r w:rsidR="006E5D7E" w:rsidRPr="00510442">
        <w:rPr>
          <w:color w:val="000000"/>
          <w:sz w:val="22"/>
          <w:szCs w:val="22"/>
          <w:lang w:val="hr-HR"/>
        </w:rPr>
        <w:t> </w:t>
      </w:r>
      <w:r w:rsidRPr="00510442">
        <w:rPr>
          <w:color w:val="000000"/>
          <w:sz w:val="22"/>
          <w:szCs w:val="22"/>
          <w:lang w:val="hr-HR"/>
        </w:rPr>
        <w:t xml:space="preserve">puta, </w:t>
      </w:r>
      <w:r w:rsidRPr="00510442">
        <w:rPr>
          <w:sz w:val="22"/>
          <w:szCs w:val="22"/>
          <w:lang w:val="hr-HR"/>
        </w:rPr>
        <w:t>što ukazuje na to da imatinib inhibira CYP3A4</w:t>
      </w:r>
      <w:r w:rsidRPr="00510442">
        <w:rPr>
          <w:color w:val="000000"/>
          <w:sz w:val="22"/>
          <w:szCs w:val="22"/>
          <w:lang w:val="hr-HR"/>
        </w:rPr>
        <w:t xml:space="preserve">. </w:t>
      </w:r>
      <w:r w:rsidRPr="00510442">
        <w:rPr>
          <w:sz w:val="22"/>
          <w:szCs w:val="22"/>
          <w:lang w:val="hr-HR"/>
        </w:rPr>
        <w:t>Zbog toga se preporučuje oprezno postupati kada se Glivec primjenjuje s CYP3A4 supstratima s uskim terapijskim prozorom (npr. ciklosporin, pimozid, takrolimus, sirolimus, ergotamin, diergotamin, fentanil, alfentanil, terfenadin, bortezomib, docetaksel i kvinidin). Glivec može povećati koncentraciju drugih lijekova u plazmi koje metabolizira CYP3A4 (npr. triazolo-benzodiazepini, dihidropiridinski blokatori kalcijevih kanala, određeni inhibitori HMG-CoA reduktaze odnosno statini, itd.).</w:t>
      </w:r>
    </w:p>
    <w:p w14:paraId="1E3865CD" w14:textId="77777777" w:rsidR="00BE41B8" w:rsidRPr="00510442" w:rsidRDefault="00BE41B8" w:rsidP="00BE41B8">
      <w:pPr>
        <w:pStyle w:val="Text"/>
        <w:widowControl w:val="0"/>
        <w:spacing w:before="0"/>
        <w:jc w:val="left"/>
        <w:rPr>
          <w:color w:val="000000"/>
          <w:sz w:val="22"/>
          <w:szCs w:val="22"/>
          <w:lang w:val="hr-HR"/>
        </w:rPr>
      </w:pPr>
    </w:p>
    <w:p w14:paraId="74A629C2" w14:textId="77777777" w:rsidR="00BE41B8" w:rsidRPr="00510442" w:rsidRDefault="00BE41B8" w:rsidP="00BE41B8">
      <w:pPr>
        <w:pStyle w:val="Text"/>
        <w:widowControl w:val="0"/>
        <w:spacing w:before="0"/>
        <w:jc w:val="left"/>
        <w:rPr>
          <w:color w:val="000000"/>
          <w:sz w:val="22"/>
          <w:szCs w:val="22"/>
          <w:lang w:val="hr-HR"/>
        </w:rPr>
      </w:pPr>
      <w:r w:rsidRPr="00510442">
        <w:rPr>
          <w:sz w:val="22"/>
          <w:szCs w:val="22"/>
          <w:lang w:val="hr-HR"/>
        </w:rPr>
        <w:t>Zbog poznatog povećanog rizika od krvarenja povezanog s primjenom imatiniba (npr. hemoragija), bolesnici kojima je potrebna antikoagulacija trebaju primati heparin niske molekularne težine ili standardni heparin, umjesto kumarinskih derivata kao što je varfarin</w:t>
      </w:r>
      <w:r w:rsidRPr="00510442">
        <w:rPr>
          <w:color w:val="000000"/>
          <w:sz w:val="22"/>
          <w:szCs w:val="22"/>
          <w:lang w:val="hr-HR"/>
        </w:rPr>
        <w:t>.</w:t>
      </w:r>
    </w:p>
    <w:p w14:paraId="259CF1D6" w14:textId="77777777" w:rsidR="00BE41B8" w:rsidRPr="00510442" w:rsidRDefault="00BE41B8" w:rsidP="00BE41B8">
      <w:pPr>
        <w:pStyle w:val="Text"/>
        <w:widowControl w:val="0"/>
        <w:spacing w:before="0"/>
        <w:jc w:val="left"/>
        <w:rPr>
          <w:color w:val="000000"/>
          <w:sz w:val="22"/>
          <w:szCs w:val="22"/>
          <w:lang w:val="hr-HR"/>
        </w:rPr>
      </w:pPr>
    </w:p>
    <w:p w14:paraId="10F66A0C" w14:textId="77777777" w:rsidR="00BE41B8" w:rsidRPr="00510442" w:rsidRDefault="00BE41B8" w:rsidP="00BE41B8">
      <w:pPr>
        <w:pStyle w:val="Text"/>
        <w:widowControl w:val="0"/>
        <w:spacing w:before="0"/>
        <w:jc w:val="left"/>
        <w:rPr>
          <w:color w:val="000000"/>
          <w:sz w:val="22"/>
          <w:szCs w:val="22"/>
          <w:lang w:val="hr-HR"/>
        </w:rPr>
      </w:pPr>
      <w:r w:rsidRPr="00510442">
        <w:rPr>
          <w:sz w:val="22"/>
          <w:szCs w:val="22"/>
          <w:lang w:val="hr-HR"/>
        </w:rPr>
        <w:t xml:space="preserve">Glivec </w:t>
      </w:r>
      <w:r w:rsidRPr="00510442">
        <w:rPr>
          <w:i/>
          <w:sz w:val="22"/>
          <w:szCs w:val="22"/>
          <w:lang w:val="hr-HR"/>
        </w:rPr>
        <w:t>in vitro</w:t>
      </w:r>
      <w:r w:rsidRPr="00510442">
        <w:rPr>
          <w:sz w:val="22"/>
          <w:szCs w:val="22"/>
          <w:lang w:val="hr-HR"/>
        </w:rPr>
        <w:t xml:space="preserve"> inhibira aktivnost CYP2D6 izoenzima citokroma P450 u koncentracijama koje su slične onima što utječu na djelovanje CYP3A4. Imatinib </w:t>
      </w:r>
      <w:r w:rsidRPr="00510442">
        <w:rPr>
          <w:color w:val="000000"/>
          <w:sz w:val="22"/>
          <w:szCs w:val="22"/>
          <w:lang w:val="hr-HR"/>
        </w:rPr>
        <w:t xml:space="preserve">400 mg </w:t>
      </w:r>
      <w:r w:rsidRPr="00510442">
        <w:rPr>
          <w:sz w:val="22"/>
          <w:szCs w:val="22"/>
          <w:lang w:val="hr-HR"/>
        </w:rPr>
        <w:t>dvaput na dan imao je inhibitorni učinak na metabolizam metoprolola posredovan CYP2D6, pri čemu su se C</w:t>
      </w:r>
      <w:r w:rsidRPr="00510442">
        <w:rPr>
          <w:sz w:val="22"/>
          <w:szCs w:val="22"/>
          <w:vertAlign w:val="subscript"/>
          <w:lang w:val="hr-HR"/>
        </w:rPr>
        <w:t>max</w:t>
      </w:r>
      <w:r w:rsidRPr="00510442">
        <w:rPr>
          <w:sz w:val="22"/>
          <w:szCs w:val="22"/>
          <w:lang w:val="hr-HR"/>
        </w:rPr>
        <w:t xml:space="preserve"> i AUC metoprolola povećali za otprilike 23%</w:t>
      </w:r>
      <w:r w:rsidRPr="00510442">
        <w:rPr>
          <w:color w:val="000000"/>
          <w:sz w:val="22"/>
          <w:szCs w:val="22"/>
          <w:lang w:val="hr-HR"/>
        </w:rPr>
        <w:t xml:space="preserve"> (90%CI [1,16</w:t>
      </w:r>
      <w:r w:rsidRPr="00510442">
        <w:rPr>
          <w:color w:val="000000"/>
          <w:sz w:val="22"/>
          <w:szCs w:val="22"/>
          <w:lang w:val="hr-HR"/>
        </w:rPr>
        <w:noBreakHyphen/>
        <w:t xml:space="preserve">1,30]). </w:t>
      </w:r>
      <w:r w:rsidRPr="00510442">
        <w:rPr>
          <w:sz w:val="22"/>
          <w:szCs w:val="22"/>
          <w:lang w:val="hr-HR"/>
        </w:rPr>
        <w:t>Izgleda da prilagođavanje doze nije neophodno kada se imatinib istodobno primjenjuje s CYP2D6 supstratima, međutim, savjetuje se oprez kod CYP2D6 supstrata s uskim terapijskim prozorom, poput metoprolola. U bolesnika liječenih metoprololom potrebno je razmisliti o kliničkom nadzoru.</w:t>
      </w:r>
    </w:p>
    <w:p w14:paraId="584F16E4" w14:textId="77777777" w:rsidR="00BE41B8" w:rsidRPr="00510442" w:rsidRDefault="00BE41B8" w:rsidP="00BE41B8">
      <w:pPr>
        <w:pStyle w:val="Text"/>
        <w:widowControl w:val="0"/>
        <w:spacing w:before="0"/>
        <w:jc w:val="left"/>
        <w:rPr>
          <w:color w:val="000000"/>
          <w:sz w:val="22"/>
          <w:szCs w:val="22"/>
          <w:lang w:val="hr-HR"/>
        </w:rPr>
      </w:pPr>
    </w:p>
    <w:p w14:paraId="6D2DFC12" w14:textId="157CBD36" w:rsidR="00BE41B8" w:rsidRPr="00510442" w:rsidRDefault="00BE41B8" w:rsidP="00BE41B8">
      <w:pPr>
        <w:pStyle w:val="Text"/>
        <w:widowControl w:val="0"/>
        <w:spacing w:before="0"/>
        <w:jc w:val="left"/>
        <w:rPr>
          <w:color w:val="000000"/>
          <w:sz w:val="22"/>
          <w:szCs w:val="22"/>
          <w:lang w:val="hr-HR"/>
        </w:rPr>
      </w:pPr>
      <w:r w:rsidRPr="00510442">
        <w:rPr>
          <w:i/>
          <w:sz w:val="22"/>
          <w:szCs w:val="22"/>
          <w:lang w:val="hr-HR"/>
        </w:rPr>
        <w:t>In vitro</w:t>
      </w:r>
      <w:r w:rsidRPr="00510442">
        <w:rPr>
          <w:sz w:val="22"/>
          <w:szCs w:val="22"/>
          <w:lang w:val="hr-HR"/>
        </w:rPr>
        <w:t>, Glivec inhibira paracetamol O-glukuronidaciju s Ki vrijednosti</w:t>
      </w:r>
      <w:r w:rsidR="00120018" w:rsidRPr="00510442">
        <w:rPr>
          <w:sz w:val="22"/>
          <w:szCs w:val="22"/>
          <w:lang w:val="hr-HR"/>
        </w:rPr>
        <w:t xml:space="preserve"> </w:t>
      </w:r>
      <w:r w:rsidRPr="00510442">
        <w:rPr>
          <w:sz w:val="22"/>
          <w:szCs w:val="22"/>
          <w:lang w:val="hr-HR"/>
        </w:rPr>
        <w:t>od</w:t>
      </w:r>
      <w:r w:rsidRPr="00510442">
        <w:rPr>
          <w:color w:val="000000"/>
          <w:sz w:val="22"/>
          <w:szCs w:val="22"/>
          <w:lang w:val="hr-HR"/>
        </w:rPr>
        <w:t xml:space="preserve"> 58,5 mikromol/l.</w:t>
      </w:r>
      <w:r w:rsidRPr="00510442">
        <w:rPr>
          <w:iCs/>
          <w:color w:val="000000"/>
          <w:sz w:val="22"/>
          <w:szCs w:val="22"/>
          <w:lang w:val="hr-HR"/>
        </w:rPr>
        <w:t xml:space="preserve"> </w:t>
      </w:r>
      <w:r w:rsidRPr="00510442">
        <w:rPr>
          <w:iCs/>
          <w:sz w:val="22"/>
          <w:szCs w:val="22"/>
          <w:lang w:val="hr-HR"/>
        </w:rPr>
        <w:t>Ovakva</w:t>
      </w:r>
      <w:r w:rsidRPr="00510442">
        <w:rPr>
          <w:iCs/>
          <w:sz w:val="22"/>
          <w:szCs w:val="22"/>
          <w:u w:val="single"/>
          <w:lang w:val="hr-HR"/>
        </w:rPr>
        <w:t xml:space="preserve"> </w:t>
      </w:r>
      <w:r w:rsidRPr="00510442">
        <w:rPr>
          <w:iCs/>
          <w:sz w:val="22"/>
          <w:szCs w:val="22"/>
          <w:lang w:val="hr-HR"/>
        </w:rPr>
        <w:t xml:space="preserve">inhibicija nije uočena </w:t>
      </w:r>
      <w:r w:rsidRPr="00510442">
        <w:rPr>
          <w:i/>
          <w:iCs/>
          <w:sz w:val="22"/>
          <w:szCs w:val="22"/>
          <w:lang w:val="hr-HR"/>
        </w:rPr>
        <w:t>in vivo</w:t>
      </w:r>
      <w:r w:rsidRPr="00510442">
        <w:rPr>
          <w:iCs/>
          <w:sz w:val="22"/>
          <w:szCs w:val="22"/>
          <w:lang w:val="hr-HR"/>
        </w:rPr>
        <w:t xml:space="preserve"> nakon primjene </w:t>
      </w:r>
      <w:r w:rsidR="004007D1" w:rsidRPr="00512481">
        <w:rPr>
          <w:sz w:val="22"/>
          <w:szCs w:val="22"/>
          <w:lang w:val="hr-HR"/>
        </w:rPr>
        <w:t xml:space="preserve">lijeka </w:t>
      </w:r>
      <w:r w:rsidRPr="00510442">
        <w:rPr>
          <w:iCs/>
          <w:sz w:val="22"/>
          <w:szCs w:val="22"/>
          <w:lang w:val="hr-HR"/>
        </w:rPr>
        <w:t xml:space="preserve">Glivec u dozi od 400 mg i paracetamola u dozi od 1000 mg. Više doze </w:t>
      </w:r>
      <w:r w:rsidR="004007D1" w:rsidRPr="00512481">
        <w:rPr>
          <w:sz w:val="22"/>
          <w:szCs w:val="22"/>
          <w:lang w:val="hr-HR"/>
        </w:rPr>
        <w:t xml:space="preserve">lijeka </w:t>
      </w:r>
      <w:r w:rsidRPr="00510442">
        <w:rPr>
          <w:iCs/>
          <w:sz w:val="22"/>
          <w:szCs w:val="22"/>
          <w:lang w:val="hr-HR"/>
        </w:rPr>
        <w:t>Glivec i paracetamola nisu proučavane.</w:t>
      </w:r>
    </w:p>
    <w:p w14:paraId="182C372D" w14:textId="77777777" w:rsidR="00BE41B8" w:rsidRPr="00510442" w:rsidRDefault="00BE41B8" w:rsidP="00BE41B8">
      <w:pPr>
        <w:pStyle w:val="Text"/>
        <w:widowControl w:val="0"/>
        <w:spacing w:before="0"/>
        <w:jc w:val="left"/>
        <w:rPr>
          <w:color w:val="000000"/>
          <w:sz w:val="22"/>
          <w:szCs w:val="22"/>
          <w:lang w:val="hr-HR"/>
        </w:rPr>
      </w:pPr>
    </w:p>
    <w:p w14:paraId="734D7DE7" w14:textId="6D73776D" w:rsidR="00BE41B8" w:rsidRPr="00510442" w:rsidRDefault="00BE41B8" w:rsidP="00BE41B8">
      <w:pPr>
        <w:pStyle w:val="Text"/>
        <w:widowControl w:val="0"/>
        <w:spacing w:before="0"/>
        <w:jc w:val="left"/>
        <w:rPr>
          <w:color w:val="000000"/>
          <w:sz w:val="22"/>
          <w:szCs w:val="22"/>
          <w:lang w:val="hr-HR"/>
        </w:rPr>
      </w:pPr>
      <w:r w:rsidRPr="00510442">
        <w:rPr>
          <w:sz w:val="22"/>
          <w:szCs w:val="22"/>
          <w:lang w:val="hr-HR"/>
        </w:rPr>
        <w:t xml:space="preserve">Stoga je potreban oprez prilikom istodobne primjene visokih doza </w:t>
      </w:r>
      <w:r w:rsidR="004007D1" w:rsidRPr="00512481">
        <w:rPr>
          <w:sz w:val="22"/>
          <w:szCs w:val="22"/>
          <w:lang w:val="hr-HR"/>
        </w:rPr>
        <w:t xml:space="preserve">lijeka </w:t>
      </w:r>
      <w:r w:rsidRPr="00510442">
        <w:rPr>
          <w:sz w:val="22"/>
          <w:szCs w:val="22"/>
          <w:lang w:val="hr-HR"/>
        </w:rPr>
        <w:t>Glivec i paracetamola</w:t>
      </w:r>
      <w:r w:rsidRPr="00510442">
        <w:rPr>
          <w:color w:val="000000"/>
          <w:sz w:val="22"/>
          <w:szCs w:val="22"/>
          <w:lang w:val="hr-HR"/>
        </w:rPr>
        <w:t>.</w:t>
      </w:r>
    </w:p>
    <w:p w14:paraId="7EE40ED6" w14:textId="77777777" w:rsidR="00BE41B8" w:rsidRPr="00510442" w:rsidRDefault="00BE41B8" w:rsidP="00BE41B8">
      <w:pPr>
        <w:pStyle w:val="EndnoteText"/>
        <w:widowControl w:val="0"/>
        <w:tabs>
          <w:tab w:val="clear" w:pos="567"/>
        </w:tabs>
        <w:rPr>
          <w:color w:val="000000"/>
          <w:szCs w:val="22"/>
          <w:lang w:val="hr-HR"/>
        </w:rPr>
      </w:pPr>
    </w:p>
    <w:p w14:paraId="0E1A14C4" w14:textId="77777777" w:rsidR="00BE41B8" w:rsidRPr="00510442" w:rsidRDefault="00BE41B8" w:rsidP="00BE41B8">
      <w:pPr>
        <w:spacing w:line="240" w:lineRule="auto"/>
        <w:rPr>
          <w:color w:val="000000"/>
          <w:szCs w:val="22"/>
          <w:lang w:val="hr-HR"/>
        </w:rPr>
      </w:pPr>
      <w:r w:rsidRPr="00510442">
        <w:rPr>
          <w:szCs w:val="22"/>
          <w:lang w:val="hr-HR"/>
        </w:rPr>
        <w:t>U bolesnika u kojih je obavljena tireoidektomija i koji primaju levotiroksin, izloženost levotiroksinu u plazmi može biti smanjena, kada se Glivec istodobno primjenjuje (vidjeti dio 4.4). Stoga se preporučuje oprez. Međutim, mehanizam uočene interakcije trenutno nije poznat.</w:t>
      </w:r>
    </w:p>
    <w:p w14:paraId="199B61C5" w14:textId="77777777" w:rsidR="00BE41B8" w:rsidRPr="00510442" w:rsidRDefault="00BE41B8" w:rsidP="00BE41B8">
      <w:pPr>
        <w:pStyle w:val="EndnoteText"/>
        <w:widowControl w:val="0"/>
        <w:tabs>
          <w:tab w:val="clear" w:pos="567"/>
        </w:tabs>
        <w:rPr>
          <w:color w:val="000000"/>
          <w:szCs w:val="22"/>
          <w:lang w:val="hr-HR"/>
        </w:rPr>
      </w:pPr>
    </w:p>
    <w:p w14:paraId="79028FBD" w14:textId="4355D3F7" w:rsidR="00BE41B8" w:rsidRPr="00510442" w:rsidRDefault="00BE41B8" w:rsidP="00BE41B8">
      <w:pPr>
        <w:pStyle w:val="EndnoteText"/>
        <w:widowControl w:val="0"/>
        <w:tabs>
          <w:tab w:val="clear" w:pos="567"/>
        </w:tabs>
        <w:rPr>
          <w:color w:val="000000"/>
          <w:szCs w:val="22"/>
          <w:lang w:val="hr-HR"/>
        </w:rPr>
      </w:pPr>
      <w:r w:rsidRPr="00510442">
        <w:rPr>
          <w:szCs w:val="22"/>
          <w:lang w:val="hr-HR"/>
        </w:rPr>
        <w:t xml:space="preserve">U Ph+ ALL bolesnika postoji kliničko iskustvo istodobne primjene </w:t>
      </w:r>
      <w:r w:rsidR="004007D1" w:rsidRPr="00512481">
        <w:rPr>
          <w:szCs w:val="22"/>
          <w:lang w:val="hr-HR"/>
        </w:rPr>
        <w:t xml:space="preserve">lijeka </w:t>
      </w:r>
      <w:r w:rsidRPr="00510442">
        <w:rPr>
          <w:szCs w:val="22"/>
          <w:lang w:val="hr-HR"/>
        </w:rPr>
        <w:t xml:space="preserve">Glivec s kemoterapijom (vidjeti dio 5.1), no lijek-lijek interakcije između imatiniba i režima kemoterapije nisu dobro karakterizirane. Nuspojave imatiniba, npr. hepatotoksičnost, mijelosupresija ili drugo, mogu se pojačati te je zabilježeno da istodobna primjena s L-asparaginazom može biti povezana s povećanom hepatotoksičnošću (vidjeti dio 4.8). Stoga primjena </w:t>
      </w:r>
      <w:r w:rsidR="004007D1" w:rsidRPr="00512481">
        <w:rPr>
          <w:szCs w:val="22"/>
          <w:lang w:val="hr-HR"/>
        </w:rPr>
        <w:t xml:space="preserve">lijeka </w:t>
      </w:r>
      <w:r w:rsidRPr="00510442">
        <w:rPr>
          <w:szCs w:val="22"/>
          <w:lang w:val="hr-HR"/>
        </w:rPr>
        <w:t>Glivec u kombinaciji zahtijeva posebne mjere opreza.</w:t>
      </w:r>
    </w:p>
    <w:p w14:paraId="7251494E" w14:textId="77777777" w:rsidR="00BE41B8" w:rsidRPr="00510442" w:rsidRDefault="00BE41B8" w:rsidP="00BE41B8">
      <w:pPr>
        <w:pStyle w:val="EndnoteText"/>
        <w:widowControl w:val="0"/>
        <w:tabs>
          <w:tab w:val="clear" w:pos="567"/>
        </w:tabs>
        <w:rPr>
          <w:color w:val="000000"/>
          <w:szCs w:val="22"/>
          <w:lang w:val="hr-HR"/>
        </w:rPr>
      </w:pPr>
    </w:p>
    <w:p w14:paraId="33763B16" w14:textId="77777777" w:rsidR="00BE41B8" w:rsidRPr="00510442" w:rsidRDefault="00BE41B8" w:rsidP="003179A4">
      <w:pPr>
        <w:keepNext/>
        <w:tabs>
          <w:tab w:val="clear" w:pos="567"/>
        </w:tabs>
        <w:spacing w:line="240" w:lineRule="auto"/>
        <w:ind w:left="567" w:hanging="567"/>
        <w:outlineLvl w:val="0"/>
        <w:rPr>
          <w:b/>
          <w:szCs w:val="22"/>
          <w:lang w:val="hr-HR"/>
        </w:rPr>
      </w:pPr>
      <w:r w:rsidRPr="00510442">
        <w:rPr>
          <w:b/>
          <w:szCs w:val="22"/>
          <w:lang w:val="hr-HR"/>
        </w:rPr>
        <w:t>4.6</w:t>
      </w:r>
      <w:r w:rsidRPr="00510442">
        <w:rPr>
          <w:b/>
          <w:szCs w:val="22"/>
          <w:lang w:val="hr-HR"/>
        </w:rPr>
        <w:tab/>
        <w:t>Plodnost, trudnoća i dojenje</w:t>
      </w:r>
    </w:p>
    <w:p w14:paraId="59C5774F" w14:textId="77777777" w:rsidR="00BE41B8" w:rsidRPr="00510442" w:rsidRDefault="00BE41B8" w:rsidP="003179A4">
      <w:pPr>
        <w:pStyle w:val="EndnoteText"/>
        <w:keepNext/>
        <w:widowControl w:val="0"/>
        <w:rPr>
          <w:color w:val="000000"/>
          <w:szCs w:val="22"/>
          <w:u w:val="single"/>
          <w:lang w:val="hr-HR"/>
        </w:rPr>
      </w:pPr>
    </w:p>
    <w:p w14:paraId="077EF402" w14:textId="77777777" w:rsidR="00BE41B8" w:rsidRPr="00510442" w:rsidRDefault="00BE41B8" w:rsidP="003179A4">
      <w:pPr>
        <w:pStyle w:val="EndnoteText"/>
        <w:keepNext/>
        <w:widowControl w:val="0"/>
        <w:rPr>
          <w:color w:val="000000"/>
          <w:szCs w:val="22"/>
          <w:u w:val="single"/>
          <w:lang w:val="hr-HR"/>
        </w:rPr>
      </w:pPr>
      <w:r w:rsidRPr="00510442">
        <w:rPr>
          <w:color w:val="000000"/>
          <w:szCs w:val="22"/>
          <w:u w:val="single"/>
          <w:lang w:val="hr-HR"/>
        </w:rPr>
        <w:t>Žene reproduktivne dobi</w:t>
      </w:r>
    </w:p>
    <w:p w14:paraId="2C63B031" w14:textId="2F31D7A3" w:rsidR="00BE41B8" w:rsidRPr="00510442" w:rsidRDefault="00BE41B8" w:rsidP="00BE41B8">
      <w:pPr>
        <w:pStyle w:val="EndnoteText"/>
        <w:widowControl w:val="0"/>
        <w:rPr>
          <w:color w:val="000000"/>
          <w:szCs w:val="22"/>
          <w:lang w:val="hr-HR"/>
        </w:rPr>
      </w:pPr>
      <w:r w:rsidRPr="00510442">
        <w:rPr>
          <w:color w:val="000000"/>
          <w:szCs w:val="22"/>
          <w:lang w:val="hr-HR"/>
        </w:rPr>
        <w:t xml:space="preserve">Žene </w:t>
      </w:r>
      <w:r w:rsidR="0037744A" w:rsidRPr="00510442">
        <w:rPr>
          <w:color w:val="000000"/>
          <w:szCs w:val="22"/>
          <w:lang w:val="hr-HR"/>
        </w:rPr>
        <w:t xml:space="preserve">reproduktivne </w:t>
      </w:r>
      <w:r w:rsidRPr="00F410C8">
        <w:rPr>
          <w:color w:val="000000"/>
          <w:szCs w:val="22"/>
          <w:lang w:val="hr-HR"/>
        </w:rPr>
        <w:t xml:space="preserve">dobi treba savjetovati da koriste </w:t>
      </w:r>
      <w:r w:rsidRPr="00F410C8">
        <w:rPr>
          <w:szCs w:val="22"/>
          <w:lang w:val="hr-HR"/>
        </w:rPr>
        <w:t>učinkovitu kontracepciju</w:t>
      </w:r>
      <w:r w:rsidRPr="00F410C8">
        <w:rPr>
          <w:color w:val="000000"/>
          <w:szCs w:val="22"/>
          <w:lang w:val="hr-HR"/>
        </w:rPr>
        <w:t xml:space="preserve"> </w:t>
      </w:r>
      <w:r w:rsidRPr="00F410C8">
        <w:rPr>
          <w:szCs w:val="22"/>
          <w:lang w:val="hr-HR"/>
        </w:rPr>
        <w:t>tijekom liječenja</w:t>
      </w:r>
      <w:r w:rsidR="004233A7" w:rsidRPr="00F410C8">
        <w:rPr>
          <w:szCs w:val="22"/>
          <w:lang w:val="hr-HR"/>
        </w:rPr>
        <w:t xml:space="preserve"> i </w:t>
      </w:r>
      <w:r w:rsidR="00CF29C4" w:rsidRPr="00F410C8">
        <w:rPr>
          <w:szCs w:val="22"/>
          <w:lang w:val="hr-HR"/>
        </w:rPr>
        <w:t xml:space="preserve">u razdoblju od </w:t>
      </w:r>
      <w:r w:rsidR="004233A7" w:rsidRPr="00F410C8">
        <w:rPr>
          <w:szCs w:val="22"/>
          <w:lang w:val="hr-HR"/>
        </w:rPr>
        <w:t>najmanje 15 dana</w:t>
      </w:r>
      <w:r w:rsidR="004233A7">
        <w:rPr>
          <w:szCs w:val="22"/>
          <w:lang w:val="hr-HR"/>
        </w:rPr>
        <w:t xml:space="preserve"> nakon prestanka liječenja </w:t>
      </w:r>
      <w:r w:rsidR="00B27A2B">
        <w:rPr>
          <w:szCs w:val="22"/>
          <w:lang w:val="hr-HR"/>
        </w:rPr>
        <w:t xml:space="preserve">lijekom </w:t>
      </w:r>
      <w:r w:rsidR="004233A7">
        <w:rPr>
          <w:szCs w:val="22"/>
          <w:lang w:val="hr-HR"/>
        </w:rPr>
        <w:t>Glivec</w:t>
      </w:r>
      <w:r w:rsidRPr="00510442">
        <w:rPr>
          <w:color w:val="000000"/>
          <w:szCs w:val="22"/>
          <w:lang w:val="hr-HR"/>
        </w:rPr>
        <w:t>.</w:t>
      </w:r>
    </w:p>
    <w:p w14:paraId="076B1BE0" w14:textId="77777777" w:rsidR="00BE41B8" w:rsidRPr="00510442" w:rsidRDefault="00BE41B8" w:rsidP="00BE41B8">
      <w:pPr>
        <w:pStyle w:val="EndnoteText"/>
        <w:widowControl w:val="0"/>
        <w:rPr>
          <w:color w:val="000000"/>
          <w:szCs w:val="22"/>
          <w:lang w:val="hr-HR"/>
        </w:rPr>
      </w:pPr>
    </w:p>
    <w:p w14:paraId="33190C36" w14:textId="77777777" w:rsidR="00BE41B8" w:rsidRPr="00510442" w:rsidRDefault="00BE41B8" w:rsidP="003179A4">
      <w:pPr>
        <w:pStyle w:val="EndnoteText"/>
        <w:keepNext/>
        <w:widowControl w:val="0"/>
        <w:rPr>
          <w:color w:val="000000"/>
          <w:szCs w:val="22"/>
          <w:u w:val="single"/>
          <w:lang w:val="hr-HR"/>
        </w:rPr>
      </w:pPr>
      <w:r w:rsidRPr="00510442">
        <w:rPr>
          <w:szCs w:val="22"/>
          <w:u w:val="single"/>
          <w:lang w:val="hr-HR"/>
        </w:rPr>
        <w:lastRenderedPageBreak/>
        <w:t>Trudnoća</w:t>
      </w:r>
    </w:p>
    <w:p w14:paraId="62F6310E" w14:textId="77777777" w:rsidR="00BE41B8" w:rsidRPr="00510442" w:rsidRDefault="00BE41B8" w:rsidP="00BE41B8">
      <w:pPr>
        <w:pStyle w:val="EndnoteText"/>
        <w:widowControl w:val="0"/>
        <w:rPr>
          <w:color w:val="000000"/>
          <w:szCs w:val="22"/>
          <w:lang w:val="hr-HR"/>
        </w:rPr>
      </w:pPr>
      <w:r w:rsidRPr="00510442">
        <w:rPr>
          <w:color w:val="000000"/>
          <w:szCs w:val="22"/>
          <w:lang w:val="hr-HR"/>
        </w:rPr>
        <w:t xml:space="preserve">Podaci o primjeni imatiniba u trudnica su ograničeni. </w:t>
      </w:r>
      <w:r w:rsidR="005271CB" w:rsidRPr="00510442">
        <w:rPr>
          <w:color w:val="000000"/>
          <w:szCs w:val="22"/>
          <w:lang w:val="hr-HR"/>
        </w:rPr>
        <w:t xml:space="preserve">Postoje post-marketinška izvješća o spontanim pobačajima i dojenčadi s kongenitalnim anomalijama u žena koje su uzimale Glivec. </w:t>
      </w:r>
      <w:r w:rsidRPr="00510442">
        <w:rPr>
          <w:color w:val="000000"/>
          <w:szCs w:val="22"/>
          <w:lang w:val="hr-HR"/>
        </w:rPr>
        <w:t xml:space="preserve">No, ispitivanja na životinjama pokazala su reproduktivnu toksičnost (vidjeti dio 5.3), dok potencijalni rizik za fetus nije poznat. </w:t>
      </w:r>
      <w:r w:rsidRPr="00510442">
        <w:rPr>
          <w:szCs w:val="22"/>
          <w:lang w:val="hr-HR"/>
        </w:rPr>
        <w:t>Glivec se ne smije primjenjivati u trudnoći osim ako njegova primjena nije izrazito neophodna</w:t>
      </w:r>
      <w:r w:rsidRPr="00510442">
        <w:rPr>
          <w:color w:val="000000"/>
          <w:szCs w:val="22"/>
          <w:lang w:val="hr-HR"/>
        </w:rPr>
        <w:t xml:space="preserve">. </w:t>
      </w:r>
      <w:r w:rsidRPr="00510442">
        <w:rPr>
          <w:szCs w:val="22"/>
          <w:lang w:val="hr-HR"/>
        </w:rPr>
        <w:t>Ako se primjenjuje tijekom trudnoće, bolesnica mora biti informirana o potencijalnom riziku za fetus</w:t>
      </w:r>
      <w:r w:rsidRPr="00510442">
        <w:rPr>
          <w:color w:val="000000"/>
          <w:szCs w:val="22"/>
          <w:lang w:val="hr-HR"/>
        </w:rPr>
        <w:t>.</w:t>
      </w:r>
    </w:p>
    <w:p w14:paraId="19C4E431" w14:textId="77777777" w:rsidR="00BE41B8" w:rsidRPr="00510442" w:rsidRDefault="00BE41B8" w:rsidP="00BE41B8">
      <w:pPr>
        <w:pStyle w:val="EndnoteText"/>
        <w:widowControl w:val="0"/>
        <w:rPr>
          <w:color w:val="000000"/>
          <w:szCs w:val="22"/>
          <w:lang w:val="hr-HR"/>
        </w:rPr>
      </w:pPr>
    </w:p>
    <w:p w14:paraId="3172FA2D" w14:textId="77777777" w:rsidR="00BE41B8" w:rsidRPr="00510442" w:rsidRDefault="00BE41B8" w:rsidP="003179A4">
      <w:pPr>
        <w:pStyle w:val="EndnoteText"/>
        <w:keepNext/>
        <w:widowControl w:val="0"/>
        <w:rPr>
          <w:color w:val="000000"/>
          <w:szCs w:val="22"/>
          <w:u w:val="single"/>
          <w:lang w:val="hr-HR"/>
        </w:rPr>
      </w:pPr>
      <w:r w:rsidRPr="00510442">
        <w:rPr>
          <w:szCs w:val="22"/>
          <w:u w:val="single"/>
          <w:lang w:val="hr-HR"/>
        </w:rPr>
        <w:t>Dojenje</w:t>
      </w:r>
    </w:p>
    <w:p w14:paraId="22F46A0A" w14:textId="4EB180E6" w:rsidR="00BE41B8" w:rsidRPr="00F410C8" w:rsidRDefault="00BE41B8" w:rsidP="00BE41B8">
      <w:pPr>
        <w:pStyle w:val="EndnoteText"/>
        <w:widowControl w:val="0"/>
        <w:rPr>
          <w:color w:val="000000"/>
          <w:szCs w:val="22"/>
          <w:lang w:val="hr-HR"/>
        </w:rPr>
      </w:pPr>
      <w:r w:rsidRPr="00510442">
        <w:rPr>
          <w:szCs w:val="22"/>
          <w:lang w:val="hr-HR"/>
        </w:rPr>
        <w:t xml:space="preserve">Postoje ograničene informacije o distribuciji imatiniba u majčino mlijeko. Ispitivanja u dvije dojilje su otkrila da se i imatinib i njegov djelatni metabolit mogu distribuirati u majčino mlijeko. Omjer koncentracije u mlijeku i plazmi ispitivan u jedne bolesnice bio je 0,5 za imatinib i 0,9 za metabolit, što ukazuje na veću raspodjelu metabolita u mlijeko. Uzimajući u </w:t>
      </w:r>
      <w:r w:rsidRPr="00F410C8">
        <w:rPr>
          <w:szCs w:val="22"/>
          <w:lang w:val="hr-HR"/>
        </w:rPr>
        <w:t>obzir kombiniranu koncentraciju imatiniba i metabolita i maksimalni dnevni unos mlijeka od strane dojenčeta, očekuje se da je ukupna izloženost niska (~10% terapijske doze). Međutim, budući da učinci izloženosti niskim dozama imatiniba u dojenčadi nisu poznati, žene ne smiju dojiti</w:t>
      </w:r>
      <w:r w:rsidR="004233A7" w:rsidRPr="00F410C8">
        <w:rPr>
          <w:szCs w:val="22"/>
          <w:lang w:val="hr-HR"/>
        </w:rPr>
        <w:t xml:space="preserve"> tijekom liječenja i </w:t>
      </w:r>
      <w:r w:rsidR="00CF29C4" w:rsidRPr="00F410C8">
        <w:rPr>
          <w:szCs w:val="22"/>
          <w:lang w:val="hr-HR"/>
        </w:rPr>
        <w:t xml:space="preserve">u razdoblju od </w:t>
      </w:r>
      <w:r w:rsidR="004233A7" w:rsidRPr="00F410C8">
        <w:rPr>
          <w:szCs w:val="22"/>
          <w:lang w:val="hr-HR"/>
        </w:rPr>
        <w:t xml:space="preserve">najmanje 15 dana nakon prestanka liječenja </w:t>
      </w:r>
      <w:r w:rsidR="00B27A2B" w:rsidRPr="00F410C8">
        <w:rPr>
          <w:szCs w:val="22"/>
          <w:lang w:val="hr-HR"/>
        </w:rPr>
        <w:t xml:space="preserve">lijekom </w:t>
      </w:r>
      <w:r w:rsidR="004233A7" w:rsidRPr="00F410C8">
        <w:rPr>
          <w:szCs w:val="22"/>
          <w:lang w:val="hr-HR"/>
        </w:rPr>
        <w:t>Glivec</w:t>
      </w:r>
      <w:r w:rsidRPr="00F410C8">
        <w:rPr>
          <w:szCs w:val="22"/>
          <w:lang w:val="hr-HR"/>
        </w:rPr>
        <w:t>.</w:t>
      </w:r>
    </w:p>
    <w:p w14:paraId="1594C55F" w14:textId="77777777" w:rsidR="00BE41B8" w:rsidRPr="00F410C8" w:rsidRDefault="00BE41B8" w:rsidP="00BE41B8">
      <w:pPr>
        <w:pStyle w:val="EndnoteText"/>
        <w:widowControl w:val="0"/>
        <w:rPr>
          <w:color w:val="000000"/>
          <w:szCs w:val="22"/>
          <w:lang w:val="hr-HR"/>
        </w:rPr>
      </w:pPr>
    </w:p>
    <w:p w14:paraId="076488C9" w14:textId="77777777" w:rsidR="00BE41B8" w:rsidRPr="00F410C8" w:rsidRDefault="00BE41B8" w:rsidP="003179A4">
      <w:pPr>
        <w:pStyle w:val="EndnoteText"/>
        <w:keepNext/>
        <w:widowControl w:val="0"/>
        <w:rPr>
          <w:color w:val="000000"/>
          <w:szCs w:val="22"/>
          <w:u w:val="single"/>
          <w:lang w:val="hr-HR"/>
        </w:rPr>
      </w:pPr>
      <w:r w:rsidRPr="00F410C8">
        <w:rPr>
          <w:szCs w:val="22"/>
          <w:u w:val="single"/>
          <w:lang w:val="hr-HR"/>
        </w:rPr>
        <w:t>Plodnost</w:t>
      </w:r>
    </w:p>
    <w:p w14:paraId="36E02E22" w14:textId="58FBA129" w:rsidR="00BE41B8" w:rsidRPr="00510442" w:rsidRDefault="00BE41B8" w:rsidP="00BE41B8">
      <w:pPr>
        <w:tabs>
          <w:tab w:val="clear" w:pos="567"/>
        </w:tabs>
        <w:autoSpaceDE w:val="0"/>
        <w:autoSpaceDN w:val="0"/>
        <w:adjustRightInd w:val="0"/>
        <w:spacing w:line="240" w:lineRule="auto"/>
        <w:rPr>
          <w:szCs w:val="22"/>
          <w:lang w:val="hr-HR"/>
        </w:rPr>
      </w:pPr>
      <w:r w:rsidRPr="00F410C8">
        <w:rPr>
          <w:szCs w:val="22"/>
          <w:lang w:val="hr-HR"/>
        </w:rPr>
        <w:t>U nekliničkim ispitivanjima nije bilo utjecaja na plodnost mužjaka i ženki štakora</w:t>
      </w:r>
      <w:r w:rsidR="004233A7" w:rsidRPr="00F410C8">
        <w:rPr>
          <w:szCs w:val="22"/>
          <w:lang w:val="hr-HR"/>
        </w:rPr>
        <w:t>, iako su uočeni učinci na reproduktivne parametre</w:t>
      </w:r>
      <w:r w:rsidRPr="00F410C8">
        <w:rPr>
          <w:szCs w:val="22"/>
          <w:lang w:val="hr-HR"/>
        </w:rPr>
        <w:t xml:space="preserve"> (vidjeti dio 5.3).</w:t>
      </w:r>
      <w:r w:rsidRPr="00F410C8">
        <w:rPr>
          <w:color w:val="000000"/>
          <w:szCs w:val="22"/>
          <w:lang w:val="hr-HR"/>
        </w:rPr>
        <w:t xml:space="preserve"> Nisu provedena ispitivanja na bolesnicima koji primaju Glivec o njegovom učinku na plodnost i gametogenez</w:t>
      </w:r>
      <w:r w:rsidRPr="00510442">
        <w:rPr>
          <w:color w:val="000000"/>
          <w:szCs w:val="22"/>
          <w:lang w:val="hr-HR"/>
        </w:rPr>
        <w:t>u</w:t>
      </w:r>
      <w:r w:rsidRPr="00510442">
        <w:rPr>
          <w:szCs w:val="22"/>
          <w:lang w:val="hr-HR"/>
        </w:rPr>
        <w:t xml:space="preserve">. Bolesnici zabrinuti radi svoje plodnosti tijekom liječenja </w:t>
      </w:r>
      <w:r w:rsidR="00B27A2B">
        <w:rPr>
          <w:szCs w:val="22"/>
          <w:lang w:val="hr-HR"/>
        </w:rPr>
        <w:t xml:space="preserve">lijekom </w:t>
      </w:r>
      <w:r w:rsidRPr="00510442">
        <w:rPr>
          <w:szCs w:val="22"/>
          <w:lang w:val="hr-HR"/>
        </w:rPr>
        <w:t>Glivec moraju se posavjetovati sa svojim liječnikom.</w:t>
      </w:r>
    </w:p>
    <w:p w14:paraId="5156A126" w14:textId="77777777" w:rsidR="00BE41B8" w:rsidRPr="00510442" w:rsidRDefault="00BE41B8" w:rsidP="00BE41B8">
      <w:pPr>
        <w:pStyle w:val="EndnoteText"/>
        <w:widowControl w:val="0"/>
        <w:rPr>
          <w:color w:val="000000"/>
          <w:szCs w:val="22"/>
          <w:lang w:val="hr-HR"/>
        </w:rPr>
      </w:pPr>
    </w:p>
    <w:p w14:paraId="0370FDA2" w14:textId="77777777" w:rsidR="00BE41B8" w:rsidRPr="00510442" w:rsidRDefault="00BE41B8" w:rsidP="003179A4">
      <w:pPr>
        <w:keepNext/>
        <w:tabs>
          <w:tab w:val="clear" w:pos="567"/>
        </w:tabs>
        <w:spacing w:line="240" w:lineRule="auto"/>
        <w:ind w:left="567" w:hanging="567"/>
        <w:outlineLvl w:val="0"/>
        <w:rPr>
          <w:szCs w:val="22"/>
          <w:lang w:val="hr-HR"/>
        </w:rPr>
      </w:pPr>
      <w:r w:rsidRPr="00510442">
        <w:rPr>
          <w:b/>
          <w:szCs w:val="22"/>
          <w:lang w:val="hr-HR"/>
        </w:rPr>
        <w:t>4.7</w:t>
      </w:r>
      <w:r w:rsidRPr="00510442">
        <w:rPr>
          <w:b/>
          <w:szCs w:val="22"/>
          <w:lang w:val="hr-HR"/>
        </w:rPr>
        <w:tab/>
        <w:t>Utjecaj na sposobnost upravljanja vozilima i rada sa strojevima</w:t>
      </w:r>
    </w:p>
    <w:p w14:paraId="20BEE6A0" w14:textId="77777777" w:rsidR="00BE41B8" w:rsidRPr="00510442" w:rsidRDefault="00BE41B8" w:rsidP="003179A4">
      <w:pPr>
        <w:pStyle w:val="EndnoteText"/>
        <w:keepNext/>
        <w:widowControl w:val="0"/>
        <w:tabs>
          <w:tab w:val="clear" w:pos="567"/>
        </w:tabs>
        <w:rPr>
          <w:color w:val="000000"/>
          <w:szCs w:val="22"/>
          <w:lang w:val="hr-HR"/>
        </w:rPr>
      </w:pPr>
    </w:p>
    <w:p w14:paraId="56A2597F" w14:textId="77777777" w:rsidR="00BE41B8" w:rsidRPr="00510442" w:rsidRDefault="00BE41B8" w:rsidP="00BE41B8">
      <w:pPr>
        <w:pStyle w:val="EndnoteText"/>
        <w:widowControl w:val="0"/>
        <w:tabs>
          <w:tab w:val="clear" w:pos="567"/>
        </w:tabs>
        <w:rPr>
          <w:snapToGrid w:val="0"/>
          <w:color w:val="000000"/>
          <w:szCs w:val="22"/>
          <w:lang w:val="hr-HR"/>
        </w:rPr>
      </w:pPr>
      <w:r w:rsidRPr="00510442">
        <w:rPr>
          <w:snapToGrid w:val="0"/>
          <w:color w:val="000000"/>
          <w:szCs w:val="22"/>
          <w:lang w:val="hr-HR"/>
        </w:rPr>
        <w:t xml:space="preserve">Bolesnike treba obavijestiti </w:t>
      </w:r>
      <w:r w:rsidRPr="00510442">
        <w:rPr>
          <w:szCs w:val="22"/>
          <w:lang w:val="hr-HR"/>
        </w:rPr>
        <w:t xml:space="preserve">o postojanju mogućnosti </w:t>
      </w:r>
      <w:r w:rsidRPr="00510442">
        <w:rPr>
          <w:snapToGrid w:val="0"/>
          <w:color w:val="000000"/>
          <w:szCs w:val="22"/>
          <w:lang w:val="hr-HR"/>
        </w:rPr>
        <w:t xml:space="preserve">da tijekom liječenja imatinibom nastupe nuspojave poput omaglice, zamagljenog vida ili somnolencije. </w:t>
      </w:r>
      <w:r w:rsidRPr="00510442">
        <w:rPr>
          <w:szCs w:val="22"/>
          <w:lang w:val="hr-HR"/>
        </w:rPr>
        <w:t xml:space="preserve">Stoga se preporučuje oprez pri upravljanju vozilima ili radu </w:t>
      </w:r>
      <w:r w:rsidR="00605885" w:rsidRPr="00510442">
        <w:rPr>
          <w:szCs w:val="22"/>
          <w:lang w:val="hr-HR"/>
        </w:rPr>
        <w:t>s</w:t>
      </w:r>
      <w:r w:rsidRPr="00510442">
        <w:rPr>
          <w:szCs w:val="22"/>
          <w:lang w:val="hr-HR"/>
        </w:rPr>
        <w:t>a strojevima.</w:t>
      </w:r>
    </w:p>
    <w:p w14:paraId="2D504105" w14:textId="77777777" w:rsidR="00BE41B8" w:rsidRPr="00510442" w:rsidRDefault="00BE41B8" w:rsidP="00BE41B8">
      <w:pPr>
        <w:pStyle w:val="EndnoteText"/>
        <w:widowControl w:val="0"/>
        <w:tabs>
          <w:tab w:val="clear" w:pos="567"/>
        </w:tabs>
        <w:rPr>
          <w:color w:val="000000"/>
          <w:szCs w:val="22"/>
          <w:lang w:val="hr-HR"/>
        </w:rPr>
      </w:pPr>
    </w:p>
    <w:p w14:paraId="7ADB1529" w14:textId="77777777" w:rsidR="00BE41B8" w:rsidRPr="00510442" w:rsidRDefault="00BE41B8" w:rsidP="003179A4">
      <w:pPr>
        <w:keepNext/>
        <w:tabs>
          <w:tab w:val="clear" w:pos="567"/>
        </w:tabs>
        <w:spacing w:line="240" w:lineRule="auto"/>
        <w:ind w:left="567" w:hanging="567"/>
        <w:outlineLvl w:val="0"/>
        <w:rPr>
          <w:b/>
          <w:szCs w:val="22"/>
          <w:lang w:val="hr-HR"/>
        </w:rPr>
      </w:pPr>
      <w:r w:rsidRPr="00510442">
        <w:rPr>
          <w:b/>
          <w:szCs w:val="22"/>
          <w:lang w:val="hr-HR"/>
        </w:rPr>
        <w:t>4.8</w:t>
      </w:r>
      <w:r w:rsidRPr="00510442">
        <w:rPr>
          <w:b/>
          <w:szCs w:val="22"/>
          <w:lang w:val="hr-HR"/>
        </w:rPr>
        <w:tab/>
        <w:t>Nuspojave</w:t>
      </w:r>
    </w:p>
    <w:p w14:paraId="41C7B683" w14:textId="77777777" w:rsidR="00BE41B8" w:rsidRPr="00510442" w:rsidRDefault="00BE41B8" w:rsidP="003179A4">
      <w:pPr>
        <w:keepNext/>
        <w:widowControl w:val="0"/>
        <w:tabs>
          <w:tab w:val="clear" w:pos="567"/>
        </w:tabs>
        <w:spacing w:line="240" w:lineRule="auto"/>
        <w:rPr>
          <w:color w:val="000000"/>
          <w:szCs w:val="22"/>
          <w:lang w:val="hr-HR"/>
        </w:rPr>
      </w:pPr>
    </w:p>
    <w:p w14:paraId="25B199BB" w14:textId="77777777" w:rsidR="00BE41B8" w:rsidRPr="00510442" w:rsidRDefault="00BE41B8" w:rsidP="00BE41B8">
      <w:pPr>
        <w:pStyle w:val="Text"/>
        <w:widowControl w:val="0"/>
        <w:spacing w:before="0"/>
        <w:jc w:val="left"/>
        <w:rPr>
          <w:color w:val="000000"/>
          <w:sz w:val="22"/>
          <w:szCs w:val="22"/>
          <w:lang w:val="hr-HR"/>
        </w:rPr>
      </w:pPr>
      <w:r w:rsidRPr="00510442">
        <w:rPr>
          <w:sz w:val="22"/>
          <w:szCs w:val="22"/>
          <w:lang w:val="hr-HR"/>
        </w:rPr>
        <w:t>Bolesnici s uznapredovalim stadijima zloćudnih bolesti mogu imati brojna zbunjujuća medicinska stanja koja otežavaju utvrđivanje uzročnosti nuspojava zbog niza simptoma vezanih za osnovnu bolest, njezinu progresiju te istodobnu primjenu mnogobrojnih lijekova.</w:t>
      </w:r>
    </w:p>
    <w:p w14:paraId="2963621E" w14:textId="77777777" w:rsidR="00BE41B8" w:rsidRPr="00510442" w:rsidRDefault="00BE41B8" w:rsidP="00BE41B8">
      <w:pPr>
        <w:pStyle w:val="Text"/>
        <w:widowControl w:val="0"/>
        <w:spacing w:before="0"/>
        <w:jc w:val="left"/>
        <w:rPr>
          <w:color w:val="000000"/>
          <w:sz w:val="22"/>
          <w:szCs w:val="22"/>
          <w:lang w:val="hr-HR"/>
        </w:rPr>
      </w:pPr>
    </w:p>
    <w:p w14:paraId="64B7E1CD" w14:textId="77777777" w:rsidR="00BE41B8" w:rsidRPr="00510442" w:rsidRDefault="00BE41B8" w:rsidP="00BE41B8">
      <w:pPr>
        <w:pStyle w:val="Text"/>
        <w:widowControl w:val="0"/>
        <w:spacing w:before="0"/>
        <w:jc w:val="left"/>
        <w:rPr>
          <w:color w:val="000000"/>
          <w:sz w:val="22"/>
          <w:szCs w:val="22"/>
          <w:lang w:val="hr-HR"/>
        </w:rPr>
      </w:pPr>
      <w:r w:rsidRPr="00510442">
        <w:rPr>
          <w:sz w:val="22"/>
          <w:szCs w:val="22"/>
          <w:lang w:val="hr-HR"/>
        </w:rPr>
        <w:t>U kliničkim ispitivanjima KML-a je ukidanje lijeka zbog nuspojava povezanih s njegovom primjenom zapaženo u</w:t>
      </w:r>
      <w:r w:rsidRPr="00510442">
        <w:rPr>
          <w:color w:val="000000"/>
          <w:sz w:val="22"/>
          <w:szCs w:val="22"/>
          <w:lang w:val="hr-HR"/>
        </w:rPr>
        <w:t xml:space="preserve"> 2,4% </w:t>
      </w:r>
      <w:r w:rsidRPr="00510442">
        <w:rPr>
          <w:sz w:val="22"/>
          <w:szCs w:val="22"/>
          <w:lang w:val="hr-HR"/>
        </w:rPr>
        <w:t>novodijagnosticiranih bolesnika</w:t>
      </w:r>
      <w:r w:rsidRPr="00510442">
        <w:rPr>
          <w:color w:val="000000"/>
          <w:sz w:val="22"/>
          <w:szCs w:val="22"/>
          <w:lang w:val="hr-HR"/>
        </w:rPr>
        <w:t xml:space="preserve">, 4% </w:t>
      </w:r>
      <w:r w:rsidRPr="00510442">
        <w:rPr>
          <w:sz w:val="22"/>
          <w:szCs w:val="22"/>
          <w:lang w:val="hr-HR"/>
        </w:rPr>
        <w:t>bolesnika u kasnoj kroničnoj fazi nakon neuspjeha terapije interferonom</w:t>
      </w:r>
      <w:r w:rsidRPr="00510442">
        <w:rPr>
          <w:color w:val="000000"/>
          <w:sz w:val="22"/>
          <w:szCs w:val="22"/>
          <w:lang w:val="hr-HR"/>
        </w:rPr>
        <w:t xml:space="preserve">, 4% </w:t>
      </w:r>
      <w:r w:rsidRPr="00510442">
        <w:rPr>
          <w:sz w:val="22"/>
          <w:szCs w:val="22"/>
          <w:lang w:val="hr-HR"/>
        </w:rPr>
        <w:t>bolesnika u ubrzanoj fazi nakon neuspjeha terapije interferonom i</w:t>
      </w:r>
      <w:r w:rsidRPr="00510442">
        <w:rPr>
          <w:color w:val="000000"/>
          <w:sz w:val="22"/>
          <w:szCs w:val="22"/>
          <w:lang w:val="hr-HR"/>
        </w:rPr>
        <w:t xml:space="preserve"> 5% </w:t>
      </w:r>
      <w:r w:rsidRPr="00510442">
        <w:rPr>
          <w:sz w:val="22"/>
          <w:szCs w:val="22"/>
          <w:lang w:val="hr-HR"/>
        </w:rPr>
        <w:t xml:space="preserve">bolesnika u blastičnoj krizi nakon neuspjeha terapije interferonom. U ispitivanju GIST-a, primjena ispitivanog lijeka je prekinuta u </w:t>
      </w:r>
      <w:r w:rsidRPr="00510442">
        <w:rPr>
          <w:color w:val="000000"/>
          <w:sz w:val="22"/>
          <w:szCs w:val="22"/>
          <w:lang w:val="hr-HR"/>
        </w:rPr>
        <w:t xml:space="preserve">4% </w:t>
      </w:r>
      <w:r w:rsidRPr="00510442">
        <w:rPr>
          <w:sz w:val="22"/>
          <w:szCs w:val="22"/>
          <w:lang w:val="hr-HR"/>
        </w:rPr>
        <w:t>bolesnika zbog nuspojava povezanih s njegovom primjenom</w:t>
      </w:r>
      <w:r w:rsidRPr="00510442">
        <w:rPr>
          <w:color w:val="000000"/>
          <w:sz w:val="22"/>
          <w:szCs w:val="22"/>
          <w:lang w:val="hr-HR"/>
        </w:rPr>
        <w:t>.</w:t>
      </w:r>
    </w:p>
    <w:p w14:paraId="7D5E6B8E" w14:textId="77777777" w:rsidR="00BE41B8" w:rsidRPr="00510442" w:rsidRDefault="00BE41B8" w:rsidP="00BE41B8">
      <w:pPr>
        <w:pStyle w:val="Text"/>
        <w:widowControl w:val="0"/>
        <w:spacing w:before="0"/>
        <w:jc w:val="left"/>
        <w:rPr>
          <w:color w:val="000000"/>
          <w:sz w:val="22"/>
          <w:szCs w:val="22"/>
          <w:lang w:val="hr-HR"/>
        </w:rPr>
      </w:pPr>
    </w:p>
    <w:p w14:paraId="2A5130FB" w14:textId="486284F3" w:rsidR="00BE41B8" w:rsidRPr="000B51EB" w:rsidRDefault="00BE41B8" w:rsidP="00BE41B8">
      <w:pPr>
        <w:pStyle w:val="Text"/>
        <w:widowControl w:val="0"/>
        <w:spacing w:before="0"/>
        <w:jc w:val="left"/>
        <w:rPr>
          <w:color w:val="000000"/>
          <w:sz w:val="22"/>
          <w:szCs w:val="22"/>
          <w:lang w:val="hr-HR"/>
        </w:rPr>
      </w:pPr>
      <w:r w:rsidRPr="00510442">
        <w:rPr>
          <w:sz w:val="22"/>
          <w:szCs w:val="22"/>
          <w:lang w:val="hr-HR"/>
        </w:rPr>
        <w:t>Kod svih indikacija su nuspojave bile slične, uz dvije iznimke</w:t>
      </w:r>
      <w:r w:rsidRPr="00510442">
        <w:rPr>
          <w:color w:val="000000"/>
          <w:sz w:val="22"/>
          <w:szCs w:val="22"/>
          <w:lang w:val="hr-HR"/>
        </w:rPr>
        <w:t xml:space="preserve">. </w:t>
      </w:r>
      <w:r w:rsidRPr="00510442">
        <w:rPr>
          <w:sz w:val="22"/>
          <w:szCs w:val="22"/>
          <w:lang w:val="hr-HR"/>
        </w:rPr>
        <w:t>U KML bolesnika uočen je veći postotak mijelosupresije, nego u bolesnika s GIST-om, što je vjerojatno uzrokovano osnovnom bolešću. U ispitivanju s bolesnicima s inoperabilnim i/ili metastazirajućim GIST-om, u 7 (5%) bolesnika nastupilo je GI krvarenje CTC stupnja 3/4</w:t>
      </w:r>
      <w:r w:rsidRPr="00510442">
        <w:rPr>
          <w:snapToGrid w:val="0"/>
          <w:color w:val="000000"/>
          <w:sz w:val="22"/>
          <w:szCs w:val="22"/>
          <w:lang w:val="hr-HR"/>
        </w:rPr>
        <w:t xml:space="preserve"> (3 </w:t>
      </w:r>
      <w:r w:rsidRPr="00510442">
        <w:rPr>
          <w:sz w:val="22"/>
          <w:szCs w:val="22"/>
          <w:lang w:val="hr-HR"/>
        </w:rPr>
        <w:t>bolesnika</w:t>
      </w:r>
      <w:r w:rsidRPr="00510442">
        <w:rPr>
          <w:snapToGrid w:val="0"/>
          <w:color w:val="000000"/>
          <w:sz w:val="22"/>
          <w:szCs w:val="22"/>
          <w:lang w:val="hr-HR"/>
        </w:rPr>
        <w:t xml:space="preserve">), </w:t>
      </w:r>
      <w:r w:rsidRPr="00510442">
        <w:rPr>
          <w:sz w:val="22"/>
          <w:szCs w:val="22"/>
          <w:lang w:val="hr-HR"/>
        </w:rPr>
        <w:t xml:space="preserve">intratumorsko krvarenje </w:t>
      </w:r>
      <w:r w:rsidRPr="00510442">
        <w:rPr>
          <w:snapToGrid w:val="0"/>
          <w:color w:val="000000"/>
          <w:sz w:val="22"/>
          <w:szCs w:val="22"/>
          <w:lang w:val="hr-HR"/>
        </w:rPr>
        <w:t>(3 </w:t>
      </w:r>
      <w:r w:rsidRPr="00510442">
        <w:rPr>
          <w:sz w:val="22"/>
          <w:szCs w:val="22"/>
          <w:lang w:val="hr-HR"/>
        </w:rPr>
        <w:t>bolesnika</w:t>
      </w:r>
      <w:r w:rsidRPr="00510442">
        <w:rPr>
          <w:snapToGrid w:val="0"/>
          <w:color w:val="000000"/>
          <w:sz w:val="22"/>
          <w:szCs w:val="22"/>
          <w:lang w:val="hr-HR"/>
        </w:rPr>
        <w:t>) ili oboje (1 bolesnik).</w:t>
      </w:r>
      <w:r w:rsidRPr="00510442">
        <w:rPr>
          <w:sz w:val="22"/>
          <w:szCs w:val="22"/>
          <w:lang w:val="hr-HR"/>
        </w:rPr>
        <w:t xml:space="preserve"> Uzrok GI krvarenja mogle bi biti lokacije GI tumora (vidjeti dio</w:t>
      </w:r>
      <w:r w:rsidRPr="00510442">
        <w:rPr>
          <w:snapToGrid w:val="0"/>
          <w:color w:val="000000"/>
          <w:sz w:val="22"/>
          <w:szCs w:val="22"/>
          <w:lang w:val="hr-HR"/>
        </w:rPr>
        <w:t xml:space="preserve"> 4.4). </w:t>
      </w:r>
      <w:r w:rsidRPr="00510442">
        <w:rPr>
          <w:sz w:val="22"/>
          <w:szCs w:val="22"/>
          <w:lang w:val="hr-HR"/>
        </w:rPr>
        <w:t>Gastrointestinalno i tumorsko krvarenje može biti ozbiljno, a katkada i smrtonosno. Najčešće zabilježene nuspojave</w:t>
      </w:r>
      <w:r w:rsidRPr="00510442">
        <w:rPr>
          <w:color w:val="000000"/>
          <w:sz w:val="22"/>
          <w:szCs w:val="22"/>
          <w:lang w:val="hr-HR"/>
        </w:rPr>
        <w:t xml:space="preserve"> (</w:t>
      </w:r>
      <w:r w:rsidRPr="00307897">
        <w:rPr>
          <w:color w:val="000000"/>
          <w:sz w:val="22"/>
          <w:szCs w:val="22"/>
          <w:lang w:val="hr-HR"/>
        </w:rPr>
        <w:sym w:font="Symbol" w:char="F0B3"/>
      </w:r>
      <w:r w:rsidRPr="00307897">
        <w:rPr>
          <w:color w:val="000000"/>
          <w:sz w:val="22"/>
          <w:szCs w:val="22"/>
          <w:lang w:val="hr-HR"/>
        </w:rPr>
        <w:t xml:space="preserve">10%) </w:t>
      </w:r>
      <w:r w:rsidRPr="00307897">
        <w:rPr>
          <w:sz w:val="22"/>
          <w:szCs w:val="22"/>
          <w:lang w:val="hr-HR"/>
        </w:rPr>
        <w:t xml:space="preserve">koje su povezane s primjenom lijeka, bile su u obje situacije blaga </w:t>
      </w:r>
      <w:r w:rsidRPr="00A00164">
        <w:rPr>
          <w:sz w:val="22"/>
          <w:szCs w:val="22"/>
          <w:lang w:val="hr-HR"/>
        </w:rPr>
        <w:t>mučnina, povraćanje, proljev, bol u trbuhu, umor, bol u mišićima, grčevi u mišićima i osip. U svim su ispitivanjima površinski edemi bili čest nalaz, a opisani su u prvome redu kao periorbitalni edemi ili kao edemi donjih ekstremiteta. No, ti su edemi rije</w:t>
      </w:r>
      <w:r w:rsidRPr="00973BDD">
        <w:rPr>
          <w:sz w:val="22"/>
          <w:szCs w:val="22"/>
          <w:lang w:val="hr-HR"/>
        </w:rPr>
        <w:t xml:space="preserve">tko bili teški te se mogu liječiti diureticima, drugim suportivnim mjerama, ili smanjenjem doze </w:t>
      </w:r>
      <w:r w:rsidR="004007D1" w:rsidRPr="00512481">
        <w:rPr>
          <w:sz w:val="22"/>
          <w:szCs w:val="22"/>
          <w:lang w:val="hr-HR"/>
        </w:rPr>
        <w:t xml:space="preserve">lijeka </w:t>
      </w:r>
      <w:r w:rsidRPr="00973BDD">
        <w:rPr>
          <w:sz w:val="22"/>
          <w:szCs w:val="22"/>
          <w:lang w:val="hr-HR"/>
        </w:rPr>
        <w:t>Glivec.</w:t>
      </w:r>
    </w:p>
    <w:p w14:paraId="07D0D38C" w14:textId="77777777" w:rsidR="00BE41B8" w:rsidRPr="00510442" w:rsidRDefault="00BE41B8" w:rsidP="00BE41B8">
      <w:pPr>
        <w:pStyle w:val="Text"/>
        <w:widowControl w:val="0"/>
        <w:spacing w:before="0"/>
        <w:jc w:val="left"/>
        <w:rPr>
          <w:color w:val="000000"/>
          <w:sz w:val="22"/>
          <w:szCs w:val="22"/>
          <w:lang w:val="hr-HR"/>
        </w:rPr>
      </w:pPr>
    </w:p>
    <w:p w14:paraId="71504479" w14:textId="77777777" w:rsidR="00BE41B8" w:rsidRPr="00510442" w:rsidRDefault="00BE41B8" w:rsidP="00BE41B8">
      <w:pPr>
        <w:pStyle w:val="Text"/>
        <w:spacing w:before="0"/>
        <w:jc w:val="left"/>
        <w:rPr>
          <w:color w:val="000000"/>
          <w:sz w:val="22"/>
          <w:szCs w:val="22"/>
          <w:lang w:val="hr-HR"/>
        </w:rPr>
      </w:pPr>
      <w:r w:rsidRPr="00510442">
        <w:rPr>
          <w:sz w:val="22"/>
          <w:szCs w:val="22"/>
          <w:lang w:val="hr-HR"/>
        </w:rPr>
        <w:t xml:space="preserve">Kada se imatinib kombinirao s visokim dozom kemoterapije u </w:t>
      </w:r>
      <w:r w:rsidRPr="00510442">
        <w:rPr>
          <w:color w:val="000000"/>
          <w:sz w:val="22"/>
          <w:szCs w:val="22"/>
          <w:lang w:val="hr-HR"/>
        </w:rPr>
        <w:t xml:space="preserve">Ph+ </w:t>
      </w:r>
      <w:smartTag w:uri="urn:schemas-microsoft-com:office:smarttags" w:element="stockticker">
        <w:r w:rsidRPr="00510442">
          <w:rPr>
            <w:color w:val="000000"/>
            <w:sz w:val="22"/>
            <w:szCs w:val="22"/>
            <w:lang w:val="hr-HR"/>
          </w:rPr>
          <w:t>ALL</w:t>
        </w:r>
      </w:smartTag>
      <w:r w:rsidRPr="00510442">
        <w:rPr>
          <w:color w:val="000000"/>
          <w:sz w:val="22"/>
          <w:szCs w:val="22"/>
          <w:lang w:val="hr-HR"/>
        </w:rPr>
        <w:t xml:space="preserve"> </w:t>
      </w:r>
      <w:r w:rsidRPr="00510442">
        <w:rPr>
          <w:sz w:val="22"/>
          <w:szCs w:val="22"/>
          <w:lang w:val="hr-HR"/>
        </w:rPr>
        <w:t>bolesnika, uočena je prolazna jetrena toksičnost u obliku povišenja transaminaze i hiperbilirubinemije</w:t>
      </w:r>
      <w:r w:rsidRPr="00510442">
        <w:rPr>
          <w:color w:val="000000"/>
          <w:sz w:val="22"/>
          <w:szCs w:val="22"/>
          <w:lang w:val="hr-HR"/>
        </w:rPr>
        <w:t xml:space="preserve">. Imajući na umu ograničenost baze podataka o sigurnosti primjene, dosad prijavljeni štetni događaji u djece odgovaraju poznatome </w:t>
      </w:r>
      <w:r w:rsidRPr="00510442">
        <w:rPr>
          <w:color w:val="000000"/>
          <w:sz w:val="22"/>
          <w:szCs w:val="22"/>
          <w:lang w:val="hr-HR"/>
        </w:rPr>
        <w:lastRenderedPageBreak/>
        <w:t>sigurnosnom profilu u odraslih bolesnika s Ph+ ALL. Baza sigurnosnih podataka za djecu s Ph+ALL vrlo je ograničena iako nisu uočena nikakva nova sigurnosna pitanja.</w:t>
      </w:r>
    </w:p>
    <w:p w14:paraId="2F5FD304" w14:textId="77777777" w:rsidR="00BE41B8" w:rsidRPr="00510442" w:rsidRDefault="00BE41B8" w:rsidP="00BE41B8">
      <w:pPr>
        <w:pStyle w:val="Text"/>
        <w:widowControl w:val="0"/>
        <w:spacing w:before="0"/>
        <w:jc w:val="left"/>
        <w:rPr>
          <w:color w:val="000000"/>
          <w:sz w:val="22"/>
          <w:szCs w:val="22"/>
          <w:lang w:val="hr-HR"/>
        </w:rPr>
      </w:pPr>
    </w:p>
    <w:p w14:paraId="0A2EFA14" w14:textId="77777777" w:rsidR="00BE41B8" w:rsidRPr="00510442" w:rsidRDefault="00BE41B8" w:rsidP="00BE41B8">
      <w:pPr>
        <w:pStyle w:val="Text"/>
        <w:widowControl w:val="0"/>
        <w:spacing w:before="0"/>
        <w:jc w:val="left"/>
        <w:rPr>
          <w:color w:val="000000"/>
          <w:sz w:val="22"/>
          <w:szCs w:val="22"/>
          <w:lang w:val="hr-HR"/>
        </w:rPr>
      </w:pPr>
      <w:r w:rsidRPr="00510442">
        <w:rPr>
          <w:sz w:val="22"/>
          <w:szCs w:val="22"/>
          <w:lang w:val="hr-HR"/>
        </w:rPr>
        <w:t xml:space="preserve">Razne se nuspojave, kao što su pleuralni izljev, ascites, plućni edem i brzo dobivanje na težini sa ili bez površinskih edema, mogu zajednički opisati kao </w:t>
      </w:r>
      <w:r w:rsidRPr="00510442">
        <w:rPr>
          <w:lang w:val="hr-HR"/>
        </w:rPr>
        <w:t>„</w:t>
      </w:r>
      <w:r w:rsidRPr="00510442">
        <w:rPr>
          <w:sz w:val="22"/>
          <w:szCs w:val="22"/>
          <w:lang w:val="hr-HR"/>
        </w:rPr>
        <w:t>retencija tekućine</w:t>
      </w:r>
      <w:r w:rsidRPr="00510442">
        <w:rPr>
          <w:lang w:val="hr-HR"/>
        </w:rPr>
        <w:t>“</w:t>
      </w:r>
      <w:r w:rsidRPr="00510442">
        <w:rPr>
          <w:sz w:val="22"/>
          <w:szCs w:val="22"/>
          <w:lang w:val="hr-HR"/>
        </w:rPr>
        <w:t>. Te se reakcije obično mogu liječiti tako da se Glivec privremeno prestane davati te da se primijene diuretici i druge odgovarajuće suportivne mjere. No, neke od tih reakcija mogu biti ozbiljne ili opasne po život, pa je nekoliko bolesnika s blastičnom krizom umrlo s kompleksnom kliničkom anamnezom pleuralnog izljeva, kongestivnog zatajenja srca i zatajenja bubrega. U pedijatrijskim kliničkim ispitivanjima nije bilo posebnih nalaza o sigurnosti primjene.</w:t>
      </w:r>
    </w:p>
    <w:p w14:paraId="473C7887" w14:textId="77777777" w:rsidR="00BE41B8" w:rsidRPr="00510442" w:rsidRDefault="00BE41B8" w:rsidP="00BE41B8">
      <w:pPr>
        <w:pStyle w:val="Text"/>
        <w:widowControl w:val="0"/>
        <w:spacing w:before="0"/>
        <w:jc w:val="left"/>
        <w:rPr>
          <w:color w:val="000000"/>
          <w:sz w:val="22"/>
          <w:szCs w:val="22"/>
          <w:lang w:val="hr-HR"/>
        </w:rPr>
      </w:pPr>
    </w:p>
    <w:p w14:paraId="75E8B3C6" w14:textId="77777777" w:rsidR="00BE41B8" w:rsidRPr="00510442" w:rsidRDefault="00BE41B8" w:rsidP="003179A4">
      <w:pPr>
        <w:pStyle w:val="Text"/>
        <w:keepNext/>
        <w:widowControl w:val="0"/>
        <w:spacing w:before="0"/>
        <w:jc w:val="left"/>
        <w:rPr>
          <w:b/>
          <w:color w:val="000000"/>
          <w:sz w:val="22"/>
          <w:szCs w:val="22"/>
          <w:lang w:val="hr-HR"/>
        </w:rPr>
      </w:pPr>
      <w:r w:rsidRPr="00510442">
        <w:rPr>
          <w:b/>
          <w:sz w:val="22"/>
          <w:szCs w:val="22"/>
          <w:lang w:val="hr-HR"/>
        </w:rPr>
        <w:t>Nuspojave</w:t>
      </w:r>
    </w:p>
    <w:p w14:paraId="7B459FDF" w14:textId="77777777" w:rsidR="00BE41B8" w:rsidRPr="00510442" w:rsidRDefault="00BE41B8" w:rsidP="00BE41B8">
      <w:pPr>
        <w:pStyle w:val="Text"/>
        <w:widowControl w:val="0"/>
        <w:spacing w:before="0"/>
        <w:jc w:val="left"/>
        <w:rPr>
          <w:color w:val="000000"/>
          <w:sz w:val="22"/>
          <w:szCs w:val="22"/>
          <w:lang w:val="hr-HR"/>
        </w:rPr>
      </w:pPr>
      <w:r w:rsidRPr="00510442">
        <w:rPr>
          <w:sz w:val="22"/>
          <w:szCs w:val="22"/>
          <w:lang w:val="hr-HR"/>
        </w:rPr>
        <w:t xml:space="preserve">Nuspojave zabilježene u više od jednoga izoliranog slučaja navedene su niže u tekstu po klasifikaciji organskih sustava i </w:t>
      </w:r>
      <w:r w:rsidR="0037744A" w:rsidRPr="00510442">
        <w:rPr>
          <w:sz w:val="22"/>
          <w:szCs w:val="22"/>
          <w:lang w:val="hr-HR"/>
        </w:rPr>
        <w:t>učestalosti</w:t>
      </w:r>
      <w:r w:rsidRPr="00510442">
        <w:rPr>
          <w:color w:val="000000"/>
          <w:sz w:val="22"/>
          <w:szCs w:val="22"/>
          <w:lang w:val="hr-HR"/>
        </w:rPr>
        <w:t xml:space="preserve">. </w:t>
      </w:r>
      <w:r w:rsidRPr="00510442">
        <w:rPr>
          <w:sz w:val="22"/>
          <w:szCs w:val="22"/>
          <w:lang w:val="hr-HR"/>
        </w:rPr>
        <w:t xml:space="preserve">Kategorije </w:t>
      </w:r>
      <w:r w:rsidR="0037744A" w:rsidRPr="00510442">
        <w:rPr>
          <w:sz w:val="22"/>
          <w:szCs w:val="22"/>
          <w:lang w:val="hr-HR"/>
        </w:rPr>
        <w:t>učestalosti</w:t>
      </w:r>
      <w:r w:rsidR="00131169" w:rsidRPr="00510442">
        <w:rPr>
          <w:sz w:val="22"/>
          <w:szCs w:val="22"/>
          <w:lang w:val="hr-HR"/>
        </w:rPr>
        <w:t xml:space="preserve"> </w:t>
      </w:r>
      <w:r w:rsidRPr="00510442">
        <w:rPr>
          <w:sz w:val="22"/>
          <w:szCs w:val="22"/>
          <w:lang w:val="hr-HR"/>
        </w:rPr>
        <w:t xml:space="preserve">se definiraju kao: </w:t>
      </w:r>
      <w:r w:rsidRPr="00510442">
        <w:rPr>
          <w:color w:val="000000"/>
          <w:sz w:val="22"/>
          <w:szCs w:val="22"/>
          <w:lang w:val="hr-HR"/>
        </w:rPr>
        <w:t>vrlo često (≥1/10), često (≥1/100 i &lt;1/10), manje često (≥1/1000 i &lt;1/100), rijetko (≥1/10 000 i &lt;1/1000), vrlo rijetko (&lt;1/10 000), nepoznato (ne može se procijeniti iz dostupnih podataka).</w:t>
      </w:r>
    </w:p>
    <w:p w14:paraId="39133269" w14:textId="77777777" w:rsidR="00BE41B8" w:rsidRPr="00510442" w:rsidRDefault="00BE41B8" w:rsidP="00BE41B8">
      <w:pPr>
        <w:pStyle w:val="Text"/>
        <w:widowControl w:val="0"/>
        <w:spacing w:before="0"/>
        <w:jc w:val="left"/>
        <w:rPr>
          <w:color w:val="000000"/>
          <w:sz w:val="22"/>
          <w:szCs w:val="22"/>
          <w:lang w:val="hr-HR"/>
        </w:rPr>
      </w:pPr>
    </w:p>
    <w:p w14:paraId="3081BE7C" w14:textId="77777777" w:rsidR="00BE41B8" w:rsidRPr="00510442" w:rsidRDefault="00BE41B8" w:rsidP="00BE41B8">
      <w:pPr>
        <w:pStyle w:val="Text"/>
        <w:widowControl w:val="0"/>
        <w:spacing w:before="0"/>
        <w:jc w:val="left"/>
        <w:rPr>
          <w:color w:val="000000"/>
          <w:sz w:val="22"/>
          <w:szCs w:val="22"/>
          <w:lang w:val="hr-HR"/>
        </w:rPr>
      </w:pPr>
      <w:r w:rsidRPr="00510442">
        <w:rPr>
          <w:sz w:val="22"/>
          <w:szCs w:val="22"/>
          <w:lang w:val="hr-HR"/>
        </w:rPr>
        <w:t xml:space="preserve">Unutar svake grupe </w:t>
      </w:r>
      <w:r w:rsidR="0037744A" w:rsidRPr="00510442">
        <w:rPr>
          <w:sz w:val="22"/>
          <w:szCs w:val="22"/>
          <w:lang w:val="hr-HR"/>
        </w:rPr>
        <w:t xml:space="preserve">učestalosti </w:t>
      </w:r>
      <w:r w:rsidRPr="00510442">
        <w:rPr>
          <w:sz w:val="22"/>
          <w:szCs w:val="22"/>
          <w:lang w:val="hr-HR"/>
        </w:rPr>
        <w:t xml:space="preserve">nuspojave su </w:t>
      </w:r>
      <w:r w:rsidR="0037744A" w:rsidRPr="00510442">
        <w:rPr>
          <w:sz w:val="22"/>
          <w:szCs w:val="22"/>
          <w:lang w:val="hr-HR"/>
        </w:rPr>
        <w:t xml:space="preserve">prikazane </w:t>
      </w:r>
      <w:r w:rsidRPr="00510442">
        <w:rPr>
          <w:sz w:val="22"/>
          <w:szCs w:val="22"/>
          <w:lang w:val="hr-HR"/>
        </w:rPr>
        <w:t xml:space="preserve">prema </w:t>
      </w:r>
      <w:r w:rsidR="0037744A" w:rsidRPr="00510442">
        <w:rPr>
          <w:sz w:val="22"/>
          <w:szCs w:val="22"/>
          <w:lang w:val="hr-HR"/>
        </w:rPr>
        <w:t>redosljedu učestalosti</w:t>
      </w:r>
      <w:r w:rsidRPr="00510442">
        <w:rPr>
          <w:sz w:val="22"/>
          <w:szCs w:val="22"/>
          <w:lang w:val="hr-HR"/>
        </w:rPr>
        <w:t xml:space="preserve">, </w:t>
      </w:r>
      <w:r w:rsidR="0037744A" w:rsidRPr="00510442">
        <w:rPr>
          <w:sz w:val="22"/>
          <w:szCs w:val="22"/>
          <w:lang w:val="hr-HR"/>
        </w:rPr>
        <w:t xml:space="preserve">najučestalije su </w:t>
      </w:r>
      <w:r w:rsidRPr="00510442">
        <w:rPr>
          <w:sz w:val="22"/>
          <w:szCs w:val="22"/>
          <w:lang w:val="hr-HR"/>
        </w:rPr>
        <w:t>prve</w:t>
      </w:r>
      <w:r w:rsidRPr="00510442">
        <w:rPr>
          <w:color w:val="000000"/>
          <w:sz w:val="22"/>
          <w:szCs w:val="22"/>
          <w:lang w:val="hr-HR"/>
        </w:rPr>
        <w:t>.</w:t>
      </w:r>
    </w:p>
    <w:p w14:paraId="7C757ACD" w14:textId="77777777" w:rsidR="00BE41B8" w:rsidRPr="00510442" w:rsidRDefault="00BE41B8" w:rsidP="00BE41B8">
      <w:pPr>
        <w:spacing w:line="240" w:lineRule="auto"/>
        <w:rPr>
          <w:color w:val="000000"/>
          <w:szCs w:val="22"/>
          <w:lang w:val="hr-HR" w:eastAsia="ja-JP"/>
        </w:rPr>
      </w:pPr>
    </w:p>
    <w:p w14:paraId="41F50FEC" w14:textId="77777777" w:rsidR="00BE41B8" w:rsidRPr="00510442" w:rsidRDefault="00BE41B8" w:rsidP="00BE41B8">
      <w:pPr>
        <w:spacing w:line="240" w:lineRule="auto"/>
        <w:rPr>
          <w:color w:val="000000"/>
          <w:szCs w:val="22"/>
          <w:lang w:val="hr-HR"/>
        </w:rPr>
      </w:pPr>
      <w:r w:rsidRPr="00510442">
        <w:rPr>
          <w:szCs w:val="22"/>
          <w:lang w:val="hr-HR"/>
        </w:rPr>
        <w:t xml:space="preserve">Nuspojave i njihove </w:t>
      </w:r>
      <w:r w:rsidR="0037744A" w:rsidRPr="00510442">
        <w:rPr>
          <w:szCs w:val="22"/>
          <w:lang w:val="hr-HR"/>
        </w:rPr>
        <w:t xml:space="preserve">učestalosti </w:t>
      </w:r>
      <w:r w:rsidRPr="00510442">
        <w:rPr>
          <w:szCs w:val="22"/>
          <w:lang w:val="hr-HR"/>
        </w:rPr>
        <w:t>navedene</w:t>
      </w:r>
      <w:r w:rsidR="004C7699" w:rsidRPr="00510442">
        <w:rPr>
          <w:szCs w:val="22"/>
          <w:lang w:val="hr-HR"/>
        </w:rPr>
        <w:t xml:space="preserve"> su</w:t>
      </w:r>
      <w:r w:rsidRPr="00510442">
        <w:rPr>
          <w:szCs w:val="22"/>
          <w:lang w:val="hr-HR"/>
        </w:rPr>
        <w:t xml:space="preserve"> u Tablici</w:t>
      </w:r>
      <w:r w:rsidRPr="00510442">
        <w:rPr>
          <w:color w:val="000000"/>
          <w:szCs w:val="22"/>
          <w:lang w:val="hr-HR" w:eastAsia="ja-JP"/>
        </w:rPr>
        <w:t> 1.</w:t>
      </w:r>
    </w:p>
    <w:p w14:paraId="7170978A" w14:textId="77777777" w:rsidR="00BE41B8" w:rsidRPr="00510442" w:rsidRDefault="00BE41B8" w:rsidP="00BE41B8">
      <w:pPr>
        <w:spacing w:line="240" w:lineRule="auto"/>
        <w:rPr>
          <w:color w:val="000000"/>
          <w:szCs w:val="22"/>
          <w:lang w:val="hr-HR"/>
        </w:rPr>
      </w:pPr>
    </w:p>
    <w:p w14:paraId="07727BED" w14:textId="77777777" w:rsidR="00BE41B8" w:rsidRPr="00510442" w:rsidRDefault="00BE41B8" w:rsidP="003179A4">
      <w:pPr>
        <w:keepNext/>
        <w:tabs>
          <w:tab w:val="clear" w:pos="567"/>
        </w:tabs>
        <w:spacing w:line="240" w:lineRule="auto"/>
        <w:ind w:left="1134" w:hanging="1134"/>
        <w:rPr>
          <w:b/>
          <w:color w:val="000000"/>
          <w:szCs w:val="22"/>
          <w:lang w:val="hr-HR"/>
        </w:rPr>
      </w:pPr>
      <w:r w:rsidRPr="00510442">
        <w:rPr>
          <w:b/>
          <w:color w:val="000000"/>
          <w:szCs w:val="22"/>
          <w:lang w:val="hr-HR"/>
        </w:rPr>
        <w:t>Tablica 1</w:t>
      </w:r>
      <w:r w:rsidRPr="00510442">
        <w:rPr>
          <w:b/>
          <w:color w:val="000000"/>
          <w:szCs w:val="22"/>
          <w:lang w:val="hr-HR"/>
        </w:rPr>
        <w:tab/>
      </w:r>
      <w:r w:rsidR="004C7699" w:rsidRPr="00510442">
        <w:rPr>
          <w:b/>
          <w:color w:val="000000"/>
          <w:szCs w:val="22"/>
          <w:lang w:val="hr-HR"/>
        </w:rPr>
        <w:t>Tablični sažetak n</w:t>
      </w:r>
      <w:r w:rsidR="004C7699" w:rsidRPr="00510442">
        <w:rPr>
          <w:b/>
          <w:szCs w:val="22"/>
          <w:lang w:val="hr-HR"/>
        </w:rPr>
        <w:t>uspojava</w:t>
      </w:r>
    </w:p>
    <w:p w14:paraId="4E08F110" w14:textId="77777777" w:rsidR="00BE41B8" w:rsidRPr="00510442" w:rsidRDefault="00BE41B8" w:rsidP="003179A4">
      <w:pPr>
        <w:keepNext/>
        <w:spacing w:line="240" w:lineRule="auto"/>
        <w:rPr>
          <w:color w:val="000000"/>
          <w:szCs w:val="22"/>
          <w:lang w:val="hr-HR"/>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7087"/>
      </w:tblGrid>
      <w:tr w:rsidR="00BE41B8" w:rsidRPr="00510442" w14:paraId="623B05FC" w14:textId="77777777" w:rsidTr="003179A4">
        <w:trPr>
          <w:cantSplit/>
        </w:trPr>
        <w:tc>
          <w:tcPr>
            <w:tcW w:w="9322" w:type="dxa"/>
            <w:gridSpan w:val="2"/>
          </w:tcPr>
          <w:p w14:paraId="4814D4F8" w14:textId="77777777" w:rsidR="00BE41B8" w:rsidRPr="00510442" w:rsidRDefault="00BE41B8" w:rsidP="003179A4">
            <w:pPr>
              <w:keepNext/>
              <w:spacing w:line="240" w:lineRule="auto"/>
              <w:rPr>
                <w:b/>
                <w:color w:val="000000"/>
                <w:szCs w:val="22"/>
                <w:lang w:val="hr-HR"/>
              </w:rPr>
            </w:pPr>
            <w:r w:rsidRPr="00510442">
              <w:rPr>
                <w:b/>
                <w:color w:val="000000"/>
                <w:szCs w:val="22"/>
                <w:lang w:val="hr-HR"/>
              </w:rPr>
              <w:t>I</w:t>
            </w:r>
            <w:r w:rsidRPr="00510442">
              <w:rPr>
                <w:b/>
                <w:szCs w:val="22"/>
                <w:lang w:val="hr-HR"/>
              </w:rPr>
              <w:t>nfekcije i infestacije</w:t>
            </w:r>
          </w:p>
        </w:tc>
      </w:tr>
      <w:tr w:rsidR="00BE41B8" w:rsidRPr="00F410C8" w14:paraId="47C3F5FF" w14:textId="77777777" w:rsidTr="003179A4">
        <w:trPr>
          <w:cantSplit/>
        </w:trPr>
        <w:tc>
          <w:tcPr>
            <w:tcW w:w="2235" w:type="dxa"/>
          </w:tcPr>
          <w:p w14:paraId="0D6170DD" w14:textId="77777777" w:rsidR="00BE41B8" w:rsidRPr="00510442" w:rsidRDefault="00BE41B8" w:rsidP="003179A4">
            <w:pPr>
              <w:keepNext/>
              <w:spacing w:line="240" w:lineRule="auto"/>
              <w:rPr>
                <w:i/>
                <w:color w:val="000000"/>
                <w:szCs w:val="22"/>
                <w:lang w:val="hr-HR"/>
              </w:rPr>
            </w:pPr>
            <w:r w:rsidRPr="00510442">
              <w:rPr>
                <w:i/>
                <w:szCs w:val="22"/>
                <w:lang w:val="hr-HR"/>
              </w:rPr>
              <w:t>Manje često</w:t>
            </w:r>
            <w:r w:rsidRPr="00510442">
              <w:rPr>
                <w:i/>
                <w:color w:val="000000"/>
                <w:szCs w:val="22"/>
                <w:lang w:val="hr-HR"/>
              </w:rPr>
              <w:t>:</w:t>
            </w:r>
          </w:p>
        </w:tc>
        <w:tc>
          <w:tcPr>
            <w:tcW w:w="7087" w:type="dxa"/>
          </w:tcPr>
          <w:p w14:paraId="6E33795E" w14:textId="77777777" w:rsidR="00BE41B8" w:rsidRPr="00510442" w:rsidRDefault="00BE41B8" w:rsidP="003179A4">
            <w:pPr>
              <w:keepNext/>
              <w:spacing w:line="240" w:lineRule="auto"/>
              <w:rPr>
                <w:color w:val="000000"/>
                <w:szCs w:val="22"/>
                <w:lang w:val="hr-HR"/>
              </w:rPr>
            </w:pPr>
            <w:r w:rsidRPr="00510442">
              <w:rPr>
                <w:szCs w:val="22"/>
                <w:lang w:val="hr-HR"/>
              </w:rPr>
              <w:t>Herpes zoster, herpes simplex, nazofaringitis, upala pluća</w:t>
            </w:r>
            <w:r w:rsidRPr="00510442">
              <w:rPr>
                <w:szCs w:val="22"/>
                <w:vertAlign w:val="superscript"/>
                <w:lang w:val="hr-HR"/>
              </w:rPr>
              <w:t>1</w:t>
            </w:r>
            <w:r w:rsidRPr="00510442">
              <w:rPr>
                <w:szCs w:val="22"/>
                <w:lang w:val="hr-HR"/>
              </w:rPr>
              <w:t>, sinusitis, celulitis, infekcija gornjih dišnih puteva, gripa, infekcija mokraćnog sustava, gastroenteritis, sepsa</w:t>
            </w:r>
          </w:p>
        </w:tc>
      </w:tr>
      <w:tr w:rsidR="00BE41B8" w:rsidRPr="00510442" w14:paraId="29A54E5A" w14:textId="77777777" w:rsidTr="003179A4">
        <w:trPr>
          <w:cantSplit/>
        </w:trPr>
        <w:tc>
          <w:tcPr>
            <w:tcW w:w="2235" w:type="dxa"/>
          </w:tcPr>
          <w:p w14:paraId="43C11260" w14:textId="77777777" w:rsidR="00BE41B8" w:rsidRPr="00510442" w:rsidRDefault="00BE41B8" w:rsidP="003179A4">
            <w:pPr>
              <w:keepNext/>
              <w:spacing w:line="240" w:lineRule="auto"/>
              <w:rPr>
                <w:i/>
                <w:color w:val="000000"/>
                <w:szCs w:val="22"/>
                <w:lang w:val="hr-HR"/>
              </w:rPr>
            </w:pPr>
            <w:r w:rsidRPr="00510442">
              <w:rPr>
                <w:i/>
                <w:szCs w:val="22"/>
                <w:lang w:val="hr-HR"/>
              </w:rPr>
              <w:t>Rijetko</w:t>
            </w:r>
            <w:r w:rsidRPr="00510442">
              <w:rPr>
                <w:i/>
                <w:color w:val="000000"/>
                <w:szCs w:val="22"/>
                <w:lang w:val="hr-HR"/>
              </w:rPr>
              <w:t>:</w:t>
            </w:r>
          </w:p>
        </w:tc>
        <w:tc>
          <w:tcPr>
            <w:tcW w:w="7087" w:type="dxa"/>
          </w:tcPr>
          <w:p w14:paraId="60EAC570" w14:textId="77777777" w:rsidR="00BE41B8" w:rsidRPr="00510442" w:rsidRDefault="00BE41B8" w:rsidP="003179A4">
            <w:pPr>
              <w:keepNext/>
              <w:spacing w:line="240" w:lineRule="auto"/>
              <w:rPr>
                <w:color w:val="000000"/>
                <w:szCs w:val="22"/>
                <w:lang w:val="hr-HR"/>
              </w:rPr>
            </w:pPr>
            <w:r w:rsidRPr="00510442">
              <w:rPr>
                <w:szCs w:val="22"/>
                <w:lang w:val="hr-HR"/>
              </w:rPr>
              <w:t>Gljivična infekcija</w:t>
            </w:r>
          </w:p>
        </w:tc>
      </w:tr>
      <w:tr w:rsidR="00BB2B5C" w:rsidRPr="00510442" w14:paraId="1FA5DDD4" w14:textId="77777777" w:rsidTr="003179A4">
        <w:trPr>
          <w:cantSplit/>
        </w:trPr>
        <w:tc>
          <w:tcPr>
            <w:tcW w:w="2235" w:type="dxa"/>
          </w:tcPr>
          <w:p w14:paraId="45BBA56B" w14:textId="77777777" w:rsidR="00BB2B5C" w:rsidRPr="00510442" w:rsidRDefault="00BB2B5C" w:rsidP="00C73259">
            <w:pPr>
              <w:widowControl w:val="0"/>
              <w:rPr>
                <w:i/>
                <w:color w:val="000000"/>
                <w:szCs w:val="22"/>
                <w:lang w:val="hr-HR"/>
              </w:rPr>
            </w:pPr>
            <w:r w:rsidRPr="00510442">
              <w:rPr>
                <w:i/>
                <w:color w:val="000000"/>
                <w:szCs w:val="22"/>
                <w:lang w:val="hr-HR"/>
              </w:rPr>
              <w:t>Nepoznato:</w:t>
            </w:r>
          </w:p>
        </w:tc>
        <w:tc>
          <w:tcPr>
            <w:tcW w:w="7087" w:type="dxa"/>
          </w:tcPr>
          <w:p w14:paraId="4AC5C1BA" w14:textId="77777777" w:rsidR="00BB2B5C" w:rsidRPr="00510442" w:rsidRDefault="00BB2B5C" w:rsidP="00C73259">
            <w:pPr>
              <w:widowControl w:val="0"/>
              <w:rPr>
                <w:color w:val="000000"/>
                <w:szCs w:val="22"/>
                <w:lang w:val="hr-HR"/>
              </w:rPr>
            </w:pPr>
            <w:r w:rsidRPr="00510442">
              <w:rPr>
                <w:color w:val="000000"/>
                <w:lang w:val="hr-HR"/>
              </w:rPr>
              <w:t>Ponovna aktivacija hepatitisa B</w:t>
            </w:r>
            <w:r w:rsidRPr="00510442">
              <w:rPr>
                <w:color w:val="000000"/>
                <w:szCs w:val="22"/>
                <w:lang w:val="hr-HR"/>
              </w:rPr>
              <w:t>*</w:t>
            </w:r>
          </w:p>
        </w:tc>
      </w:tr>
      <w:tr w:rsidR="00BE41B8" w:rsidRPr="00510442" w14:paraId="48E75D7E" w14:textId="77777777" w:rsidTr="003179A4">
        <w:trPr>
          <w:cantSplit/>
        </w:trPr>
        <w:tc>
          <w:tcPr>
            <w:tcW w:w="9322" w:type="dxa"/>
            <w:gridSpan w:val="2"/>
          </w:tcPr>
          <w:p w14:paraId="393BDF04" w14:textId="77777777" w:rsidR="00BE41B8" w:rsidRPr="00510442" w:rsidRDefault="00BE41B8" w:rsidP="003179A4">
            <w:pPr>
              <w:keepNext/>
              <w:spacing w:line="240" w:lineRule="auto"/>
              <w:rPr>
                <w:color w:val="000000"/>
                <w:szCs w:val="22"/>
                <w:lang w:val="hr-HR"/>
              </w:rPr>
            </w:pPr>
            <w:r w:rsidRPr="00510442">
              <w:rPr>
                <w:b/>
                <w:szCs w:val="22"/>
                <w:lang w:val="hr-HR"/>
              </w:rPr>
              <w:t>Dobroćudne, zloćudne i nespecificirane novotvorine (uključujući ciste i polipe)</w:t>
            </w:r>
          </w:p>
        </w:tc>
      </w:tr>
      <w:tr w:rsidR="00BE41B8" w:rsidRPr="00510442" w14:paraId="57427019" w14:textId="77777777" w:rsidTr="003179A4">
        <w:trPr>
          <w:cantSplit/>
        </w:trPr>
        <w:tc>
          <w:tcPr>
            <w:tcW w:w="2235" w:type="dxa"/>
          </w:tcPr>
          <w:p w14:paraId="6EFA77B9" w14:textId="77777777" w:rsidR="00BE41B8" w:rsidRPr="00510442" w:rsidRDefault="00BE41B8" w:rsidP="003179A4">
            <w:pPr>
              <w:keepNext/>
              <w:spacing w:line="240" w:lineRule="auto"/>
              <w:rPr>
                <w:i/>
                <w:color w:val="000000"/>
                <w:szCs w:val="22"/>
                <w:lang w:val="hr-HR"/>
              </w:rPr>
            </w:pPr>
            <w:r w:rsidRPr="00510442">
              <w:rPr>
                <w:i/>
                <w:color w:val="000000"/>
                <w:szCs w:val="22"/>
                <w:lang w:val="hr-HR"/>
              </w:rPr>
              <w:t>Rijetko:</w:t>
            </w:r>
          </w:p>
        </w:tc>
        <w:tc>
          <w:tcPr>
            <w:tcW w:w="7087" w:type="dxa"/>
          </w:tcPr>
          <w:p w14:paraId="19CFE2F4" w14:textId="77777777" w:rsidR="00BE41B8" w:rsidRPr="00510442" w:rsidRDefault="00BE41B8" w:rsidP="003179A4">
            <w:pPr>
              <w:keepNext/>
              <w:spacing w:line="240" w:lineRule="auto"/>
              <w:rPr>
                <w:color w:val="000000"/>
                <w:szCs w:val="22"/>
                <w:lang w:val="hr-HR"/>
              </w:rPr>
            </w:pPr>
            <w:r w:rsidRPr="00510442">
              <w:rPr>
                <w:color w:val="000000"/>
                <w:szCs w:val="22"/>
                <w:lang w:val="hr-HR"/>
              </w:rPr>
              <w:t>Sindrom lize tumora</w:t>
            </w:r>
          </w:p>
        </w:tc>
      </w:tr>
      <w:tr w:rsidR="004C7699" w:rsidRPr="00510442" w14:paraId="7645B2D9" w14:textId="77777777" w:rsidTr="003179A4">
        <w:trPr>
          <w:cantSplit/>
        </w:trPr>
        <w:tc>
          <w:tcPr>
            <w:tcW w:w="2235" w:type="dxa"/>
          </w:tcPr>
          <w:p w14:paraId="2AD35789" w14:textId="77777777" w:rsidR="004C7699" w:rsidRPr="00510442" w:rsidRDefault="004C7699" w:rsidP="004203CA">
            <w:pPr>
              <w:widowControl w:val="0"/>
              <w:rPr>
                <w:i/>
                <w:color w:val="000000"/>
                <w:szCs w:val="22"/>
                <w:lang w:val="hr-HR"/>
              </w:rPr>
            </w:pPr>
            <w:r w:rsidRPr="00510442">
              <w:rPr>
                <w:i/>
                <w:color w:val="000000"/>
                <w:szCs w:val="22"/>
                <w:lang w:val="hr-HR"/>
              </w:rPr>
              <w:t>Nepoznato:</w:t>
            </w:r>
          </w:p>
        </w:tc>
        <w:tc>
          <w:tcPr>
            <w:tcW w:w="7087" w:type="dxa"/>
          </w:tcPr>
          <w:p w14:paraId="08D1DE31" w14:textId="77777777" w:rsidR="004C7699" w:rsidRPr="00510442" w:rsidRDefault="004C7699" w:rsidP="004203CA">
            <w:pPr>
              <w:widowControl w:val="0"/>
              <w:rPr>
                <w:color w:val="000000"/>
                <w:szCs w:val="22"/>
                <w:lang w:val="hr-HR"/>
              </w:rPr>
            </w:pPr>
            <w:r w:rsidRPr="00307897">
              <w:rPr>
                <w:color w:val="000000"/>
                <w:szCs w:val="22"/>
                <w:lang w:val="hr-HR"/>
              </w:rPr>
              <w:t>Tumorsko krvarenje/tumorska nekroza</w:t>
            </w:r>
            <w:r w:rsidRPr="00510442">
              <w:rPr>
                <w:color w:val="000000"/>
                <w:szCs w:val="22"/>
                <w:lang w:val="hr-HR"/>
              </w:rPr>
              <w:t>*</w:t>
            </w:r>
          </w:p>
        </w:tc>
      </w:tr>
      <w:tr w:rsidR="004C7699" w:rsidRPr="00510442" w14:paraId="592DD866" w14:textId="77777777" w:rsidTr="003179A4">
        <w:trPr>
          <w:cantSplit/>
        </w:trPr>
        <w:tc>
          <w:tcPr>
            <w:tcW w:w="9322" w:type="dxa"/>
            <w:gridSpan w:val="2"/>
          </w:tcPr>
          <w:p w14:paraId="6AEB1FBF" w14:textId="77777777" w:rsidR="004C7699" w:rsidRPr="00510442" w:rsidRDefault="004C7699" w:rsidP="003179A4">
            <w:pPr>
              <w:keepNext/>
              <w:widowControl w:val="0"/>
              <w:rPr>
                <w:b/>
                <w:color w:val="000000"/>
                <w:szCs w:val="22"/>
                <w:lang w:val="hr-HR"/>
              </w:rPr>
            </w:pPr>
            <w:r w:rsidRPr="00307897">
              <w:rPr>
                <w:b/>
                <w:color w:val="000000"/>
                <w:szCs w:val="22"/>
                <w:lang w:val="hr-HR"/>
              </w:rPr>
              <w:t>Poremećaji imunološkog sustava</w:t>
            </w:r>
          </w:p>
        </w:tc>
      </w:tr>
      <w:tr w:rsidR="004C7699" w:rsidRPr="00510442" w14:paraId="71496EDC" w14:textId="77777777" w:rsidTr="003179A4">
        <w:trPr>
          <w:cantSplit/>
        </w:trPr>
        <w:tc>
          <w:tcPr>
            <w:tcW w:w="2235" w:type="dxa"/>
          </w:tcPr>
          <w:p w14:paraId="4ED39E31" w14:textId="77777777" w:rsidR="004C7699" w:rsidRPr="00510442" w:rsidRDefault="004C7699" w:rsidP="004203CA">
            <w:pPr>
              <w:widowControl w:val="0"/>
              <w:rPr>
                <w:i/>
                <w:color w:val="000000"/>
                <w:szCs w:val="22"/>
                <w:lang w:val="hr-HR"/>
              </w:rPr>
            </w:pPr>
            <w:r w:rsidRPr="00510442">
              <w:rPr>
                <w:i/>
                <w:color w:val="000000"/>
                <w:szCs w:val="22"/>
                <w:lang w:val="hr-HR"/>
              </w:rPr>
              <w:t>Nepoznato:</w:t>
            </w:r>
          </w:p>
        </w:tc>
        <w:tc>
          <w:tcPr>
            <w:tcW w:w="7087" w:type="dxa"/>
          </w:tcPr>
          <w:p w14:paraId="27688F2D" w14:textId="77777777" w:rsidR="004C7699" w:rsidRPr="00510442" w:rsidRDefault="004C7699" w:rsidP="004203CA">
            <w:pPr>
              <w:widowControl w:val="0"/>
              <w:rPr>
                <w:color w:val="000000"/>
                <w:szCs w:val="22"/>
                <w:lang w:val="hr-HR"/>
              </w:rPr>
            </w:pPr>
            <w:r w:rsidRPr="00307897">
              <w:rPr>
                <w:color w:val="000000"/>
                <w:szCs w:val="22"/>
                <w:lang w:val="hr-HR"/>
              </w:rPr>
              <w:t>Anafilaktički šok</w:t>
            </w:r>
            <w:r w:rsidRPr="00510442">
              <w:rPr>
                <w:color w:val="000000"/>
                <w:szCs w:val="22"/>
                <w:lang w:val="hr-HR"/>
              </w:rPr>
              <w:t>*</w:t>
            </w:r>
          </w:p>
        </w:tc>
      </w:tr>
      <w:tr w:rsidR="00BE41B8" w:rsidRPr="00510442" w14:paraId="092CEAE5" w14:textId="77777777" w:rsidTr="003179A4">
        <w:trPr>
          <w:cantSplit/>
        </w:trPr>
        <w:tc>
          <w:tcPr>
            <w:tcW w:w="9322" w:type="dxa"/>
            <w:gridSpan w:val="2"/>
          </w:tcPr>
          <w:p w14:paraId="292EF2FF" w14:textId="77777777" w:rsidR="00BE41B8" w:rsidRPr="00A00164" w:rsidRDefault="00BE41B8" w:rsidP="003179A4">
            <w:pPr>
              <w:keepNext/>
              <w:spacing w:line="240" w:lineRule="auto"/>
              <w:rPr>
                <w:color w:val="000000"/>
                <w:szCs w:val="22"/>
                <w:lang w:val="hr-HR"/>
              </w:rPr>
            </w:pPr>
            <w:r w:rsidRPr="00307897">
              <w:rPr>
                <w:b/>
                <w:szCs w:val="22"/>
                <w:lang w:val="hr-HR"/>
              </w:rPr>
              <w:t>Poremećaji krvi i limfnog sustava</w:t>
            </w:r>
          </w:p>
        </w:tc>
      </w:tr>
      <w:tr w:rsidR="00BE41B8" w:rsidRPr="00510442" w14:paraId="244A45CF" w14:textId="77777777" w:rsidTr="003179A4">
        <w:trPr>
          <w:cantSplit/>
        </w:trPr>
        <w:tc>
          <w:tcPr>
            <w:tcW w:w="2235" w:type="dxa"/>
          </w:tcPr>
          <w:p w14:paraId="1B3C06E5" w14:textId="77777777" w:rsidR="00BE41B8" w:rsidRPr="00510442" w:rsidRDefault="00BE41B8" w:rsidP="003179A4">
            <w:pPr>
              <w:keepNext/>
              <w:spacing w:line="240" w:lineRule="auto"/>
              <w:rPr>
                <w:color w:val="000000"/>
                <w:szCs w:val="22"/>
                <w:lang w:val="hr-HR"/>
              </w:rPr>
            </w:pPr>
            <w:r w:rsidRPr="00510442">
              <w:rPr>
                <w:i/>
                <w:szCs w:val="22"/>
                <w:lang w:val="hr-HR"/>
              </w:rPr>
              <w:t>Vrlo često</w:t>
            </w:r>
            <w:r w:rsidRPr="00510442">
              <w:rPr>
                <w:i/>
                <w:color w:val="000000"/>
                <w:szCs w:val="22"/>
                <w:lang w:val="hr-HR"/>
              </w:rPr>
              <w:t>:</w:t>
            </w:r>
          </w:p>
        </w:tc>
        <w:tc>
          <w:tcPr>
            <w:tcW w:w="7087" w:type="dxa"/>
          </w:tcPr>
          <w:p w14:paraId="68E13F67" w14:textId="77777777" w:rsidR="00BE41B8" w:rsidRPr="00510442" w:rsidRDefault="00BE41B8" w:rsidP="003179A4">
            <w:pPr>
              <w:keepNext/>
              <w:spacing w:line="240" w:lineRule="auto"/>
              <w:rPr>
                <w:color w:val="000000"/>
                <w:szCs w:val="22"/>
                <w:lang w:val="hr-HR"/>
              </w:rPr>
            </w:pPr>
            <w:r w:rsidRPr="00510442">
              <w:rPr>
                <w:szCs w:val="22"/>
                <w:lang w:val="hr-HR"/>
              </w:rPr>
              <w:t>Neutropenija, trombocitopenija, anemija</w:t>
            </w:r>
          </w:p>
        </w:tc>
      </w:tr>
      <w:tr w:rsidR="00BE41B8" w:rsidRPr="00510442" w14:paraId="75407E08" w14:textId="77777777" w:rsidTr="003179A4">
        <w:trPr>
          <w:cantSplit/>
        </w:trPr>
        <w:tc>
          <w:tcPr>
            <w:tcW w:w="2235" w:type="dxa"/>
          </w:tcPr>
          <w:p w14:paraId="5064E58C" w14:textId="77777777" w:rsidR="00BE41B8" w:rsidRPr="00510442" w:rsidRDefault="00BE41B8" w:rsidP="003179A4">
            <w:pPr>
              <w:keepNext/>
              <w:spacing w:line="240" w:lineRule="auto"/>
              <w:rPr>
                <w:color w:val="000000"/>
                <w:szCs w:val="22"/>
                <w:lang w:val="hr-HR"/>
              </w:rPr>
            </w:pPr>
            <w:r w:rsidRPr="00510442">
              <w:rPr>
                <w:i/>
                <w:szCs w:val="22"/>
                <w:lang w:val="hr-HR"/>
              </w:rPr>
              <w:t>Često</w:t>
            </w:r>
            <w:r w:rsidRPr="00510442">
              <w:rPr>
                <w:i/>
                <w:color w:val="000000"/>
                <w:szCs w:val="22"/>
                <w:lang w:val="hr-HR"/>
              </w:rPr>
              <w:t>:</w:t>
            </w:r>
          </w:p>
        </w:tc>
        <w:tc>
          <w:tcPr>
            <w:tcW w:w="7087" w:type="dxa"/>
          </w:tcPr>
          <w:p w14:paraId="49C71369" w14:textId="77777777" w:rsidR="00BE41B8" w:rsidRPr="00510442" w:rsidRDefault="00BE41B8" w:rsidP="003179A4">
            <w:pPr>
              <w:keepNext/>
              <w:spacing w:line="240" w:lineRule="auto"/>
              <w:rPr>
                <w:color w:val="000000"/>
                <w:szCs w:val="22"/>
                <w:lang w:val="hr-HR"/>
              </w:rPr>
            </w:pPr>
            <w:r w:rsidRPr="00510442">
              <w:rPr>
                <w:szCs w:val="22"/>
                <w:lang w:val="hr-HR"/>
              </w:rPr>
              <w:t>Pancitopenija, febrilna neutropenija</w:t>
            </w:r>
          </w:p>
        </w:tc>
      </w:tr>
      <w:tr w:rsidR="00BE41B8" w:rsidRPr="00F410C8" w14:paraId="03F4EF5D" w14:textId="77777777" w:rsidTr="003179A4">
        <w:trPr>
          <w:cantSplit/>
        </w:trPr>
        <w:tc>
          <w:tcPr>
            <w:tcW w:w="2235" w:type="dxa"/>
          </w:tcPr>
          <w:p w14:paraId="462FDF68" w14:textId="77777777" w:rsidR="00BE41B8" w:rsidRPr="00510442" w:rsidRDefault="00BE41B8" w:rsidP="003179A4">
            <w:pPr>
              <w:keepNext/>
              <w:spacing w:line="240" w:lineRule="auto"/>
              <w:rPr>
                <w:color w:val="000000"/>
                <w:szCs w:val="22"/>
                <w:lang w:val="hr-HR"/>
              </w:rPr>
            </w:pPr>
            <w:r w:rsidRPr="00510442">
              <w:rPr>
                <w:i/>
                <w:szCs w:val="22"/>
                <w:lang w:val="hr-HR"/>
              </w:rPr>
              <w:t>Manje često</w:t>
            </w:r>
            <w:r w:rsidRPr="00510442">
              <w:rPr>
                <w:i/>
                <w:color w:val="000000"/>
                <w:szCs w:val="22"/>
                <w:lang w:val="hr-HR"/>
              </w:rPr>
              <w:t>:</w:t>
            </w:r>
          </w:p>
        </w:tc>
        <w:tc>
          <w:tcPr>
            <w:tcW w:w="7087" w:type="dxa"/>
          </w:tcPr>
          <w:p w14:paraId="359A8534" w14:textId="77777777" w:rsidR="00BE41B8" w:rsidRPr="00510442" w:rsidRDefault="00BE41B8" w:rsidP="003179A4">
            <w:pPr>
              <w:keepNext/>
              <w:spacing w:line="240" w:lineRule="auto"/>
              <w:rPr>
                <w:szCs w:val="22"/>
                <w:lang w:val="hr-HR"/>
              </w:rPr>
            </w:pPr>
            <w:r w:rsidRPr="00510442">
              <w:rPr>
                <w:szCs w:val="22"/>
                <w:lang w:val="hr-HR"/>
              </w:rPr>
              <w:t>Trombocitemija, limfopenija, depresija koštane srži, eozinofilija, limfadenopatija</w:t>
            </w:r>
          </w:p>
        </w:tc>
      </w:tr>
      <w:tr w:rsidR="00BE41B8" w:rsidRPr="00510442" w14:paraId="7EBA7F04" w14:textId="77777777" w:rsidTr="003179A4">
        <w:trPr>
          <w:cantSplit/>
        </w:trPr>
        <w:tc>
          <w:tcPr>
            <w:tcW w:w="2235" w:type="dxa"/>
          </w:tcPr>
          <w:p w14:paraId="668F8399" w14:textId="77777777" w:rsidR="00BE41B8" w:rsidRPr="00510442" w:rsidRDefault="00BE41B8" w:rsidP="00C210A6">
            <w:pPr>
              <w:spacing w:line="240" w:lineRule="auto"/>
              <w:rPr>
                <w:i/>
                <w:color w:val="000000"/>
                <w:szCs w:val="22"/>
                <w:lang w:val="hr-HR"/>
              </w:rPr>
            </w:pPr>
            <w:r w:rsidRPr="00510442">
              <w:rPr>
                <w:i/>
                <w:color w:val="000000"/>
                <w:szCs w:val="22"/>
                <w:lang w:val="hr-HR"/>
              </w:rPr>
              <w:t>Rijetko:</w:t>
            </w:r>
          </w:p>
        </w:tc>
        <w:tc>
          <w:tcPr>
            <w:tcW w:w="7087" w:type="dxa"/>
          </w:tcPr>
          <w:p w14:paraId="2AB862FE" w14:textId="77777777" w:rsidR="00BE41B8" w:rsidRPr="00307897" w:rsidRDefault="00BE41B8" w:rsidP="00C210A6">
            <w:pPr>
              <w:spacing w:line="240" w:lineRule="auto"/>
              <w:rPr>
                <w:szCs w:val="22"/>
                <w:lang w:val="hr-HR"/>
              </w:rPr>
            </w:pPr>
            <w:r w:rsidRPr="00510442">
              <w:rPr>
                <w:szCs w:val="22"/>
                <w:lang w:val="hr-HR"/>
              </w:rPr>
              <w:t>Hemolitička anemija</w:t>
            </w:r>
            <w:r w:rsidR="00053ECB" w:rsidRPr="00510442">
              <w:rPr>
                <w:szCs w:val="22"/>
                <w:lang w:val="hr-HR"/>
              </w:rPr>
              <w:t xml:space="preserve">, </w:t>
            </w:r>
            <w:r w:rsidR="00053ECB" w:rsidRPr="00760469">
              <w:rPr>
                <w:snapToGrid w:val="0"/>
                <w:color w:val="000000"/>
                <w:szCs w:val="22"/>
                <w:lang w:val="hr-HR"/>
              </w:rPr>
              <w:t>trombotič</w:t>
            </w:r>
            <w:r w:rsidR="00162210" w:rsidRPr="00760469">
              <w:rPr>
                <w:snapToGrid w:val="0"/>
                <w:color w:val="000000"/>
                <w:szCs w:val="22"/>
                <w:lang w:val="hr-HR"/>
              </w:rPr>
              <w:t>n</w:t>
            </w:r>
            <w:r w:rsidR="00053ECB" w:rsidRPr="00760469">
              <w:rPr>
                <w:snapToGrid w:val="0"/>
                <w:color w:val="000000"/>
                <w:szCs w:val="22"/>
                <w:lang w:val="hr-HR"/>
              </w:rPr>
              <w:t>a mikroangiopatija</w:t>
            </w:r>
          </w:p>
        </w:tc>
      </w:tr>
      <w:tr w:rsidR="00BE41B8" w:rsidRPr="00510442" w14:paraId="61BE903A" w14:textId="77777777" w:rsidTr="003179A4">
        <w:trPr>
          <w:cantSplit/>
        </w:trPr>
        <w:tc>
          <w:tcPr>
            <w:tcW w:w="9322" w:type="dxa"/>
            <w:gridSpan w:val="2"/>
          </w:tcPr>
          <w:p w14:paraId="53A7A700" w14:textId="77777777" w:rsidR="00BE41B8" w:rsidRPr="00510442" w:rsidRDefault="00BE41B8" w:rsidP="003179A4">
            <w:pPr>
              <w:keepNext/>
              <w:spacing w:line="240" w:lineRule="auto"/>
              <w:rPr>
                <w:color w:val="000000"/>
                <w:szCs w:val="22"/>
                <w:lang w:val="hr-HR"/>
              </w:rPr>
            </w:pPr>
            <w:r w:rsidRPr="00510442">
              <w:rPr>
                <w:b/>
                <w:szCs w:val="22"/>
                <w:lang w:val="hr-HR"/>
              </w:rPr>
              <w:t>Poremećaji metabolizma i prehrane</w:t>
            </w:r>
          </w:p>
        </w:tc>
      </w:tr>
      <w:tr w:rsidR="00BE41B8" w:rsidRPr="00510442" w14:paraId="1D326A9F" w14:textId="77777777" w:rsidTr="003179A4">
        <w:trPr>
          <w:cantSplit/>
        </w:trPr>
        <w:tc>
          <w:tcPr>
            <w:tcW w:w="2235" w:type="dxa"/>
          </w:tcPr>
          <w:p w14:paraId="66AFEA1E" w14:textId="77777777" w:rsidR="00BE41B8" w:rsidRPr="00510442" w:rsidRDefault="00BE41B8" w:rsidP="003179A4">
            <w:pPr>
              <w:keepNext/>
              <w:spacing w:line="240" w:lineRule="auto"/>
              <w:rPr>
                <w:i/>
                <w:color w:val="000000"/>
                <w:szCs w:val="22"/>
                <w:lang w:val="hr-HR"/>
              </w:rPr>
            </w:pPr>
            <w:r w:rsidRPr="00510442">
              <w:rPr>
                <w:i/>
                <w:szCs w:val="22"/>
                <w:lang w:val="hr-HR"/>
              </w:rPr>
              <w:t>Često</w:t>
            </w:r>
            <w:r w:rsidRPr="00510442">
              <w:rPr>
                <w:i/>
                <w:color w:val="000000"/>
                <w:szCs w:val="22"/>
                <w:lang w:val="hr-HR"/>
              </w:rPr>
              <w:t>:</w:t>
            </w:r>
          </w:p>
        </w:tc>
        <w:tc>
          <w:tcPr>
            <w:tcW w:w="7087" w:type="dxa"/>
          </w:tcPr>
          <w:p w14:paraId="05B57411" w14:textId="77777777" w:rsidR="00BE41B8" w:rsidRPr="00510442" w:rsidRDefault="00BE41B8" w:rsidP="003179A4">
            <w:pPr>
              <w:keepNext/>
              <w:spacing w:line="240" w:lineRule="auto"/>
              <w:rPr>
                <w:szCs w:val="22"/>
                <w:lang w:val="hr-HR"/>
              </w:rPr>
            </w:pPr>
            <w:r w:rsidRPr="00510442">
              <w:rPr>
                <w:szCs w:val="22"/>
                <w:lang w:val="hr-HR"/>
              </w:rPr>
              <w:t>Anoreksija</w:t>
            </w:r>
          </w:p>
        </w:tc>
      </w:tr>
      <w:tr w:rsidR="00BE41B8" w:rsidRPr="00F410C8" w14:paraId="6F61C8B7" w14:textId="77777777" w:rsidTr="003179A4">
        <w:trPr>
          <w:cantSplit/>
        </w:trPr>
        <w:tc>
          <w:tcPr>
            <w:tcW w:w="2235" w:type="dxa"/>
          </w:tcPr>
          <w:p w14:paraId="32312350" w14:textId="77777777" w:rsidR="00BE41B8" w:rsidRPr="00510442" w:rsidRDefault="00BE41B8" w:rsidP="003179A4">
            <w:pPr>
              <w:keepNext/>
              <w:spacing w:line="240" w:lineRule="auto"/>
              <w:rPr>
                <w:i/>
                <w:color w:val="000000"/>
                <w:szCs w:val="22"/>
                <w:lang w:val="hr-HR"/>
              </w:rPr>
            </w:pPr>
            <w:r w:rsidRPr="00510442">
              <w:rPr>
                <w:i/>
                <w:szCs w:val="22"/>
                <w:lang w:val="hr-HR"/>
              </w:rPr>
              <w:t>Manje često</w:t>
            </w:r>
            <w:r w:rsidRPr="00510442">
              <w:rPr>
                <w:i/>
                <w:color w:val="000000"/>
                <w:szCs w:val="22"/>
                <w:lang w:val="hr-HR"/>
              </w:rPr>
              <w:t>:</w:t>
            </w:r>
          </w:p>
        </w:tc>
        <w:tc>
          <w:tcPr>
            <w:tcW w:w="7087" w:type="dxa"/>
          </w:tcPr>
          <w:p w14:paraId="22248DD4" w14:textId="77777777" w:rsidR="00BE41B8" w:rsidRPr="00510442" w:rsidRDefault="00BE41B8" w:rsidP="003179A4">
            <w:pPr>
              <w:keepNext/>
              <w:spacing w:line="240" w:lineRule="auto"/>
              <w:rPr>
                <w:szCs w:val="22"/>
                <w:lang w:val="hr-HR"/>
              </w:rPr>
            </w:pPr>
            <w:r w:rsidRPr="00510442">
              <w:rPr>
                <w:szCs w:val="22"/>
                <w:lang w:val="hr-HR"/>
              </w:rPr>
              <w:t>Hipokalemija, povećan apetit, hipofosfatemija, smanjen apetit, dehidracija, giht, hiperuricemija, hiperkalcemija, hiperglikemija, hiponatremija</w:t>
            </w:r>
          </w:p>
        </w:tc>
      </w:tr>
      <w:tr w:rsidR="00BE41B8" w:rsidRPr="00510442" w14:paraId="070341EC" w14:textId="77777777" w:rsidTr="003179A4">
        <w:trPr>
          <w:cantSplit/>
        </w:trPr>
        <w:tc>
          <w:tcPr>
            <w:tcW w:w="2235" w:type="dxa"/>
          </w:tcPr>
          <w:p w14:paraId="155E185B" w14:textId="77777777" w:rsidR="00BE41B8" w:rsidRPr="00510442" w:rsidRDefault="00BE41B8" w:rsidP="00C210A6">
            <w:pPr>
              <w:spacing w:line="240" w:lineRule="auto"/>
              <w:rPr>
                <w:i/>
                <w:color w:val="000000"/>
                <w:szCs w:val="22"/>
                <w:lang w:val="hr-HR"/>
              </w:rPr>
            </w:pPr>
            <w:r w:rsidRPr="00510442">
              <w:rPr>
                <w:i/>
                <w:color w:val="000000"/>
                <w:szCs w:val="22"/>
                <w:lang w:val="hr-HR"/>
              </w:rPr>
              <w:t>Rijetko:</w:t>
            </w:r>
          </w:p>
        </w:tc>
        <w:tc>
          <w:tcPr>
            <w:tcW w:w="7087" w:type="dxa"/>
          </w:tcPr>
          <w:p w14:paraId="55D928E8" w14:textId="77777777" w:rsidR="00BE41B8" w:rsidRPr="00510442" w:rsidRDefault="00BE41B8" w:rsidP="00FD1AD8">
            <w:pPr>
              <w:spacing w:line="240" w:lineRule="auto"/>
              <w:rPr>
                <w:szCs w:val="22"/>
                <w:lang w:val="hr-HR"/>
              </w:rPr>
            </w:pPr>
            <w:r w:rsidRPr="00510442">
              <w:rPr>
                <w:szCs w:val="22"/>
                <w:lang w:val="hr-HR"/>
              </w:rPr>
              <w:t>Hiperkalemija, hipomagnezemija</w:t>
            </w:r>
          </w:p>
        </w:tc>
      </w:tr>
      <w:tr w:rsidR="00BE41B8" w:rsidRPr="00510442" w14:paraId="069ED3A7" w14:textId="77777777" w:rsidTr="003179A4">
        <w:trPr>
          <w:cantSplit/>
        </w:trPr>
        <w:tc>
          <w:tcPr>
            <w:tcW w:w="9322" w:type="dxa"/>
            <w:gridSpan w:val="2"/>
          </w:tcPr>
          <w:p w14:paraId="2304B4F5" w14:textId="77777777" w:rsidR="00BE41B8" w:rsidRPr="00510442" w:rsidRDefault="00BE41B8" w:rsidP="003179A4">
            <w:pPr>
              <w:keepNext/>
              <w:spacing w:line="240" w:lineRule="auto"/>
              <w:rPr>
                <w:color w:val="000000"/>
                <w:szCs w:val="22"/>
                <w:lang w:val="hr-HR"/>
              </w:rPr>
            </w:pPr>
            <w:r w:rsidRPr="00510442">
              <w:rPr>
                <w:b/>
                <w:szCs w:val="22"/>
                <w:lang w:val="hr-HR"/>
              </w:rPr>
              <w:t>Psihijatrijski poremećaji</w:t>
            </w:r>
          </w:p>
        </w:tc>
      </w:tr>
      <w:tr w:rsidR="00BE41B8" w:rsidRPr="00510442" w14:paraId="5F89F9FE" w14:textId="77777777" w:rsidTr="003179A4">
        <w:trPr>
          <w:cantSplit/>
        </w:trPr>
        <w:tc>
          <w:tcPr>
            <w:tcW w:w="2235" w:type="dxa"/>
          </w:tcPr>
          <w:p w14:paraId="162A6D6F" w14:textId="77777777" w:rsidR="00BE41B8" w:rsidRPr="00510442" w:rsidRDefault="00BE41B8" w:rsidP="003179A4">
            <w:pPr>
              <w:keepNext/>
              <w:spacing w:line="240" w:lineRule="auto"/>
              <w:rPr>
                <w:i/>
                <w:szCs w:val="22"/>
                <w:lang w:val="hr-HR"/>
              </w:rPr>
            </w:pPr>
            <w:r w:rsidRPr="00510442">
              <w:rPr>
                <w:i/>
                <w:szCs w:val="22"/>
                <w:lang w:val="hr-HR"/>
              </w:rPr>
              <w:t>Često</w:t>
            </w:r>
            <w:r w:rsidRPr="00510442">
              <w:rPr>
                <w:szCs w:val="22"/>
                <w:lang w:val="hr-HR"/>
              </w:rPr>
              <w:t>:</w:t>
            </w:r>
          </w:p>
        </w:tc>
        <w:tc>
          <w:tcPr>
            <w:tcW w:w="7087" w:type="dxa"/>
          </w:tcPr>
          <w:p w14:paraId="74B504E7" w14:textId="77777777" w:rsidR="00BE41B8" w:rsidRPr="00510442" w:rsidRDefault="00BE41B8" w:rsidP="003179A4">
            <w:pPr>
              <w:keepNext/>
              <w:spacing w:line="240" w:lineRule="auto"/>
              <w:rPr>
                <w:szCs w:val="22"/>
                <w:lang w:val="hr-HR"/>
              </w:rPr>
            </w:pPr>
            <w:r w:rsidRPr="00510442">
              <w:rPr>
                <w:szCs w:val="22"/>
                <w:lang w:val="hr-HR"/>
              </w:rPr>
              <w:t>Nesanica</w:t>
            </w:r>
          </w:p>
        </w:tc>
      </w:tr>
      <w:tr w:rsidR="00BE41B8" w:rsidRPr="00510442" w14:paraId="3DDE56CE" w14:textId="77777777" w:rsidTr="003179A4">
        <w:trPr>
          <w:cantSplit/>
        </w:trPr>
        <w:tc>
          <w:tcPr>
            <w:tcW w:w="2235" w:type="dxa"/>
          </w:tcPr>
          <w:p w14:paraId="4B486AA7" w14:textId="77777777" w:rsidR="00BE41B8" w:rsidRPr="00510442" w:rsidRDefault="00BE41B8" w:rsidP="003179A4">
            <w:pPr>
              <w:keepNext/>
              <w:spacing w:line="240" w:lineRule="auto"/>
              <w:rPr>
                <w:i/>
                <w:szCs w:val="22"/>
                <w:lang w:val="hr-HR"/>
              </w:rPr>
            </w:pPr>
            <w:r w:rsidRPr="00510442">
              <w:rPr>
                <w:i/>
                <w:szCs w:val="22"/>
                <w:lang w:val="hr-HR"/>
              </w:rPr>
              <w:t>Manje često:</w:t>
            </w:r>
          </w:p>
        </w:tc>
        <w:tc>
          <w:tcPr>
            <w:tcW w:w="7087" w:type="dxa"/>
          </w:tcPr>
          <w:p w14:paraId="3430594B" w14:textId="77777777" w:rsidR="00BE41B8" w:rsidRPr="00510442" w:rsidRDefault="00BE41B8" w:rsidP="003179A4">
            <w:pPr>
              <w:keepNext/>
              <w:spacing w:line="240" w:lineRule="auto"/>
              <w:rPr>
                <w:szCs w:val="22"/>
                <w:lang w:val="hr-HR"/>
              </w:rPr>
            </w:pPr>
            <w:r w:rsidRPr="00510442">
              <w:rPr>
                <w:szCs w:val="22"/>
                <w:lang w:val="hr-HR"/>
              </w:rPr>
              <w:t>Depresija, smanjeni libido, anksioznost</w:t>
            </w:r>
          </w:p>
        </w:tc>
      </w:tr>
      <w:tr w:rsidR="00BE41B8" w:rsidRPr="00510442" w14:paraId="456F8E72" w14:textId="77777777" w:rsidTr="003179A4">
        <w:trPr>
          <w:cantSplit/>
        </w:trPr>
        <w:tc>
          <w:tcPr>
            <w:tcW w:w="2235" w:type="dxa"/>
          </w:tcPr>
          <w:p w14:paraId="15B4FE65" w14:textId="77777777" w:rsidR="00BE41B8" w:rsidRPr="00510442" w:rsidRDefault="00BE41B8" w:rsidP="00C210A6">
            <w:pPr>
              <w:spacing w:line="240" w:lineRule="auto"/>
              <w:rPr>
                <w:i/>
                <w:szCs w:val="22"/>
                <w:lang w:val="hr-HR"/>
              </w:rPr>
            </w:pPr>
            <w:r w:rsidRPr="00510442">
              <w:rPr>
                <w:i/>
                <w:szCs w:val="22"/>
                <w:lang w:val="hr-HR"/>
              </w:rPr>
              <w:t>Rijetko:</w:t>
            </w:r>
          </w:p>
        </w:tc>
        <w:tc>
          <w:tcPr>
            <w:tcW w:w="7087" w:type="dxa"/>
          </w:tcPr>
          <w:p w14:paraId="5B902F33" w14:textId="77777777" w:rsidR="00BE41B8" w:rsidRPr="00510442" w:rsidRDefault="00BE41B8" w:rsidP="00C210A6">
            <w:pPr>
              <w:spacing w:line="240" w:lineRule="auto"/>
              <w:rPr>
                <w:szCs w:val="22"/>
                <w:lang w:val="hr-HR"/>
              </w:rPr>
            </w:pPr>
            <w:r w:rsidRPr="00510442">
              <w:rPr>
                <w:szCs w:val="22"/>
                <w:lang w:val="hr-HR"/>
              </w:rPr>
              <w:t>Konfuzno stanje</w:t>
            </w:r>
          </w:p>
        </w:tc>
      </w:tr>
      <w:tr w:rsidR="00BE41B8" w:rsidRPr="00510442" w14:paraId="3727F3F2" w14:textId="77777777" w:rsidTr="003179A4">
        <w:trPr>
          <w:cantSplit/>
        </w:trPr>
        <w:tc>
          <w:tcPr>
            <w:tcW w:w="9322" w:type="dxa"/>
            <w:gridSpan w:val="2"/>
          </w:tcPr>
          <w:p w14:paraId="63B879DD" w14:textId="77777777" w:rsidR="00BE41B8" w:rsidRPr="00510442" w:rsidRDefault="00BE41B8" w:rsidP="003179A4">
            <w:pPr>
              <w:keepNext/>
              <w:spacing w:line="240" w:lineRule="auto"/>
              <w:rPr>
                <w:color w:val="000000"/>
                <w:szCs w:val="22"/>
                <w:lang w:val="hr-HR"/>
              </w:rPr>
            </w:pPr>
            <w:r w:rsidRPr="00510442">
              <w:rPr>
                <w:b/>
                <w:szCs w:val="22"/>
                <w:lang w:val="hr-HR"/>
              </w:rPr>
              <w:lastRenderedPageBreak/>
              <w:t>Poremećaji živčanog sustava</w:t>
            </w:r>
          </w:p>
        </w:tc>
      </w:tr>
      <w:tr w:rsidR="00BE41B8" w:rsidRPr="00510442" w14:paraId="38B65FAD" w14:textId="77777777" w:rsidTr="003179A4">
        <w:trPr>
          <w:cantSplit/>
        </w:trPr>
        <w:tc>
          <w:tcPr>
            <w:tcW w:w="2235" w:type="dxa"/>
          </w:tcPr>
          <w:p w14:paraId="12C64A88" w14:textId="77777777" w:rsidR="00BE41B8" w:rsidRPr="00510442" w:rsidRDefault="00BE41B8" w:rsidP="003179A4">
            <w:pPr>
              <w:keepNext/>
              <w:spacing w:line="240" w:lineRule="auto"/>
              <w:rPr>
                <w:szCs w:val="22"/>
                <w:lang w:val="hr-HR"/>
              </w:rPr>
            </w:pPr>
            <w:r w:rsidRPr="00510442">
              <w:rPr>
                <w:i/>
                <w:szCs w:val="22"/>
                <w:lang w:val="hr-HR"/>
              </w:rPr>
              <w:t>Vrlo često:</w:t>
            </w:r>
          </w:p>
        </w:tc>
        <w:tc>
          <w:tcPr>
            <w:tcW w:w="7087" w:type="dxa"/>
          </w:tcPr>
          <w:p w14:paraId="5C25FF0C" w14:textId="77777777" w:rsidR="00BE41B8" w:rsidRPr="00510442" w:rsidRDefault="00BE41B8" w:rsidP="003179A4">
            <w:pPr>
              <w:keepNext/>
              <w:spacing w:line="240" w:lineRule="auto"/>
              <w:rPr>
                <w:szCs w:val="22"/>
                <w:lang w:val="hr-HR"/>
              </w:rPr>
            </w:pPr>
            <w:r w:rsidRPr="00510442">
              <w:rPr>
                <w:szCs w:val="22"/>
                <w:lang w:val="hr-HR"/>
              </w:rPr>
              <w:t>Glavobolja</w:t>
            </w:r>
            <w:r w:rsidRPr="00510442">
              <w:rPr>
                <w:szCs w:val="22"/>
                <w:vertAlign w:val="superscript"/>
                <w:lang w:val="hr-HR"/>
              </w:rPr>
              <w:t>2</w:t>
            </w:r>
          </w:p>
        </w:tc>
      </w:tr>
      <w:tr w:rsidR="00BE41B8" w:rsidRPr="00F410C8" w14:paraId="71637E6C" w14:textId="77777777" w:rsidTr="003179A4">
        <w:trPr>
          <w:cantSplit/>
        </w:trPr>
        <w:tc>
          <w:tcPr>
            <w:tcW w:w="2235" w:type="dxa"/>
          </w:tcPr>
          <w:p w14:paraId="47815467" w14:textId="77777777" w:rsidR="00BE41B8" w:rsidRPr="00510442" w:rsidRDefault="00BE41B8" w:rsidP="003179A4">
            <w:pPr>
              <w:keepNext/>
              <w:spacing w:line="240" w:lineRule="auto"/>
              <w:rPr>
                <w:szCs w:val="22"/>
                <w:lang w:val="hr-HR"/>
              </w:rPr>
            </w:pPr>
            <w:r w:rsidRPr="00510442">
              <w:rPr>
                <w:i/>
                <w:szCs w:val="22"/>
                <w:lang w:val="hr-HR"/>
              </w:rPr>
              <w:t>Često</w:t>
            </w:r>
            <w:r w:rsidRPr="00510442">
              <w:rPr>
                <w:szCs w:val="22"/>
                <w:lang w:val="hr-HR"/>
              </w:rPr>
              <w:t>:</w:t>
            </w:r>
          </w:p>
        </w:tc>
        <w:tc>
          <w:tcPr>
            <w:tcW w:w="7087" w:type="dxa"/>
          </w:tcPr>
          <w:p w14:paraId="478FC41E" w14:textId="77777777" w:rsidR="00BE41B8" w:rsidRPr="00510442" w:rsidRDefault="00BE41B8" w:rsidP="003179A4">
            <w:pPr>
              <w:keepNext/>
              <w:spacing w:line="240" w:lineRule="auto"/>
              <w:rPr>
                <w:szCs w:val="22"/>
                <w:lang w:val="hr-HR"/>
              </w:rPr>
            </w:pPr>
            <w:r w:rsidRPr="00510442">
              <w:rPr>
                <w:szCs w:val="22"/>
                <w:lang w:val="hr-HR"/>
              </w:rPr>
              <w:t>Omaglica, parestezija, poremećaj okusa, hipoestezija</w:t>
            </w:r>
          </w:p>
        </w:tc>
      </w:tr>
      <w:tr w:rsidR="00BE41B8" w:rsidRPr="00F410C8" w14:paraId="38ECAC6F" w14:textId="77777777" w:rsidTr="003179A4">
        <w:trPr>
          <w:cantSplit/>
        </w:trPr>
        <w:tc>
          <w:tcPr>
            <w:tcW w:w="2235" w:type="dxa"/>
          </w:tcPr>
          <w:p w14:paraId="10F5F909" w14:textId="77777777" w:rsidR="00BE41B8" w:rsidRPr="00510442" w:rsidRDefault="00BE41B8" w:rsidP="003179A4">
            <w:pPr>
              <w:keepNext/>
              <w:spacing w:line="240" w:lineRule="auto"/>
              <w:rPr>
                <w:szCs w:val="22"/>
                <w:lang w:val="hr-HR"/>
              </w:rPr>
            </w:pPr>
            <w:r w:rsidRPr="00510442">
              <w:rPr>
                <w:i/>
                <w:szCs w:val="22"/>
                <w:lang w:val="hr-HR"/>
              </w:rPr>
              <w:t>Manje često:</w:t>
            </w:r>
          </w:p>
        </w:tc>
        <w:tc>
          <w:tcPr>
            <w:tcW w:w="7087" w:type="dxa"/>
          </w:tcPr>
          <w:p w14:paraId="475F953A" w14:textId="77777777" w:rsidR="00BE41B8" w:rsidRPr="00510442" w:rsidRDefault="00BE41B8" w:rsidP="003179A4">
            <w:pPr>
              <w:keepNext/>
              <w:spacing w:line="240" w:lineRule="auto"/>
              <w:rPr>
                <w:szCs w:val="22"/>
                <w:lang w:val="hr-HR"/>
              </w:rPr>
            </w:pPr>
            <w:r w:rsidRPr="00510442">
              <w:rPr>
                <w:szCs w:val="22"/>
                <w:lang w:val="hr-HR"/>
              </w:rPr>
              <w:t>Migrena, pospanost, sinkopa, periferna neuropatija, poremećaj pamćenja, ishijalgija, sindrom nemirnih nogu, tremor, cerebralno krvarenje</w:t>
            </w:r>
          </w:p>
        </w:tc>
      </w:tr>
      <w:tr w:rsidR="00BE41B8" w:rsidRPr="00F410C8" w14:paraId="0D3BD093" w14:textId="77777777" w:rsidTr="003179A4">
        <w:trPr>
          <w:cantSplit/>
        </w:trPr>
        <w:tc>
          <w:tcPr>
            <w:tcW w:w="2235" w:type="dxa"/>
          </w:tcPr>
          <w:p w14:paraId="6A9FFA69" w14:textId="77777777" w:rsidR="00BE41B8" w:rsidRPr="00510442" w:rsidRDefault="00BE41B8" w:rsidP="003179A4">
            <w:pPr>
              <w:keepNext/>
              <w:spacing w:line="240" w:lineRule="auto"/>
              <w:rPr>
                <w:color w:val="000000"/>
                <w:szCs w:val="22"/>
                <w:lang w:val="hr-HR"/>
              </w:rPr>
            </w:pPr>
            <w:r w:rsidRPr="00510442">
              <w:rPr>
                <w:i/>
                <w:color w:val="000000"/>
                <w:szCs w:val="22"/>
                <w:lang w:val="hr-HR"/>
              </w:rPr>
              <w:t>Rijetko:</w:t>
            </w:r>
          </w:p>
        </w:tc>
        <w:tc>
          <w:tcPr>
            <w:tcW w:w="7087" w:type="dxa"/>
          </w:tcPr>
          <w:p w14:paraId="1656710E" w14:textId="77777777" w:rsidR="00BE41B8" w:rsidRPr="00510442" w:rsidRDefault="00BE41B8" w:rsidP="003179A4">
            <w:pPr>
              <w:keepNext/>
              <w:spacing w:line="240" w:lineRule="auto"/>
              <w:rPr>
                <w:szCs w:val="22"/>
                <w:lang w:val="hr-HR"/>
              </w:rPr>
            </w:pPr>
            <w:r w:rsidRPr="00510442">
              <w:rPr>
                <w:szCs w:val="22"/>
                <w:lang w:val="hr-HR"/>
              </w:rPr>
              <w:t>Povišen intrakranijalni tlak, konvulzije, optički neuritis</w:t>
            </w:r>
          </w:p>
        </w:tc>
      </w:tr>
      <w:tr w:rsidR="004C7699" w:rsidRPr="00510442" w14:paraId="603B6314" w14:textId="77777777" w:rsidTr="003179A4">
        <w:trPr>
          <w:cantSplit/>
        </w:trPr>
        <w:tc>
          <w:tcPr>
            <w:tcW w:w="2235" w:type="dxa"/>
          </w:tcPr>
          <w:p w14:paraId="4ABD4A81" w14:textId="77777777" w:rsidR="004C7699" w:rsidRPr="00307897" w:rsidRDefault="004C7699" w:rsidP="00C210A6">
            <w:pPr>
              <w:spacing w:line="240" w:lineRule="auto"/>
              <w:rPr>
                <w:i/>
                <w:color w:val="000000"/>
                <w:szCs w:val="22"/>
                <w:lang w:val="hr-HR"/>
              </w:rPr>
            </w:pPr>
            <w:r w:rsidRPr="00510442">
              <w:rPr>
                <w:i/>
                <w:color w:val="000000"/>
                <w:szCs w:val="22"/>
                <w:lang w:val="hr-HR"/>
              </w:rPr>
              <w:t>Nepoznato:</w:t>
            </w:r>
          </w:p>
        </w:tc>
        <w:tc>
          <w:tcPr>
            <w:tcW w:w="7087" w:type="dxa"/>
          </w:tcPr>
          <w:p w14:paraId="5AE00C0E" w14:textId="77777777" w:rsidR="004C7699" w:rsidRPr="00307897" w:rsidRDefault="004C7699" w:rsidP="00C210A6">
            <w:pPr>
              <w:spacing w:line="240" w:lineRule="auto"/>
              <w:rPr>
                <w:szCs w:val="22"/>
                <w:lang w:val="hr-HR"/>
              </w:rPr>
            </w:pPr>
            <w:r w:rsidRPr="00510442">
              <w:rPr>
                <w:color w:val="000000"/>
                <w:szCs w:val="22"/>
                <w:lang w:val="hr-HR"/>
              </w:rPr>
              <w:t>Cerebralni edem*</w:t>
            </w:r>
          </w:p>
        </w:tc>
      </w:tr>
      <w:tr w:rsidR="004C7699" w:rsidRPr="00510442" w14:paraId="117AC28C" w14:textId="77777777" w:rsidTr="003179A4">
        <w:trPr>
          <w:cantSplit/>
        </w:trPr>
        <w:tc>
          <w:tcPr>
            <w:tcW w:w="9322" w:type="dxa"/>
            <w:gridSpan w:val="2"/>
          </w:tcPr>
          <w:p w14:paraId="6154E8FB" w14:textId="77777777" w:rsidR="004C7699" w:rsidRPr="00510442" w:rsidRDefault="004C7699" w:rsidP="003179A4">
            <w:pPr>
              <w:keepNext/>
              <w:spacing w:line="240" w:lineRule="auto"/>
              <w:rPr>
                <w:szCs w:val="22"/>
                <w:lang w:val="hr-HR"/>
              </w:rPr>
            </w:pPr>
            <w:r w:rsidRPr="00510442">
              <w:rPr>
                <w:b/>
                <w:szCs w:val="22"/>
                <w:lang w:val="hr-HR"/>
              </w:rPr>
              <w:t>Poremećaji oka</w:t>
            </w:r>
          </w:p>
        </w:tc>
      </w:tr>
      <w:tr w:rsidR="004C7699" w:rsidRPr="00F410C8" w14:paraId="67C4603F" w14:textId="77777777" w:rsidTr="003179A4">
        <w:trPr>
          <w:cantSplit/>
        </w:trPr>
        <w:tc>
          <w:tcPr>
            <w:tcW w:w="2235" w:type="dxa"/>
          </w:tcPr>
          <w:p w14:paraId="2D8634C6" w14:textId="77777777" w:rsidR="004C7699" w:rsidRPr="00510442" w:rsidRDefault="004C7699" w:rsidP="003179A4">
            <w:pPr>
              <w:keepNext/>
              <w:spacing w:line="240" w:lineRule="auto"/>
              <w:rPr>
                <w:szCs w:val="22"/>
                <w:lang w:val="hr-HR"/>
              </w:rPr>
            </w:pPr>
            <w:r w:rsidRPr="00510442">
              <w:rPr>
                <w:i/>
                <w:szCs w:val="22"/>
                <w:lang w:val="hr-HR"/>
              </w:rPr>
              <w:t>Često</w:t>
            </w:r>
            <w:r w:rsidRPr="00510442">
              <w:rPr>
                <w:szCs w:val="22"/>
                <w:lang w:val="hr-HR"/>
              </w:rPr>
              <w:t>:</w:t>
            </w:r>
          </w:p>
        </w:tc>
        <w:tc>
          <w:tcPr>
            <w:tcW w:w="7087" w:type="dxa"/>
          </w:tcPr>
          <w:p w14:paraId="10A36773" w14:textId="77777777" w:rsidR="004C7699" w:rsidRPr="00510442" w:rsidRDefault="004C7699" w:rsidP="003179A4">
            <w:pPr>
              <w:keepNext/>
              <w:spacing w:line="240" w:lineRule="auto"/>
              <w:rPr>
                <w:szCs w:val="22"/>
                <w:lang w:val="hr-HR"/>
              </w:rPr>
            </w:pPr>
            <w:r w:rsidRPr="00510442">
              <w:rPr>
                <w:szCs w:val="22"/>
                <w:lang w:val="hr-HR"/>
              </w:rPr>
              <w:t xml:space="preserve">Edem kapaka, pojačano suzenje, konjunktivalno krvarenje, konjunktivitis, suhe oči, zamagljen vid </w:t>
            </w:r>
          </w:p>
        </w:tc>
      </w:tr>
      <w:tr w:rsidR="004C7699" w:rsidRPr="00F410C8" w14:paraId="3AF1D72B" w14:textId="77777777" w:rsidTr="003179A4">
        <w:trPr>
          <w:cantSplit/>
        </w:trPr>
        <w:tc>
          <w:tcPr>
            <w:tcW w:w="2235" w:type="dxa"/>
          </w:tcPr>
          <w:p w14:paraId="73AD36F0" w14:textId="77777777" w:rsidR="004C7699" w:rsidRPr="00510442" w:rsidRDefault="004C7699" w:rsidP="003179A4">
            <w:pPr>
              <w:keepNext/>
              <w:spacing w:line="240" w:lineRule="auto"/>
              <w:rPr>
                <w:szCs w:val="22"/>
                <w:lang w:val="hr-HR"/>
              </w:rPr>
            </w:pPr>
            <w:r w:rsidRPr="00510442">
              <w:rPr>
                <w:i/>
                <w:szCs w:val="22"/>
                <w:lang w:val="hr-HR"/>
              </w:rPr>
              <w:t>Manje često:</w:t>
            </w:r>
          </w:p>
        </w:tc>
        <w:tc>
          <w:tcPr>
            <w:tcW w:w="7087" w:type="dxa"/>
          </w:tcPr>
          <w:p w14:paraId="57217E29" w14:textId="77777777" w:rsidR="004C7699" w:rsidRPr="00510442" w:rsidRDefault="004C7699" w:rsidP="003179A4">
            <w:pPr>
              <w:keepNext/>
              <w:spacing w:line="240" w:lineRule="auto"/>
              <w:rPr>
                <w:szCs w:val="22"/>
                <w:lang w:val="hr-HR"/>
              </w:rPr>
            </w:pPr>
            <w:r w:rsidRPr="00510442">
              <w:rPr>
                <w:szCs w:val="22"/>
                <w:lang w:val="hr-HR"/>
              </w:rPr>
              <w:t>Iritacija oka, bol u oku, orbitalni edem, krvarenje bjeloočnice, krvarenje mrežnice, blefaritis, makularni edem</w:t>
            </w:r>
          </w:p>
        </w:tc>
      </w:tr>
      <w:tr w:rsidR="004C7699" w:rsidRPr="00510442" w14:paraId="00E2053B" w14:textId="77777777" w:rsidTr="003179A4">
        <w:trPr>
          <w:cantSplit/>
        </w:trPr>
        <w:tc>
          <w:tcPr>
            <w:tcW w:w="2235" w:type="dxa"/>
          </w:tcPr>
          <w:p w14:paraId="6AD85227" w14:textId="77777777" w:rsidR="004C7699" w:rsidRPr="00510442" w:rsidRDefault="004C7699" w:rsidP="003179A4">
            <w:pPr>
              <w:keepNext/>
              <w:spacing w:line="240" w:lineRule="auto"/>
              <w:rPr>
                <w:szCs w:val="22"/>
                <w:lang w:val="hr-HR"/>
              </w:rPr>
            </w:pPr>
            <w:r w:rsidRPr="00510442">
              <w:rPr>
                <w:i/>
                <w:szCs w:val="22"/>
                <w:lang w:val="hr-HR"/>
              </w:rPr>
              <w:t>Rijetko:</w:t>
            </w:r>
          </w:p>
        </w:tc>
        <w:tc>
          <w:tcPr>
            <w:tcW w:w="7087" w:type="dxa"/>
          </w:tcPr>
          <w:p w14:paraId="07D49197" w14:textId="77777777" w:rsidR="004C7699" w:rsidRPr="00510442" w:rsidRDefault="004C7699" w:rsidP="003179A4">
            <w:pPr>
              <w:keepNext/>
              <w:spacing w:line="240" w:lineRule="auto"/>
              <w:rPr>
                <w:szCs w:val="22"/>
                <w:lang w:val="hr-HR"/>
              </w:rPr>
            </w:pPr>
            <w:r w:rsidRPr="00510442">
              <w:rPr>
                <w:szCs w:val="22"/>
                <w:lang w:val="hr-HR"/>
              </w:rPr>
              <w:t>Katarakta, glaukom, papiloedem</w:t>
            </w:r>
          </w:p>
        </w:tc>
      </w:tr>
      <w:tr w:rsidR="004C7699" w:rsidRPr="00510442" w14:paraId="2C31006B" w14:textId="77777777" w:rsidTr="003179A4">
        <w:trPr>
          <w:cantSplit/>
        </w:trPr>
        <w:tc>
          <w:tcPr>
            <w:tcW w:w="2235" w:type="dxa"/>
          </w:tcPr>
          <w:p w14:paraId="79EF64D3" w14:textId="77777777" w:rsidR="004C7699" w:rsidRPr="00307897" w:rsidRDefault="004C7699" w:rsidP="00C210A6">
            <w:pPr>
              <w:spacing w:line="240" w:lineRule="auto"/>
              <w:rPr>
                <w:i/>
                <w:szCs w:val="22"/>
                <w:lang w:val="hr-HR"/>
              </w:rPr>
            </w:pPr>
            <w:r w:rsidRPr="00510442">
              <w:rPr>
                <w:i/>
                <w:color w:val="000000"/>
                <w:szCs w:val="22"/>
                <w:lang w:val="hr-HR"/>
              </w:rPr>
              <w:t>Nepoznato:</w:t>
            </w:r>
          </w:p>
        </w:tc>
        <w:tc>
          <w:tcPr>
            <w:tcW w:w="7087" w:type="dxa"/>
          </w:tcPr>
          <w:p w14:paraId="6FFBDBED" w14:textId="77777777" w:rsidR="004C7699" w:rsidRPr="00307897" w:rsidRDefault="004C7699" w:rsidP="00C210A6">
            <w:pPr>
              <w:spacing w:line="240" w:lineRule="auto"/>
              <w:rPr>
                <w:szCs w:val="22"/>
                <w:lang w:val="hr-HR"/>
              </w:rPr>
            </w:pPr>
            <w:r w:rsidRPr="00307897">
              <w:rPr>
                <w:color w:val="000000"/>
                <w:szCs w:val="22"/>
                <w:lang w:val="hr-HR"/>
              </w:rPr>
              <w:t>Krvarenje u staklasto tijelo</w:t>
            </w:r>
            <w:r w:rsidRPr="00510442">
              <w:rPr>
                <w:color w:val="000000"/>
                <w:szCs w:val="22"/>
                <w:lang w:val="hr-HR"/>
              </w:rPr>
              <w:t>*</w:t>
            </w:r>
          </w:p>
        </w:tc>
      </w:tr>
      <w:tr w:rsidR="004C7699" w:rsidRPr="00510442" w14:paraId="1DC230C2" w14:textId="77777777" w:rsidTr="003179A4">
        <w:trPr>
          <w:cantSplit/>
        </w:trPr>
        <w:tc>
          <w:tcPr>
            <w:tcW w:w="9322" w:type="dxa"/>
            <w:gridSpan w:val="2"/>
          </w:tcPr>
          <w:p w14:paraId="6EE9E34F" w14:textId="77777777" w:rsidR="004C7699" w:rsidRPr="00510442" w:rsidRDefault="004C7699" w:rsidP="003179A4">
            <w:pPr>
              <w:keepNext/>
              <w:spacing w:line="240" w:lineRule="auto"/>
              <w:rPr>
                <w:color w:val="000000"/>
                <w:szCs w:val="22"/>
                <w:lang w:val="hr-HR"/>
              </w:rPr>
            </w:pPr>
            <w:r w:rsidRPr="00510442">
              <w:rPr>
                <w:b/>
                <w:color w:val="000000"/>
                <w:szCs w:val="22"/>
                <w:lang w:val="hr-HR"/>
              </w:rPr>
              <w:t>P</w:t>
            </w:r>
            <w:r w:rsidRPr="00510442">
              <w:rPr>
                <w:b/>
                <w:szCs w:val="22"/>
                <w:lang w:val="hr-HR"/>
              </w:rPr>
              <w:t>oremećaji uha i labirinta</w:t>
            </w:r>
          </w:p>
        </w:tc>
      </w:tr>
      <w:tr w:rsidR="004C7699" w:rsidRPr="00510442" w14:paraId="1AD12E05" w14:textId="77777777" w:rsidTr="003179A4">
        <w:trPr>
          <w:cantSplit/>
        </w:trPr>
        <w:tc>
          <w:tcPr>
            <w:tcW w:w="2235" w:type="dxa"/>
          </w:tcPr>
          <w:p w14:paraId="3DD53B0C" w14:textId="77777777" w:rsidR="004C7699" w:rsidRPr="00510442" w:rsidRDefault="004C7699" w:rsidP="00C210A6">
            <w:pPr>
              <w:spacing w:line="240" w:lineRule="auto"/>
              <w:rPr>
                <w:color w:val="000000"/>
                <w:szCs w:val="22"/>
                <w:lang w:val="hr-HR"/>
              </w:rPr>
            </w:pPr>
            <w:r w:rsidRPr="00510442">
              <w:rPr>
                <w:i/>
                <w:szCs w:val="22"/>
                <w:lang w:val="hr-HR"/>
              </w:rPr>
              <w:t>Manje često</w:t>
            </w:r>
            <w:r w:rsidRPr="00510442">
              <w:rPr>
                <w:i/>
                <w:color w:val="000000"/>
                <w:szCs w:val="22"/>
                <w:lang w:val="hr-HR"/>
              </w:rPr>
              <w:t>:</w:t>
            </w:r>
          </w:p>
        </w:tc>
        <w:tc>
          <w:tcPr>
            <w:tcW w:w="7087" w:type="dxa"/>
          </w:tcPr>
          <w:p w14:paraId="38471A85" w14:textId="77777777" w:rsidR="004C7699" w:rsidRPr="00510442" w:rsidRDefault="004C7699" w:rsidP="00C210A6">
            <w:pPr>
              <w:spacing w:line="240" w:lineRule="auto"/>
              <w:rPr>
                <w:color w:val="000000"/>
                <w:szCs w:val="22"/>
                <w:lang w:val="hr-HR"/>
              </w:rPr>
            </w:pPr>
            <w:r w:rsidRPr="00510442">
              <w:rPr>
                <w:szCs w:val="22"/>
                <w:lang w:val="hr-HR"/>
              </w:rPr>
              <w:t>Vrtoglavica, tinitus, gubitak sluha</w:t>
            </w:r>
          </w:p>
        </w:tc>
      </w:tr>
      <w:tr w:rsidR="004C7699" w:rsidRPr="00510442" w14:paraId="3F53BBFE" w14:textId="77777777" w:rsidTr="003179A4">
        <w:trPr>
          <w:cantSplit/>
        </w:trPr>
        <w:tc>
          <w:tcPr>
            <w:tcW w:w="9322" w:type="dxa"/>
            <w:gridSpan w:val="2"/>
          </w:tcPr>
          <w:p w14:paraId="65DF3727" w14:textId="77777777" w:rsidR="004C7699" w:rsidRPr="00510442" w:rsidRDefault="004C7699" w:rsidP="003179A4">
            <w:pPr>
              <w:keepNext/>
              <w:spacing w:line="240" w:lineRule="auto"/>
              <w:rPr>
                <w:color w:val="000000"/>
                <w:szCs w:val="22"/>
                <w:lang w:val="hr-HR"/>
              </w:rPr>
            </w:pPr>
            <w:r w:rsidRPr="00510442">
              <w:rPr>
                <w:b/>
                <w:szCs w:val="22"/>
                <w:lang w:val="hr-HR"/>
              </w:rPr>
              <w:t>Srčani poremećaji</w:t>
            </w:r>
          </w:p>
        </w:tc>
      </w:tr>
      <w:tr w:rsidR="004C7699" w:rsidRPr="00F410C8" w14:paraId="363DD532" w14:textId="77777777" w:rsidTr="003179A4">
        <w:trPr>
          <w:cantSplit/>
        </w:trPr>
        <w:tc>
          <w:tcPr>
            <w:tcW w:w="2235" w:type="dxa"/>
          </w:tcPr>
          <w:p w14:paraId="0A5FDD89" w14:textId="77777777" w:rsidR="004C7699" w:rsidRPr="00510442" w:rsidRDefault="004C7699" w:rsidP="003179A4">
            <w:pPr>
              <w:keepNext/>
              <w:spacing w:line="240" w:lineRule="auto"/>
              <w:rPr>
                <w:szCs w:val="22"/>
                <w:lang w:val="hr-HR"/>
              </w:rPr>
            </w:pPr>
            <w:r w:rsidRPr="00510442">
              <w:rPr>
                <w:i/>
                <w:szCs w:val="22"/>
                <w:lang w:val="hr-HR"/>
              </w:rPr>
              <w:t>Manje često:</w:t>
            </w:r>
          </w:p>
        </w:tc>
        <w:tc>
          <w:tcPr>
            <w:tcW w:w="7087" w:type="dxa"/>
          </w:tcPr>
          <w:p w14:paraId="1AC29794" w14:textId="77777777" w:rsidR="004C7699" w:rsidRPr="00510442" w:rsidRDefault="004C7699" w:rsidP="003179A4">
            <w:pPr>
              <w:keepNext/>
              <w:spacing w:line="240" w:lineRule="auto"/>
              <w:rPr>
                <w:szCs w:val="22"/>
                <w:lang w:val="hr-HR"/>
              </w:rPr>
            </w:pPr>
            <w:r w:rsidRPr="00510442">
              <w:rPr>
                <w:szCs w:val="22"/>
                <w:lang w:val="hr-HR"/>
              </w:rPr>
              <w:t>Palpitacije, tahikardija, kongestivno zatajenje srca</w:t>
            </w:r>
            <w:r w:rsidRPr="00510442">
              <w:rPr>
                <w:szCs w:val="22"/>
                <w:vertAlign w:val="superscript"/>
                <w:lang w:val="hr-HR"/>
              </w:rPr>
              <w:t>3</w:t>
            </w:r>
            <w:r w:rsidRPr="00510442">
              <w:rPr>
                <w:szCs w:val="22"/>
                <w:lang w:val="hr-HR"/>
              </w:rPr>
              <w:t>, plućni edem</w:t>
            </w:r>
          </w:p>
        </w:tc>
      </w:tr>
      <w:tr w:rsidR="004C7699" w:rsidRPr="00F410C8" w14:paraId="79D0AC7B" w14:textId="77777777" w:rsidTr="003179A4">
        <w:trPr>
          <w:cantSplit/>
        </w:trPr>
        <w:tc>
          <w:tcPr>
            <w:tcW w:w="2235" w:type="dxa"/>
          </w:tcPr>
          <w:p w14:paraId="7D289D20" w14:textId="77777777" w:rsidR="004C7699" w:rsidRPr="00510442" w:rsidRDefault="004C7699" w:rsidP="003179A4">
            <w:pPr>
              <w:keepNext/>
              <w:spacing w:line="240" w:lineRule="auto"/>
              <w:rPr>
                <w:szCs w:val="22"/>
                <w:lang w:val="hr-HR"/>
              </w:rPr>
            </w:pPr>
            <w:r w:rsidRPr="00510442">
              <w:rPr>
                <w:i/>
                <w:szCs w:val="22"/>
                <w:lang w:val="hr-HR"/>
              </w:rPr>
              <w:t>Rijetko:</w:t>
            </w:r>
          </w:p>
        </w:tc>
        <w:tc>
          <w:tcPr>
            <w:tcW w:w="7087" w:type="dxa"/>
          </w:tcPr>
          <w:p w14:paraId="1A20DD26" w14:textId="77777777" w:rsidR="004C7699" w:rsidRPr="00510442" w:rsidRDefault="004C7699" w:rsidP="003179A4">
            <w:pPr>
              <w:keepNext/>
              <w:spacing w:line="240" w:lineRule="auto"/>
              <w:rPr>
                <w:szCs w:val="22"/>
                <w:lang w:val="hr-HR"/>
              </w:rPr>
            </w:pPr>
            <w:r w:rsidRPr="00510442">
              <w:rPr>
                <w:szCs w:val="22"/>
                <w:lang w:val="hr-HR"/>
              </w:rPr>
              <w:t>Aritmija, fibrilacija atrija, srčani zastoj, infarkt miokarda, angina pektoris, perikardijalna efuzija</w:t>
            </w:r>
          </w:p>
        </w:tc>
      </w:tr>
      <w:tr w:rsidR="004C7699" w:rsidRPr="00510442" w14:paraId="759F1DE1" w14:textId="77777777" w:rsidTr="003179A4">
        <w:trPr>
          <w:cantSplit/>
        </w:trPr>
        <w:tc>
          <w:tcPr>
            <w:tcW w:w="2235" w:type="dxa"/>
          </w:tcPr>
          <w:p w14:paraId="5575D4EE" w14:textId="77777777" w:rsidR="004C7699" w:rsidRPr="00307897" w:rsidRDefault="004C7699" w:rsidP="00C210A6">
            <w:pPr>
              <w:spacing w:line="240" w:lineRule="auto"/>
              <w:rPr>
                <w:i/>
                <w:szCs w:val="22"/>
                <w:lang w:val="hr-HR"/>
              </w:rPr>
            </w:pPr>
            <w:r w:rsidRPr="00510442">
              <w:rPr>
                <w:i/>
                <w:color w:val="000000"/>
                <w:szCs w:val="22"/>
                <w:lang w:val="hr-HR"/>
              </w:rPr>
              <w:t>Nepoznato:</w:t>
            </w:r>
          </w:p>
        </w:tc>
        <w:tc>
          <w:tcPr>
            <w:tcW w:w="7087" w:type="dxa"/>
          </w:tcPr>
          <w:p w14:paraId="24769E2E" w14:textId="77777777" w:rsidR="004C7699" w:rsidRPr="00307897" w:rsidRDefault="004C7699" w:rsidP="00C210A6">
            <w:pPr>
              <w:spacing w:line="240" w:lineRule="auto"/>
              <w:rPr>
                <w:szCs w:val="22"/>
                <w:lang w:val="hr-HR"/>
              </w:rPr>
            </w:pPr>
            <w:r w:rsidRPr="00307897">
              <w:rPr>
                <w:color w:val="000000"/>
                <w:szCs w:val="22"/>
                <w:lang w:val="hr-HR"/>
              </w:rPr>
              <w:t>Perikarditis</w:t>
            </w:r>
            <w:r w:rsidRPr="00510442">
              <w:rPr>
                <w:color w:val="000000"/>
                <w:szCs w:val="22"/>
                <w:lang w:val="hr-HR"/>
              </w:rPr>
              <w:t>*</w:t>
            </w:r>
            <w:r w:rsidRPr="00307897">
              <w:rPr>
                <w:color w:val="000000"/>
                <w:szCs w:val="22"/>
                <w:lang w:val="hr-HR"/>
              </w:rPr>
              <w:t>, tamponada srca</w:t>
            </w:r>
            <w:r w:rsidRPr="00510442">
              <w:rPr>
                <w:color w:val="000000"/>
                <w:szCs w:val="22"/>
                <w:lang w:val="hr-HR"/>
              </w:rPr>
              <w:t>*</w:t>
            </w:r>
          </w:p>
        </w:tc>
      </w:tr>
      <w:tr w:rsidR="004C7699" w:rsidRPr="00510442" w14:paraId="5D7C8863" w14:textId="77777777" w:rsidTr="003179A4">
        <w:trPr>
          <w:cantSplit/>
        </w:trPr>
        <w:tc>
          <w:tcPr>
            <w:tcW w:w="9322" w:type="dxa"/>
            <w:gridSpan w:val="2"/>
          </w:tcPr>
          <w:p w14:paraId="744A3267" w14:textId="77777777" w:rsidR="004C7699" w:rsidRPr="00510442" w:rsidRDefault="004C7699" w:rsidP="003179A4">
            <w:pPr>
              <w:keepNext/>
              <w:spacing w:line="240" w:lineRule="auto"/>
              <w:rPr>
                <w:color w:val="000000"/>
                <w:szCs w:val="22"/>
                <w:lang w:val="hr-HR"/>
              </w:rPr>
            </w:pPr>
            <w:r w:rsidRPr="00510442">
              <w:rPr>
                <w:b/>
                <w:szCs w:val="22"/>
                <w:lang w:val="hr-HR"/>
              </w:rPr>
              <w:t>Krvožilni poremećaji</w:t>
            </w:r>
            <w:r w:rsidRPr="00510442">
              <w:rPr>
                <w:b/>
                <w:color w:val="000000"/>
                <w:szCs w:val="22"/>
                <w:vertAlign w:val="superscript"/>
                <w:lang w:val="hr-HR"/>
              </w:rPr>
              <w:t>4</w:t>
            </w:r>
          </w:p>
        </w:tc>
      </w:tr>
      <w:tr w:rsidR="004C7699" w:rsidRPr="00F410C8" w14:paraId="0B63CEF7" w14:textId="77777777" w:rsidTr="003179A4">
        <w:trPr>
          <w:cantSplit/>
        </w:trPr>
        <w:tc>
          <w:tcPr>
            <w:tcW w:w="2235" w:type="dxa"/>
          </w:tcPr>
          <w:p w14:paraId="0D891842" w14:textId="77777777" w:rsidR="004C7699" w:rsidRPr="00510442" w:rsidRDefault="004C7699" w:rsidP="003179A4">
            <w:pPr>
              <w:keepNext/>
              <w:spacing w:line="240" w:lineRule="auto"/>
              <w:rPr>
                <w:i/>
                <w:szCs w:val="22"/>
                <w:lang w:val="hr-HR"/>
              </w:rPr>
            </w:pPr>
            <w:r w:rsidRPr="00510442">
              <w:rPr>
                <w:i/>
                <w:szCs w:val="22"/>
                <w:lang w:val="hr-HR"/>
              </w:rPr>
              <w:t>Često</w:t>
            </w:r>
            <w:r w:rsidRPr="00510442">
              <w:rPr>
                <w:szCs w:val="22"/>
                <w:lang w:val="hr-HR"/>
              </w:rPr>
              <w:t>:</w:t>
            </w:r>
          </w:p>
        </w:tc>
        <w:tc>
          <w:tcPr>
            <w:tcW w:w="7087" w:type="dxa"/>
          </w:tcPr>
          <w:p w14:paraId="5F744ABB" w14:textId="77777777" w:rsidR="004C7699" w:rsidRPr="00510442" w:rsidRDefault="004C7699" w:rsidP="003179A4">
            <w:pPr>
              <w:keepNext/>
              <w:spacing w:line="240" w:lineRule="auto"/>
              <w:rPr>
                <w:szCs w:val="22"/>
                <w:lang w:val="hr-HR"/>
              </w:rPr>
            </w:pPr>
            <w:r w:rsidRPr="00510442">
              <w:rPr>
                <w:szCs w:val="22"/>
                <w:lang w:val="hr-HR"/>
              </w:rPr>
              <w:t>Crvenilo uz osjećaj vrućine, hemoragija</w:t>
            </w:r>
          </w:p>
        </w:tc>
      </w:tr>
      <w:tr w:rsidR="004C7699" w:rsidRPr="00F410C8" w:rsidDel="00655175" w14:paraId="412BD828" w14:textId="77777777" w:rsidTr="003179A4">
        <w:trPr>
          <w:cantSplit/>
        </w:trPr>
        <w:tc>
          <w:tcPr>
            <w:tcW w:w="2235" w:type="dxa"/>
          </w:tcPr>
          <w:p w14:paraId="0F0783D8" w14:textId="77777777" w:rsidR="004C7699" w:rsidRPr="00510442" w:rsidDel="00655175" w:rsidRDefault="004C7699" w:rsidP="003179A4">
            <w:pPr>
              <w:keepNext/>
              <w:spacing w:line="240" w:lineRule="auto"/>
              <w:rPr>
                <w:i/>
                <w:szCs w:val="22"/>
                <w:u w:val="single"/>
                <w:lang w:val="hr-HR"/>
              </w:rPr>
            </w:pPr>
            <w:r w:rsidRPr="00510442">
              <w:rPr>
                <w:i/>
                <w:szCs w:val="22"/>
                <w:lang w:val="hr-HR"/>
              </w:rPr>
              <w:t>Manje često:</w:t>
            </w:r>
          </w:p>
        </w:tc>
        <w:tc>
          <w:tcPr>
            <w:tcW w:w="7087" w:type="dxa"/>
          </w:tcPr>
          <w:p w14:paraId="2E59AC18" w14:textId="77777777" w:rsidR="004C7699" w:rsidRPr="00510442" w:rsidDel="00655175" w:rsidRDefault="004C7699" w:rsidP="003179A4">
            <w:pPr>
              <w:keepNext/>
              <w:spacing w:line="240" w:lineRule="auto"/>
              <w:rPr>
                <w:szCs w:val="22"/>
                <w:lang w:val="hr-HR"/>
              </w:rPr>
            </w:pPr>
            <w:r w:rsidRPr="00510442">
              <w:rPr>
                <w:szCs w:val="22"/>
                <w:lang w:val="hr-HR"/>
              </w:rPr>
              <w:t>Hipertenzija, hematom, subduralni hematom, periferna hladnoća, hipotenzija, Raynaudov fenomen</w:t>
            </w:r>
          </w:p>
        </w:tc>
      </w:tr>
      <w:tr w:rsidR="004C7699" w:rsidRPr="00510442" w:rsidDel="00655175" w14:paraId="6823EFC4" w14:textId="77777777" w:rsidTr="003179A4">
        <w:trPr>
          <w:cantSplit/>
        </w:trPr>
        <w:tc>
          <w:tcPr>
            <w:tcW w:w="2235" w:type="dxa"/>
          </w:tcPr>
          <w:p w14:paraId="4A103C4A" w14:textId="77777777" w:rsidR="004C7699" w:rsidRPr="00307897" w:rsidRDefault="004C7699" w:rsidP="00C210A6">
            <w:pPr>
              <w:spacing w:line="240" w:lineRule="auto"/>
              <w:rPr>
                <w:i/>
                <w:szCs w:val="22"/>
                <w:lang w:val="hr-HR"/>
              </w:rPr>
            </w:pPr>
            <w:r w:rsidRPr="00510442">
              <w:rPr>
                <w:i/>
                <w:color w:val="000000"/>
                <w:szCs w:val="22"/>
                <w:lang w:val="hr-HR"/>
              </w:rPr>
              <w:t>Nepoznato:</w:t>
            </w:r>
          </w:p>
        </w:tc>
        <w:tc>
          <w:tcPr>
            <w:tcW w:w="7087" w:type="dxa"/>
          </w:tcPr>
          <w:p w14:paraId="6BE5C0D7" w14:textId="77777777" w:rsidR="004C7699" w:rsidRPr="00307897" w:rsidRDefault="004C7699" w:rsidP="00C210A6">
            <w:pPr>
              <w:spacing w:line="240" w:lineRule="auto"/>
              <w:rPr>
                <w:szCs w:val="22"/>
                <w:lang w:val="hr-HR"/>
              </w:rPr>
            </w:pPr>
            <w:r w:rsidRPr="00510442">
              <w:rPr>
                <w:color w:val="000000"/>
                <w:szCs w:val="22"/>
                <w:lang w:val="hr-HR"/>
              </w:rPr>
              <w:t>Tromboza/embolija*</w:t>
            </w:r>
          </w:p>
        </w:tc>
      </w:tr>
      <w:tr w:rsidR="004C7699" w:rsidRPr="00510442" w14:paraId="5AFD8E3C" w14:textId="77777777" w:rsidTr="003179A4">
        <w:trPr>
          <w:cantSplit/>
        </w:trPr>
        <w:tc>
          <w:tcPr>
            <w:tcW w:w="9322" w:type="dxa"/>
            <w:gridSpan w:val="2"/>
          </w:tcPr>
          <w:p w14:paraId="45B20F30" w14:textId="77777777" w:rsidR="004C7699" w:rsidRPr="00510442" w:rsidRDefault="004C7699" w:rsidP="003179A4">
            <w:pPr>
              <w:keepNext/>
              <w:spacing w:line="240" w:lineRule="auto"/>
              <w:rPr>
                <w:color w:val="000000"/>
                <w:szCs w:val="22"/>
                <w:lang w:val="hr-HR"/>
              </w:rPr>
            </w:pPr>
            <w:r w:rsidRPr="00510442">
              <w:rPr>
                <w:b/>
                <w:szCs w:val="22"/>
                <w:lang w:val="hr-HR"/>
              </w:rPr>
              <w:t>Poremećaji dišnog sustava, prsišta i sredoprsja</w:t>
            </w:r>
          </w:p>
        </w:tc>
      </w:tr>
      <w:tr w:rsidR="004C7699" w:rsidRPr="00510442" w14:paraId="4ECBE62D" w14:textId="77777777" w:rsidTr="003179A4">
        <w:trPr>
          <w:cantSplit/>
        </w:trPr>
        <w:tc>
          <w:tcPr>
            <w:tcW w:w="2235" w:type="dxa"/>
          </w:tcPr>
          <w:p w14:paraId="4C467FEB" w14:textId="77777777" w:rsidR="004C7699" w:rsidRPr="00510442" w:rsidRDefault="004C7699" w:rsidP="003179A4">
            <w:pPr>
              <w:keepNext/>
              <w:spacing w:line="240" w:lineRule="auto"/>
              <w:rPr>
                <w:szCs w:val="22"/>
                <w:lang w:val="hr-HR"/>
              </w:rPr>
            </w:pPr>
            <w:r w:rsidRPr="00510442">
              <w:rPr>
                <w:i/>
                <w:szCs w:val="22"/>
                <w:lang w:val="hr-HR"/>
              </w:rPr>
              <w:t>Često</w:t>
            </w:r>
            <w:r w:rsidRPr="00510442">
              <w:rPr>
                <w:szCs w:val="22"/>
                <w:lang w:val="hr-HR"/>
              </w:rPr>
              <w:t>:</w:t>
            </w:r>
          </w:p>
        </w:tc>
        <w:tc>
          <w:tcPr>
            <w:tcW w:w="7087" w:type="dxa"/>
          </w:tcPr>
          <w:p w14:paraId="47A63855" w14:textId="77777777" w:rsidR="004C7699" w:rsidRPr="00510442" w:rsidRDefault="004C7699" w:rsidP="003179A4">
            <w:pPr>
              <w:keepNext/>
              <w:spacing w:line="240" w:lineRule="auto"/>
              <w:rPr>
                <w:szCs w:val="22"/>
                <w:lang w:val="hr-HR"/>
              </w:rPr>
            </w:pPr>
            <w:r w:rsidRPr="00510442">
              <w:rPr>
                <w:szCs w:val="22"/>
                <w:lang w:val="hr-HR"/>
              </w:rPr>
              <w:t>Dispneja, epistaksa, kašalj</w:t>
            </w:r>
          </w:p>
        </w:tc>
      </w:tr>
      <w:tr w:rsidR="004C7699" w:rsidRPr="00F410C8" w14:paraId="1C54EE28" w14:textId="77777777" w:rsidTr="003179A4">
        <w:trPr>
          <w:cantSplit/>
        </w:trPr>
        <w:tc>
          <w:tcPr>
            <w:tcW w:w="2235" w:type="dxa"/>
          </w:tcPr>
          <w:p w14:paraId="7F4A2941" w14:textId="77777777" w:rsidR="004C7699" w:rsidRPr="00510442" w:rsidRDefault="004C7699" w:rsidP="003179A4">
            <w:pPr>
              <w:keepNext/>
              <w:spacing w:line="240" w:lineRule="auto"/>
              <w:rPr>
                <w:szCs w:val="22"/>
                <w:lang w:val="hr-HR"/>
              </w:rPr>
            </w:pPr>
            <w:r w:rsidRPr="00510442">
              <w:rPr>
                <w:i/>
                <w:szCs w:val="22"/>
                <w:lang w:val="hr-HR"/>
              </w:rPr>
              <w:t>Manje često:</w:t>
            </w:r>
          </w:p>
        </w:tc>
        <w:tc>
          <w:tcPr>
            <w:tcW w:w="7087" w:type="dxa"/>
          </w:tcPr>
          <w:p w14:paraId="5B1DABCE" w14:textId="77777777" w:rsidR="004C7699" w:rsidRPr="00510442" w:rsidRDefault="004C7699" w:rsidP="003179A4">
            <w:pPr>
              <w:keepNext/>
              <w:spacing w:line="240" w:lineRule="auto"/>
              <w:rPr>
                <w:szCs w:val="22"/>
                <w:lang w:val="hr-HR"/>
              </w:rPr>
            </w:pPr>
            <w:r w:rsidRPr="00510442">
              <w:rPr>
                <w:szCs w:val="22"/>
                <w:lang w:val="hr-HR"/>
              </w:rPr>
              <w:t>Pleuralni izljev</w:t>
            </w:r>
            <w:r w:rsidRPr="00510442">
              <w:rPr>
                <w:szCs w:val="22"/>
                <w:vertAlign w:val="superscript"/>
                <w:lang w:val="hr-HR"/>
              </w:rPr>
              <w:t>5</w:t>
            </w:r>
            <w:r w:rsidRPr="00510442">
              <w:rPr>
                <w:szCs w:val="22"/>
                <w:lang w:val="hr-HR"/>
              </w:rPr>
              <w:t>, faringolaringealna bol, faringitis</w:t>
            </w:r>
          </w:p>
        </w:tc>
      </w:tr>
      <w:tr w:rsidR="004C7699" w:rsidRPr="00F410C8" w14:paraId="695996CF" w14:textId="77777777" w:rsidTr="003179A4">
        <w:trPr>
          <w:cantSplit/>
        </w:trPr>
        <w:tc>
          <w:tcPr>
            <w:tcW w:w="2235" w:type="dxa"/>
          </w:tcPr>
          <w:p w14:paraId="014132BA" w14:textId="77777777" w:rsidR="004C7699" w:rsidRPr="00510442" w:rsidRDefault="004C7699" w:rsidP="003179A4">
            <w:pPr>
              <w:keepNext/>
              <w:spacing w:line="240" w:lineRule="auto"/>
              <w:rPr>
                <w:szCs w:val="22"/>
                <w:lang w:val="hr-HR"/>
              </w:rPr>
            </w:pPr>
            <w:r w:rsidRPr="00510442">
              <w:rPr>
                <w:i/>
                <w:szCs w:val="22"/>
                <w:lang w:val="hr-HR"/>
              </w:rPr>
              <w:t>Rijetko:</w:t>
            </w:r>
          </w:p>
        </w:tc>
        <w:tc>
          <w:tcPr>
            <w:tcW w:w="7087" w:type="dxa"/>
          </w:tcPr>
          <w:p w14:paraId="3D43B3E8" w14:textId="77777777" w:rsidR="004C7699" w:rsidRPr="00510442" w:rsidRDefault="004C7699" w:rsidP="003179A4">
            <w:pPr>
              <w:keepNext/>
              <w:spacing w:line="240" w:lineRule="auto"/>
              <w:rPr>
                <w:szCs w:val="22"/>
                <w:lang w:val="hr-HR"/>
              </w:rPr>
            </w:pPr>
            <w:r w:rsidRPr="00510442">
              <w:rPr>
                <w:szCs w:val="22"/>
                <w:lang w:val="hr-HR"/>
              </w:rPr>
              <w:t>Pleuralna bol, plućna fibroza, plućna hipertenzija, plućno krvarenje</w:t>
            </w:r>
          </w:p>
        </w:tc>
      </w:tr>
      <w:tr w:rsidR="004C7699" w:rsidRPr="00F410C8" w14:paraId="6CA01FBF" w14:textId="77777777" w:rsidTr="003179A4">
        <w:trPr>
          <w:cantSplit/>
        </w:trPr>
        <w:tc>
          <w:tcPr>
            <w:tcW w:w="2235" w:type="dxa"/>
          </w:tcPr>
          <w:p w14:paraId="2CFB6C1A" w14:textId="77777777" w:rsidR="004C7699" w:rsidRPr="00307897" w:rsidRDefault="004C7699" w:rsidP="00C210A6">
            <w:pPr>
              <w:spacing w:line="240" w:lineRule="auto"/>
              <w:rPr>
                <w:i/>
                <w:szCs w:val="22"/>
                <w:lang w:val="hr-HR"/>
              </w:rPr>
            </w:pPr>
            <w:r w:rsidRPr="00510442">
              <w:rPr>
                <w:i/>
                <w:color w:val="000000"/>
                <w:szCs w:val="22"/>
                <w:lang w:val="hr-HR"/>
              </w:rPr>
              <w:t>Nepoznato:</w:t>
            </w:r>
          </w:p>
        </w:tc>
        <w:tc>
          <w:tcPr>
            <w:tcW w:w="7087" w:type="dxa"/>
          </w:tcPr>
          <w:p w14:paraId="446EE04F" w14:textId="77777777" w:rsidR="004C7699" w:rsidRPr="00307897" w:rsidRDefault="004C7699" w:rsidP="00605885">
            <w:pPr>
              <w:spacing w:line="240" w:lineRule="auto"/>
              <w:rPr>
                <w:szCs w:val="22"/>
                <w:lang w:val="hr-HR"/>
              </w:rPr>
            </w:pPr>
            <w:r w:rsidRPr="00307897">
              <w:rPr>
                <w:color w:val="000000"/>
                <w:szCs w:val="22"/>
                <w:lang w:val="hr-HR"/>
              </w:rPr>
              <w:t>Akutno zatajenje disanja</w:t>
            </w:r>
            <w:r w:rsidR="00605885" w:rsidRPr="00A00164">
              <w:rPr>
                <w:color w:val="000000"/>
                <w:szCs w:val="22"/>
                <w:vertAlign w:val="superscript"/>
                <w:lang w:val="hr-HR"/>
              </w:rPr>
              <w:t>11</w:t>
            </w:r>
            <w:r w:rsidRPr="00510442">
              <w:rPr>
                <w:color w:val="000000"/>
                <w:szCs w:val="22"/>
                <w:lang w:val="hr-HR"/>
              </w:rPr>
              <w:t xml:space="preserve">*, </w:t>
            </w:r>
            <w:r w:rsidRPr="00307897">
              <w:rPr>
                <w:color w:val="000000"/>
                <w:szCs w:val="22"/>
                <w:lang w:val="hr-HR"/>
              </w:rPr>
              <w:t>intersticijska plućna bolest</w:t>
            </w:r>
            <w:r w:rsidRPr="00510442">
              <w:rPr>
                <w:color w:val="000000"/>
                <w:szCs w:val="22"/>
                <w:lang w:val="hr-HR"/>
              </w:rPr>
              <w:t>*</w:t>
            </w:r>
          </w:p>
        </w:tc>
      </w:tr>
      <w:tr w:rsidR="004C7699" w:rsidRPr="00510442" w14:paraId="4683631B" w14:textId="77777777" w:rsidTr="003179A4">
        <w:trPr>
          <w:cantSplit/>
        </w:trPr>
        <w:tc>
          <w:tcPr>
            <w:tcW w:w="9322" w:type="dxa"/>
            <w:gridSpan w:val="2"/>
          </w:tcPr>
          <w:p w14:paraId="55EED58D" w14:textId="77777777" w:rsidR="004C7699" w:rsidRPr="00510442" w:rsidRDefault="004C7699" w:rsidP="003179A4">
            <w:pPr>
              <w:keepNext/>
              <w:spacing w:line="240" w:lineRule="auto"/>
              <w:rPr>
                <w:color w:val="000000"/>
                <w:szCs w:val="22"/>
                <w:lang w:val="hr-HR"/>
              </w:rPr>
            </w:pPr>
            <w:r w:rsidRPr="00510442">
              <w:rPr>
                <w:b/>
                <w:szCs w:val="22"/>
                <w:lang w:val="hr-HR"/>
              </w:rPr>
              <w:t>Poremećaji probavnog sustava</w:t>
            </w:r>
          </w:p>
        </w:tc>
      </w:tr>
      <w:tr w:rsidR="004C7699" w:rsidRPr="00F410C8" w14:paraId="2DDFFAF9" w14:textId="77777777" w:rsidTr="003179A4">
        <w:trPr>
          <w:cantSplit/>
        </w:trPr>
        <w:tc>
          <w:tcPr>
            <w:tcW w:w="2235" w:type="dxa"/>
          </w:tcPr>
          <w:p w14:paraId="397DD754" w14:textId="77777777" w:rsidR="004C7699" w:rsidRPr="00510442" w:rsidRDefault="004C7699" w:rsidP="003179A4">
            <w:pPr>
              <w:keepNext/>
              <w:spacing w:line="240" w:lineRule="auto"/>
              <w:rPr>
                <w:szCs w:val="22"/>
                <w:lang w:val="hr-HR"/>
              </w:rPr>
            </w:pPr>
            <w:r w:rsidRPr="00510442">
              <w:rPr>
                <w:i/>
                <w:szCs w:val="22"/>
                <w:lang w:val="hr-HR"/>
              </w:rPr>
              <w:t>Vrlo često:</w:t>
            </w:r>
          </w:p>
        </w:tc>
        <w:tc>
          <w:tcPr>
            <w:tcW w:w="7087" w:type="dxa"/>
          </w:tcPr>
          <w:p w14:paraId="2BBA8729" w14:textId="77777777" w:rsidR="004C7699" w:rsidRPr="00510442" w:rsidRDefault="004C7699" w:rsidP="003179A4">
            <w:pPr>
              <w:keepNext/>
              <w:spacing w:line="240" w:lineRule="auto"/>
              <w:rPr>
                <w:szCs w:val="22"/>
                <w:lang w:val="hr-HR"/>
              </w:rPr>
            </w:pPr>
            <w:r w:rsidRPr="00510442">
              <w:rPr>
                <w:szCs w:val="22"/>
                <w:lang w:val="hr-HR"/>
              </w:rPr>
              <w:t>Mučnina, proljev, povraćanje, dispepsija, bol u trbuhu</w:t>
            </w:r>
            <w:r w:rsidRPr="00510442">
              <w:rPr>
                <w:szCs w:val="22"/>
                <w:vertAlign w:val="superscript"/>
                <w:lang w:val="hr-HR"/>
              </w:rPr>
              <w:t>6</w:t>
            </w:r>
          </w:p>
        </w:tc>
      </w:tr>
      <w:tr w:rsidR="004C7699" w:rsidRPr="00F410C8" w14:paraId="0F629455" w14:textId="77777777" w:rsidTr="003179A4">
        <w:trPr>
          <w:cantSplit/>
        </w:trPr>
        <w:tc>
          <w:tcPr>
            <w:tcW w:w="2235" w:type="dxa"/>
          </w:tcPr>
          <w:p w14:paraId="04ABFC73" w14:textId="77777777" w:rsidR="004C7699" w:rsidRPr="00510442" w:rsidRDefault="004C7699" w:rsidP="003179A4">
            <w:pPr>
              <w:keepNext/>
              <w:spacing w:line="240" w:lineRule="auto"/>
              <w:rPr>
                <w:szCs w:val="22"/>
                <w:lang w:val="hr-HR"/>
              </w:rPr>
            </w:pPr>
            <w:r w:rsidRPr="00510442">
              <w:rPr>
                <w:i/>
                <w:szCs w:val="22"/>
                <w:lang w:val="hr-HR"/>
              </w:rPr>
              <w:t>Često</w:t>
            </w:r>
            <w:r w:rsidRPr="00510442">
              <w:rPr>
                <w:szCs w:val="22"/>
                <w:lang w:val="hr-HR"/>
              </w:rPr>
              <w:t>:</w:t>
            </w:r>
          </w:p>
        </w:tc>
        <w:tc>
          <w:tcPr>
            <w:tcW w:w="7087" w:type="dxa"/>
          </w:tcPr>
          <w:p w14:paraId="55008106" w14:textId="77777777" w:rsidR="004C7699" w:rsidRPr="00510442" w:rsidRDefault="004C7699" w:rsidP="003179A4">
            <w:pPr>
              <w:keepNext/>
              <w:spacing w:line="240" w:lineRule="auto"/>
              <w:rPr>
                <w:szCs w:val="22"/>
                <w:lang w:val="hr-HR"/>
              </w:rPr>
            </w:pPr>
            <w:r w:rsidRPr="00510442">
              <w:rPr>
                <w:szCs w:val="22"/>
                <w:lang w:val="hr-HR"/>
              </w:rPr>
              <w:t>Flatulencija, abdominalna distenzija, gastroezofagealni refluks, konstipacija, suhoća usta, gastritis</w:t>
            </w:r>
          </w:p>
        </w:tc>
      </w:tr>
      <w:tr w:rsidR="004C7699" w:rsidRPr="00F410C8" w14:paraId="5650DD2D" w14:textId="77777777" w:rsidTr="003179A4">
        <w:trPr>
          <w:cantSplit/>
        </w:trPr>
        <w:tc>
          <w:tcPr>
            <w:tcW w:w="2235" w:type="dxa"/>
          </w:tcPr>
          <w:p w14:paraId="53E1297D" w14:textId="77777777" w:rsidR="004C7699" w:rsidRPr="00510442" w:rsidRDefault="004C7699" w:rsidP="003179A4">
            <w:pPr>
              <w:keepNext/>
              <w:spacing w:line="240" w:lineRule="auto"/>
              <w:rPr>
                <w:szCs w:val="22"/>
                <w:lang w:val="hr-HR"/>
              </w:rPr>
            </w:pPr>
            <w:r w:rsidRPr="00510442">
              <w:rPr>
                <w:i/>
                <w:szCs w:val="22"/>
                <w:lang w:val="hr-HR"/>
              </w:rPr>
              <w:t>Manje često:</w:t>
            </w:r>
          </w:p>
        </w:tc>
        <w:tc>
          <w:tcPr>
            <w:tcW w:w="7087" w:type="dxa"/>
          </w:tcPr>
          <w:p w14:paraId="00018B7D" w14:textId="77777777" w:rsidR="004C7699" w:rsidRPr="00510442" w:rsidRDefault="004C7699" w:rsidP="003179A4">
            <w:pPr>
              <w:keepNext/>
              <w:spacing w:line="240" w:lineRule="auto"/>
              <w:rPr>
                <w:szCs w:val="22"/>
                <w:lang w:val="hr-HR"/>
              </w:rPr>
            </w:pPr>
            <w:r w:rsidRPr="00510442">
              <w:rPr>
                <w:szCs w:val="22"/>
                <w:lang w:val="hr-HR"/>
              </w:rPr>
              <w:t>Stomatitis, ulceracija u ustima, gastrointestinalno krvarenje</w:t>
            </w:r>
            <w:r w:rsidRPr="00510442">
              <w:rPr>
                <w:szCs w:val="22"/>
                <w:vertAlign w:val="superscript"/>
                <w:lang w:val="hr-HR"/>
              </w:rPr>
              <w:t>7</w:t>
            </w:r>
            <w:r w:rsidRPr="00510442">
              <w:rPr>
                <w:szCs w:val="22"/>
                <w:lang w:val="hr-HR"/>
              </w:rPr>
              <w:t>, podrigivanje, melena, ezofagitis, ascites, želučani ulkus, hematemeza, heilitis, disfagija, pankreatitis</w:t>
            </w:r>
          </w:p>
        </w:tc>
      </w:tr>
      <w:tr w:rsidR="004C7699" w:rsidRPr="00F410C8" w14:paraId="184E23F8" w14:textId="77777777" w:rsidTr="003179A4">
        <w:trPr>
          <w:cantSplit/>
        </w:trPr>
        <w:tc>
          <w:tcPr>
            <w:tcW w:w="2235" w:type="dxa"/>
          </w:tcPr>
          <w:p w14:paraId="7741EBFA" w14:textId="77777777" w:rsidR="004C7699" w:rsidRPr="00510442" w:rsidRDefault="004C7699" w:rsidP="003179A4">
            <w:pPr>
              <w:keepNext/>
              <w:spacing w:line="240" w:lineRule="auto"/>
              <w:rPr>
                <w:szCs w:val="22"/>
                <w:lang w:val="hr-HR"/>
              </w:rPr>
            </w:pPr>
            <w:r w:rsidRPr="00510442">
              <w:rPr>
                <w:i/>
                <w:szCs w:val="22"/>
                <w:lang w:val="hr-HR"/>
              </w:rPr>
              <w:t>Rijetko:</w:t>
            </w:r>
          </w:p>
        </w:tc>
        <w:tc>
          <w:tcPr>
            <w:tcW w:w="7087" w:type="dxa"/>
          </w:tcPr>
          <w:p w14:paraId="3706BB59" w14:textId="77777777" w:rsidR="004C7699" w:rsidRPr="00510442" w:rsidRDefault="004C7699" w:rsidP="003179A4">
            <w:pPr>
              <w:keepNext/>
              <w:spacing w:line="240" w:lineRule="auto"/>
              <w:rPr>
                <w:snapToGrid w:val="0"/>
                <w:szCs w:val="22"/>
                <w:lang w:val="hr-HR"/>
              </w:rPr>
            </w:pPr>
            <w:r w:rsidRPr="00510442">
              <w:rPr>
                <w:szCs w:val="22"/>
                <w:lang w:val="hr-HR"/>
              </w:rPr>
              <w:t xml:space="preserve">Kolitis, </w:t>
            </w:r>
            <w:r w:rsidRPr="00510442">
              <w:rPr>
                <w:snapToGrid w:val="0"/>
                <w:szCs w:val="22"/>
                <w:lang w:val="hr-HR"/>
              </w:rPr>
              <w:t>ileus, upalna bolest crijeva</w:t>
            </w:r>
          </w:p>
        </w:tc>
      </w:tr>
      <w:tr w:rsidR="004C7699" w:rsidRPr="00F410C8" w14:paraId="6C66446F" w14:textId="77777777" w:rsidTr="003179A4">
        <w:trPr>
          <w:cantSplit/>
        </w:trPr>
        <w:tc>
          <w:tcPr>
            <w:tcW w:w="2235" w:type="dxa"/>
          </w:tcPr>
          <w:p w14:paraId="08C6A462" w14:textId="77777777" w:rsidR="004C7699" w:rsidRPr="00510442" w:rsidRDefault="004C7699" w:rsidP="00C210A6">
            <w:pPr>
              <w:spacing w:line="240" w:lineRule="auto"/>
              <w:rPr>
                <w:i/>
                <w:szCs w:val="22"/>
                <w:lang w:val="hr-HR"/>
              </w:rPr>
            </w:pPr>
            <w:r w:rsidRPr="00510442">
              <w:rPr>
                <w:i/>
                <w:color w:val="000000"/>
                <w:szCs w:val="22"/>
                <w:lang w:val="hr-HR"/>
              </w:rPr>
              <w:t>Nepoznato:</w:t>
            </w:r>
          </w:p>
        </w:tc>
        <w:tc>
          <w:tcPr>
            <w:tcW w:w="7087" w:type="dxa"/>
          </w:tcPr>
          <w:p w14:paraId="479CFB6C" w14:textId="77777777" w:rsidR="004C7699" w:rsidRPr="00510442" w:rsidRDefault="004C7699" w:rsidP="00C210A6">
            <w:pPr>
              <w:spacing w:line="240" w:lineRule="auto"/>
              <w:rPr>
                <w:szCs w:val="22"/>
                <w:lang w:val="hr-HR"/>
              </w:rPr>
            </w:pPr>
            <w:r w:rsidRPr="00510442">
              <w:rPr>
                <w:color w:val="000000"/>
                <w:szCs w:val="22"/>
                <w:lang w:val="hr-HR"/>
              </w:rPr>
              <w:t>Ileus/intestinalna opstrukcija*, gastrointestinalna perforacija*</w:t>
            </w:r>
            <w:r w:rsidRPr="00510442">
              <w:rPr>
                <w:snapToGrid w:val="0"/>
                <w:color w:val="000000"/>
                <w:szCs w:val="22"/>
                <w:lang w:val="hr-HR"/>
              </w:rPr>
              <w:t>, divertikulitis*, gastrična antralna vaskularna ektazija (GAVE)*</w:t>
            </w:r>
          </w:p>
        </w:tc>
      </w:tr>
      <w:tr w:rsidR="004C7699" w:rsidRPr="00510442" w14:paraId="320BDAD4" w14:textId="77777777" w:rsidTr="003179A4">
        <w:trPr>
          <w:cantSplit/>
        </w:trPr>
        <w:tc>
          <w:tcPr>
            <w:tcW w:w="9322" w:type="dxa"/>
            <w:gridSpan w:val="2"/>
          </w:tcPr>
          <w:p w14:paraId="2A5C4D3D" w14:textId="77777777" w:rsidR="004C7699" w:rsidRPr="00510442" w:rsidRDefault="004C7699" w:rsidP="003179A4">
            <w:pPr>
              <w:keepNext/>
              <w:spacing w:line="240" w:lineRule="auto"/>
              <w:rPr>
                <w:snapToGrid w:val="0"/>
                <w:color w:val="000000"/>
                <w:szCs w:val="22"/>
                <w:lang w:val="hr-HR"/>
              </w:rPr>
            </w:pPr>
            <w:r w:rsidRPr="00510442">
              <w:rPr>
                <w:b/>
                <w:szCs w:val="22"/>
                <w:lang w:val="hr-HR"/>
              </w:rPr>
              <w:t>Poremećaji jetre i žuči</w:t>
            </w:r>
          </w:p>
        </w:tc>
      </w:tr>
      <w:tr w:rsidR="004C7699" w:rsidRPr="00510442" w14:paraId="664B425C" w14:textId="77777777" w:rsidTr="003179A4">
        <w:trPr>
          <w:cantSplit/>
        </w:trPr>
        <w:tc>
          <w:tcPr>
            <w:tcW w:w="2235" w:type="dxa"/>
          </w:tcPr>
          <w:p w14:paraId="0BD6BD4D" w14:textId="77777777" w:rsidR="004C7699" w:rsidRPr="00510442" w:rsidRDefault="004C7699" w:rsidP="003179A4">
            <w:pPr>
              <w:keepNext/>
              <w:spacing w:line="240" w:lineRule="auto"/>
              <w:rPr>
                <w:i/>
                <w:szCs w:val="22"/>
                <w:lang w:val="hr-HR"/>
              </w:rPr>
            </w:pPr>
            <w:r w:rsidRPr="00510442">
              <w:rPr>
                <w:i/>
                <w:szCs w:val="22"/>
                <w:lang w:val="hr-HR"/>
              </w:rPr>
              <w:t>Često</w:t>
            </w:r>
            <w:r w:rsidRPr="00510442">
              <w:rPr>
                <w:szCs w:val="22"/>
                <w:lang w:val="hr-HR"/>
              </w:rPr>
              <w:t>:</w:t>
            </w:r>
          </w:p>
        </w:tc>
        <w:tc>
          <w:tcPr>
            <w:tcW w:w="7087" w:type="dxa"/>
          </w:tcPr>
          <w:p w14:paraId="4828F4FC" w14:textId="77777777" w:rsidR="004C7699" w:rsidRPr="00510442" w:rsidRDefault="004C7699" w:rsidP="003179A4">
            <w:pPr>
              <w:keepNext/>
              <w:spacing w:line="240" w:lineRule="auto"/>
              <w:rPr>
                <w:szCs w:val="22"/>
                <w:lang w:val="hr-HR"/>
              </w:rPr>
            </w:pPr>
            <w:r w:rsidRPr="00510442">
              <w:rPr>
                <w:szCs w:val="22"/>
                <w:lang w:val="hr-HR"/>
              </w:rPr>
              <w:t>Povišeni jetreni enzimi</w:t>
            </w:r>
          </w:p>
        </w:tc>
      </w:tr>
      <w:tr w:rsidR="004C7699" w:rsidRPr="00510442" w14:paraId="5433ED52" w14:textId="77777777" w:rsidTr="003179A4">
        <w:trPr>
          <w:cantSplit/>
        </w:trPr>
        <w:tc>
          <w:tcPr>
            <w:tcW w:w="2235" w:type="dxa"/>
          </w:tcPr>
          <w:p w14:paraId="703DA2F4" w14:textId="77777777" w:rsidR="004C7699" w:rsidRPr="00510442" w:rsidRDefault="004C7699" w:rsidP="003179A4">
            <w:pPr>
              <w:keepNext/>
              <w:spacing w:line="240" w:lineRule="auto"/>
              <w:rPr>
                <w:i/>
                <w:szCs w:val="22"/>
                <w:lang w:val="hr-HR"/>
              </w:rPr>
            </w:pPr>
            <w:r w:rsidRPr="00510442">
              <w:rPr>
                <w:i/>
                <w:szCs w:val="22"/>
                <w:lang w:val="hr-HR"/>
              </w:rPr>
              <w:t>Manje često:</w:t>
            </w:r>
          </w:p>
        </w:tc>
        <w:tc>
          <w:tcPr>
            <w:tcW w:w="7087" w:type="dxa"/>
          </w:tcPr>
          <w:p w14:paraId="07A15B30" w14:textId="77777777" w:rsidR="004C7699" w:rsidRPr="00510442" w:rsidRDefault="004C7699" w:rsidP="003179A4">
            <w:pPr>
              <w:keepNext/>
              <w:spacing w:line="240" w:lineRule="auto"/>
              <w:rPr>
                <w:szCs w:val="22"/>
                <w:lang w:val="hr-HR"/>
              </w:rPr>
            </w:pPr>
            <w:r w:rsidRPr="00510442">
              <w:rPr>
                <w:szCs w:val="22"/>
                <w:lang w:val="hr-HR"/>
              </w:rPr>
              <w:t>Hiperbilirubinemija, hepatitis, žutica</w:t>
            </w:r>
          </w:p>
        </w:tc>
      </w:tr>
      <w:tr w:rsidR="004C7699" w:rsidRPr="00510442" w14:paraId="71623D53" w14:textId="77777777" w:rsidTr="003179A4">
        <w:trPr>
          <w:cantSplit/>
        </w:trPr>
        <w:tc>
          <w:tcPr>
            <w:tcW w:w="2235" w:type="dxa"/>
          </w:tcPr>
          <w:p w14:paraId="6724350F" w14:textId="77777777" w:rsidR="004C7699" w:rsidRPr="00510442" w:rsidRDefault="004C7699" w:rsidP="00C210A6">
            <w:pPr>
              <w:spacing w:line="240" w:lineRule="auto"/>
              <w:rPr>
                <w:i/>
                <w:szCs w:val="22"/>
                <w:lang w:val="hr-HR"/>
              </w:rPr>
            </w:pPr>
            <w:r w:rsidRPr="00510442">
              <w:rPr>
                <w:i/>
                <w:szCs w:val="22"/>
                <w:lang w:val="hr-HR"/>
              </w:rPr>
              <w:t>Rijetko:</w:t>
            </w:r>
          </w:p>
        </w:tc>
        <w:tc>
          <w:tcPr>
            <w:tcW w:w="7087" w:type="dxa"/>
          </w:tcPr>
          <w:p w14:paraId="73146B38" w14:textId="77777777" w:rsidR="004C7699" w:rsidRPr="00510442" w:rsidRDefault="004C7699" w:rsidP="00C210A6">
            <w:pPr>
              <w:spacing w:line="240" w:lineRule="auto"/>
              <w:rPr>
                <w:szCs w:val="22"/>
                <w:lang w:val="hr-HR"/>
              </w:rPr>
            </w:pPr>
            <w:r w:rsidRPr="00510442">
              <w:rPr>
                <w:szCs w:val="22"/>
                <w:lang w:val="hr-HR"/>
              </w:rPr>
              <w:t>Zatajenje jetre</w:t>
            </w:r>
            <w:r w:rsidRPr="00510442">
              <w:rPr>
                <w:szCs w:val="22"/>
                <w:vertAlign w:val="superscript"/>
                <w:lang w:val="hr-HR"/>
              </w:rPr>
              <w:t>8</w:t>
            </w:r>
            <w:r w:rsidRPr="00510442">
              <w:rPr>
                <w:szCs w:val="22"/>
                <w:lang w:val="hr-HR"/>
              </w:rPr>
              <w:t>, nekroza jetre</w:t>
            </w:r>
          </w:p>
        </w:tc>
      </w:tr>
      <w:tr w:rsidR="004C7699" w:rsidRPr="00510442" w14:paraId="48799CF2" w14:textId="77777777" w:rsidTr="003179A4">
        <w:trPr>
          <w:cantSplit/>
        </w:trPr>
        <w:tc>
          <w:tcPr>
            <w:tcW w:w="9322" w:type="dxa"/>
            <w:gridSpan w:val="2"/>
          </w:tcPr>
          <w:p w14:paraId="60D78E43" w14:textId="77777777" w:rsidR="004C7699" w:rsidRPr="00510442" w:rsidRDefault="004C7699" w:rsidP="003179A4">
            <w:pPr>
              <w:keepNext/>
              <w:spacing w:line="240" w:lineRule="auto"/>
              <w:rPr>
                <w:color w:val="000000"/>
                <w:szCs w:val="22"/>
                <w:lang w:val="hr-HR"/>
              </w:rPr>
            </w:pPr>
            <w:r w:rsidRPr="00510442">
              <w:rPr>
                <w:b/>
                <w:szCs w:val="22"/>
                <w:lang w:val="hr-HR"/>
              </w:rPr>
              <w:lastRenderedPageBreak/>
              <w:t>Poremećaji kože i potkožnog tkiva</w:t>
            </w:r>
          </w:p>
        </w:tc>
      </w:tr>
      <w:tr w:rsidR="004C7699" w:rsidRPr="00F410C8" w14:paraId="7E3BECA7" w14:textId="77777777" w:rsidTr="003179A4">
        <w:trPr>
          <w:cantSplit/>
        </w:trPr>
        <w:tc>
          <w:tcPr>
            <w:tcW w:w="2235" w:type="dxa"/>
          </w:tcPr>
          <w:p w14:paraId="7C86CC5F" w14:textId="77777777" w:rsidR="004C7699" w:rsidRPr="00510442" w:rsidRDefault="004C7699" w:rsidP="003179A4">
            <w:pPr>
              <w:keepNext/>
              <w:spacing w:line="240" w:lineRule="auto"/>
              <w:rPr>
                <w:szCs w:val="22"/>
                <w:lang w:val="hr-HR"/>
              </w:rPr>
            </w:pPr>
            <w:r w:rsidRPr="00510442">
              <w:rPr>
                <w:i/>
                <w:szCs w:val="22"/>
                <w:lang w:val="hr-HR"/>
              </w:rPr>
              <w:t>Vrlo često:</w:t>
            </w:r>
          </w:p>
        </w:tc>
        <w:tc>
          <w:tcPr>
            <w:tcW w:w="7087" w:type="dxa"/>
          </w:tcPr>
          <w:p w14:paraId="5A5B5E42" w14:textId="77777777" w:rsidR="004C7699" w:rsidRPr="00510442" w:rsidRDefault="004C7699" w:rsidP="003179A4">
            <w:pPr>
              <w:keepNext/>
              <w:spacing w:line="240" w:lineRule="auto"/>
              <w:rPr>
                <w:szCs w:val="22"/>
                <w:lang w:val="hr-HR"/>
              </w:rPr>
            </w:pPr>
            <w:r w:rsidRPr="00510442">
              <w:rPr>
                <w:szCs w:val="22"/>
                <w:lang w:val="hr-HR"/>
              </w:rPr>
              <w:t>Periorbitalni edem, dermatitis/ekcem/osip</w:t>
            </w:r>
          </w:p>
        </w:tc>
      </w:tr>
      <w:tr w:rsidR="004C7699" w:rsidRPr="00F410C8" w14:paraId="2DC3EE9C" w14:textId="77777777" w:rsidTr="003179A4">
        <w:trPr>
          <w:cantSplit/>
        </w:trPr>
        <w:tc>
          <w:tcPr>
            <w:tcW w:w="2235" w:type="dxa"/>
          </w:tcPr>
          <w:p w14:paraId="5BF2CB56" w14:textId="77777777" w:rsidR="004C7699" w:rsidRPr="00510442" w:rsidRDefault="004C7699" w:rsidP="003179A4">
            <w:pPr>
              <w:keepNext/>
              <w:spacing w:line="240" w:lineRule="auto"/>
              <w:rPr>
                <w:szCs w:val="22"/>
                <w:lang w:val="hr-HR"/>
              </w:rPr>
            </w:pPr>
            <w:r w:rsidRPr="00510442">
              <w:rPr>
                <w:i/>
                <w:szCs w:val="22"/>
                <w:lang w:val="hr-HR"/>
              </w:rPr>
              <w:t>Često</w:t>
            </w:r>
            <w:r w:rsidRPr="00510442">
              <w:rPr>
                <w:szCs w:val="22"/>
                <w:lang w:val="hr-HR"/>
              </w:rPr>
              <w:t>:</w:t>
            </w:r>
          </w:p>
        </w:tc>
        <w:tc>
          <w:tcPr>
            <w:tcW w:w="7087" w:type="dxa"/>
          </w:tcPr>
          <w:p w14:paraId="0C6F8813" w14:textId="77777777" w:rsidR="004C7699" w:rsidRPr="00510442" w:rsidRDefault="004C7699" w:rsidP="003179A4">
            <w:pPr>
              <w:keepNext/>
              <w:spacing w:line="240" w:lineRule="auto"/>
              <w:rPr>
                <w:szCs w:val="22"/>
                <w:lang w:val="hr-HR"/>
              </w:rPr>
            </w:pPr>
            <w:r w:rsidRPr="00510442">
              <w:rPr>
                <w:szCs w:val="22"/>
                <w:lang w:val="hr-HR"/>
              </w:rPr>
              <w:t>Svrbež, edem lica, suhoća kože, eritem, alopecija, noćno znojenje, reakcija preosjetljivosti na svjetlo</w:t>
            </w:r>
          </w:p>
        </w:tc>
      </w:tr>
      <w:tr w:rsidR="004C7699" w:rsidRPr="00F410C8" w14:paraId="4BEBA9E2" w14:textId="77777777" w:rsidTr="003179A4">
        <w:trPr>
          <w:cantSplit/>
        </w:trPr>
        <w:tc>
          <w:tcPr>
            <w:tcW w:w="2235" w:type="dxa"/>
          </w:tcPr>
          <w:p w14:paraId="50A5A8DE" w14:textId="77777777" w:rsidR="004C7699" w:rsidRPr="00510442" w:rsidRDefault="004C7699" w:rsidP="003179A4">
            <w:pPr>
              <w:keepNext/>
              <w:spacing w:line="240" w:lineRule="auto"/>
              <w:rPr>
                <w:szCs w:val="22"/>
                <w:lang w:val="hr-HR"/>
              </w:rPr>
            </w:pPr>
            <w:r w:rsidRPr="00510442">
              <w:rPr>
                <w:i/>
                <w:szCs w:val="22"/>
                <w:lang w:val="hr-HR"/>
              </w:rPr>
              <w:t>Manje često:</w:t>
            </w:r>
          </w:p>
        </w:tc>
        <w:tc>
          <w:tcPr>
            <w:tcW w:w="7087" w:type="dxa"/>
          </w:tcPr>
          <w:p w14:paraId="7E4C3073" w14:textId="77777777" w:rsidR="004C7699" w:rsidRPr="00510442" w:rsidRDefault="004C7699" w:rsidP="003179A4">
            <w:pPr>
              <w:keepNext/>
              <w:spacing w:line="240" w:lineRule="auto"/>
              <w:rPr>
                <w:szCs w:val="22"/>
                <w:lang w:val="hr-HR"/>
              </w:rPr>
            </w:pPr>
            <w:r w:rsidRPr="00510442">
              <w:rPr>
                <w:szCs w:val="22"/>
                <w:lang w:val="hr-HR"/>
              </w:rPr>
              <w:t>Pustularni osip, kontuzije, pojačano znojenje, urtikarija, ekhimoza, povećana sklonost modricama, hipotrihoza, hipopigmentacija kože, eksfolijativni dermatitis, onihoklazija, folikulitis, petehije, psorijaza, purpura, hiperpigmentacija kože, bulozne erupcije</w:t>
            </w:r>
          </w:p>
        </w:tc>
      </w:tr>
      <w:tr w:rsidR="004C7699" w:rsidRPr="00F410C8" w14:paraId="05F253B8" w14:textId="77777777" w:rsidTr="003179A4">
        <w:trPr>
          <w:cantSplit/>
        </w:trPr>
        <w:tc>
          <w:tcPr>
            <w:tcW w:w="2235" w:type="dxa"/>
          </w:tcPr>
          <w:p w14:paraId="2AE1118E" w14:textId="77777777" w:rsidR="004C7699" w:rsidRPr="00510442" w:rsidRDefault="004C7699" w:rsidP="003179A4">
            <w:pPr>
              <w:keepNext/>
              <w:spacing w:line="240" w:lineRule="auto"/>
              <w:rPr>
                <w:szCs w:val="22"/>
                <w:lang w:val="hr-HR"/>
              </w:rPr>
            </w:pPr>
            <w:r w:rsidRPr="00510442">
              <w:rPr>
                <w:i/>
                <w:szCs w:val="22"/>
                <w:lang w:val="hr-HR"/>
              </w:rPr>
              <w:t>Rijetko:</w:t>
            </w:r>
          </w:p>
        </w:tc>
        <w:tc>
          <w:tcPr>
            <w:tcW w:w="7087" w:type="dxa"/>
          </w:tcPr>
          <w:p w14:paraId="176B2EE2" w14:textId="77777777" w:rsidR="004C7699" w:rsidRPr="00510442" w:rsidRDefault="004C7699" w:rsidP="003179A4">
            <w:pPr>
              <w:keepNext/>
              <w:spacing w:line="240" w:lineRule="auto"/>
              <w:rPr>
                <w:szCs w:val="22"/>
                <w:lang w:val="hr-HR"/>
              </w:rPr>
            </w:pPr>
            <w:r w:rsidRPr="00510442">
              <w:rPr>
                <w:szCs w:val="22"/>
                <w:lang w:val="hr-HR"/>
              </w:rPr>
              <w:t>Akutna febrilna neutrofilna dermatoza (Sweetov sindrom), promjena boje nokta, angioedem, vezikularni osip, multiformni eritem, leukocitoklastični vaskulitis, Stevens-Johnsonov sindrom, akutna generalizirana egzantematozna pustuloza (AGEP)</w:t>
            </w:r>
          </w:p>
        </w:tc>
      </w:tr>
      <w:tr w:rsidR="004C7699" w:rsidRPr="00F410C8" w14:paraId="411B0257" w14:textId="77777777" w:rsidTr="003179A4">
        <w:trPr>
          <w:cantSplit/>
        </w:trPr>
        <w:tc>
          <w:tcPr>
            <w:tcW w:w="2235" w:type="dxa"/>
          </w:tcPr>
          <w:p w14:paraId="3C82757D" w14:textId="77777777" w:rsidR="004C7699" w:rsidRPr="00307897" w:rsidRDefault="004C7699" w:rsidP="00C210A6">
            <w:pPr>
              <w:spacing w:line="240" w:lineRule="auto"/>
              <w:rPr>
                <w:i/>
                <w:szCs w:val="22"/>
                <w:lang w:val="hr-HR"/>
              </w:rPr>
            </w:pPr>
            <w:r w:rsidRPr="00510442">
              <w:rPr>
                <w:i/>
                <w:color w:val="000000"/>
                <w:szCs w:val="22"/>
                <w:lang w:val="hr-HR"/>
              </w:rPr>
              <w:t>Nepoznato:</w:t>
            </w:r>
          </w:p>
        </w:tc>
        <w:tc>
          <w:tcPr>
            <w:tcW w:w="7087" w:type="dxa"/>
          </w:tcPr>
          <w:p w14:paraId="73E2065D" w14:textId="77777777" w:rsidR="004C7699" w:rsidRPr="00510442" w:rsidRDefault="004C7699" w:rsidP="00BE76E1">
            <w:pPr>
              <w:spacing w:line="240" w:lineRule="auto"/>
              <w:rPr>
                <w:szCs w:val="22"/>
                <w:lang w:val="hr-HR"/>
              </w:rPr>
            </w:pPr>
            <w:r w:rsidRPr="00307897">
              <w:rPr>
                <w:szCs w:val="22"/>
                <w:lang w:val="hr-HR"/>
              </w:rPr>
              <w:t>Sindrom palmoplantarne eritrodisestezije</w:t>
            </w:r>
            <w:r w:rsidRPr="00510442">
              <w:rPr>
                <w:color w:val="000000"/>
                <w:szCs w:val="22"/>
                <w:lang w:val="hr-HR"/>
              </w:rPr>
              <w:t>*, l</w:t>
            </w:r>
            <w:r w:rsidRPr="00307897">
              <w:rPr>
                <w:color w:val="000000"/>
                <w:szCs w:val="22"/>
                <w:lang w:val="hr-HR"/>
              </w:rPr>
              <w:t xml:space="preserve">ihenoidna keratoza*, lichen planus*, toksična epidermalna nekroliza*, osip uzrokovan lijekom s eozinofilijom i sistemskim simptomima </w:t>
            </w:r>
            <w:r w:rsidRPr="00510442">
              <w:rPr>
                <w:color w:val="000000"/>
                <w:szCs w:val="22"/>
                <w:lang w:val="hr-HR"/>
              </w:rPr>
              <w:t>(DRESS)</w:t>
            </w:r>
            <w:r w:rsidRPr="00307897">
              <w:rPr>
                <w:color w:val="000000"/>
                <w:szCs w:val="22"/>
                <w:lang w:val="hr-HR"/>
              </w:rPr>
              <w:t>*</w:t>
            </w:r>
            <w:r w:rsidR="00BE76E1" w:rsidRPr="00307897">
              <w:rPr>
                <w:color w:val="000000"/>
                <w:szCs w:val="22"/>
                <w:lang w:val="hr-HR"/>
              </w:rPr>
              <w:t xml:space="preserve">, </w:t>
            </w:r>
            <w:r w:rsidR="00BE76E1" w:rsidRPr="00A00164">
              <w:rPr>
                <w:color w:val="000000"/>
                <w:szCs w:val="22"/>
                <w:lang w:val="hr-HR"/>
              </w:rPr>
              <w:t>pseudop</w:t>
            </w:r>
            <w:r w:rsidR="00BE76E1" w:rsidRPr="00973BDD">
              <w:rPr>
                <w:color w:val="000000"/>
                <w:szCs w:val="22"/>
                <w:lang w:val="hr-HR"/>
              </w:rPr>
              <w:t>or</w:t>
            </w:r>
            <w:r w:rsidR="00BE76E1" w:rsidRPr="000B51EB">
              <w:rPr>
                <w:color w:val="000000"/>
                <w:szCs w:val="22"/>
                <w:lang w:val="hr-HR"/>
              </w:rPr>
              <w:t>firija</w:t>
            </w:r>
            <w:r w:rsidR="00BE76E1" w:rsidRPr="00510442">
              <w:rPr>
                <w:color w:val="000000"/>
                <w:szCs w:val="22"/>
                <w:lang w:val="hr-HR"/>
              </w:rPr>
              <w:t>*</w:t>
            </w:r>
          </w:p>
        </w:tc>
      </w:tr>
      <w:tr w:rsidR="004C7699" w:rsidRPr="00F410C8" w14:paraId="568CFF9B" w14:textId="77777777" w:rsidTr="003179A4">
        <w:trPr>
          <w:cantSplit/>
        </w:trPr>
        <w:tc>
          <w:tcPr>
            <w:tcW w:w="9322" w:type="dxa"/>
            <w:gridSpan w:val="2"/>
          </w:tcPr>
          <w:p w14:paraId="44359474" w14:textId="77777777" w:rsidR="004C7699" w:rsidRPr="00510442" w:rsidRDefault="004C7699" w:rsidP="003179A4">
            <w:pPr>
              <w:keepNext/>
              <w:spacing w:line="240" w:lineRule="auto"/>
              <w:rPr>
                <w:color w:val="000000"/>
                <w:szCs w:val="22"/>
                <w:lang w:val="hr-HR"/>
              </w:rPr>
            </w:pPr>
            <w:r w:rsidRPr="00510442">
              <w:rPr>
                <w:b/>
                <w:szCs w:val="22"/>
                <w:lang w:val="hr-HR"/>
              </w:rPr>
              <w:t>Poremećaji mišićno-koštanog sustava i vezivnog tkiva</w:t>
            </w:r>
          </w:p>
        </w:tc>
      </w:tr>
      <w:tr w:rsidR="004C7699" w:rsidRPr="00F410C8" w14:paraId="5E4DC27D" w14:textId="77777777" w:rsidTr="003179A4">
        <w:trPr>
          <w:cantSplit/>
        </w:trPr>
        <w:tc>
          <w:tcPr>
            <w:tcW w:w="2235" w:type="dxa"/>
          </w:tcPr>
          <w:p w14:paraId="7A36B280" w14:textId="77777777" w:rsidR="004C7699" w:rsidRPr="00510442" w:rsidRDefault="004C7699" w:rsidP="003179A4">
            <w:pPr>
              <w:keepNext/>
              <w:spacing w:line="240" w:lineRule="auto"/>
              <w:rPr>
                <w:i/>
                <w:szCs w:val="22"/>
                <w:lang w:val="hr-HR"/>
              </w:rPr>
            </w:pPr>
            <w:r w:rsidRPr="00510442">
              <w:rPr>
                <w:i/>
                <w:szCs w:val="22"/>
                <w:lang w:val="hr-HR"/>
              </w:rPr>
              <w:t>Vrlo često:</w:t>
            </w:r>
          </w:p>
        </w:tc>
        <w:tc>
          <w:tcPr>
            <w:tcW w:w="7087" w:type="dxa"/>
          </w:tcPr>
          <w:p w14:paraId="1F6AC67F" w14:textId="77777777" w:rsidR="004C7699" w:rsidRPr="00510442" w:rsidRDefault="004C7699" w:rsidP="003179A4">
            <w:pPr>
              <w:keepNext/>
              <w:spacing w:line="240" w:lineRule="auto"/>
              <w:rPr>
                <w:szCs w:val="22"/>
                <w:lang w:val="hr-HR"/>
              </w:rPr>
            </w:pPr>
            <w:r w:rsidRPr="00510442">
              <w:rPr>
                <w:szCs w:val="22"/>
                <w:lang w:val="hr-HR"/>
              </w:rPr>
              <w:t>Spazam mišića i grčevi, mišićno-koštana bol uključujući mialgiju</w:t>
            </w:r>
            <w:r w:rsidR="00605885" w:rsidRPr="00510442">
              <w:rPr>
                <w:szCs w:val="22"/>
                <w:vertAlign w:val="superscript"/>
                <w:lang w:val="hr-HR"/>
              </w:rPr>
              <w:t>9</w:t>
            </w:r>
            <w:r w:rsidRPr="00510442">
              <w:rPr>
                <w:szCs w:val="22"/>
                <w:lang w:val="hr-HR"/>
              </w:rPr>
              <w:t>, artralgiju, bol u kostima</w:t>
            </w:r>
            <w:r w:rsidR="00605885" w:rsidRPr="00510442">
              <w:rPr>
                <w:szCs w:val="22"/>
                <w:vertAlign w:val="superscript"/>
                <w:lang w:val="hr-HR"/>
              </w:rPr>
              <w:t>10</w:t>
            </w:r>
          </w:p>
        </w:tc>
      </w:tr>
      <w:tr w:rsidR="004C7699" w:rsidRPr="00510442" w14:paraId="499336FC" w14:textId="77777777" w:rsidTr="003179A4">
        <w:trPr>
          <w:cantSplit/>
        </w:trPr>
        <w:tc>
          <w:tcPr>
            <w:tcW w:w="2235" w:type="dxa"/>
          </w:tcPr>
          <w:p w14:paraId="682B12C5" w14:textId="77777777" w:rsidR="004C7699" w:rsidRPr="00510442" w:rsidRDefault="004C7699" w:rsidP="003179A4">
            <w:pPr>
              <w:keepNext/>
              <w:spacing w:line="240" w:lineRule="auto"/>
              <w:rPr>
                <w:i/>
                <w:szCs w:val="22"/>
                <w:lang w:val="hr-HR"/>
              </w:rPr>
            </w:pPr>
            <w:r w:rsidRPr="00510442">
              <w:rPr>
                <w:i/>
                <w:szCs w:val="22"/>
                <w:lang w:val="hr-HR"/>
              </w:rPr>
              <w:t>Često</w:t>
            </w:r>
            <w:r w:rsidRPr="00510442">
              <w:rPr>
                <w:szCs w:val="22"/>
                <w:lang w:val="hr-HR"/>
              </w:rPr>
              <w:t>:</w:t>
            </w:r>
          </w:p>
        </w:tc>
        <w:tc>
          <w:tcPr>
            <w:tcW w:w="7087" w:type="dxa"/>
          </w:tcPr>
          <w:p w14:paraId="577BF5D8" w14:textId="77777777" w:rsidR="004C7699" w:rsidRPr="00510442" w:rsidRDefault="004C7699" w:rsidP="003179A4">
            <w:pPr>
              <w:keepNext/>
              <w:spacing w:line="240" w:lineRule="auto"/>
              <w:rPr>
                <w:szCs w:val="22"/>
                <w:lang w:val="hr-HR"/>
              </w:rPr>
            </w:pPr>
            <w:r w:rsidRPr="00510442">
              <w:rPr>
                <w:szCs w:val="22"/>
                <w:lang w:val="hr-HR"/>
              </w:rPr>
              <w:t>Oticanje zglobova</w:t>
            </w:r>
          </w:p>
        </w:tc>
      </w:tr>
      <w:tr w:rsidR="004C7699" w:rsidRPr="00510442" w14:paraId="54B25BDB" w14:textId="77777777" w:rsidTr="003179A4">
        <w:trPr>
          <w:cantSplit/>
        </w:trPr>
        <w:tc>
          <w:tcPr>
            <w:tcW w:w="2235" w:type="dxa"/>
          </w:tcPr>
          <w:p w14:paraId="2FB14162" w14:textId="77777777" w:rsidR="004C7699" w:rsidRPr="00510442" w:rsidRDefault="004C7699" w:rsidP="003179A4">
            <w:pPr>
              <w:keepNext/>
              <w:spacing w:line="240" w:lineRule="auto"/>
              <w:rPr>
                <w:i/>
                <w:szCs w:val="22"/>
                <w:lang w:val="hr-HR"/>
              </w:rPr>
            </w:pPr>
            <w:r w:rsidRPr="00510442">
              <w:rPr>
                <w:i/>
                <w:szCs w:val="22"/>
                <w:lang w:val="hr-HR"/>
              </w:rPr>
              <w:t>Manje često:</w:t>
            </w:r>
          </w:p>
        </w:tc>
        <w:tc>
          <w:tcPr>
            <w:tcW w:w="7087" w:type="dxa"/>
          </w:tcPr>
          <w:p w14:paraId="3E260C4B" w14:textId="77777777" w:rsidR="004C7699" w:rsidRPr="00510442" w:rsidRDefault="004C7699" w:rsidP="003179A4">
            <w:pPr>
              <w:keepNext/>
              <w:spacing w:line="240" w:lineRule="auto"/>
              <w:rPr>
                <w:szCs w:val="22"/>
                <w:lang w:val="hr-HR"/>
              </w:rPr>
            </w:pPr>
            <w:r w:rsidRPr="00510442">
              <w:rPr>
                <w:szCs w:val="22"/>
                <w:lang w:val="hr-HR"/>
              </w:rPr>
              <w:t>Ukočenost zglobova i mišića</w:t>
            </w:r>
          </w:p>
        </w:tc>
      </w:tr>
      <w:tr w:rsidR="004C7699" w:rsidRPr="00F410C8" w14:paraId="4C4B8C2C" w14:textId="77777777" w:rsidTr="003179A4">
        <w:trPr>
          <w:cantSplit/>
        </w:trPr>
        <w:tc>
          <w:tcPr>
            <w:tcW w:w="2235" w:type="dxa"/>
          </w:tcPr>
          <w:p w14:paraId="597ACCC1" w14:textId="77777777" w:rsidR="004C7699" w:rsidRPr="00510442" w:rsidRDefault="004C7699" w:rsidP="003179A4">
            <w:pPr>
              <w:keepNext/>
              <w:spacing w:line="240" w:lineRule="auto"/>
              <w:rPr>
                <w:i/>
                <w:szCs w:val="22"/>
                <w:lang w:val="hr-HR"/>
              </w:rPr>
            </w:pPr>
            <w:r w:rsidRPr="00510442">
              <w:rPr>
                <w:i/>
                <w:szCs w:val="22"/>
                <w:lang w:val="hr-HR"/>
              </w:rPr>
              <w:t>Rijetko:</w:t>
            </w:r>
          </w:p>
        </w:tc>
        <w:tc>
          <w:tcPr>
            <w:tcW w:w="7087" w:type="dxa"/>
          </w:tcPr>
          <w:p w14:paraId="570DED0A" w14:textId="77777777" w:rsidR="004C7699" w:rsidRPr="00510442" w:rsidRDefault="004C7699" w:rsidP="003179A4">
            <w:pPr>
              <w:keepNext/>
              <w:spacing w:line="240" w:lineRule="auto"/>
              <w:rPr>
                <w:szCs w:val="22"/>
                <w:lang w:val="hr-HR"/>
              </w:rPr>
            </w:pPr>
            <w:r w:rsidRPr="00510442">
              <w:rPr>
                <w:bCs/>
                <w:szCs w:val="22"/>
                <w:lang w:val="hr-HR"/>
              </w:rPr>
              <w:t>Slabost mišića, artritis, rabdomioliza/miopatija</w:t>
            </w:r>
          </w:p>
        </w:tc>
      </w:tr>
      <w:tr w:rsidR="004C7699" w:rsidRPr="00F410C8" w14:paraId="360F7583" w14:textId="77777777" w:rsidTr="003179A4">
        <w:trPr>
          <w:cantSplit/>
        </w:trPr>
        <w:tc>
          <w:tcPr>
            <w:tcW w:w="2235" w:type="dxa"/>
          </w:tcPr>
          <w:p w14:paraId="094D5146" w14:textId="77777777" w:rsidR="004C7699" w:rsidRPr="00307897" w:rsidRDefault="004C7699" w:rsidP="00C210A6">
            <w:pPr>
              <w:spacing w:line="240" w:lineRule="auto"/>
              <w:rPr>
                <w:i/>
                <w:szCs w:val="22"/>
                <w:lang w:val="hr-HR"/>
              </w:rPr>
            </w:pPr>
            <w:r w:rsidRPr="00510442">
              <w:rPr>
                <w:i/>
                <w:color w:val="000000"/>
                <w:szCs w:val="22"/>
                <w:lang w:val="hr-HR"/>
              </w:rPr>
              <w:t>Nepoznato:</w:t>
            </w:r>
          </w:p>
        </w:tc>
        <w:tc>
          <w:tcPr>
            <w:tcW w:w="7087" w:type="dxa"/>
          </w:tcPr>
          <w:p w14:paraId="7633A35F" w14:textId="77777777" w:rsidR="004C7699" w:rsidRPr="00A00164" w:rsidRDefault="004C7699" w:rsidP="00C210A6">
            <w:pPr>
              <w:spacing w:line="240" w:lineRule="auto"/>
              <w:rPr>
                <w:bCs/>
                <w:szCs w:val="22"/>
                <w:lang w:val="hr-HR"/>
              </w:rPr>
            </w:pPr>
            <w:r w:rsidRPr="00307897">
              <w:rPr>
                <w:color w:val="000000"/>
                <w:szCs w:val="22"/>
                <w:lang w:val="hr-HR"/>
              </w:rPr>
              <w:t>Avaskularna nekroza/nekroza kuka*, zastoj u rastu kod djece*</w:t>
            </w:r>
          </w:p>
        </w:tc>
      </w:tr>
      <w:tr w:rsidR="004C7699" w:rsidRPr="00510442" w14:paraId="6F8A4FCD" w14:textId="77777777" w:rsidTr="003179A4">
        <w:trPr>
          <w:cantSplit/>
        </w:trPr>
        <w:tc>
          <w:tcPr>
            <w:tcW w:w="9322" w:type="dxa"/>
            <w:gridSpan w:val="2"/>
          </w:tcPr>
          <w:p w14:paraId="0A1C0221" w14:textId="77777777" w:rsidR="004C7699" w:rsidRPr="00510442" w:rsidRDefault="004C7699" w:rsidP="003179A4">
            <w:pPr>
              <w:keepNext/>
              <w:spacing w:line="240" w:lineRule="auto"/>
              <w:rPr>
                <w:b/>
                <w:color w:val="000000"/>
                <w:szCs w:val="22"/>
                <w:u w:val="single"/>
                <w:lang w:val="hr-HR"/>
              </w:rPr>
            </w:pPr>
            <w:r w:rsidRPr="00510442">
              <w:rPr>
                <w:b/>
                <w:szCs w:val="22"/>
                <w:lang w:val="hr-HR"/>
              </w:rPr>
              <w:t>Poremećaji bubrega i mokraćnog sustava</w:t>
            </w:r>
          </w:p>
        </w:tc>
      </w:tr>
      <w:tr w:rsidR="004C7699" w:rsidRPr="00F410C8" w14:paraId="3040766B" w14:textId="77777777" w:rsidTr="003179A4">
        <w:trPr>
          <w:cantSplit/>
        </w:trPr>
        <w:tc>
          <w:tcPr>
            <w:tcW w:w="2235" w:type="dxa"/>
          </w:tcPr>
          <w:p w14:paraId="282464EF" w14:textId="77777777" w:rsidR="004C7699" w:rsidRPr="00510442" w:rsidRDefault="004C7699" w:rsidP="003179A4">
            <w:pPr>
              <w:keepNext/>
              <w:spacing w:line="240" w:lineRule="auto"/>
              <w:rPr>
                <w:color w:val="000000"/>
                <w:szCs w:val="22"/>
                <w:lang w:val="hr-HR"/>
              </w:rPr>
            </w:pPr>
            <w:r w:rsidRPr="00510442">
              <w:rPr>
                <w:i/>
                <w:szCs w:val="22"/>
                <w:lang w:val="hr-HR"/>
              </w:rPr>
              <w:t>Manje često</w:t>
            </w:r>
            <w:r w:rsidRPr="00510442">
              <w:rPr>
                <w:i/>
                <w:color w:val="000000"/>
                <w:szCs w:val="22"/>
                <w:lang w:val="hr-HR"/>
              </w:rPr>
              <w:t>:</w:t>
            </w:r>
          </w:p>
        </w:tc>
        <w:tc>
          <w:tcPr>
            <w:tcW w:w="7087" w:type="dxa"/>
          </w:tcPr>
          <w:p w14:paraId="1740E93D" w14:textId="77777777" w:rsidR="004C7699" w:rsidRPr="00510442" w:rsidRDefault="004C7699" w:rsidP="003179A4">
            <w:pPr>
              <w:keepNext/>
              <w:spacing w:line="240" w:lineRule="auto"/>
              <w:rPr>
                <w:color w:val="000000"/>
                <w:szCs w:val="22"/>
                <w:lang w:val="hr-HR"/>
              </w:rPr>
            </w:pPr>
            <w:r w:rsidRPr="00510442">
              <w:rPr>
                <w:szCs w:val="22"/>
                <w:lang w:val="hr-HR"/>
              </w:rPr>
              <w:t xml:space="preserve">Bubrežna bol, hematurija, akutno zatajenje bubrega, povećana </w:t>
            </w:r>
            <w:r w:rsidR="0037744A" w:rsidRPr="00510442">
              <w:rPr>
                <w:szCs w:val="22"/>
                <w:lang w:val="hr-HR"/>
              </w:rPr>
              <w:t xml:space="preserve">učestalost </w:t>
            </w:r>
            <w:r w:rsidRPr="00510442">
              <w:rPr>
                <w:szCs w:val="22"/>
                <w:lang w:val="hr-HR"/>
              </w:rPr>
              <w:t>mokrenja</w:t>
            </w:r>
          </w:p>
        </w:tc>
      </w:tr>
      <w:tr w:rsidR="00B440E4" w:rsidRPr="00510442" w14:paraId="756A01F4" w14:textId="77777777" w:rsidTr="003179A4">
        <w:trPr>
          <w:cantSplit/>
        </w:trPr>
        <w:tc>
          <w:tcPr>
            <w:tcW w:w="2235" w:type="dxa"/>
          </w:tcPr>
          <w:p w14:paraId="340BB59F" w14:textId="77777777" w:rsidR="00B440E4" w:rsidRPr="00510442" w:rsidRDefault="00B440E4" w:rsidP="00AF0004">
            <w:pPr>
              <w:widowControl w:val="0"/>
              <w:rPr>
                <w:i/>
                <w:color w:val="000000"/>
                <w:szCs w:val="22"/>
                <w:lang w:val="hr-HR"/>
              </w:rPr>
            </w:pPr>
            <w:r w:rsidRPr="00510442">
              <w:rPr>
                <w:i/>
                <w:color w:val="000000"/>
                <w:szCs w:val="22"/>
                <w:lang w:val="hr-HR"/>
              </w:rPr>
              <w:t>Nepoznato:</w:t>
            </w:r>
          </w:p>
        </w:tc>
        <w:tc>
          <w:tcPr>
            <w:tcW w:w="7087" w:type="dxa"/>
          </w:tcPr>
          <w:p w14:paraId="40436AEE" w14:textId="77777777" w:rsidR="00B440E4" w:rsidRPr="00510442" w:rsidRDefault="00B440E4" w:rsidP="00AF0004">
            <w:pPr>
              <w:widowControl w:val="0"/>
              <w:rPr>
                <w:color w:val="000000"/>
                <w:szCs w:val="22"/>
                <w:lang w:val="hr-HR"/>
              </w:rPr>
            </w:pPr>
            <w:r w:rsidRPr="00510442">
              <w:rPr>
                <w:color w:val="000000"/>
                <w:szCs w:val="22"/>
                <w:lang w:val="hr-HR"/>
              </w:rPr>
              <w:t>Kronično zatajenje bubrega</w:t>
            </w:r>
          </w:p>
        </w:tc>
      </w:tr>
      <w:tr w:rsidR="004C7699" w:rsidRPr="00510442" w14:paraId="05395AAD" w14:textId="77777777" w:rsidTr="003179A4">
        <w:trPr>
          <w:cantSplit/>
        </w:trPr>
        <w:tc>
          <w:tcPr>
            <w:tcW w:w="9322" w:type="dxa"/>
            <w:gridSpan w:val="2"/>
          </w:tcPr>
          <w:p w14:paraId="7ED9D124" w14:textId="77777777" w:rsidR="004C7699" w:rsidRPr="00307897" w:rsidRDefault="004C7699" w:rsidP="003179A4">
            <w:pPr>
              <w:keepNext/>
              <w:spacing w:line="240" w:lineRule="auto"/>
              <w:rPr>
                <w:color w:val="000000"/>
                <w:szCs w:val="22"/>
                <w:lang w:val="hr-HR"/>
              </w:rPr>
            </w:pPr>
            <w:r w:rsidRPr="00307897">
              <w:rPr>
                <w:b/>
                <w:szCs w:val="22"/>
                <w:lang w:val="hr-HR"/>
              </w:rPr>
              <w:t>Poremećaji reproduktivnog sustava i dojki</w:t>
            </w:r>
          </w:p>
        </w:tc>
      </w:tr>
      <w:tr w:rsidR="004C7699" w:rsidRPr="00F410C8" w14:paraId="4995979B" w14:textId="77777777" w:rsidTr="003179A4">
        <w:trPr>
          <w:cantSplit/>
        </w:trPr>
        <w:tc>
          <w:tcPr>
            <w:tcW w:w="2235" w:type="dxa"/>
          </w:tcPr>
          <w:p w14:paraId="0458576C" w14:textId="77777777" w:rsidR="004C7699" w:rsidRPr="00510442" w:rsidRDefault="004C7699" w:rsidP="003179A4">
            <w:pPr>
              <w:keepNext/>
              <w:spacing w:line="240" w:lineRule="auto"/>
              <w:rPr>
                <w:i/>
                <w:szCs w:val="22"/>
                <w:lang w:val="hr-HR"/>
              </w:rPr>
            </w:pPr>
            <w:r w:rsidRPr="00510442">
              <w:rPr>
                <w:i/>
                <w:szCs w:val="22"/>
                <w:lang w:val="hr-HR"/>
              </w:rPr>
              <w:t>Manje često:</w:t>
            </w:r>
          </w:p>
        </w:tc>
        <w:tc>
          <w:tcPr>
            <w:tcW w:w="7087" w:type="dxa"/>
          </w:tcPr>
          <w:p w14:paraId="4C1E8308" w14:textId="77777777" w:rsidR="004C7699" w:rsidRPr="00510442" w:rsidRDefault="004C7699" w:rsidP="003179A4">
            <w:pPr>
              <w:keepNext/>
              <w:spacing w:line="240" w:lineRule="auto"/>
              <w:rPr>
                <w:szCs w:val="22"/>
                <w:lang w:val="hr-HR"/>
              </w:rPr>
            </w:pPr>
            <w:r w:rsidRPr="00510442">
              <w:rPr>
                <w:szCs w:val="22"/>
                <w:lang w:val="hr-HR"/>
              </w:rPr>
              <w:t>Ginekomastija, erektilna disfunkcija, menoragija, nepravilne mjesečnice, poremećaj seksualne funkcije, bol u bradavicama, povećanje dojki, edem skrotuma</w:t>
            </w:r>
          </w:p>
        </w:tc>
      </w:tr>
      <w:tr w:rsidR="004C7699" w:rsidRPr="00F410C8" w14:paraId="0228E57D" w14:textId="77777777" w:rsidTr="003179A4">
        <w:trPr>
          <w:cantSplit/>
        </w:trPr>
        <w:tc>
          <w:tcPr>
            <w:tcW w:w="2235" w:type="dxa"/>
          </w:tcPr>
          <w:p w14:paraId="0AE5FD03" w14:textId="77777777" w:rsidR="004C7699" w:rsidRPr="00510442" w:rsidRDefault="004C7699" w:rsidP="00C210A6">
            <w:pPr>
              <w:spacing w:line="240" w:lineRule="auto"/>
              <w:rPr>
                <w:i/>
                <w:szCs w:val="22"/>
                <w:lang w:val="hr-HR"/>
              </w:rPr>
            </w:pPr>
            <w:r w:rsidRPr="00510442">
              <w:rPr>
                <w:i/>
                <w:szCs w:val="22"/>
                <w:lang w:val="hr-HR"/>
              </w:rPr>
              <w:t>Rijetko:</w:t>
            </w:r>
          </w:p>
        </w:tc>
        <w:tc>
          <w:tcPr>
            <w:tcW w:w="7087" w:type="dxa"/>
          </w:tcPr>
          <w:p w14:paraId="34281E8D" w14:textId="77777777" w:rsidR="004C7699" w:rsidRPr="00510442" w:rsidRDefault="004C7699" w:rsidP="00C210A6">
            <w:pPr>
              <w:spacing w:line="240" w:lineRule="auto"/>
              <w:rPr>
                <w:szCs w:val="22"/>
                <w:lang w:val="hr-HR"/>
              </w:rPr>
            </w:pPr>
            <w:r w:rsidRPr="00510442">
              <w:rPr>
                <w:rStyle w:val="Emphasis"/>
                <w:b w:val="0"/>
                <w:color w:val="000000"/>
                <w:szCs w:val="22"/>
                <w:lang w:val="hr-HR"/>
              </w:rPr>
              <w:t>Hemoragična cista</w:t>
            </w:r>
            <w:r w:rsidRPr="00510442">
              <w:rPr>
                <w:color w:val="000000"/>
                <w:szCs w:val="22"/>
                <w:lang w:val="hr-HR"/>
              </w:rPr>
              <w:t xml:space="preserve"> žutog tijela</w:t>
            </w:r>
            <w:r w:rsidRPr="00510442">
              <w:rPr>
                <w:szCs w:val="22"/>
                <w:lang w:val="hr-HR"/>
              </w:rPr>
              <w:t>/hemoragična cista jajnika</w:t>
            </w:r>
          </w:p>
        </w:tc>
      </w:tr>
      <w:tr w:rsidR="004C7699" w:rsidRPr="00F410C8" w14:paraId="5B4079FD" w14:textId="77777777" w:rsidTr="003179A4">
        <w:trPr>
          <w:cantSplit/>
        </w:trPr>
        <w:tc>
          <w:tcPr>
            <w:tcW w:w="9322" w:type="dxa"/>
            <w:gridSpan w:val="2"/>
          </w:tcPr>
          <w:p w14:paraId="75F88CDA" w14:textId="77777777" w:rsidR="004C7699" w:rsidRPr="00510442" w:rsidRDefault="004C7699" w:rsidP="003179A4">
            <w:pPr>
              <w:keepNext/>
              <w:spacing w:line="240" w:lineRule="auto"/>
              <w:rPr>
                <w:color w:val="000000"/>
                <w:szCs w:val="22"/>
                <w:lang w:val="hr-HR"/>
              </w:rPr>
            </w:pPr>
            <w:r w:rsidRPr="00510442">
              <w:rPr>
                <w:b/>
                <w:szCs w:val="22"/>
                <w:lang w:val="hr-HR"/>
              </w:rPr>
              <w:t>Opći poremećaji i reakcije na mjestu primjene</w:t>
            </w:r>
          </w:p>
        </w:tc>
      </w:tr>
      <w:tr w:rsidR="004C7699" w:rsidRPr="00510442" w14:paraId="47A4E29F" w14:textId="77777777" w:rsidTr="003179A4">
        <w:trPr>
          <w:cantSplit/>
        </w:trPr>
        <w:tc>
          <w:tcPr>
            <w:tcW w:w="2235" w:type="dxa"/>
          </w:tcPr>
          <w:p w14:paraId="5394B3F4" w14:textId="77777777" w:rsidR="004C7699" w:rsidRPr="00510442" w:rsidRDefault="004C7699" w:rsidP="003179A4">
            <w:pPr>
              <w:keepNext/>
              <w:spacing w:line="240" w:lineRule="auto"/>
              <w:rPr>
                <w:i/>
                <w:szCs w:val="22"/>
                <w:lang w:val="hr-HR"/>
              </w:rPr>
            </w:pPr>
            <w:r w:rsidRPr="00510442">
              <w:rPr>
                <w:i/>
                <w:szCs w:val="22"/>
                <w:lang w:val="hr-HR"/>
              </w:rPr>
              <w:t>Vrlo često:</w:t>
            </w:r>
          </w:p>
        </w:tc>
        <w:tc>
          <w:tcPr>
            <w:tcW w:w="7087" w:type="dxa"/>
          </w:tcPr>
          <w:p w14:paraId="0AC877B4" w14:textId="77777777" w:rsidR="004C7699" w:rsidRPr="00510442" w:rsidRDefault="004C7699" w:rsidP="003179A4">
            <w:pPr>
              <w:keepNext/>
              <w:spacing w:line="240" w:lineRule="auto"/>
              <w:rPr>
                <w:szCs w:val="22"/>
                <w:lang w:val="hr-HR"/>
              </w:rPr>
            </w:pPr>
            <w:r w:rsidRPr="00510442">
              <w:rPr>
                <w:szCs w:val="22"/>
                <w:lang w:val="hr-HR"/>
              </w:rPr>
              <w:t>Retencija tekućine i edem, umor</w:t>
            </w:r>
          </w:p>
        </w:tc>
      </w:tr>
      <w:tr w:rsidR="004C7699" w:rsidRPr="00F410C8" w14:paraId="2EA744BE" w14:textId="77777777" w:rsidTr="003179A4">
        <w:trPr>
          <w:cantSplit/>
        </w:trPr>
        <w:tc>
          <w:tcPr>
            <w:tcW w:w="2235" w:type="dxa"/>
          </w:tcPr>
          <w:p w14:paraId="1B96CA60" w14:textId="77777777" w:rsidR="004C7699" w:rsidRPr="00510442" w:rsidRDefault="004C7699" w:rsidP="003179A4">
            <w:pPr>
              <w:keepNext/>
              <w:spacing w:line="240" w:lineRule="auto"/>
              <w:rPr>
                <w:i/>
                <w:szCs w:val="22"/>
                <w:lang w:val="hr-HR"/>
              </w:rPr>
            </w:pPr>
            <w:r w:rsidRPr="00510442">
              <w:rPr>
                <w:i/>
                <w:szCs w:val="22"/>
                <w:lang w:val="hr-HR"/>
              </w:rPr>
              <w:t>Često</w:t>
            </w:r>
            <w:r w:rsidRPr="00510442">
              <w:rPr>
                <w:szCs w:val="22"/>
                <w:lang w:val="hr-HR"/>
              </w:rPr>
              <w:t>:</w:t>
            </w:r>
          </w:p>
        </w:tc>
        <w:tc>
          <w:tcPr>
            <w:tcW w:w="7087" w:type="dxa"/>
          </w:tcPr>
          <w:p w14:paraId="02DE8BD6" w14:textId="77777777" w:rsidR="004C7699" w:rsidRPr="00510442" w:rsidRDefault="004C7699" w:rsidP="003179A4">
            <w:pPr>
              <w:keepNext/>
              <w:spacing w:line="240" w:lineRule="auto"/>
              <w:rPr>
                <w:szCs w:val="22"/>
                <w:lang w:val="hr-HR"/>
              </w:rPr>
            </w:pPr>
            <w:r w:rsidRPr="00510442">
              <w:rPr>
                <w:szCs w:val="22"/>
                <w:lang w:val="hr-HR"/>
              </w:rPr>
              <w:t>Slabost, vrućica, anasarka, zimica, tresavica</w:t>
            </w:r>
          </w:p>
        </w:tc>
      </w:tr>
      <w:tr w:rsidR="004C7699" w:rsidRPr="00F410C8" w14:paraId="616DFA69" w14:textId="77777777" w:rsidTr="003179A4">
        <w:trPr>
          <w:cantSplit/>
        </w:trPr>
        <w:tc>
          <w:tcPr>
            <w:tcW w:w="2235" w:type="dxa"/>
          </w:tcPr>
          <w:p w14:paraId="6205091C" w14:textId="77777777" w:rsidR="004C7699" w:rsidRPr="00510442" w:rsidRDefault="004C7699" w:rsidP="00C210A6">
            <w:pPr>
              <w:spacing w:line="240" w:lineRule="auto"/>
              <w:rPr>
                <w:i/>
                <w:szCs w:val="22"/>
                <w:lang w:val="hr-HR"/>
              </w:rPr>
            </w:pPr>
            <w:r w:rsidRPr="00510442">
              <w:rPr>
                <w:i/>
                <w:szCs w:val="22"/>
                <w:lang w:val="hr-HR"/>
              </w:rPr>
              <w:t>Manje često:</w:t>
            </w:r>
          </w:p>
        </w:tc>
        <w:tc>
          <w:tcPr>
            <w:tcW w:w="7087" w:type="dxa"/>
          </w:tcPr>
          <w:p w14:paraId="763B7114" w14:textId="77777777" w:rsidR="004C7699" w:rsidRPr="00510442" w:rsidRDefault="004C7699" w:rsidP="00C210A6">
            <w:pPr>
              <w:spacing w:line="240" w:lineRule="auto"/>
              <w:rPr>
                <w:szCs w:val="22"/>
                <w:lang w:val="hr-HR"/>
              </w:rPr>
            </w:pPr>
            <w:r w:rsidRPr="00510442">
              <w:rPr>
                <w:szCs w:val="22"/>
                <w:lang w:val="hr-HR"/>
              </w:rPr>
              <w:t>Bol u prsnom košu, malaksalost</w:t>
            </w:r>
          </w:p>
        </w:tc>
      </w:tr>
      <w:tr w:rsidR="004C7699" w:rsidRPr="00510442" w14:paraId="69B4FF2F" w14:textId="77777777" w:rsidTr="003179A4">
        <w:trPr>
          <w:cantSplit/>
        </w:trPr>
        <w:tc>
          <w:tcPr>
            <w:tcW w:w="9322" w:type="dxa"/>
            <w:gridSpan w:val="2"/>
          </w:tcPr>
          <w:p w14:paraId="532C6895" w14:textId="77777777" w:rsidR="004C7699" w:rsidRPr="00510442" w:rsidRDefault="004C7699" w:rsidP="003179A4">
            <w:pPr>
              <w:keepNext/>
              <w:spacing w:line="240" w:lineRule="auto"/>
              <w:rPr>
                <w:color w:val="000000"/>
                <w:szCs w:val="22"/>
                <w:lang w:val="hr-HR"/>
              </w:rPr>
            </w:pPr>
            <w:r w:rsidRPr="00510442">
              <w:rPr>
                <w:b/>
                <w:color w:val="000000"/>
                <w:szCs w:val="22"/>
                <w:lang w:val="hr-HR"/>
              </w:rPr>
              <w:lastRenderedPageBreak/>
              <w:t>Pretrage</w:t>
            </w:r>
          </w:p>
        </w:tc>
      </w:tr>
      <w:tr w:rsidR="004C7699" w:rsidRPr="00510442" w14:paraId="37F25263" w14:textId="77777777" w:rsidTr="003179A4">
        <w:trPr>
          <w:cantSplit/>
        </w:trPr>
        <w:tc>
          <w:tcPr>
            <w:tcW w:w="2235" w:type="dxa"/>
          </w:tcPr>
          <w:p w14:paraId="5FAE8CDB" w14:textId="77777777" w:rsidR="004C7699" w:rsidRPr="00510442" w:rsidRDefault="004C7699" w:rsidP="003179A4">
            <w:pPr>
              <w:keepNext/>
              <w:spacing w:line="240" w:lineRule="auto"/>
              <w:rPr>
                <w:szCs w:val="22"/>
                <w:lang w:val="hr-HR"/>
              </w:rPr>
            </w:pPr>
            <w:r w:rsidRPr="00510442">
              <w:rPr>
                <w:i/>
                <w:szCs w:val="22"/>
                <w:lang w:val="hr-HR"/>
              </w:rPr>
              <w:t>Vrlo često:</w:t>
            </w:r>
          </w:p>
        </w:tc>
        <w:tc>
          <w:tcPr>
            <w:tcW w:w="7087" w:type="dxa"/>
          </w:tcPr>
          <w:p w14:paraId="465EA525" w14:textId="77777777" w:rsidR="004C7699" w:rsidRPr="00510442" w:rsidRDefault="004C7699" w:rsidP="003179A4">
            <w:pPr>
              <w:keepNext/>
              <w:spacing w:line="240" w:lineRule="auto"/>
              <w:rPr>
                <w:szCs w:val="22"/>
                <w:lang w:val="hr-HR"/>
              </w:rPr>
            </w:pPr>
            <w:r w:rsidRPr="00510442">
              <w:rPr>
                <w:szCs w:val="22"/>
                <w:lang w:val="hr-HR"/>
              </w:rPr>
              <w:t>Povećana tjelesna težina</w:t>
            </w:r>
          </w:p>
        </w:tc>
      </w:tr>
      <w:tr w:rsidR="004C7699" w:rsidRPr="00510442" w14:paraId="1328E077" w14:textId="77777777" w:rsidTr="003179A4">
        <w:trPr>
          <w:cantSplit/>
        </w:trPr>
        <w:tc>
          <w:tcPr>
            <w:tcW w:w="2235" w:type="dxa"/>
          </w:tcPr>
          <w:p w14:paraId="664F608D" w14:textId="77777777" w:rsidR="004C7699" w:rsidRPr="00510442" w:rsidRDefault="004C7699" w:rsidP="003179A4">
            <w:pPr>
              <w:keepNext/>
              <w:spacing w:line="240" w:lineRule="auto"/>
              <w:rPr>
                <w:szCs w:val="22"/>
                <w:lang w:val="hr-HR"/>
              </w:rPr>
            </w:pPr>
            <w:r w:rsidRPr="00510442">
              <w:rPr>
                <w:i/>
                <w:szCs w:val="22"/>
                <w:lang w:val="hr-HR"/>
              </w:rPr>
              <w:t>Često</w:t>
            </w:r>
            <w:r w:rsidRPr="00510442">
              <w:rPr>
                <w:szCs w:val="22"/>
                <w:lang w:val="hr-HR"/>
              </w:rPr>
              <w:t>:</w:t>
            </w:r>
          </w:p>
        </w:tc>
        <w:tc>
          <w:tcPr>
            <w:tcW w:w="7087" w:type="dxa"/>
          </w:tcPr>
          <w:p w14:paraId="0E37F118" w14:textId="77777777" w:rsidR="004C7699" w:rsidRPr="00510442" w:rsidRDefault="004C7699" w:rsidP="003179A4">
            <w:pPr>
              <w:keepNext/>
              <w:spacing w:line="240" w:lineRule="auto"/>
              <w:rPr>
                <w:szCs w:val="22"/>
                <w:lang w:val="hr-HR"/>
              </w:rPr>
            </w:pPr>
            <w:r w:rsidRPr="00510442">
              <w:rPr>
                <w:szCs w:val="22"/>
                <w:lang w:val="hr-HR"/>
              </w:rPr>
              <w:t>Smanjena tjelesna težina</w:t>
            </w:r>
          </w:p>
        </w:tc>
      </w:tr>
      <w:tr w:rsidR="004C7699" w:rsidRPr="00F410C8" w14:paraId="3BC8ED3F" w14:textId="77777777" w:rsidTr="003179A4">
        <w:trPr>
          <w:cantSplit/>
        </w:trPr>
        <w:tc>
          <w:tcPr>
            <w:tcW w:w="2235" w:type="dxa"/>
          </w:tcPr>
          <w:p w14:paraId="2237F84B" w14:textId="77777777" w:rsidR="004C7699" w:rsidRPr="00510442" w:rsidRDefault="004C7699" w:rsidP="003179A4">
            <w:pPr>
              <w:keepNext/>
              <w:spacing w:line="240" w:lineRule="auto"/>
              <w:rPr>
                <w:szCs w:val="22"/>
                <w:lang w:val="hr-HR"/>
              </w:rPr>
            </w:pPr>
            <w:r w:rsidRPr="00510442">
              <w:rPr>
                <w:i/>
                <w:szCs w:val="22"/>
                <w:lang w:val="hr-HR"/>
              </w:rPr>
              <w:t>Manje često:</w:t>
            </w:r>
          </w:p>
        </w:tc>
        <w:tc>
          <w:tcPr>
            <w:tcW w:w="7087" w:type="dxa"/>
          </w:tcPr>
          <w:p w14:paraId="583D1E86" w14:textId="77777777" w:rsidR="004C7699" w:rsidRPr="00510442" w:rsidRDefault="004C7699" w:rsidP="003179A4">
            <w:pPr>
              <w:keepNext/>
              <w:spacing w:line="240" w:lineRule="auto"/>
              <w:rPr>
                <w:szCs w:val="22"/>
                <w:lang w:val="hr-HR"/>
              </w:rPr>
            </w:pPr>
            <w:r w:rsidRPr="00510442">
              <w:rPr>
                <w:szCs w:val="22"/>
                <w:lang w:val="hr-HR"/>
              </w:rPr>
              <w:t>Povišen kreatinin u krvi, povišena kreatin-fosfokinaza u krvi, povišena laktat-dehidrogenaza u krvi, povišena alkalna fosfataza u krvi</w:t>
            </w:r>
          </w:p>
        </w:tc>
      </w:tr>
      <w:tr w:rsidR="004C7699" w:rsidRPr="00510442" w14:paraId="0D1FAD1D" w14:textId="77777777" w:rsidTr="003179A4">
        <w:trPr>
          <w:cantSplit/>
        </w:trPr>
        <w:tc>
          <w:tcPr>
            <w:tcW w:w="2235" w:type="dxa"/>
          </w:tcPr>
          <w:p w14:paraId="26425950" w14:textId="77777777" w:rsidR="004C7699" w:rsidRPr="00510442" w:rsidRDefault="004C7699" w:rsidP="003179A4">
            <w:pPr>
              <w:keepNext/>
              <w:spacing w:line="240" w:lineRule="auto"/>
              <w:rPr>
                <w:i/>
                <w:szCs w:val="22"/>
                <w:lang w:val="hr-HR"/>
              </w:rPr>
            </w:pPr>
            <w:r w:rsidRPr="00510442">
              <w:rPr>
                <w:i/>
                <w:szCs w:val="22"/>
                <w:lang w:val="hr-HR"/>
              </w:rPr>
              <w:t>Rijetko:</w:t>
            </w:r>
          </w:p>
        </w:tc>
        <w:tc>
          <w:tcPr>
            <w:tcW w:w="7087" w:type="dxa"/>
          </w:tcPr>
          <w:p w14:paraId="5A691A38" w14:textId="77777777" w:rsidR="004C7699" w:rsidRPr="00510442" w:rsidRDefault="004C7699" w:rsidP="003179A4">
            <w:pPr>
              <w:keepNext/>
              <w:spacing w:line="240" w:lineRule="auto"/>
              <w:rPr>
                <w:szCs w:val="22"/>
                <w:lang w:val="hr-HR"/>
              </w:rPr>
            </w:pPr>
            <w:r w:rsidRPr="00510442">
              <w:rPr>
                <w:szCs w:val="22"/>
                <w:lang w:val="hr-HR"/>
              </w:rPr>
              <w:t>Povišena amilaza u krvi</w:t>
            </w:r>
          </w:p>
        </w:tc>
      </w:tr>
    </w:tbl>
    <w:p w14:paraId="1340F20D" w14:textId="77777777" w:rsidR="004C7699" w:rsidRPr="00510442" w:rsidRDefault="004C7699" w:rsidP="004C7699">
      <w:pPr>
        <w:keepNext/>
        <w:widowControl w:val="0"/>
        <w:spacing w:line="240" w:lineRule="auto"/>
        <w:rPr>
          <w:color w:val="000000"/>
          <w:szCs w:val="22"/>
          <w:lang w:val="hr-HR"/>
        </w:rPr>
      </w:pPr>
    </w:p>
    <w:p w14:paraId="3D929F42" w14:textId="06933D11" w:rsidR="004C7699" w:rsidRPr="00510442" w:rsidRDefault="004C7699" w:rsidP="003179A4">
      <w:pPr>
        <w:keepNext/>
        <w:keepLines/>
        <w:widowControl w:val="0"/>
        <w:tabs>
          <w:tab w:val="clear" w:pos="567"/>
        </w:tabs>
        <w:spacing w:line="240" w:lineRule="auto"/>
        <w:ind w:left="567" w:hanging="567"/>
        <w:rPr>
          <w:color w:val="000000"/>
          <w:szCs w:val="22"/>
          <w:lang w:val="hr-HR"/>
        </w:rPr>
      </w:pPr>
      <w:r w:rsidRPr="00510442">
        <w:rPr>
          <w:color w:val="000000"/>
          <w:szCs w:val="22"/>
          <w:lang w:val="hr-HR"/>
        </w:rPr>
        <w:t>*</w:t>
      </w:r>
      <w:r w:rsidRPr="00510442">
        <w:rPr>
          <w:color w:val="000000"/>
          <w:szCs w:val="22"/>
          <w:lang w:val="hr-HR"/>
        </w:rPr>
        <w:tab/>
      </w:r>
      <w:r w:rsidRPr="00510442">
        <w:rPr>
          <w:szCs w:val="22"/>
          <w:lang w:val="hr-HR"/>
        </w:rPr>
        <w:t xml:space="preserve">Ove vrste reakcija zabilježene su uglavnom nakon stavljanja </w:t>
      </w:r>
      <w:r w:rsidR="004007D1" w:rsidRPr="00512481">
        <w:rPr>
          <w:szCs w:val="22"/>
          <w:lang w:val="hr-HR"/>
        </w:rPr>
        <w:t xml:space="preserve">lijeka </w:t>
      </w:r>
      <w:r w:rsidRPr="00510442">
        <w:rPr>
          <w:szCs w:val="22"/>
          <w:lang w:val="hr-HR"/>
        </w:rPr>
        <w:t xml:space="preserve">Glivec u promet. To uključuje spontano prijavljivanje nuspojava, kao i ozbiljne štetne događaje iz trenutno provođenih ispitivanja, proširenih pristupnih programa za bolesnike, kliničkih farmakoloških studija i eksplorativnih studija u neodobrenim indikacijama. Budući da su te reakcije zabilježene u populaciji nepoznate veličine, nije uvijek moguće pouzdano procijeniti njihovu </w:t>
      </w:r>
      <w:r w:rsidR="00BE4168" w:rsidRPr="00510442">
        <w:rPr>
          <w:szCs w:val="22"/>
          <w:lang w:val="hr-HR"/>
        </w:rPr>
        <w:t xml:space="preserve">učestalost </w:t>
      </w:r>
      <w:r w:rsidRPr="00510442">
        <w:rPr>
          <w:szCs w:val="22"/>
          <w:lang w:val="hr-HR"/>
        </w:rPr>
        <w:t>ili utvrditi uzročnu povezanost s izloženošću imatinibu.</w:t>
      </w:r>
    </w:p>
    <w:p w14:paraId="3CF48C35" w14:textId="77777777" w:rsidR="00BE41B8" w:rsidRPr="00510442" w:rsidRDefault="00BE41B8" w:rsidP="003179A4">
      <w:pPr>
        <w:keepNext/>
        <w:keepLines/>
        <w:widowControl w:val="0"/>
        <w:tabs>
          <w:tab w:val="clear" w:pos="567"/>
        </w:tabs>
        <w:spacing w:line="240" w:lineRule="auto"/>
        <w:ind w:left="567" w:hanging="567"/>
        <w:rPr>
          <w:color w:val="000000"/>
          <w:szCs w:val="22"/>
          <w:lang w:val="hr-HR"/>
        </w:rPr>
      </w:pPr>
      <w:r w:rsidRPr="00510442">
        <w:rPr>
          <w:color w:val="000000"/>
          <w:szCs w:val="22"/>
          <w:lang w:val="hr-HR"/>
        </w:rPr>
        <w:t>1</w:t>
      </w:r>
      <w:r w:rsidRPr="00510442">
        <w:rPr>
          <w:color w:val="000000"/>
          <w:szCs w:val="22"/>
          <w:lang w:val="hr-HR"/>
        </w:rPr>
        <w:tab/>
      </w:r>
      <w:r w:rsidRPr="00510442">
        <w:rPr>
          <w:szCs w:val="22"/>
          <w:lang w:val="hr-HR"/>
        </w:rPr>
        <w:t>Upala pluća je najčešće zabilježena u bolesnika s transformiranim KML-om i u bolesnika s GIST-om</w:t>
      </w:r>
      <w:r w:rsidRPr="00510442">
        <w:rPr>
          <w:color w:val="000000"/>
          <w:szCs w:val="22"/>
          <w:lang w:val="hr-HR"/>
        </w:rPr>
        <w:t>.</w:t>
      </w:r>
    </w:p>
    <w:p w14:paraId="0CB38FF2" w14:textId="77777777" w:rsidR="00BE41B8" w:rsidRPr="00510442" w:rsidRDefault="00BE41B8" w:rsidP="003179A4">
      <w:pPr>
        <w:keepNext/>
        <w:keepLines/>
        <w:widowControl w:val="0"/>
        <w:tabs>
          <w:tab w:val="clear" w:pos="567"/>
        </w:tabs>
        <w:spacing w:line="240" w:lineRule="auto"/>
        <w:ind w:left="567" w:hanging="567"/>
        <w:rPr>
          <w:color w:val="000000"/>
          <w:szCs w:val="22"/>
          <w:lang w:val="hr-HR"/>
        </w:rPr>
      </w:pPr>
      <w:r w:rsidRPr="00510442">
        <w:rPr>
          <w:color w:val="000000"/>
          <w:szCs w:val="22"/>
          <w:lang w:val="hr-HR"/>
        </w:rPr>
        <w:t>2</w:t>
      </w:r>
      <w:r w:rsidRPr="00510442">
        <w:rPr>
          <w:color w:val="000000"/>
          <w:szCs w:val="22"/>
          <w:lang w:val="hr-HR"/>
        </w:rPr>
        <w:tab/>
      </w:r>
      <w:r w:rsidRPr="00510442">
        <w:rPr>
          <w:szCs w:val="22"/>
          <w:lang w:val="hr-HR"/>
        </w:rPr>
        <w:t>Glavobolja je bila najčešća u GIST bolesnika</w:t>
      </w:r>
      <w:r w:rsidRPr="00510442">
        <w:rPr>
          <w:color w:val="000000"/>
          <w:szCs w:val="22"/>
          <w:lang w:val="hr-HR"/>
        </w:rPr>
        <w:t>.</w:t>
      </w:r>
    </w:p>
    <w:p w14:paraId="5FA5DD5A" w14:textId="77777777" w:rsidR="00BE41B8" w:rsidRPr="00510442" w:rsidRDefault="00BE41B8" w:rsidP="003179A4">
      <w:pPr>
        <w:keepNext/>
        <w:keepLines/>
        <w:widowControl w:val="0"/>
        <w:tabs>
          <w:tab w:val="clear" w:pos="567"/>
        </w:tabs>
        <w:spacing w:line="240" w:lineRule="auto"/>
        <w:ind w:left="567" w:hanging="567"/>
        <w:rPr>
          <w:color w:val="000000"/>
          <w:szCs w:val="22"/>
          <w:lang w:val="hr-HR"/>
        </w:rPr>
      </w:pPr>
      <w:r w:rsidRPr="00510442">
        <w:rPr>
          <w:color w:val="000000"/>
          <w:szCs w:val="22"/>
          <w:lang w:val="hr-HR"/>
        </w:rPr>
        <w:t>3</w:t>
      </w:r>
      <w:r w:rsidRPr="00510442">
        <w:rPr>
          <w:color w:val="000000"/>
          <w:szCs w:val="22"/>
          <w:lang w:val="hr-HR"/>
        </w:rPr>
        <w:tab/>
      </w:r>
      <w:r w:rsidRPr="00510442">
        <w:rPr>
          <w:szCs w:val="22"/>
          <w:lang w:val="hr-HR"/>
        </w:rPr>
        <w:t>Na temelju procjene bolesnik-godina, srčani događaji uključujući kongestivno zatajenje srca su bili češće uočeni u bolesnika s transformiranim KML-om, nego u bolesnika s kroničnim KML</w:t>
      </w:r>
      <w:r w:rsidRPr="00510442">
        <w:rPr>
          <w:szCs w:val="22"/>
          <w:lang w:val="hr-HR"/>
        </w:rPr>
        <w:noBreakHyphen/>
        <w:t>om</w:t>
      </w:r>
      <w:r w:rsidRPr="00510442">
        <w:rPr>
          <w:color w:val="000000"/>
          <w:szCs w:val="22"/>
          <w:lang w:val="hr-HR"/>
        </w:rPr>
        <w:t>.</w:t>
      </w:r>
    </w:p>
    <w:p w14:paraId="7929A680" w14:textId="77777777" w:rsidR="00BE41B8" w:rsidRPr="00510442" w:rsidRDefault="00BE41B8" w:rsidP="003179A4">
      <w:pPr>
        <w:keepNext/>
        <w:keepLines/>
        <w:widowControl w:val="0"/>
        <w:tabs>
          <w:tab w:val="clear" w:pos="567"/>
        </w:tabs>
        <w:spacing w:line="240" w:lineRule="auto"/>
        <w:ind w:left="567" w:hanging="567"/>
        <w:rPr>
          <w:color w:val="000000"/>
          <w:szCs w:val="22"/>
          <w:lang w:val="hr-HR"/>
        </w:rPr>
      </w:pPr>
      <w:r w:rsidRPr="00510442">
        <w:rPr>
          <w:color w:val="000000"/>
          <w:szCs w:val="22"/>
          <w:lang w:val="hr-HR"/>
        </w:rPr>
        <w:t>4</w:t>
      </w:r>
      <w:r w:rsidRPr="00510442">
        <w:rPr>
          <w:color w:val="000000"/>
          <w:szCs w:val="22"/>
          <w:lang w:val="hr-HR"/>
        </w:rPr>
        <w:tab/>
      </w:r>
      <w:r w:rsidRPr="00510442">
        <w:rPr>
          <w:szCs w:val="22"/>
          <w:lang w:val="hr-HR"/>
        </w:rPr>
        <w:t>Crvenilo uz osjećaj vrućine je bilo najčešće u GIST bolesnika, a krvarenje (hematomi, hemoragija) je bilo najčešće u bolesnika s GIST-om i s transformiranim KML-om (KML-ubrzana faza i KML-blastična kriza).</w:t>
      </w:r>
    </w:p>
    <w:p w14:paraId="4DE5706A" w14:textId="77777777" w:rsidR="00BE41B8" w:rsidRPr="00510442" w:rsidRDefault="00BE41B8" w:rsidP="003179A4">
      <w:pPr>
        <w:keepNext/>
        <w:keepLines/>
        <w:widowControl w:val="0"/>
        <w:tabs>
          <w:tab w:val="clear" w:pos="567"/>
        </w:tabs>
        <w:spacing w:line="240" w:lineRule="auto"/>
        <w:ind w:left="567" w:hanging="567"/>
        <w:rPr>
          <w:color w:val="000000"/>
          <w:szCs w:val="22"/>
          <w:lang w:val="hr-HR"/>
        </w:rPr>
      </w:pPr>
      <w:r w:rsidRPr="00510442">
        <w:rPr>
          <w:color w:val="000000"/>
          <w:szCs w:val="22"/>
          <w:lang w:val="hr-HR"/>
        </w:rPr>
        <w:t>5</w:t>
      </w:r>
      <w:r w:rsidRPr="00510442">
        <w:rPr>
          <w:color w:val="000000"/>
          <w:szCs w:val="22"/>
          <w:lang w:val="hr-HR"/>
        </w:rPr>
        <w:tab/>
      </w:r>
      <w:r w:rsidRPr="00510442">
        <w:rPr>
          <w:szCs w:val="22"/>
          <w:lang w:val="hr-HR"/>
        </w:rPr>
        <w:t>Pleuralni izljev je češće zabilježen u bolesnika s GIST-om i u bolesnika s transformiranim KML-om (KML-ubrzana faza i KML-blastična kriza), nego u bolesnika s kroničnim KML-om.</w:t>
      </w:r>
    </w:p>
    <w:p w14:paraId="76166C58" w14:textId="77777777" w:rsidR="00BE41B8" w:rsidRPr="00510442" w:rsidRDefault="00BE41B8" w:rsidP="003179A4">
      <w:pPr>
        <w:keepNext/>
        <w:keepLines/>
        <w:widowControl w:val="0"/>
        <w:tabs>
          <w:tab w:val="clear" w:pos="567"/>
        </w:tabs>
        <w:spacing w:line="240" w:lineRule="auto"/>
        <w:ind w:left="567" w:hanging="567"/>
        <w:rPr>
          <w:color w:val="000000"/>
          <w:szCs w:val="22"/>
          <w:lang w:val="hr-HR"/>
        </w:rPr>
      </w:pPr>
      <w:r w:rsidRPr="00510442">
        <w:rPr>
          <w:color w:val="000000"/>
          <w:szCs w:val="22"/>
          <w:lang w:val="hr-HR"/>
        </w:rPr>
        <w:t>6+7</w:t>
      </w:r>
      <w:r w:rsidRPr="00510442">
        <w:rPr>
          <w:color w:val="000000"/>
          <w:szCs w:val="22"/>
          <w:lang w:val="hr-HR"/>
        </w:rPr>
        <w:tab/>
      </w:r>
      <w:r w:rsidRPr="00510442">
        <w:rPr>
          <w:szCs w:val="22"/>
          <w:lang w:val="hr-HR"/>
        </w:rPr>
        <w:t>Bol u trbuhu i gastrointestinalno krvarenje su najčešće uočeni u GIST bolesnika.</w:t>
      </w:r>
    </w:p>
    <w:p w14:paraId="55476401" w14:textId="77777777" w:rsidR="00BE41B8" w:rsidRPr="00510442" w:rsidRDefault="00BE41B8" w:rsidP="003179A4">
      <w:pPr>
        <w:keepNext/>
        <w:keepLines/>
        <w:widowControl w:val="0"/>
        <w:tabs>
          <w:tab w:val="clear" w:pos="567"/>
        </w:tabs>
        <w:spacing w:line="240" w:lineRule="auto"/>
        <w:ind w:left="567" w:hanging="567"/>
        <w:rPr>
          <w:color w:val="000000"/>
          <w:szCs w:val="22"/>
          <w:lang w:val="hr-HR"/>
        </w:rPr>
      </w:pPr>
      <w:r w:rsidRPr="00510442">
        <w:rPr>
          <w:color w:val="000000"/>
          <w:szCs w:val="22"/>
          <w:lang w:val="hr-HR"/>
        </w:rPr>
        <w:t>8</w:t>
      </w:r>
      <w:r w:rsidRPr="00510442">
        <w:rPr>
          <w:color w:val="000000"/>
          <w:szCs w:val="22"/>
          <w:lang w:val="hr-HR"/>
        </w:rPr>
        <w:tab/>
      </w:r>
      <w:r w:rsidRPr="00510442">
        <w:rPr>
          <w:szCs w:val="22"/>
          <w:lang w:val="hr-HR"/>
        </w:rPr>
        <w:t>Zabilježeno je nekoliko smrtnih slučajeva zbog zatajenja jetre i nekroze jetre.</w:t>
      </w:r>
    </w:p>
    <w:p w14:paraId="2ED453E7" w14:textId="77777777" w:rsidR="00C96A77" w:rsidRPr="00510442" w:rsidRDefault="00C96A77" w:rsidP="003179A4">
      <w:pPr>
        <w:keepNext/>
        <w:keepLines/>
        <w:widowControl w:val="0"/>
        <w:tabs>
          <w:tab w:val="clear" w:pos="567"/>
        </w:tabs>
        <w:spacing w:line="240" w:lineRule="auto"/>
        <w:ind w:left="567" w:hanging="567"/>
        <w:rPr>
          <w:color w:val="000000"/>
          <w:szCs w:val="22"/>
          <w:lang w:val="hr-HR"/>
        </w:rPr>
      </w:pPr>
      <w:r w:rsidRPr="00510442">
        <w:rPr>
          <w:color w:val="000000"/>
          <w:szCs w:val="22"/>
          <w:lang w:val="hr-HR"/>
        </w:rPr>
        <w:t>9</w:t>
      </w:r>
      <w:r w:rsidRPr="00510442">
        <w:rPr>
          <w:color w:val="000000"/>
          <w:szCs w:val="22"/>
          <w:lang w:val="hr-HR"/>
        </w:rPr>
        <w:tab/>
        <w:t>N</w:t>
      </w:r>
      <w:r w:rsidRPr="00510442">
        <w:rPr>
          <w:szCs w:val="22"/>
          <w:lang w:val="hr-HR"/>
        </w:rPr>
        <w:t>akon stavljanja lijeka u promet primijećena je mišićno-koštana bol koja se javlja tijekom liječenja imatinibom, kao i nakon prekida liječenja.</w:t>
      </w:r>
    </w:p>
    <w:p w14:paraId="22A3A115" w14:textId="77777777" w:rsidR="00BE41B8" w:rsidRPr="00510442" w:rsidRDefault="00C96A77" w:rsidP="003179A4">
      <w:pPr>
        <w:keepNext/>
        <w:keepLines/>
        <w:widowControl w:val="0"/>
        <w:tabs>
          <w:tab w:val="clear" w:pos="567"/>
        </w:tabs>
        <w:spacing w:line="240" w:lineRule="auto"/>
        <w:ind w:left="567" w:hanging="567"/>
        <w:rPr>
          <w:szCs w:val="22"/>
          <w:lang w:val="hr-HR"/>
        </w:rPr>
      </w:pPr>
      <w:r w:rsidRPr="00510442">
        <w:rPr>
          <w:color w:val="000000"/>
          <w:szCs w:val="22"/>
          <w:lang w:val="hr-HR"/>
        </w:rPr>
        <w:t>10</w:t>
      </w:r>
      <w:r w:rsidR="00BE41B8" w:rsidRPr="00510442">
        <w:rPr>
          <w:color w:val="000000"/>
          <w:szCs w:val="22"/>
          <w:lang w:val="hr-HR"/>
        </w:rPr>
        <w:tab/>
      </w:r>
      <w:r w:rsidR="00BE41B8" w:rsidRPr="00510442">
        <w:rPr>
          <w:szCs w:val="22"/>
          <w:lang w:val="hr-HR"/>
        </w:rPr>
        <w:t>Mišićno-koštana bol i srodni događaji su češće uočeni u bolesnika s KML-om, nego u GIST bolesnika.</w:t>
      </w:r>
    </w:p>
    <w:p w14:paraId="7A676623" w14:textId="77777777" w:rsidR="004C7699" w:rsidRPr="00510442" w:rsidRDefault="00C96A77" w:rsidP="003179A4">
      <w:pPr>
        <w:keepLines/>
        <w:widowControl w:val="0"/>
        <w:tabs>
          <w:tab w:val="clear" w:pos="567"/>
          <w:tab w:val="left" w:pos="720"/>
        </w:tabs>
        <w:spacing w:line="240" w:lineRule="auto"/>
        <w:ind w:left="567" w:hanging="567"/>
        <w:rPr>
          <w:color w:val="000000"/>
          <w:szCs w:val="22"/>
          <w:lang w:val="hr-HR"/>
        </w:rPr>
      </w:pPr>
      <w:r w:rsidRPr="00510442">
        <w:rPr>
          <w:color w:val="000000"/>
          <w:szCs w:val="22"/>
          <w:lang w:val="hr-HR"/>
        </w:rPr>
        <w:t>11</w:t>
      </w:r>
      <w:r w:rsidR="004C7699" w:rsidRPr="00510442">
        <w:rPr>
          <w:color w:val="000000"/>
          <w:szCs w:val="22"/>
          <w:lang w:val="hr-HR"/>
        </w:rPr>
        <w:tab/>
      </w:r>
      <w:r w:rsidR="004C7699" w:rsidRPr="00510442">
        <w:rPr>
          <w:szCs w:val="22"/>
          <w:lang w:val="hr-HR"/>
        </w:rPr>
        <w:t>Smrtni slučajevi zabilježeni su u bolesnika s uznapredovalom bolešću, teškim infekcijama, teškom neutropenijom i drugim ozbiljnim popratnim stanjima</w:t>
      </w:r>
      <w:r w:rsidR="004C7699" w:rsidRPr="00510442">
        <w:rPr>
          <w:color w:val="000000"/>
          <w:szCs w:val="22"/>
          <w:lang w:val="hr-HR"/>
        </w:rPr>
        <w:t>.</w:t>
      </w:r>
    </w:p>
    <w:p w14:paraId="6BC63FCD" w14:textId="77777777" w:rsidR="00BE41B8" w:rsidRPr="00510442" w:rsidRDefault="00BE41B8" w:rsidP="00A91C07">
      <w:pPr>
        <w:widowControl w:val="0"/>
        <w:tabs>
          <w:tab w:val="clear" w:pos="567"/>
        </w:tabs>
        <w:spacing w:line="240" w:lineRule="auto"/>
        <w:ind w:left="567" w:hanging="567"/>
        <w:rPr>
          <w:color w:val="000000"/>
          <w:szCs w:val="22"/>
          <w:lang w:val="hr-HR"/>
        </w:rPr>
      </w:pPr>
    </w:p>
    <w:p w14:paraId="2F8A9BAD" w14:textId="77777777" w:rsidR="00BE41B8" w:rsidRPr="00510442" w:rsidRDefault="00BE41B8" w:rsidP="003179A4">
      <w:pPr>
        <w:pStyle w:val="Heading4"/>
        <w:widowControl w:val="0"/>
        <w:spacing w:line="240" w:lineRule="auto"/>
        <w:jc w:val="left"/>
        <w:rPr>
          <w:b w:val="0"/>
          <w:noProof w:val="0"/>
          <w:color w:val="000000"/>
          <w:szCs w:val="22"/>
          <w:u w:val="single"/>
          <w:lang w:val="hr-HR"/>
        </w:rPr>
      </w:pPr>
      <w:r w:rsidRPr="00510442">
        <w:rPr>
          <w:b w:val="0"/>
          <w:noProof w:val="0"/>
          <w:szCs w:val="22"/>
          <w:u w:val="single"/>
          <w:lang w:val="hr-HR"/>
        </w:rPr>
        <w:t>Abnormalne vrijednosti laboratorijskih testova</w:t>
      </w:r>
    </w:p>
    <w:p w14:paraId="73830D97" w14:textId="77777777" w:rsidR="00BE41B8" w:rsidRPr="00510442" w:rsidRDefault="00BE41B8" w:rsidP="003179A4">
      <w:pPr>
        <w:pStyle w:val="Text"/>
        <w:keepNext/>
        <w:widowControl w:val="0"/>
        <w:spacing w:before="0"/>
        <w:jc w:val="left"/>
        <w:rPr>
          <w:i/>
          <w:color w:val="000000"/>
          <w:sz w:val="22"/>
          <w:szCs w:val="22"/>
          <w:lang w:val="hr-HR"/>
        </w:rPr>
      </w:pPr>
      <w:r w:rsidRPr="00510442">
        <w:rPr>
          <w:i/>
          <w:sz w:val="22"/>
          <w:szCs w:val="22"/>
          <w:lang w:val="hr-HR"/>
        </w:rPr>
        <w:t>Hematologija</w:t>
      </w:r>
    </w:p>
    <w:p w14:paraId="05AD6095" w14:textId="599A6009" w:rsidR="00BE41B8" w:rsidRPr="00510442" w:rsidRDefault="00BE41B8" w:rsidP="00BE41B8">
      <w:pPr>
        <w:pStyle w:val="Text"/>
        <w:widowControl w:val="0"/>
        <w:spacing w:before="0"/>
        <w:jc w:val="left"/>
        <w:rPr>
          <w:sz w:val="22"/>
          <w:szCs w:val="22"/>
          <w:lang w:val="hr-HR"/>
        </w:rPr>
      </w:pPr>
      <w:r w:rsidRPr="00510442">
        <w:rPr>
          <w:sz w:val="22"/>
          <w:szCs w:val="22"/>
          <w:lang w:val="hr-HR"/>
        </w:rPr>
        <w:t xml:space="preserve">Kod KML-a, citopenije su, osobito neutropenija i trombocitopenija, bile stalan nalaz u svim ispitivanjima, s naznakom da je </w:t>
      </w:r>
      <w:r w:rsidR="00BE4168" w:rsidRPr="00510442">
        <w:rPr>
          <w:sz w:val="22"/>
          <w:szCs w:val="22"/>
          <w:lang w:val="hr-HR"/>
        </w:rPr>
        <w:t xml:space="preserve">učestalost </w:t>
      </w:r>
      <w:r w:rsidRPr="00510442">
        <w:rPr>
          <w:sz w:val="22"/>
          <w:szCs w:val="22"/>
          <w:lang w:val="hr-HR"/>
        </w:rPr>
        <w:t xml:space="preserve">veća uz visoke doze </w:t>
      </w:r>
      <w:r w:rsidRPr="00307897">
        <w:rPr>
          <w:sz w:val="22"/>
          <w:szCs w:val="22"/>
          <w:lang w:val="hr-HR"/>
        </w:rPr>
        <w:sym w:font="Symbol" w:char="F0B3"/>
      </w:r>
      <w:r w:rsidRPr="00307897">
        <w:rPr>
          <w:sz w:val="22"/>
          <w:szCs w:val="22"/>
          <w:lang w:val="hr-HR"/>
        </w:rPr>
        <w:t xml:space="preserve">750 mg (ispitivanje faze I). Međutim, pojava citopenija također je jasno ovisila o fazi bolesti, kod čega je </w:t>
      </w:r>
      <w:r w:rsidR="00BE4168" w:rsidRPr="00A00164">
        <w:rPr>
          <w:sz w:val="22"/>
          <w:szCs w:val="22"/>
          <w:lang w:val="hr-HR"/>
        </w:rPr>
        <w:t xml:space="preserve">učestalost </w:t>
      </w:r>
      <w:r w:rsidRPr="00973BDD">
        <w:rPr>
          <w:sz w:val="22"/>
          <w:szCs w:val="22"/>
          <w:lang w:val="hr-HR"/>
        </w:rPr>
        <w:t>neutropenij</w:t>
      </w:r>
      <w:r w:rsidR="00BE4168" w:rsidRPr="000B51EB">
        <w:rPr>
          <w:sz w:val="22"/>
          <w:szCs w:val="22"/>
          <w:lang w:val="hr-HR"/>
        </w:rPr>
        <w:t>e</w:t>
      </w:r>
      <w:r w:rsidRPr="00510442">
        <w:rPr>
          <w:sz w:val="22"/>
          <w:szCs w:val="22"/>
          <w:lang w:val="hr-HR"/>
        </w:rPr>
        <w:t xml:space="preserve"> stupnja 3 i 4 (ABN &lt;1,0 x 109/l) i trombocitopenija (broj trombocita &lt;50 x 109/l) bila između 4 i 6 puta veća u blastičnoj krizi i ubrzanoj fazi (59</w:t>
      </w:r>
      <w:r w:rsidRPr="00510442">
        <w:rPr>
          <w:sz w:val="22"/>
          <w:szCs w:val="22"/>
          <w:lang w:val="hr-HR"/>
        </w:rPr>
        <w:noBreakHyphen/>
        <w:t>64% i 44</w:t>
      </w:r>
      <w:r w:rsidRPr="00510442">
        <w:rPr>
          <w:sz w:val="22"/>
          <w:szCs w:val="22"/>
          <w:lang w:val="hr-HR"/>
        </w:rPr>
        <w:noBreakHyphen/>
        <w:t xml:space="preserve">63% za neutropeniju odnosno trombocitopeniju) u usporedbi s novodijagnosticiranim bolesnicima u kroničnoj fazi KML-a (16,7% neutropenija i 8,9% trombocitopenija). U novodijagnosticiranoj kroničnoj fazi KML-a, neutropenija 4. stupnja (ABN &lt;0,5 x 109/l) i trombocitopenija (broj trombocita &lt;10 x 109/l) zapažene su u 3,6% odnosno &lt;1% bolesnika. Medijan trajanja neutropenijskih i trombocitopenijskih epizoda obično se kretao od 2 do 3 tjedna, odnosno od 3 do 4 tjedna. Te se epizode obično mogu liječiti ili smanjenjem doze ili prekidanjem liječenja </w:t>
      </w:r>
      <w:r w:rsidR="00B27A2B">
        <w:rPr>
          <w:sz w:val="22"/>
          <w:szCs w:val="22"/>
          <w:lang w:val="hr-HR"/>
        </w:rPr>
        <w:t xml:space="preserve">lijekom </w:t>
      </w:r>
      <w:r w:rsidRPr="00510442">
        <w:rPr>
          <w:sz w:val="22"/>
          <w:szCs w:val="22"/>
          <w:lang w:val="hr-HR"/>
        </w:rPr>
        <w:t>Glivec, no u rijetkim slučajevima mogu dovesti i do trajnog ukidanja liječenja. U pedijatrijskih KML bolesnika najčešće uočene toksičnosti bile su citopenije 3. ili 4. stupnja uključujući neutropeniju, trombocitopeniju i anemiju. One su se općenito javljale unutar prvih nekoliko mjeseci terapije.</w:t>
      </w:r>
    </w:p>
    <w:p w14:paraId="675ED804" w14:textId="77777777" w:rsidR="00BE41B8" w:rsidRPr="00510442" w:rsidRDefault="00BE41B8" w:rsidP="00BE41B8">
      <w:pPr>
        <w:pStyle w:val="Text"/>
        <w:widowControl w:val="0"/>
        <w:spacing w:before="0"/>
        <w:jc w:val="left"/>
        <w:rPr>
          <w:color w:val="000000"/>
          <w:sz w:val="22"/>
          <w:szCs w:val="22"/>
          <w:lang w:val="hr-HR"/>
        </w:rPr>
      </w:pPr>
    </w:p>
    <w:p w14:paraId="3C9211E1" w14:textId="77777777" w:rsidR="00BE41B8" w:rsidRPr="00510442" w:rsidRDefault="00BE41B8" w:rsidP="00BE41B8">
      <w:pPr>
        <w:pStyle w:val="Text"/>
        <w:widowControl w:val="0"/>
        <w:spacing w:before="0"/>
        <w:jc w:val="left"/>
        <w:rPr>
          <w:sz w:val="22"/>
          <w:szCs w:val="22"/>
          <w:lang w:val="hr-HR"/>
        </w:rPr>
      </w:pPr>
      <w:r w:rsidRPr="00510442">
        <w:rPr>
          <w:sz w:val="22"/>
          <w:szCs w:val="22"/>
          <w:lang w:val="hr-HR"/>
        </w:rPr>
        <w:t>U ispitivanju s bolesnicima s inoperabilnim i/ili metastazirajućim GIST-om, anemije 3. i 4.</w:t>
      </w:r>
      <w:r w:rsidRPr="00510442">
        <w:rPr>
          <w:color w:val="000000"/>
          <w:sz w:val="22"/>
          <w:szCs w:val="22"/>
          <w:lang w:val="hr-HR"/>
        </w:rPr>
        <w:t> </w:t>
      </w:r>
      <w:r w:rsidRPr="00510442">
        <w:rPr>
          <w:sz w:val="22"/>
          <w:szCs w:val="22"/>
          <w:lang w:val="hr-HR"/>
        </w:rPr>
        <w:t>stupnja zabilježene su u 5,4% odnosno 0,7% bolesnika i mogle su biti povezane s gastrointestinalnim ili intratumorskim krvarenjem barem u nekih od tih bolesnika. Neutropenija 3. i 4.</w:t>
      </w:r>
      <w:r w:rsidRPr="00510442">
        <w:rPr>
          <w:color w:val="000000"/>
          <w:sz w:val="22"/>
          <w:szCs w:val="22"/>
          <w:lang w:val="hr-HR"/>
        </w:rPr>
        <w:t> </w:t>
      </w:r>
      <w:r w:rsidRPr="00510442">
        <w:rPr>
          <w:sz w:val="22"/>
          <w:szCs w:val="22"/>
          <w:lang w:val="hr-HR"/>
        </w:rPr>
        <w:t>stupnja zapažena je u 7,5% odnosno u 2,7% bolesnika, a trombocitopenija 3.</w:t>
      </w:r>
      <w:r w:rsidRPr="00510442">
        <w:rPr>
          <w:color w:val="000000"/>
          <w:sz w:val="22"/>
          <w:szCs w:val="22"/>
          <w:lang w:val="hr-HR"/>
        </w:rPr>
        <w:t> </w:t>
      </w:r>
      <w:r w:rsidRPr="00510442">
        <w:rPr>
          <w:sz w:val="22"/>
          <w:szCs w:val="22"/>
          <w:lang w:val="hr-HR"/>
        </w:rPr>
        <w:t>stupnja u 0,7% bolesnika. Trombocitopenija 4.</w:t>
      </w:r>
      <w:r w:rsidRPr="00510442">
        <w:rPr>
          <w:color w:val="000000"/>
          <w:sz w:val="22"/>
          <w:szCs w:val="22"/>
          <w:lang w:val="hr-HR"/>
        </w:rPr>
        <w:t> </w:t>
      </w:r>
      <w:r w:rsidRPr="00510442">
        <w:rPr>
          <w:sz w:val="22"/>
          <w:szCs w:val="22"/>
          <w:lang w:val="hr-HR"/>
        </w:rPr>
        <w:t>stupnja nije nastupila niti u jednog bolesnika. Do smanjenja broja leukocita (WBC) i broja neutrofila uglavnom je došlo tijekom prvih šest tjedana terapije, a vrijednosti su nakon toga ostale relativno stabilne.</w:t>
      </w:r>
    </w:p>
    <w:p w14:paraId="4AC4CB51" w14:textId="77777777" w:rsidR="00BE41B8" w:rsidRPr="00510442" w:rsidRDefault="00BE41B8" w:rsidP="00BE41B8">
      <w:pPr>
        <w:pStyle w:val="Text"/>
        <w:widowControl w:val="0"/>
        <w:spacing w:before="0"/>
        <w:jc w:val="left"/>
        <w:rPr>
          <w:color w:val="000000"/>
          <w:sz w:val="22"/>
          <w:szCs w:val="22"/>
          <w:lang w:val="hr-HR"/>
        </w:rPr>
      </w:pPr>
    </w:p>
    <w:p w14:paraId="7AB8AF73" w14:textId="77777777" w:rsidR="00BE41B8" w:rsidRPr="00510442" w:rsidRDefault="00BE41B8" w:rsidP="003179A4">
      <w:pPr>
        <w:keepNext/>
        <w:spacing w:line="240" w:lineRule="auto"/>
        <w:outlineLvl w:val="0"/>
        <w:rPr>
          <w:i/>
          <w:szCs w:val="22"/>
          <w:lang w:val="hr-HR"/>
        </w:rPr>
      </w:pPr>
      <w:r w:rsidRPr="00510442">
        <w:rPr>
          <w:i/>
          <w:szCs w:val="22"/>
          <w:lang w:val="hr-HR"/>
        </w:rPr>
        <w:t>Biokemija</w:t>
      </w:r>
    </w:p>
    <w:p w14:paraId="1A2FC47E" w14:textId="77777777" w:rsidR="00BE41B8" w:rsidRPr="00510442" w:rsidRDefault="00BE41B8" w:rsidP="00BE41B8">
      <w:pPr>
        <w:spacing w:line="240" w:lineRule="auto"/>
        <w:rPr>
          <w:szCs w:val="22"/>
          <w:lang w:val="hr-HR"/>
        </w:rPr>
      </w:pPr>
      <w:r w:rsidRPr="00510442">
        <w:rPr>
          <w:szCs w:val="22"/>
          <w:lang w:val="hr-HR"/>
        </w:rPr>
        <w:t>Veliko povišenje vrijednosti transaminaza (&lt;5%) ili bilirubina (&lt;1%) uočeno je u bolesnika s KML</w:t>
      </w:r>
      <w:r w:rsidRPr="00510442">
        <w:rPr>
          <w:szCs w:val="22"/>
          <w:lang w:val="hr-HR"/>
        </w:rPr>
        <w:noBreakHyphen/>
        <w:t>om i obično je liječeno smanjenjem doze ili prekidom terapije (medijan trajanja tih epizoda bio je približno tjedan dana). Liječenje je trajno ukinuto zbog abnormalnih laboratorijskih vrijednosti jetre u manje od 1% bolesnika s KML-om. U bolesnika s GIST-om (studija B2222), zapaženo je 6,8% ALT (alanin-aminotransferaza) povišenja 3. ili 4.</w:t>
      </w:r>
      <w:r w:rsidRPr="00510442">
        <w:rPr>
          <w:color w:val="000000"/>
          <w:szCs w:val="22"/>
          <w:lang w:val="hr-HR"/>
        </w:rPr>
        <w:t> </w:t>
      </w:r>
      <w:r w:rsidRPr="00510442">
        <w:rPr>
          <w:szCs w:val="22"/>
          <w:lang w:val="hr-HR"/>
        </w:rPr>
        <w:t>stupnja, kao i 4,8% AST (aspartat-aminotransferaza) povišenja 3. ili 4.</w:t>
      </w:r>
      <w:r w:rsidRPr="00510442">
        <w:rPr>
          <w:color w:val="000000"/>
          <w:szCs w:val="22"/>
          <w:lang w:val="hr-HR"/>
        </w:rPr>
        <w:t> </w:t>
      </w:r>
      <w:r w:rsidRPr="00510442">
        <w:rPr>
          <w:szCs w:val="22"/>
          <w:lang w:val="hr-HR"/>
        </w:rPr>
        <w:t>stupnja. Povišenje bilirubina bilo je ispod 3%.</w:t>
      </w:r>
    </w:p>
    <w:p w14:paraId="3591D709" w14:textId="77777777" w:rsidR="00BE41B8" w:rsidRPr="00510442" w:rsidRDefault="00BE41B8" w:rsidP="00BE41B8">
      <w:pPr>
        <w:spacing w:line="240" w:lineRule="auto"/>
        <w:rPr>
          <w:szCs w:val="22"/>
          <w:lang w:val="hr-HR"/>
        </w:rPr>
      </w:pPr>
    </w:p>
    <w:p w14:paraId="36F35620" w14:textId="77777777" w:rsidR="00BE41B8" w:rsidRPr="00510442" w:rsidRDefault="00BE41B8" w:rsidP="00BE41B8">
      <w:pPr>
        <w:widowControl w:val="0"/>
        <w:spacing w:line="240" w:lineRule="auto"/>
        <w:rPr>
          <w:szCs w:val="22"/>
          <w:lang w:val="hr-HR"/>
        </w:rPr>
      </w:pPr>
      <w:r w:rsidRPr="00510442">
        <w:rPr>
          <w:szCs w:val="22"/>
          <w:lang w:val="hr-HR"/>
        </w:rPr>
        <w:t>Bilo je slučajeva citolitičkog i kolestatskog hepatitisa i zatajenja jetre; neki su od njih završili smrtnim ishodom, uključujući jednog bolesnika na visokoj dozi paracetamola.</w:t>
      </w:r>
    </w:p>
    <w:p w14:paraId="303BEC02" w14:textId="77777777" w:rsidR="00BB2B5C" w:rsidRPr="00510442" w:rsidRDefault="00BB2B5C" w:rsidP="00BB2B5C">
      <w:pPr>
        <w:pStyle w:val="Text"/>
        <w:widowControl w:val="0"/>
        <w:spacing w:before="0"/>
        <w:jc w:val="left"/>
        <w:rPr>
          <w:color w:val="000000"/>
          <w:sz w:val="22"/>
          <w:szCs w:val="22"/>
          <w:lang w:val="hr-HR"/>
        </w:rPr>
      </w:pPr>
    </w:p>
    <w:p w14:paraId="05D9CF2A" w14:textId="77777777" w:rsidR="00BB2B5C" w:rsidRPr="00510442" w:rsidRDefault="00BB2B5C" w:rsidP="00BB2B5C">
      <w:pPr>
        <w:keepNext/>
        <w:widowControl w:val="0"/>
        <w:tabs>
          <w:tab w:val="clear" w:pos="567"/>
        </w:tabs>
        <w:spacing w:line="240" w:lineRule="auto"/>
        <w:rPr>
          <w:u w:val="single"/>
          <w:lang w:val="hr-HR"/>
        </w:rPr>
      </w:pPr>
      <w:r w:rsidRPr="00510442">
        <w:rPr>
          <w:u w:val="single"/>
          <w:lang w:val="hr-HR"/>
        </w:rPr>
        <w:t>Opis odabranih nuspojava</w:t>
      </w:r>
    </w:p>
    <w:p w14:paraId="0FED27D9" w14:textId="77777777" w:rsidR="00BB2B5C" w:rsidRPr="00510442" w:rsidRDefault="00BB2B5C" w:rsidP="00BB2B5C">
      <w:pPr>
        <w:pStyle w:val="Text"/>
        <w:keepNext/>
        <w:widowControl w:val="0"/>
        <w:spacing w:before="0"/>
        <w:jc w:val="left"/>
        <w:rPr>
          <w:i/>
          <w:color w:val="000000"/>
          <w:sz w:val="22"/>
          <w:szCs w:val="22"/>
          <w:u w:val="single"/>
          <w:lang w:val="hr-HR"/>
        </w:rPr>
      </w:pPr>
      <w:r w:rsidRPr="00510442">
        <w:rPr>
          <w:i/>
          <w:color w:val="000000"/>
          <w:sz w:val="22"/>
          <w:szCs w:val="22"/>
          <w:u w:val="single"/>
          <w:lang w:val="hr-HR"/>
        </w:rPr>
        <w:t>Ponovna aktivacija hepatitisa B</w:t>
      </w:r>
    </w:p>
    <w:p w14:paraId="181E5C0B" w14:textId="77777777" w:rsidR="00BB2B5C" w:rsidRPr="00510442" w:rsidRDefault="00BB2B5C" w:rsidP="00BB2B5C">
      <w:pPr>
        <w:pStyle w:val="Text"/>
        <w:widowControl w:val="0"/>
        <w:spacing w:before="0"/>
        <w:jc w:val="left"/>
        <w:rPr>
          <w:color w:val="000000"/>
          <w:sz w:val="22"/>
          <w:szCs w:val="22"/>
          <w:lang w:val="hr-HR"/>
        </w:rPr>
      </w:pPr>
      <w:r w:rsidRPr="00510442">
        <w:rPr>
          <w:color w:val="000000"/>
          <w:sz w:val="22"/>
          <w:szCs w:val="22"/>
          <w:lang w:val="hr-HR"/>
        </w:rPr>
        <w:t xml:space="preserve">Ponovna aktivacija hepatitisa B zabilježena je u vezi s inhibitorima BCR-ABL tirozin kinaze. U nekim je slučajevima došlo do akutnog zatajenja jetre ili fulminantnog hepatitisa što je dovelo do transplantacije jetre </w:t>
      </w:r>
      <w:r w:rsidR="004B3C1A" w:rsidRPr="00510442">
        <w:rPr>
          <w:color w:val="000000"/>
          <w:sz w:val="22"/>
          <w:szCs w:val="22"/>
          <w:lang w:val="hr-HR"/>
        </w:rPr>
        <w:t>ili smrtnog ishoda (vidjeti dio </w:t>
      </w:r>
      <w:r w:rsidRPr="00510442">
        <w:rPr>
          <w:color w:val="000000"/>
          <w:sz w:val="22"/>
          <w:szCs w:val="22"/>
          <w:lang w:val="hr-HR"/>
        </w:rPr>
        <w:t>4.4).</w:t>
      </w:r>
    </w:p>
    <w:p w14:paraId="5FBDCBEA" w14:textId="77777777" w:rsidR="00BE41B8" w:rsidRPr="00510442" w:rsidRDefault="00BE41B8" w:rsidP="00BE41B8">
      <w:pPr>
        <w:autoSpaceDE w:val="0"/>
        <w:autoSpaceDN w:val="0"/>
        <w:adjustRightInd w:val="0"/>
        <w:jc w:val="both"/>
        <w:rPr>
          <w:snapToGrid w:val="0"/>
          <w:szCs w:val="22"/>
          <w:u w:val="single"/>
          <w:lang w:val="hr-HR"/>
        </w:rPr>
      </w:pPr>
    </w:p>
    <w:p w14:paraId="0F44B983" w14:textId="77777777" w:rsidR="00BE41B8" w:rsidRPr="00510442" w:rsidRDefault="00BE41B8" w:rsidP="003179A4">
      <w:pPr>
        <w:keepNext/>
        <w:autoSpaceDE w:val="0"/>
        <w:autoSpaceDN w:val="0"/>
        <w:adjustRightInd w:val="0"/>
        <w:jc w:val="both"/>
        <w:rPr>
          <w:snapToGrid w:val="0"/>
          <w:szCs w:val="22"/>
          <w:u w:val="single"/>
          <w:lang w:val="hr-HR"/>
        </w:rPr>
      </w:pPr>
      <w:r w:rsidRPr="00510442">
        <w:rPr>
          <w:snapToGrid w:val="0"/>
          <w:szCs w:val="22"/>
          <w:u w:val="single"/>
          <w:lang w:val="hr-HR"/>
        </w:rPr>
        <w:t>Prijavljivanje sumnji na nuspojavu</w:t>
      </w:r>
    </w:p>
    <w:p w14:paraId="5A8D8079" w14:textId="77777777" w:rsidR="00BE41B8" w:rsidRPr="00510442" w:rsidRDefault="00BE41B8" w:rsidP="00BE41B8">
      <w:pPr>
        <w:pStyle w:val="Text"/>
        <w:widowControl w:val="0"/>
        <w:spacing w:before="0"/>
        <w:jc w:val="left"/>
        <w:rPr>
          <w:snapToGrid w:val="0"/>
          <w:sz w:val="22"/>
          <w:szCs w:val="22"/>
          <w:lang w:val="hr-HR"/>
        </w:rPr>
      </w:pPr>
      <w:r w:rsidRPr="00510442">
        <w:rPr>
          <w:snapToGrid w:val="0"/>
          <w:sz w:val="22"/>
          <w:szCs w:val="22"/>
          <w:lang w:val="hr-HR"/>
        </w:rPr>
        <w:t xml:space="preserve">Nakon dobivanja odobrenja lijeka važno je prijavljivanje sumnji na njegove nuspojave. Time se omogućuje kontinuirano praćenje omjera koristi i rizika lijeka. Od zdravstvenih </w:t>
      </w:r>
      <w:r w:rsidR="009F7DBF" w:rsidRPr="00510442">
        <w:rPr>
          <w:snapToGrid w:val="0"/>
          <w:sz w:val="22"/>
          <w:szCs w:val="22"/>
          <w:lang w:val="hr-HR"/>
        </w:rPr>
        <w:t xml:space="preserve">radnika </w:t>
      </w:r>
      <w:r w:rsidRPr="00510442">
        <w:rPr>
          <w:snapToGrid w:val="0"/>
          <w:sz w:val="22"/>
          <w:szCs w:val="22"/>
          <w:lang w:val="hr-HR"/>
        </w:rPr>
        <w:t>se traži da prijave svaku sumnju na nuspojavu lijeka putem nacionalnog sustava prijave nuspojava</w:t>
      </w:r>
      <w:r w:rsidR="009F7DBF" w:rsidRPr="00510442">
        <w:rPr>
          <w:snapToGrid w:val="0"/>
          <w:sz w:val="22"/>
          <w:szCs w:val="22"/>
          <w:lang w:val="hr-HR"/>
        </w:rPr>
        <w:t>:</w:t>
      </w:r>
      <w:r w:rsidRPr="00510442">
        <w:rPr>
          <w:snapToGrid w:val="0"/>
          <w:sz w:val="22"/>
          <w:szCs w:val="22"/>
          <w:lang w:val="hr-HR"/>
        </w:rPr>
        <w:t xml:space="preserve"> </w:t>
      </w:r>
      <w:r w:rsidRPr="00510442">
        <w:rPr>
          <w:snapToGrid w:val="0"/>
          <w:sz w:val="22"/>
          <w:szCs w:val="22"/>
          <w:shd w:val="clear" w:color="auto" w:fill="D9D9D9"/>
          <w:lang w:val="hr-HR"/>
        </w:rPr>
        <w:t xml:space="preserve">navedenog u </w:t>
      </w:r>
      <w:hyperlink r:id="rId17" w:history="1">
        <w:r w:rsidRPr="00510442">
          <w:rPr>
            <w:snapToGrid w:val="0"/>
            <w:color w:val="0000FF"/>
            <w:sz w:val="22"/>
            <w:szCs w:val="22"/>
            <w:u w:val="single"/>
            <w:shd w:val="clear" w:color="auto" w:fill="D9D9D9"/>
            <w:lang w:val="hr-HR"/>
          </w:rPr>
          <w:t>Dodatku V</w:t>
        </w:r>
      </w:hyperlink>
      <w:r w:rsidRPr="00510442">
        <w:rPr>
          <w:snapToGrid w:val="0"/>
          <w:sz w:val="22"/>
          <w:szCs w:val="22"/>
          <w:lang w:val="hr-HR"/>
        </w:rPr>
        <w:t>.</w:t>
      </w:r>
    </w:p>
    <w:p w14:paraId="01869068" w14:textId="77777777" w:rsidR="00BE41B8" w:rsidRPr="00510442" w:rsidRDefault="00BE41B8" w:rsidP="00BE41B8">
      <w:pPr>
        <w:pStyle w:val="Text"/>
        <w:widowControl w:val="0"/>
        <w:spacing w:before="0"/>
        <w:jc w:val="left"/>
        <w:rPr>
          <w:color w:val="000000"/>
          <w:sz w:val="22"/>
          <w:szCs w:val="22"/>
          <w:lang w:val="hr-HR"/>
        </w:rPr>
      </w:pPr>
    </w:p>
    <w:p w14:paraId="225E8F38" w14:textId="77777777" w:rsidR="00BE41B8" w:rsidRPr="00510442" w:rsidRDefault="00BE41B8" w:rsidP="003179A4">
      <w:pPr>
        <w:keepNext/>
        <w:tabs>
          <w:tab w:val="clear" w:pos="567"/>
        </w:tabs>
        <w:spacing w:line="240" w:lineRule="auto"/>
        <w:ind w:left="567" w:hanging="567"/>
        <w:outlineLvl w:val="0"/>
        <w:rPr>
          <w:szCs w:val="22"/>
          <w:lang w:val="hr-HR"/>
        </w:rPr>
      </w:pPr>
      <w:r w:rsidRPr="00510442">
        <w:rPr>
          <w:b/>
          <w:szCs w:val="22"/>
          <w:lang w:val="hr-HR"/>
        </w:rPr>
        <w:t>4.9</w:t>
      </w:r>
      <w:r w:rsidRPr="00510442">
        <w:rPr>
          <w:b/>
          <w:szCs w:val="22"/>
          <w:lang w:val="hr-HR"/>
        </w:rPr>
        <w:tab/>
        <w:t>Predoziranje</w:t>
      </w:r>
    </w:p>
    <w:p w14:paraId="20A91BFB" w14:textId="77777777" w:rsidR="00BE41B8" w:rsidRPr="00510442" w:rsidRDefault="00BE41B8" w:rsidP="003179A4">
      <w:pPr>
        <w:keepNext/>
        <w:widowControl w:val="0"/>
        <w:tabs>
          <w:tab w:val="clear" w:pos="567"/>
        </w:tabs>
        <w:spacing w:line="240" w:lineRule="auto"/>
        <w:rPr>
          <w:color w:val="000000"/>
          <w:szCs w:val="22"/>
          <w:lang w:val="hr-HR"/>
        </w:rPr>
      </w:pPr>
    </w:p>
    <w:p w14:paraId="12A339DA" w14:textId="12630F37" w:rsidR="00BE41B8" w:rsidRPr="00510442" w:rsidRDefault="00BE41B8" w:rsidP="00BE41B8">
      <w:pPr>
        <w:spacing w:line="240" w:lineRule="auto"/>
        <w:rPr>
          <w:szCs w:val="22"/>
          <w:lang w:val="hr-HR"/>
        </w:rPr>
      </w:pPr>
      <w:r w:rsidRPr="00510442">
        <w:rPr>
          <w:szCs w:val="22"/>
          <w:lang w:val="hr-HR"/>
        </w:rPr>
        <w:t xml:space="preserve">Iskustvo s dozama višim od preporučene terapijske doze je ograničeno. Zabilježeni su spontani i literaturni izolirani slučajevi predoziranja </w:t>
      </w:r>
      <w:r w:rsidR="00B27A2B">
        <w:rPr>
          <w:szCs w:val="22"/>
          <w:lang w:val="hr-HR"/>
        </w:rPr>
        <w:t xml:space="preserve">lijekom </w:t>
      </w:r>
      <w:r w:rsidRPr="00510442">
        <w:rPr>
          <w:szCs w:val="22"/>
          <w:lang w:val="hr-HR"/>
        </w:rPr>
        <w:t xml:space="preserve">Glivec. U slučaju predoziranja bolesnika treba promatrati i poduzeti odgovarajuće simptomatsko liječenje. Općenito, zabilježeni ishod u ovim slučajevima je bio </w:t>
      </w:r>
      <w:r w:rsidRPr="00510442">
        <w:rPr>
          <w:lang w:val="hr-HR"/>
        </w:rPr>
        <w:t>„</w:t>
      </w:r>
      <w:r w:rsidRPr="00510442">
        <w:rPr>
          <w:szCs w:val="22"/>
          <w:lang w:val="hr-HR"/>
        </w:rPr>
        <w:t>poboljšanje</w:t>
      </w:r>
      <w:r w:rsidRPr="00510442">
        <w:rPr>
          <w:lang w:val="hr-HR"/>
        </w:rPr>
        <w:t>“</w:t>
      </w:r>
      <w:r w:rsidRPr="00510442">
        <w:rPr>
          <w:szCs w:val="22"/>
          <w:lang w:val="hr-HR"/>
        </w:rPr>
        <w:t xml:space="preserve"> ili </w:t>
      </w:r>
      <w:r w:rsidRPr="00510442">
        <w:rPr>
          <w:lang w:val="hr-HR"/>
        </w:rPr>
        <w:t>„</w:t>
      </w:r>
      <w:r w:rsidRPr="00510442">
        <w:rPr>
          <w:szCs w:val="22"/>
          <w:lang w:val="hr-HR"/>
        </w:rPr>
        <w:t>oporavak</w:t>
      </w:r>
      <w:r w:rsidRPr="00510442">
        <w:rPr>
          <w:lang w:val="hr-HR"/>
        </w:rPr>
        <w:t>“</w:t>
      </w:r>
      <w:r w:rsidRPr="00510442">
        <w:rPr>
          <w:szCs w:val="22"/>
          <w:lang w:val="hr-HR"/>
        </w:rPr>
        <w:t>. Zabilježeni su sljedeći događaji s različitim rasponima doza:</w:t>
      </w:r>
    </w:p>
    <w:p w14:paraId="1AEF0ADF" w14:textId="77777777" w:rsidR="00BE41B8" w:rsidRPr="00510442" w:rsidRDefault="00BE41B8" w:rsidP="00BE41B8">
      <w:pPr>
        <w:widowControl w:val="0"/>
        <w:tabs>
          <w:tab w:val="clear" w:pos="567"/>
        </w:tabs>
        <w:spacing w:line="240" w:lineRule="auto"/>
        <w:rPr>
          <w:color w:val="000000"/>
          <w:szCs w:val="22"/>
          <w:lang w:val="hr-HR"/>
        </w:rPr>
      </w:pPr>
    </w:p>
    <w:p w14:paraId="5F80BE5A" w14:textId="77777777" w:rsidR="00BE41B8" w:rsidRPr="00510442" w:rsidRDefault="00BE41B8" w:rsidP="003179A4">
      <w:pPr>
        <w:keepNext/>
        <w:widowControl w:val="0"/>
        <w:tabs>
          <w:tab w:val="clear" w:pos="567"/>
        </w:tabs>
        <w:spacing w:line="240" w:lineRule="auto"/>
        <w:rPr>
          <w:color w:val="000000"/>
          <w:szCs w:val="22"/>
          <w:lang w:val="hr-HR"/>
        </w:rPr>
      </w:pPr>
      <w:r w:rsidRPr="00510442">
        <w:rPr>
          <w:i/>
          <w:szCs w:val="22"/>
          <w:lang w:val="hr-HR"/>
        </w:rPr>
        <w:t>Populacija odraslih osoba</w:t>
      </w:r>
    </w:p>
    <w:p w14:paraId="691360C4" w14:textId="77777777" w:rsidR="00BE41B8" w:rsidRPr="00510442" w:rsidRDefault="00BE41B8" w:rsidP="00BE41B8">
      <w:pPr>
        <w:spacing w:line="240" w:lineRule="auto"/>
        <w:rPr>
          <w:szCs w:val="22"/>
          <w:lang w:val="hr-HR"/>
        </w:rPr>
      </w:pPr>
      <w:r w:rsidRPr="00510442">
        <w:rPr>
          <w:szCs w:val="22"/>
          <w:lang w:val="hr-HR"/>
        </w:rPr>
        <w:t>1200 do 1600</w:t>
      </w:r>
      <w:r w:rsidRPr="00510442">
        <w:rPr>
          <w:color w:val="000000"/>
          <w:szCs w:val="22"/>
          <w:lang w:val="hr-HR"/>
        </w:rPr>
        <w:t> </w:t>
      </w:r>
      <w:r w:rsidRPr="00510442">
        <w:rPr>
          <w:szCs w:val="22"/>
          <w:lang w:val="hr-HR"/>
        </w:rPr>
        <w:t>mg (trajanje je variralo između jednog i 10</w:t>
      </w:r>
      <w:r w:rsidRPr="00510442">
        <w:rPr>
          <w:color w:val="000000"/>
          <w:szCs w:val="22"/>
          <w:lang w:val="hr-HR"/>
        </w:rPr>
        <w:t> </w:t>
      </w:r>
      <w:r w:rsidRPr="00510442">
        <w:rPr>
          <w:szCs w:val="22"/>
          <w:lang w:val="hr-HR"/>
        </w:rPr>
        <w:t>dana): mučnina, povraćanje, proljev, osip, eritem, edem, oticanje, umor, mišićni spazam, trombocitopenija, pancitopenija, bol u trbuhu, glavobolja, smanjeni apetit.</w:t>
      </w:r>
    </w:p>
    <w:p w14:paraId="27742E19" w14:textId="77777777" w:rsidR="00BE41B8" w:rsidRPr="00510442" w:rsidRDefault="00BE41B8" w:rsidP="00BE41B8">
      <w:pPr>
        <w:spacing w:line="240" w:lineRule="auto"/>
        <w:rPr>
          <w:szCs w:val="22"/>
          <w:lang w:val="hr-HR"/>
        </w:rPr>
      </w:pPr>
      <w:r w:rsidRPr="00510442">
        <w:rPr>
          <w:szCs w:val="22"/>
          <w:lang w:val="hr-HR"/>
        </w:rPr>
        <w:t>1800 do 3200</w:t>
      </w:r>
      <w:r w:rsidRPr="00510442">
        <w:rPr>
          <w:color w:val="000000"/>
          <w:szCs w:val="22"/>
          <w:lang w:val="hr-HR"/>
        </w:rPr>
        <w:t> </w:t>
      </w:r>
      <w:r w:rsidRPr="00510442">
        <w:rPr>
          <w:szCs w:val="22"/>
          <w:lang w:val="hr-HR"/>
        </w:rPr>
        <w:t>mg (najviše 3200</w:t>
      </w:r>
      <w:r w:rsidRPr="00510442">
        <w:rPr>
          <w:color w:val="000000"/>
          <w:szCs w:val="22"/>
          <w:lang w:val="hr-HR"/>
        </w:rPr>
        <w:t> </w:t>
      </w:r>
      <w:r w:rsidRPr="00510442">
        <w:rPr>
          <w:szCs w:val="22"/>
          <w:lang w:val="hr-HR"/>
        </w:rPr>
        <w:t>mg na dan tijekom 6</w:t>
      </w:r>
      <w:r w:rsidRPr="00510442">
        <w:rPr>
          <w:color w:val="000000"/>
          <w:szCs w:val="22"/>
          <w:lang w:val="hr-HR"/>
        </w:rPr>
        <w:t> </w:t>
      </w:r>
      <w:r w:rsidRPr="00510442">
        <w:rPr>
          <w:szCs w:val="22"/>
          <w:lang w:val="hr-HR"/>
        </w:rPr>
        <w:t>dana): slabost, mialgija, povišenje vrijednosti kreatinin fosfokinaze, povišenje vrijednosti bilirubina, bol u trbuhu.</w:t>
      </w:r>
    </w:p>
    <w:p w14:paraId="2F194854" w14:textId="77777777" w:rsidR="00BE41B8" w:rsidRPr="00510442" w:rsidRDefault="00BE41B8" w:rsidP="00BE41B8">
      <w:pPr>
        <w:spacing w:line="240" w:lineRule="auto"/>
        <w:rPr>
          <w:szCs w:val="22"/>
          <w:lang w:val="hr-HR"/>
        </w:rPr>
      </w:pPr>
      <w:r w:rsidRPr="00510442">
        <w:rPr>
          <w:szCs w:val="22"/>
          <w:lang w:val="hr-HR"/>
        </w:rPr>
        <w:t>6400</w:t>
      </w:r>
      <w:r w:rsidRPr="00510442">
        <w:rPr>
          <w:color w:val="000000"/>
          <w:szCs w:val="22"/>
          <w:lang w:val="hr-HR"/>
        </w:rPr>
        <w:t> </w:t>
      </w:r>
      <w:r w:rsidRPr="00510442">
        <w:rPr>
          <w:szCs w:val="22"/>
          <w:lang w:val="hr-HR"/>
        </w:rPr>
        <w:t>mg (jednokratna doza): u literaturi je zabilježen jedan slučaj jednog bolesnika s mučninom, povraćanjem, bolovima u trbuhu, vrućicom, oticanjem lica, smanjenim brojem neutrofila, povišenjem vrijednosti transaminaza.</w:t>
      </w:r>
    </w:p>
    <w:p w14:paraId="77F890C9" w14:textId="77777777" w:rsidR="00BE41B8" w:rsidRPr="00510442" w:rsidRDefault="00BE41B8" w:rsidP="00BE41B8">
      <w:pPr>
        <w:spacing w:line="240" w:lineRule="auto"/>
        <w:rPr>
          <w:szCs w:val="22"/>
          <w:lang w:val="hr-HR"/>
        </w:rPr>
      </w:pPr>
      <w:r w:rsidRPr="00510442">
        <w:rPr>
          <w:szCs w:val="22"/>
          <w:lang w:val="hr-HR"/>
        </w:rPr>
        <w:t>8 do 10</w:t>
      </w:r>
      <w:r w:rsidRPr="00510442">
        <w:rPr>
          <w:color w:val="000000"/>
          <w:szCs w:val="22"/>
          <w:lang w:val="hr-HR"/>
        </w:rPr>
        <w:t> </w:t>
      </w:r>
      <w:r w:rsidRPr="00510442">
        <w:rPr>
          <w:szCs w:val="22"/>
          <w:lang w:val="hr-HR"/>
        </w:rPr>
        <w:t>g (jednokratna doza): zabilježeni su povraćanje i bolovi u trbuhu.</w:t>
      </w:r>
    </w:p>
    <w:p w14:paraId="15D759CC" w14:textId="77777777" w:rsidR="00BE41B8" w:rsidRPr="00510442" w:rsidRDefault="00BE41B8" w:rsidP="00BE41B8">
      <w:pPr>
        <w:widowControl w:val="0"/>
        <w:tabs>
          <w:tab w:val="clear" w:pos="567"/>
        </w:tabs>
        <w:spacing w:line="240" w:lineRule="auto"/>
        <w:rPr>
          <w:color w:val="000000"/>
          <w:szCs w:val="22"/>
          <w:lang w:val="hr-HR"/>
        </w:rPr>
      </w:pPr>
    </w:p>
    <w:p w14:paraId="019C9472" w14:textId="77777777" w:rsidR="00BE41B8" w:rsidRPr="00510442" w:rsidRDefault="00BE41B8" w:rsidP="003179A4">
      <w:pPr>
        <w:keepNext/>
        <w:widowControl w:val="0"/>
        <w:tabs>
          <w:tab w:val="clear" w:pos="567"/>
        </w:tabs>
        <w:spacing w:line="240" w:lineRule="auto"/>
        <w:rPr>
          <w:i/>
          <w:color w:val="000000"/>
          <w:szCs w:val="22"/>
          <w:lang w:val="hr-HR"/>
        </w:rPr>
      </w:pPr>
      <w:r w:rsidRPr="00510442">
        <w:rPr>
          <w:i/>
          <w:szCs w:val="22"/>
          <w:lang w:val="hr-HR"/>
        </w:rPr>
        <w:t>Pedijatrijska populacija</w:t>
      </w:r>
    </w:p>
    <w:p w14:paraId="6EF788C4" w14:textId="77777777" w:rsidR="00BE41B8" w:rsidRPr="00510442" w:rsidRDefault="00BE41B8" w:rsidP="00BE41B8">
      <w:pPr>
        <w:spacing w:line="240" w:lineRule="auto"/>
        <w:rPr>
          <w:szCs w:val="22"/>
          <w:lang w:val="hr-HR"/>
        </w:rPr>
      </w:pPr>
      <w:r w:rsidRPr="00510442">
        <w:rPr>
          <w:szCs w:val="22"/>
          <w:lang w:val="hr-HR"/>
        </w:rPr>
        <w:t>Kod jednog trogodišnjeg dječaka izloženog jednokratnoj dozi od 400</w:t>
      </w:r>
      <w:r w:rsidRPr="00510442">
        <w:rPr>
          <w:color w:val="000000"/>
          <w:szCs w:val="22"/>
          <w:lang w:val="hr-HR"/>
        </w:rPr>
        <w:t> </w:t>
      </w:r>
      <w:r w:rsidRPr="00510442">
        <w:rPr>
          <w:szCs w:val="22"/>
          <w:lang w:val="hr-HR"/>
        </w:rPr>
        <w:t>mg došlo je do povraćanja, proljeva i anoreksije, dok je kod drugog trogodišnjeg dječaka izloženog jednokratnoj dozi od 980</w:t>
      </w:r>
      <w:r w:rsidRPr="00510442">
        <w:rPr>
          <w:color w:val="000000"/>
          <w:szCs w:val="22"/>
          <w:lang w:val="hr-HR"/>
        </w:rPr>
        <w:t> </w:t>
      </w:r>
      <w:r w:rsidRPr="00510442">
        <w:rPr>
          <w:szCs w:val="22"/>
          <w:lang w:val="hr-HR"/>
        </w:rPr>
        <w:t>mg došlo do smanjenog broja leukocita i proljeva.</w:t>
      </w:r>
    </w:p>
    <w:p w14:paraId="2946BF9E" w14:textId="77777777" w:rsidR="00BE41B8" w:rsidRPr="00510442" w:rsidRDefault="00BE41B8" w:rsidP="00BE41B8">
      <w:pPr>
        <w:spacing w:line="240" w:lineRule="auto"/>
        <w:rPr>
          <w:szCs w:val="22"/>
          <w:lang w:val="hr-HR"/>
        </w:rPr>
      </w:pPr>
    </w:p>
    <w:p w14:paraId="1A31CB85" w14:textId="77777777" w:rsidR="00BE41B8" w:rsidRPr="00510442" w:rsidRDefault="00BE41B8" w:rsidP="00BE41B8">
      <w:pPr>
        <w:spacing w:line="240" w:lineRule="auto"/>
        <w:rPr>
          <w:szCs w:val="22"/>
          <w:lang w:val="hr-HR"/>
        </w:rPr>
      </w:pPr>
      <w:r w:rsidRPr="00510442">
        <w:rPr>
          <w:szCs w:val="22"/>
          <w:lang w:val="hr-HR"/>
        </w:rPr>
        <w:t>U slučaju predoziranja, potrebno je promatrati bolesnika i provoditi odgovarajuće suportivno liječenje.</w:t>
      </w:r>
    </w:p>
    <w:p w14:paraId="03596CDC" w14:textId="77777777" w:rsidR="00BE41B8" w:rsidRPr="00510442" w:rsidRDefault="00BE41B8" w:rsidP="00BE41B8">
      <w:pPr>
        <w:widowControl w:val="0"/>
        <w:tabs>
          <w:tab w:val="clear" w:pos="567"/>
        </w:tabs>
        <w:spacing w:line="240" w:lineRule="auto"/>
        <w:rPr>
          <w:color w:val="000000"/>
          <w:szCs w:val="22"/>
          <w:lang w:val="hr-HR"/>
        </w:rPr>
      </w:pPr>
    </w:p>
    <w:p w14:paraId="18B1E899" w14:textId="77777777" w:rsidR="00BE41B8" w:rsidRPr="00510442" w:rsidRDefault="00BE41B8" w:rsidP="00BE41B8">
      <w:pPr>
        <w:widowControl w:val="0"/>
        <w:tabs>
          <w:tab w:val="clear" w:pos="567"/>
        </w:tabs>
        <w:spacing w:line="240" w:lineRule="auto"/>
        <w:rPr>
          <w:color w:val="000000"/>
          <w:szCs w:val="22"/>
          <w:lang w:val="hr-HR"/>
        </w:rPr>
      </w:pPr>
    </w:p>
    <w:p w14:paraId="7C3503A7" w14:textId="77777777" w:rsidR="00BE41B8" w:rsidRPr="00510442" w:rsidRDefault="00BE41B8" w:rsidP="003179A4">
      <w:pPr>
        <w:keepNext/>
        <w:tabs>
          <w:tab w:val="clear" w:pos="567"/>
        </w:tabs>
        <w:spacing w:line="240" w:lineRule="auto"/>
        <w:ind w:left="567" w:hanging="567"/>
        <w:rPr>
          <w:szCs w:val="22"/>
          <w:lang w:val="hr-HR"/>
        </w:rPr>
      </w:pPr>
      <w:r w:rsidRPr="00510442">
        <w:rPr>
          <w:b/>
          <w:szCs w:val="22"/>
          <w:lang w:val="hr-HR"/>
        </w:rPr>
        <w:t>5.</w:t>
      </w:r>
      <w:r w:rsidRPr="00510442">
        <w:rPr>
          <w:b/>
          <w:szCs w:val="22"/>
          <w:lang w:val="hr-HR"/>
        </w:rPr>
        <w:tab/>
        <w:t>FARMAKOLOŠKA SVOJSTVA</w:t>
      </w:r>
    </w:p>
    <w:p w14:paraId="18DA2837" w14:textId="77777777" w:rsidR="00BE41B8" w:rsidRPr="00510442" w:rsidRDefault="00BE41B8" w:rsidP="003179A4">
      <w:pPr>
        <w:keepNext/>
        <w:widowControl w:val="0"/>
        <w:tabs>
          <w:tab w:val="clear" w:pos="567"/>
        </w:tabs>
        <w:spacing w:line="240" w:lineRule="auto"/>
        <w:rPr>
          <w:color w:val="000000"/>
          <w:szCs w:val="22"/>
          <w:lang w:val="hr-HR"/>
        </w:rPr>
      </w:pPr>
    </w:p>
    <w:p w14:paraId="044573EA" w14:textId="77777777" w:rsidR="00BE41B8" w:rsidRPr="00510442" w:rsidRDefault="00BE41B8" w:rsidP="003179A4">
      <w:pPr>
        <w:keepNext/>
        <w:tabs>
          <w:tab w:val="clear" w:pos="567"/>
        </w:tabs>
        <w:spacing w:line="240" w:lineRule="auto"/>
        <w:ind w:left="567" w:hanging="567"/>
        <w:outlineLvl w:val="0"/>
        <w:rPr>
          <w:szCs w:val="22"/>
          <w:lang w:val="hr-HR"/>
        </w:rPr>
      </w:pPr>
      <w:r w:rsidRPr="00510442">
        <w:rPr>
          <w:b/>
          <w:szCs w:val="22"/>
          <w:lang w:val="hr-HR"/>
        </w:rPr>
        <w:t>5.1</w:t>
      </w:r>
      <w:r w:rsidRPr="00510442">
        <w:rPr>
          <w:b/>
          <w:szCs w:val="22"/>
          <w:lang w:val="hr-HR"/>
        </w:rPr>
        <w:tab/>
        <w:t>Farmakodinamička svojstva</w:t>
      </w:r>
    </w:p>
    <w:p w14:paraId="777C98BE" w14:textId="77777777" w:rsidR="00BE41B8" w:rsidRPr="00510442" w:rsidRDefault="00BE41B8" w:rsidP="003179A4">
      <w:pPr>
        <w:pStyle w:val="EndnoteText"/>
        <w:keepNext/>
        <w:widowControl w:val="0"/>
        <w:tabs>
          <w:tab w:val="clear" w:pos="567"/>
        </w:tabs>
        <w:rPr>
          <w:color w:val="000000"/>
          <w:szCs w:val="22"/>
          <w:lang w:val="hr-HR"/>
        </w:rPr>
      </w:pPr>
    </w:p>
    <w:p w14:paraId="01FCAED5" w14:textId="77777777" w:rsidR="00BE41B8" w:rsidRPr="00510442" w:rsidRDefault="00BE41B8" w:rsidP="00BE41B8">
      <w:pPr>
        <w:widowControl w:val="0"/>
        <w:tabs>
          <w:tab w:val="clear" w:pos="567"/>
        </w:tabs>
        <w:spacing w:line="240" w:lineRule="auto"/>
        <w:rPr>
          <w:color w:val="000000"/>
          <w:szCs w:val="22"/>
          <w:lang w:val="hr-HR"/>
        </w:rPr>
      </w:pPr>
      <w:r w:rsidRPr="00510442">
        <w:rPr>
          <w:szCs w:val="22"/>
          <w:lang w:val="hr-HR"/>
        </w:rPr>
        <w:t>Farmakoterapijska skupina</w:t>
      </w:r>
      <w:r w:rsidRPr="00510442">
        <w:rPr>
          <w:color w:val="000000"/>
          <w:szCs w:val="22"/>
          <w:lang w:val="hr-HR"/>
        </w:rPr>
        <w:t xml:space="preserve">: </w:t>
      </w:r>
      <w:r w:rsidRPr="00510442">
        <w:rPr>
          <w:szCs w:val="22"/>
          <w:lang w:val="hr-HR"/>
        </w:rPr>
        <w:t>inhibitor protein-tirozin kinaze</w:t>
      </w:r>
      <w:r w:rsidRPr="00510442">
        <w:rPr>
          <w:color w:val="000000"/>
          <w:szCs w:val="22"/>
          <w:lang w:val="hr-HR"/>
        </w:rPr>
        <w:t xml:space="preserve">, </w:t>
      </w:r>
      <w:r w:rsidRPr="00510442">
        <w:rPr>
          <w:szCs w:val="22"/>
          <w:lang w:val="hr-HR"/>
        </w:rPr>
        <w:t>ATK oznaka</w:t>
      </w:r>
      <w:r w:rsidRPr="00510442">
        <w:rPr>
          <w:color w:val="000000"/>
          <w:szCs w:val="22"/>
          <w:lang w:val="hr-HR"/>
        </w:rPr>
        <w:t>: L01XE01</w:t>
      </w:r>
    </w:p>
    <w:p w14:paraId="55CBD3F4" w14:textId="77777777" w:rsidR="00BE41B8" w:rsidRPr="00510442" w:rsidRDefault="00BE41B8" w:rsidP="00BE41B8">
      <w:pPr>
        <w:pStyle w:val="EndnoteText"/>
        <w:widowControl w:val="0"/>
        <w:tabs>
          <w:tab w:val="clear" w:pos="567"/>
        </w:tabs>
        <w:rPr>
          <w:color w:val="000000"/>
          <w:szCs w:val="22"/>
          <w:lang w:val="hr-HR"/>
        </w:rPr>
      </w:pPr>
    </w:p>
    <w:p w14:paraId="078F28CA" w14:textId="77777777" w:rsidR="00BE41B8" w:rsidRPr="00510442" w:rsidRDefault="00BE41B8" w:rsidP="003179A4">
      <w:pPr>
        <w:pStyle w:val="EndnoteText"/>
        <w:keepNext/>
        <w:widowControl w:val="0"/>
        <w:tabs>
          <w:tab w:val="clear" w:pos="567"/>
        </w:tabs>
        <w:rPr>
          <w:color w:val="000000"/>
          <w:szCs w:val="22"/>
          <w:u w:val="single"/>
          <w:lang w:val="hr-HR"/>
        </w:rPr>
      </w:pPr>
      <w:r w:rsidRPr="00510442">
        <w:rPr>
          <w:szCs w:val="22"/>
          <w:u w:val="single"/>
          <w:lang w:val="hr-HR"/>
        </w:rPr>
        <w:lastRenderedPageBreak/>
        <w:t>Mehanizam djelovanja</w:t>
      </w:r>
    </w:p>
    <w:p w14:paraId="1A1C7C24" w14:textId="77777777" w:rsidR="00BE41B8" w:rsidRPr="00510442" w:rsidRDefault="00BE41B8" w:rsidP="00BE41B8">
      <w:pPr>
        <w:pStyle w:val="EndnoteText"/>
        <w:widowControl w:val="0"/>
        <w:tabs>
          <w:tab w:val="clear" w:pos="567"/>
        </w:tabs>
        <w:rPr>
          <w:szCs w:val="22"/>
          <w:lang w:val="hr-HR"/>
        </w:rPr>
      </w:pPr>
      <w:r w:rsidRPr="00510442">
        <w:rPr>
          <w:szCs w:val="22"/>
          <w:lang w:val="hr-HR"/>
        </w:rPr>
        <w:t xml:space="preserve">Imatinib je mala molekula, inhibitor protein-tirozin kinaze, koja potentno inhibira aktivnost Bcr-Abl tirozin kinaze (TK), kao i nekoliko TK receptora: Kit, receptor za faktor matičnih stanica (SCF, engl. </w:t>
      </w:r>
      <w:r w:rsidRPr="00510442">
        <w:rPr>
          <w:i/>
          <w:szCs w:val="22"/>
          <w:lang w:val="hr-HR"/>
        </w:rPr>
        <w:t>stem cell factor</w:t>
      </w:r>
      <w:r w:rsidRPr="00510442">
        <w:rPr>
          <w:szCs w:val="22"/>
          <w:lang w:val="hr-HR"/>
        </w:rPr>
        <w:t xml:space="preserve">) kodiran c-Kit protoonkogenom, receptore za diskoidinsku domenu (DDR1 i DDR2, engl. </w:t>
      </w:r>
      <w:r w:rsidRPr="00510442">
        <w:rPr>
          <w:i/>
          <w:szCs w:val="22"/>
          <w:lang w:val="hr-HR"/>
        </w:rPr>
        <w:t>discoidin domain receptors</w:t>
      </w:r>
      <w:r w:rsidRPr="00510442">
        <w:rPr>
          <w:szCs w:val="22"/>
          <w:lang w:val="hr-HR"/>
        </w:rPr>
        <w:t xml:space="preserve">), receptor za faktor stimulacije kolonija (CSF-1R, engl. </w:t>
      </w:r>
      <w:r w:rsidRPr="00510442">
        <w:rPr>
          <w:i/>
          <w:szCs w:val="22"/>
          <w:lang w:val="hr-HR"/>
        </w:rPr>
        <w:t>colony stimulating factor receptor</w:t>
      </w:r>
      <w:r w:rsidRPr="00510442">
        <w:rPr>
          <w:szCs w:val="22"/>
          <w:lang w:val="hr-HR"/>
        </w:rPr>
        <w:t>) te alfa i beta receptore za faktor rasta koji potječe od trombocita (PDGFR-alfa i PDGFR-beta). Imatinib može također inhibirati i stanične događaje posredovane aktivacijom tih receptorskih kinaza.</w:t>
      </w:r>
    </w:p>
    <w:p w14:paraId="51D331BE" w14:textId="77777777" w:rsidR="00BE41B8" w:rsidRPr="00510442" w:rsidRDefault="00BE41B8" w:rsidP="00BE41B8">
      <w:pPr>
        <w:pStyle w:val="EndnoteText"/>
        <w:widowControl w:val="0"/>
        <w:tabs>
          <w:tab w:val="clear" w:pos="567"/>
        </w:tabs>
        <w:rPr>
          <w:color w:val="000000"/>
          <w:szCs w:val="22"/>
          <w:lang w:val="hr-HR"/>
        </w:rPr>
      </w:pPr>
    </w:p>
    <w:p w14:paraId="2E28167F" w14:textId="77777777" w:rsidR="00BE41B8" w:rsidRPr="00510442" w:rsidRDefault="00BE41B8" w:rsidP="003179A4">
      <w:pPr>
        <w:pStyle w:val="EndnoteText"/>
        <w:keepNext/>
        <w:widowControl w:val="0"/>
        <w:tabs>
          <w:tab w:val="clear" w:pos="567"/>
        </w:tabs>
        <w:rPr>
          <w:color w:val="000000"/>
          <w:szCs w:val="22"/>
          <w:lang w:val="hr-HR"/>
        </w:rPr>
      </w:pPr>
      <w:r w:rsidRPr="00510442">
        <w:rPr>
          <w:szCs w:val="22"/>
          <w:u w:val="single"/>
          <w:lang w:val="hr-HR"/>
        </w:rPr>
        <w:t>Farmakodinamički učinci</w:t>
      </w:r>
    </w:p>
    <w:p w14:paraId="52F3E31F" w14:textId="77777777" w:rsidR="00BE41B8" w:rsidRPr="00510442" w:rsidRDefault="00BE41B8" w:rsidP="00BE41B8">
      <w:pPr>
        <w:pStyle w:val="EndnoteText"/>
        <w:widowControl w:val="0"/>
        <w:tabs>
          <w:tab w:val="clear" w:pos="567"/>
        </w:tabs>
        <w:rPr>
          <w:szCs w:val="22"/>
          <w:lang w:val="hr-HR"/>
        </w:rPr>
      </w:pPr>
      <w:r w:rsidRPr="00510442">
        <w:rPr>
          <w:szCs w:val="22"/>
          <w:lang w:val="hr-HR"/>
        </w:rPr>
        <w:t xml:space="preserve">Imatinib je inhibitor protein-tirozin kinaze koji snažno inhibira Bcr-Abl tirozin kinazu na </w:t>
      </w:r>
      <w:r w:rsidRPr="00510442">
        <w:rPr>
          <w:i/>
          <w:szCs w:val="22"/>
          <w:lang w:val="hr-HR"/>
        </w:rPr>
        <w:t>in vitro</w:t>
      </w:r>
      <w:r w:rsidRPr="00510442">
        <w:rPr>
          <w:szCs w:val="22"/>
          <w:lang w:val="hr-HR"/>
        </w:rPr>
        <w:t xml:space="preserve">, staničnom te </w:t>
      </w:r>
      <w:r w:rsidRPr="00510442">
        <w:rPr>
          <w:i/>
          <w:szCs w:val="22"/>
          <w:lang w:val="hr-HR"/>
        </w:rPr>
        <w:t>in vivo</w:t>
      </w:r>
      <w:r w:rsidRPr="00510442">
        <w:rPr>
          <w:szCs w:val="22"/>
          <w:lang w:val="hr-HR"/>
        </w:rPr>
        <w:t xml:space="preserve"> nivou. Supstancija selektivno inhibira proliferaciju te inducira apoptozu u Bcr-Abl pozitivnim staničnim linijama, kao i u svježim leukemijskim stanicama osoba koje boluju od kronične mijeloične leukemije (KML) s pozitivnim Philadelphia kromosomom i od akutne limfoblastične leukemije (ALL).</w:t>
      </w:r>
    </w:p>
    <w:p w14:paraId="715D060F" w14:textId="77777777" w:rsidR="00BE41B8" w:rsidRPr="00510442" w:rsidRDefault="00BE41B8" w:rsidP="00BE41B8">
      <w:pPr>
        <w:pStyle w:val="EndnoteText"/>
        <w:widowControl w:val="0"/>
        <w:tabs>
          <w:tab w:val="clear" w:pos="567"/>
        </w:tabs>
        <w:rPr>
          <w:color w:val="000000"/>
          <w:szCs w:val="22"/>
          <w:lang w:val="hr-HR"/>
        </w:rPr>
      </w:pPr>
    </w:p>
    <w:p w14:paraId="18BE5993" w14:textId="77777777" w:rsidR="00BE41B8" w:rsidRPr="00510442" w:rsidRDefault="00BE41B8" w:rsidP="00BE41B8">
      <w:pPr>
        <w:pStyle w:val="EndnoteText"/>
        <w:widowControl w:val="0"/>
        <w:tabs>
          <w:tab w:val="clear" w:pos="567"/>
        </w:tabs>
        <w:rPr>
          <w:color w:val="000000"/>
          <w:szCs w:val="22"/>
          <w:lang w:val="hr-HR"/>
        </w:rPr>
      </w:pPr>
      <w:r w:rsidRPr="00510442">
        <w:rPr>
          <w:szCs w:val="22"/>
          <w:lang w:val="hr-HR"/>
        </w:rPr>
        <w:t xml:space="preserve">Supstancija pokazuje </w:t>
      </w:r>
      <w:r w:rsidRPr="00510442">
        <w:rPr>
          <w:i/>
          <w:szCs w:val="22"/>
          <w:lang w:val="hr-HR"/>
        </w:rPr>
        <w:t>in vivo</w:t>
      </w:r>
      <w:r w:rsidRPr="00510442">
        <w:rPr>
          <w:szCs w:val="22"/>
          <w:lang w:val="hr-HR"/>
        </w:rPr>
        <w:t xml:space="preserve"> antitumorsko djelovanje kao samostalni agens na životinjskim modelima u kojima se koriste Bcr-Abl pozitivne tumorske stanice.</w:t>
      </w:r>
    </w:p>
    <w:p w14:paraId="597F1413" w14:textId="77777777" w:rsidR="00BE41B8" w:rsidRPr="00510442" w:rsidRDefault="00BE41B8" w:rsidP="00BE41B8">
      <w:pPr>
        <w:pStyle w:val="EndnoteText"/>
        <w:widowControl w:val="0"/>
        <w:tabs>
          <w:tab w:val="clear" w:pos="567"/>
        </w:tabs>
        <w:rPr>
          <w:color w:val="000000"/>
          <w:szCs w:val="22"/>
          <w:lang w:val="hr-HR"/>
        </w:rPr>
      </w:pPr>
    </w:p>
    <w:p w14:paraId="7B31F52A" w14:textId="77777777" w:rsidR="00BE41B8" w:rsidRPr="00510442" w:rsidRDefault="00BE41B8" w:rsidP="00BE41B8">
      <w:pPr>
        <w:pStyle w:val="EndnoteText"/>
        <w:widowControl w:val="0"/>
        <w:tabs>
          <w:tab w:val="clear" w:pos="567"/>
        </w:tabs>
        <w:rPr>
          <w:color w:val="000000"/>
          <w:szCs w:val="22"/>
          <w:lang w:val="hr-HR"/>
        </w:rPr>
      </w:pPr>
      <w:r w:rsidRPr="00510442">
        <w:rPr>
          <w:szCs w:val="22"/>
          <w:lang w:val="hr-HR"/>
        </w:rPr>
        <w:t xml:space="preserve">Imatinib je također inhibitor receptorskih tirozin kinaza za faktor rasta koji potječe od trombocita (PDGF), PDGF-R, i za faktor matičnih stanica (SCF), c-Kit, te inhibira stanične događaje do kojih dolazi posredstvom PDGF-a i SCF-a. </w:t>
      </w:r>
      <w:r w:rsidRPr="00510442">
        <w:rPr>
          <w:i/>
          <w:szCs w:val="22"/>
          <w:lang w:val="hr-HR"/>
        </w:rPr>
        <w:t>In vitro</w:t>
      </w:r>
      <w:r w:rsidRPr="00510442">
        <w:rPr>
          <w:szCs w:val="22"/>
          <w:lang w:val="hr-HR"/>
        </w:rPr>
        <w:t xml:space="preserve">, imatinib inhibira proliferaciju te inducira apoptozu u stanicama gastrointestinalnog stromalnog tumora (GIST) koje ispoljavaju aktivaciju </w:t>
      </w:r>
      <w:r w:rsidRPr="00510442">
        <w:rPr>
          <w:i/>
          <w:szCs w:val="22"/>
          <w:lang w:val="hr-HR"/>
        </w:rPr>
        <w:t>kit</w:t>
      </w:r>
      <w:r w:rsidRPr="00510442">
        <w:rPr>
          <w:szCs w:val="22"/>
          <w:lang w:val="hr-HR"/>
        </w:rPr>
        <w:t xml:space="preserve"> mutacije. U patogenezu MDS/MPD-a, HES/KEL-a i DFSP-a uključena je ili konstitutivna aktivacija receptora za PDGF ili Abl protein-tirozin kinaza koja nastaje kao posljedica fuzije pri čemu se javljaju različiti partnerski proteini ili konstitutivno stvaranje PDGF-a. Imatinib inhibira signaliziranje i proliferaciju stanica izazvanu nepravilno reguliranom aktivnošću PDGFR-a i Abl kinaze.</w:t>
      </w:r>
    </w:p>
    <w:p w14:paraId="46974B69" w14:textId="77777777" w:rsidR="00BE41B8" w:rsidRPr="00510442" w:rsidRDefault="00BE41B8" w:rsidP="00BE41B8">
      <w:pPr>
        <w:pStyle w:val="EndnoteText"/>
        <w:widowControl w:val="0"/>
        <w:tabs>
          <w:tab w:val="clear" w:pos="567"/>
        </w:tabs>
        <w:rPr>
          <w:color w:val="000000"/>
          <w:szCs w:val="22"/>
          <w:lang w:val="hr-HR"/>
        </w:rPr>
      </w:pPr>
    </w:p>
    <w:p w14:paraId="3534DE6D" w14:textId="77777777" w:rsidR="00BE41B8" w:rsidRPr="00510442" w:rsidRDefault="00BE41B8" w:rsidP="003179A4">
      <w:pPr>
        <w:pStyle w:val="EndnoteText"/>
        <w:keepNext/>
        <w:widowControl w:val="0"/>
        <w:tabs>
          <w:tab w:val="clear" w:pos="567"/>
        </w:tabs>
        <w:rPr>
          <w:color w:val="000000"/>
          <w:szCs w:val="22"/>
          <w:lang w:val="hr-HR"/>
        </w:rPr>
      </w:pPr>
      <w:r w:rsidRPr="00510442">
        <w:rPr>
          <w:szCs w:val="22"/>
          <w:u w:val="single"/>
          <w:lang w:val="hr-HR"/>
        </w:rPr>
        <w:t>Klinička ispitivanja kod kronične mijeloične leukemije</w:t>
      </w:r>
    </w:p>
    <w:p w14:paraId="4845C8EC" w14:textId="7D4B7191" w:rsidR="00BE41B8" w:rsidRPr="00510442" w:rsidRDefault="00BE41B8" w:rsidP="00BE41B8">
      <w:pPr>
        <w:pStyle w:val="EndnoteText"/>
        <w:widowControl w:val="0"/>
        <w:tabs>
          <w:tab w:val="clear" w:pos="567"/>
        </w:tabs>
        <w:rPr>
          <w:color w:val="000000"/>
          <w:szCs w:val="22"/>
          <w:u w:val="single"/>
          <w:lang w:val="hr-HR"/>
        </w:rPr>
      </w:pPr>
      <w:r w:rsidRPr="00510442">
        <w:rPr>
          <w:szCs w:val="22"/>
          <w:lang w:val="hr-HR"/>
        </w:rPr>
        <w:t xml:space="preserve">Učinkovitost </w:t>
      </w:r>
      <w:r w:rsidR="004007D1" w:rsidRPr="00512481">
        <w:rPr>
          <w:szCs w:val="22"/>
          <w:lang w:val="hr-HR"/>
        </w:rPr>
        <w:t xml:space="preserve">lijeka </w:t>
      </w:r>
      <w:r w:rsidRPr="00510442">
        <w:rPr>
          <w:szCs w:val="22"/>
          <w:lang w:val="hr-HR"/>
        </w:rPr>
        <w:t>Glivec temelji se na općim hematološkim i citogenetskim stopama odgovora i preživljenju bez progresije. Osim kod novodijagnosticirane kronične faze KML-a, ne postoje kontrolirana ispitivanja koja demonstriraju kliničku korist, kao što je poboljšanje simptoma povezanih s bolešću ili povećano preživljenje.</w:t>
      </w:r>
    </w:p>
    <w:p w14:paraId="3839F0F5" w14:textId="77777777" w:rsidR="00BE41B8" w:rsidRPr="00510442" w:rsidRDefault="00BE41B8" w:rsidP="00BE41B8">
      <w:pPr>
        <w:pStyle w:val="EndnoteText"/>
        <w:widowControl w:val="0"/>
        <w:tabs>
          <w:tab w:val="clear" w:pos="567"/>
        </w:tabs>
        <w:rPr>
          <w:color w:val="000000"/>
          <w:szCs w:val="22"/>
          <w:lang w:val="hr-HR"/>
        </w:rPr>
      </w:pPr>
    </w:p>
    <w:p w14:paraId="21DDBE13" w14:textId="77777777" w:rsidR="00BE41B8" w:rsidRPr="00510442" w:rsidRDefault="00BE41B8" w:rsidP="00BE41B8">
      <w:pPr>
        <w:pStyle w:val="EndnoteText"/>
        <w:widowControl w:val="0"/>
        <w:tabs>
          <w:tab w:val="clear" w:pos="567"/>
        </w:tabs>
        <w:rPr>
          <w:color w:val="000000"/>
          <w:szCs w:val="22"/>
          <w:lang w:val="hr-HR"/>
        </w:rPr>
      </w:pPr>
      <w:r w:rsidRPr="00510442">
        <w:rPr>
          <w:szCs w:val="22"/>
          <w:lang w:val="hr-HR"/>
        </w:rPr>
        <w:t>Tri velika, internacionalna, otvorena, nekontrolirana klinička ispitivanja faze II provedena su u bolesnika s KML-om s pozitivnim Philadelphia (Ph+) kromosomom, u uznapredovaloj, blastičnoj ili ubrzanoj fazi bolesti, s drugim Ph+ leukemijama ili u bolesnika s KML-om u kroničnoj fazi, ali u kojih nije uspjela prethodna terapija interferonom-alfa (IFN). U bolesnika s novodijagnosticiranim Ph+ KML-om provedeno je jedno veliko, otvoreno, multicentrično, internacionalno, randomizirano ispitivanje faze III. Osim toga, djeca su liječena u dva ispitivanja faze I i jednom ispitivanju faze II.</w:t>
      </w:r>
    </w:p>
    <w:p w14:paraId="52D194ED" w14:textId="77777777" w:rsidR="00BE41B8" w:rsidRPr="00510442" w:rsidRDefault="00BE41B8" w:rsidP="00BE41B8">
      <w:pPr>
        <w:pStyle w:val="EndnoteText"/>
        <w:widowControl w:val="0"/>
        <w:tabs>
          <w:tab w:val="clear" w:pos="567"/>
        </w:tabs>
        <w:rPr>
          <w:color w:val="000000"/>
          <w:szCs w:val="22"/>
          <w:lang w:val="hr-HR"/>
        </w:rPr>
      </w:pPr>
    </w:p>
    <w:p w14:paraId="4D4B2083" w14:textId="77777777" w:rsidR="00BE41B8" w:rsidRPr="00510442" w:rsidRDefault="00BE41B8" w:rsidP="00BE41B8">
      <w:pPr>
        <w:pStyle w:val="EndnoteText"/>
        <w:widowControl w:val="0"/>
        <w:tabs>
          <w:tab w:val="clear" w:pos="567"/>
        </w:tabs>
        <w:rPr>
          <w:color w:val="000000"/>
          <w:szCs w:val="22"/>
          <w:lang w:val="hr-HR"/>
        </w:rPr>
      </w:pPr>
      <w:r w:rsidRPr="00510442">
        <w:rPr>
          <w:szCs w:val="22"/>
          <w:lang w:val="hr-HR"/>
        </w:rPr>
        <w:t>U svim kliničkim ispitivanjima 38</w:t>
      </w:r>
      <w:r w:rsidRPr="00510442">
        <w:rPr>
          <w:color w:val="000000"/>
          <w:szCs w:val="22"/>
          <w:lang w:val="hr-HR"/>
        </w:rPr>
        <w:noBreakHyphen/>
      </w:r>
      <w:r w:rsidRPr="00510442">
        <w:rPr>
          <w:szCs w:val="22"/>
          <w:lang w:val="hr-HR"/>
        </w:rPr>
        <w:t>40% bolesnika bilo je u dobi ≥60</w:t>
      </w:r>
      <w:r w:rsidRPr="00510442">
        <w:rPr>
          <w:color w:val="000000"/>
          <w:szCs w:val="22"/>
          <w:lang w:val="hr-HR"/>
        </w:rPr>
        <w:t> </w:t>
      </w:r>
      <w:r w:rsidRPr="00510442">
        <w:rPr>
          <w:szCs w:val="22"/>
          <w:lang w:val="hr-HR"/>
        </w:rPr>
        <w:t>godina, a 10</w:t>
      </w:r>
      <w:r w:rsidRPr="00510442">
        <w:rPr>
          <w:szCs w:val="22"/>
          <w:lang w:val="hr-HR"/>
        </w:rPr>
        <w:noBreakHyphen/>
        <w:t>12% bolesnika bilo je u dobi ≥70</w:t>
      </w:r>
      <w:r w:rsidRPr="00510442">
        <w:rPr>
          <w:color w:val="000000"/>
          <w:szCs w:val="22"/>
          <w:lang w:val="hr-HR"/>
        </w:rPr>
        <w:t> </w:t>
      </w:r>
      <w:r w:rsidRPr="00510442">
        <w:rPr>
          <w:szCs w:val="22"/>
          <w:lang w:val="hr-HR"/>
        </w:rPr>
        <w:t>godina.</w:t>
      </w:r>
    </w:p>
    <w:p w14:paraId="562B2851" w14:textId="77777777" w:rsidR="00BE41B8" w:rsidRPr="00510442" w:rsidRDefault="00BE41B8" w:rsidP="00BE41B8">
      <w:pPr>
        <w:pStyle w:val="EndnoteText"/>
        <w:widowControl w:val="0"/>
        <w:tabs>
          <w:tab w:val="clear" w:pos="567"/>
        </w:tabs>
        <w:rPr>
          <w:color w:val="000000"/>
          <w:szCs w:val="22"/>
          <w:lang w:val="hr-HR"/>
        </w:rPr>
      </w:pPr>
    </w:p>
    <w:p w14:paraId="50B68663" w14:textId="7D9E30AD" w:rsidR="00BE41B8" w:rsidRPr="00510442" w:rsidRDefault="00BE41B8" w:rsidP="00BE41B8">
      <w:pPr>
        <w:spacing w:line="240" w:lineRule="auto"/>
        <w:rPr>
          <w:szCs w:val="22"/>
          <w:lang w:val="hr-HR"/>
        </w:rPr>
      </w:pPr>
      <w:r w:rsidRPr="00510442">
        <w:rPr>
          <w:i/>
          <w:szCs w:val="22"/>
          <w:lang w:val="hr-HR"/>
        </w:rPr>
        <w:t>Kronična faza, novodijagnosticirani</w:t>
      </w:r>
      <w:r w:rsidRPr="00510442">
        <w:rPr>
          <w:szCs w:val="22"/>
          <w:lang w:val="hr-HR"/>
        </w:rPr>
        <w:t xml:space="preserve">: u ovom ispitivanju faze III. u odraslih bolesnika uspoređivalo se liječenje ili samo s jednim agensom - </w:t>
      </w:r>
      <w:r w:rsidR="00B27A2B">
        <w:rPr>
          <w:szCs w:val="22"/>
          <w:lang w:val="hr-HR"/>
        </w:rPr>
        <w:t xml:space="preserve">lijekom </w:t>
      </w:r>
      <w:r w:rsidRPr="00510442">
        <w:rPr>
          <w:szCs w:val="22"/>
          <w:lang w:val="hr-HR"/>
        </w:rPr>
        <w:t>Glivec ili s kombinacijom interferona-alfa (IFN) plus citarabina (Ara-C). Bolesnicima koji su pokazivali izostanak odgovora (izostanak potpunog hematološkog odgovora (CHR) nakon 6</w:t>
      </w:r>
      <w:r w:rsidRPr="00510442">
        <w:rPr>
          <w:color w:val="000000"/>
          <w:szCs w:val="22"/>
          <w:lang w:val="hr-HR"/>
        </w:rPr>
        <w:t> </w:t>
      </w:r>
      <w:r w:rsidRPr="00510442">
        <w:rPr>
          <w:szCs w:val="22"/>
          <w:lang w:val="hr-HR"/>
        </w:rPr>
        <w:t>mjeseci, porast vrijednosti WBC-a, nikakav veliki citogenetski odgovor (MCyR) nakon 24</w:t>
      </w:r>
      <w:r w:rsidRPr="00510442">
        <w:rPr>
          <w:color w:val="000000"/>
          <w:szCs w:val="22"/>
          <w:lang w:val="hr-HR"/>
        </w:rPr>
        <w:t> </w:t>
      </w:r>
      <w:r w:rsidRPr="00510442">
        <w:rPr>
          <w:szCs w:val="22"/>
          <w:lang w:val="hr-HR"/>
        </w:rPr>
        <w:t>mjeseca), gubitak odgovora (gubitak CHR-a ili MCyR</w:t>
      </w:r>
      <w:r w:rsidRPr="00510442">
        <w:rPr>
          <w:szCs w:val="22"/>
          <w:lang w:val="hr-HR"/>
        </w:rPr>
        <w:noBreakHyphen/>
        <w:t>a) ili tešku nepodnošljivost liječenja, odobreno je da prijeđu u alternativni krak liječenja. U Glivec kraku, bolesnici su liječeni dozom od 400</w:t>
      </w:r>
      <w:r w:rsidRPr="00510442">
        <w:rPr>
          <w:color w:val="000000"/>
          <w:szCs w:val="22"/>
          <w:lang w:val="hr-HR"/>
        </w:rPr>
        <w:t> </w:t>
      </w:r>
      <w:r w:rsidRPr="00510442">
        <w:rPr>
          <w:szCs w:val="22"/>
          <w:lang w:val="hr-HR"/>
        </w:rPr>
        <w:t>mg na dan. U IFN kraku, bolesnici su liječeni ciljanom dozom IFN-a od 5</w:t>
      </w:r>
      <w:r w:rsidRPr="00510442">
        <w:rPr>
          <w:color w:val="000000"/>
          <w:szCs w:val="22"/>
          <w:lang w:val="hr-HR"/>
        </w:rPr>
        <w:t> </w:t>
      </w:r>
      <w:r w:rsidRPr="00510442">
        <w:rPr>
          <w:szCs w:val="22"/>
          <w:lang w:val="hr-HR"/>
        </w:rPr>
        <w:t>MIU/m</w:t>
      </w:r>
      <w:r w:rsidRPr="00510442">
        <w:rPr>
          <w:szCs w:val="22"/>
          <w:vertAlign w:val="superscript"/>
          <w:lang w:val="hr-HR"/>
        </w:rPr>
        <w:t>2</w:t>
      </w:r>
      <w:r w:rsidRPr="00510442">
        <w:rPr>
          <w:szCs w:val="22"/>
          <w:lang w:val="hr-HR"/>
        </w:rPr>
        <w:t>/dan supkutano u kombinaciji sa supkutanim Ara-C u dozi od 20</w:t>
      </w:r>
      <w:r w:rsidRPr="00510442">
        <w:rPr>
          <w:color w:val="000000"/>
          <w:szCs w:val="22"/>
          <w:lang w:val="hr-HR"/>
        </w:rPr>
        <w:t> </w:t>
      </w:r>
      <w:r w:rsidRPr="00510442">
        <w:rPr>
          <w:szCs w:val="22"/>
          <w:lang w:val="hr-HR"/>
        </w:rPr>
        <w:t>mg/m</w:t>
      </w:r>
      <w:r w:rsidRPr="00510442">
        <w:rPr>
          <w:szCs w:val="22"/>
          <w:vertAlign w:val="superscript"/>
          <w:lang w:val="hr-HR"/>
        </w:rPr>
        <w:t>2</w:t>
      </w:r>
      <w:r w:rsidRPr="00510442">
        <w:rPr>
          <w:szCs w:val="22"/>
          <w:lang w:val="hr-HR"/>
        </w:rPr>
        <w:t>/dan u trajanju od 10</w:t>
      </w:r>
      <w:r w:rsidRPr="00510442">
        <w:rPr>
          <w:color w:val="000000"/>
          <w:szCs w:val="22"/>
          <w:lang w:val="hr-HR"/>
        </w:rPr>
        <w:t> </w:t>
      </w:r>
      <w:r w:rsidRPr="00510442">
        <w:rPr>
          <w:szCs w:val="22"/>
          <w:lang w:val="hr-HR"/>
        </w:rPr>
        <w:t>dana/mjesec.</w:t>
      </w:r>
    </w:p>
    <w:p w14:paraId="054E7170" w14:textId="77777777" w:rsidR="00BE41B8" w:rsidRPr="00510442" w:rsidRDefault="00BE41B8" w:rsidP="00BE41B8">
      <w:pPr>
        <w:pStyle w:val="EndnoteText"/>
        <w:widowControl w:val="0"/>
        <w:rPr>
          <w:color w:val="000000"/>
          <w:szCs w:val="22"/>
          <w:lang w:val="hr-HR"/>
        </w:rPr>
      </w:pPr>
    </w:p>
    <w:p w14:paraId="2D6297A0" w14:textId="38BE4D3E" w:rsidR="00BE41B8" w:rsidRPr="00510442" w:rsidRDefault="00BE41B8" w:rsidP="00BE41B8">
      <w:pPr>
        <w:spacing w:line="240" w:lineRule="auto"/>
        <w:rPr>
          <w:szCs w:val="22"/>
          <w:lang w:val="hr-HR"/>
        </w:rPr>
      </w:pPr>
      <w:r w:rsidRPr="00510442">
        <w:rPr>
          <w:szCs w:val="22"/>
          <w:lang w:val="hr-HR"/>
        </w:rPr>
        <w:t>Ukupan broj od 1106</w:t>
      </w:r>
      <w:r w:rsidRPr="00510442">
        <w:rPr>
          <w:color w:val="000000"/>
          <w:szCs w:val="22"/>
          <w:lang w:val="hr-HR"/>
        </w:rPr>
        <w:t> </w:t>
      </w:r>
      <w:r w:rsidRPr="00510442">
        <w:rPr>
          <w:szCs w:val="22"/>
          <w:lang w:val="hr-HR"/>
        </w:rPr>
        <w:t>bolesnika je randomiziran po 553</w:t>
      </w:r>
      <w:r w:rsidRPr="00510442">
        <w:rPr>
          <w:color w:val="000000"/>
          <w:szCs w:val="22"/>
          <w:lang w:val="hr-HR"/>
        </w:rPr>
        <w:t> </w:t>
      </w:r>
      <w:r w:rsidRPr="00510442">
        <w:rPr>
          <w:szCs w:val="22"/>
          <w:lang w:val="hr-HR"/>
        </w:rPr>
        <w:t>ispitanika u svaki krak. Početne karakteristike bile su dobro uravnotežene između oba kraka. Medijan dobi je iznosio 51</w:t>
      </w:r>
      <w:r w:rsidRPr="00510442">
        <w:rPr>
          <w:color w:val="000000"/>
          <w:szCs w:val="22"/>
          <w:lang w:val="hr-HR"/>
        </w:rPr>
        <w:t> </w:t>
      </w:r>
      <w:r w:rsidRPr="00510442">
        <w:rPr>
          <w:szCs w:val="22"/>
          <w:lang w:val="hr-HR"/>
        </w:rPr>
        <w:t>godinu (u rasponu od 18</w:t>
      </w:r>
      <w:r w:rsidRPr="00510442">
        <w:rPr>
          <w:szCs w:val="22"/>
          <w:lang w:val="hr-HR"/>
        </w:rPr>
        <w:noBreakHyphen/>
        <w:t>70</w:t>
      </w:r>
      <w:r w:rsidRPr="00510442">
        <w:rPr>
          <w:color w:val="000000"/>
          <w:szCs w:val="22"/>
          <w:lang w:val="hr-HR"/>
        </w:rPr>
        <w:t> </w:t>
      </w:r>
      <w:r w:rsidRPr="00510442">
        <w:rPr>
          <w:szCs w:val="22"/>
          <w:lang w:val="hr-HR"/>
        </w:rPr>
        <w:t>godina), kod čega je 21,9% bolesnika bilo ≥60</w:t>
      </w:r>
      <w:r w:rsidRPr="00510442">
        <w:rPr>
          <w:color w:val="000000"/>
          <w:szCs w:val="22"/>
          <w:lang w:val="hr-HR"/>
        </w:rPr>
        <w:t> </w:t>
      </w:r>
      <w:r w:rsidRPr="00510442">
        <w:rPr>
          <w:szCs w:val="22"/>
          <w:lang w:val="hr-HR"/>
        </w:rPr>
        <w:t xml:space="preserve">godina. Bilo je 59% muškaraca i 41% žena; </w:t>
      </w:r>
      <w:r w:rsidRPr="00510442">
        <w:rPr>
          <w:szCs w:val="22"/>
          <w:lang w:val="hr-HR"/>
        </w:rPr>
        <w:lastRenderedPageBreak/>
        <w:t>89,9% bijelaca i 4,7% crnaca. Sedam godina nakon uključivanja posljednjeg bolesnika, medijan trajanja prve linije liječenja bio je 82</w:t>
      </w:r>
      <w:r w:rsidRPr="00510442">
        <w:rPr>
          <w:color w:val="000000"/>
          <w:szCs w:val="22"/>
          <w:lang w:val="hr-HR"/>
        </w:rPr>
        <w:t> </w:t>
      </w:r>
      <w:r w:rsidRPr="00510442">
        <w:rPr>
          <w:szCs w:val="22"/>
          <w:lang w:val="hr-HR"/>
        </w:rPr>
        <w:t>mjeseca u Glivec kraku, odnosno 8</w:t>
      </w:r>
      <w:r w:rsidRPr="00510442">
        <w:rPr>
          <w:color w:val="000000"/>
          <w:szCs w:val="22"/>
          <w:lang w:val="hr-HR"/>
        </w:rPr>
        <w:t> </w:t>
      </w:r>
      <w:r w:rsidRPr="00510442">
        <w:rPr>
          <w:szCs w:val="22"/>
          <w:lang w:val="hr-HR"/>
        </w:rPr>
        <w:t xml:space="preserve">mjeseci u </w:t>
      </w:r>
      <w:smartTag w:uri="urn:schemas-microsoft-com:office:smarttags" w:element="stockticker">
        <w:r w:rsidRPr="00510442">
          <w:rPr>
            <w:szCs w:val="22"/>
            <w:lang w:val="hr-HR"/>
          </w:rPr>
          <w:t>INF</w:t>
        </w:r>
      </w:smartTag>
      <w:r w:rsidRPr="00510442">
        <w:rPr>
          <w:szCs w:val="22"/>
          <w:lang w:val="hr-HR"/>
        </w:rPr>
        <w:t xml:space="preserve"> kraku. Medijan trajanja druge linije liječenja za Glivec bio je 64</w:t>
      </w:r>
      <w:r w:rsidRPr="00510442">
        <w:rPr>
          <w:color w:val="000000"/>
          <w:szCs w:val="22"/>
          <w:lang w:val="hr-HR"/>
        </w:rPr>
        <w:t> </w:t>
      </w:r>
      <w:r w:rsidRPr="00510442">
        <w:rPr>
          <w:szCs w:val="22"/>
          <w:lang w:val="hr-HR"/>
        </w:rPr>
        <w:t xml:space="preserve">mjeseca. Ukupno gledajući, prosječna vrijednost dnevne doze dane bolesnicima koji su primali prvu liniju liječenja </w:t>
      </w:r>
      <w:r w:rsidR="00B27A2B">
        <w:rPr>
          <w:szCs w:val="22"/>
          <w:lang w:val="hr-HR"/>
        </w:rPr>
        <w:t xml:space="preserve">lijekom </w:t>
      </w:r>
      <w:r w:rsidRPr="00510442">
        <w:rPr>
          <w:szCs w:val="22"/>
          <w:lang w:val="hr-HR"/>
        </w:rPr>
        <w:t>Glivec iznosila je 406</w:t>
      </w:r>
      <w:r w:rsidRPr="00510442">
        <w:rPr>
          <w:color w:val="000000"/>
          <w:szCs w:val="22"/>
          <w:lang w:val="hr-HR"/>
        </w:rPr>
        <w:t> </w:t>
      </w:r>
      <w:r w:rsidRPr="00510442">
        <w:rPr>
          <w:szCs w:val="22"/>
          <w:lang w:val="hr-HR"/>
        </w:rPr>
        <w:t>±</w:t>
      </w:r>
      <w:r w:rsidRPr="00510442">
        <w:rPr>
          <w:color w:val="000000"/>
          <w:szCs w:val="22"/>
          <w:lang w:val="hr-HR"/>
        </w:rPr>
        <w:t> </w:t>
      </w:r>
      <w:r w:rsidRPr="00510442">
        <w:rPr>
          <w:szCs w:val="22"/>
          <w:lang w:val="hr-HR"/>
        </w:rPr>
        <w:t>76</w:t>
      </w:r>
      <w:r w:rsidRPr="00510442">
        <w:rPr>
          <w:color w:val="000000"/>
          <w:szCs w:val="22"/>
          <w:lang w:val="hr-HR"/>
        </w:rPr>
        <w:t> </w:t>
      </w:r>
      <w:r w:rsidRPr="00510442">
        <w:rPr>
          <w:szCs w:val="22"/>
          <w:lang w:val="hr-HR"/>
        </w:rPr>
        <w:t xml:space="preserve">mg. Primarni ishod ispitivanja djelotvornosti bio je preživljenje bez progresije. Progresija je definirana kao bilo koji od sljedećih događaja: progresija u ubrzanu fazu ili blastičnu krizu, smrt, gubitak </w:t>
      </w:r>
      <w:smartTag w:uri="urn:schemas-microsoft-com:office:smarttags" w:element="stockticker">
        <w:r w:rsidRPr="00510442">
          <w:rPr>
            <w:szCs w:val="22"/>
            <w:lang w:val="hr-HR"/>
          </w:rPr>
          <w:t>CHR</w:t>
        </w:r>
      </w:smartTag>
      <w:r w:rsidRPr="00510442">
        <w:rPr>
          <w:szCs w:val="22"/>
          <w:lang w:val="hr-HR"/>
        </w:rPr>
        <w:t xml:space="preserve">-a ili MCyR-a, ili u bolesnika koji ne postižu </w:t>
      </w:r>
      <w:smartTag w:uri="urn:schemas-microsoft-com:office:smarttags" w:element="stockticker">
        <w:r w:rsidRPr="00510442">
          <w:rPr>
            <w:szCs w:val="22"/>
            <w:lang w:val="hr-HR"/>
          </w:rPr>
          <w:t>CHR</w:t>
        </w:r>
      </w:smartTag>
      <w:r w:rsidRPr="00510442">
        <w:rPr>
          <w:szCs w:val="22"/>
          <w:lang w:val="hr-HR"/>
        </w:rPr>
        <w:t xml:space="preserve"> povećanje vrijednosti WBC-a unatoč odgovarajućem terapijskom liječenju. Veliki citogenetski odgovor, hematološki odgovor, molekularni odgovor (procjena minimalnog zaostatka bolesti), vrijeme do ubrzane faze ili blastične krize i preživljenje, glavni su sekundarni ishodi. Odgovori su prikazani u Tablici</w:t>
      </w:r>
      <w:r w:rsidRPr="00510442">
        <w:rPr>
          <w:color w:val="000000"/>
          <w:szCs w:val="22"/>
          <w:lang w:val="hr-HR"/>
        </w:rPr>
        <w:t> </w:t>
      </w:r>
      <w:r w:rsidR="004C7699" w:rsidRPr="00510442">
        <w:rPr>
          <w:szCs w:val="22"/>
          <w:lang w:val="hr-HR"/>
        </w:rPr>
        <w:t>2</w:t>
      </w:r>
      <w:r w:rsidRPr="00510442">
        <w:rPr>
          <w:szCs w:val="22"/>
          <w:lang w:val="hr-HR"/>
        </w:rPr>
        <w:t>.</w:t>
      </w:r>
    </w:p>
    <w:p w14:paraId="3A5FA8F8" w14:textId="77777777" w:rsidR="00BE41B8" w:rsidRPr="00510442" w:rsidRDefault="00BE41B8" w:rsidP="00BE41B8">
      <w:pPr>
        <w:spacing w:line="240" w:lineRule="auto"/>
        <w:rPr>
          <w:szCs w:val="22"/>
          <w:lang w:val="hr-HR"/>
        </w:rPr>
      </w:pPr>
    </w:p>
    <w:p w14:paraId="02E215C1" w14:textId="77777777" w:rsidR="00BE41B8" w:rsidRPr="00510442" w:rsidRDefault="00BE41B8" w:rsidP="003179A4">
      <w:pPr>
        <w:pStyle w:val="EndnoteText"/>
        <w:keepNext/>
        <w:widowControl w:val="0"/>
        <w:tabs>
          <w:tab w:val="clear" w:pos="567"/>
        </w:tabs>
        <w:ind w:left="1134" w:hanging="1134"/>
        <w:rPr>
          <w:b/>
          <w:color w:val="000000"/>
          <w:szCs w:val="22"/>
          <w:lang w:val="hr-HR"/>
        </w:rPr>
      </w:pPr>
      <w:r w:rsidRPr="00510442">
        <w:rPr>
          <w:b/>
          <w:color w:val="000000"/>
          <w:szCs w:val="22"/>
          <w:lang w:val="hr-HR"/>
        </w:rPr>
        <w:t>Tablica </w:t>
      </w:r>
      <w:r w:rsidR="004C7699" w:rsidRPr="00510442">
        <w:rPr>
          <w:b/>
          <w:color w:val="000000"/>
          <w:szCs w:val="22"/>
          <w:lang w:val="hr-HR"/>
        </w:rPr>
        <w:t>2</w:t>
      </w:r>
      <w:r w:rsidRPr="00510442">
        <w:rPr>
          <w:b/>
          <w:color w:val="000000"/>
          <w:szCs w:val="22"/>
          <w:lang w:val="hr-HR"/>
        </w:rPr>
        <w:tab/>
      </w:r>
      <w:r w:rsidRPr="00510442">
        <w:rPr>
          <w:b/>
          <w:szCs w:val="22"/>
          <w:lang w:val="hr-HR"/>
        </w:rPr>
        <w:t>Odgovor u ispitivanju novodijagnosticiranog KML-a (84-mjesečni podaci)</w:t>
      </w:r>
    </w:p>
    <w:p w14:paraId="3669308E" w14:textId="77777777" w:rsidR="00BE41B8" w:rsidRPr="00510442" w:rsidRDefault="00BE41B8" w:rsidP="003179A4">
      <w:pPr>
        <w:pStyle w:val="EndnoteText"/>
        <w:keepNext/>
        <w:widowControl w:val="0"/>
        <w:rPr>
          <w:color w:val="000000"/>
          <w:szCs w:val="22"/>
          <w:lang w:val="hr-HR"/>
        </w:rPr>
      </w:pPr>
    </w:p>
    <w:tbl>
      <w:tblPr>
        <w:tblW w:w="0" w:type="auto"/>
        <w:tblBorders>
          <w:top w:val="single" w:sz="4" w:space="0" w:color="auto"/>
          <w:left w:val="single" w:sz="4" w:space="0" w:color="auto"/>
          <w:bottom w:val="single" w:sz="4" w:space="0" w:color="auto"/>
        </w:tblBorders>
        <w:tblLayout w:type="fixed"/>
        <w:tblLook w:val="0000" w:firstRow="0" w:lastRow="0" w:firstColumn="0" w:lastColumn="0" w:noHBand="0" w:noVBand="0"/>
      </w:tblPr>
      <w:tblGrid>
        <w:gridCol w:w="3794"/>
        <w:gridCol w:w="2693"/>
        <w:gridCol w:w="2718"/>
      </w:tblGrid>
      <w:tr w:rsidR="00BE41B8" w:rsidRPr="00510442" w14:paraId="1FA17E30" w14:textId="77777777" w:rsidTr="003179A4">
        <w:trPr>
          <w:cantSplit/>
        </w:trPr>
        <w:tc>
          <w:tcPr>
            <w:tcW w:w="3794" w:type="dxa"/>
            <w:tcBorders>
              <w:top w:val="single" w:sz="4" w:space="0" w:color="auto"/>
              <w:left w:val="single" w:sz="4" w:space="0" w:color="auto"/>
              <w:bottom w:val="nil"/>
            </w:tcBorders>
          </w:tcPr>
          <w:p w14:paraId="7C788E34" w14:textId="77777777" w:rsidR="00BE41B8" w:rsidRPr="00510442" w:rsidRDefault="00BE41B8" w:rsidP="003179A4">
            <w:pPr>
              <w:pStyle w:val="Table"/>
              <w:keepLines w:val="0"/>
              <w:widowControl w:val="0"/>
              <w:spacing w:before="0" w:after="0"/>
              <w:rPr>
                <w:rFonts w:ascii="Times New Roman" w:hAnsi="Times New Roman"/>
                <w:color w:val="000000"/>
                <w:sz w:val="22"/>
                <w:szCs w:val="22"/>
                <w:lang w:val="hr-HR"/>
              </w:rPr>
            </w:pPr>
          </w:p>
        </w:tc>
        <w:tc>
          <w:tcPr>
            <w:tcW w:w="2693" w:type="dxa"/>
            <w:tcBorders>
              <w:top w:val="single" w:sz="4" w:space="0" w:color="auto"/>
              <w:bottom w:val="nil"/>
            </w:tcBorders>
          </w:tcPr>
          <w:p w14:paraId="37F450D6" w14:textId="77777777" w:rsidR="00BE41B8" w:rsidRPr="00510442" w:rsidRDefault="00BE41B8" w:rsidP="003179A4">
            <w:pPr>
              <w:pStyle w:val="Table"/>
              <w:keepLines w:val="0"/>
              <w:widowControl w:val="0"/>
              <w:spacing w:before="0" w:after="0"/>
              <w:jc w:val="center"/>
              <w:rPr>
                <w:rFonts w:ascii="Times New Roman" w:hAnsi="Times New Roman"/>
                <w:b/>
                <w:color w:val="000000"/>
                <w:sz w:val="22"/>
                <w:szCs w:val="22"/>
                <w:lang w:val="hr-HR"/>
              </w:rPr>
            </w:pPr>
            <w:r w:rsidRPr="00510442">
              <w:rPr>
                <w:rFonts w:ascii="Times New Roman" w:hAnsi="Times New Roman"/>
                <w:b/>
                <w:color w:val="000000"/>
                <w:sz w:val="22"/>
                <w:szCs w:val="22"/>
                <w:lang w:val="hr-HR"/>
              </w:rPr>
              <w:t>Glivec</w:t>
            </w:r>
          </w:p>
        </w:tc>
        <w:tc>
          <w:tcPr>
            <w:tcW w:w="2718" w:type="dxa"/>
            <w:tcBorders>
              <w:top w:val="single" w:sz="4" w:space="0" w:color="auto"/>
              <w:bottom w:val="nil"/>
              <w:right w:val="single" w:sz="4" w:space="0" w:color="auto"/>
            </w:tcBorders>
          </w:tcPr>
          <w:p w14:paraId="32CDE39B" w14:textId="77777777" w:rsidR="00BE41B8" w:rsidRPr="00510442" w:rsidRDefault="00BE41B8" w:rsidP="003179A4">
            <w:pPr>
              <w:pStyle w:val="Table"/>
              <w:keepLines w:val="0"/>
              <w:widowControl w:val="0"/>
              <w:spacing w:before="0" w:after="0"/>
              <w:jc w:val="center"/>
              <w:rPr>
                <w:rFonts w:ascii="Times New Roman" w:hAnsi="Times New Roman"/>
                <w:b/>
                <w:color w:val="000000"/>
                <w:sz w:val="22"/>
                <w:szCs w:val="22"/>
                <w:lang w:val="hr-HR"/>
              </w:rPr>
            </w:pPr>
            <w:r w:rsidRPr="00510442">
              <w:rPr>
                <w:rFonts w:ascii="Times New Roman" w:hAnsi="Times New Roman"/>
                <w:b/>
                <w:color w:val="000000"/>
                <w:sz w:val="22"/>
                <w:szCs w:val="22"/>
                <w:lang w:val="hr-HR"/>
              </w:rPr>
              <w:t>IFN+Ara-C</w:t>
            </w:r>
          </w:p>
        </w:tc>
      </w:tr>
      <w:tr w:rsidR="00BE41B8" w:rsidRPr="00510442" w14:paraId="7F41A7F5" w14:textId="77777777" w:rsidTr="003179A4">
        <w:trPr>
          <w:cantSplit/>
        </w:trPr>
        <w:tc>
          <w:tcPr>
            <w:tcW w:w="3794" w:type="dxa"/>
            <w:tcBorders>
              <w:top w:val="nil"/>
              <w:left w:val="single" w:sz="4" w:space="0" w:color="auto"/>
              <w:bottom w:val="single" w:sz="4" w:space="0" w:color="auto"/>
            </w:tcBorders>
          </w:tcPr>
          <w:p w14:paraId="1172B8DA" w14:textId="77777777" w:rsidR="00BE41B8" w:rsidRPr="00510442" w:rsidRDefault="00BE41B8" w:rsidP="003179A4">
            <w:pPr>
              <w:pStyle w:val="Table"/>
              <w:keepLines w:val="0"/>
              <w:widowControl w:val="0"/>
              <w:spacing w:before="0" w:after="0"/>
              <w:rPr>
                <w:rFonts w:ascii="Times New Roman" w:hAnsi="Times New Roman"/>
                <w:b/>
                <w:color w:val="000000"/>
                <w:sz w:val="22"/>
                <w:szCs w:val="22"/>
                <w:lang w:val="hr-HR"/>
              </w:rPr>
            </w:pPr>
            <w:r w:rsidRPr="00510442">
              <w:rPr>
                <w:rFonts w:ascii="Times New Roman" w:hAnsi="Times New Roman"/>
                <w:b/>
                <w:sz w:val="22"/>
                <w:szCs w:val="22"/>
                <w:lang w:val="hr-HR"/>
              </w:rPr>
              <w:t>(Najbolje stope odgovora)</w:t>
            </w:r>
          </w:p>
        </w:tc>
        <w:tc>
          <w:tcPr>
            <w:tcW w:w="2693" w:type="dxa"/>
            <w:tcBorders>
              <w:top w:val="nil"/>
              <w:bottom w:val="single" w:sz="4" w:space="0" w:color="auto"/>
            </w:tcBorders>
          </w:tcPr>
          <w:p w14:paraId="792A4C9F" w14:textId="77777777" w:rsidR="00BE41B8" w:rsidRPr="00510442" w:rsidRDefault="00BE41B8" w:rsidP="003179A4">
            <w:pPr>
              <w:pStyle w:val="Table"/>
              <w:keepLines w:val="0"/>
              <w:widowControl w:val="0"/>
              <w:spacing w:before="0" w:after="0"/>
              <w:jc w:val="center"/>
              <w:rPr>
                <w:rFonts w:ascii="Times New Roman" w:hAnsi="Times New Roman"/>
                <w:color w:val="000000"/>
                <w:sz w:val="22"/>
                <w:szCs w:val="22"/>
                <w:lang w:val="hr-HR"/>
              </w:rPr>
            </w:pPr>
            <w:r w:rsidRPr="00510442">
              <w:rPr>
                <w:rFonts w:ascii="Times New Roman" w:hAnsi="Times New Roman"/>
                <w:color w:val="000000"/>
                <w:sz w:val="22"/>
                <w:szCs w:val="22"/>
                <w:lang w:val="hr-HR"/>
              </w:rPr>
              <w:t>n=553</w:t>
            </w:r>
          </w:p>
        </w:tc>
        <w:tc>
          <w:tcPr>
            <w:tcW w:w="2718" w:type="dxa"/>
            <w:tcBorders>
              <w:top w:val="nil"/>
              <w:bottom w:val="single" w:sz="4" w:space="0" w:color="auto"/>
              <w:right w:val="single" w:sz="4" w:space="0" w:color="auto"/>
            </w:tcBorders>
          </w:tcPr>
          <w:p w14:paraId="66CA7043" w14:textId="77777777" w:rsidR="00BE41B8" w:rsidRPr="00510442" w:rsidRDefault="00BE41B8" w:rsidP="003179A4">
            <w:pPr>
              <w:pStyle w:val="Table"/>
              <w:keepLines w:val="0"/>
              <w:widowControl w:val="0"/>
              <w:spacing w:before="0" w:after="0"/>
              <w:jc w:val="center"/>
              <w:rPr>
                <w:rFonts w:ascii="Times New Roman" w:hAnsi="Times New Roman"/>
                <w:color w:val="000000"/>
                <w:sz w:val="22"/>
                <w:szCs w:val="22"/>
                <w:lang w:val="hr-HR"/>
              </w:rPr>
            </w:pPr>
            <w:r w:rsidRPr="00510442">
              <w:rPr>
                <w:rFonts w:ascii="Times New Roman" w:hAnsi="Times New Roman"/>
                <w:color w:val="000000"/>
                <w:sz w:val="22"/>
                <w:szCs w:val="22"/>
                <w:lang w:val="hr-HR"/>
              </w:rPr>
              <w:t>n=553</w:t>
            </w:r>
          </w:p>
        </w:tc>
      </w:tr>
      <w:tr w:rsidR="00BE41B8" w:rsidRPr="00510442" w14:paraId="06A7B774" w14:textId="77777777" w:rsidTr="003179A4">
        <w:trPr>
          <w:cantSplit/>
        </w:trPr>
        <w:tc>
          <w:tcPr>
            <w:tcW w:w="3794" w:type="dxa"/>
            <w:tcBorders>
              <w:top w:val="nil"/>
              <w:left w:val="single" w:sz="4" w:space="0" w:color="auto"/>
            </w:tcBorders>
          </w:tcPr>
          <w:p w14:paraId="14D5583E" w14:textId="77777777" w:rsidR="00BE41B8" w:rsidRPr="00510442" w:rsidRDefault="00BE41B8" w:rsidP="003179A4">
            <w:pPr>
              <w:pStyle w:val="Table"/>
              <w:keepLines w:val="0"/>
              <w:widowControl w:val="0"/>
              <w:spacing w:before="0" w:after="0"/>
              <w:rPr>
                <w:rFonts w:ascii="Times New Roman" w:hAnsi="Times New Roman"/>
                <w:b/>
                <w:color w:val="000000"/>
                <w:sz w:val="22"/>
                <w:szCs w:val="22"/>
                <w:lang w:val="hr-HR"/>
              </w:rPr>
            </w:pPr>
            <w:r w:rsidRPr="00510442">
              <w:rPr>
                <w:rFonts w:ascii="Times New Roman" w:hAnsi="Times New Roman"/>
                <w:b/>
                <w:sz w:val="22"/>
                <w:szCs w:val="22"/>
                <w:lang w:val="hr-HR"/>
              </w:rPr>
              <w:t>Hematološki odgovor</w:t>
            </w:r>
          </w:p>
        </w:tc>
        <w:tc>
          <w:tcPr>
            <w:tcW w:w="2693" w:type="dxa"/>
            <w:tcBorders>
              <w:top w:val="nil"/>
            </w:tcBorders>
          </w:tcPr>
          <w:p w14:paraId="57A70E46" w14:textId="77777777" w:rsidR="00BE41B8" w:rsidRPr="00510442" w:rsidRDefault="00BE41B8" w:rsidP="003179A4">
            <w:pPr>
              <w:pStyle w:val="Table"/>
              <w:keepLines w:val="0"/>
              <w:widowControl w:val="0"/>
              <w:spacing w:before="0" w:after="0"/>
              <w:jc w:val="center"/>
              <w:rPr>
                <w:rFonts w:ascii="Times New Roman" w:hAnsi="Times New Roman"/>
                <w:b/>
                <w:color w:val="000000"/>
                <w:sz w:val="22"/>
                <w:szCs w:val="22"/>
                <w:lang w:val="hr-HR"/>
              </w:rPr>
            </w:pPr>
          </w:p>
        </w:tc>
        <w:tc>
          <w:tcPr>
            <w:tcW w:w="2718" w:type="dxa"/>
            <w:tcBorders>
              <w:top w:val="nil"/>
              <w:right w:val="single" w:sz="4" w:space="0" w:color="auto"/>
            </w:tcBorders>
          </w:tcPr>
          <w:p w14:paraId="3EDB85C5" w14:textId="77777777" w:rsidR="00BE41B8" w:rsidRPr="00510442" w:rsidRDefault="00BE41B8" w:rsidP="003179A4">
            <w:pPr>
              <w:pStyle w:val="Table"/>
              <w:keepLines w:val="0"/>
              <w:widowControl w:val="0"/>
              <w:spacing w:before="0" w:after="0"/>
              <w:jc w:val="center"/>
              <w:rPr>
                <w:rFonts w:ascii="Times New Roman" w:hAnsi="Times New Roman"/>
                <w:b/>
                <w:color w:val="000000"/>
                <w:sz w:val="22"/>
                <w:szCs w:val="22"/>
                <w:lang w:val="hr-HR"/>
              </w:rPr>
            </w:pPr>
          </w:p>
        </w:tc>
      </w:tr>
      <w:tr w:rsidR="00BE41B8" w:rsidRPr="00510442" w14:paraId="77472029" w14:textId="77777777" w:rsidTr="003179A4">
        <w:trPr>
          <w:cantSplit/>
        </w:trPr>
        <w:tc>
          <w:tcPr>
            <w:tcW w:w="3794" w:type="dxa"/>
            <w:tcBorders>
              <w:top w:val="nil"/>
              <w:left w:val="single" w:sz="4" w:space="0" w:color="auto"/>
            </w:tcBorders>
          </w:tcPr>
          <w:p w14:paraId="6B358B4B" w14:textId="77777777" w:rsidR="00BE41B8" w:rsidRPr="00510442" w:rsidRDefault="00BE41B8" w:rsidP="003179A4">
            <w:pPr>
              <w:pStyle w:val="Table"/>
              <w:keepLines w:val="0"/>
              <w:widowControl w:val="0"/>
              <w:spacing w:before="0" w:after="0"/>
              <w:rPr>
                <w:rFonts w:ascii="Times New Roman" w:hAnsi="Times New Roman"/>
                <w:color w:val="000000"/>
                <w:sz w:val="22"/>
                <w:szCs w:val="22"/>
                <w:lang w:val="hr-HR"/>
              </w:rPr>
            </w:pPr>
            <w:smartTag w:uri="urn:schemas-microsoft-com:office:smarttags" w:element="stockticker">
              <w:r w:rsidRPr="00510442">
                <w:rPr>
                  <w:rFonts w:ascii="Times New Roman" w:hAnsi="Times New Roman"/>
                  <w:color w:val="000000"/>
                  <w:sz w:val="22"/>
                  <w:szCs w:val="22"/>
                  <w:lang w:val="hr-HR"/>
                </w:rPr>
                <w:t>CHR</w:t>
              </w:r>
            </w:smartTag>
            <w:r w:rsidRPr="00510442">
              <w:rPr>
                <w:rFonts w:ascii="Times New Roman" w:hAnsi="Times New Roman"/>
                <w:color w:val="000000"/>
                <w:sz w:val="22"/>
                <w:szCs w:val="22"/>
                <w:lang w:val="hr-HR"/>
              </w:rPr>
              <w:t xml:space="preserve"> stopa n (%)</w:t>
            </w:r>
          </w:p>
        </w:tc>
        <w:tc>
          <w:tcPr>
            <w:tcW w:w="2693" w:type="dxa"/>
            <w:tcBorders>
              <w:top w:val="nil"/>
            </w:tcBorders>
          </w:tcPr>
          <w:p w14:paraId="002DB842" w14:textId="77777777" w:rsidR="00BE41B8" w:rsidRPr="00510442" w:rsidRDefault="00BE41B8" w:rsidP="003179A4">
            <w:pPr>
              <w:pStyle w:val="Table"/>
              <w:keepLines w:val="0"/>
              <w:widowControl w:val="0"/>
              <w:spacing w:before="0" w:after="0"/>
              <w:jc w:val="center"/>
              <w:rPr>
                <w:rFonts w:ascii="Times New Roman" w:hAnsi="Times New Roman"/>
                <w:color w:val="000000"/>
                <w:sz w:val="22"/>
                <w:szCs w:val="22"/>
                <w:lang w:val="hr-HR"/>
              </w:rPr>
            </w:pPr>
            <w:r w:rsidRPr="00510442">
              <w:rPr>
                <w:rFonts w:ascii="Times New Roman" w:hAnsi="Times New Roman"/>
                <w:color w:val="000000"/>
                <w:sz w:val="22"/>
                <w:szCs w:val="22"/>
                <w:lang w:val="hr-HR"/>
              </w:rPr>
              <w:t>534 (96,6%)*</w:t>
            </w:r>
          </w:p>
        </w:tc>
        <w:tc>
          <w:tcPr>
            <w:tcW w:w="2718" w:type="dxa"/>
            <w:tcBorders>
              <w:top w:val="nil"/>
              <w:right w:val="single" w:sz="4" w:space="0" w:color="auto"/>
            </w:tcBorders>
          </w:tcPr>
          <w:p w14:paraId="750260C3" w14:textId="77777777" w:rsidR="00BE41B8" w:rsidRPr="00510442" w:rsidRDefault="00BE41B8" w:rsidP="003179A4">
            <w:pPr>
              <w:pStyle w:val="Table"/>
              <w:keepLines w:val="0"/>
              <w:widowControl w:val="0"/>
              <w:spacing w:before="0" w:after="0"/>
              <w:jc w:val="center"/>
              <w:rPr>
                <w:rFonts w:ascii="Times New Roman" w:hAnsi="Times New Roman"/>
                <w:color w:val="000000"/>
                <w:sz w:val="22"/>
                <w:szCs w:val="22"/>
                <w:lang w:val="hr-HR"/>
              </w:rPr>
            </w:pPr>
            <w:r w:rsidRPr="00510442">
              <w:rPr>
                <w:rFonts w:ascii="Times New Roman" w:hAnsi="Times New Roman"/>
                <w:color w:val="000000"/>
                <w:sz w:val="22"/>
                <w:szCs w:val="22"/>
                <w:lang w:val="hr-HR"/>
              </w:rPr>
              <w:t>313 (56,6%)*</w:t>
            </w:r>
          </w:p>
        </w:tc>
      </w:tr>
      <w:tr w:rsidR="00BE41B8" w:rsidRPr="00510442" w14:paraId="28888A6D" w14:textId="77777777" w:rsidTr="003179A4">
        <w:trPr>
          <w:cantSplit/>
        </w:trPr>
        <w:tc>
          <w:tcPr>
            <w:tcW w:w="3794" w:type="dxa"/>
            <w:tcBorders>
              <w:left w:val="single" w:sz="4" w:space="0" w:color="auto"/>
            </w:tcBorders>
          </w:tcPr>
          <w:p w14:paraId="7EA9AEC4" w14:textId="77777777" w:rsidR="00BE41B8" w:rsidRPr="00510442" w:rsidRDefault="00BE41B8" w:rsidP="003179A4">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ab/>
              <w:t>[95% CI]</w:t>
            </w:r>
          </w:p>
        </w:tc>
        <w:tc>
          <w:tcPr>
            <w:tcW w:w="2693" w:type="dxa"/>
          </w:tcPr>
          <w:p w14:paraId="4EA2885E" w14:textId="77777777" w:rsidR="00BE41B8" w:rsidRPr="00510442" w:rsidRDefault="00BE41B8" w:rsidP="003179A4">
            <w:pPr>
              <w:pStyle w:val="Table"/>
              <w:keepLines w:val="0"/>
              <w:widowControl w:val="0"/>
              <w:spacing w:before="0" w:after="0"/>
              <w:jc w:val="center"/>
              <w:rPr>
                <w:rFonts w:ascii="Times New Roman" w:hAnsi="Times New Roman"/>
                <w:color w:val="000000"/>
                <w:sz w:val="22"/>
                <w:szCs w:val="22"/>
                <w:lang w:val="hr-HR"/>
              </w:rPr>
            </w:pPr>
            <w:r w:rsidRPr="00510442">
              <w:rPr>
                <w:rFonts w:ascii="Times New Roman" w:hAnsi="Times New Roman"/>
                <w:color w:val="000000"/>
                <w:sz w:val="22"/>
                <w:szCs w:val="22"/>
                <w:lang w:val="hr-HR"/>
              </w:rPr>
              <w:t>[94,7%, 97,9%]</w:t>
            </w:r>
          </w:p>
        </w:tc>
        <w:tc>
          <w:tcPr>
            <w:tcW w:w="2718" w:type="dxa"/>
            <w:tcBorders>
              <w:right w:val="single" w:sz="4" w:space="0" w:color="auto"/>
            </w:tcBorders>
          </w:tcPr>
          <w:p w14:paraId="4C565F08" w14:textId="77777777" w:rsidR="00BE41B8" w:rsidRPr="00510442" w:rsidRDefault="00BE41B8" w:rsidP="003179A4">
            <w:pPr>
              <w:pStyle w:val="Table"/>
              <w:keepLines w:val="0"/>
              <w:widowControl w:val="0"/>
              <w:spacing w:before="0" w:after="0"/>
              <w:jc w:val="center"/>
              <w:rPr>
                <w:rFonts w:ascii="Times New Roman" w:hAnsi="Times New Roman"/>
                <w:color w:val="000000"/>
                <w:sz w:val="22"/>
                <w:szCs w:val="22"/>
                <w:lang w:val="hr-HR"/>
              </w:rPr>
            </w:pPr>
            <w:r w:rsidRPr="00510442">
              <w:rPr>
                <w:rFonts w:ascii="Times New Roman" w:hAnsi="Times New Roman"/>
                <w:color w:val="000000"/>
                <w:sz w:val="22"/>
                <w:szCs w:val="22"/>
                <w:lang w:val="hr-HR"/>
              </w:rPr>
              <w:t>[52,4%, 60,8%]</w:t>
            </w:r>
          </w:p>
        </w:tc>
      </w:tr>
      <w:tr w:rsidR="00BE41B8" w:rsidRPr="00510442" w14:paraId="126BC770" w14:textId="77777777" w:rsidTr="003179A4">
        <w:trPr>
          <w:cantSplit/>
        </w:trPr>
        <w:tc>
          <w:tcPr>
            <w:tcW w:w="3794" w:type="dxa"/>
            <w:tcBorders>
              <w:left w:val="single" w:sz="4" w:space="0" w:color="auto"/>
            </w:tcBorders>
          </w:tcPr>
          <w:p w14:paraId="19334D3E" w14:textId="77777777" w:rsidR="00BE41B8" w:rsidRPr="00510442" w:rsidRDefault="00BE41B8" w:rsidP="003179A4">
            <w:pPr>
              <w:pStyle w:val="Table"/>
              <w:keepLines w:val="0"/>
              <w:widowControl w:val="0"/>
              <w:spacing w:before="0" w:after="0"/>
              <w:rPr>
                <w:rFonts w:ascii="Times New Roman" w:hAnsi="Times New Roman"/>
                <w:color w:val="000000"/>
                <w:sz w:val="22"/>
                <w:szCs w:val="22"/>
                <w:lang w:val="hr-HR"/>
              </w:rPr>
            </w:pPr>
          </w:p>
        </w:tc>
        <w:tc>
          <w:tcPr>
            <w:tcW w:w="2693" w:type="dxa"/>
          </w:tcPr>
          <w:p w14:paraId="60270E9A" w14:textId="77777777" w:rsidR="00BE41B8" w:rsidRPr="00510442" w:rsidRDefault="00BE41B8" w:rsidP="003179A4">
            <w:pPr>
              <w:pStyle w:val="Table"/>
              <w:keepLines w:val="0"/>
              <w:widowControl w:val="0"/>
              <w:spacing w:before="0" w:after="0"/>
              <w:rPr>
                <w:rFonts w:ascii="Times New Roman" w:hAnsi="Times New Roman"/>
                <w:color w:val="000000"/>
                <w:sz w:val="22"/>
                <w:szCs w:val="22"/>
                <w:lang w:val="hr-HR"/>
              </w:rPr>
            </w:pPr>
          </w:p>
        </w:tc>
        <w:tc>
          <w:tcPr>
            <w:tcW w:w="2718" w:type="dxa"/>
            <w:tcBorders>
              <w:right w:val="single" w:sz="4" w:space="0" w:color="auto"/>
            </w:tcBorders>
          </w:tcPr>
          <w:p w14:paraId="556803EF" w14:textId="77777777" w:rsidR="00BE41B8" w:rsidRPr="00510442" w:rsidRDefault="00BE41B8" w:rsidP="003179A4">
            <w:pPr>
              <w:pStyle w:val="Table"/>
              <w:keepLines w:val="0"/>
              <w:widowControl w:val="0"/>
              <w:spacing w:before="0" w:after="0"/>
              <w:rPr>
                <w:rFonts w:ascii="Times New Roman" w:hAnsi="Times New Roman"/>
                <w:color w:val="000000"/>
                <w:sz w:val="22"/>
                <w:szCs w:val="22"/>
                <w:lang w:val="hr-HR"/>
              </w:rPr>
            </w:pPr>
          </w:p>
        </w:tc>
      </w:tr>
      <w:tr w:rsidR="00BE41B8" w:rsidRPr="00510442" w14:paraId="7DD997E5" w14:textId="77777777" w:rsidTr="003179A4">
        <w:trPr>
          <w:cantSplit/>
        </w:trPr>
        <w:tc>
          <w:tcPr>
            <w:tcW w:w="3794" w:type="dxa"/>
            <w:tcBorders>
              <w:left w:val="single" w:sz="4" w:space="0" w:color="auto"/>
            </w:tcBorders>
          </w:tcPr>
          <w:p w14:paraId="4BCEBE79" w14:textId="77777777" w:rsidR="00BE41B8" w:rsidRPr="00510442" w:rsidRDefault="00BE41B8" w:rsidP="003179A4">
            <w:pPr>
              <w:pStyle w:val="Table"/>
              <w:keepLines w:val="0"/>
              <w:widowControl w:val="0"/>
              <w:spacing w:before="0" w:after="0"/>
              <w:rPr>
                <w:rFonts w:ascii="Times New Roman" w:hAnsi="Times New Roman"/>
                <w:b/>
                <w:color w:val="000000"/>
                <w:sz w:val="22"/>
                <w:szCs w:val="22"/>
                <w:lang w:val="hr-HR"/>
              </w:rPr>
            </w:pPr>
            <w:r w:rsidRPr="00510442">
              <w:rPr>
                <w:rFonts w:ascii="Times New Roman" w:hAnsi="Times New Roman"/>
                <w:b/>
                <w:sz w:val="22"/>
                <w:szCs w:val="22"/>
                <w:lang w:val="hr-HR"/>
              </w:rPr>
              <w:t>Citogenetski odgovor</w:t>
            </w:r>
          </w:p>
        </w:tc>
        <w:tc>
          <w:tcPr>
            <w:tcW w:w="2693" w:type="dxa"/>
          </w:tcPr>
          <w:p w14:paraId="556DF6EE" w14:textId="77777777" w:rsidR="00BE41B8" w:rsidRPr="00510442" w:rsidRDefault="00BE41B8" w:rsidP="003179A4">
            <w:pPr>
              <w:pStyle w:val="Table"/>
              <w:keepLines w:val="0"/>
              <w:widowControl w:val="0"/>
              <w:spacing w:before="0" w:after="0"/>
              <w:rPr>
                <w:rFonts w:ascii="Times New Roman" w:hAnsi="Times New Roman"/>
                <w:b/>
                <w:color w:val="000000"/>
                <w:sz w:val="22"/>
                <w:szCs w:val="22"/>
                <w:lang w:val="hr-HR"/>
              </w:rPr>
            </w:pPr>
          </w:p>
        </w:tc>
        <w:tc>
          <w:tcPr>
            <w:tcW w:w="2718" w:type="dxa"/>
            <w:tcBorders>
              <w:right w:val="single" w:sz="4" w:space="0" w:color="auto"/>
            </w:tcBorders>
          </w:tcPr>
          <w:p w14:paraId="76A6F388" w14:textId="77777777" w:rsidR="00BE41B8" w:rsidRPr="00510442" w:rsidRDefault="00BE41B8" w:rsidP="003179A4">
            <w:pPr>
              <w:pStyle w:val="Table"/>
              <w:keepLines w:val="0"/>
              <w:widowControl w:val="0"/>
              <w:spacing w:before="0" w:after="0"/>
              <w:rPr>
                <w:rFonts w:ascii="Times New Roman" w:hAnsi="Times New Roman"/>
                <w:b/>
                <w:color w:val="000000"/>
                <w:sz w:val="22"/>
                <w:szCs w:val="22"/>
                <w:lang w:val="hr-HR"/>
              </w:rPr>
            </w:pPr>
          </w:p>
        </w:tc>
      </w:tr>
      <w:tr w:rsidR="00BE41B8" w:rsidRPr="00510442" w14:paraId="1B8888AA" w14:textId="77777777" w:rsidTr="003179A4">
        <w:trPr>
          <w:cantSplit/>
        </w:trPr>
        <w:tc>
          <w:tcPr>
            <w:tcW w:w="3794" w:type="dxa"/>
            <w:tcBorders>
              <w:left w:val="single" w:sz="4" w:space="0" w:color="auto"/>
            </w:tcBorders>
          </w:tcPr>
          <w:p w14:paraId="1FA53730" w14:textId="77777777" w:rsidR="00BE41B8" w:rsidRPr="00510442" w:rsidRDefault="00BE41B8" w:rsidP="003179A4">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Veliki odgovor n (%)</w:t>
            </w:r>
          </w:p>
        </w:tc>
        <w:tc>
          <w:tcPr>
            <w:tcW w:w="2693" w:type="dxa"/>
          </w:tcPr>
          <w:p w14:paraId="2042DDD1" w14:textId="77777777" w:rsidR="00BE41B8" w:rsidRPr="00510442" w:rsidRDefault="00BE41B8" w:rsidP="003179A4">
            <w:pPr>
              <w:pStyle w:val="Table"/>
              <w:keepLines w:val="0"/>
              <w:widowControl w:val="0"/>
              <w:spacing w:before="0" w:after="0"/>
              <w:jc w:val="center"/>
              <w:rPr>
                <w:rFonts w:ascii="Times New Roman" w:hAnsi="Times New Roman"/>
                <w:color w:val="000000"/>
                <w:sz w:val="22"/>
                <w:szCs w:val="22"/>
                <w:lang w:val="hr-HR"/>
              </w:rPr>
            </w:pPr>
            <w:r w:rsidRPr="00510442">
              <w:rPr>
                <w:rFonts w:ascii="Times New Roman" w:hAnsi="Times New Roman"/>
                <w:color w:val="000000"/>
                <w:sz w:val="22"/>
                <w:szCs w:val="22"/>
                <w:lang w:val="hr-HR"/>
              </w:rPr>
              <w:t>490 (88,6%)*</w:t>
            </w:r>
          </w:p>
        </w:tc>
        <w:tc>
          <w:tcPr>
            <w:tcW w:w="2718" w:type="dxa"/>
            <w:tcBorders>
              <w:right w:val="single" w:sz="4" w:space="0" w:color="auto"/>
            </w:tcBorders>
          </w:tcPr>
          <w:p w14:paraId="4044694D" w14:textId="77777777" w:rsidR="00BE41B8" w:rsidRPr="00510442" w:rsidRDefault="00BE41B8" w:rsidP="003179A4">
            <w:pPr>
              <w:pStyle w:val="Table"/>
              <w:keepLines w:val="0"/>
              <w:widowControl w:val="0"/>
              <w:spacing w:before="0" w:after="0"/>
              <w:jc w:val="center"/>
              <w:rPr>
                <w:rFonts w:ascii="Times New Roman" w:hAnsi="Times New Roman"/>
                <w:color w:val="000000"/>
                <w:sz w:val="22"/>
                <w:szCs w:val="22"/>
                <w:lang w:val="hr-HR"/>
              </w:rPr>
            </w:pPr>
            <w:r w:rsidRPr="00510442">
              <w:rPr>
                <w:rFonts w:ascii="Times New Roman" w:hAnsi="Times New Roman"/>
                <w:color w:val="000000"/>
                <w:sz w:val="22"/>
                <w:szCs w:val="22"/>
                <w:lang w:val="hr-HR"/>
              </w:rPr>
              <w:t>129 (23,3%)*</w:t>
            </w:r>
          </w:p>
        </w:tc>
      </w:tr>
      <w:tr w:rsidR="00BE41B8" w:rsidRPr="00510442" w14:paraId="7E9601C5" w14:textId="77777777" w:rsidTr="003179A4">
        <w:trPr>
          <w:cantSplit/>
        </w:trPr>
        <w:tc>
          <w:tcPr>
            <w:tcW w:w="3794" w:type="dxa"/>
            <w:tcBorders>
              <w:left w:val="single" w:sz="4" w:space="0" w:color="auto"/>
            </w:tcBorders>
          </w:tcPr>
          <w:p w14:paraId="5FEFA57E" w14:textId="77777777" w:rsidR="00BE41B8" w:rsidRPr="00510442" w:rsidRDefault="00BE41B8" w:rsidP="003179A4">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ab/>
              <w:t>[95% CI]</w:t>
            </w:r>
          </w:p>
        </w:tc>
        <w:tc>
          <w:tcPr>
            <w:tcW w:w="2693" w:type="dxa"/>
          </w:tcPr>
          <w:p w14:paraId="07ACB469" w14:textId="77777777" w:rsidR="00BE41B8" w:rsidRPr="00510442" w:rsidRDefault="00BE41B8" w:rsidP="003179A4">
            <w:pPr>
              <w:pStyle w:val="Table"/>
              <w:keepLines w:val="0"/>
              <w:widowControl w:val="0"/>
              <w:spacing w:before="0" w:after="0"/>
              <w:jc w:val="center"/>
              <w:rPr>
                <w:rFonts w:ascii="Times New Roman" w:hAnsi="Times New Roman"/>
                <w:color w:val="000000"/>
                <w:sz w:val="22"/>
                <w:szCs w:val="22"/>
                <w:lang w:val="hr-HR"/>
              </w:rPr>
            </w:pPr>
            <w:r w:rsidRPr="00510442">
              <w:rPr>
                <w:rFonts w:ascii="Times New Roman" w:hAnsi="Times New Roman"/>
                <w:color w:val="000000"/>
                <w:sz w:val="22"/>
                <w:szCs w:val="22"/>
                <w:lang w:val="hr-HR"/>
              </w:rPr>
              <w:t>[85,7%, 91,1%]</w:t>
            </w:r>
          </w:p>
        </w:tc>
        <w:tc>
          <w:tcPr>
            <w:tcW w:w="2718" w:type="dxa"/>
            <w:tcBorders>
              <w:right w:val="single" w:sz="4" w:space="0" w:color="auto"/>
            </w:tcBorders>
          </w:tcPr>
          <w:p w14:paraId="0791C743" w14:textId="77777777" w:rsidR="00BE41B8" w:rsidRPr="00510442" w:rsidRDefault="00BE41B8" w:rsidP="003179A4">
            <w:pPr>
              <w:pStyle w:val="Table"/>
              <w:keepLines w:val="0"/>
              <w:widowControl w:val="0"/>
              <w:spacing w:before="0" w:after="0"/>
              <w:jc w:val="center"/>
              <w:rPr>
                <w:rFonts w:ascii="Times New Roman" w:hAnsi="Times New Roman"/>
                <w:color w:val="000000"/>
                <w:sz w:val="22"/>
                <w:szCs w:val="22"/>
                <w:lang w:val="hr-HR"/>
              </w:rPr>
            </w:pPr>
            <w:r w:rsidRPr="00510442">
              <w:rPr>
                <w:rFonts w:ascii="Times New Roman" w:hAnsi="Times New Roman"/>
                <w:color w:val="000000"/>
                <w:sz w:val="22"/>
                <w:szCs w:val="22"/>
                <w:lang w:val="hr-HR"/>
              </w:rPr>
              <w:t>[19,9%, 27,1%]</w:t>
            </w:r>
          </w:p>
        </w:tc>
      </w:tr>
      <w:tr w:rsidR="00BE41B8" w:rsidRPr="00510442" w14:paraId="01EE83A5" w14:textId="77777777" w:rsidTr="003179A4">
        <w:trPr>
          <w:cantSplit/>
        </w:trPr>
        <w:tc>
          <w:tcPr>
            <w:tcW w:w="3794" w:type="dxa"/>
            <w:tcBorders>
              <w:left w:val="single" w:sz="4" w:space="0" w:color="auto"/>
            </w:tcBorders>
          </w:tcPr>
          <w:p w14:paraId="5BCED7C1" w14:textId="77777777" w:rsidR="00BE41B8" w:rsidRPr="00510442" w:rsidRDefault="00BE41B8" w:rsidP="003179A4">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ab/>
              <w:t>Potpuni CyR n (%)</w:t>
            </w:r>
          </w:p>
        </w:tc>
        <w:tc>
          <w:tcPr>
            <w:tcW w:w="2693" w:type="dxa"/>
          </w:tcPr>
          <w:p w14:paraId="2937E440" w14:textId="77777777" w:rsidR="00BE41B8" w:rsidRPr="00510442" w:rsidRDefault="00BE41B8" w:rsidP="003179A4">
            <w:pPr>
              <w:pStyle w:val="Table"/>
              <w:keepLines w:val="0"/>
              <w:widowControl w:val="0"/>
              <w:spacing w:before="0" w:after="0"/>
              <w:jc w:val="center"/>
              <w:rPr>
                <w:rFonts w:ascii="Times New Roman" w:hAnsi="Times New Roman"/>
                <w:color w:val="000000"/>
                <w:sz w:val="22"/>
                <w:szCs w:val="22"/>
                <w:lang w:val="hr-HR"/>
              </w:rPr>
            </w:pPr>
            <w:r w:rsidRPr="00510442">
              <w:rPr>
                <w:rFonts w:ascii="Times New Roman" w:hAnsi="Times New Roman"/>
                <w:color w:val="000000"/>
                <w:sz w:val="22"/>
                <w:szCs w:val="22"/>
                <w:lang w:val="hr-HR"/>
              </w:rPr>
              <w:t>456 (82,5%)*</w:t>
            </w:r>
          </w:p>
        </w:tc>
        <w:tc>
          <w:tcPr>
            <w:tcW w:w="2718" w:type="dxa"/>
            <w:tcBorders>
              <w:right w:val="single" w:sz="4" w:space="0" w:color="auto"/>
            </w:tcBorders>
          </w:tcPr>
          <w:p w14:paraId="603C3C9F" w14:textId="77777777" w:rsidR="00BE41B8" w:rsidRPr="00510442" w:rsidRDefault="00BE41B8" w:rsidP="003179A4">
            <w:pPr>
              <w:pStyle w:val="Table"/>
              <w:keepLines w:val="0"/>
              <w:widowControl w:val="0"/>
              <w:spacing w:before="0" w:after="0"/>
              <w:jc w:val="center"/>
              <w:rPr>
                <w:rFonts w:ascii="Times New Roman" w:hAnsi="Times New Roman"/>
                <w:color w:val="000000"/>
                <w:sz w:val="22"/>
                <w:szCs w:val="22"/>
                <w:lang w:val="hr-HR"/>
              </w:rPr>
            </w:pPr>
            <w:r w:rsidRPr="00510442">
              <w:rPr>
                <w:rFonts w:ascii="Times New Roman" w:hAnsi="Times New Roman"/>
                <w:color w:val="000000"/>
                <w:sz w:val="22"/>
                <w:szCs w:val="22"/>
                <w:lang w:val="hr-HR"/>
              </w:rPr>
              <w:t>64 (11,6%)*</w:t>
            </w:r>
          </w:p>
        </w:tc>
      </w:tr>
      <w:tr w:rsidR="00BE41B8" w:rsidRPr="00510442" w14:paraId="12D5BF2B" w14:textId="77777777" w:rsidTr="003179A4">
        <w:trPr>
          <w:cantSplit/>
        </w:trPr>
        <w:tc>
          <w:tcPr>
            <w:tcW w:w="3794" w:type="dxa"/>
            <w:tcBorders>
              <w:left w:val="single" w:sz="4" w:space="0" w:color="auto"/>
            </w:tcBorders>
          </w:tcPr>
          <w:p w14:paraId="363D094A" w14:textId="77777777" w:rsidR="00BE41B8" w:rsidRPr="00510442" w:rsidRDefault="00BE41B8" w:rsidP="003179A4">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ab/>
              <w:t>Djelomični CyR n (%)</w:t>
            </w:r>
          </w:p>
        </w:tc>
        <w:tc>
          <w:tcPr>
            <w:tcW w:w="2693" w:type="dxa"/>
          </w:tcPr>
          <w:p w14:paraId="5E9A2623" w14:textId="77777777" w:rsidR="00BE41B8" w:rsidRPr="00510442" w:rsidRDefault="00BE41B8" w:rsidP="003179A4">
            <w:pPr>
              <w:pStyle w:val="Table"/>
              <w:keepLines w:val="0"/>
              <w:widowControl w:val="0"/>
              <w:spacing w:before="0" w:after="0"/>
              <w:jc w:val="center"/>
              <w:rPr>
                <w:rFonts w:ascii="Times New Roman" w:hAnsi="Times New Roman"/>
                <w:color w:val="000000"/>
                <w:sz w:val="22"/>
                <w:szCs w:val="22"/>
                <w:lang w:val="hr-HR"/>
              </w:rPr>
            </w:pPr>
            <w:r w:rsidRPr="00510442">
              <w:rPr>
                <w:rFonts w:ascii="Times New Roman" w:hAnsi="Times New Roman"/>
                <w:color w:val="000000"/>
                <w:sz w:val="22"/>
                <w:szCs w:val="22"/>
                <w:lang w:val="hr-HR"/>
              </w:rPr>
              <w:t>34 (6,1%)</w:t>
            </w:r>
          </w:p>
        </w:tc>
        <w:tc>
          <w:tcPr>
            <w:tcW w:w="2718" w:type="dxa"/>
            <w:tcBorders>
              <w:right w:val="single" w:sz="4" w:space="0" w:color="auto"/>
            </w:tcBorders>
          </w:tcPr>
          <w:p w14:paraId="5AB5FDC8" w14:textId="77777777" w:rsidR="00BE41B8" w:rsidRPr="00510442" w:rsidRDefault="00BE41B8" w:rsidP="003179A4">
            <w:pPr>
              <w:pStyle w:val="Table"/>
              <w:keepLines w:val="0"/>
              <w:widowControl w:val="0"/>
              <w:spacing w:before="0" w:after="0"/>
              <w:jc w:val="center"/>
              <w:rPr>
                <w:rFonts w:ascii="Times New Roman" w:hAnsi="Times New Roman"/>
                <w:color w:val="000000"/>
                <w:sz w:val="22"/>
                <w:szCs w:val="22"/>
                <w:lang w:val="hr-HR"/>
              </w:rPr>
            </w:pPr>
            <w:r w:rsidRPr="00510442">
              <w:rPr>
                <w:rFonts w:ascii="Times New Roman" w:hAnsi="Times New Roman"/>
                <w:color w:val="000000"/>
                <w:sz w:val="22"/>
                <w:szCs w:val="22"/>
                <w:lang w:val="hr-HR"/>
              </w:rPr>
              <w:t>65 (11,8%)</w:t>
            </w:r>
          </w:p>
        </w:tc>
      </w:tr>
      <w:tr w:rsidR="00BE41B8" w:rsidRPr="00510442" w14:paraId="5B6BB376" w14:textId="77777777" w:rsidTr="003179A4">
        <w:trPr>
          <w:cantSplit/>
        </w:trPr>
        <w:tc>
          <w:tcPr>
            <w:tcW w:w="3794" w:type="dxa"/>
            <w:tcBorders>
              <w:left w:val="single" w:sz="4" w:space="0" w:color="auto"/>
              <w:bottom w:val="nil"/>
            </w:tcBorders>
          </w:tcPr>
          <w:p w14:paraId="2D13A279" w14:textId="77777777" w:rsidR="00BE41B8" w:rsidRPr="00510442" w:rsidRDefault="00BE41B8" w:rsidP="003179A4">
            <w:pPr>
              <w:pStyle w:val="Table"/>
              <w:keepLines w:val="0"/>
              <w:widowControl w:val="0"/>
              <w:spacing w:before="0" w:after="0"/>
              <w:rPr>
                <w:rFonts w:ascii="Times New Roman" w:hAnsi="Times New Roman"/>
                <w:color w:val="000000"/>
                <w:sz w:val="22"/>
                <w:szCs w:val="22"/>
                <w:lang w:val="hr-HR"/>
              </w:rPr>
            </w:pPr>
          </w:p>
        </w:tc>
        <w:tc>
          <w:tcPr>
            <w:tcW w:w="2693" w:type="dxa"/>
            <w:tcBorders>
              <w:bottom w:val="nil"/>
            </w:tcBorders>
          </w:tcPr>
          <w:p w14:paraId="654CCB3B" w14:textId="77777777" w:rsidR="00BE41B8" w:rsidRPr="00510442" w:rsidRDefault="00BE41B8" w:rsidP="003179A4">
            <w:pPr>
              <w:pStyle w:val="Table"/>
              <w:keepLines w:val="0"/>
              <w:widowControl w:val="0"/>
              <w:spacing w:before="0" w:after="0"/>
              <w:rPr>
                <w:rFonts w:ascii="Times New Roman" w:hAnsi="Times New Roman"/>
                <w:color w:val="000000"/>
                <w:sz w:val="22"/>
                <w:szCs w:val="22"/>
                <w:lang w:val="hr-HR"/>
              </w:rPr>
            </w:pPr>
          </w:p>
        </w:tc>
        <w:tc>
          <w:tcPr>
            <w:tcW w:w="2718" w:type="dxa"/>
            <w:tcBorders>
              <w:bottom w:val="nil"/>
              <w:right w:val="single" w:sz="4" w:space="0" w:color="auto"/>
            </w:tcBorders>
          </w:tcPr>
          <w:p w14:paraId="4E1D7704" w14:textId="77777777" w:rsidR="00BE41B8" w:rsidRPr="00510442" w:rsidRDefault="00BE41B8" w:rsidP="003179A4">
            <w:pPr>
              <w:pStyle w:val="Table"/>
              <w:keepLines w:val="0"/>
              <w:widowControl w:val="0"/>
              <w:spacing w:before="0" w:after="0"/>
              <w:rPr>
                <w:rFonts w:ascii="Times New Roman" w:hAnsi="Times New Roman"/>
                <w:color w:val="000000"/>
                <w:sz w:val="22"/>
                <w:szCs w:val="22"/>
                <w:lang w:val="hr-HR"/>
              </w:rPr>
            </w:pPr>
          </w:p>
        </w:tc>
      </w:tr>
      <w:tr w:rsidR="00BE41B8" w:rsidRPr="00510442" w14:paraId="5697D363" w14:textId="77777777" w:rsidTr="003179A4">
        <w:trPr>
          <w:cantSplit/>
        </w:trPr>
        <w:tc>
          <w:tcPr>
            <w:tcW w:w="3794" w:type="dxa"/>
            <w:tcBorders>
              <w:left w:val="single" w:sz="4" w:space="0" w:color="auto"/>
              <w:bottom w:val="nil"/>
            </w:tcBorders>
          </w:tcPr>
          <w:p w14:paraId="4DD09BFE" w14:textId="77777777" w:rsidR="00BE41B8" w:rsidRPr="00510442" w:rsidRDefault="00BE41B8" w:rsidP="003179A4">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b/>
                <w:sz w:val="22"/>
                <w:szCs w:val="22"/>
                <w:lang w:val="hr-HR"/>
              </w:rPr>
              <w:t>Molekularni odgovor</w:t>
            </w:r>
            <w:r w:rsidRPr="00510442">
              <w:rPr>
                <w:rFonts w:ascii="Times New Roman" w:hAnsi="Times New Roman"/>
                <w:color w:val="000000"/>
                <w:sz w:val="22"/>
                <w:szCs w:val="22"/>
                <w:lang w:val="hr-HR"/>
              </w:rPr>
              <w:t xml:space="preserve"> **</w:t>
            </w:r>
          </w:p>
        </w:tc>
        <w:tc>
          <w:tcPr>
            <w:tcW w:w="2693" w:type="dxa"/>
            <w:tcBorders>
              <w:bottom w:val="nil"/>
            </w:tcBorders>
          </w:tcPr>
          <w:p w14:paraId="56FD4F37" w14:textId="77777777" w:rsidR="00BE41B8" w:rsidRPr="00510442" w:rsidRDefault="00BE41B8" w:rsidP="003179A4">
            <w:pPr>
              <w:pStyle w:val="Table"/>
              <w:keepLines w:val="0"/>
              <w:widowControl w:val="0"/>
              <w:spacing w:before="0" w:after="0"/>
              <w:rPr>
                <w:rFonts w:ascii="Times New Roman" w:hAnsi="Times New Roman"/>
                <w:color w:val="000000"/>
                <w:sz w:val="22"/>
                <w:szCs w:val="22"/>
                <w:lang w:val="hr-HR"/>
              </w:rPr>
            </w:pPr>
          </w:p>
        </w:tc>
        <w:tc>
          <w:tcPr>
            <w:tcW w:w="2718" w:type="dxa"/>
            <w:tcBorders>
              <w:bottom w:val="nil"/>
              <w:right w:val="single" w:sz="4" w:space="0" w:color="auto"/>
            </w:tcBorders>
          </w:tcPr>
          <w:p w14:paraId="4ED4D90E" w14:textId="77777777" w:rsidR="00BE41B8" w:rsidRPr="00510442" w:rsidRDefault="00BE41B8" w:rsidP="003179A4">
            <w:pPr>
              <w:pStyle w:val="Table"/>
              <w:keepLines w:val="0"/>
              <w:widowControl w:val="0"/>
              <w:spacing w:before="0" w:after="0"/>
              <w:rPr>
                <w:rFonts w:ascii="Times New Roman" w:hAnsi="Times New Roman"/>
                <w:color w:val="000000"/>
                <w:sz w:val="22"/>
                <w:szCs w:val="22"/>
                <w:lang w:val="hr-HR"/>
              </w:rPr>
            </w:pPr>
          </w:p>
        </w:tc>
      </w:tr>
      <w:tr w:rsidR="00BE41B8" w:rsidRPr="00510442" w14:paraId="05EF99A5" w14:textId="77777777" w:rsidTr="003179A4">
        <w:trPr>
          <w:cantSplit/>
        </w:trPr>
        <w:tc>
          <w:tcPr>
            <w:tcW w:w="3794" w:type="dxa"/>
            <w:tcBorders>
              <w:left w:val="single" w:sz="4" w:space="0" w:color="auto"/>
              <w:bottom w:val="nil"/>
            </w:tcBorders>
          </w:tcPr>
          <w:p w14:paraId="19956CFC" w14:textId="77777777" w:rsidR="00BE41B8" w:rsidRPr="00510442" w:rsidRDefault="00BE41B8" w:rsidP="003179A4">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sz w:val="22"/>
                <w:szCs w:val="22"/>
                <w:lang w:val="hr-HR"/>
              </w:rPr>
              <w:t xml:space="preserve">Veliki odgovor nakon </w:t>
            </w:r>
            <w:r w:rsidRPr="00510442">
              <w:rPr>
                <w:rFonts w:ascii="Times New Roman" w:hAnsi="Times New Roman"/>
                <w:color w:val="000000"/>
                <w:sz w:val="22"/>
                <w:szCs w:val="22"/>
                <w:lang w:val="hr-HR"/>
              </w:rPr>
              <w:t>12 mjeseci (%)</w:t>
            </w:r>
          </w:p>
        </w:tc>
        <w:tc>
          <w:tcPr>
            <w:tcW w:w="2693" w:type="dxa"/>
            <w:tcBorders>
              <w:bottom w:val="nil"/>
            </w:tcBorders>
          </w:tcPr>
          <w:p w14:paraId="1482C83B" w14:textId="77777777" w:rsidR="00BE41B8" w:rsidRPr="00510442" w:rsidRDefault="00BE41B8" w:rsidP="003179A4">
            <w:pPr>
              <w:pStyle w:val="Table"/>
              <w:keepLines w:val="0"/>
              <w:widowControl w:val="0"/>
              <w:spacing w:before="0" w:after="0"/>
              <w:jc w:val="center"/>
              <w:rPr>
                <w:rFonts w:ascii="Times New Roman" w:hAnsi="Times New Roman"/>
                <w:color w:val="000000"/>
                <w:sz w:val="22"/>
                <w:szCs w:val="22"/>
                <w:lang w:val="hr-HR"/>
              </w:rPr>
            </w:pPr>
            <w:r w:rsidRPr="00510442">
              <w:rPr>
                <w:rFonts w:ascii="Times New Roman" w:hAnsi="Times New Roman"/>
                <w:color w:val="000000"/>
                <w:sz w:val="22"/>
                <w:szCs w:val="22"/>
                <w:lang w:val="hr-HR"/>
              </w:rPr>
              <w:t>153/305=50,2%</w:t>
            </w:r>
          </w:p>
        </w:tc>
        <w:tc>
          <w:tcPr>
            <w:tcW w:w="2718" w:type="dxa"/>
            <w:tcBorders>
              <w:bottom w:val="nil"/>
              <w:right w:val="single" w:sz="4" w:space="0" w:color="auto"/>
            </w:tcBorders>
          </w:tcPr>
          <w:p w14:paraId="78483A40" w14:textId="77777777" w:rsidR="00BE41B8" w:rsidRPr="00510442" w:rsidRDefault="00BE41B8" w:rsidP="003179A4">
            <w:pPr>
              <w:pStyle w:val="Table"/>
              <w:keepLines w:val="0"/>
              <w:widowControl w:val="0"/>
              <w:spacing w:before="0" w:after="0"/>
              <w:jc w:val="center"/>
              <w:rPr>
                <w:rFonts w:ascii="Times New Roman" w:hAnsi="Times New Roman"/>
                <w:color w:val="000000"/>
                <w:sz w:val="22"/>
                <w:szCs w:val="22"/>
                <w:lang w:val="hr-HR"/>
              </w:rPr>
            </w:pPr>
            <w:r w:rsidRPr="00510442">
              <w:rPr>
                <w:rFonts w:ascii="Times New Roman" w:hAnsi="Times New Roman"/>
                <w:color w:val="000000"/>
                <w:sz w:val="22"/>
                <w:szCs w:val="22"/>
                <w:lang w:val="hr-HR"/>
              </w:rPr>
              <w:t>8/83=9,6%</w:t>
            </w:r>
          </w:p>
        </w:tc>
      </w:tr>
      <w:tr w:rsidR="00BE41B8" w:rsidRPr="00510442" w14:paraId="3819CF8B" w14:textId="77777777" w:rsidTr="003179A4">
        <w:trPr>
          <w:cantSplit/>
        </w:trPr>
        <w:tc>
          <w:tcPr>
            <w:tcW w:w="3794" w:type="dxa"/>
            <w:tcBorders>
              <w:left w:val="single" w:sz="4" w:space="0" w:color="auto"/>
              <w:bottom w:val="nil"/>
            </w:tcBorders>
          </w:tcPr>
          <w:p w14:paraId="53E61419" w14:textId="77777777" w:rsidR="00BE41B8" w:rsidRPr="00510442" w:rsidRDefault="00BE41B8" w:rsidP="003179A4">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sz w:val="22"/>
                <w:szCs w:val="22"/>
                <w:lang w:val="hr-HR"/>
              </w:rPr>
              <w:t xml:space="preserve">Veliki odgovor nakon </w:t>
            </w:r>
            <w:r w:rsidRPr="00510442">
              <w:rPr>
                <w:rFonts w:ascii="Times New Roman" w:hAnsi="Times New Roman"/>
                <w:color w:val="000000"/>
                <w:sz w:val="22"/>
                <w:szCs w:val="22"/>
                <w:lang w:val="hr-HR"/>
              </w:rPr>
              <w:t>24 mjeseca (%)</w:t>
            </w:r>
          </w:p>
        </w:tc>
        <w:tc>
          <w:tcPr>
            <w:tcW w:w="2693" w:type="dxa"/>
            <w:tcBorders>
              <w:bottom w:val="nil"/>
            </w:tcBorders>
          </w:tcPr>
          <w:p w14:paraId="3C9DF606" w14:textId="77777777" w:rsidR="00BE41B8" w:rsidRPr="00510442" w:rsidRDefault="00BE41B8" w:rsidP="003179A4">
            <w:pPr>
              <w:pStyle w:val="Table"/>
              <w:keepLines w:val="0"/>
              <w:widowControl w:val="0"/>
              <w:spacing w:before="0" w:after="0"/>
              <w:jc w:val="center"/>
              <w:rPr>
                <w:rFonts w:ascii="Times New Roman" w:hAnsi="Times New Roman"/>
                <w:color w:val="000000"/>
                <w:sz w:val="22"/>
                <w:szCs w:val="22"/>
                <w:lang w:val="hr-HR"/>
              </w:rPr>
            </w:pPr>
            <w:r w:rsidRPr="00510442">
              <w:rPr>
                <w:rFonts w:ascii="Times New Roman" w:hAnsi="Times New Roman"/>
                <w:color w:val="000000"/>
                <w:sz w:val="22"/>
                <w:szCs w:val="22"/>
                <w:lang w:val="hr-HR"/>
              </w:rPr>
              <w:t>73/104=70,2%</w:t>
            </w:r>
          </w:p>
        </w:tc>
        <w:tc>
          <w:tcPr>
            <w:tcW w:w="2718" w:type="dxa"/>
            <w:tcBorders>
              <w:bottom w:val="nil"/>
              <w:right w:val="single" w:sz="4" w:space="0" w:color="auto"/>
            </w:tcBorders>
          </w:tcPr>
          <w:p w14:paraId="12F41016" w14:textId="77777777" w:rsidR="00BE41B8" w:rsidRPr="00510442" w:rsidRDefault="00BE41B8" w:rsidP="003179A4">
            <w:pPr>
              <w:pStyle w:val="Table"/>
              <w:keepLines w:val="0"/>
              <w:widowControl w:val="0"/>
              <w:spacing w:before="0" w:after="0"/>
              <w:jc w:val="center"/>
              <w:rPr>
                <w:rFonts w:ascii="Times New Roman" w:hAnsi="Times New Roman"/>
                <w:color w:val="000000"/>
                <w:sz w:val="22"/>
                <w:szCs w:val="22"/>
                <w:lang w:val="hr-HR"/>
              </w:rPr>
            </w:pPr>
            <w:r w:rsidRPr="00510442">
              <w:rPr>
                <w:rFonts w:ascii="Times New Roman" w:hAnsi="Times New Roman"/>
                <w:color w:val="000000"/>
                <w:sz w:val="22"/>
                <w:szCs w:val="22"/>
                <w:lang w:val="hr-HR"/>
              </w:rPr>
              <w:t>3/12=25%</w:t>
            </w:r>
          </w:p>
        </w:tc>
      </w:tr>
      <w:tr w:rsidR="00BE41B8" w:rsidRPr="00510442" w14:paraId="4180CF09" w14:textId="77777777" w:rsidTr="003179A4">
        <w:trPr>
          <w:cantSplit/>
        </w:trPr>
        <w:tc>
          <w:tcPr>
            <w:tcW w:w="3794" w:type="dxa"/>
            <w:tcBorders>
              <w:left w:val="single" w:sz="4" w:space="0" w:color="auto"/>
              <w:bottom w:val="nil"/>
            </w:tcBorders>
          </w:tcPr>
          <w:p w14:paraId="513BE023" w14:textId="77777777" w:rsidR="00BE41B8" w:rsidRPr="00510442" w:rsidRDefault="00BE41B8" w:rsidP="003179A4">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sz w:val="22"/>
                <w:szCs w:val="22"/>
                <w:lang w:val="hr-HR"/>
              </w:rPr>
              <w:t xml:space="preserve">Veliki odgovor nakon </w:t>
            </w:r>
            <w:r w:rsidRPr="00510442">
              <w:rPr>
                <w:rFonts w:ascii="Times New Roman" w:hAnsi="Times New Roman"/>
                <w:color w:val="000000"/>
                <w:sz w:val="22"/>
                <w:szCs w:val="22"/>
                <w:lang w:val="hr-HR"/>
              </w:rPr>
              <w:t>84 mjeseca (%)</w:t>
            </w:r>
          </w:p>
        </w:tc>
        <w:tc>
          <w:tcPr>
            <w:tcW w:w="2693" w:type="dxa"/>
            <w:tcBorders>
              <w:bottom w:val="nil"/>
            </w:tcBorders>
          </w:tcPr>
          <w:p w14:paraId="011273FD" w14:textId="77777777" w:rsidR="00BE41B8" w:rsidRPr="00510442" w:rsidRDefault="00BE41B8" w:rsidP="003179A4">
            <w:pPr>
              <w:pStyle w:val="Table"/>
              <w:keepLines w:val="0"/>
              <w:widowControl w:val="0"/>
              <w:spacing w:before="0" w:after="0"/>
              <w:jc w:val="center"/>
              <w:rPr>
                <w:rFonts w:ascii="Times New Roman" w:hAnsi="Times New Roman"/>
                <w:color w:val="000000"/>
                <w:sz w:val="22"/>
                <w:szCs w:val="22"/>
                <w:lang w:val="hr-HR"/>
              </w:rPr>
            </w:pPr>
            <w:r w:rsidRPr="00510442">
              <w:rPr>
                <w:rFonts w:ascii="Times New Roman" w:hAnsi="Times New Roman"/>
                <w:color w:val="000000"/>
                <w:sz w:val="22"/>
                <w:szCs w:val="22"/>
                <w:lang w:val="hr-HR"/>
              </w:rPr>
              <w:t>102/116=87,9%</w:t>
            </w:r>
          </w:p>
        </w:tc>
        <w:tc>
          <w:tcPr>
            <w:tcW w:w="2718" w:type="dxa"/>
            <w:tcBorders>
              <w:bottom w:val="nil"/>
              <w:right w:val="single" w:sz="4" w:space="0" w:color="auto"/>
            </w:tcBorders>
          </w:tcPr>
          <w:p w14:paraId="3BF85926" w14:textId="77777777" w:rsidR="00BE41B8" w:rsidRPr="00510442" w:rsidRDefault="00BE41B8" w:rsidP="003179A4">
            <w:pPr>
              <w:pStyle w:val="Table"/>
              <w:keepLines w:val="0"/>
              <w:widowControl w:val="0"/>
              <w:spacing w:before="0" w:after="0"/>
              <w:jc w:val="center"/>
              <w:rPr>
                <w:rFonts w:ascii="Times New Roman" w:hAnsi="Times New Roman"/>
                <w:color w:val="000000"/>
                <w:sz w:val="22"/>
                <w:szCs w:val="22"/>
                <w:lang w:val="hr-HR"/>
              </w:rPr>
            </w:pPr>
            <w:r w:rsidRPr="00510442">
              <w:rPr>
                <w:rFonts w:ascii="Times New Roman" w:hAnsi="Times New Roman"/>
                <w:color w:val="000000"/>
                <w:sz w:val="22"/>
                <w:szCs w:val="22"/>
                <w:lang w:val="hr-HR"/>
              </w:rPr>
              <w:t>3/4=75%</w:t>
            </w:r>
          </w:p>
        </w:tc>
      </w:tr>
      <w:tr w:rsidR="00BE41B8" w:rsidRPr="00F410C8" w14:paraId="6658A0A4" w14:textId="77777777" w:rsidTr="003179A4">
        <w:trPr>
          <w:cantSplit/>
        </w:trPr>
        <w:tc>
          <w:tcPr>
            <w:tcW w:w="9205" w:type="dxa"/>
            <w:gridSpan w:val="3"/>
            <w:tcBorders>
              <w:top w:val="single" w:sz="4" w:space="0" w:color="auto"/>
              <w:left w:val="single" w:sz="4" w:space="0" w:color="auto"/>
              <w:bottom w:val="single" w:sz="4" w:space="0" w:color="auto"/>
              <w:right w:val="single" w:sz="4" w:space="0" w:color="auto"/>
            </w:tcBorders>
          </w:tcPr>
          <w:p w14:paraId="05937579" w14:textId="77777777" w:rsidR="00BE41B8" w:rsidRPr="00510442" w:rsidRDefault="00BE41B8" w:rsidP="00C210A6">
            <w:pPr>
              <w:pStyle w:val="Table"/>
              <w:keepNext w:val="0"/>
              <w:keepLines w:val="0"/>
              <w:widowControl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 xml:space="preserve">* p&lt;0,001, </w:t>
            </w:r>
            <w:r w:rsidRPr="00510442">
              <w:rPr>
                <w:rFonts w:ascii="Times New Roman" w:hAnsi="Times New Roman"/>
                <w:sz w:val="22"/>
                <w:szCs w:val="22"/>
                <w:lang w:val="hr-HR"/>
              </w:rPr>
              <w:t xml:space="preserve">Fischerov egzaktni </w:t>
            </w:r>
            <w:r w:rsidRPr="00510442">
              <w:rPr>
                <w:rFonts w:ascii="Times New Roman" w:hAnsi="Times New Roman"/>
                <w:color w:val="000000"/>
                <w:sz w:val="22"/>
                <w:szCs w:val="22"/>
                <w:lang w:val="hr-HR"/>
              </w:rPr>
              <w:t>test</w:t>
            </w:r>
          </w:p>
          <w:p w14:paraId="050E5756" w14:textId="77777777" w:rsidR="00BE41B8" w:rsidRPr="00510442" w:rsidRDefault="00BE41B8" w:rsidP="00C210A6">
            <w:pPr>
              <w:pStyle w:val="Table"/>
              <w:keepNext w:val="0"/>
              <w:keepLines w:val="0"/>
              <w:widowControl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 xml:space="preserve">** </w:t>
            </w:r>
            <w:r w:rsidRPr="00510442">
              <w:rPr>
                <w:rFonts w:ascii="Times New Roman" w:hAnsi="Times New Roman"/>
                <w:sz w:val="22"/>
                <w:szCs w:val="22"/>
                <w:lang w:val="hr-HR"/>
              </w:rPr>
              <w:t>postotci molekularnog odgovora se temelje na dostupnim uzorcima</w:t>
            </w:r>
          </w:p>
          <w:p w14:paraId="12393073" w14:textId="77777777" w:rsidR="00BE41B8" w:rsidRPr="00510442" w:rsidRDefault="00BE41B8" w:rsidP="00C210A6">
            <w:pPr>
              <w:spacing w:line="240" w:lineRule="auto"/>
              <w:rPr>
                <w:b/>
                <w:szCs w:val="22"/>
                <w:lang w:val="hr-HR"/>
              </w:rPr>
            </w:pPr>
            <w:r w:rsidRPr="00510442">
              <w:rPr>
                <w:b/>
                <w:szCs w:val="22"/>
                <w:lang w:val="hr-HR"/>
              </w:rPr>
              <w:t>Kriteriji hematološkog odgovora (svi se odgovori moraju potvrditi nakon ≥4</w:t>
            </w:r>
            <w:r w:rsidRPr="00510442">
              <w:rPr>
                <w:b/>
                <w:color w:val="000000"/>
                <w:szCs w:val="22"/>
                <w:lang w:val="hr-HR"/>
              </w:rPr>
              <w:t> </w:t>
            </w:r>
            <w:r w:rsidRPr="00510442">
              <w:rPr>
                <w:b/>
                <w:szCs w:val="22"/>
                <w:lang w:val="hr-HR"/>
              </w:rPr>
              <w:t>tjedna):</w:t>
            </w:r>
          </w:p>
          <w:p w14:paraId="370453B7" w14:textId="77777777" w:rsidR="00BE41B8" w:rsidRPr="00510442" w:rsidRDefault="00BE41B8" w:rsidP="00C210A6">
            <w:pPr>
              <w:spacing w:line="240" w:lineRule="auto"/>
              <w:rPr>
                <w:szCs w:val="22"/>
                <w:lang w:val="hr-HR"/>
              </w:rPr>
            </w:pPr>
            <w:r w:rsidRPr="00510442">
              <w:rPr>
                <w:szCs w:val="22"/>
                <w:lang w:val="hr-HR"/>
              </w:rPr>
              <w:t>WBC &lt;10</w:t>
            </w:r>
            <w:r w:rsidRPr="00510442">
              <w:rPr>
                <w:b/>
                <w:color w:val="000000"/>
                <w:szCs w:val="22"/>
                <w:lang w:val="hr-HR"/>
              </w:rPr>
              <w:t> </w:t>
            </w:r>
            <w:r w:rsidRPr="00510442">
              <w:rPr>
                <w:szCs w:val="22"/>
                <w:lang w:val="hr-HR"/>
              </w:rPr>
              <w:t>x</w:t>
            </w:r>
            <w:r w:rsidRPr="00510442">
              <w:rPr>
                <w:b/>
                <w:color w:val="000000"/>
                <w:szCs w:val="22"/>
                <w:lang w:val="hr-HR"/>
              </w:rPr>
              <w:t> </w:t>
            </w:r>
            <w:r w:rsidRPr="00510442">
              <w:rPr>
                <w:szCs w:val="22"/>
                <w:lang w:val="hr-HR"/>
              </w:rPr>
              <w:t>10</w:t>
            </w:r>
            <w:r w:rsidRPr="00510442">
              <w:rPr>
                <w:szCs w:val="22"/>
                <w:vertAlign w:val="superscript"/>
                <w:lang w:val="hr-HR"/>
              </w:rPr>
              <w:t>9</w:t>
            </w:r>
            <w:r w:rsidRPr="00510442">
              <w:rPr>
                <w:szCs w:val="22"/>
                <w:lang w:val="hr-HR"/>
              </w:rPr>
              <w:t>/l, trombociti &lt;450</w:t>
            </w:r>
            <w:r w:rsidRPr="00510442">
              <w:rPr>
                <w:b/>
                <w:color w:val="000000"/>
                <w:szCs w:val="22"/>
                <w:lang w:val="hr-HR"/>
              </w:rPr>
              <w:t> </w:t>
            </w:r>
            <w:r w:rsidRPr="00510442">
              <w:rPr>
                <w:szCs w:val="22"/>
                <w:lang w:val="hr-HR"/>
              </w:rPr>
              <w:t>x</w:t>
            </w:r>
            <w:r w:rsidRPr="00510442">
              <w:rPr>
                <w:b/>
                <w:color w:val="000000"/>
                <w:szCs w:val="22"/>
                <w:lang w:val="hr-HR"/>
              </w:rPr>
              <w:t> </w:t>
            </w:r>
            <w:r w:rsidRPr="00510442">
              <w:rPr>
                <w:szCs w:val="22"/>
                <w:lang w:val="hr-HR"/>
              </w:rPr>
              <w:t>10</w:t>
            </w:r>
            <w:r w:rsidRPr="00510442">
              <w:rPr>
                <w:szCs w:val="22"/>
                <w:vertAlign w:val="superscript"/>
                <w:lang w:val="hr-HR"/>
              </w:rPr>
              <w:t>9</w:t>
            </w:r>
            <w:r w:rsidRPr="00510442">
              <w:rPr>
                <w:szCs w:val="22"/>
                <w:lang w:val="hr-HR"/>
              </w:rPr>
              <w:t>/l, mijelociti+metamijelociti &lt;5% u krvi, nema blasta i promijelocita u krvi, bazofili &lt;</w:t>
            </w:r>
            <w:r w:rsidRPr="00510442">
              <w:rPr>
                <w:b/>
                <w:color w:val="000000"/>
                <w:szCs w:val="22"/>
                <w:lang w:val="hr-HR"/>
              </w:rPr>
              <w:t> </w:t>
            </w:r>
            <w:r w:rsidRPr="00510442">
              <w:rPr>
                <w:szCs w:val="22"/>
                <w:lang w:val="hr-HR"/>
              </w:rPr>
              <w:t>20%, nema ekstramedularne zahvaćenosti</w:t>
            </w:r>
          </w:p>
          <w:p w14:paraId="3C0C6634" w14:textId="77777777" w:rsidR="00BE41B8" w:rsidRPr="00510442" w:rsidRDefault="00BE41B8" w:rsidP="00C210A6">
            <w:pPr>
              <w:spacing w:line="240" w:lineRule="auto"/>
              <w:rPr>
                <w:szCs w:val="22"/>
                <w:lang w:val="hr-HR"/>
              </w:rPr>
            </w:pPr>
            <w:r w:rsidRPr="00510442">
              <w:rPr>
                <w:b/>
                <w:szCs w:val="22"/>
                <w:lang w:val="hr-HR"/>
              </w:rPr>
              <w:t>Kriteriji citogenetskog odgovora</w:t>
            </w:r>
            <w:r w:rsidRPr="00510442">
              <w:rPr>
                <w:szCs w:val="22"/>
                <w:lang w:val="hr-HR"/>
              </w:rPr>
              <w:t>: potpun (0% Ph+ metafaza), djelomičan (1</w:t>
            </w:r>
            <w:r w:rsidRPr="00510442">
              <w:rPr>
                <w:color w:val="000000"/>
                <w:szCs w:val="22"/>
                <w:lang w:val="hr-HR"/>
              </w:rPr>
              <w:noBreakHyphen/>
            </w:r>
            <w:r w:rsidRPr="00510442">
              <w:rPr>
                <w:szCs w:val="22"/>
                <w:lang w:val="hr-HR"/>
              </w:rPr>
              <w:t>35%), manji (36</w:t>
            </w:r>
            <w:r w:rsidRPr="00510442">
              <w:rPr>
                <w:color w:val="000000"/>
                <w:szCs w:val="22"/>
                <w:lang w:val="hr-HR"/>
              </w:rPr>
              <w:noBreakHyphen/>
            </w:r>
            <w:r w:rsidRPr="00510442">
              <w:rPr>
                <w:szCs w:val="22"/>
                <w:lang w:val="hr-HR"/>
              </w:rPr>
              <w:t>65%) ili minimalan (66</w:t>
            </w:r>
            <w:r w:rsidRPr="00510442">
              <w:rPr>
                <w:color w:val="000000"/>
                <w:szCs w:val="22"/>
                <w:lang w:val="hr-HR"/>
              </w:rPr>
              <w:noBreakHyphen/>
            </w:r>
            <w:r w:rsidRPr="00510442">
              <w:rPr>
                <w:szCs w:val="22"/>
                <w:lang w:val="hr-HR"/>
              </w:rPr>
              <w:t>95%). Veliki odgovor (0</w:t>
            </w:r>
            <w:r w:rsidRPr="00510442">
              <w:rPr>
                <w:color w:val="000000"/>
                <w:szCs w:val="22"/>
                <w:lang w:val="hr-HR"/>
              </w:rPr>
              <w:noBreakHyphen/>
            </w:r>
            <w:r w:rsidRPr="00510442">
              <w:rPr>
                <w:szCs w:val="22"/>
                <w:lang w:val="hr-HR"/>
              </w:rPr>
              <w:t>35%) je kombinacija potpunih i djelomičnih odgovora.</w:t>
            </w:r>
          </w:p>
          <w:p w14:paraId="42B9A0BF" w14:textId="77777777" w:rsidR="00BE41B8" w:rsidRPr="00510442" w:rsidRDefault="00BE41B8" w:rsidP="00C210A6">
            <w:pPr>
              <w:pStyle w:val="Table"/>
              <w:keepNext w:val="0"/>
              <w:keepLines w:val="0"/>
              <w:widowControl w:val="0"/>
              <w:spacing w:before="0" w:after="0"/>
              <w:rPr>
                <w:rFonts w:ascii="Times New Roman" w:hAnsi="Times New Roman"/>
                <w:sz w:val="22"/>
                <w:szCs w:val="22"/>
                <w:lang w:val="hr-HR"/>
              </w:rPr>
            </w:pPr>
            <w:r w:rsidRPr="00510442">
              <w:rPr>
                <w:rFonts w:ascii="Times New Roman" w:hAnsi="Times New Roman"/>
                <w:b/>
                <w:sz w:val="22"/>
                <w:szCs w:val="22"/>
                <w:lang w:val="hr-HR"/>
              </w:rPr>
              <w:t>Kriteriji velikog molekularnog odgovora</w:t>
            </w:r>
            <w:r w:rsidRPr="00510442">
              <w:rPr>
                <w:rFonts w:ascii="Times New Roman" w:hAnsi="Times New Roman"/>
                <w:sz w:val="22"/>
                <w:szCs w:val="22"/>
                <w:lang w:val="hr-HR"/>
              </w:rPr>
              <w:t>: u perifernoj krvi, sniženje ≥3</w:t>
            </w:r>
            <w:r w:rsidRPr="00510442">
              <w:rPr>
                <w:rFonts w:ascii="Times New Roman" w:hAnsi="Times New Roman"/>
                <w:color w:val="000000"/>
                <w:sz w:val="22"/>
                <w:szCs w:val="22"/>
                <w:lang w:val="hr-HR"/>
              </w:rPr>
              <w:t> </w:t>
            </w:r>
            <w:r w:rsidRPr="00510442">
              <w:rPr>
                <w:rFonts w:ascii="Times New Roman" w:hAnsi="Times New Roman"/>
                <w:sz w:val="22"/>
                <w:szCs w:val="22"/>
                <w:lang w:val="hr-HR"/>
              </w:rPr>
              <w:t xml:space="preserve">logaritma u količini Bcr-Abl transkripcija (mjereno kvantitativnom real-time </w:t>
            </w:r>
            <w:smartTag w:uri="urn:schemas-microsoft-com:office:smarttags" w:element="stockticker">
              <w:r w:rsidRPr="00510442">
                <w:rPr>
                  <w:rFonts w:ascii="Times New Roman" w:hAnsi="Times New Roman"/>
                  <w:sz w:val="22"/>
                  <w:szCs w:val="22"/>
                  <w:lang w:val="hr-HR"/>
                </w:rPr>
                <w:t>PCR</w:t>
              </w:r>
            </w:smartTag>
            <w:r w:rsidRPr="00510442">
              <w:rPr>
                <w:rFonts w:ascii="Times New Roman" w:hAnsi="Times New Roman"/>
                <w:sz w:val="22"/>
                <w:szCs w:val="22"/>
                <w:lang w:val="hr-HR"/>
              </w:rPr>
              <w:t xml:space="preserve"> metodom pomoću reverzne transkriptaze) u odnosu na standardiziranu osnovnu vrijednost.</w:t>
            </w:r>
          </w:p>
        </w:tc>
      </w:tr>
    </w:tbl>
    <w:p w14:paraId="7117AAF0" w14:textId="77777777" w:rsidR="00BE41B8" w:rsidRPr="00510442" w:rsidRDefault="00BE41B8" w:rsidP="00BE41B8">
      <w:pPr>
        <w:pStyle w:val="EndnoteText"/>
        <w:widowControl w:val="0"/>
        <w:rPr>
          <w:color w:val="000000"/>
          <w:szCs w:val="22"/>
          <w:lang w:val="hr-HR"/>
        </w:rPr>
      </w:pPr>
    </w:p>
    <w:p w14:paraId="3405A097" w14:textId="77A608AE" w:rsidR="00BE41B8" w:rsidRPr="00510442" w:rsidRDefault="00BE41B8" w:rsidP="00BE41B8">
      <w:pPr>
        <w:pStyle w:val="EndnoteText"/>
        <w:rPr>
          <w:szCs w:val="22"/>
          <w:lang w:val="hr-HR"/>
        </w:rPr>
      </w:pPr>
      <w:r w:rsidRPr="00510442">
        <w:rPr>
          <w:szCs w:val="22"/>
          <w:lang w:val="hr-HR"/>
        </w:rPr>
        <w:t xml:space="preserve">Stope potpunog hematološkog odgovora, velikog citogenetskog odgovora (MCyR) i potpunog citogenetskog odgovora (CCyR) za prvu liniju liječenja procijenjene su korištenjem Kaplan-Meierovog pristupa, pri čemu su izostanci odgovora izostavljeni kod datuma zadnjeg pregleda. Korištenjem tog pristupa, procijenjene kumulativne stope odgovora za prvu liniju liječenja </w:t>
      </w:r>
      <w:r w:rsidR="00B27A2B">
        <w:rPr>
          <w:szCs w:val="22"/>
          <w:lang w:val="hr-HR"/>
        </w:rPr>
        <w:t xml:space="preserve">lijekom </w:t>
      </w:r>
      <w:r w:rsidRPr="00510442">
        <w:rPr>
          <w:szCs w:val="22"/>
          <w:lang w:val="hr-HR"/>
        </w:rPr>
        <w:t>Glivec su se poboljšale od 12</w:t>
      </w:r>
      <w:r w:rsidRPr="00510442">
        <w:rPr>
          <w:color w:val="000000"/>
          <w:szCs w:val="22"/>
          <w:lang w:val="hr-HR"/>
        </w:rPr>
        <w:t> </w:t>
      </w:r>
      <w:r w:rsidRPr="00510442">
        <w:rPr>
          <w:szCs w:val="22"/>
          <w:lang w:val="hr-HR"/>
        </w:rPr>
        <w:t>mjeseci do 84</w:t>
      </w:r>
      <w:r w:rsidRPr="00510442">
        <w:rPr>
          <w:color w:val="000000"/>
          <w:szCs w:val="22"/>
          <w:lang w:val="hr-HR"/>
        </w:rPr>
        <w:t> </w:t>
      </w:r>
      <w:r w:rsidRPr="00510442">
        <w:rPr>
          <w:szCs w:val="22"/>
          <w:lang w:val="hr-HR"/>
        </w:rPr>
        <w:t xml:space="preserve">mjeseca terapije kako slijedi: </w:t>
      </w:r>
      <w:smartTag w:uri="urn:schemas-microsoft-com:office:smarttags" w:element="stockticker">
        <w:r w:rsidRPr="00510442">
          <w:rPr>
            <w:szCs w:val="22"/>
            <w:lang w:val="hr-HR"/>
          </w:rPr>
          <w:t>CHR</w:t>
        </w:r>
      </w:smartTag>
      <w:r w:rsidRPr="00510442">
        <w:rPr>
          <w:szCs w:val="22"/>
          <w:lang w:val="hr-HR"/>
        </w:rPr>
        <w:t xml:space="preserve"> od 96,4% do 98,4% i CCyR od 69,5% do 87,2%.</w:t>
      </w:r>
    </w:p>
    <w:p w14:paraId="56EE8DCE" w14:textId="77777777" w:rsidR="00BE41B8" w:rsidRPr="00510442" w:rsidRDefault="00BE41B8" w:rsidP="00BE41B8">
      <w:pPr>
        <w:pStyle w:val="EndnoteText"/>
        <w:rPr>
          <w:color w:val="000000"/>
          <w:szCs w:val="22"/>
          <w:lang w:val="hr-HR"/>
        </w:rPr>
      </w:pPr>
    </w:p>
    <w:p w14:paraId="18C30695" w14:textId="77777777" w:rsidR="00BE41B8" w:rsidRPr="00510442" w:rsidRDefault="00BE41B8" w:rsidP="00BE41B8">
      <w:pPr>
        <w:spacing w:line="240" w:lineRule="auto"/>
        <w:rPr>
          <w:szCs w:val="22"/>
          <w:lang w:val="hr-HR"/>
        </w:rPr>
      </w:pPr>
      <w:r w:rsidRPr="00510442">
        <w:rPr>
          <w:szCs w:val="22"/>
          <w:lang w:val="hr-HR"/>
        </w:rPr>
        <w:t>Nakon 7</w:t>
      </w:r>
      <w:r w:rsidRPr="00510442">
        <w:rPr>
          <w:color w:val="000000"/>
          <w:szCs w:val="22"/>
          <w:lang w:val="hr-HR"/>
        </w:rPr>
        <w:t> </w:t>
      </w:r>
      <w:r w:rsidRPr="00510442">
        <w:rPr>
          <w:szCs w:val="22"/>
          <w:lang w:val="hr-HR"/>
        </w:rPr>
        <w:t>godina praćenja, u Glivec kraku bilo je 93 (16,8%) događaja progresije: 37 (6,7%) je uključivalo progresiju u ubrzanu fazu/blastičnu krizu, 31 (5,6%) gubitak MCyR-a, 15 (2,7%) gubitak CHR-a ili povećanje WBC-a i 10 (1,8%) smrtnih slučajeva nevezanih uz KML. S druge strane, u INF+Ara-C kraku bilo je 165 (29,8%) događaja, od kojih se 130</w:t>
      </w:r>
      <w:r w:rsidRPr="00510442">
        <w:rPr>
          <w:color w:val="000000"/>
          <w:szCs w:val="22"/>
          <w:lang w:val="hr-HR"/>
        </w:rPr>
        <w:t> </w:t>
      </w:r>
      <w:r w:rsidRPr="00510442">
        <w:rPr>
          <w:szCs w:val="22"/>
          <w:lang w:val="hr-HR"/>
        </w:rPr>
        <w:t>javilo tijekom prve linije liječenja INF+Ara-C-om.</w:t>
      </w:r>
    </w:p>
    <w:p w14:paraId="0CE04771" w14:textId="77777777" w:rsidR="00BE41B8" w:rsidRPr="00510442" w:rsidRDefault="00BE41B8" w:rsidP="00BE41B8">
      <w:pPr>
        <w:pStyle w:val="EndnoteText"/>
        <w:widowControl w:val="0"/>
        <w:rPr>
          <w:color w:val="000000"/>
          <w:szCs w:val="22"/>
          <w:lang w:val="hr-HR"/>
        </w:rPr>
      </w:pPr>
    </w:p>
    <w:p w14:paraId="13216E34" w14:textId="37A7EE27" w:rsidR="00BE41B8" w:rsidRPr="00510442" w:rsidRDefault="00BE41B8" w:rsidP="00BE41B8">
      <w:pPr>
        <w:spacing w:line="240" w:lineRule="auto"/>
        <w:rPr>
          <w:szCs w:val="22"/>
          <w:lang w:val="hr-HR"/>
        </w:rPr>
      </w:pPr>
      <w:r w:rsidRPr="00510442">
        <w:rPr>
          <w:szCs w:val="22"/>
          <w:lang w:val="hr-HR"/>
        </w:rPr>
        <w:t>Procijenjena stopa bolesnika bez progresije u ubrzanu fazu ili blastičnu krizu nakon 84</w:t>
      </w:r>
      <w:r w:rsidRPr="00510442">
        <w:rPr>
          <w:color w:val="000000"/>
          <w:szCs w:val="22"/>
          <w:lang w:val="hr-HR"/>
        </w:rPr>
        <w:t> </w:t>
      </w:r>
      <w:r w:rsidRPr="00510442">
        <w:rPr>
          <w:szCs w:val="22"/>
          <w:lang w:val="hr-HR"/>
        </w:rPr>
        <w:t xml:space="preserve">mjeseca bila je značajno viša u Glivec kraku u usporedbi s IFN krakom (92,5% prema 85,1%, p&lt;0,001). Godišnja stopa progresije u ubrzanu fazu ili blastičnu krizu smanjivala se s vremenom trajanja terapije, i bila je manja od 1% godišnje u četvrtoj i petoj godini. Procijenjena stopa preživljenja bez progresije nakon </w:t>
      </w:r>
      <w:r w:rsidRPr="00510442">
        <w:rPr>
          <w:szCs w:val="22"/>
          <w:lang w:val="hr-HR"/>
        </w:rPr>
        <w:lastRenderedPageBreak/>
        <w:t>84</w:t>
      </w:r>
      <w:r w:rsidRPr="00510442">
        <w:rPr>
          <w:color w:val="000000"/>
          <w:szCs w:val="22"/>
          <w:lang w:val="hr-HR"/>
        </w:rPr>
        <w:t> </w:t>
      </w:r>
      <w:r w:rsidRPr="00510442">
        <w:rPr>
          <w:szCs w:val="22"/>
          <w:lang w:val="hr-HR"/>
        </w:rPr>
        <w:t xml:space="preserve">mjeseca bila je 81,2% u Glivec kraku i 60,6% u kontrolnom kraku (p&lt;0,001%). Kod </w:t>
      </w:r>
      <w:r w:rsidR="004007D1" w:rsidRPr="00512481">
        <w:rPr>
          <w:szCs w:val="22"/>
          <w:lang w:val="hr-HR"/>
        </w:rPr>
        <w:t xml:space="preserve">lijeka </w:t>
      </w:r>
      <w:r w:rsidRPr="00510442">
        <w:rPr>
          <w:szCs w:val="22"/>
          <w:lang w:val="hr-HR"/>
        </w:rPr>
        <w:t>Glivec su se godišnje stope progresije bilo koje vrste također smanjivale s vremenom.</w:t>
      </w:r>
    </w:p>
    <w:p w14:paraId="048D848E" w14:textId="77777777" w:rsidR="00BE41B8" w:rsidRPr="00510442" w:rsidRDefault="00BE41B8" w:rsidP="00BE41B8">
      <w:pPr>
        <w:pStyle w:val="EndnoteText"/>
        <w:rPr>
          <w:color w:val="000000"/>
          <w:szCs w:val="22"/>
          <w:lang w:val="hr-HR"/>
        </w:rPr>
      </w:pPr>
    </w:p>
    <w:p w14:paraId="4422EFE3" w14:textId="6E07548F" w:rsidR="00BE41B8" w:rsidRPr="00510442" w:rsidRDefault="00BE41B8" w:rsidP="00BE41B8">
      <w:pPr>
        <w:spacing w:line="240" w:lineRule="auto"/>
        <w:rPr>
          <w:szCs w:val="22"/>
          <w:lang w:val="hr-HR"/>
        </w:rPr>
      </w:pPr>
      <w:r w:rsidRPr="00510442">
        <w:rPr>
          <w:szCs w:val="22"/>
          <w:lang w:val="hr-HR"/>
        </w:rPr>
        <w:t>Ukupno je umro 71 (12,8%) bolesnik iz Glivec skupine i 85 (15,4%) bolesnika iz INF+Ara-C skupine. Nakon 84</w:t>
      </w:r>
      <w:r w:rsidRPr="00510442">
        <w:rPr>
          <w:color w:val="000000"/>
          <w:szCs w:val="22"/>
          <w:lang w:val="hr-HR"/>
        </w:rPr>
        <w:t> </w:t>
      </w:r>
      <w:r w:rsidRPr="00510442">
        <w:rPr>
          <w:szCs w:val="22"/>
          <w:lang w:val="hr-HR"/>
        </w:rPr>
        <w:t xml:space="preserve">mjeseca, procijenjeno ukupno preživljenje iznosi 86,4% (83, 90) u odnosu na 83,3% (80, 87) u randomiziranoj Glivec, odnosno INF+Ara-C skupini (p=0,073, log-rang test). Na to vrijeme-do-događaja kao cilj ispitivanja je snažno utjecala visoka stopa prelazaka sa INF+Ara-C na Glivec. Učinak liječenja </w:t>
      </w:r>
      <w:r w:rsidR="00B27A2B">
        <w:rPr>
          <w:szCs w:val="22"/>
          <w:lang w:val="hr-HR"/>
        </w:rPr>
        <w:t xml:space="preserve">lijekom </w:t>
      </w:r>
      <w:r w:rsidRPr="00510442">
        <w:rPr>
          <w:szCs w:val="22"/>
          <w:lang w:val="hr-HR"/>
        </w:rPr>
        <w:t xml:space="preserve">Glivec na preživljenje u kroničnoj fazi novodijagnosticiranog KML-a je dodatno ispitivan u retrospektivnoj analizi gore navedenih Glivec podataka uz primarne podatke iz drugog ispitivanja faze III u kojem je primjenjivan INF+Ara-C (n=325) u identičnom režimu. U toj retrospektivnoj analizi pokazana je superiornost </w:t>
      </w:r>
      <w:r w:rsidR="004007D1" w:rsidRPr="00512481">
        <w:rPr>
          <w:szCs w:val="22"/>
          <w:lang w:val="hr-HR"/>
        </w:rPr>
        <w:t xml:space="preserve">lijeka </w:t>
      </w:r>
      <w:r w:rsidRPr="00510442">
        <w:rPr>
          <w:szCs w:val="22"/>
          <w:lang w:val="hr-HR"/>
        </w:rPr>
        <w:t>Glivec nad INF+Ara-C-om u ukupnom preživljenju (p&lt;0,001); unutar 42</w:t>
      </w:r>
      <w:r w:rsidRPr="00510442">
        <w:rPr>
          <w:color w:val="000000"/>
          <w:szCs w:val="22"/>
          <w:lang w:val="hr-HR"/>
        </w:rPr>
        <w:t> </w:t>
      </w:r>
      <w:r w:rsidRPr="00510442">
        <w:rPr>
          <w:szCs w:val="22"/>
          <w:lang w:val="hr-HR"/>
        </w:rPr>
        <w:t>mjeseca, umrlo je 47 (8,5%) bolesnika na</w:t>
      </w:r>
      <w:r w:rsidR="00561038" w:rsidRPr="00561038">
        <w:rPr>
          <w:szCs w:val="22"/>
          <w:lang w:val="hr-HR"/>
        </w:rPr>
        <w:t xml:space="preserve"> </w:t>
      </w:r>
      <w:r w:rsidR="00561038">
        <w:rPr>
          <w:szCs w:val="22"/>
          <w:lang w:val="hr-HR"/>
        </w:rPr>
        <w:t>lijeku</w:t>
      </w:r>
      <w:r w:rsidRPr="00510442">
        <w:rPr>
          <w:szCs w:val="22"/>
          <w:lang w:val="hr-HR"/>
        </w:rPr>
        <w:t xml:space="preserve"> Glivec i 63 (19,4%) bolesnika na INF+Ara-C-u.</w:t>
      </w:r>
    </w:p>
    <w:p w14:paraId="0B59A911" w14:textId="77777777" w:rsidR="00BE41B8" w:rsidRPr="00510442" w:rsidRDefault="00BE41B8" w:rsidP="00BE41B8">
      <w:pPr>
        <w:pStyle w:val="EndnoteText"/>
        <w:rPr>
          <w:color w:val="000000"/>
          <w:szCs w:val="22"/>
          <w:lang w:val="hr-HR"/>
        </w:rPr>
      </w:pPr>
    </w:p>
    <w:p w14:paraId="09B79D3D" w14:textId="2A43EE68" w:rsidR="00BE41B8" w:rsidRPr="00510442" w:rsidRDefault="00BE41B8" w:rsidP="00BE41B8">
      <w:pPr>
        <w:spacing w:line="240" w:lineRule="auto"/>
        <w:rPr>
          <w:szCs w:val="22"/>
          <w:lang w:val="hr-HR"/>
        </w:rPr>
      </w:pPr>
      <w:r w:rsidRPr="00510442">
        <w:rPr>
          <w:szCs w:val="22"/>
          <w:lang w:val="hr-HR"/>
        </w:rPr>
        <w:t xml:space="preserve">Stupanj citogenetskog odgovora i molekularnog odgovora imao je jasan učinak na dugotrajne ishode u bolesnika na </w:t>
      </w:r>
      <w:r w:rsidR="00561038">
        <w:rPr>
          <w:szCs w:val="22"/>
          <w:lang w:val="hr-HR"/>
        </w:rPr>
        <w:t xml:space="preserve">lijeku </w:t>
      </w:r>
      <w:r w:rsidRPr="00510442">
        <w:rPr>
          <w:szCs w:val="22"/>
          <w:lang w:val="hr-HR"/>
        </w:rPr>
        <w:t>Glivec. Dok je otprilike 96% bolesnika s CCyR-om, odnosno 93% bolesnika s PCyR</w:t>
      </w:r>
      <w:r w:rsidRPr="00510442">
        <w:rPr>
          <w:szCs w:val="22"/>
          <w:lang w:val="hr-HR"/>
        </w:rPr>
        <w:noBreakHyphen/>
        <w:t>om nakon 12</w:t>
      </w:r>
      <w:r w:rsidRPr="00510442">
        <w:rPr>
          <w:color w:val="000000"/>
          <w:szCs w:val="22"/>
          <w:lang w:val="hr-HR"/>
        </w:rPr>
        <w:t> </w:t>
      </w:r>
      <w:r w:rsidRPr="00510442">
        <w:rPr>
          <w:szCs w:val="22"/>
          <w:lang w:val="hr-HR"/>
        </w:rPr>
        <w:t>mjeseci bilo bez progresije u ubrzanu fazu/blastičnu krizu nakon 84</w:t>
      </w:r>
      <w:r w:rsidRPr="00510442">
        <w:rPr>
          <w:color w:val="000000"/>
          <w:szCs w:val="22"/>
          <w:lang w:val="hr-HR"/>
        </w:rPr>
        <w:t> </w:t>
      </w:r>
      <w:r w:rsidRPr="00510442">
        <w:rPr>
          <w:szCs w:val="22"/>
          <w:lang w:val="hr-HR"/>
        </w:rPr>
        <w:t>mjeseca, samo je 81% bolesnika bez MCyR nakon 12</w:t>
      </w:r>
      <w:r w:rsidRPr="00510442">
        <w:rPr>
          <w:color w:val="000000"/>
          <w:szCs w:val="22"/>
          <w:lang w:val="hr-HR"/>
        </w:rPr>
        <w:t> </w:t>
      </w:r>
      <w:r w:rsidRPr="00510442">
        <w:rPr>
          <w:szCs w:val="22"/>
          <w:lang w:val="hr-HR"/>
        </w:rPr>
        <w:t>mjeseci bilo bez progresije u uznapredovali KML nakon 84</w:t>
      </w:r>
      <w:r w:rsidRPr="00510442">
        <w:rPr>
          <w:color w:val="000000"/>
          <w:szCs w:val="22"/>
          <w:lang w:val="hr-HR"/>
        </w:rPr>
        <w:t> </w:t>
      </w:r>
      <w:r w:rsidRPr="00510442">
        <w:rPr>
          <w:szCs w:val="22"/>
          <w:lang w:val="hr-HR"/>
        </w:rPr>
        <w:t>mjeseca (p&lt;0,001 ukupno, p=0,25 između CCyR-a i PCyR-a). Za bolesnike sa smanjenjem Bcr-Abl transkripcija za najmanje 3</w:t>
      </w:r>
      <w:r w:rsidRPr="00510442">
        <w:rPr>
          <w:color w:val="000000"/>
          <w:szCs w:val="22"/>
          <w:lang w:val="hr-HR"/>
        </w:rPr>
        <w:t> </w:t>
      </w:r>
      <w:r w:rsidRPr="00510442">
        <w:rPr>
          <w:szCs w:val="22"/>
          <w:lang w:val="hr-HR"/>
        </w:rPr>
        <w:t>logaritma nakon 12</w:t>
      </w:r>
      <w:r w:rsidRPr="00510442">
        <w:rPr>
          <w:color w:val="000000"/>
          <w:szCs w:val="22"/>
          <w:lang w:val="hr-HR"/>
        </w:rPr>
        <w:t> </w:t>
      </w:r>
      <w:r w:rsidRPr="00510442">
        <w:rPr>
          <w:szCs w:val="22"/>
          <w:lang w:val="hr-HR"/>
        </w:rPr>
        <w:t>mjeseci, vjerojatnost zadržavanja stanja bez progresije u ubrzanu fazu/blastičnu krizu bila je 99% nakon 84</w:t>
      </w:r>
      <w:r w:rsidRPr="00510442">
        <w:rPr>
          <w:color w:val="000000"/>
          <w:szCs w:val="22"/>
          <w:lang w:val="hr-HR"/>
        </w:rPr>
        <w:t> </w:t>
      </w:r>
      <w:r w:rsidRPr="00510442">
        <w:rPr>
          <w:szCs w:val="22"/>
          <w:lang w:val="hr-HR"/>
        </w:rPr>
        <w:t>mjeseca. Slični nalazi su nađeni i na temelju analize pokazatelja nakon 18</w:t>
      </w:r>
      <w:r w:rsidRPr="00510442">
        <w:rPr>
          <w:color w:val="000000"/>
          <w:szCs w:val="22"/>
          <w:lang w:val="hr-HR"/>
        </w:rPr>
        <w:t> </w:t>
      </w:r>
      <w:r w:rsidRPr="00510442">
        <w:rPr>
          <w:szCs w:val="22"/>
          <w:lang w:val="hr-HR"/>
        </w:rPr>
        <w:t>mjeseci.</w:t>
      </w:r>
    </w:p>
    <w:p w14:paraId="6417D924" w14:textId="77777777" w:rsidR="00BE41B8" w:rsidRPr="00510442" w:rsidRDefault="00BE41B8" w:rsidP="00BE41B8">
      <w:pPr>
        <w:spacing w:line="240" w:lineRule="auto"/>
        <w:rPr>
          <w:szCs w:val="22"/>
          <w:lang w:val="hr-HR"/>
        </w:rPr>
      </w:pPr>
    </w:p>
    <w:p w14:paraId="01F22BD3" w14:textId="77777777" w:rsidR="00BE41B8" w:rsidRPr="00510442" w:rsidRDefault="00BE41B8" w:rsidP="00BE41B8">
      <w:pPr>
        <w:spacing w:line="240" w:lineRule="auto"/>
        <w:rPr>
          <w:szCs w:val="22"/>
          <w:lang w:val="hr-HR"/>
        </w:rPr>
      </w:pPr>
      <w:r w:rsidRPr="00510442">
        <w:rPr>
          <w:szCs w:val="22"/>
          <w:lang w:val="hr-HR"/>
        </w:rPr>
        <w:t>U toj studiji, dozvoljena su povišenja doze od 400</w:t>
      </w:r>
      <w:r w:rsidRPr="00510442">
        <w:rPr>
          <w:color w:val="000000"/>
          <w:szCs w:val="22"/>
          <w:lang w:val="hr-HR"/>
        </w:rPr>
        <w:t> </w:t>
      </w:r>
      <w:r w:rsidRPr="00510442">
        <w:rPr>
          <w:szCs w:val="22"/>
          <w:lang w:val="hr-HR"/>
        </w:rPr>
        <w:t>mg na dan na 600</w:t>
      </w:r>
      <w:r w:rsidRPr="00510442">
        <w:rPr>
          <w:color w:val="000000"/>
          <w:szCs w:val="22"/>
          <w:lang w:val="hr-HR"/>
        </w:rPr>
        <w:t> </w:t>
      </w:r>
      <w:r w:rsidRPr="00510442">
        <w:rPr>
          <w:szCs w:val="22"/>
          <w:lang w:val="hr-HR"/>
        </w:rPr>
        <w:t>mg na dan, zatim od 600</w:t>
      </w:r>
      <w:r w:rsidRPr="00510442">
        <w:rPr>
          <w:color w:val="000000"/>
          <w:szCs w:val="22"/>
          <w:lang w:val="hr-HR"/>
        </w:rPr>
        <w:t> </w:t>
      </w:r>
      <w:r w:rsidRPr="00510442">
        <w:rPr>
          <w:szCs w:val="22"/>
          <w:lang w:val="hr-HR"/>
        </w:rPr>
        <w:t>mg na dan na 800</w:t>
      </w:r>
      <w:r w:rsidRPr="00510442">
        <w:rPr>
          <w:color w:val="000000"/>
          <w:szCs w:val="22"/>
          <w:lang w:val="hr-HR"/>
        </w:rPr>
        <w:t> </w:t>
      </w:r>
      <w:r w:rsidRPr="00510442">
        <w:rPr>
          <w:szCs w:val="22"/>
          <w:lang w:val="hr-HR"/>
        </w:rPr>
        <w:t>mg na dan. Nakon 42</w:t>
      </w:r>
      <w:r w:rsidRPr="00510442">
        <w:rPr>
          <w:color w:val="000000"/>
          <w:szCs w:val="22"/>
          <w:lang w:val="hr-HR"/>
        </w:rPr>
        <w:t> </w:t>
      </w:r>
      <w:r w:rsidRPr="00510442">
        <w:rPr>
          <w:szCs w:val="22"/>
          <w:lang w:val="hr-HR"/>
        </w:rPr>
        <w:t>mjeseca praćenja, 11</w:t>
      </w:r>
      <w:r w:rsidRPr="00510442">
        <w:rPr>
          <w:color w:val="000000"/>
          <w:szCs w:val="22"/>
          <w:lang w:val="hr-HR"/>
        </w:rPr>
        <w:t> </w:t>
      </w:r>
      <w:r w:rsidRPr="00510442">
        <w:rPr>
          <w:szCs w:val="22"/>
          <w:lang w:val="hr-HR"/>
        </w:rPr>
        <w:t>bolesnika doživjelo je potvrđeni gubitak (unutar 4</w:t>
      </w:r>
      <w:r w:rsidRPr="00510442">
        <w:rPr>
          <w:color w:val="000000"/>
          <w:szCs w:val="22"/>
          <w:lang w:val="hr-HR"/>
        </w:rPr>
        <w:t> </w:t>
      </w:r>
      <w:r w:rsidRPr="00510442">
        <w:rPr>
          <w:szCs w:val="22"/>
          <w:lang w:val="hr-HR"/>
        </w:rPr>
        <w:t>tjedna) njihovog citogenetskog odgovora. Od tih 11</w:t>
      </w:r>
      <w:r w:rsidRPr="00510442">
        <w:rPr>
          <w:color w:val="000000"/>
          <w:szCs w:val="22"/>
          <w:lang w:val="hr-HR"/>
        </w:rPr>
        <w:t> </w:t>
      </w:r>
      <w:r w:rsidRPr="00510442">
        <w:rPr>
          <w:szCs w:val="22"/>
          <w:lang w:val="hr-HR"/>
        </w:rPr>
        <w:t>bolesnika, 4</w:t>
      </w:r>
      <w:r w:rsidRPr="00510442">
        <w:rPr>
          <w:color w:val="000000"/>
          <w:szCs w:val="22"/>
          <w:lang w:val="hr-HR"/>
        </w:rPr>
        <w:t> </w:t>
      </w:r>
      <w:r w:rsidRPr="00510442">
        <w:rPr>
          <w:szCs w:val="22"/>
          <w:lang w:val="hr-HR"/>
        </w:rPr>
        <w:t>bolesnika su prešla na višu dozu do 800</w:t>
      </w:r>
      <w:r w:rsidRPr="00510442">
        <w:rPr>
          <w:color w:val="000000"/>
          <w:szCs w:val="22"/>
          <w:lang w:val="hr-HR"/>
        </w:rPr>
        <w:t> </w:t>
      </w:r>
      <w:r w:rsidRPr="00510442">
        <w:rPr>
          <w:szCs w:val="22"/>
          <w:lang w:val="hr-HR"/>
        </w:rPr>
        <w:t>mg na dan te ih je dvoje ponovno postiglo citogenetski odgovor (1</w:t>
      </w:r>
      <w:r w:rsidRPr="00510442">
        <w:rPr>
          <w:color w:val="000000"/>
          <w:szCs w:val="22"/>
          <w:lang w:val="hr-HR"/>
        </w:rPr>
        <w:t> </w:t>
      </w:r>
      <w:r w:rsidRPr="00510442">
        <w:rPr>
          <w:szCs w:val="22"/>
          <w:lang w:val="hr-HR"/>
        </w:rPr>
        <w:t>djelomični i 1</w:t>
      </w:r>
      <w:r w:rsidRPr="00510442">
        <w:rPr>
          <w:color w:val="000000"/>
          <w:szCs w:val="22"/>
          <w:lang w:val="hr-HR"/>
        </w:rPr>
        <w:t> </w:t>
      </w:r>
      <w:r w:rsidRPr="00510442">
        <w:rPr>
          <w:szCs w:val="22"/>
          <w:lang w:val="hr-HR"/>
        </w:rPr>
        <w:t>potpuni, a taj je također postigao i molekularni odgovor), dok je od 7</w:t>
      </w:r>
      <w:r w:rsidRPr="00510442">
        <w:rPr>
          <w:color w:val="000000"/>
          <w:szCs w:val="22"/>
          <w:lang w:val="hr-HR"/>
        </w:rPr>
        <w:t> </w:t>
      </w:r>
      <w:r w:rsidRPr="00510442">
        <w:rPr>
          <w:szCs w:val="22"/>
          <w:lang w:val="hr-HR"/>
        </w:rPr>
        <w:t>bolesnika koji nisu prešli na višu dozu samo jedan ponovno postigao potpuni citogenetski odgovor. Postotak nekih nuspojava bio je viši u 40</w:t>
      </w:r>
      <w:r w:rsidRPr="00510442">
        <w:rPr>
          <w:color w:val="000000"/>
          <w:szCs w:val="22"/>
          <w:lang w:val="hr-HR"/>
        </w:rPr>
        <w:t> </w:t>
      </w:r>
      <w:r w:rsidRPr="00510442">
        <w:rPr>
          <w:szCs w:val="22"/>
          <w:lang w:val="hr-HR"/>
        </w:rPr>
        <w:t>bolesnika u kojih je doza povećana na 800</w:t>
      </w:r>
      <w:r w:rsidRPr="00510442">
        <w:rPr>
          <w:color w:val="000000"/>
          <w:szCs w:val="22"/>
          <w:lang w:val="hr-HR"/>
        </w:rPr>
        <w:t> </w:t>
      </w:r>
      <w:r w:rsidRPr="00510442">
        <w:rPr>
          <w:szCs w:val="22"/>
          <w:lang w:val="hr-HR"/>
        </w:rPr>
        <w:t>mg na dan, u usporedbi s populacijom bolesnika prije povećanja doze (n=551). Češće nuspojave su uključivale gastrointestinalna krvarenja, konjunktivitis i povišenje transaminaza ili bilirubina. Ostale nuspojave su zabilježene s nižom ili istom učestalošću.</w:t>
      </w:r>
    </w:p>
    <w:p w14:paraId="4287E6CA" w14:textId="77777777" w:rsidR="00BE41B8" w:rsidRPr="00510442" w:rsidRDefault="00BE41B8" w:rsidP="00BE41B8">
      <w:pPr>
        <w:pStyle w:val="Text"/>
        <w:widowControl w:val="0"/>
        <w:spacing w:before="0"/>
        <w:jc w:val="left"/>
        <w:rPr>
          <w:color w:val="000000"/>
          <w:sz w:val="22"/>
          <w:szCs w:val="22"/>
          <w:lang w:val="hr-HR"/>
        </w:rPr>
      </w:pPr>
    </w:p>
    <w:p w14:paraId="72ADA282" w14:textId="77777777" w:rsidR="00BE41B8" w:rsidRPr="00510442" w:rsidRDefault="00BE41B8" w:rsidP="00BE41B8">
      <w:pPr>
        <w:spacing w:line="240" w:lineRule="auto"/>
        <w:rPr>
          <w:szCs w:val="22"/>
          <w:lang w:val="hr-HR"/>
        </w:rPr>
      </w:pPr>
      <w:r w:rsidRPr="00510442">
        <w:rPr>
          <w:i/>
          <w:szCs w:val="22"/>
          <w:lang w:val="hr-HR"/>
        </w:rPr>
        <w:t>Kronična faza, neuspjeh interferona</w:t>
      </w:r>
      <w:r w:rsidRPr="00510442">
        <w:rPr>
          <w:szCs w:val="22"/>
          <w:lang w:val="hr-HR"/>
        </w:rPr>
        <w:t>: 532</w:t>
      </w:r>
      <w:r w:rsidRPr="00510442">
        <w:rPr>
          <w:color w:val="000000"/>
          <w:szCs w:val="22"/>
          <w:lang w:val="hr-HR"/>
        </w:rPr>
        <w:t> </w:t>
      </w:r>
      <w:r w:rsidRPr="00510442">
        <w:rPr>
          <w:szCs w:val="22"/>
          <w:lang w:val="hr-HR"/>
        </w:rPr>
        <w:t>odrasla bolesnika liječena su s početnom dozom od 400</w:t>
      </w:r>
      <w:r w:rsidRPr="00510442">
        <w:rPr>
          <w:color w:val="000000"/>
          <w:szCs w:val="22"/>
          <w:lang w:val="hr-HR"/>
        </w:rPr>
        <w:t> </w:t>
      </w:r>
      <w:r w:rsidRPr="00510442">
        <w:rPr>
          <w:szCs w:val="22"/>
          <w:lang w:val="hr-HR"/>
        </w:rPr>
        <w:t>mg. Bolesnici su bili raspoređeni u tri glavne kategorije: hematološki neuspjeh (29%), citogenetski neuspjeh (35%) ili nepodnošenje interferona (36%). Bolesnici su prethodno primali IFN terapiju u medijanu trajanja od 14</w:t>
      </w:r>
      <w:r w:rsidRPr="00510442">
        <w:rPr>
          <w:color w:val="000000"/>
          <w:szCs w:val="22"/>
          <w:lang w:val="hr-HR"/>
        </w:rPr>
        <w:t> </w:t>
      </w:r>
      <w:r w:rsidRPr="00510442">
        <w:rPr>
          <w:szCs w:val="22"/>
          <w:lang w:val="hr-HR"/>
        </w:rPr>
        <w:t>mjeseci u dozama ≥25</w:t>
      </w:r>
      <w:r w:rsidRPr="00510442">
        <w:rPr>
          <w:color w:val="000000"/>
          <w:szCs w:val="22"/>
          <w:lang w:val="hr-HR"/>
        </w:rPr>
        <w:t> </w:t>
      </w:r>
      <w:r w:rsidRPr="00510442">
        <w:rPr>
          <w:szCs w:val="22"/>
          <w:lang w:val="hr-HR"/>
        </w:rPr>
        <w:t>x</w:t>
      </w:r>
      <w:r w:rsidRPr="00510442">
        <w:rPr>
          <w:color w:val="000000"/>
          <w:szCs w:val="22"/>
          <w:lang w:val="hr-HR"/>
        </w:rPr>
        <w:t> </w:t>
      </w:r>
      <w:r w:rsidRPr="00510442">
        <w:rPr>
          <w:szCs w:val="22"/>
          <w:lang w:val="hr-HR"/>
        </w:rPr>
        <w:t>10</w:t>
      </w:r>
      <w:r w:rsidRPr="00510442">
        <w:rPr>
          <w:szCs w:val="22"/>
          <w:vertAlign w:val="superscript"/>
          <w:lang w:val="hr-HR"/>
        </w:rPr>
        <w:t>6</w:t>
      </w:r>
      <w:r w:rsidRPr="00510442">
        <w:rPr>
          <w:color w:val="000000"/>
          <w:szCs w:val="22"/>
          <w:lang w:val="hr-HR"/>
        </w:rPr>
        <w:t> </w:t>
      </w:r>
      <w:r w:rsidRPr="00510442">
        <w:rPr>
          <w:szCs w:val="22"/>
          <w:lang w:val="hr-HR"/>
        </w:rPr>
        <w:t>IU/tjedan i svi su bili u završnoj kroničnoj fazi, sa medijanom vremena od postavljanja dijagnoze od 32</w:t>
      </w:r>
      <w:r w:rsidRPr="00510442">
        <w:rPr>
          <w:color w:val="000000"/>
          <w:szCs w:val="22"/>
          <w:lang w:val="hr-HR"/>
        </w:rPr>
        <w:t> </w:t>
      </w:r>
      <w:r w:rsidRPr="00510442">
        <w:rPr>
          <w:szCs w:val="22"/>
          <w:lang w:val="hr-HR"/>
        </w:rPr>
        <w:t>mjeseca. Primarna varijabla djelotvornosti ispitivanja bila je stopa većeg citogenetskog odgovora (potpuni plus djelomični odgovor, 0 do 35% Ph+ metafaza u koštanoj srži).</w:t>
      </w:r>
    </w:p>
    <w:p w14:paraId="0A403EE1" w14:textId="77777777" w:rsidR="00BE41B8" w:rsidRPr="00510442" w:rsidRDefault="00BE41B8" w:rsidP="00BE41B8">
      <w:pPr>
        <w:spacing w:line="240" w:lineRule="auto"/>
        <w:rPr>
          <w:szCs w:val="22"/>
          <w:lang w:val="hr-HR"/>
        </w:rPr>
      </w:pPr>
    </w:p>
    <w:p w14:paraId="5DB8F5B5" w14:textId="77777777" w:rsidR="00BE41B8" w:rsidRPr="00510442" w:rsidRDefault="00BE41B8" w:rsidP="00BE41B8">
      <w:pPr>
        <w:spacing w:line="240" w:lineRule="auto"/>
        <w:rPr>
          <w:szCs w:val="22"/>
          <w:lang w:val="hr-HR"/>
        </w:rPr>
      </w:pPr>
      <w:r w:rsidRPr="00510442">
        <w:rPr>
          <w:szCs w:val="22"/>
          <w:lang w:val="hr-HR"/>
        </w:rPr>
        <w:t>U ovom je ispitivanju kod 65% bolesnika postignut veliki citogenetski odgovor koji je bio potpun u 53% (potvrđeno 43%) bolesnika (Tablica</w:t>
      </w:r>
      <w:r w:rsidRPr="00510442">
        <w:rPr>
          <w:color w:val="000000"/>
          <w:szCs w:val="22"/>
          <w:lang w:val="hr-HR"/>
        </w:rPr>
        <w:t> </w:t>
      </w:r>
      <w:r w:rsidR="004C7699" w:rsidRPr="00510442">
        <w:rPr>
          <w:szCs w:val="22"/>
          <w:lang w:val="hr-HR"/>
        </w:rPr>
        <w:t>3</w:t>
      </w:r>
      <w:r w:rsidRPr="00510442">
        <w:rPr>
          <w:szCs w:val="22"/>
          <w:lang w:val="hr-HR"/>
        </w:rPr>
        <w:t>). Potpuni je hematološki odgovor postignut u 95% bolesnika.</w:t>
      </w:r>
    </w:p>
    <w:p w14:paraId="1BB714E5" w14:textId="77777777" w:rsidR="00BE41B8" w:rsidRPr="00510442" w:rsidRDefault="00BE41B8" w:rsidP="00BE41B8">
      <w:pPr>
        <w:pStyle w:val="EndnoteText"/>
        <w:widowControl w:val="0"/>
        <w:tabs>
          <w:tab w:val="clear" w:pos="567"/>
        </w:tabs>
        <w:rPr>
          <w:color w:val="000000"/>
          <w:szCs w:val="22"/>
          <w:lang w:val="hr-HR"/>
        </w:rPr>
      </w:pPr>
    </w:p>
    <w:p w14:paraId="59A95D7F" w14:textId="77777777" w:rsidR="00BE41B8" w:rsidRPr="00510442" w:rsidRDefault="00BE41B8" w:rsidP="00BE41B8">
      <w:pPr>
        <w:spacing w:line="240" w:lineRule="auto"/>
        <w:rPr>
          <w:szCs w:val="22"/>
          <w:lang w:val="hr-HR"/>
        </w:rPr>
      </w:pPr>
      <w:r w:rsidRPr="00510442">
        <w:rPr>
          <w:i/>
          <w:szCs w:val="22"/>
          <w:lang w:val="hr-HR"/>
        </w:rPr>
        <w:t>Ubrzana faza</w:t>
      </w:r>
      <w:r w:rsidRPr="00510442">
        <w:rPr>
          <w:szCs w:val="22"/>
          <w:lang w:val="hr-HR"/>
        </w:rPr>
        <w:t>: uključeno je 235</w:t>
      </w:r>
      <w:r w:rsidRPr="00510442">
        <w:rPr>
          <w:color w:val="000000"/>
          <w:szCs w:val="22"/>
          <w:lang w:val="hr-HR"/>
        </w:rPr>
        <w:t> </w:t>
      </w:r>
      <w:r w:rsidRPr="00510442">
        <w:rPr>
          <w:szCs w:val="22"/>
          <w:lang w:val="hr-HR"/>
        </w:rPr>
        <w:t>odraslih bolesnika s bolešću u ubrzanoj fazi. Prvih je 77</w:t>
      </w:r>
      <w:r w:rsidRPr="00510442">
        <w:rPr>
          <w:color w:val="000000"/>
          <w:szCs w:val="22"/>
          <w:lang w:val="hr-HR"/>
        </w:rPr>
        <w:t> </w:t>
      </w:r>
      <w:r w:rsidRPr="00510442">
        <w:rPr>
          <w:szCs w:val="22"/>
          <w:lang w:val="hr-HR"/>
        </w:rPr>
        <w:t>bolesnika počelo s dozom od 400</w:t>
      </w:r>
      <w:r w:rsidRPr="00510442">
        <w:rPr>
          <w:color w:val="000000"/>
          <w:szCs w:val="22"/>
          <w:lang w:val="hr-HR"/>
        </w:rPr>
        <w:t> </w:t>
      </w:r>
      <w:r w:rsidRPr="00510442">
        <w:rPr>
          <w:szCs w:val="22"/>
          <w:lang w:val="hr-HR"/>
        </w:rPr>
        <w:t>mg, protokol je naknadno promijenjen tako da je dozvoljavao veće doziranje, pa je ostalih 158</w:t>
      </w:r>
      <w:r w:rsidRPr="00510442">
        <w:rPr>
          <w:color w:val="000000"/>
          <w:szCs w:val="22"/>
          <w:lang w:val="hr-HR"/>
        </w:rPr>
        <w:t> </w:t>
      </w:r>
      <w:r w:rsidRPr="00510442">
        <w:rPr>
          <w:szCs w:val="22"/>
          <w:lang w:val="hr-HR"/>
        </w:rPr>
        <w:t>bolesnika započelo s dozom od 600</w:t>
      </w:r>
      <w:r w:rsidRPr="00510442">
        <w:rPr>
          <w:color w:val="000000"/>
          <w:szCs w:val="22"/>
          <w:lang w:val="hr-HR"/>
        </w:rPr>
        <w:t> </w:t>
      </w:r>
      <w:r w:rsidRPr="00510442">
        <w:rPr>
          <w:szCs w:val="22"/>
          <w:lang w:val="hr-HR"/>
        </w:rPr>
        <w:t>mg.</w:t>
      </w:r>
    </w:p>
    <w:p w14:paraId="5174B5D7" w14:textId="77777777" w:rsidR="00BE41B8" w:rsidRPr="00510442" w:rsidRDefault="00BE41B8" w:rsidP="00BE41B8">
      <w:pPr>
        <w:spacing w:line="240" w:lineRule="auto"/>
        <w:rPr>
          <w:szCs w:val="22"/>
          <w:lang w:val="hr-HR"/>
        </w:rPr>
      </w:pPr>
    </w:p>
    <w:p w14:paraId="0570D7BE" w14:textId="77777777" w:rsidR="00BE41B8" w:rsidRPr="00510442" w:rsidRDefault="00BE41B8" w:rsidP="00BE41B8">
      <w:pPr>
        <w:spacing w:line="240" w:lineRule="auto"/>
        <w:rPr>
          <w:szCs w:val="22"/>
          <w:lang w:val="hr-HR"/>
        </w:rPr>
      </w:pPr>
      <w:r w:rsidRPr="00510442">
        <w:rPr>
          <w:szCs w:val="22"/>
          <w:lang w:val="hr-HR"/>
        </w:rPr>
        <w:t>Primarna varijabla djelotvornosti bila je stopa hematološkog odgovora, koja je zabilježena bilo kao potpuni hematološki odgovor, bez dokaza leukemije (tj. klirens blasta iz koštane srži i krvi, ali bez potpunog oporavka periferne krvi kao kod potpunih odgovora), ili kao vraćanje na kroničnu fazu KML-a. Potvrđeni hematološki odgovor je postignut u 71,5% bolesnika (Tablica</w:t>
      </w:r>
      <w:r w:rsidRPr="00510442">
        <w:rPr>
          <w:color w:val="000000"/>
          <w:szCs w:val="22"/>
          <w:lang w:val="hr-HR"/>
        </w:rPr>
        <w:t> </w:t>
      </w:r>
      <w:r w:rsidR="004C7699" w:rsidRPr="00510442">
        <w:rPr>
          <w:szCs w:val="22"/>
          <w:lang w:val="hr-HR"/>
        </w:rPr>
        <w:t>3</w:t>
      </w:r>
      <w:r w:rsidRPr="00510442">
        <w:rPr>
          <w:szCs w:val="22"/>
          <w:lang w:val="hr-HR"/>
        </w:rPr>
        <w:t>). Važno je napomenuti da je 27,7% bolesnika također postiglo veliki citogenetski odgovor, koji je bio potpun u 20,4% (potvrđeno 16%) bolesnika. Za bolesnike liječene dozom od 600</w:t>
      </w:r>
      <w:r w:rsidRPr="00510442">
        <w:rPr>
          <w:color w:val="000000"/>
          <w:szCs w:val="22"/>
          <w:lang w:val="hr-HR"/>
        </w:rPr>
        <w:t> </w:t>
      </w:r>
      <w:r w:rsidRPr="00510442">
        <w:rPr>
          <w:szCs w:val="22"/>
          <w:lang w:val="hr-HR"/>
        </w:rPr>
        <w:t>mg, trenutne procjene za medijan vrijednosti preživljenja bez progresije te ukupno preživljenje iznose 22,9, odnosno 42,5</w:t>
      </w:r>
      <w:r w:rsidRPr="00510442">
        <w:rPr>
          <w:color w:val="000000"/>
          <w:szCs w:val="22"/>
          <w:lang w:val="hr-HR"/>
        </w:rPr>
        <w:t> </w:t>
      </w:r>
      <w:r w:rsidRPr="00510442">
        <w:rPr>
          <w:szCs w:val="22"/>
          <w:lang w:val="hr-HR"/>
        </w:rPr>
        <w:t>mjeseca.</w:t>
      </w:r>
    </w:p>
    <w:p w14:paraId="5511574F" w14:textId="77777777" w:rsidR="00BE41B8" w:rsidRPr="00510442" w:rsidRDefault="00BE41B8" w:rsidP="00BE41B8">
      <w:pPr>
        <w:pStyle w:val="EndnoteText"/>
        <w:widowControl w:val="0"/>
        <w:tabs>
          <w:tab w:val="clear" w:pos="567"/>
        </w:tabs>
        <w:rPr>
          <w:color w:val="000000"/>
          <w:szCs w:val="22"/>
          <w:lang w:val="hr-HR"/>
        </w:rPr>
      </w:pPr>
    </w:p>
    <w:p w14:paraId="154F4FE3" w14:textId="77777777" w:rsidR="00BE41B8" w:rsidRPr="00510442" w:rsidRDefault="00BE41B8" w:rsidP="00BE41B8">
      <w:pPr>
        <w:spacing w:line="240" w:lineRule="auto"/>
        <w:rPr>
          <w:szCs w:val="22"/>
          <w:lang w:val="hr-HR"/>
        </w:rPr>
      </w:pPr>
      <w:r w:rsidRPr="00510442">
        <w:rPr>
          <w:i/>
          <w:szCs w:val="22"/>
          <w:lang w:val="hr-HR"/>
        </w:rPr>
        <w:t>Mijeloična blastična kriza</w:t>
      </w:r>
      <w:r w:rsidRPr="00510442">
        <w:rPr>
          <w:szCs w:val="22"/>
          <w:lang w:val="hr-HR"/>
        </w:rPr>
        <w:t>: u ispitivanje je uključeno 260</w:t>
      </w:r>
      <w:r w:rsidRPr="00510442">
        <w:rPr>
          <w:color w:val="000000"/>
          <w:szCs w:val="22"/>
          <w:lang w:val="hr-HR"/>
        </w:rPr>
        <w:t> </w:t>
      </w:r>
      <w:r w:rsidRPr="00510442">
        <w:rPr>
          <w:szCs w:val="22"/>
          <w:lang w:val="hr-HR"/>
        </w:rPr>
        <w:t>bolesnika s mijeloičnom blastičnom krizom. Njih je 95 (37%) prethodno primilo kemoterapiju zbog liječenja bilo ubrzane faze, bilo blastične krize (</w:t>
      </w:r>
      <w:r w:rsidRPr="00510442">
        <w:rPr>
          <w:lang w:val="hr-HR"/>
        </w:rPr>
        <w:t>„</w:t>
      </w:r>
      <w:r w:rsidRPr="00510442">
        <w:rPr>
          <w:szCs w:val="22"/>
          <w:lang w:val="hr-HR"/>
        </w:rPr>
        <w:t>prethodno liječeni bolesnici</w:t>
      </w:r>
      <w:r w:rsidRPr="00510442">
        <w:rPr>
          <w:lang w:val="hr-HR"/>
        </w:rPr>
        <w:t>“</w:t>
      </w:r>
      <w:r w:rsidRPr="00510442">
        <w:rPr>
          <w:szCs w:val="22"/>
          <w:lang w:val="hr-HR"/>
        </w:rPr>
        <w:t>), a 165 (63%) ispitanika nije (</w:t>
      </w:r>
      <w:r w:rsidRPr="00510442">
        <w:rPr>
          <w:lang w:val="hr-HR"/>
        </w:rPr>
        <w:t>„</w:t>
      </w:r>
      <w:r w:rsidRPr="00510442">
        <w:rPr>
          <w:szCs w:val="22"/>
          <w:lang w:val="hr-HR"/>
        </w:rPr>
        <w:t>neliječeni bolesnici</w:t>
      </w:r>
      <w:r w:rsidRPr="00510442">
        <w:rPr>
          <w:lang w:val="hr-HR"/>
        </w:rPr>
        <w:t>“</w:t>
      </w:r>
      <w:r w:rsidRPr="00510442">
        <w:rPr>
          <w:szCs w:val="22"/>
          <w:lang w:val="hr-HR"/>
        </w:rPr>
        <w:t>). Kod prvih 37</w:t>
      </w:r>
      <w:r w:rsidRPr="00510442">
        <w:rPr>
          <w:color w:val="000000"/>
          <w:szCs w:val="22"/>
          <w:lang w:val="hr-HR"/>
        </w:rPr>
        <w:t> </w:t>
      </w:r>
      <w:r w:rsidRPr="00510442">
        <w:rPr>
          <w:szCs w:val="22"/>
          <w:lang w:val="hr-HR"/>
        </w:rPr>
        <w:t>bolesnika liječenje je započelo s dozom od 400</w:t>
      </w:r>
      <w:r w:rsidRPr="00510442">
        <w:rPr>
          <w:color w:val="000000"/>
          <w:szCs w:val="22"/>
          <w:lang w:val="hr-HR"/>
        </w:rPr>
        <w:t> </w:t>
      </w:r>
      <w:r w:rsidRPr="00510442">
        <w:rPr>
          <w:szCs w:val="22"/>
          <w:lang w:val="hr-HR"/>
        </w:rPr>
        <w:t>mg, protokol je naknadno promijenjen tako da je dozvoljavao veće doziranje, pa je ostalih 223</w:t>
      </w:r>
      <w:r w:rsidRPr="00510442">
        <w:rPr>
          <w:color w:val="000000"/>
          <w:szCs w:val="22"/>
          <w:lang w:val="hr-HR"/>
        </w:rPr>
        <w:t> </w:t>
      </w:r>
      <w:r w:rsidRPr="00510442">
        <w:rPr>
          <w:szCs w:val="22"/>
          <w:lang w:val="hr-HR"/>
        </w:rPr>
        <w:t>bolesnika započelo s dozom od 600</w:t>
      </w:r>
      <w:r w:rsidRPr="00510442">
        <w:rPr>
          <w:color w:val="000000"/>
          <w:szCs w:val="22"/>
          <w:lang w:val="hr-HR"/>
        </w:rPr>
        <w:t> </w:t>
      </w:r>
      <w:r w:rsidRPr="00510442">
        <w:rPr>
          <w:szCs w:val="22"/>
          <w:lang w:val="hr-HR"/>
        </w:rPr>
        <w:t>mg.</w:t>
      </w:r>
    </w:p>
    <w:p w14:paraId="1EB8774E" w14:textId="77777777" w:rsidR="00BE41B8" w:rsidRPr="00510442" w:rsidRDefault="00BE41B8" w:rsidP="00BE41B8">
      <w:pPr>
        <w:spacing w:line="240" w:lineRule="auto"/>
        <w:rPr>
          <w:szCs w:val="22"/>
          <w:lang w:val="hr-HR"/>
        </w:rPr>
      </w:pPr>
    </w:p>
    <w:p w14:paraId="25C5BBE3" w14:textId="77777777" w:rsidR="00BE41B8" w:rsidRPr="00510442" w:rsidRDefault="00BE41B8" w:rsidP="00BE41B8">
      <w:pPr>
        <w:spacing w:line="240" w:lineRule="auto"/>
        <w:rPr>
          <w:szCs w:val="22"/>
          <w:lang w:val="hr-HR"/>
        </w:rPr>
      </w:pPr>
      <w:r w:rsidRPr="00510442">
        <w:rPr>
          <w:szCs w:val="22"/>
          <w:lang w:val="hr-HR"/>
        </w:rPr>
        <w:t>Primarna varijabla djelotvornosti bila je stopa hematološkog odgovora, koja je zabilježena ili kao potpuni hematološki odgovor, bez dokaza leukemije, ili kao vraćanje na kroničnu fazu KML-a, uz primjenu istih kriterija kao i kod ispitivanja u ubrzanoj fazi. U tom je ispitivanju 31% bolesnika postiglo hematološki odgovor (36% u skupini prethodno neliječenih bolesnika i 22% u skupini prethodno liječenih bolesnika). Stopa odgovora također je bila viša u bolesnika koji su liječeni s dozom od 600</w:t>
      </w:r>
      <w:r w:rsidRPr="00510442">
        <w:rPr>
          <w:color w:val="000000"/>
          <w:szCs w:val="22"/>
          <w:lang w:val="hr-HR"/>
        </w:rPr>
        <w:t> </w:t>
      </w:r>
      <w:r w:rsidRPr="00510442">
        <w:rPr>
          <w:szCs w:val="22"/>
          <w:lang w:val="hr-HR"/>
        </w:rPr>
        <w:t>mg (33%) u usporedbi s bolesnicima koji su liječeni s 400</w:t>
      </w:r>
      <w:r w:rsidRPr="00510442">
        <w:rPr>
          <w:color w:val="000000"/>
          <w:szCs w:val="22"/>
          <w:lang w:val="hr-HR"/>
        </w:rPr>
        <w:t> </w:t>
      </w:r>
      <w:r w:rsidRPr="00510442">
        <w:rPr>
          <w:szCs w:val="22"/>
          <w:lang w:val="hr-HR"/>
        </w:rPr>
        <w:t>mg (16%, p=0,0220). Trenutna procjena medijana vrijednosti preživljenja prethodno neliječenih i liječenih bolesnika iznosila je 7,7, odnosno 4,7</w:t>
      </w:r>
      <w:r w:rsidRPr="00510442">
        <w:rPr>
          <w:color w:val="000000"/>
          <w:szCs w:val="22"/>
          <w:lang w:val="hr-HR"/>
        </w:rPr>
        <w:t> </w:t>
      </w:r>
      <w:r w:rsidRPr="00510442">
        <w:rPr>
          <w:szCs w:val="22"/>
          <w:lang w:val="hr-HR"/>
        </w:rPr>
        <w:t>mjeseci.</w:t>
      </w:r>
    </w:p>
    <w:p w14:paraId="2DC5B10F" w14:textId="77777777" w:rsidR="00BE41B8" w:rsidRPr="00510442" w:rsidRDefault="00BE41B8" w:rsidP="00BE41B8">
      <w:pPr>
        <w:spacing w:line="240" w:lineRule="auto"/>
        <w:rPr>
          <w:i/>
          <w:szCs w:val="22"/>
          <w:lang w:val="hr-HR"/>
        </w:rPr>
      </w:pPr>
    </w:p>
    <w:p w14:paraId="14264BC4" w14:textId="77777777" w:rsidR="00BE41B8" w:rsidRPr="00510442" w:rsidRDefault="00BE41B8" w:rsidP="00BE41B8">
      <w:pPr>
        <w:spacing w:line="240" w:lineRule="auto"/>
        <w:rPr>
          <w:szCs w:val="22"/>
          <w:lang w:val="hr-HR"/>
        </w:rPr>
      </w:pPr>
      <w:r w:rsidRPr="00510442">
        <w:rPr>
          <w:i/>
          <w:szCs w:val="22"/>
          <w:lang w:val="hr-HR"/>
        </w:rPr>
        <w:t>Limfatična blastična kriza</w:t>
      </w:r>
      <w:r w:rsidRPr="00510442">
        <w:rPr>
          <w:szCs w:val="22"/>
          <w:lang w:val="hr-HR"/>
        </w:rPr>
        <w:t>: U ispitivanjima faze I uključen je ograničeni broj bolesnika (n=10). Stopa hematološkog odgovora bila je 70% uz trajanje od 2 do 3</w:t>
      </w:r>
      <w:r w:rsidRPr="00510442">
        <w:rPr>
          <w:color w:val="000000"/>
          <w:szCs w:val="22"/>
          <w:lang w:val="hr-HR"/>
        </w:rPr>
        <w:t> </w:t>
      </w:r>
      <w:r w:rsidRPr="00510442">
        <w:rPr>
          <w:szCs w:val="22"/>
          <w:lang w:val="hr-HR"/>
        </w:rPr>
        <w:t>mjeseca.</w:t>
      </w:r>
    </w:p>
    <w:p w14:paraId="1C356457" w14:textId="77777777" w:rsidR="00BE41B8" w:rsidRPr="00510442" w:rsidRDefault="00BE41B8" w:rsidP="00BE41B8">
      <w:pPr>
        <w:pStyle w:val="EndnoteText"/>
        <w:widowControl w:val="0"/>
        <w:tabs>
          <w:tab w:val="clear" w:pos="567"/>
        </w:tabs>
        <w:rPr>
          <w:color w:val="000000"/>
          <w:szCs w:val="22"/>
          <w:lang w:val="hr-HR"/>
        </w:rPr>
      </w:pPr>
    </w:p>
    <w:p w14:paraId="475711AE" w14:textId="77777777" w:rsidR="00BE41B8" w:rsidRPr="00510442" w:rsidRDefault="00BE41B8" w:rsidP="003179A4">
      <w:pPr>
        <w:pStyle w:val="EndnoteText"/>
        <w:keepNext/>
        <w:widowControl w:val="0"/>
        <w:tabs>
          <w:tab w:val="clear" w:pos="567"/>
        </w:tabs>
        <w:ind w:left="1134" w:hanging="1134"/>
        <w:rPr>
          <w:color w:val="000000"/>
          <w:szCs w:val="22"/>
          <w:lang w:val="hr-HR"/>
        </w:rPr>
      </w:pPr>
      <w:r w:rsidRPr="00510442">
        <w:rPr>
          <w:b/>
          <w:color w:val="000000"/>
          <w:szCs w:val="22"/>
          <w:lang w:val="hr-HR"/>
        </w:rPr>
        <w:t>Tablica </w:t>
      </w:r>
      <w:r w:rsidR="004C7699" w:rsidRPr="00510442">
        <w:rPr>
          <w:b/>
          <w:color w:val="000000"/>
          <w:szCs w:val="22"/>
          <w:lang w:val="hr-HR"/>
        </w:rPr>
        <w:t>3</w:t>
      </w:r>
      <w:r w:rsidRPr="00510442">
        <w:rPr>
          <w:b/>
          <w:color w:val="000000"/>
          <w:szCs w:val="22"/>
          <w:lang w:val="hr-HR"/>
        </w:rPr>
        <w:tab/>
      </w:r>
      <w:r w:rsidRPr="00510442">
        <w:rPr>
          <w:b/>
          <w:szCs w:val="22"/>
          <w:lang w:val="hr-HR"/>
        </w:rPr>
        <w:t>Odgovor u ispitivanjima KML-a u odraslih</w:t>
      </w:r>
    </w:p>
    <w:p w14:paraId="724E2343" w14:textId="77777777" w:rsidR="00BE41B8" w:rsidRPr="00510442" w:rsidRDefault="00BE41B8" w:rsidP="003179A4">
      <w:pPr>
        <w:pStyle w:val="EndnoteText"/>
        <w:keepNext/>
        <w:widowControl w:val="0"/>
        <w:tabs>
          <w:tab w:val="clear" w:pos="567"/>
        </w:tabs>
        <w:rPr>
          <w:color w:val="000000"/>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5"/>
        <w:gridCol w:w="2040"/>
        <w:gridCol w:w="1985"/>
        <w:gridCol w:w="1929"/>
      </w:tblGrid>
      <w:tr w:rsidR="00BE41B8" w:rsidRPr="00510442" w14:paraId="5A14EA20" w14:textId="77777777" w:rsidTr="003179A4">
        <w:trPr>
          <w:cantSplit/>
        </w:trPr>
        <w:tc>
          <w:tcPr>
            <w:tcW w:w="3085" w:type="dxa"/>
            <w:tcBorders>
              <w:bottom w:val="nil"/>
            </w:tcBorders>
          </w:tcPr>
          <w:p w14:paraId="3AABC67D" w14:textId="77777777" w:rsidR="00BE41B8" w:rsidRPr="00510442" w:rsidRDefault="00BE41B8" w:rsidP="003179A4">
            <w:pPr>
              <w:pStyle w:val="EndnoteText"/>
              <w:keepNext/>
              <w:widowControl w:val="0"/>
              <w:tabs>
                <w:tab w:val="clear" w:pos="567"/>
              </w:tabs>
              <w:rPr>
                <w:color w:val="000000"/>
                <w:szCs w:val="22"/>
                <w:lang w:val="hr-HR"/>
              </w:rPr>
            </w:pPr>
          </w:p>
        </w:tc>
        <w:tc>
          <w:tcPr>
            <w:tcW w:w="2040" w:type="dxa"/>
            <w:tcBorders>
              <w:bottom w:val="nil"/>
            </w:tcBorders>
          </w:tcPr>
          <w:p w14:paraId="6AEA7AB4" w14:textId="77777777" w:rsidR="00BE41B8" w:rsidRPr="00510442" w:rsidRDefault="00BE41B8" w:rsidP="003179A4">
            <w:pPr>
              <w:pStyle w:val="EndnoteText"/>
              <w:keepNext/>
              <w:widowControl w:val="0"/>
              <w:tabs>
                <w:tab w:val="clear" w:pos="567"/>
              </w:tabs>
              <w:ind w:left="-108" w:right="-53"/>
              <w:jc w:val="center"/>
              <w:rPr>
                <w:color w:val="000000"/>
                <w:szCs w:val="22"/>
                <w:lang w:val="hr-HR"/>
              </w:rPr>
            </w:pPr>
            <w:r w:rsidRPr="00510442">
              <w:rPr>
                <w:color w:val="000000"/>
                <w:szCs w:val="22"/>
                <w:lang w:val="hr-HR"/>
              </w:rPr>
              <w:t>Studija 0110</w:t>
            </w:r>
          </w:p>
          <w:p w14:paraId="40724EAA" w14:textId="77777777" w:rsidR="00BE41B8" w:rsidRPr="00510442" w:rsidRDefault="00BE41B8" w:rsidP="003179A4">
            <w:pPr>
              <w:pStyle w:val="Table"/>
              <w:keepLines w:val="0"/>
              <w:spacing w:before="0" w:after="0"/>
              <w:ind w:left="-108" w:right="-53"/>
              <w:jc w:val="center"/>
              <w:rPr>
                <w:rFonts w:ascii="Times New Roman" w:hAnsi="Times New Roman"/>
                <w:color w:val="000000"/>
                <w:sz w:val="22"/>
                <w:szCs w:val="22"/>
                <w:lang w:val="hr-HR"/>
              </w:rPr>
            </w:pPr>
            <w:r w:rsidRPr="00510442">
              <w:rPr>
                <w:rFonts w:ascii="Times New Roman" w:hAnsi="Times New Roman"/>
                <w:color w:val="000000"/>
                <w:sz w:val="22"/>
                <w:szCs w:val="22"/>
                <w:lang w:val="hr-HR"/>
              </w:rPr>
              <w:t>37-</w:t>
            </w:r>
            <w:r w:rsidRPr="00510442">
              <w:rPr>
                <w:rFonts w:ascii="Times New Roman" w:hAnsi="Times New Roman"/>
                <w:sz w:val="22"/>
                <w:szCs w:val="22"/>
                <w:lang w:val="hr-HR"/>
              </w:rPr>
              <w:t>mjesečni podaci</w:t>
            </w:r>
          </w:p>
          <w:p w14:paraId="7C40B296" w14:textId="77777777" w:rsidR="00BE41B8" w:rsidRPr="00510442" w:rsidRDefault="00BE41B8" w:rsidP="003179A4">
            <w:pPr>
              <w:pStyle w:val="EndnoteText"/>
              <w:keepNext/>
              <w:widowControl w:val="0"/>
              <w:tabs>
                <w:tab w:val="clear" w:pos="567"/>
              </w:tabs>
              <w:ind w:left="-108" w:right="-53"/>
              <w:jc w:val="center"/>
              <w:rPr>
                <w:color w:val="000000"/>
                <w:szCs w:val="22"/>
                <w:lang w:val="hr-HR"/>
              </w:rPr>
            </w:pPr>
            <w:r w:rsidRPr="00510442">
              <w:rPr>
                <w:szCs w:val="22"/>
                <w:lang w:val="hr-HR"/>
              </w:rPr>
              <w:t>Kronična faza, neuspjeh IFN terapije</w:t>
            </w:r>
          </w:p>
          <w:p w14:paraId="591014BC" w14:textId="77777777" w:rsidR="00BE41B8" w:rsidRPr="00510442" w:rsidRDefault="00BE41B8" w:rsidP="003179A4">
            <w:pPr>
              <w:pStyle w:val="EndnoteText"/>
              <w:keepNext/>
              <w:widowControl w:val="0"/>
              <w:tabs>
                <w:tab w:val="clear" w:pos="567"/>
              </w:tabs>
              <w:ind w:left="-108" w:right="-53"/>
              <w:jc w:val="center"/>
              <w:rPr>
                <w:color w:val="000000"/>
                <w:szCs w:val="22"/>
                <w:lang w:val="hr-HR"/>
              </w:rPr>
            </w:pPr>
            <w:r w:rsidRPr="00510442">
              <w:rPr>
                <w:color w:val="000000"/>
                <w:szCs w:val="22"/>
                <w:lang w:val="hr-HR"/>
              </w:rPr>
              <w:t>(n=532)</w:t>
            </w:r>
          </w:p>
        </w:tc>
        <w:tc>
          <w:tcPr>
            <w:tcW w:w="1985" w:type="dxa"/>
            <w:tcBorders>
              <w:bottom w:val="nil"/>
            </w:tcBorders>
          </w:tcPr>
          <w:p w14:paraId="58F84E08" w14:textId="77777777" w:rsidR="00BE41B8" w:rsidRPr="00510442" w:rsidRDefault="00BE41B8" w:rsidP="003179A4">
            <w:pPr>
              <w:pStyle w:val="EndnoteText"/>
              <w:keepNext/>
              <w:widowControl w:val="0"/>
              <w:tabs>
                <w:tab w:val="clear" w:pos="567"/>
              </w:tabs>
              <w:jc w:val="center"/>
              <w:rPr>
                <w:color w:val="000000"/>
                <w:szCs w:val="22"/>
                <w:lang w:val="hr-HR"/>
              </w:rPr>
            </w:pPr>
            <w:r w:rsidRPr="00510442">
              <w:rPr>
                <w:color w:val="000000"/>
                <w:szCs w:val="22"/>
                <w:lang w:val="hr-HR"/>
              </w:rPr>
              <w:t>Studija 0109</w:t>
            </w:r>
          </w:p>
          <w:p w14:paraId="48D66BA9" w14:textId="77777777" w:rsidR="00BE41B8" w:rsidRPr="00510442" w:rsidRDefault="00BE41B8" w:rsidP="003179A4">
            <w:pPr>
              <w:pStyle w:val="EndnoteText"/>
              <w:keepNext/>
              <w:widowControl w:val="0"/>
              <w:tabs>
                <w:tab w:val="clear" w:pos="567"/>
              </w:tabs>
              <w:ind w:left="-163" w:right="-194"/>
              <w:jc w:val="center"/>
              <w:rPr>
                <w:color w:val="000000"/>
                <w:szCs w:val="22"/>
                <w:lang w:val="hr-HR"/>
              </w:rPr>
            </w:pPr>
            <w:r w:rsidRPr="00510442">
              <w:rPr>
                <w:color w:val="000000"/>
                <w:szCs w:val="22"/>
                <w:lang w:val="hr-HR"/>
              </w:rPr>
              <w:t>40,5-</w:t>
            </w:r>
            <w:r w:rsidRPr="00510442">
              <w:rPr>
                <w:szCs w:val="22"/>
                <w:lang w:val="hr-HR"/>
              </w:rPr>
              <w:t>mjesečni podaci</w:t>
            </w:r>
          </w:p>
          <w:p w14:paraId="64ED1BAB" w14:textId="77777777" w:rsidR="00BE41B8" w:rsidRPr="00510442" w:rsidRDefault="00BE41B8" w:rsidP="003179A4">
            <w:pPr>
              <w:pStyle w:val="EndnoteText"/>
              <w:keepNext/>
              <w:widowControl w:val="0"/>
              <w:tabs>
                <w:tab w:val="clear" w:pos="567"/>
              </w:tabs>
              <w:jc w:val="center"/>
              <w:rPr>
                <w:color w:val="000000"/>
                <w:szCs w:val="22"/>
                <w:lang w:val="hr-HR"/>
              </w:rPr>
            </w:pPr>
            <w:r w:rsidRPr="00510442">
              <w:rPr>
                <w:szCs w:val="22"/>
                <w:lang w:val="hr-HR"/>
              </w:rPr>
              <w:t>Ubrzana faza</w:t>
            </w:r>
          </w:p>
          <w:p w14:paraId="774B50D3" w14:textId="77777777" w:rsidR="00BE41B8" w:rsidRPr="00510442" w:rsidRDefault="00BE41B8" w:rsidP="003179A4">
            <w:pPr>
              <w:pStyle w:val="EndnoteText"/>
              <w:keepNext/>
              <w:widowControl w:val="0"/>
              <w:tabs>
                <w:tab w:val="clear" w:pos="567"/>
              </w:tabs>
              <w:jc w:val="center"/>
              <w:rPr>
                <w:color w:val="000000"/>
                <w:szCs w:val="22"/>
                <w:lang w:val="hr-HR"/>
              </w:rPr>
            </w:pPr>
            <w:r w:rsidRPr="00510442">
              <w:rPr>
                <w:color w:val="000000"/>
                <w:szCs w:val="22"/>
                <w:lang w:val="hr-HR"/>
              </w:rPr>
              <w:t>(n=235)</w:t>
            </w:r>
          </w:p>
        </w:tc>
        <w:tc>
          <w:tcPr>
            <w:tcW w:w="1929" w:type="dxa"/>
            <w:tcBorders>
              <w:bottom w:val="nil"/>
            </w:tcBorders>
          </w:tcPr>
          <w:p w14:paraId="1F68A976" w14:textId="77777777" w:rsidR="00BE41B8" w:rsidRPr="00510442" w:rsidRDefault="00BE41B8" w:rsidP="003179A4">
            <w:pPr>
              <w:pStyle w:val="EndnoteText"/>
              <w:keepNext/>
              <w:widowControl w:val="0"/>
              <w:tabs>
                <w:tab w:val="clear" w:pos="567"/>
              </w:tabs>
              <w:jc w:val="center"/>
              <w:rPr>
                <w:color w:val="000000"/>
                <w:szCs w:val="22"/>
                <w:lang w:val="hr-HR"/>
              </w:rPr>
            </w:pPr>
            <w:r w:rsidRPr="00510442">
              <w:rPr>
                <w:color w:val="000000"/>
                <w:szCs w:val="22"/>
                <w:lang w:val="hr-HR"/>
              </w:rPr>
              <w:t>Studija 0102</w:t>
            </w:r>
          </w:p>
          <w:p w14:paraId="0D39E29F" w14:textId="77777777" w:rsidR="00BE41B8" w:rsidRPr="00510442" w:rsidRDefault="00BE41B8" w:rsidP="003179A4">
            <w:pPr>
              <w:pStyle w:val="EndnoteText"/>
              <w:keepNext/>
              <w:widowControl w:val="0"/>
              <w:tabs>
                <w:tab w:val="clear" w:pos="567"/>
              </w:tabs>
              <w:ind w:left="-164" w:right="-108"/>
              <w:jc w:val="center"/>
              <w:rPr>
                <w:color w:val="000000"/>
                <w:szCs w:val="22"/>
                <w:lang w:val="hr-HR"/>
              </w:rPr>
            </w:pPr>
            <w:r w:rsidRPr="00510442">
              <w:rPr>
                <w:color w:val="000000"/>
                <w:szCs w:val="22"/>
                <w:lang w:val="hr-HR"/>
              </w:rPr>
              <w:t>38-</w:t>
            </w:r>
            <w:r w:rsidRPr="00510442">
              <w:rPr>
                <w:szCs w:val="22"/>
                <w:lang w:val="hr-HR"/>
              </w:rPr>
              <w:t>mjesečni podaci</w:t>
            </w:r>
          </w:p>
          <w:p w14:paraId="00B79D92" w14:textId="77777777" w:rsidR="00BE41B8" w:rsidRPr="00510442" w:rsidRDefault="00BE41B8" w:rsidP="003179A4">
            <w:pPr>
              <w:pStyle w:val="EndnoteText"/>
              <w:keepNext/>
              <w:widowControl w:val="0"/>
              <w:tabs>
                <w:tab w:val="clear" w:pos="567"/>
              </w:tabs>
              <w:jc w:val="center"/>
              <w:rPr>
                <w:color w:val="000000"/>
                <w:szCs w:val="22"/>
                <w:lang w:val="hr-HR"/>
              </w:rPr>
            </w:pPr>
            <w:r w:rsidRPr="00510442">
              <w:rPr>
                <w:szCs w:val="22"/>
                <w:lang w:val="hr-HR"/>
              </w:rPr>
              <w:t>Mijeloična blastična kriza</w:t>
            </w:r>
          </w:p>
          <w:p w14:paraId="1F24992C" w14:textId="77777777" w:rsidR="00BE41B8" w:rsidRPr="00510442" w:rsidRDefault="00BE41B8" w:rsidP="003179A4">
            <w:pPr>
              <w:pStyle w:val="EndnoteText"/>
              <w:keepNext/>
              <w:widowControl w:val="0"/>
              <w:tabs>
                <w:tab w:val="clear" w:pos="567"/>
              </w:tabs>
              <w:jc w:val="center"/>
              <w:rPr>
                <w:color w:val="000000"/>
                <w:szCs w:val="22"/>
                <w:lang w:val="hr-HR"/>
              </w:rPr>
            </w:pPr>
            <w:r w:rsidRPr="00510442">
              <w:rPr>
                <w:color w:val="000000"/>
                <w:szCs w:val="22"/>
                <w:lang w:val="hr-HR"/>
              </w:rPr>
              <w:t>(n=260)</w:t>
            </w:r>
          </w:p>
        </w:tc>
      </w:tr>
      <w:tr w:rsidR="00BE41B8" w:rsidRPr="00510442" w14:paraId="39E2265D" w14:textId="77777777" w:rsidTr="003179A4">
        <w:trPr>
          <w:cantSplit/>
        </w:trPr>
        <w:tc>
          <w:tcPr>
            <w:tcW w:w="3085" w:type="dxa"/>
            <w:tcBorders>
              <w:bottom w:val="nil"/>
            </w:tcBorders>
          </w:tcPr>
          <w:p w14:paraId="6F66BB5B" w14:textId="77777777" w:rsidR="00BE41B8" w:rsidRPr="00510442" w:rsidRDefault="00BE41B8" w:rsidP="003179A4">
            <w:pPr>
              <w:pStyle w:val="EndnoteText"/>
              <w:keepNext/>
              <w:widowControl w:val="0"/>
              <w:tabs>
                <w:tab w:val="clear" w:pos="567"/>
              </w:tabs>
              <w:rPr>
                <w:color w:val="000000"/>
                <w:szCs w:val="22"/>
                <w:lang w:val="hr-HR"/>
              </w:rPr>
            </w:pPr>
          </w:p>
        </w:tc>
        <w:tc>
          <w:tcPr>
            <w:tcW w:w="5954" w:type="dxa"/>
            <w:gridSpan w:val="3"/>
            <w:tcBorders>
              <w:bottom w:val="nil"/>
            </w:tcBorders>
          </w:tcPr>
          <w:p w14:paraId="532E7F9A" w14:textId="77777777" w:rsidR="00BE41B8" w:rsidRPr="00510442" w:rsidRDefault="00BE41B8" w:rsidP="003179A4">
            <w:pPr>
              <w:pStyle w:val="EndnoteText"/>
              <w:keepNext/>
              <w:widowControl w:val="0"/>
              <w:tabs>
                <w:tab w:val="clear" w:pos="567"/>
              </w:tabs>
              <w:jc w:val="center"/>
              <w:rPr>
                <w:color w:val="000000"/>
                <w:szCs w:val="22"/>
                <w:lang w:val="hr-HR"/>
              </w:rPr>
            </w:pPr>
            <w:r w:rsidRPr="00510442">
              <w:rPr>
                <w:color w:val="000000"/>
                <w:szCs w:val="22"/>
                <w:lang w:val="hr-HR"/>
              </w:rPr>
              <w:t xml:space="preserve">% </w:t>
            </w:r>
            <w:r w:rsidRPr="00510442">
              <w:rPr>
                <w:szCs w:val="22"/>
                <w:lang w:val="hr-HR"/>
              </w:rPr>
              <w:t xml:space="preserve">bolesnika </w:t>
            </w:r>
            <w:r w:rsidRPr="00510442">
              <w:rPr>
                <w:color w:val="000000"/>
                <w:szCs w:val="22"/>
                <w:lang w:val="hr-HR"/>
              </w:rPr>
              <w:t>(CI</w:t>
            </w:r>
            <w:r w:rsidRPr="00510442">
              <w:rPr>
                <w:color w:val="000000"/>
                <w:szCs w:val="22"/>
                <w:vertAlign w:val="subscript"/>
                <w:lang w:val="hr-HR"/>
              </w:rPr>
              <w:t>95%</w:t>
            </w:r>
            <w:r w:rsidRPr="00510442">
              <w:rPr>
                <w:color w:val="000000"/>
                <w:szCs w:val="22"/>
                <w:lang w:val="hr-HR"/>
              </w:rPr>
              <w:t>)</w:t>
            </w:r>
          </w:p>
        </w:tc>
      </w:tr>
      <w:tr w:rsidR="00BE41B8" w:rsidRPr="00510442" w14:paraId="5CA26024" w14:textId="77777777" w:rsidTr="003179A4">
        <w:trPr>
          <w:cantSplit/>
        </w:trPr>
        <w:tc>
          <w:tcPr>
            <w:tcW w:w="3085" w:type="dxa"/>
            <w:tcBorders>
              <w:bottom w:val="nil"/>
            </w:tcBorders>
          </w:tcPr>
          <w:p w14:paraId="33E69B72" w14:textId="77777777" w:rsidR="00BE41B8" w:rsidRPr="00510442" w:rsidRDefault="00BE41B8" w:rsidP="003179A4">
            <w:pPr>
              <w:pStyle w:val="EndnoteText"/>
              <w:keepNext/>
              <w:widowControl w:val="0"/>
              <w:tabs>
                <w:tab w:val="clear" w:pos="567"/>
              </w:tabs>
              <w:rPr>
                <w:color w:val="000000"/>
                <w:szCs w:val="22"/>
                <w:lang w:val="hr-HR"/>
              </w:rPr>
            </w:pPr>
            <w:r w:rsidRPr="00510442">
              <w:rPr>
                <w:szCs w:val="22"/>
                <w:lang w:val="hr-HR"/>
              </w:rPr>
              <w:t>Hematološki odgovor</w:t>
            </w:r>
            <w:r w:rsidRPr="00510442">
              <w:rPr>
                <w:szCs w:val="22"/>
                <w:vertAlign w:val="superscript"/>
                <w:lang w:val="hr-HR"/>
              </w:rPr>
              <w:t>1</w:t>
            </w:r>
          </w:p>
        </w:tc>
        <w:tc>
          <w:tcPr>
            <w:tcW w:w="2040" w:type="dxa"/>
            <w:tcBorders>
              <w:bottom w:val="nil"/>
            </w:tcBorders>
          </w:tcPr>
          <w:p w14:paraId="30E64034" w14:textId="77777777" w:rsidR="00BE41B8" w:rsidRPr="00510442" w:rsidRDefault="00BE41B8" w:rsidP="003179A4">
            <w:pPr>
              <w:pStyle w:val="EndnoteText"/>
              <w:keepNext/>
              <w:widowControl w:val="0"/>
              <w:tabs>
                <w:tab w:val="clear" w:pos="567"/>
              </w:tabs>
              <w:jc w:val="center"/>
              <w:rPr>
                <w:color w:val="000000"/>
                <w:szCs w:val="22"/>
                <w:lang w:val="hr-HR"/>
              </w:rPr>
            </w:pPr>
            <w:r w:rsidRPr="00510442">
              <w:rPr>
                <w:color w:val="000000"/>
                <w:szCs w:val="22"/>
                <w:lang w:val="hr-HR"/>
              </w:rPr>
              <w:t>95% (92,3</w:t>
            </w:r>
            <w:r w:rsidRPr="00510442">
              <w:rPr>
                <w:color w:val="000000"/>
                <w:szCs w:val="22"/>
                <w:lang w:val="hr-HR"/>
              </w:rPr>
              <w:noBreakHyphen/>
              <w:t>96,3)</w:t>
            </w:r>
          </w:p>
        </w:tc>
        <w:tc>
          <w:tcPr>
            <w:tcW w:w="1985" w:type="dxa"/>
            <w:tcBorders>
              <w:bottom w:val="nil"/>
            </w:tcBorders>
          </w:tcPr>
          <w:p w14:paraId="0C39D1ED" w14:textId="77777777" w:rsidR="00BE41B8" w:rsidRPr="00510442" w:rsidRDefault="00BE41B8" w:rsidP="003179A4">
            <w:pPr>
              <w:pStyle w:val="EndnoteText"/>
              <w:keepNext/>
              <w:widowControl w:val="0"/>
              <w:tabs>
                <w:tab w:val="clear" w:pos="567"/>
              </w:tabs>
              <w:jc w:val="center"/>
              <w:rPr>
                <w:color w:val="000000"/>
                <w:szCs w:val="22"/>
                <w:lang w:val="hr-HR"/>
              </w:rPr>
            </w:pPr>
            <w:r w:rsidRPr="00510442">
              <w:rPr>
                <w:color w:val="000000"/>
                <w:szCs w:val="22"/>
                <w:lang w:val="hr-HR"/>
              </w:rPr>
              <w:t>71% (65,3</w:t>
            </w:r>
            <w:r w:rsidRPr="00510442">
              <w:rPr>
                <w:color w:val="000000"/>
                <w:szCs w:val="22"/>
                <w:lang w:val="hr-HR"/>
              </w:rPr>
              <w:noBreakHyphen/>
              <w:t>77,2)</w:t>
            </w:r>
          </w:p>
        </w:tc>
        <w:tc>
          <w:tcPr>
            <w:tcW w:w="1929" w:type="dxa"/>
            <w:tcBorders>
              <w:bottom w:val="nil"/>
            </w:tcBorders>
          </w:tcPr>
          <w:p w14:paraId="21372C12" w14:textId="77777777" w:rsidR="00BE41B8" w:rsidRPr="00510442" w:rsidRDefault="00BE41B8" w:rsidP="003179A4">
            <w:pPr>
              <w:pStyle w:val="EndnoteText"/>
              <w:keepNext/>
              <w:widowControl w:val="0"/>
              <w:tabs>
                <w:tab w:val="clear" w:pos="567"/>
              </w:tabs>
              <w:jc w:val="center"/>
              <w:rPr>
                <w:color w:val="000000"/>
                <w:szCs w:val="22"/>
                <w:lang w:val="hr-HR"/>
              </w:rPr>
            </w:pPr>
            <w:r w:rsidRPr="00510442">
              <w:rPr>
                <w:color w:val="000000"/>
                <w:szCs w:val="22"/>
                <w:lang w:val="hr-HR"/>
              </w:rPr>
              <w:t>31% (25,2</w:t>
            </w:r>
            <w:r w:rsidRPr="00510442">
              <w:rPr>
                <w:color w:val="000000"/>
                <w:szCs w:val="22"/>
                <w:lang w:val="hr-HR"/>
              </w:rPr>
              <w:noBreakHyphen/>
              <w:t>36,8)</w:t>
            </w:r>
          </w:p>
        </w:tc>
      </w:tr>
      <w:tr w:rsidR="00BE41B8" w:rsidRPr="00510442" w14:paraId="70671A0B" w14:textId="77777777" w:rsidTr="003179A4">
        <w:trPr>
          <w:cantSplit/>
        </w:trPr>
        <w:tc>
          <w:tcPr>
            <w:tcW w:w="3085" w:type="dxa"/>
            <w:tcBorders>
              <w:top w:val="nil"/>
              <w:bottom w:val="nil"/>
            </w:tcBorders>
          </w:tcPr>
          <w:p w14:paraId="5C4F285B" w14:textId="77777777" w:rsidR="00BE41B8" w:rsidRPr="00510442" w:rsidRDefault="00BE41B8" w:rsidP="003179A4">
            <w:pPr>
              <w:pStyle w:val="EndnoteText"/>
              <w:keepNext/>
              <w:widowControl w:val="0"/>
              <w:tabs>
                <w:tab w:val="clear" w:pos="567"/>
              </w:tabs>
              <w:ind w:left="284"/>
              <w:rPr>
                <w:color w:val="000000"/>
                <w:szCs w:val="22"/>
                <w:lang w:val="hr-HR"/>
              </w:rPr>
            </w:pPr>
            <w:r w:rsidRPr="00510442">
              <w:rPr>
                <w:szCs w:val="22"/>
                <w:lang w:val="hr-HR"/>
              </w:rPr>
              <w:t>Potpuni hematološki odgovor (CHR)</w:t>
            </w:r>
          </w:p>
        </w:tc>
        <w:tc>
          <w:tcPr>
            <w:tcW w:w="2040" w:type="dxa"/>
            <w:tcBorders>
              <w:top w:val="nil"/>
              <w:bottom w:val="nil"/>
            </w:tcBorders>
          </w:tcPr>
          <w:p w14:paraId="63CC1EBF" w14:textId="77777777" w:rsidR="00BE41B8" w:rsidRPr="00510442" w:rsidRDefault="00BE41B8" w:rsidP="003179A4">
            <w:pPr>
              <w:pStyle w:val="EndnoteText"/>
              <w:keepNext/>
              <w:widowControl w:val="0"/>
              <w:tabs>
                <w:tab w:val="clear" w:pos="567"/>
              </w:tabs>
              <w:jc w:val="center"/>
              <w:rPr>
                <w:color w:val="000000"/>
                <w:szCs w:val="22"/>
                <w:lang w:val="hr-HR"/>
              </w:rPr>
            </w:pPr>
            <w:r w:rsidRPr="00510442">
              <w:rPr>
                <w:color w:val="000000"/>
                <w:szCs w:val="22"/>
                <w:lang w:val="hr-HR"/>
              </w:rPr>
              <w:t>95%</w:t>
            </w:r>
          </w:p>
        </w:tc>
        <w:tc>
          <w:tcPr>
            <w:tcW w:w="1985" w:type="dxa"/>
            <w:tcBorders>
              <w:top w:val="nil"/>
              <w:bottom w:val="nil"/>
            </w:tcBorders>
          </w:tcPr>
          <w:p w14:paraId="28C4709C" w14:textId="77777777" w:rsidR="00BE41B8" w:rsidRPr="00510442" w:rsidRDefault="00BE41B8" w:rsidP="003179A4">
            <w:pPr>
              <w:pStyle w:val="EndnoteText"/>
              <w:keepNext/>
              <w:widowControl w:val="0"/>
              <w:tabs>
                <w:tab w:val="clear" w:pos="567"/>
              </w:tabs>
              <w:jc w:val="center"/>
              <w:rPr>
                <w:color w:val="000000"/>
                <w:szCs w:val="22"/>
                <w:lang w:val="hr-HR"/>
              </w:rPr>
            </w:pPr>
            <w:r w:rsidRPr="00510442">
              <w:rPr>
                <w:color w:val="000000"/>
                <w:szCs w:val="22"/>
                <w:lang w:val="hr-HR"/>
              </w:rPr>
              <w:t>42%</w:t>
            </w:r>
          </w:p>
        </w:tc>
        <w:tc>
          <w:tcPr>
            <w:tcW w:w="1929" w:type="dxa"/>
            <w:tcBorders>
              <w:top w:val="nil"/>
              <w:bottom w:val="nil"/>
            </w:tcBorders>
          </w:tcPr>
          <w:p w14:paraId="1320E7BE" w14:textId="77777777" w:rsidR="00BE41B8" w:rsidRPr="00510442" w:rsidRDefault="00BE41B8" w:rsidP="003179A4">
            <w:pPr>
              <w:pStyle w:val="EndnoteText"/>
              <w:keepNext/>
              <w:widowControl w:val="0"/>
              <w:tabs>
                <w:tab w:val="clear" w:pos="567"/>
              </w:tabs>
              <w:jc w:val="center"/>
              <w:rPr>
                <w:color w:val="000000"/>
                <w:szCs w:val="22"/>
                <w:lang w:val="hr-HR"/>
              </w:rPr>
            </w:pPr>
            <w:r w:rsidRPr="00510442">
              <w:rPr>
                <w:color w:val="000000"/>
                <w:szCs w:val="22"/>
                <w:lang w:val="hr-HR"/>
              </w:rPr>
              <w:t>8%</w:t>
            </w:r>
          </w:p>
        </w:tc>
      </w:tr>
      <w:tr w:rsidR="00BE41B8" w:rsidRPr="00510442" w14:paraId="38A39953" w14:textId="77777777" w:rsidTr="003179A4">
        <w:trPr>
          <w:cantSplit/>
        </w:trPr>
        <w:tc>
          <w:tcPr>
            <w:tcW w:w="3085" w:type="dxa"/>
            <w:tcBorders>
              <w:top w:val="nil"/>
              <w:bottom w:val="nil"/>
            </w:tcBorders>
          </w:tcPr>
          <w:p w14:paraId="3E5F16C6" w14:textId="77777777" w:rsidR="00BE41B8" w:rsidRPr="00510442" w:rsidRDefault="00BE41B8" w:rsidP="003179A4">
            <w:pPr>
              <w:pStyle w:val="EndnoteText"/>
              <w:keepNext/>
              <w:widowControl w:val="0"/>
              <w:tabs>
                <w:tab w:val="clear" w:pos="567"/>
              </w:tabs>
              <w:ind w:left="284"/>
              <w:rPr>
                <w:color w:val="000000"/>
                <w:szCs w:val="22"/>
                <w:lang w:val="hr-HR"/>
              </w:rPr>
            </w:pPr>
            <w:r w:rsidRPr="00510442">
              <w:rPr>
                <w:szCs w:val="22"/>
                <w:lang w:val="hr-HR"/>
              </w:rPr>
              <w:t>Nema dokaza leukemije</w:t>
            </w:r>
            <w:r w:rsidRPr="00510442">
              <w:rPr>
                <w:color w:val="000000"/>
                <w:szCs w:val="22"/>
                <w:lang w:val="hr-HR"/>
              </w:rPr>
              <w:t xml:space="preserve"> (NEL)</w:t>
            </w:r>
          </w:p>
        </w:tc>
        <w:tc>
          <w:tcPr>
            <w:tcW w:w="2040" w:type="dxa"/>
            <w:tcBorders>
              <w:top w:val="nil"/>
              <w:bottom w:val="nil"/>
            </w:tcBorders>
          </w:tcPr>
          <w:p w14:paraId="60F990A8" w14:textId="77777777" w:rsidR="00BE41B8" w:rsidRPr="00510442" w:rsidRDefault="00BE41B8" w:rsidP="003179A4">
            <w:pPr>
              <w:pStyle w:val="EndnoteText"/>
              <w:keepNext/>
              <w:widowControl w:val="0"/>
              <w:tabs>
                <w:tab w:val="clear" w:pos="567"/>
              </w:tabs>
              <w:jc w:val="center"/>
              <w:rPr>
                <w:color w:val="000000"/>
                <w:szCs w:val="22"/>
                <w:lang w:val="hr-HR"/>
              </w:rPr>
            </w:pPr>
            <w:r w:rsidRPr="00510442">
              <w:rPr>
                <w:szCs w:val="22"/>
                <w:lang w:val="hr-HR"/>
              </w:rPr>
              <w:t>nije primjenjivo</w:t>
            </w:r>
          </w:p>
        </w:tc>
        <w:tc>
          <w:tcPr>
            <w:tcW w:w="1985" w:type="dxa"/>
            <w:tcBorders>
              <w:top w:val="nil"/>
              <w:bottom w:val="nil"/>
            </w:tcBorders>
          </w:tcPr>
          <w:p w14:paraId="612F57FE" w14:textId="77777777" w:rsidR="00BE41B8" w:rsidRPr="00510442" w:rsidRDefault="00BE41B8" w:rsidP="003179A4">
            <w:pPr>
              <w:pStyle w:val="EndnoteText"/>
              <w:keepNext/>
              <w:widowControl w:val="0"/>
              <w:tabs>
                <w:tab w:val="clear" w:pos="567"/>
              </w:tabs>
              <w:jc w:val="center"/>
              <w:rPr>
                <w:color w:val="000000"/>
                <w:szCs w:val="22"/>
                <w:lang w:val="hr-HR"/>
              </w:rPr>
            </w:pPr>
            <w:r w:rsidRPr="00510442">
              <w:rPr>
                <w:color w:val="000000"/>
                <w:szCs w:val="22"/>
                <w:lang w:val="hr-HR"/>
              </w:rPr>
              <w:t>12%</w:t>
            </w:r>
          </w:p>
        </w:tc>
        <w:tc>
          <w:tcPr>
            <w:tcW w:w="1929" w:type="dxa"/>
            <w:tcBorders>
              <w:top w:val="nil"/>
              <w:bottom w:val="nil"/>
            </w:tcBorders>
          </w:tcPr>
          <w:p w14:paraId="704F98BE" w14:textId="77777777" w:rsidR="00BE41B8" w:rsidRPr="00510442" w:rsidRDefault="00BE41B8" w:rsidP="003179A4">
            <w:pPr>
              <w:pStyle w:val="EndnoteText"/>
              <w:keepNext/>
              <w:widowControl w:val="0"/>
              <w:tabs>
                <w:tab w:val="clear" w:pos="567"/>
              </w:tabs>
              <w:jc w:val="center"/>
              <w:rPr>
                <w:color w:val="000000"/>
                <w:szCs w:val="22"/>
                <w:lang w:val="hr-HR"/>
              </w:rPr>
            </w:pPr>
            <w:r w:rsidRPr="00510442">
              <w:rPr>
                <w:color w:val="000000"/>
                <w:szCs w:val="22"/>
                <w:lang w:val="hr-HR"/>
              </w:rPr>
              <w:t>5%</w:t>
            </w:r>
          </w:p>
        </w:tc>
      </w:tr>
      <w:tr w:rsidR="00BE41B8" w:rsidRPr="00510442" w14:paraId="57991454" w14:textId="77777777" w:rsidTr="003179A4">
        <w:trPr>
          <w:cantSplit/>
        </w:trPr>
        <w:tc>
          <w:tcPr>
            <w:tcW w:w="3085" w:type="dxa"/>
            <w:tcBorders>
              <w:top w:val="nil"/>
              <w:bottom w:val="nil"/>
            </w:tcBorders>
          </w:tcPr>
          <w:p w14:paraId="773DD8FE" w14:textId="77777777" w:rsidR="00BE41B8" w:rsidRPr="00510442" w:rsidRDefault="00BE41B8" w:rsidP="003179A4">
            <w:pPr>
              <w:pStyle w:val="EndnoteText"/>
              <w:keepNext/>
              <w:widowControl w:val="0"/>
              <w:tabs>
                <w:tab w:val="clear" w:pos="567"/>
              </w:tabs>
              <w:ind w:left="284"/>
              <w:rPr>
                <w:color w:val="000000"/>
                <w:szCs w:val="22"/>
                <w:lang w:val="hr-HR"/>
              </w:rPr>
            </w:pPr>
            <w:r w:rsidRPr="00510442">
              <w:rPr>
                <w:szCs w:val="22"/>
                <w:lang w:val="hr-HR"/>
              </w:rPr>
              <w:t xml:space="preserve">Vraćanje na kroničnu fazu </w:t>
            </w:r>
            <w:r w:rsidRPr="00510442">
              <w:rPr>
                <w:color w:val="000000"/>
                <w:szCs w:val="22"/>
                <w:lang w:val="hr-HR"/>
              </w:rPr>
              <w:t>(</w:t>
            </w:r>
            <w:smartTag w:uri="urn:schemas-microsoft-com:office:smarttags" w:element="stockticker">
              <w:r w:rsidRPr="00510442">
                <w:rPr>
                  <w:color w:val="000000"/>
                  <w:szCs w:val="22"/>
                  <w:lang w:val="hr-HR"/>
                </w:rPr>
                <w:t>RTC</w:t>
              </w:r>
            </w:smartTag>
            <w:r w:rsidRPr="00510442">
              <w:rPr>
                <w:color w:val="000000"/>
                <w:szCs w:val="22"/>
                <w:lang w:val="hr-HR"/>
              </w:rPr>
              <w:t>)</w:t>
            </w:r>
          </w:p>
        </w:tc>
        <w:tc>
          <w:tcPr>
            <w:tcW w:w="2040" w:type="dxa"/>
            <w:tcBorders>
              <w:top w:val="nil"/>
              <w:bottom w:val="nil"/>
            </w:tcBorders>
          </w:tcPr>
          <w:p w14:paraId="1ABA924B" w14:textId="77777777" w:rsidR="00BE41B8" w:rsidRPr="00510442" w:rsidRDefault="00BE41B8" w:rsidP="003179A4">
            <w:pPr>
              <w:pStyle w:val="EndnoteText"/>
              <w:keepNext/>
              <w:widowControl w:val="0"/>
              <w:tabs>
                <w:tab w:val="clear" w:pos="567"/>
              </w:tabs>
              <w:jc w:val="center"/>
              <w:rPr>
                <w:color w:val="000000"/>
                <w:szCs w:val="22"/>
                <w:lang w:val="hr-HR"/>
              </w:rPr>
            </w:pPr>
            <w:r w:rsidRPr="00510442">
              <w:rPr>
                <w:szCs w:val="22"/>
                <w:lang w:val="hr-HR"/>
              </w:rPr>
              <w:t>nije primjenjivo</w:t>
            </w:r>
          </w:p>
        </w:tc>
        <w:tc>
          <w:tcPr>
            <w:tcW w:w="1985" w:type="dxa"/>
            <w:tcBorders>
              <w:top w:val="nil"/>
              <w:bottom w:val="nil"/>
            </w:tcBorders>
          </w:tcPr>
          <w:p w14:paraId="028B1134" w14:textId="77777777" w:rsidR="00BE41B8" w:rsidRPr="00510442" w:rsidRDefault="00BE41B8" w:rsidP="003179A4">
            <w:pPr>
              <w:pStyle w:val="EndnoteText"/>
              <w:keepNext/>
              <w:widowControl w:val="0"/>
              <w:tabs>
                <w:tab w:val="clear" w:pos="567"/>
              </w:tabs>
              <w:jc w:val="center"/>
              <w:rPr>
                <w:color w:val="000000"/>
                <w:szCs w:val="22"/>
                <w:lang w:val="hr-HR"/>
              </w:rPr>
            </w:pPr>
            <w:r w:rsidRPr="00510442">
              <w:rPr>
                <w:color w:val="000000"/>
                <w:szCs w:val="22"/>
                <w:lang w:val="hr-HR"/>
              </w:rPr>
              <w:t>17%</w:t>
            </w:r>
          </w:p>
        </w:tc>
        <w:tc>
          <w:tcPr>
            <w:tcW w:w="1929" w:type="dxa"/>
            <w:tcBorders>
              <w:top w:val="nil"/>
              <w:bottom w:val="nil"/>
            </w:tcBorders>
          </w:tcPr>
          <w:p w14:paraId="2C1FB615" w14:textId="77777777" w:rsidR="00BE41B8" w:rsidRPr="00510442" w:rsidRDefault="00BE41B8" w:rsidP="003179A4">
            <w:pPr>
              <w:pStyle w:val="EndnoteText"/>
              <w:keepNext/>
              <w:widowControl w:val="0"/>
              <w:tabs>
                <w:tab w:val="clear" w:pos="567"/>
              </w:tabs>
              <w:jc w:val="center"/>
              <w:rPr>
                <w:color w:val="000000"/>
                <w:szCs w:val="22"/>
                <w:lang w:val="hr-HR"/>
              </w:rPr>
            </w:pPr>
            <w:r w:rsidRPr="00510442">
              <w:rPr>
                <w:color w:val="000000"/>
                <w:szCs w:val="22"/>
                <w:lang w:val="hr-HR"/>
              </w:rPr>
              <w:t>18%</w:t>
            </w:r>
          </w:p>
        </w:tc>
      </w:tr>
      <w:tr w:rsidR="00BE41B8" w:rsidRPr="00510442" w14:paraId="5979A0AA" w14:textId="77777777" w:rsidTr="003179A4">
        <w:trPr>
          <w:cantSplit/>
        </w:trPr>
        <w:tc>
          <w:tcPr>
            <w:tcW w:w="3085" w:type="dxa"/>
            <w:tcBorders>
              <w:bottom w:val="nil"/>
            </w:tcBorders>
          </w:tcPr>
          <w:p w14:paraId="26ADBD0C" w14:textId="77777777" w:rsidR="00BE41B8" w:rsidRPr="00510442" w:rsidRDefault="00BE41B8" w:rsidP="003179A4">
            <w:pPr>
              <w:pStyle w:val="EndnoteText"/>
              <w:keepNext/>
              <w:widowControl w:val="0"/>
              <w:tabs>
                <w:tab w:val="clear" w:pos="567"/>
              </w:tabs>
              <w:rPr>
                <w:color w:val="000000"/>
                <w:szCs w:val="22"/>
                <w:lang w:val="hr-HR"/>
              </w:rPr>
            </w:pPr>
            <w:r w:rsidRPr="00510442">
              <w:rPr>
                <w:szCs w:val="22"/>
                <w:lang w:val="hr-HR"/>
              </w:rPr>
              <w:t>Veliki citogenetski odgovor</w:t>
            </w:r>
            <w:r w:rsidRPr="00510442">
              <w:rPr>
                <w:szCs w:val="22"/>
                <w:vertAlign w:val="superscript"/>
                <w:lang w:val="hr-HR"/>
              </w:rPr>
              <w:t>2</w:t>
            </w:r>
          </w:p>
        </w:tc>
        <w:tc>
          <w:tcPr>
            <w:tcW w:w="2040" w:type="dxa"/>
            <w:tcBorders>
              <w:bottom w:val="nil"/>
            </w:tcBorders>
          </w:tcPr>
          <w:p w14:paraId="723A49BA" w14:textId="77777777" w:rsidR="00BE41B8" w:rsidRPr="00510442" w:rsidRDefault="00BE41B8" w:rsidP="003179A4">
            <w:pPr>
              <w:pStyle w:val="EndnoteText"/>
              <w:keepNext/>
              <w:widowControl w:val="0"/>
              <w:tabs>
                <w:tab w:val="clear" w:pos="567"/>
              </w:tabs>
              <w:jc w:val="center"/>
              <w:rPr>
                <w:color w:val="000000"/>
                <w:szCs w:val="22"/>
                <w:lang w:val="hr-HR"/>
              </w:rPr>
            </w:pPr>
            <w:r w:rsidRPr="00510442">
              <w:rPr>
                <w:color w:val="000000"/>
                <w:szCs w:val="22"/>
                <w:lang w:val="hr-HR"/>
              </w:rPr>
              <w:t>65% (61,2</w:t>
            </w:r>
            <w:r w:rsidRPr="00510442">
              <w:rPr>
                <w:color w:val="000000"/>
                <w:szCs w:val="22"/>
                <w:lang w:val="hr-HR"/>
              </w:rPr>
              <w:noBreakHyphen/>
              <w:t>69,5)</w:t>
            </w:r>
          </w:p>
        </w:tc>
        <w:tc>
          <w:tcPr>
            <w:tcW w:w="1985" w:type="dxa"/>
            <w:tcBorders>
              <w:bottom w:val="nil"/>
            </w:tcBorders>
          </w:tcPr>
          <w:p w14:paraId="412B52A4" w14:textId="77777777" w:rsidR="00BE41B8" w:rsidRPr="00510442" w:rsidRDefault="00BE41B8" w:rsidP="003179A4">
            <w:pPr>
              <w:pStyle w:val="EndnoteText"/>
              <w:keepNext/>
              <w:widowControl w:val="0"/>
              <w:tabs>
                <w:tab w:val="clear" w:pos="567"/>
              </w:tabs>
              <w:jc w:val="center"/>
              <w:rPr>
                <w:color w:val="000000"/>
                <w:szCs w:val="22"/>
                <w:lang w:val="hr-HR"/>
              </w:rPr>
            </w:pPr>
            <w:r w:rsidRPr="00510442">
              <w:rPr>
                <w:color w:val="000000"/>
                <w:szCs w:val="22"/>
                <w:lang w:val="hr-HR"/>
              </w:rPr>
              <w:t>28% (22,0</w:t>
            </w:r>
            <w:r w:rsidRPr="00510442">
              <w:rPr>
                <w:color w:val="000000"/>
                <w:szCs w:val="22"/>
                <w:lang w:val="hr-HR"/>
              </w:rPr>
              <w:noBreakHyphen/>
              <w:t>33,9)</w:t>
            </w:r>
          </w:p>
        </w:tc>
        <w:tc>
          <w:tcPr>
            <w:tcW w:w="1929" w:type="dxa"/>
            <w:tcBorders>
              <w:bottom w:val="nil"/>
            </w:tcBorders>
          </w:tcPr>
          <w:p w14:paraId="360E30F9" w14:textId="77777777" w:rsidR="00BE41B8" w:rsidRPr="00510442" w:rsidRDefault="00BE41B8" w:rsidP="003179A4">
            <w:pPr>
              <w:pStyle w:val="EndnoteText"/>
              <w:keepNext/>
              <w:widowControl w:val="0"/>
              <w:tabs>
                <w:tab w:val="clear" w:pos="567"/>
              </w:tabs>
              <w:jc w:val="center"/>
              <w:rPr>
                <w:color w:val="000000"/>
                <w:szCs w:val="22"/>
                <w:lang w:val="hr-HR"/>
              </w:rPr>
            </w:pPr>
            <w:r w:rsidRPr="00510442">
              <w:rPr>
                <w:color w:val="000000"/>
                <w:szCs w:val="22"/>
                <w:lang w:val="hr-HR"/>
              </w:rPr>
              <w:t>15% (11,2</w:t>
            </w:r>
            <w:r w:rsidRPr="00510442">
              <w:rPr>
                <w:color w:val="000000"/>
                <w:szCs w:val="22"/>
                <w:lang w:val="hr-HR"/>
              </w:rPr>
              <w:noBreakHyphen/>
              <w:t>20,4)</w:t>
            </w:r>
          </w:p>
        </w:tc>
      </w:tr>
      <w:tr w:rsidR="00BE41B8" w:rsidRPr="00510442" w14:paraId="35DBD46A" w14:textId="77777777" w:rsidTr="003179A4">
        <w:trPr>
          <w:cantSplit/>
        </w:trPr>
        <w:tc>
          <w:tcPr>
            <w:tcW w:w="3085" w:type="dxa"/>
            <w:tcBorders>
              <w:top w:val="nil"/>
              <w:bottom w:val="nil"/>
            </w:tcBorders>
          </w:tcPr>
          <w:p w14:paraId="2A157C4A" w14:textId="77777777" w:rsidR="00BE41B8" w:rsidRPr="00510442" w:rsidRDefault="00BE41B8" w:rsidP="003179A4">
            <w:pPr>
              <w:pStyle w:val="EndnoteText"/>
              <w:keepNext/>
              <w:widowControl w:val="0"/>
              <w:tabs>
                <w:tab w:val="clear" w:pos="567"/>
              </w:tabs>
              <w:ind w:left="284"/>
              <w:rPr>
                <w:color w:val="000000"/>
                <w:szCs w:val="22"/>
                <w:lang w:val="hr-HR"/>
              </w:rPr>
            </w:pPr>
            <w:r w:rsidRPr="00510442">
              <w:rPr>
                <w:szCs w:val="22"/>
                <w:lang w:val="hr-HR"/>
              </w:rPr>
              <w:t>Potpuni</w:t>
            </w:r>
          </w:p>
        </w:tc>
        <w:tc>
          <w:tcPr>
            <w:tcW w:w="2040" w:type="dxa"/>
            <w:tcBorders>
              <w:top w:val="nil"/>
              <w:bottom w:val="nil"/>
            </w:tcBorders>
          </w:tcPr>
          <w:p w14:paraId="154DF741" w14:textId="77777777" w:rsidR="00BE41B8" w:rsidRPr="00510442" w:rsidRDefault="00BE41B8" w:rsidP="003179A4">
            <w:pPr>
              <w:pStyle w:val="EndnoteText"/>
              <w:keepNext/>
              <w:widowControl w:val="0"/>
              <w:tabs>
                <w:tab w:val="clear" w:pos="567"/>
              </w:tabs>
              <w:jc w:val="center"/>
              <w:rPr>
                <w:color w:val="000000"/>
                <w:szCs w:val="22"/>
                <w:lang w:val="hr-HR"/>
              </w:rPr>
            </w:pPr>
            <w:r w:rsidRPr="00510442">
              <w:rPr>
                <w:color w:val="000000"/>
                <w:szCs w:val="22"/>
                <w:lang w:val="hr-HR"/>
              </w:rPr>
              <w:t>53%</w:t>
            </w:r>
          </w:p>
        </w:tc>
        <w:tc>
          <w:tcPr>
            <w:tcW w:w="1985" w:type="dxa"/>
            <w:tcBorders>
              <w:top w:val="nil"/>
              <w:bottom w:val="nil"/>
            </w:tcBorders>
          </w:tcPr>
          <w:p w14:paraId="6B134051" w14:textId="77777777" w:rsidR="00BE41B8" w:rsidRPr="00510442" w:rsidRDefault="00BE41B8" w:rsidP="003179A4">
            <w:pPr>
              <w:pStyle w:val="EndnoteText"/>
              <w:keepNext/>
              <w:widowControl w:val="0"/>
              <w:tabs>
                <w:tab w:val="clear" w:pos="567"/>
              </w:tabs>
              <w:jc w:val="center"/>
              <w:rPr>
                <w:color w:val="000000"/>
                <w:szCs w:val="22"/>
                <w:lang w:val="hr-HR"/>
              </w:rPr>
            </w:pPr>
            <w:r w:rsidRPr="00510442">
              <w:rPr>
                <w:color w:val="000000"/>
                <w:szCs w:val="22"/>
                <w:lang w:val="hr-HR"/>
              </w:rPr>
              <w:t>20%</w:t>
            </w:r>
          </w:p>
        </w:tc>
        <w:tc>
          <w:tcPr>
            <w:tcW w:w="1929" w:type="dxa"/>
            <w:tcBorders>
              <w:top w:val="nil"/>
              <w:bottom w:val="nil"/>
            </w:tcBorders>
          </w:tcPr>
          <w:p w14:paraId="5C975D1C" w14:textId="77777777" w:rsidR="00BE41B8" w:rsidRPr="00510442" w:rsidRDefault="00BE41B8" w:rsidP="003179A4">
            <w:pPr>
              <w:pStyle w:val="EndnoteText"/>
              <w:keepNext/>
              <w:widowControl w:val="0"/>
              <w:tabs>
                <w:tab w:val="clear" w:pos="567"/>
              </w:tabs>
              <w:jc w:val="center"/>
              <w:rPr>
                <w:color w:val="000000"/>
                <w:szCs w:val="22"/>
                <w:lang w:val="hr-HR"/>
              </w:rPr>
            </w:pPr>
            <w:r w:rsidRPr="00510442">
              <w:rPr>
                <w:color w:val="000000"/>
                <w:szCs w:val="22"/>
                <w:lang w:val="hr-HR"/>
              </w:rPr>
              <w:t>7%</w:t>
            </w:r>
          </w:p>
        </w:tc>
      </w:tr>
      <w:tr w:rsidR="00BE41B8" w:rsidRPr="00510442" w14:paraId="72264587" w14:textId="77777777" w:rsidTr="003179A4">
        <w:trPr>
          <w:cantSplit/>
        </w:trPr>
        <w:tc>
          <w:tcPr>
            <w:tcW w:w="3085" w:type="dxa"/>
            <w:tcBorders>
              <w:top w:val="nil"/>
              <w:bottom w:val="nil"/>
            </w:tcBorders>
          </w:tcPr>
          <w:p w14:paraId="4D70A6CC" w14:textId="77777777" w:rsidR="00BE41B8" w:rsidRPr="00510442" w:rsidRDefault="00BE41B8" w:rsidP="003179A4">
            <w:pPr>
              <w:pStyle w:val="BodyTextIndent2"/>
              <w:keepNext/>
              <w:widowControl w:val="0"/>
              <w:tabs>
                <w:tab w:val="clear" w:pos="567"/>
              </w:tabs>
              <w:spacing w:line="240" w:lineRule="auto"/>
              <w:ind w:left="284" w:firstLine="0"/>
              <w:jc w:val="left"/>
              <w:rPr>
                <w:b w:val="0"/>
                <w:color w:val="000000"/>
                <w:szCs w:val="22"/>
                <w:lang w:val="hr-HR"/>
              </w:rPr>
            </w:pPr>
            <w:r w:rsidRPr="00510442">
              <w:rPr>
                <w:b w:val="0"/>
                <w:szCs w:val="22"/>
                <w:lang w:val="hr-HR"/>
              </w:rPr>
              <w:t>(Potvrđeni</w:t>
            </w:r>
            <w:r w:rsidRPr="00510442">
              <w:rPr>
                <w:b w:val="0"/>
                <w:szCs w:val="22"/>
                <w:vertAlign w:val="superscript"/>
                <w:lang w:val="hr-HR"/>
              </w:rPr>
              <w:t>3</w:t>
            </w:r>
            <w:r w:rsidRPr="00510442">
              <w:rPr>
                <w:b w:val="0"/>
                <w:color w:val="000000"/>
                <w:szCs w:val="22"/>
                <w:lang w:val="hr-HR"/>
              </w:rPr>
              <w:t>) [95% CI]</w:t>
            </w:r>
          </w:p>
        </w:tc>
        <w:tc>
          <w:tcPr>
            <w:tcW w:w="2040" w:type="dxa"/>
            <w:tcBorders>
              <w:top w:val="nil"/>
              <w:bottom w:val="nil"/>
            </w:tcBorders>
          </w:tcPr>
          <w:p w14:paraId="75BBB41A" w14:textId="77777777" w:rsidR="00BE41B8" w:rsidRPr="00510442" w:rsidRDefault="00BE41B8" w:rsidP="003179A4">
            <w:pPr>
              <w:pStyle w:val="BodyTextIndent2"/>
              <w:keepNext/>
              <w:widowControl w:val="0"/>
              <w:tabs>
                <w:tab w:val="clear" w:pos="567"/>
              </w:tabs>
              <w:spacing w:line="240" w:lineRule="auto"/>
              <w:jc w:val="center"/>
              <w:rPr>
                <w:b w:val="0"/>
                <w:color w:val="000000"/>
                <w:szCs w:val="22"/>
                <w:lang w:val="hr-HR"/>
              </w:rPr>
            </w:pPr>
            <w:r w:rsidRPr="00510442">
              <w:rPr>
                <w:b w:val="0"/>
                <w:color w:val="000000"/>
                <w:szCs w:val="22"/>
                <w:lang w:val="hr-HR"/>
              </w:rPr>
              <w:t>(43%) [38,6</w:t>
            </w:r>
            <w:r w:rsidRPr="00510442">
              <w:rPr>
                <w:b w:val="0"/>
                <w:color w:val="000000"/>
                <w:szCs w:val="22"/>
                <w:lang w:val="hr-HR"/>
              </w:rPr>
              <w:noBreakHyphen/>
              <w:t>47,2]</w:t>
            </w:r>
          </w:p>
        </w:tc>
        <w:tc>
          <w:tcPr>
            <w:tcW w:w="1985" w:type="dxa"/>
            <w:tcBorders>
              <w:top w:val="nil"/>
              <w:bottom w:val="nil"/>
            </w:tcBorders>
          </w:tcPr>
          <w:p w14:paraId="3CF93B0A" w14:textId="77777777" w:rsidR="00BE41B8" w:rsidRPr="00510442" w:rsidRDefault="00BE41B8" w:rsidP="003179A4">
            <w:pPr>
              <w:pStyle w:val="BodyTextIndent2"/>
              <w:keepNext/>
              <w:widowControl w:val="0"/>
              <w:tabs>
                <w:tab w:val="clear" w:pos="567"/>
              </w:tabs>
              <w:spacing w:line="240" w:lineRule="auto"/>
              <w:jc w:val="center"/>
              <w:rPr>
                <w:b w:val="0"/>
                <w:color w:val="000000"/>
                <w:szCs w:val="22"/>
                <w:lang w:val="hr-HR"/>
              </w:rPr>
            </w:pPr>
            <w:r w:rsidRPr="00510442">
              <w:rPr>
                <w:b w:val="0"/>
                <w:color w:val="000000"/>
                <w:szCs w:val="22"/>
                <w:lang w:val="hr-HR"/>
              </w:rPr>
              <w:t>(16%) [11,3</w:t>
            </w:r>
            <w:r w:rsidRPr="00510442">
              <w:rPr>
                <w:b w:val="0"/>
                <w:color w:val="000000"/>
                <w:szCs w:val="22"/>
                <w:lang w:val="hr-HR"/>
              </w:rPr>
              <w:noBreakHyphen/>
              <w:t>21,0]</w:t>
            </w:r>
          </w:p>
        </w:tc>
        <w:tc>
          <w:tcPr>
            <w:tcW w:w="1929" w:type="dxa"/>
            <w:tcBorders>
              <w:top w:val="nil"/>
              <w:bottom w:val="nil"/>
            </w:tcBorders>
          </w:tcPr>
          <w:p w14:paraId="405AB032" w14:textId="77777777" w:rsidR="00BE41B8" w:rsidRPr="00510442" w:rsidRDefault="00BE41B8" w:rsidP="003179A4">
            <w:pPr>
              <w:pStyle w:val="BodyTextIndent2"/>
              <w:keepNext/>
              <w:widowControl w:val="0"/>
              <w:tabs>
                <w:tab w:val="clear" w:pos="567"/>
              </w:tabs>
              <w:spacing w:line="240" w:lineRule="auto"/>
              <w:jc w:val="center"/>
              <w:rPr>
                <w:b w:val="0"/>
                <w:color w:val="000000"/>
                <w:szCs w:val="22"/>
                <w:lang w:val="hr-HR"/>
              </w:rPr>
            </w:pPr>
            <w:r w:rsidRPr="00510442">
              <w:rPr>
                <w:b w:val="0"/>
                <w:color w:val="000000"/>
                <w:szCs w:val="22"/>
                <w:lang w:val="hr-HR"/>
              </w:rPr>
              <w:t>(2%) [0,6</w:t>
            </w:r>
            <w:r w:rsidRPr="00510442">
              <w:rPr>
                <w:b w:val="0"/>
                <w:color w:val="000000"/>
                <w:szCs w:val="22"/>
                <w:lang w:val="hr-HR"/>
              </w:rPr>
              <w:noBreakHyphen/>
              <w:t>4,4]</w:t>
            </w:r>
          </w:p>
        </w:tc>
      </w:tr>
      <w:tr w:rsidR="00BE41B8" w:rsidRPr="00510442" w14:paraId="07790A4D" w14:textId="77777777" w:rsidTr="003179A4">
        <w:trPr>
          <w:cantSplit/>
        </w:trPr>
        <w:tc>
          <w:tcPr>
            <w:tcW w:w="3085" w:type="dxa"/>
            <w:tcBorders>
              <w:top w:val="nil"/>
              <w:bottom w:val="nil"/>
            </w:tcBorders>
          </w:tcPr>
          <w:p w14:paraId="4146444E" w14:textId="77777777" w:rsidR="00BE41B8" w:rsidRPr="00510442" w:rsidRDefault="00BE41B8" w:rsidP="003179A4">
            <w:pPr>
              <w:pStyle w:val="EndnoteText"/>
              <w:keepNext/>
              <w:widowControl w:val="0"/>
              <w:tabs>
                <w:tab w:val="clear" w:pos="567"/>
              </w:tabs>
              <w:ind w:left="284"/>
              <w:rPr>
                <w:color w:val="000000"/>
                <w:szCs w:val="22"/>
                <w:lang w:val="hr-HR"/>
              </w:rPr>
            </w:pPr>
            <w:r w:rsidRPr="00510442">
              <w:rPr>
                <w:szCs w:val="22"/>
                <w:lang w:val="hr-HR"/>
              </w:rPr>
              <w:t>Djelomični</w:t>
            </w:r>
          </w:p>
        </w:tc>
        <w:tc>
          <w:tcPr>
            <w:tcW w:w="2040" w:type="dxa"/>
            <w:tcBorders>
              <w:top w:val="nil"/>
              <w:bottom w:val="nil"/>
            </w:tcBorders>
          </w:tcPr>
          <w:p w14:paraId="3FB72C58" w14:textId="77777777" w:rsidR="00BE41B8" w:rsidRPr="00510442" w:rsidRDefault="00BE41B8" w:rsidP="003179A4">
            <w:pPr>
              <w:pStyle w:val="EndnoteText"/>
              <w:keepNext/>
              <w:widowControl w:val="0"/>
              <w:tabs>
                <w:tab w:val="clear" w:pos="567"/>
              </w:tabs>
              <w:jc w:val="center"/>
              <w:rPr>
                <w:color w:val="000000"/>
                <w:szCs w:val="22"/>
                <w:lang w:val="hr-HR"/>
              </w:rPr>
            </w:pPr>
            <w:r w:rsidRPr="00510442">
              <w:rPr>
                <w:color w:val="000000"/>
                <w:szCs w:val="22"/>
                <w:lang w:val="hr-HR"/>
              </w:rPr>
              <w:t>12%</w:t>
            </w:r>
          </w:p>
        </w:tc>
        <w:tc>
          <w:tcPr>
            <w:tcW w:w="1985" w:type="dxa"/>
            <w:tcBorders>
              <w:top w:val="nil"/>
              <w:bottom w:val="nil"/>
            </w:tcBorders>
          </w:tcPr>
          <w:p w14:paraId="712CF4CC" w14:textId="77777777" w:rsidR="00BE41B8" w:rsidRPr="00510442" w:rsidRDefault="00BE41B8" w:rsidP="003179A4">
            <w:pPr>
              <w:pStyle w:val="EndnoteText"/>
              <w:keepNext/>
              <w:widowControl w:val="0"/>
              <w:tabs>
                <w:tab w:val="clear" w:pos="567"/>
              </w:tabs>
              <w:jc w:val="center"/>
              <w:rPr>
                <w:color w:val="000000"/>
                <w:szCs w:val="22"/>
                <w:lang w:val="hr-HR"/>
              </w:rPr>
            </w:pPr>
            <w:r w:rsidRPr="00510442">
              <w:rPr>
                <w:color w:val="000000"/>
                <w:szCs w:val="22"/>
                <w:lang w:val="hr-HR"/>
              </w:rPr>
              <w:t>7%</w:t>
            </w:r>
          </w:p>
        </w:tc>
        <w:tc>
          <w:tcPr>
            <w:tcW w:w="1929" w:type="dxa"/>
            <w:tcBorders>
              <w:top w:val="nil"/>
              <w:bottom w:val="nil"/>
            </w:tcBorders>
          </w:tcPr>
          <w:p w14:paraId="64B8253A" w14:textId="77777777" w:rsidR="00BE41B8" w:rsidRPr="00510442" w:rsidRDefault="00BE41B8" w:rsidP="003179A4">
            <w:pPr>
              <w:pStyle w:val="EndnoteText"/>
              <w:keepNext/>
              <w:widowControl w:val="0"/>
              <w:tabs>
                <w:tab w:val="clear" w:pos="567"/>
              </w:tabs>
              <w:jc w:val="center"/>
              <w:rPr>
                <w:color w:val="000000"/>
                <w:szCs w:val="22"/>
                <w:lang w:val="hr-HR"/>
              </w:rPr>
            </w:pPr>
            <w:r w:rsidRPr="00510442">
              <w:rPr>
                <w:color w:val="000000"/>
                <w:szCs w:val="22"/>
                <w:lang w:val="hr-HR"/>
              </w:rPr>
              <w:t>8%</w:t>
            </w:r>
          </w:p>
        </w:tc>
      </w:tr>
      <w:tr w:rsidR="00BE41B8" w:rsidRPr="00F410C8" w14:paraId="316008BA" w14:textId="77777777" w:rsidTr="003179A4">
        <w:trPr>
          <w:cantSplit/>
        </w:trPr>
        <w:tc>
          <w:tcPr>
            <w:tcW w:w="9039" w:type="dxa"/>
            <w:gridSpan w:val="4"/>
            <w:tcBorders>
              <w:top w:val="single" w:sz="4" w:space="0" w:color="auto"/>
              <w:bottom w:val="single" w:sz="4" w:space="0" w:color="auto"/>
            </w:tcBorders>
          </w:tcPr>
          <w:p w14:paraId="498CD27C" w14:textId="77777777" w:rsidR="00BE41B8" w:rsidRPr="00510442" w:rsidRDefault="00BE41B8" w:rsidP="00C210A6">
            <w:pPr>
              <w:pStyle w:val="Table"/>
              <w:keepNext w:val="0"/>
              <w:keepLines w:val="0"/>
              <w:widowControl w:val="0"/>
              <w:spacing w:before="0" w:after="0"/>
              <w:rPr>
                <w:rFonts w:ascii="Times New Roman" w:hAnsi="Times New Roman"/>
                <w:b/>
                <w:color w:val="000000"/>
                <w:sz w:val="22"/>
                <w:szCs w:val="22"/>
                <w:lang w:val="hr-HR"/>
              </w:rPr>
            </w:pPr>
            <w:r w:rsidRPr="00510442">
              <w:rPr>
                <w:rFonts w:ascii="Times New Roman" w:hAnsi="Times New Roman"/>
                <w:b/>
                <w:sz w:val="22"/>
                <w:szCs w:val="22"/>
                <w:vertAlign w:val="superscript"/>
                <w:lang w:val="hr-HR"/>
              </w:rPr>
              <w:t>1</w:t>
            </w:r>
            <w:r w:rsidRPr="00510442">
              <w:rPr>
                <w:rFonts w:ascii="Times New Roman" w:hAnsi="Times New Roman"/>
                <w:sz w:val="22"/>
                <w:szCs w:val="22"/>
                <w:lang w:val="hr-HR"/>
              </w:rPr>
              <w:t xml:space="preserve"> </w:t>
            </w:r>
            <w:r w:rsidRPr="00510442">
              <w:rPr>
                <w:rFonts w:ascii="Times New Roman" w:hAnsi="Times New Roman"/>
                <w:b/>
                <w:sz w:val="22"/>
                <w:szCs w:val="22"/>
                <w:lang w:val="hr-HR"/>
              </w:rPr>
              <w:t>Kriteriji hematološkog odgovora (svi se odgovori moraju potvrditi nakon ≥4</w:t>
            </w:r>
            <w:r w:rsidRPr="00510442">
              <w:rPr>
                <w:rFonts w:ascii="Times New Roman" w:hAnsi="Times New Roman"/>
                <w:b/>
                <w:color w:val="000000"/>
                <w:sz w:val="22"/>
                <w:szCs w:val="22"/>
                <w:lang w:val="hr-HR"/>
              </w:rPr>
              <w:t> </w:t>
            </w:r>
            <w:r w:rsidRPr="00510442">
              <w:rPr>
                <w:rFonts w:ascii="Times New Roman" w:hAnsi="Times New Roman"/>
                <w:b/>
                <w:sz w:val="22"/>
                <w:szCs w:val="22"/>
                <w:lang w:val="hr-HR"/>
              </w:rPr>
              <w:t>tjedna):</w:t>
            </w:r>
          </w:p>
          <w:p w14:paraId="3A73C6D3" w14:textId="77777777" w:rsidR="00BE41B8" w:rsidRPr="00510442" w:rsidRDefault="00BE41B8" w:rsidP="00C210A6">
            <w:pPr>
              <w:pStyle w:val="Table"/>
              <w:keepNext w:val="0"/>
              <w:keepLines w:val="0"/>
              <w:widowControl w:val="0"/>
              <w:tabs>
                <w:tab w:val="clear" w:pos="284"/>
              </w:tabs>
              <w:spacing w:before="0" w:after="0"/>
              <w:ind w:left="567" w:hanging="567"/>
              <w:rPr>
                <w:rFonts w:ascii="Times New Roman" w:hAnsi="Times New Roman"/>
                <w:color w:val="000000"/>
                <w:sz w:val="22"/>
                <w:szCs w:val="22"/>
                <w:lang w:val="hr-HR"/>
              </w:rPr>
            </w:pPr>
            <w:smartTag w:uri="urn:schemas-microsoft-com:office:smarttags" w:element="stockticker">
              <w:r w:rsidRPr="00510442">
                <w:rPr>
                  <w:rFonts w:ascii="Times New Roman" w:hAnsi="Times New Roman"/>
                  <w:color w:val="000000"/>
                  <w:sz w:val="22"/>
                  <w:szCs w:val="22"/>
                  <w:lang w:val="hr-HR"/>
                </w:rPr>
                <w:t>CHR</w:t>
              </w:r>
            </w:smartTag>
            <w:r w:rsidRPr="00510442">
              <w:rPr>
                <w:rFonts w:ascii="Times New Roman" w:hAnsi="Times New Roman"/>
                <w:color w:val="000000"/>
                <w:sz w:val="22"/>
                <w:szCs w:val="22"/>
                <w:lang w:val="hr-HR"/>
              </w:rPr>
              <w:t>:</w:t>
            </w:r>
            <w:r w:rsidRPr="00510442">
              <w:rPr>
                <w:rFonts w:ascii="Times New Roman" w:hAnsi="Times New Roman"/>
                <w:color w:val="000000"/>
                <w:sz w:val="22"/>
                <w:szCs w:val="22"/>
                <w:lang w:val="hr-HR"/>
              </w:rPr>
              <w:tab/>
            </w:r>
            <w:r w:rsidRPr="00510442">
              <w:rPr>
                <w:rFonts w:ascii="Times New Roman" w:hAnsi="Times New Roman"/>
                <w:sz w:val="22"/>
                <w:szCs w:val="22"/>
                <w:lang w:val="hr-HR"/>
              </w:rPr>
              <w:t>Studija 0110 [WBC &lt;10</w:t>
            </w:r>
            <w:r w:rsidRPr="00510442">
              <w:rPr>
                <w:rFonts w:ascii="Times New Roman" w:hAnsi="Times New Roman"/>
                <w:b/>
                <w:color w:val="000000"/>
                <w:sz w:val="22"/>
                <w:szCs w:val="22"/>
                <w:lang w:val="hr-HR"/>
              </w:rPr>
              <w:t> </w:t>
            </w:r>
            <w:r w:rsidRPr="00510442">
              <w:rPr>
                <w:rFonts w:ascii="Times New Roman" w:hAnsi="Times New Roman"/>
                <w:sz w:val="22"/>
                <w:szCs w:val="22"/>
                <w:lang w:val="hr-HR"/>
              </w:rPr>
              <w:t>x</w:t>
            </w:r>
            <w:r w:rsidRPr="00510442">
              <w:rPr>
                <w:rFonts w:ascii="Times New Roman" w:hAnsi="Times New Roman"/>
                <w:b/>
                <w:color w:val="000000"/>
                <w:sz w:val="22"/>
                <w:szCs w:val="22"/>
                <w:lang w:val="hr-HR"/>
              </w:rPr>
              <w:t> </w:t>
            </w:r>
            <w:r w:rsidRPr="00510442">
              <w:rPr>
                <w:rFonts w:ascii="Times New Roman" w:hAnsi="Times New Roman"/>
                <w:sz w:val="22"/>
                <w:szCs w:val="22"/>
                <w:lang w:val="hr-HR"/>
              </w:rPr>
              <w:t>10</w:t>
            </w:r>
            <w:r w:rsidRPr="00510442">
              <w:rPr>
                <w:rFonts w:ascii="Times New Roman" w:hAnsi="Times New Roman"/>
                <w:sz w:val="22"/>
                <w:szCs w:val="22"/>
                <w:vertAlign w:val="superscript"/>
                <w:lang w:val="hr-HR"/>
              </w:rPr>
              <w:t>9</w:t>
            </w:r>
            <w:r w:rsidRPr="00510442">
              <w:rPr>
                <w:rFonts w:ascii="Times New Roman" w:hAnsi="Times New Roman"/>
                <w:sz w:val="22"/>
                <w:szCs w:val="22"/>
                <w:lang w:val="hr-HR"/>
              </w:rPr>
              <w:t>/l, trombociti &lt;450</w:t>
            </w:r>
            <w:r w:rsidRPr="00510442">
              <w:rPr>
                <w:rFonts w:ascii="Times New Roman" w:hAnsi="Times New Roman"/>
                <w:b/>
                <w:color w:val="000000"/>
                <w:sz w:val="22"/>
                <w:szCs w:val="22"/>
                <w:lang w:val="hr-HR"/>
              </w:rPr>
              <w:t> </w:t>
            </w:r>
            <w:r w:rsidRPr="00510442">
              <w:rPr>
                <w:rFonts w:ascii="Times New Roman" w:hAnsi="Times New Roman"/>
                <w:sz w:val="22"/>
                <w:szCs w:val="22"/>
                <w:lang w:val="hr-HR"/>
              </w:rPr>
              <w:t>x</w:t>
            </w:r>
            <w:r w:rsidRPr="00510442">
              <w:rPr>
                <w:rFonts w:ascii="Times New Roman" w:hAnsi="Times New Roman"/>
                <w:b/>
                <w:color w:val="000000"/>
                <w:sz w:val="22"/>
                <w:szCs w:val="22"/>
                <w:lang w:val="hr-HR"/>
              </w:rPr>
              <w:t> </w:t>
            </w:r>
            <w:r w:rsidRPr="00510442">
              <w:rPr>
                <w:rFonts w:ascii="Times New Roman" w:hAnsi="Times New Roman"/>
                <w:sz w:val="22"/>
                <w:szCs w:val="22"/>
                <w:lang w:val="hr-HR"/>
              </w:rPr>
              <w:t>10</w:t>
            </w:r>
            <w:r w:rsidRPr="00510442">
              <w:rPr>
                <w:rFonts w:ascii="Times New Roman" w:hAnsi="Times New Roman"/>
                <w:sz w:val="22"/>
                <w:szCs w:val="22"/>
                <w:vertAlign w:val="superscript"/>
                <w:lang w:val="hr-HR"/>
              </w:rPr>
              <w:t>9</w:t>
            </w:r>
            <w:r w:rsidRPr="00510442">
              <w:rPr>
                <w:rFonts w:ascii="Times New Roman" w:hAnsi="Times New Roman"/>
                <w:sz w:val="22"/>
                <w:szCs w:val="22"/>
                <w:lang w:val="hr-HR"/>
              </w:rPr>
              <w:t>/l, mijelociti+metamijelociti &lt;5% u krvi, u krvi nema blasta i promijelocita, bazofili &lt;20%, nema ekstramedularne zahvaćenosti], a u studijama 0102 i 0109 [ABN ≥1,5</w:t>
            </w:r>
            <w:r w:rsidRPr="00510442">
              <w:rPr>
                <w:rFonts w:ascii="Times New Roman" w:hAnsi="Times New Roman"/>
                <w:b/>
                <w:color w:val="000000"/>
                <w:sz w:val="22"/>
                <w:szCs w:val="22"/>
                <w:lang w:val="hr-HR"/>
              </w:rPr>
              <w:t> </w:t>
            </w:r>
            <w:r w:rsidRPr="00510442">
              <w:rPr>
                <w:rFonts w:ascii="Times New Roman" w:hAnsi="Times New Roman"/>
                <w:sz w:val="22"/>
                <w:szCs w:val="22"/>
                <w:lang w:val="hr-HR"/>
              </w:rPr>
              <w:t>x</w:t>
            </w:r>
            <w:r w:rsidRPr="00510442">
              <w:rPr>
                <w:rFonts w:ascii="Times New Roman" w:hAnsi="Times New Roman"/>
                <w:b/>
                <w:color w:val="000000"/>
                <w:sz w:val="22"/>
                <w:szCs w:val="22"/>
                <w:lang w:val="hr-HR"/>
              </w:rPr>
              <w:t> </w:t>
            </w:r>
            <w:r w:rsidRPr="00510442">
              <w:rPr>
                <w:rFonts w:ascii="Times New Roman" w:hAnsi="Times New Roman"/>
                <w:sz w:val="22"/>
                <w:szCs w:val="22"/>
                <w:lang w:val="hr-HR"/>
              </w:rPr>
              <w:t>10</w:t>
            </w:r>
            <w:r w:rsidRPr="00510442">
              <w:rPr>
                <w:rFonts w:ascii="Times New Roman" w:hAnsi="Times New Roman"/>
                <w:sz w:val="22"/>
                <w:szCs w:val="22"/>
                <w:vertAlign w:val="superscript"/>
                <w:lang w:val="hr-HR"/>
              </w:rPr>
              <w:t>9</w:t>
            </w:r>
            <w:r w:rsidRPr="00510442">
              <w:rPr>
                <w:rFonts w:ascii="Times New Roman" w:hAnsi="Times New Roman"/>
                <w:sz w:val="22"/>
                <w:szCs w:val="22"/>
                <w:lang w:val="hr-HR"/>
              </w:rPr>
              <w:t>/l, trombociti ≥100</w:t>
            </w:r>
            <w:r w:rsidRPr="00510442">
              <w:rPr>
                <w:rFonts w:ascii="Times New Roman" w:hAnsi="Times New Roman"/>
                <w:b/>
                <w:color w:val="000000"/>
                <w:sz w:val="22"/>
                <w:szCs w:val="22"/>
                <w:lang w:val="hr-HR"/>
              </w:rPr>
              <w:t> </w:t>
            </w:r>
            <w:r w:rsidRPr="00510442">
              <w:rPr>
                <w:rFonts w:ascii="Times New Roman" w:hAnsi="Times New Roman"/>
                <w:sz w:val="22"/>
                <w:szCs w:val="22"/>
                <w:lang w:val="hr-HR"/>
              </w:rPr>
              <w:t>x</w:t>
            </w:r>
            <w:r w:rsidRPr="00510442">
              <w:rPr>
                <w:rFonts w:ascii="Times New Roman" w:hAnsi="Times New Roman"/>
                <w:b/>
                <w:color w:val="000000"/>
                <w:sz w:val="22"/>
                <w:szCs w:val="22"/>
                <w:lang w:val="hr-HR"/>
              </w:rPr>
              <w:t> </w:t>
            </w:r>
            <w:r w:rsidRPr="00510442">
              <w:rPr>
                <w:rFonts w:ascii="Times New Roman" w:hAnsi="Times New Roman"/>
                <w:sz w:val="22"/>
                <w:szCs w:val="22"/>
                <w:lang w:val="hr-HR"/>
              </w:rPr>
              <w:t>10</w:t>
            </w:r>
            <w:r w:rsidRPr="00510442">
              <w:rPr>
                <w:rFonts w:ascii="Times New Roman" w:hAnsi="Times New Roman"/>
                <w:sz w:val="22"/>
                <w:szCs w:val="22"/>
                <w:vertAlign w:val="superscript"/>
                <w:lang w:val="hr-HR"/>
              </w:rPr>
              <w:t>9</w:t>
            </w:r>
            <w:r w:rsidRPr="00510442">
              <w:rPr>
                <w:rFonts w:ascii="Times New Roman" w:hAnsi="Times New Roman"/>
                <w:sz w:val="22"/>
                <w:szCs w:val="22"/>
                <w:lang w:val="hr-HR"/>
              </w:rPr>
              <w:t>/l, nema blasta u krvi, blasti u KS &lt;5% i nema ekstramedularne bolesti]</w:t>
            </w:r>
          </w:p>
          <w:p w14:paraId="069F5616" w14:textId="77777777" w:rsidR="00BE41B8" w:rsidRPr="00973BDD" w:rsidRDefault="00BE41B8" w:rsidP="00C210A6">
            <w:pPr>
              <w:pStyle w:val="Table"/>
              <w:keepNext w:val="0"/>
              <w:keepLines w:val="0"/>
              <w:widowControl w:val="0"/>
              <w:tabs>
                <w:tab w:val="clear" w:pos="284"/>
              </w:tabs>
              <w:spacing w:before="0" w:after="0"/>
              <w:ind w:left="567" w:hanging="567"/>
              <w:rPr>
                <w:rFonts w:ascii="Times New Roman" w:hAnsi="Times New Roman"/>
                <w:color w:val="000000"/>
                <w:sz w:val="22"/>
                <w:szCs w:val="22"/>
                <w:lang w:val="hr-HR"/>
              </w:rPr>
            </w:pPr>
            <w:r w:rsidRPr="00510442">
              <w:rPr>
                <w:rFonts w:ascii="Times New Roman" w:hAnsi="Times New Roman"/>
                <w:color w:val="000000"/>
                <w:sz w:val="22"/>
                <w:szCs w:val="22"/>
                <w:lang w:val="hr-HR"/>
              </w:rPr>
              <w:t>NEL</w:t>
            </w:r>
            <w:r w:rsidRPr="00510442">
              <w:rPr>
                <w:rFonts w:ascii="Times New Roman" w:hAnsi="Times New Roman"/>
                <w:color w:val="000000"/>
                <w:sz w:val="22"/>
                <w:szCs w:val="22"/>
                <w:lang w:val="hr-HR"/>
              </w:rPr>
              <w:tab/>
            </w:r>
            <w:r w:rsidRPr="00510442">
              <w:rPr>
                <w:rFonts w:ascii="Times New Roman" w:hAnsi="Times New Roman"/>
                <w:sz w:val="22"/>
                <w:szCs w:val="22"/>
                <w:lang w:val="hr-HR"/>
              </w:rPr>
              <w:t>Isti kriteriji kao za CHR, ali je ABN</w:t>
            </w:r>
            <w:r w:rsidRPr="00510442">
              <w:rPr>
                <w:rFonts w:ascii="Times New Roman" w:hAnsi="Times New Roman"/>
                <w:color w:val="000000"/>
                <w:sz w:val="22"/>
                <w:szCs w:val="22"/>
                <w:lang w:val="hr-HR"/>
              </w:rPr>
              <w:t xml:space="preserve"> </w:t>
            </w:r>
            <w:r w:rsidRPr="00307897">
              <w:rPr>
                <w:rFonts w:ascii="Times New Roman" w:hAnsi="Times New Roman"/>
                <w:color w:val="000000"/>
                <w:sz w:val="22"/>
                <w:szCs w:val="22"/>
                <w:lang w:val="hr-HR"/>
              </w:rPr>
              <w:sym w:font="Symbol" w:char="F0B3"/>
            </w:r>
            <w:r w:rsidRPr="00307897">
              <w:rPr>
                <w:rFonts w:ascii="Times New Roman" w:hAnsi="Times New Roman"/>
                <w:color w:val="000000"/>
                <w:sz w:val="22"/>
                <w:szCs w:val="22"/>
                <w:lang w:val="hr-HR"/>
              </w:rPr>
              <w:t>1 x 10</w:t>
            </w:r>
            <w:r w:rsidRPr="00307897">
              <w:rPr>
                <w:rFonts w:ascii="Times New Roman" w:hAnsi="Times New Roman"/>
                <w:color w:val="000000"/>
                <w:sz w:val="22"/>
                <w:szCs w:val="22"/>
                <w:vertAlign w:val="superscript"/>
                <w:lang w:val="hr-HR"/>
              </w:rPr>
              <w:t>9</w:t>
            </w:r>
            <w:r w:rsidRPr="00A00164">
              <w:rPr>
                <w:rFonts w:ascii="Times New Roman" w:hAnsi="Times New Roman"/>
                <w:color w:val="000000"/>
                <w:sz w:val="22"/>
                <w:szCs w:val="22"/>
                <w:lang w:val="hr-HR"/>
              </w:rPr>
              <w:t>/l</w:t>
            </w:r>
            <w:r w:rsidRPr="00973BDD">
              <w:rPr>
                <w:rFonts w:ascii="Times New Roman" w:hAnsi="Times New Roman"/>
                <w:sz w:val="22"/>
                <w:szCs w:val="22"/>
                <w:lang w:val="hr-HR"/>
              </w:rPr>
              <w:t xml:space="preserve">, a trombociti </w:t>
            </w:r>
            <w:r w:rsidRPr="00307897">
              <w:rPr>
                <w:rFonts w:ascii="Times New Roman" w:hAnsi="Times New Roman"/>
                <w:color w:val="000000"/>
                <w:sz w:val="22"/>
                <w:szCs w:val="22"/>
                <w:lang w:val="hr-HR"/>
              </w:rPr>
              <w:sym w:font="Symbol" w:char="F0B3"/>
            </w:r>
            <w:r w:rsidRPr="00307897">
              <w:rPr>
                <w:rFonts w:ascii="Times New Roman" w:hAnsi="Times New Roman"/>
                <w:color w:val="000000"/>
                <w:sz w:val="22"/>
                <w:szCs w:val="22"/>
                <w:lang w:val="hr-HR"/>
              </w:rPr>
              <w:t>20 x 10</w:t>
            </w:r>
            <w:r w:rsidRPr="00307897">
              <w:rPr>
                <w:rFonts w:ascii="Times New Roman" w:hAnsi="Times New Roman"/>
                <w:color w:val="000000"/>
                <w:sz w:val="22"/>
                <w:szCs w:val="22"/>
                <w:vertAlign w:val="superscript"/>
                <w:lang w:val="hr-HR"/>
              </w:rPr>
              <w:t>9</w:t>
            </w:r>
            <w:r w:rsidRPr="00A00164">
              <w:rPr>
                <w:rFonts w:ascii="Times New Roman" w:hAnsi="Times New Roman"/>
                <w:color w:val="000000"/>
                <w:sz w:val="22"/>
                <w:szCs w:val="22"/>
                <w:lang w:val="hr-HR"/>
              </w:rPr>
              <w:t>/l (sa</w:t>
            </w:r>
            <w:r w:rsidRPr="00973BDD">
              <w:rPr>
                <w:rFonts w:ascii="Times New Roman" w:hAnsi="Times New Roman"/>
                <w:color w:val="000000"/>
                <w:sz w:val="22"/>
                <w:szCs w:val="22"/>
                <w:lang w:val="hr-HR"/>
              </w:rPr>
              <w:t>mo 0102 i 0109)</w:t>
            </w:r>
          </w:p>
          <w:p w14:paraId="29B63DC5" w14:textId="77777777" w:rsidR="00BE41B8" w:rsidRPr="00510442" w:rsidRDefault="00BE41B8" w:rsidP="00C210A6">
            <w:pPr>
              <w:pStyle w:val="Table"/>
              <w:keepNext w:val="0"/>
              <w:keepLines w:val="0"/>
              <w:widowControl w:val="0"/>
              <w:tabs>
                <w:tab w:val="clear" w:pos="284"/>
              </w:tabs>
              <w:spacing w:before="0" w:after="0"/>
              <w:ind w:left="567" w:hanging="567"/>
              <w:rPr>
                <w:rFonts w:ascii="Times New Roman" w:hAnsi="Times New Roman"/>
                <w:color w:val="000000"/>
                <w:sz w:val="22"/>
                <w:szCs w:val="22"/>
                <w:lang w:val="hr-HR"/>
              </w:rPr>
            </w:pPr>
            <w:smartTag w:uri="urn:schemas-microsoft-com:office:smarttags" w:element="stockticker">
              <w:r w:rsidRPr="000B51EB">
                <w:rPr>
                  <w:rFonts w:ascii="Times New Roman" w:hAnsi="Times New Roman"/>
                  <w:color w:val="000000"/>
                  <w:sz w:val="22"/>
                  <w:szCs w:val="22"/>
                  <w:lang w:val="hr-HR"/>
                </w:rPr>
                <w:t>RTC</w:t>
              </w:r>
            </w:smartTag>
            <w:r w:rsidRPr="000B51EB">
              <w:rPr>
                <w:rFonts w:ascii="Times New Roman" w:hAnsi="Times New Roman"/>
                <w:color w:val="000000"/>
                <w:sz w:val="22"/>
                <w:szCs w:val="22"/>
                <w:lang w:val="hr-HR"/>
              </w:rPr>
              <w:tab/>
              <w:t xml:space="preserve">&lt;15% </w:t>
            </w:r>
            <w:r w:rsidRPr="00510442">
              <w:rPr>
                <w:rFonts w:ascii="Times New Roman" w:hAnsi="Times New Roman"/>
                <w:sz w:val="22"/>
                <w:szCs w:val="22"/>
                <w:lang w:val="hr-HR"/>
              </w:rPr>
              <w:t>blasta u KS i PK</w:t>
            </w:r>
            <w:r w:rsidRPr="00510442">
              <w:rPr>
                <w:rFonts w:ascii="Times New Roman" w:hAnsi="Times New Roman"/>
                <w:color w:val="000000"/>
                <w:sz w:val="22"/>
                <w:szCs w:val="22"/>
                <w:lang w:val="hr-HR"/>
              </w:rPr>
              <w:t xml:space="preserve">, &lt;30% </w:t>
            </w:r>
            <w:r w:rsidRPr="00510442">
              <w:rPr>
                <w:rFonts w:ascii="Times New Roman" w:hAnsi="Times New Roman"/>
                <w:sz w:val="22"/>
                <w:szCs w:val="22"/>
                <w:lang w:val="hr-HR"/>
              </w:rPr>
              <w:t>blasta+promijelocita u KS i PK</w:t>
            </w:r>
            <w:r w:rsidRPr="00510442">
              <w:rPr>
                <w:rFonts w:ascii="Times New Roman" w:hAnsi="Times New Roman"/>
                <w:color w:val="000000"/>
                <w:sz w:val="22"/>
                <w:szCs w:val="22"/>
                <w:lang w:val="hr-HR"/>
              </w:rPr>
              <w:t xml:space="preserve">, &lt;20% </w:t>
            </w:r>
            <w:r w:rsidRPr="00510442">
              <w:rPr>
                <w:rFonts w:ascii="Times New Roman" w:hAnsi="Times New Roman"/>
                <w:sz w:val="22"/>
                <w:szCs w:val="22"/>
                <w:lang w:val="hr-HR"/>
              </w:rPr>
              <w:t>bazofila u PK</w:t>
            </w:r>
            <w:r w:rsidRPr="00510442">
              <w:rPr>
                <w:rFonts w:ascii="Times New Roman" w:hAnsi="Times New Roman"/>
                <w:color w:val="000000"/>
                <w:sz w:val="22"/>
                <w:szCs w:val="22"/>
                <w:lang w:val="hr-HR"/>
              </w:rPr>
              <w:t xml:space="preserve">, </w:t>
            </w:r>
            <w:r w:rsidRPr="00510442">
              <w:rPr>
                <w:rFonts w:ascii="Times New Roman" w:hAnsi="Times New Roman"/>
                <w:sz w:val="22"/>
                <w:szCs w:val="22"/>
                <w:lang w:val="hr-HR"/>
              </w:rPr>
              <w:t>nema ekstramedularne bolesti osim u slezeni i jetri (samo za 0102 i 0109).</w:t>
            </w:r>
          </w:p>
          <w:p w14:paraId="4F6C75BF" w14:textId="77777777" w:rsidR="00BE41B8" w:rsidRPr="00510442" w:rsidRDefault="00BE41B8" w:rsidP="00C210A6">
            <w:pPr>
              <w:pStyle w:val="Table"/>
              <w:keepNext w:val="0"/>
              <w:keepLines w:val="0"/>
              <w:widowControl w:val="0"/>
              <w:tabs>
                <w:tab w:val="clear" w:pos="284"/>
              </w:tabs>
              <w:spacing w:before="0" w:after="0"/>
              <w:ind w:left="567" w:hanging="567"/>
              <w:rPr>
                <w:rFonts w:ascii="Times New Roman" w:hAnsi="Times New Roman"/>
                <w:color w:val="000000"/>
                <w:sz w:val="22"/>
                <w:szCs w:val="22"/>
                <w:lang w:val="hr-HR"/>
              </w:rPr>
            </w:pPr>
            <w:r w:rsidRPr="00510442">
              <w:rPr>
                <w:rFonts w:ascii="Times New Roman" w:hAnsi="Times New Roman"/>
                <w:color w:val="000000"/>
                <w:sz w:val="22"/>
                <w:szCs w:val="22"/>
                <w:lang w:val="hr-HR"/>
              </w:rPr>
              <w:t xml:space="preserve">KS = </w:t>
            </w:r>
            <w:r w:rsidRPr="00510442">
              <w:rPr>
                <w:rFonts w:ascii="Times New Roman" w:hAnsi="Times New Roman"/>
                <w:sz w:val="22"/>
                <w:szCs w:val="22"/>
                <w:lang w:val="hr-HR"/>
              </w:rPr>
              <w:t>koštana srž</w:t>
            </w:r>
            <w:r w:rsidRPr="00510442">
              <w:rPr>
                <w:rFonts w:ascii="Times New Roman" w:hAnsi="Times New Roman"/>
                <w:color w:val="000000"/>
                <w:sz w:val="22"/>
                <w:szCs w:val="22"/>
                <w:lang w:val="hr-HR"/>
              </w:rPr>
              <w:t xml:space="preserve">, PK = </w:t>
            </w:r>
            <w:r w:rsidRPr="00510442">
              <w:rPr>
                <w:rFonts w:ascii="Times New Roman" w:hAnsi="Times New Roman"/>
                <w:sz w:val="22"/>
                <w:szCs w:val="22"/>
                <w:lang w:val="hr-HR"/>
              </w:rPr>
              <w:t>periferna krv</w:t>
            </w:r>
          </w:p>
          <w:p w14:paraId="0EEE0FA9" w14:textId="77777777" w:rsidR="00BE41B8" w:rsidRPr="00510442" w:rsidRDefault="00BE41B8" w:rsidP="00C210A6">
            <w:pPr>
              <w:pStyle w:val="Table"/>
              <w:keepNext w:val="0"/>
              <w:keepLines w:val="0"/>
              <w:widowControl w:val="0"/>
              <w:spacing w:before="0" w:after="0"/>
              <w:rPr>
                <w:rFonts w:ascii="Times New Roman" w:hAnsi="Times New Roman"/>
                <w:color w:val="000000"/>
                <w:sz w:val="22"/>
                <w:szCs w:val="22"/>
                <w:lang w:val="hr-HR"/>
              </w:rPr>
            </w:pPr>
            <w:r w:rsidRPr="00510442">
              <w:rPr>
                <w:rFonts w:ascii="Times New Roman" w:hAnsi="Times New Roman"/>
                <w:b/>
                <w:color w:val="000000"/>
                <w:sz w:val="22"/>
                <w:szCs w:val="22"/>
                <w:vertAlign w:val="superscript"/>
                <w:lang w:val="hr-HR"/>
              </w:rPr>
              <w:t xml:space="preserve">2 </w:t>
            </w:r>
            <w:r w:rsidRPr="00510442">
              <w:rPr>
                <w:rFonts w:ascii="Times New Roman" w:hAnsi="Times New Roman"/>
                <w:b/>
                <w:sz w:val="22"/>
                <w:szCs w:val="22"/>
                <w:lang w:val="hr-HR"/>
              </w:rPr>
              <w:t>Kriteriji citogenetskog odgovora</w:t>
            </w:r>
            <w:r w:rsidRPr="00510442">
              <w:rPr>
                <w:rFonts w:ascii="Times New Roman" w:hAnsi="Times New Roman"/>
                <w:b/>
                <w:color w:val="000000"/>
                <w:sz w:val="22"/>
                <w:szCs w:val="22"/>
                <w:lang w:val="hr-HR"/>
              </w:rPr>
              <w:t>:</w:t>
            </w:r>
          </w:p>
          <w:p w14:paraId="5DDB6FC1" w14:textId="77777777" w:rsidR="00BE41B8" w:rsidRPr="00510442" w:rsidRDefault="00BE41B8" w:rsidP="00C210A6">
            <w:pPr>
              <w:pStyle w:val="EndnoteText"/>
              <w:widowControl w:val="0"/>
              <w:tabs>
                <w:tab w:val="clear" w:pos="567"/>
              </w:tabs>
              <w:rPr>
                <w:color w:val="000000"/>
                <w:szCs w:val="22"/>
                <w:lang w:val="hr-HR"/>
              </w:rPr>
            </w:pPr>
            <w:r w:rsidRPr="00510442">
              <w:rPr>
                <w:szCs w:val="22"/>
                <w:lang w:val="hr-HR"/>
              </w:rPr>
              <w:t>Veliki odgovor je kombinacija potpunih i djelomičnih odgovora: potpuni (0% Ph+ metafaza), djelomični (1</w:t>
            </w:r>
            <w:r w:rsidRPr="00510442">
              <w:rPr>
                <w:color w:val="000000"/>
                <w:szCs w:val="22"/>
                <w:lang w:val="hr-HR"/>
              </w:rPr>
              <w:noBreakHyphen/>
            </w:r>
            <w:r w:rsidRPr="00510442">
              <w:rPr>
                <w:szCs w:val="22"/>
                <w:lang w:val="hr-HR"/>
              </w:rPr>
              <w:t>35%)</w:t>
            </w:r>
          </w:p>
          <w:p w14:paraId="465B2324" w14:textId="77777777" w:rsidR="00BE41B8" w:rsidRPr="00510442" w:rsidRDefault="00BE41B8" w:rsidP="00C210A6">
            <w:pPr>
              <w:pStyle w:val="EndnoteText"/>
              <w:widowControl w:val="0"/>
              <w:tabs>
                <w:tab w:val="clear" w:pos="567"/>
              </w:tabs>
              <w:rPr>
                <w:color w:val="000000"/>
                <w:szCs w:val="22"/>
                <w:lang w:val="hr-HR"/>
              </w:rPr>
            </w:pPr>
            <w:r w:rsidRPr="00510442">
              <w:rPr>
                <w:color w:val="000000"/>
                <w:szCs w:val="22"/>
                <w:vertAlign w:val="superscript"/>
                <w:lang w:val="hr-HR"/>
              </w:rPr>
              <w:t>3</w:t>
            </w:r>
            <w:r w:rsidRPr="00510442">
              <w:rPr>
                <w:color w:val="000000"/>
                <w:szCs w:val="22"/>
                <w:lang w:val="hr-HR"/>
              </w:rPr>
              <w:t xml:space="preserve"> </w:t>
            </w:r>
            <w:r w:rsidRPr="00510442">
              <w:rPr>
                <w:szCs w:val="22"/>
                <w:lang w:val="hr-HR"/>
              </w:rPr>
              <w:t>Potpuni citogenetski odgovor potvrđen drugom citogenetskom procjenom koštane srži koja je provedena najmanje jedan mjesec nakon početnog ispitivanja koštane srži</w:t>
            </w:r>
            <w:r w:rsidRPr="00510442">
              <w:rPr>
                <w:color w:val="000000"/>
                <w:szCs w:val="22"/>
                <w:lang w:val="hr-HR"/>
              </w:rPr>
              <w:t>.</w:t>
            </w:r>
          </w:p>
        </w:tc>
      </w:tr>
    </w:tbl>
    <w:p w14:paraId="4C3B8995" w14:textId="77777777" w:rsidR="00BE41B8" w:rsidRPr="00510442" w:rsidRDefault="00BE41B8" w:rsidP="00BE41B8">
      <w:pPr>
        <w:pStyle w:val="EndnoteText"/>
        <w:widowControl w:val="0"/>
        <w:tabs>
          <w:tab w:val="clear" w:pos="567"/>
        </w:tabs>
        <w:rPr>
          <w:color w:val="000000"/>
          <w:szCs w:val="22"/>
          <w:lang w:val="hr-HR"/>
        </w:rPr>
      </w:pPr>
    </w:p>
    <w:p w14:paraId="2319F3F2" w14:textId="0B1DDA62" w:rsidR="00BE41B8" w:rsidRPr="00510442" w:rsidRDefault="00BE41B8" w:rsidP="00BE41B8">
      <w:pPr>
        <w:spacing w:line="240" w:lineRule="auto"/>
        <w:rPr>
          <w:szCs w:val="22"/>
          <w:lang w:val="hr-HR"/>
        </w:rPr>
      </w:pPr>
      <w:r w:rsidRPr="00510442">
        <w:rPr>
          <w:i/>
          <w:szCs w:val="22"/>
          <w:lang w:val="hr-HR"/>
        </w:rPr>
        <w:t>Pedijatrijski bolesnici</w:t>
      </w:r>
      <w:r w:rsidRPr="00510442">
        <w:rPr>
          <w:szCs w:val="22"/>
          <w:lang w:val="hr-HR"/>
        </w:rPr>
        <w:t>: u ispitivanje faze I s povišenjem doze, uključeno je ukupno 26</w:t>
      </w:r>
      <w:r w:rsidRPr="00510442">
        <w:rPr>
          <w:color w:val="000000"/>
          <w:szCs w:val="22"/>
          <w:lang w:val="hr-HR"/>
        </w:rPr>
        <w:t> </w:t>
      </w:r>
      <w:r w:rsidRPr="00510442">
        <w:rPr>
          <w:szCs w:val="22"/>
          <w:lang w:val="hr-HR"/>
        </w:rPr>
        <w:t>pedijatrijskih bolesnika u dobi &lt;18</w:t>
      </w:r>
      <w:r w:rsidRPr="00510442">
        <w:rPr>
          <w:color w:val="000000"/>
          <w:szCs w:val="22"/>
          <w:lang w:val="hr-HR"/>
        </w:rPr>
        <w:t> </w:t>
      </w:r>
      <w:r w:rsidRPr="00510442">
        <w:rPr>
          <w:szCs w:val="22"/>
          <w:lang w:val="hr-HR"/>
        </w:rPr>
        <w:t xml:space="preserve">godina bilo s kroničnom fazom KML-a (n=11), bilo s KML-om u blastičnoj krizi ili Ph+ akutnim leukemijama (n=15). To je bila populacija bolesnika koja je ranije intenzivno liječena, budući da ih je 46% ranije primilo transplantaciju koštane srži (BMT), a 73% kemoterapiju s više </w:t>
      </w:r>
      <w:r w:rsidRPr="00510442">
        <w:rPr>
          <w:szCs w:val="22"/>
          <w:lang w:val="hr-HR"/>
        </w:rPr>
        <w:lastRenderedPageBreak/>
        <w:t xml:space="preserve">lijekova. Bolesnici su liječeni dozama </w:t>
      </w:r>
      <w:r w:rsidR="004007D1" w:rsidRPr="00512481">
        <w:rPr>
          <w:szCs w:val="22"/>
          <w:lang w:val="hr-HR"/>
        </w:rPr>
        <w:t xml:space="preserve">lijeka </w:t>
      </w:r>
      <w:r w:rsidRPr="00510442">
        <w:rPr>
          <w:szCs w:val="22"/>
          <w:lang w:val="hr-HR"/>
        </w:rPr>
        <w:t>Glivec od 260</w:t>
      </w:r>
      <w:r w:rsidRPr="00510442">
        <w:rPr>
          <w:color w:val="000000"/>
          <w:szCs w:val="22"/>
          <w:lang w:val="hr-HR"/>
        </w:rPr>
        <w:t> </w:t>
      </w:r>
      <w:r w:rsidRPr="00510442">
        <w:rPr>
          <w:szCs w:val="22"/>
          <w:lang w:val="hr-HR"/>
        </w:rPr>
        <w:t>mg/m</w:t>
      </w:r>
      <w:r w:rsidRPr="00510442">
        <w:rPr>
          <w:szCs w:val="22"/>
          <w:vertAlign w:val="superscript"/>
          <w:lang w:val="hr-HR"/>
        </w:rPr>
        <w:t>2</w:t>
      </w:r>
      <w:r w:rsidRPr="00510442">
        <w:rPr>
          <w:szCs w:val="22"/>
          <w:lang w:val="hr-HR"/>
        </w:rPr>
        <w:t>/dan (n=5), 340</w:t>
      </w:r>
      <w:r w:rsidRPr="00510442">
        <w:rPr>
          <w:color w:val="000000"/>
          <w:szCs w:val="22"/>
          <w:lang w:val="hr-HR"/>
        </w:rPr>
        <w:t> </w:t>
      </w:r>
      <w:r w:rsidRPr="00510442">
        <w:rPr>
          <w:szCs w:val="22"/>
          <w:lang w:val="hr-HR"/>
        </w:rPr>
        <w:t>mg/m</w:t>
      </w:r>
      <w:r w:rsidRPr="00510442">
        <w:rPr>
          <w:szCs w:val="22"/>
          <w:vertAlign w:val="superscript"/>
          <w:lang w:val="hr-HR"/>
        </w:rPr>
        <w:t>2</w:t>
      </w:r>
      <w:r w:rsidRPr="00510442">
        <w:rPr>
          <w:szCs w:val="22"/>
          <w:lang w:val="hr-HR"/>
        </w:rPr>
        <w:t>/dan (n=9), 440</w:t>
      </w:r>
      <w:r w:rsidRPr="00510442">
        <w:rPr>
          <w:color w:val="000000"/>
          <w:szCs w:val="22"/>
          <w:lang w:val="hr-HR"/>
        </w:rPr>
        <w:t> </w:t>
      </w:r>
      <w:r w:rsidRPr="00510442">
        <w:rPr>
          <w:szCs w:val="22"/>
          <w:lang w:val="hr-HR"/>
        </w:rPr>
        <w:t>mg/m</w:t>
      </w:r>
      <w:r w:rsidRPr="00510442">
        <w:rPr>
          <w:szCs w:val="22"/>
          <w:vertAlign w:val="superscript"/>
          <w:lang w:val="hr-HR"/>
        </w:rPr>
        <w:t>2</w:t>
      </w:r>
      <w:r w:rsidRPr="00510442">
        <w:rPr>
          <w:szCs w:val="22"/>
          <w:lang w:val="hr-HR"/>
        </w:rPr>
        <w:t>/dan (n=7), te 570</w:t>
      </w:r>
      <w:r w:rsidRPr="00510442">
        <w:rPr>
          <w:color w:val="000000"/>
          <w:szCs w:val="22"/>
          <w:lang w:val="hr-HR"/>
        </w:rPr>
        <w:t> </w:t>
      </w:r>
      <w:r w:rsidRPr="00510442">
        <w:rPr>
          <w:szCs w:val="22"/>
          <w:lang w:val="hr-HR"/>
        </w:rPr>
        <w:t>mg/m</w:t>
      </w:r>
      <w:r w:rsidRPr="00510442">
        <w:rPr>
          <w:szCs w:val="22"/>
          <w:vertAlign w:val="superscript"/>
          <w:lang w:val="hr-HR"/>
        </w:rPr>
        <w:t>2</w:t>
      </w:r>
      <w:r w:rsidRPr="00510442">
        <w:rPr>
          <w:szCs w:val="22"/>
          <w:lang w:val="hr-HR"/>
        </w:rPr>
        <w:t>/dan (n=5). Od 9</w:t>
      </w:r>
      <w:r w:rsidRPr="00510442">
        <w:rPr>
          <w:color w:val="000000"/>
          <w:szCs w:val="22"/>
          <w:lang w:val="hr-HR"/>
        </w:rPr>
        <w:t> </w:t>
      </w:r>
      <w:r w:rsidRPr="00510442">
        <w:rPr>
          <w:szCs w:val="22"/>
          <w:lang w:val="hr-HR"/>
        </w:rPr>
        <w:t>bolesnika s kroničnom fazom KML-a i raspoloživim citogenetskim podacima, 4 (44%) i 3</w:t>
      </w:r>
      <w:r w:rsidRPr="00510442">
        <w:rPr>
          <w:color w:val="000000"/>
          <w:szCs w:val="22"/>
          <w:lang w:val="hr-HR"/>
        </w:rPr>
        <w:t> </w:t>
      </w:r>
      <w:r w:rsidRPr="00510442">
        <w:rPr>
          <w:szCs w:val="22"/>
          <w:lang w:val="hr-HR"/>
        </w:rPr>
        <w:t>(33%) je postiglo potpuni, odnosno djelomični citogenetski odgovor, za stopu MCyR-a od 77%.</w:t>
      </w:r>
    </w:p>
    <w:p w14:paraId="35B04416" w14:textId="77777777" w:rsidR="00BE41B8" w:rsidRPr="00510442" w:rsidRDefault="00BE41B8" w:rsidP="00BE41B8">
      <w:pPr>
        <w:spacing w:line="240" w:lineRule="auto"/>
        <w:rPr>
          <w:szCs w:val="22"/>
          <w:lang w:val="hr-HR"/>
        </w:rPr>
      </w:pPr>
    </w:p>
    <w:p w14:paraId="4630CA2C" w14:textId="72332E1D" w:rsidR="00BE41B8" w:rsidRPr="00510442" w:rsidRDefault="00BE41B8" w:rsidP="00BE41B8">
      <w:pPr>
        <w:spacing w:line="240" w:lineRule="auto"/>
        <w:rPr>
          <w:szCs w:val="22"/>
          <w:lang w:val="hr-HR"/>
        </w:rPr>
      </w:pPr>
      <w:r w:rsidRPr="00510442">
        <w:rPr>
          <w:szCs w:val="22"/>
          <w:lang w:val="hr-HR"/>
        </w:rPr>
        <w:t>Ukupno 51</w:t>
      </w:r>
      <w:r w:rsidRPr="00510442">
        <w:rPr>
          <w:color w:val="000000"/>
          <w:szCs w:val="22"/>
          <w:lang w:val="hr-HR"/>
        </w:rPr>
        <w:t> </w:t>
      </w:r>
      <w:r w:rsidRPr="00510442">
        <w:rPr>
          <w:szCs w:val="22"/>
          <w:lang w:val="hr-HR"/>
        </w:rPr>
        <w:t>pedijatrijski bolesnik s novodijagnosticiranim i neliječenim KML-om u kroničnoj fazi je uključen u otvoreno, multicentrično, ispitivanje faze II s jednim krakom. Bolesnici su liječeni s 340</w:t>
      </w:r>
      <w:r w:rsidRPr="00510442">
        <w:rPr>
          <w:color w:val="000000"/>
          <w:szCs w:val="22"/>
          <w:lang w:val="hr-HR"/>
        </w:rPr>
        <w:t> </w:t>
      </w:r>
      <w:r w:rsidRPr="00510442">
        <w:rPr>
          <w:szCs w:val="22"/>
          <w:lang w:val="hr-HR"/>
        </w:rPr>
        <w:t>mg/m</w:t>
      </w:r>
      <w:r w:rsidRPr="00510442">
        <w:rPr>
          <w:szCs w:val="22"/>
          <w:vertAlign w:val="superscript"/>
          <w:lang w:val="hr-HR"/>
        </w:rPr>
        <w:t>2</w:t>
      </w:r>
      <w:r w:rsidRPr="00510442">
        <w:rPr>
          <w:szCs w:val="22"/>
          <w:lang w:val="hr-HR"/>
        </w:rPr>
        <w:t xml:space="preserve">/dan </w:t>
      </w:r>
      <w:r w:rsidR="004007D1" w:rsidRPr="00512481">
        <w:rPr>
          <w:szCs w:val="22"/>
          <w:lang w:val="hr-HR"/>
        </w:rPr>
        <w:t xml:space="preserve">lijeka </w:t>
      </w:r>
      <w:r w:rsidRPr="00510442">
        <w:rPr>
          <w:szCs w:val="22"/>
          <w:lang w:val="hr-HR"/>
        </w:rPr>
        <w:t xml:space="preserve">Glivec, bez prekida u odsutnosti toksičnosti vezane uz dozu. Liječenje </w:t>
      </w:r>
      <w:r w:rsidR="00B27A2B">
        <w:rPr>
          <w:szCs w:val="22"/>
          <w:lang w:val="hr-HR"/>
        </w:rPr>
        <w:t xml:space="preserve">lijekom </w:t>
      </w:r>
      <w:r w:rsidRPr="00510442">
        <w:rPr>
          <w:szCs w:val="22"/>
          <w:lang w:val="hr-HR"/>
        </w:rPr>
        <w:t>Glivec izazvalo je brzi odgovor u novodijagnosticiranih pedijatrijskih KML bolesnika sa CHR-om od 78% nakon 8</w:t>
      </w:r>
      <w:r w:rsidRPr="00510442">
        <w:rPr>
          <w:color w:val="000000"/>
          <w:szCs w:val="22"/>
          <w:lang w:val="hr-HR"/>
        </w:rPr>
        <w:t> </w:t>
      </w:r>
      <w:r w:rsidRPr="00510442">
        <w:rPr>
          <w:szCs w:val="22"/>
          <w:lang w:val="hr-HR"/>
        </w:rPr>
        <w:t xml:space="preserve">tjedana terapije. Visoka stopa </w:t>
      </w:r>
      <w:smartTag w:uri="urn:schemas-microsoft-com:office:smarttags" w:element="stockticker">
        <w:r w:rsidRPr="00510442">
          <w:rPr>
            <w:szCs w:val="22"/>
            <w:lang w:val="hr-HR"/>
          </w:rPr>
          <w:t>CHR</w:t>
        </w:r>
      </w:smartTag>
      <w:r w:rsidRPr="00510442">
        <w:rPr>
          <w:szCs w:val="22"/>
          <w:lang w:val="hr-HR"/>
        </w:rPr>
        <w:t>-a je praćena razvojem potpunog citogenetskog odgovora (CCyR) od 65% što je usporedivo s rezultatima dobivenim u odraslih. Osim toga, djelomični citogenetski odgovor (PCyR) uočen je u 16%, a veliki citogenetski odgovor (MCyR) u 81%. Većina bolesnika koja je postigla CCyR razvila je CCyR između 3 i 10</w:t>
      </w:r>
      <w:r w:rsidRPr="00510442">
        <w:rPr>
          <w:color w:val="000000"/>
          <w:szCs w:val="22"/>
          <w:lang w:val="hr-HR"/>
        </w:rPr>
        <w:t> </w:t>
      </w:r>
      <w:r w:rsidRPr="00510442">
        <w:rPr>
          <w:szCs w:val="22"/>
          <w:lang w:val="hr-HR"/>
        </w:rPr>
        <w:t>mjeseci, uz medijan vremena do odgovora od 5,6</w:t>
      </w:r>
      <w:r w:rsidRPr="00510442">
        <w:rPr>
          <w:color w:val="000000"/>
          <w:szCs w:val="22"/>
          <w:lang w:val="hr-HR"/>
        </w:rPr>
        <w:t> </w:t>
      </w:r>
      <w:r w:rsidRPr="00510442">
        <w:rPr>
          <w:szCs w:val="22"/>
          <w:lang w:val="hr-HR"/>
        </w:rPr>
        <w:t>mjeseci temeljeno na Kaplan-Meierovoj procjeni.</w:t>
      </w:r>
    </w:p>
    <w:p w14:paraId="58C8CD14" w14:textId="77777777" w:rsidR="00BE41B8" w:rsidRPr="00510442" w:rsidRDefault="00BE41B8" w:rsidP="00BE41B8">
      <w:pPr>
        <w:spacing w:line="240" w:lineRule="auto"/>
        <w:rPr>
          <w:szCs w:val="22"/>
          <w:u w:val="single"/>
          <w:lang w:val="hr-HR"/>
        </w:rPr>
      </w:pPr>
    </w:p>
    <w:p w14:paraId="2A7062F7" w14:textId="77777777" w:rsidR="00BE41B8" w:rsidRPr="00510442" w:rsidRDefault="00BE41B8" w:rsidP="00BE41B8">
      <w:pPr>
        <w:autoSpaceDE w:val="0"/>
        <w:autoSpaceDN w:val="0"/>
        <w:adjustRightInd w:val="0"/>
        <w:spacing w:line="240" w:lineRule="auto"/>
        <w:rPr>
          <w:color w:val="000000"/>
          <w:szCs w:val="22"/>
          <w:lang w:val="hr-HR"/>
        </w:rPr>
      </w:pPr>
      <w:r w:rsidRPr="00510442">
        <w:rPr>
          <w:color w:val="000000"/>
          <w:szCs w:val="22"/>
          <w:lang w:val="hr-HR"/>
        </w:rPr>
        <w:t xml:space="preserve">Europska Agencija za lijekove </w:t>
      </w:r>
      <w:r w:rsidRPr="00510442">
        <w:rPr>
          <w:rFonts w:eastAsia="SimSun"/>
          <w:szCs w:val="22"/>
          <w:lang w:val="hr-HR" w:eastAsia="zh-CN"/>
        </w:rPr>
        <w:t>izuzela</w:t>
      </w:r>
      <w:r w:rsidRPr="00510442">
        <w:rPr>
          <w:color w:val="000000"/>
          <w:szCs w:val="22"/>
          <w:lang w:val="hr-HR"/>
        </w:rPr>
        <w:t xml:space="preserve"> </w:t>
      </w:r>
      <w:r w:rsidR="00BE4168" w:rsidRPr="00510442">
        <w:rPr>
          <w:color w:val="000000"/>
          <w:szCs w:val="22"/>
          <w:lang w:val="hr-HR"/>
        </w:rPr>
        <w:t xml:space="preserve">je </w:t>
      </w:r>
      <w:r w:rsidRPr="00510442">
        <w:rPr>
          <w:color w:val="000000"/>
          <w:szCs w:val="22"/>
          <w:lang w:val="hr-HR"/>
        </w:rPr>
        <w:t>obvezu podnošenja rezultata ispitivanja lijeka Glivec u svim podskupinama pedijatrijske populacije s kroničnom mijeloičnom leukemijom s pozitivnim Philadelphia kromosomom (bcr-abl translokacija) (vidjeti dio 4.2 za informacije o pedijatrijskoj primjeni).</w:t>
      </w:r>
    </w:p>
    <w:p w14:paraId="34916A62" w14:textId="77777777" w:rsidR="00BE41B8" w:rsidRPr="00510442" w:rsidRDefault="00BE41B8" w:rsidP="00BE41B8">
      <w:pPr>
        <w:pStyle w:val="EndnoteText"/>
        <w:widowControl w:val="0"/>
        <w:rPr>
          <w:color w:val="000000"/>
          <w:szCs w:val="22"/>
          <w:lang w:val="hr-HR"/>
        </w:rPr>
      </w:pPr>
    </w:p>
    <w:p w14:paraId="49AB0479" w14:textId="77777777" w:rsidR="00BE41B8" w:rsidRPr="00510442" w:rsidRDefault="00BE41B8" w:rsidP="003179A4">
      <w:pPr>
        <w:keepNext/>
        <w:spacing w:line="240" w:lineRule="auto"/>
        <w:outlineLvl w:val="0"/>
        <w:rPr>
          <w:szCs w:val="22"/>
          <w:u w:val="single"/>
          <w:lang w:val="hr-HR"/>
        </w:rPr>
      </w:pPr>
      <w:r w:rsidRPr="00510442">
        <w:rPr>
          <w:szCs w:val="22"/>
          <w:u w:val="single"/>
          <w:lang w:val="hr-HR"/>
        </w:rPr>
        <w:t>Klinička ispitivanja kod Ph+ ALL-a</w:t>
      </w:r>
    </w:p>
    <w:p w14:paraId="40D76BC0" w14:textId="77777777" w:rsidR="00BE41B8" w:rsidRPr="00510442" w:rsidRDefault="00BE41B8" w:rsidP="00BE41B8">
      <w:pPr>
        <w:pStyle w:val="Text"/>
        <w:spacing w:before="0"/>
        <w:jc w:val="left"/>
        <w:rPr>
          <w:sz w:val="22"/>
          <w:szCs w:val="22"/>
          <w:lang w:val="hr-HR"/>
        </w:rPr>
      </w:pPr>
      <w:r w:rsidRPr="00510442">
        <w:rPr>
          <w:i/>
          <w:color w:val="000000"/>
          <w:sz w:val="22"/>
          <w:szCs w:val="22"/>
          <w:lang w:val="hr-HR"/>
        </w:rPr>
        <w:t xml:space="preserve">Novodijagnosticirani Ph+ </w:t>
      </w:r>
      <w:smartTag w:uri="urn:schemas-microsoft-com:office:smarttags" w:element="stockticker">
        <w:r w:rsidRPr="00510442">
          <w:rPr>
            <w:i/>
            <w:color w:val="000000"/>
            <w:sz w:val="22"/>
            <w:szCs w:val="22"/>
            <w:lang w:val="hr-HR"/>
          </w:rPr>
          <w:t>ALL</w:t>
        </w:r>
      </w:smartTag>
      <w:r w:rsidRPr="00510442">
        <w:rPr>
          <w:color w:val="000000"/>
          <w:sz w:val="22"/>
          <w:szCs w:val="22"/>
          <w:lang w:val="hr-HR"/>
        </w:rPr>
        <w:t xml:space="preserve">: </w:t>
      </w:r>
      <w:r w:rsidRPr="00510442">
        <w:rPr>
          <w:sz w:val="22"/>
          <w:szCs w:val="22"/>
          <w:lang w:val="hr-HR"/>
        </w:rPr>
        <w:t>U kontroliranom ispitivanju (ADE10) imatiniba u odnosu na kemoterapiju u 55</w:t>
      </w:r>
      <w:r w:rsidRPr="00510442">
        <w:rPr>
          <w:color w:val="000000"/>
          <w:sz w:val="22"/>
          <w:szCs w:val="22"/>
          <w:lang w:val="hr-HR"/>
        </w:rPr>
        <w:t> </w:t>
      </w:r>
      <w:r w:rsidRPr="00510442">
        <w:rPr>
          <w:sz w:val="22"/>
          <w:szCs w:val="22"/>
          <w:lang w:val="hr-HR"/>
        </w:rPr>
        <w:t>novodijagnosticiranih bolesnika u dobi od 55</w:t>
      </w:r>
      <w:r w:rsidRPr="00510442">
        <w:rPr>
          <w:color w:val="000000"/>
          <w:sz w:val="22"/>
          <w:szCs w:val="22"/>
          <w:lang w:val="hr-HR"/>
        </w:rPr>
        <w:t> </w:t>
      </w:r>
      <w:r w:rsidRPr="00510442">
        <w:rPr>
          <w:sz w:val="22"/>
          <w:szCs w:val="22"/>
          <w:lang w:val="hr-HR"/>
        </w:rPr>
        <w:t>godina i više, imatinib korišten samostalno izazvao je značajno višu stopu potpunog hematološkog odgovora nego kemoterapija (96,3% u odnosu na 50%; p=0,0001). Kada je terapija imatinibom primijenjena bolesnicima koji nisu odgovarali ili su slabo odgovarali na kemoterapiju, 9 od 11</w:t>
      </w:r>
      <w:r w:rsidRPr="00510442">
        <w:rPr>
          <w:color w:val="000000"/>
          <w:sz w:val="22"/>
          <w:szCs w:val="22"/>
          <w:lang w:val="hr-HR"/>
        </w:rPr>
        <w:t> </w:t>
      </w:r>
      <w:r w:rsidRPr="00510442">
        <w:rPr>
          <w:sz w:val="22"/>
          <w:szCs w:val="22"/>
          <w:lang w:val="hr-HR"/>
        </w:rPr>
        <w:t>bolesnika (81,8%) postiglo je potpuni hematološki odgovor. Ovaj klinički učinak povezan je s većim smanjenjem u bcr-abl transkripciji u bolesnika liječenih imatinibom, nego u kraku koji je primao kemoterapiju, nakon 2</w:t>
      </w:r>
      <w:r w:rsidRPr="00510442">
        <w:rPr>
          <w:color w:val="000000"/>
          <w:sz w:val="22"/>
          <w:szCs w:val="22"/>
          <w:lang w:val="hr-HR"/>
        </w:rPr>
        <w:t> </w:t>
      </w:r>
      <w:r w:rsidRPr="00510442">
        <w:rPr>
          <w:sz w:val="22"/>
          <w:szCs w:val="22"/>
          <w:lang w:val="hr-HR"/>
        </w:rPr>
        <w:t>tjedna terapije (p=0,02). Svi su bolesnici primili imatinib i konsolidacijsku kemoterapiju (vidjeti Tablicu</w:t>
      </w:r>
      <w:r w:rsidRPr="00510442">
        <w:rPr>
          <w:color w:val="000000"/>
          <w:sz w:val="22"/>
          <w:szCs w:val="22"/>
          <w:lang w:val="hr-HR"/>
        </w:rPr>
        <w:t> </w:t>
      </w:r>
      <w:r w:rsidR="004C7699" w:rsidRPr="00510442">
        <w:rPr>
          <w:sz w:val="22"/>
          <w:szCs w:val="22"/>
          <w:lang w:val="hr-HR"/>
        </w:rPr>
        <w:t>4</w:t>
      </w:r>
      <w:r w:rsidRPr="00510442">
        <w:rPr>
          <w:sz w:val="22"/>
          <w:szCs w:val="22"/>
          <w:lang w:val="hr-HR"/>
        </w:rPr>
        <w:t>) nakon indukcije, a razine bcr-abl transkripcije bile su identične u dva kraka nakon 8</w:t>
      </w:r>
      <w:r w:rsidRPr="00510442">
        <w:rPr>
          <w:color w:val="000000"/>
          <w:sz w:val="22"/>
          <w:szCs w:val="22"/>
          <w:lang w:val="hr-HR"/>
        </w:rPr>
        <w:t> </w:t>
      </w:r>
      <w:r w:rsidRPr="00510442">
        <w:rPr>
          <w:sz w:val="22"/>
          <w:szCs w:val="22"/>
          <w:lang w:val="hr-HR"/>
        </w:rPr>
        <w:t xml:space="preserve">tjedana. </w:t>
      </w:r>
      <w:r w:rsidRPr="00510442">
        <w:rPr>
          <w:rFonts w:eastAsia="MS Mincho"/>
          <w:color w:val="000000"/>
          <w:sz w:val="22"/>
          <w:szCs w:val="22"/>
          <w:lang w:val="hr-HR" w:eastAsia="ja-JP"/>
        </w:rPr>
        <w:t>Kao što se očekivalo na temelju dizajna studije, nije uočena razlika u trajanju remisije, preživljenju bez bolesti ili ukupnom preživljenju, premda su bolesnici s potpunim molekularnim odgovorom i s minimalnom rezidualnom bolešću imali bolji ishod u smislu dužine remisije (p=0,01) i preživljenja bez bolesti (p=0,02)</w:t>
      </w:r>
      <w:r w:rsidRPr="00510442">
        <w:rPr>
          <w:sz w:val="22"/>
          <w:szCs w:val="22"/>
          <w:lang w:val="hr-HR"/>
        </w:rPr>
        <w:t>.</w:t>
      </w:r>
    </w:p>
    <w:p w14:paraId="234D7DC4" w14:textId="77777777" w:rsidR="00BE41B8" w:rsidRPr="00510442" w:rsidRDefault="00BE41B8" w:rsidP="00BE41B8">
      <w:pPr>
        <w:pStyle w:val="Text"/>
        <w:spacing w:before="0"/>
        <w:jc w:val="left"/>
        <w:rPr>
          <w:sz w:val="22"/>
          <w:szCs w:val="22"/>
          <w:lang w:val="hr-HR"/>
        </w:rPr>
      </w:pPr>
    </w:p>
    <w:p w14:paraId="6EDE99F3" w14:textId="77777777" w:rsidR="00BE41B8" w:rsidRPr="00510442" w:rsidRDefault="00BE41B8" w:rsidP="00BE41B8">
      <w:pPr>
        <w:pStyle w:val="EndnoteText"/>
        <w:widowControl w:val="0"/>
        <w:rPr>
          <w:szCs w:val="22"/>
          <w:lang w:val="hr-HR"/>
        </w:rPr>
      </w:pPr>
      <w:r w:rsidRPr="00510442">
        <w:rPr>
          <w:szCs w:val="22"/>
          <w:lang w:val="hr-HR"/>
        </w:rPr>
        <w:t>Rezultati uočeni u populaciji od 211</w:t>
      </w:r>
      <w:r w:rsidRPr="00510442">
        <w:rPr>
          <w:color w:val="000000"/>
          <w:szCs w:val="22"/>
          <w:lang w:val="hr-HR"/>
        </w:rPr>
        <w:t> </w:t>
      </w:r>
      <w:r w:rsidRPr="00510442">
        <w:rPr>
          <w:szCs w:val="22"/>
          <w:lang w:val="hr-HR"/>
        </w:rPr>
        <w:t xml:space="preserve">novodijagnosticiranih Ph+ </w:t>
      </w:r>
      <w:smartTag w:uri="urn:schemas-microsoft-com:office:smarttags" w:element="stockticker">
        <w:r w:rsidRPr="00510442">
          <w:rPr>
            <w:szCs w:val="22"/>
            <w:lang w:val="hr-HR"/>
          </w:rPr>
          <w:t>ALL</w:t>
        </w:r>
      </w:smartTag>
      <w:r w:rsidRPr="00510442">
        <w:rPr>
          <w:szCs w:val="22"/>
          <w:lang w:val="hr-HR"/>
        </w:rPr>
        <w:t xml:space="preserve"> bolesnika u četiri nekontrolirana klinička ispitivanja (AAU02, ADE04, AJP01 i AUS01) su u skladu s rezultatima opisanim gore. Imatinib u kombinaciji s indukcijskom kemoterapijom (vidjeti Tablicu</w:t>
      </w:r>
      <w:r w:rsidRPr="00510442">
        <w:rPr>
          <w:color w:val="000000"/>
          <w:szCs w:val="22"/>
          <w:lang w:val="hr-HR"/>
        </w:rPr>
        <w:t> </w:t>
      </w:r>
      <w:r w:rsidR="004C7699" w:rsidRPr="00510442">
        <w:rPr>
          <w:szCs w:val="22"/>
          <w:lang w:val="hr-HR"/>
        </w:rPr>
        <w:t>4</w:t>
      </w:r>
      <w:r w:rsidRPr="00510442">
        <w:rPr>
          <w:szCs w:val="22"/>
          <w:lang w:val="hr-HR"/>
        </w:rPr>
        <w:t>) rezultira postizanjem stope potpunog hematološkog odgovora od 93% (147 od 158</w:t>
      </w:r>
      <w:r w:rsidRPr="00510442">
        <w:rPr>
          <w:color w:val="000000"/>
          <w:szCs w:val="22"/>
          <w:lang w:val="hr-HR"/>
        </w:rPr>
        <w:t> </w:t>
      </w:r>
      <w:r w:rsidRPr="00510442">
        <w:rPr>
          <w:szCs w:val="22"/>
          <w:lang w:val="hr-HR"/>
        </w:rPr>
        <w:t>procijenjenih bolesnika) i stope velikog citogenetskog odgovora od 90% (19 od 21</w:t>
      </w:r>
      <w:r w:rsidRPr="00510442">
        <w:rPr>
          <w:color w:val="000000"/>
          <w:szCs w:val="22"/>
          <w:lang w:val="hr-HR"/>
        </w:rPr>
        <w:t> </w:t>
      </w:r>
      <w:r w:rsidRPr="00510442">
        <w:rPr>
          <w:szCs w:val="22"/>
          <w:lang w:val="hr-HR"/>
        </w:rPr>
        <w:t>procijenjenog bolesnika). Potpuni molekularni odgovor postignut je u 48% (49 od 102</w:t>
      </w:r>
      <w:r w:rsidRPr="00510442">
        <w:rPr>
          <w:color w:val="000000"/>
          <w:szCs w:val="22"/>
          <w:lang w:val="hr-HR"/>
        </w:rPr>
        <w:t> </w:t>
      </w:r>
      <w:r w:rsidRPr="00510442">
        <w:rPr>
          <w:szCs w:val="22"/>
          <w:lang w:val="hr-HR"/>
        </w:rPr>
        <w:t>procijenjena bolesnika).</w:t>
      </w:r>
      <w:r w:rsidRPr="00510442">
        <w:rPr>
          <w:color w:val="000000"/>
          <w:szCs w:val="22"/>
          <w:lang w:val="hr-HR"/>
        </w:rPr>
        <w:t xml:space="preserve"> Preživljenje bez bolesti (</w:t>
      </w:r>
      <w:smartTag w:uri="urn:schemas-microsoft-com:office:smarttags" w:element="stockticker">
        <w:r w:rsidRPr="00510442">
          <w:rPr>
            <w:color w:val="000000"/>
            <w:szCs w:val="22"/>
            <w:lang w:val="hr-HR"/>
          </w:rPr>
          <w:t>DFS</w:t>
        </w:r>
      </w:smartTag>
      <w:r w:rsidRPr="00510442">
        <w:rPr>
          <w:color w:val="000000"/>
          <w:szCs w:val="22"/>
          <w:lang w:val="hr-HR"/>
        </w:rPr>
        <w:t>) i ukupno preživljenje (OS) stalno premašuju 1 godinu te su superiorni nad prethodnim kontrolama (</w:t>
      </w:r>
      <w:smartTag w:uri="urn:schemas-microsoft-com:office:smarttags" w:element="stockticker">
        <w:r w:rsidRPr="00510442">
          <w:rPr>
            <w:color w:val="000000"/>
            <w:szCs w:val="22"/>
            <w:lang w:val="hr-HR"/>
          </w:rPr>
          <w:t>DFS</w:t>
        </w:r>
      </w:smartTag>
      <w:r w:rsidRPr="00510442">
        <w:rPr>
          <w:color w:val="000000"/>
          <w:szCs w:val="22"/>
          <w:lang w:val="hr-HR"/>
        </w:rPr>
        <w:t xml:space="preserve"> p&lt;0,001; OS p&lt;0,0001) u dva ispitivanja (AJP01 i AUS01).</w:t>
      </w:r>
    </w:p>
    <w:p w14:paraId="6CC4DFA2" w14:textId="77777777" w:rsidR="00BE41B8" w:rsidRPr="00510442" w:rsidRDefault="00BE41B8" w:rsidP="00BE41B8">
      <w:pPr>
        <w:pStyle w:val="EndnoteText"/>
        <w:widowControl w:val="0"/>
        <w:rPr>
          <w:color w:val="000000"/>
          <w:szCs w:val="22"/>
          <w:lang w:val="hr-HR"/>
        </w:rPr>
      </w:pPr>
    </w:p>
    <w:p w14:paraId="57C43A78" w14:textId="77777777" w:rsidR="00BE41B8" w:rsidRPr="00510442" w:rsidRDefault="00BE41B8" w:rsidP="003179A4">
      <w:pPr>
        <w:pStyle w:val="EndnoteText"/>
        <w:keepNext/>
        <w:widowControl w:val="0"/>
        <w:tabs>
          <w:tab w:val="clear" w:pos="567"/>
        </w:tabs>
        <w:ind w:left="1134" w:hanging="1134"/>
        <w:rPr>
          <w:b/>
          <w:bCs/>
          <w:color w:val="000000"/>
          <w:szCs w:val="22"/>
          <w:lang w:val="hr-HR"/>
        </w:rPr>
      </w:pPr>
      <w:r w:rsidRPr="00510442">
        <w:rPr>
          <w:b/>
          <w:bCs/>
          <w:color w:val="000000"/>
          <w:szCs w:val="22"/>
          <w:lang w:val="hr-HR"/>
        </w:rPr>
        <w:lastRenderedPageBreak/>
        <w:t>Tablica </w:t>
      </w:r>
      <w:r w:rsidR="004C7699" w:rsidRPr="00510442">
        <w:rPr>
          <w:b/>
          <w:bCs/>
          <w:color w:val="000000"/>
          <w:szCs w:val="22"/>
          <w:lang w:val="hr-HR"/>
        </w:rPr>
        <w:t>4</w:t>
      </w:r>
      <w:r w:rsidRPr="00510442">
        <w:rPr>
          <w:b/>
          <w:bCs/>
          <w:color w:val="000000"/>
          <w:szCs w:val="22"/>
          <w:lang w:val="hr-HR"/>
        </w:rPr>
        <w:tab/>
      </w:r>
      <w:r w:rsidRPr="00510442">
        <w:rPr>
          <w:b/>
          <w:szCs w:val="22"/>
          <w:lang w:val="hr-HR"/>
        </w:rPr>
        <w:t>Režim kemoterapije korišten u kombinaciji s imatinibom</w:t>
      </w:r>
    </w:p>
    <w:p w14:paraId="1E03E7BC" w14:textId="77777777" w:rsidR="00BE41B8" w:rsidRPr="00510442" w:rsidRDefault="00BE41B8" w:rsidP="003179A4">
      <w:pPr>
        <w:pStyle w:val="EndnoteText"/>
        <w:keepNext/>
        <w:widowControl w:val="0"/>
        <w:rPr>
          <w:color w:val="000000"/>
          <w:szCs w:val="22"/>
          <w:lang w:val="hr-HR"/>
        </w:rPr>
      </w:pPr>
    </w:p>
    <w:tbl>
      <w:tblPr>
        <w:tblW w:w="8880" w:type="dxa"/>
        <w:tblInd w:w="228" w:type="dxa"/>
        <w:tblBorders>
          <w:top w:val="single" w:sz="4" w:space="0" w:color="auto"/>
          <w:bottom w:val="single" w:sz="4" w:space="0" w:color="auto"/>
        </w:tblBorders>
        <w:tblLayout w:type="fixed"/>
        <w:tblLook w:val="0000" w:firstRow="0" w:lastRow="0" w:firstColumn="0" w:lastColumn="0" w:noHBand="0" w:noVBand="0"/>
      </w:tblPr>
      <w:tblGrid>
        <w:gridCol w:w="2148"/>
        <w:gridCol w:w="2652"/>
        <w:gridCol w:w="1080"/>
        <w:gridCol w:w="1380"/>
        <w:gridCol w:w="1620"/>
      </w:tblGrid>
      <w:tr w:rsidR="00BE41B8" w:rsidRPr="00510442" w14:paraId="7ABDB993" w14:textId="77777777" w:rsidTr="0063591E">
        <w:trPr>
          <w:cantSplit/>
        </w:trPr>
        <w:tc>
          <w:tcPr>
            <w:tcW w:w="2148" w:type="dxa"/>
            <w:tcBorders>
              <w:top w:val="single" w:sz="4" w:space="0" w:color="auto"/>
              <w:bottom w:val="single" w:sz="4" w:space="0" w:color="auto"/>
            </w:tcBorders>
            <w:shd w:val="clear" w:color="auto" w:fill="auto"/>
          </w:tcPr>
          <w:p w14:paraId="16DDDE7B" w14:textId="77777777" w:rsidR="00BE41B8" w:rsidRPr="00510442" w:rsidRDefault="00BE41B8" w:rsidP="0063591E">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b/>
                <w:color w:val="000000"/>
                <w:sz w:val="22"/>
                <w:szCs w:val="22"/>
                <w:lang w:val="hr-HR"/>
              </w:rPr>
              <w:t>Studija ADE10</w:t>
            </w:r>
          </w:p>
        </w:tc>
        <w:tc>
          <w:tcPr>
            <w:tcW w:w="6732" w:type="dxa"/>
            <w:gridSpan w:val="4"/>
            <w:tcBorders>
              <w:top w:val="single" w:sz="4" w:space="0" w:color="auto"/>
              <w:bottom w:val="single" w:sz="4" w:space="0" w:color="auto"/>
            </w:tcBorders>
            <w:shd w:val="clear" w:color="auto" w:fill="auto"/>
          </w:tcPr>
          <w:p w14:paraId="58ACDD96" w14:textId="77777777" w:rsidR="00BE41B8" w:rsidRPr="00510442" w:rsidRDefault="00BE41B8" w:rsidP="0063591E">
            <w:pPr>
              <w:pStyle w:val="Table"/>
              <w:keepLines w:val="0"/>
              <w:widowControl w:val="0"/>
              <w:spacing w:before="0" w:after="0"/>
              <w:rPr>
                <w:rFonts w:ascii="Times New Roman" w:hAnsi="Times New Roman"/>
                <w:color w:val="000000"/>
                <w:sz w:val="22"/>
                <w:szCs w:val="22"/>
                <w:lang w:val="hr-HR"/>
              </w:rPr>
            </w:pPr>
          </w:p>
        </w:tc>
      </w:tr>
      <w:tr w:rsidR="00BE41B8" w:rsidRPr="00510442" w14:paraId="651BE0A0" w14:textId="77777777" w:rsidTr="0063591E">
        <w:trPr>
          <w:cantSplit/>
        </w:trPr>
        <w:tc>
          <w:tcPr>
            <w:tcW w:w="2148" w:type="dxa"/>
            <w:tcBorders>
              <w:top w:val="single" w:sz="4" w:space="0" w:color="auto"/>
              <w:bottom w:val="single" w:sz="4" w:space="0" w:color="auto"/>
            </w:tcBorders>
            <w:shd w:val="clear" w:color="auto" w:fill="auto"/>
          </w:tcPr>
          <w:p w14:paraId="5B8546CB" w14:textId="77777777" w:rsidR="00BE41B8" w:rsidRPr="00510442" w:rsidRDefault="00BE41B8" w:rsidP="0063591E">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sz w:val="22"/>
                <w:szCs w:val="22"/>
                <w:lang w:val="hr-HR"/>
              </w:rPr>
              <w:t>Predfaza</w:t>
            </w:r>
          </w:p>
        </w:tc>
        <w:tc>
          <w:tcPr>
            <w:tcW w:w="6732" w:type="dxa"/>
            <w:gridSpan w:val="4"/>
            <w:tcBorders>
              <w:top w:val="single" w:sz="4" w:space="0" w:color="auto"/>
              <w:bottom w:val="single" w:sz="4" w:space="0" w:color="auto"/>
            </w:tcBorders>
            <w:shd w:val="clear" w:color="auto" w:fill="auto"/>
          </w:tcPr>
          <w:p w14:paraId="22F9C678" w14:textId="77777777" w:rsidR="00BE41B8" w:rsidRPr="00510442" w:rsidRDefault="00BE41B8" w:rsidP="0063591E">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DEX 10 mg/m</w:t>
            </w:r>
            <w:r w:rsidRPr="00510442">
              <w:rPr>
                <w:rFonts w:ascii="Times New Roman" w:hAnsi="Times New Roman"/>
                <w:color w:val="000000"/>
                <w:sz w:val="22"/>
                <w:szCs w:val="22"/>
                <w:vertAlign w:val="superscript"/>
                <w:lang w:val="hr-HR"/>
              </w:rPr>
              <w:t>2</w:t>
            </w:r>
            <w:r w:rsidRPr="00510442">
              <w:rPr>
                <w:rFonts w:ascii="Times New Roman" w:hAnsi="Times New Roman"/>
                <w:color w:val="000000"/>
                <w:sz w:val="22"/>
                <w:szCs w:val="22"/>
                <w:lang w:val="hr-HR"/>
              </w:rPr>
              <w:t xml:space="preserve"> peroralno, dani 1</w:t>
            </w:r>
            <w:r w:rsidRPr="00510442">
              <w:rPr>
                <w:rFonts w:ascii="Times New Roman" w:hAnsi="Times New Roman"/>
                <w:color w:val="000000"/>
                <w:sz w:val="22"/>
                <w:szCs w:val="22"/>
                <w:lang w:val="hr-HR"/>
              </w:rPr>
              <w:noBreakHyphen/>
              <w:t>5;</w:t>
            </w:r>
          </w:p>
          <w:p w14:paraId="633FB292" w14:textId="77777777" w:rsidR="00BE41B8" w:rsidRPr="00510442" w:rsidRDefault="00BE41B8" w:rsidP="0063591E">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CP 200 mg/m</w:t>
            </w:r>
            <w:r w:rsidRPr="00510442">
              <w:rPr>
                <w:rFonts w:ascii="Times New Roman" w:hAnsi="Times New Roman"/>
                <w:color w:val="000000"/>
                <w:sz w:val="22"/>
                <w:szCs w:val="22"/>
                <w:vertAlign w:val="superscript"/>
                <w:lang w:val="hr-HR"/>
              </w:rPr>
              <w:t>2</w:t>
            </w:r>
            <w:r w:rsidRPr="00510442">
              <w:rPr>
                <w:rFonts w:ascii="Times New Roman" w:hAnsi="Times New Roman"/>
                <w:color w:val="000000"/>
                <w:sz w:val="22"/>
                <w:szCs w:val="22"/>
                <w:lang w:val="hr-HR"/>
              </w:rPr>
              <w:t xml:space="preserve"> i.v., dani 3, 4, 5;</w:t>
            </w:r>
          </w:p>
          <w:p w14:paraId="1DB28819" w14:textId="77777777" w:rsidR="00BE41B8" w:rsidRPr="00510442" w:rsidRDefault="00BE41B8" w:rsidP="0063591E">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MTX 12 mg intratekalno, dan 1</w:t>
            </w:r>
          </w:p>
        </w:tc>
      </w:tr>
      <w:tr w:rsidR="00BE41B8" w:rsidRPr="00510442" w14:paraId="15F2554D" w14:textId="77777777" w:rsidTr="0063591E">
        <w:trPr>
          <w:cantSplit/>
        </w:trPr>
        <w:tc>
          <w:tcPr>
            <w:tcW w:w="2148" w:type="dxa"/>
            <w:tcBorders>
              <w:top w:val="single" w:sz="4" w:space="0" w:color="auto"/>
              <w:bottom w:val="single" w:sz="4" w:space="0" w:color="auto"/>
            </w:tcBorders>
            <w:shd w:val="clear" w:color="auto" w:fill="auto"/>
          </w:tcPr>
          <w:p w14:paraId="79854724" w14:textId="77777777" w:rsidR="00BE41B8" w:rsidRPr="00510442" w:rsidRDefault="00BE41B8" w:rsidP="0063591E">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sz w:val="22"/>
                <w:szCs w:val="22"/>
                <w:lang w:val="hr-HR"/>
              </w:rPr>
              <w:t>Indukcija remisije</w:t>
            </w:r>
          </w:p>
        </w:tc>
        <w:tc>
          <w:tcPr>
            <w:tcW w:w="6732" w:type="dxa"/>
            <w:gridSpan w:val="4"/>
            <w:tcBorders>
              <w:top w:val="single" w:sz="4" w:space="0" w:color="auto"/>
              <w:bottom w:val="single" w:sz="4" w:space="0" w:color="auto"/>
            </w:tcBorders>
            <w:shd w:val="clear" w:color="auto" w:fill="auto"/>
          </w:tcPr>
          <w:p w14:paraId="09073B4C" w14:textId="77777777" w:rsidR="00BE41B8" w:rsidRPr="00510442" w:rsidRDefault="00BE41B8" w:rsidP="0063591E">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DEX 10 mg/m</w:t>
            </w:r>
            <w:r w:rsidRPr="00510442">
              <w:rPr>
                <w:rFonts w:ascii="Times New Roman" w:hAnsi="Times New Roman"/>
                <w:color w:val="000000"/>
                <w:sz w:val="22"/>
                <w:szCs w:val="22"/>
                <w:vertAlign w:val="superscript"/>
                <w:lang w:val="hr-HR"/>
              </w:rPr>
              <w:t>2</w:t>
            </w:r>
            <w:r w:rsidRPr="00510442">
              <w:rPr>
                <w:rFonts w:ascii="Times New Roman" w:hAnsi="Times New Roman"/>
                <w:color w:val="000000"/>
                <w:sz w:val="22"/>
                <w:szCs w:val="22"/>
                <w:lang w:val="hr-HR"/>
              </w:rPr>
              <w:t xml:space="preserve"> peroralno, dani 6</w:t>
            </w:r>
            <w:r w:rsidRPr="00510442">
              <w:rPr>
                <w:rFonts w:ascii="Times New Roman" w:hAnsi="Times New Roman"/>
                <w:color w:val="000000"/>
                <w:sz w:val="22"/>
                <w:szCs w:val="22"/>
                <w:lang w:val="hr-HR"/>
              </w:rPr>
              <w:noBreakHyphen/>
              <w:t>7, 13</w:t>
            </w:r>
            <w:r w:rsidRPr="00510442">
              <w:rPr>
                <w:rFonts w:ascii="Times New Roman" w:hAnsi="Times New Roman"/>
                <w:color w:val="000000"/>
                <w:sz w:val="22"/>
                <w:szCs w:val="22"/>
                <w:lang w:val="hr-HR"/>
              </w:rPr>
              <w:noBreakHyphen/>
              <w:t>16;</w:t>
            </w:r>
          </w:p>
          <w:p w14:paraId="757A98F7" w14:textId="77777777" w:rsidR="00BE41B8" w:rsidRPr="00510442" w:rsidRDefault="00BE41B8" w:rsidP="0063591E">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VCR 1 mg i.v., dani 7, 14;</w:t>
            </w:r>
          </w:p>
          <w:p w14:paraId="7B4B2B12" w14:textId="77777777" w:rsidR="00BE41B8" w:rsidRPr="00510442" w:rsidRDefault="00BE41B8" w:rsidP="0063591E">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IDA 8 mg/m</w:t>
            </w:r>
            <w:r w:rsidRPr="00510442">
              <w:rPr>
                <w:rFonts w:ascii="Times New Roman" w:hAnsi="Times New Roman"/>
                <w:color w:val="000000"/>
                <w:sz w:val="22"/>
                <w:szCs w:val="22"/>
                <w:vertAlign w:val="superscript"/>
                <w:lang w:val="hr-HR"/>
              </w:rPr>
              <w:t>2</w:t>
            </w:r>
            <w:r w:rsidRPr="00510442">
              <w:rPr>
                <w:rFonts w:ascii="Times New Roman" w:hAnsi="Times New Roman"/>
                <w:color w:val="000000"/>
                <w:sz w:val="22"/>
                <w:szCs w:val="22"/>
                <w:lang w:val="hr-HR"/>
              </w:rPr>
              <w:t xml:space="preserve"> i.v. (0,5 h), dani 7, 8, 14, 15;</w:t>
            </w:r>
          </w:p>
          <w:p w14:paraId="0DC04EBF" w14:textId="77777777" w:rsidR="00BE41B8" w:rsidRPr="00510442" w:rsidRDefault="00BE41B8" w:rsidP="0063591E">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CP 500 mg/m</w:t>
            </w:r>
            <w:r w:rsidRPr="00510442">
              <w:rPr>
                <w:rFonts w:ascii="Times New Roman" w:hAnsi="Times New Roman"/>
                <w:color w:val="000000"/>
                <w:sz w:val="22"/>
                <w:szCs w:val="22"/>
                <w:vertAlign w:val="superscript"/>
                <w:lang w:val="hr-HR"/>
              </w:rPr>
              <w:t>2</w:t>
            </w:r>
            <w:r w:rsidRPr="00510442">
              <w:rPr>
                <w:rFonts w:ascii="Times New Roman" w:hAnsi="Times New Roman"/>
                <w:color w:val="000000"/>
                <w:sz w:val="22"/>
                <w:szCs w:val="22"/>
                <w:lang w:val="hr-HR"/>
              </w:rPr>
              <w:t xml:space="preserve"> i.v.(1 h) dan 1;</w:t>
            </w:r>
          </w:p>
          <w:p w14:paraId="2599BCF2" w14:textId="77777777" w:rsidR="00BE41B8" w:rsidRPr="00510442" w:rsidRDefault="00BE41B8" w:rsidP="0063591E">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Ara-C 60 mg/m</w:t>
            </w:r>
            <w:r w:rsidRPr="00510442">
              <w:rPr>
                <w:rFonts w:ascii="Times New Roman" w:hAnsi="Times New Roman"/>
                <w:color w:val="000000"/>
                <w:sz w:val="22"/>
                <w:szCs w:val="22"/>
                <w:vertAlign w:val="superscript"/>
                <w:lang w:val="hr-HR"/>
              </w:rPr>
              <w:t>2</w:t>
            </w:r>
            <w:r w:rsidRPr="00510442">
              <w:rPr>
                <w:rFonts w:ascii="Times New Roman" w:hAnsi="Times New Roman"/>
                <w:color w:val="000000"/>
                <w:sz w:val="22"/>
                <w:szCs w:val="22"/>
                <w:lang w:val="hr-HR"/>
              </w:rPr>
              <w:t xml:space="preserve"> i.v., dani 22</w:t>
            </w:r>
            <w:r w:rsidRPr="00510442">
              <w:rPr>
                <w:rFonts w:ascii="Times New Roman" w:hAnsi="Times New Roman"/>
                <w:color w:val="000000"/>
                <w:sz w:val="22"/>
                <w:szCs w:val="22"/>
                <w:lang w:val="hr-HR"/>
              </w:rPr>
              <w:noBreakHyphen/>
              <w:t>25, 29</w:t>
            </w:r>
            <w:r w:rsidRPr="00510442">
              <w:rPr>
                <w:rFonts w:ascii="Times New Roman" w:hAnsi="Times New Roman"/>
                <w:color w:val="000000"/>
                <w:sz w:val="22"/>
                <w:szCs w:val="22"/>
                <w:lang w:val="hr-HR"/>
              </w:rPr>
              <w:noBreakHyphen/>
              <w:t>32</w:t>
            </w:r>
          </w:p>
        </w:tc>
      </w:tr>
      <w:tr w:rsidR="00BE41B8" w:rsidRPr="00510442" w14:paraId="32E3A088" w14:textId="77777777" w:rsidTr="0063591E">
        <w:trPr>
          <w:cantSplit/>
        </w:trPr>
        <w:tc>
          <w:tcPr>
            <w:tcW w:w="2148" w:type="dxa"/>
            <w:tcBorders>
              <w:top w:val="single" w:sz="4" w:space="0" w:color="auto"/>
              <w:bottom w:val="single" w:sz="4" w:space="0" w:color="auto"/>
            </w:tcBorders>
            <w:shd w:val="clear" w:color="auto" w:fill="auto"/>
          </w:tcPr>
          <w:p w14:paraId="0CBF2618" w14:textId="77777777" w:rsidR="00BE41B8" w:rsidRPr="00510442" w:rsidRDefault="00BE41B8" w:rsidP="0063591E">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sz w:val="22"/>
                <w:szCs w:val="22"/>
                <w:lang w:val="hr-HR"/>
              </w:rPr>
              <w:t>Konsolidacijska terapija I, III, V</w:t>
            </w:r>
          </w:p>
        </w:tc>
        <w:tc>
          <w:tcPr>
            <w:tcW w:w="6732" w:type="dxa"/>
            <w:gridSpan w:val="4"/>
            <w:tcBorders>
              <w:top w:val="single" w:sz="4" w:space="0" w:color="auto"/>
              <w:bottom w:val="single" w:sz="4" w:space="0" w:color="auto"/>
            </w:tcBorders>
            <w:shd w:val="clear" w:color="auto" w:fill="auto"/>
          </w:tcPr>
          <w:p w14:paraId="1C252643" w14:textId="77777777" w:rsidR="00BE41B8" w:rsidRPr="00510442" w:rsidRDefault="00BE41B8" w:rsidP="0063591E">
            <w:pPr>
              <w:pStyle w:val="Table"/>
              <w:keepLines w:val="0"/>
              <w:widowControl w:val="0"/>
              <w:spacing w:before="0" w:after="0"/>
              <w:rPr>
                <w:rFonts w:ascii="Times New Roman" w:hAnsi="Times New Roman"/>
                <w:color w:val="000000"/>
                <w:sz w:val="22"/>
                <w:szCs w:val="22"/>
                <w:lang w:val="hr-HR"/>
              </w:rPr>
            </w:pPr>
            <w:smartTag w:uri="urn:schemas-microsoft-com:office:smarttags" w:element="stockticker">
              <w:r w:rsidRPr="00510442">
                <w:rPr>
                  <w:rFonts w:ascii="Times New Roman" w:hAnsi="Times New Roman"/>
                  <w:color w:val="000000"/>
                  <w:sz w:val="22"/>
                  <w:szCs w:val="22"/>
                  <w:lang w:val="hr-HR"/>
                </w:rPr>
                <w:t>MTX</w:t>
              </w:r>
            </w:smartTag>
            <w:r w:rsidRPr="00510442">
              <w:rPr>
                <w:rFonts w:ascii="Times New Roman" w:hAnsi="Times New Roman"/>
                <w:color w:val="000000"/>
                <w:sz w:val="22"/>
                <w:szCs w:val="22"/>
                <w:lang w:val="hr-HR"/>
              </w:rPr>
              <w:t xml:space="preserve"> 500 mg/m</w:t>
            </w:r>
            <w:r w:rsidRPr="00510442">
              <w:rPr>
                <w:rFonts w:ascii="Times New Roman" w:hAnsi="Times New Roman"/>
                <w:color w:val="000000"/>
                <w:sz w:val="22"/>
                <w:szCs w:val="22"/>
                <w:vertAlign w:val="superscript"/>
                <w:lang w:val="hr-HR"/>
              </w:rPr>
              <w:t>2</w:t>
            </w:r>
            <w:r w:rsidRPr="00510442">
              <w:rPr>
                <w:rFonts w:ascii="Times New Roman" w:hAnsi="Times New Roman"/>
                <w:color w:val="000000"/>
                <w:sz w:val="22"/>
                <w:szCs w:val="22"/>
                <w:lang w:val="hr-HR"/>
              </w:rPr>
              <w:t xml:space="preserve"> i.v. (24 h), dani 1, 15;</w:t>
            </w:r>
          </w:p>
          <w:p w14:paraId="58398D03" w14:textId="77777777" w:rsidR="00BE41B8" w:rsidRPr="00510442" w:rsidRDefault="00BE41B8" w:rsidP="0063591E">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6-MP 25 mg/m</w:t>
            </w:r>
            <w:r w:rsidRPr="00510442">
              <w:rPr>
                <w:rFonts w:ascii="Times New Roman" w:hAnsi="Times New Roman"/>
                <w:color w:val="000000"/>
                <w:sz w:val="22"/>
                <w:szCs w:val="22"/>
                <w:vertAlign w:val="superscript"/>
                <w:lang w:val="hr-HR"/>
              </w:rPr>
              <w:t>2</w:t>
            </w:r>
            <w:r w:rsidRPr="00510442">
              <w:rPr>
                <w:rFonts w:ascii="Times New Roman" w:hAnsi="Times New Roman"/>
                <w:color w:val="000000"/>
                <w:sz w:val="22"/>
                <w:szCs w:val="22"/>
                <w:lang w:val="hr-HR"/>
              </w:rPr>
              <w:t xml:space="preserve"> peroralno, dani 1</w:t>
            </w:r>
            <w:r w:rsidRPr="00510442">
              <w:rPr>
                <w:rFonts w:ascii="Times New Roman" w:hAnsi="Times New Roman"/>
                <w:color w:val="000000"/>
                <w:sz w:val="22"/>
                <w:szCs w:val="22"/>
                <w:lang w:val="hr-HR"/>
              </w:rPr>
              <w:noBreakHyphen/>
              <w:t>20</w:t>
            </w:r>
          </w:p>
        </w:tc>
      </w:tr>
      <w:tr w:rsidR="00BE41B8" w:rsidRPr="00F410C8" w14:paraId="6CC20FFE" w14:textId="77777777" w:rsidTr="0063591E">
        <w:trPr>
          <w:cantSplit/>
        </w:trPr>
        <w:tc>
          <w:tcPr>
            <w:tcW w:w="2148" w:type="dxa"/>
            <w:tcBorders>
              <w:top w:val="single" w:sz="4" w:space="0" w:color="auto"/>
              <w:bottom w:val="single" w:sz="4" w:space="0" w:color="auto"/>
            </w:tcBorders>
            <w:shd w:val="clear" w:color="auto" w:fill="auto"/>
          </w:tcPr>
          <w:p w14:paraId="61923F38" w14:textId="77777777" w:rsidR="00BE41B8" w:rsidRPr="00510442" w:rsidRDefault="00BE41B8" w:rsidP="0063591E">
            <w:pPr>
              <w:pStyle w:val="Table"/>
              <w:keepNext w:val="0"/>
              <w:keepLines w:val="0"/>
              <w:widowControl w:val="0"/>
              <w:spacing w:before="0" w:after="0"/>
              <w:rPr>
                <w:rFonts w:ascii="Times New Roman" w:hAnsi="Times New Roman"/>
                <w:color w:val="000000"/>
                <w:sz w:val="22"/>
                <w:szCs w:val="22"/>
                <w:lang w:val="hr-HR"/>
              </w:rPr>
            </w:pPr>
            <w:r w:rsidRPr="00510442">
              <w:rPr>
                <w:rFonts w:ascii="Times New Roman" w:hAnsi="Times New Roman"/>
                <w:sz w:val="22"/>
                <w:szCs w:val="22"/>
                <w:lang w:val="hr-HR"/>
              </w:rPr>
              <w:t>Konsolidacijska terapija II, IV</w:t>
            </w:r>
          </w:p>
        </w:tc>
        <w:tc>
          <w:tcPr>
            <w:tcW w:w="6732" w:type="dxa"/>
            <w:gridSpan w:val="4"/>
            <w:tcBorders>
              <w:top w:val="single" w:sz="4" w:space="0" w:color="auto"/>
              <w:bottom w:val="single" w:sz="4" w:space="0" w:color="auto"/>
            </w:tcBorders>
            <w:shd w:val="clear" w:color="auto" w:fill="auto"/>
          </w:tcPr>
          <w:p w14:paraId="429041ED" w14:textId="77777777" w:rsidR="00BE41B8" w:rsidRPr="00510442" w:rsidRDefault="00BE41B8" w:rsidP="0063591E">
            <w:pPr>
              <w:pStyle w:val="Table"/>
              <w:keepNext w:val="0"/>
              <w:keepLines w:val="0"/>
              <w:widowControl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Ara-C 75 mg/m</w:t>
            </w:r>
            <w:r w:rsidRPr="00510442">
              <w:rPr>
                <w:rFonts w:ascii="Times New Roman" w:hAnsi="Times New Roman"/>
                <w:color w:val="000000"/>
                <w:sz w:val="22"/>
                <w:szCs w:val="22"/>
                <w:vertAlign w:val="superscript"/>
                <w:lang w:val="hr-HR"/>
              </w:rPr>
              <w:t>2</w:t>
            </w:r>
            <w:r w:rsidRPr="00510442">
              <w:rPr>
                <w:rFonts w:ascii="Times New Roman" w:hAnsi="Times New Roman"/>
                <w:color w:val="000000"/>
                <w:sz w:val="22"/>
                <w:szCs w:val="22"/>
                <w:lang w:val="hr-HR"/>
              </w:rPr>
              <w:t xml:space="preserve"> i.v. (1 h), dani 1</w:t>
            </w:r>
            <w:r w:rsidRPr="00510442">
              <w:rPr>
                <w:rFonts w:ascii="Times New Roman" w:hAnsi="Times New Roman"/>
                <w:color w:val="000000"/>
                <w:sz w:val="22"/>
                <w:szCs w:val="22"/>
                <w:lang w:val="hr-HR"/>
              </w:rPr>
              <w:noBreakHyphen/>
              <w:t>5;</w:t>
            </w:r>
          </w:p>
          <w:p w14:paraId="333E013B" w14:textId="77777777" w:rsidR="00BE41B8" w:rsidRPr="00510442" w:rsidRDefault="00BE41B8" w:rsidP="0063591E">
            <w:pPr>
              <w:pStyle w:val="Table"/>
              <w:keepNext w:val="0"/>
              <w:keepLines w:val="0"/>
              <w:widowControl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VM26 60 mg/m</w:t>
            </w:r>
            <w:r w:rsidRPr="00510442">
              <w:rPr>
                <w:rFonts w:ascii="Times New Roman" w:hAnsi="Times New Roman"/>
                <w:color w:val="000000"/>
                <w:sz w:val="22"/>
                <w:szCs w:val="22"/>
                <w:vertAlign w:val="superscript"/>
                <w:lang w:val="hr-HR"/>
              </w:rPr>
              <w:t>2</w:t>
            </w:r>
            <w:r w:rsidRPr="00510442">
              <w:rPr>
                <w:rFonts w:ascii="Times New Roman" w:hAnsi="Times New Roman"/>
                <w:color w:val="000000"/>
                <w:sz w:val="22"/>
                <w:szCs w:val="22"/>
                <w:lang w:val="hr-HR"/>
              </w:rPr>
              <w:t xml:space="preserve"> i.v. (1 h), dani 1</w:t>
            </w:r>
            <w:r w:rsidRPr="00510442">
              <w:rPr>
                <w:rFonts w:ascii="Times New Roman" w:hAnsi="Times New Roman"/>
                <w:color w:val="000000"/>
                <w:sz w:val="22"/>
                <w:szCs w:val="22"/>
                <w:lang w:val="hr-HR"/>
              </w:rPr>
              <w:noBreakHyphen/>
              <w:t>5</w:t>
            </w:r>
          </w:p>
        </w:tc>
      </w:tr>
      <w:tr w:rsidR="00BE41B8" w:rsidRPr="00510442" w14:paraId="2FCE2219" w14:textId="77777777" w:rsidTr="0063591E">
        <w:trPr>
          <w:cantSplit/>
        </w:trPr>
        <w:tc>
          <w:tcPr>
            <w:tcW w:w="2148" w:type="dxa"/>
            <w:tcBorders>
              <w:top w:val="single" w:sz="4" w:space="0" w:color="auto"/>
              <w:bottom w:val="single" w:sz="4" w:space="0" w:color="auto"/>
            </w:tcBorders>
            <w:shd w:val="clear" w:color="auto" w:fill="auto"/>
          </w:tcPr>
          <w:p w14:paraId="6BEC8220" w14:textId="77777777" w:rsidR="00BE41B8" w:rsidRPr="00510442" w:rsidRDefault="00BE41B8" w:rsidP="0063591E">
            <w:pPr>
              <w:pStyle w:val="Table"/>
              <w:keepLines w:val="0"/>
              <w:widowControl w:val="0"/>
              <w:spacing w:before="0" w:after="0"/>
              <w:rPr>
                <w:rFonts w:ascii="Times New Roman" w:hAnsi="Times New Roman"/>
                <w:b/>
                <w:color w:val="000000"/>
                <w:sz w:val="22"/>
                <w:szCs w:val="22"/>
                <w:lang w:val="hr-HR"/>
              </w:rPr>
            </w:pPr>
            <w:r w:rsidRPr="00510442">
              <w:rPr>
                <w:rFonts w:ascii="Times New Roman" w:hAnsi="Times New Roman"/>
                <w:b/>
                <w:sz w:val="22"/>
                <w:szCs w:val="22"/>
                <w:lang w:val="hr-HR"/>
              </w:rPr>
              <w:t xml:space="preserve">Studija </w:t>
            </w:r>
            <w:r w:rsidRPr="00510442">
              <w:rPr>
                <w:rFonts w:ascii="Times New Roman" w:hAnsi="Times New Roman"/>
                <w:b/>
                <w:color w:val="000000"/>
                <w:sz w:val="22"/>
                <w:szCs w:val="22"/>
                <w:lang w:val="hr-HR"/>
              </w:rPr>
              <w:t>AAU02</w:t>
            </w:r>
          </w:p>
        </w:tc>
        <w:tc>
          <w:tcPr>
            <w:tcW w:w="2652" w:type="dxa"/>
            <w:tcBorders>
              <w:top w:val="single" w:sz="4" w:space="0" w:color="auto"/>
              <w:bottom w:val="single" w:sz="4" w:space="0" w:color="auto"/>
            </w:tcBorders>
            <w:shd w:val="clear" w:color="auto" w:fill="auto"/>
          </w:tcPr>
          <w:p w14:paraId="6B48F365" w14:textId="77777777" w:rsidR="00BE41B8" w:rsidRPr="00510442" w:rsidRDefault="00BE41B8" w:rsidP="0063591E">
            <w:pPr>
              <w:pStyle w:val="Table"/>
              <w:keepLines w:val="0"/>
              <w:widowControl w:val="0"/>
              <w:spacing w:before="0" w:after="0"/>
              <w:rPr>
                <w:rFonts w:ascii="Times New Roman" w:hAnsi="Times New Roman"/>
                <w:color w:val="000000"/>
                <w:sz w:val="22"/>
                <w:szCs w:val="22"/>
                <w:lang w:val="hr-HR"/>
              </w:rPr>
            </w:pPr>
          </w:p>
        </w:tc>
        <w:tc>
          <w:tcPr>
            <w:tcW w:w="1080" w:type="dxa"/>
            <w:tcBorders>
              <w:top w:val="single" w:sz="4" w:space="0" w:color="auto"/>
              <w:bottom w:val="single" w:sz="4" w:space="0" w:color="auto"/>
            </w:tcBorders>
          </w:tcPr>
          <w:p w14:paraId="68AE4793" w14:textId="77777777" w:rsidR="00BE41B8" w:rsidRPr="00510442" w:rsidRDefault="00BE41B8" w:rsidP="0063591E">
            <w:pPr>
              <w:pStyle w:val="Table"/>
              <w:keepLines w:val="0"/>
              <w:widowControl w:val="0"/>
              <w:spacing w:before="0" w:after="0"/>
              <w:rPr>
                <w:rFonts w:ascii="Times New Roman" w:hAnsi="Times New Roman"/>
                <w:color w:val="000000"/>
                <w:sz w:val="22"/>
                <w:szCs w:val="22"/>
                <w:lang w:val="hr-HR"/>
              </w:rPr>
            </w:pPr>
          </w:p>
        </w:tc>
        <w:tc>
          <w:tcPr>
            <w:tcW w:w="1380" w:type="dxa"/>
            <w:tcBorders>
              <w:top w:val="single" w:sz="4" w:space="0" w:color="auto"/>
              <w:bottom w:val="single" w:sz="4" w:space="0" w:color="auto"/>
            </w:tcBorders>
          </w:tcPr>
          <w:p w14:paraId="00FCC32C" w14:textId="77777777" w:rsidR="00BE41B8" w:rsidRPr="00510442" w:rsidRDefault="00BE41B8" w:rsidP="0063591E">
            <w:pPr>
              <w:pStyle w:val="Table"/>
              <w:keepLines w:val="0"/>
              <w:widowControl w:val="0"/>
              <w:spacing w:before="0" w:after="0"/>
              <w:rPr>
                <w:rFonts w:ascii="Times New Roman" w:hAnsi="Times New Roman"/>
                <w:color w:val="000000"/>
                <w:sz w:val="22"/>
                <w:szCs w:val="22"/>
                <w:lang w:val="hr-HR"/>
              </w:rPr>
            </w:pPr>
          </w:p>
        </w:tc>
        <w:tc>
          <w:tcPr>
            <w:tcW w:w="1620" w:type="dxa"/>
            <w:tcBorders>
              <w:top w:val="single" w:sz="4" w:space="0" w:color="auto"/>
              <w:bottom w:val="single" w:sz="4" w:space="0" w:color="auto"/>
            </w:tcBorders>
          </w:tcPr>
          <w:p w14:paraId="7BD8309E" w14:textId="77777777" w:rsidR="00BE41B8" w:rsidRPr="00510442" w:rsidRDefault="00BE41B8" w:rsidP="0063591E">
            <w:pPr>
              <w:pStyle w:val="Table"/>
              <w:keepLines w:val="0"/>
              <w:widowControl w:val="0"/>
              <w:spacing w:before="0" w:after="0"/>
              <w:rPr>
                <w:rFonts w:ascii="Times New Roman" w:hAnsi="Times New Roman"/>
                <w:color w:val="000000"/>
                <w:sz w:val="22"/>
                <w:szCs w:val="22"/>
                <w:lang w:val="hr-HR"/>
              </w:rPr>
            </w:pPr>
          </w:p>
        </w:tc>
      </w:tr>
      <w:tr w:rsidR="00BE41B8" w:rsidRPr="00510442" w14:paraId="714F4A1E" w14:textId="77777777" w:rsidTr="0063591E">
        <w:trPr>
          <w:cantSplit/>
        </w:trPr>
        <w:tc>
          <w:tcPr>
            <w:tcW w:w="2148" w:type="dxa"/>
            <w:tcBorders>
              <w:top w:val="single" w:sz="4" w:space="0" w:color="auto"/>
              <w:bottom w:val="single" w:sz="4" w:space="0" w:color="auto"/>
            </w:tcBorders>
            <w:shd w:val="clear" w:color="auto" w:fill="auto"/>
          </w:tcPr>
          <w:p w14:paraId="11FEF27A" w14:textId="77777777" w:rsidR="00BE41B8" w:rsidRPr="00510442" w:rsidRDefault="00BE41B8" w:rsidP="0063591E">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sz w:val="22"/>
                <w:szCs w:val="22"/>
                <w:lang w:val="hr-HR"/>
              </w:rPr>
              <w:t>Indukcijska terapija (</w:t>
            </w:r>
            <w:r w:rsidRPr="00510442">
              <w:rPr>
                <w:rFonts w:ascii="Times New Roman" w:hAnsi="Times New Roman"/>
                <w:i/>
                <w:sz w:val="22"/>
                <w:szCs w:val="22"/>
                <w:lang w:val="hr-HR"/>
              </w:rPr>
              <w:t>de novo</w:t>
            </w:r>
            <w:r w:rsidRPr="00510442">
              <w:rPr>
                <w:rFonts w:ascii="Times New Roman" w:hAnsi="Times New Roman"/>
                <w:sz w:val="22"/>
                <w:szCs w:val="22"/>
                <w:lang w:val="hr-HR"/>
              </w:rPr>
              <w:t xml:space="preserve"> Ph+ ALL)</w:t>
            </w:r>
          </w:p>
        </w:tc>
        <w:tc>
          <w:tcPr>
            <w:tcW w:w="6732" w:type="dxa"/>
            <w:gridSpan w:val="4"/>
            <w:tcBorders>
              <w:top w:val="single" w:sz="4" w:space="0" w:color="auto"/>
              <w:bottom w:val="single" w:sz="4" w:space="0" w:color="auto"/>
            </w:tcBorders>
            <w:shd w:val="clear" w:color="auto" w:fill="auto"/>
          </w:tcPr>
          <w:p w14:paraId="7CA8DA2E" w14:textId="77777777" w:rsidR="00BE41B8" w:rsidRPr="00510442" w:rsidRDefault="00BE41B8" w:rsidP="0063591E">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Daunorubicin 30 mg/m</w:t>
            </w:r>
            <w:r w:rsidRPr="00510442">
              <w:rPr>
                <w:rFonts w:ascii="Times New Roman" w:hAnsi="Times New Roman"/>
                <w:color w:val="000000"/>
                <w:sz w:val="22"/>
                <w:szCs w:val="22"/>
                <w:vertAlign w:val="superscript"/>
                <w:lang w:val="hr-HR"/>
              </w:rPr>
              <w:t>2</w:t>
            </w:r>
            <w:r w:rsidRPr="00510442">
              <w:rPr>
                <w:rFonts w:ascii="Times New Roman" w:hAnsi="Times New Roman"/>
                <w:color w:val="000000"/>
                <w:sz w:val="22"/>
                <w:szCs w:val="22"/>
                <w:lang w:val="hr-HR"/>
              </w:rPr>
              <w:t xml:space="preserve"> i.v., dani 1</w:t>
            </w:r>
            <w:r w:rsidRPr="00510442">
              <w:rPr>
                <w:rFonts w:ascii="Times New Roman" w:hAnsi="Times New Roman"/>
                <w:color w:val="000000"/>
                <w:sz w:val="22"/>
                <w:szCs w:val="22"/>
                <w:lang w:val="hr-HR"/>
              </w:rPr>
              <w:noBreakHyphen/>
              <w:t>3, 15</w:t>
            </w:r>
            <w:r w:rsidRPr="00510442">
              <w:rPr>
                <w:rFonts w:ascii="Times New Roman" w:hAnsi="Times New Roman"/>
                <w:color w:val="000000"/>
                <w:sz w:val="22"/>
                <w:szCs w:val="22"/>
                <w:lang w:val="hr-HR"/>
              </w:rPr>
              <w:noBreakHyphen/>
              <w:t>16;</w:t>
            </w:r>
          </w:p>
          <w:p w14:paraId="74C708D3" w14:textId="77777777" w:rsidR="00BE41B8" w:rsidRPr="00510442" w:rsidRDefault="00BE41B8" w:rsidP="0063591E">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 xml:space="preserve">VCR 2 mg </w:t>
            </w:r>
            <w:r w:rsidRPr="00510442">
              <w:rPr>
                <w:rFonts w:ascii="Times New Roman" w:hAnsi="Times New Roman"/>
                <w:sz w:val="22"/>
                <w:szCs w:val="22"/>
                <w:lang w:val="hr-HR"/>
              </w:rPr>
              <w:t xml:space="preserve">ukupna doza </w:t>
            </w:r>
            <w:r w:rsidRPr="00510442">
              <w:rPr>
                <w:rFonts w:ascii="Times New Roman" w:hAnsi="Times New Roman"/>
                <w:color w:val="000000"/>
                <w:sz w:val="22"/>
                <w:szCs w:val="22"/>
                <w:lang w:val="hr-HR"/>
              </w:rPr>
              <w:t>i.v., dani 1, 8, 15, 22;</w:t>
            </w:r>
          </w:p>
          <w:p w14:paraId="12AA7912" w14:textId="77777777" w:rsidR="00BE41B8" w:rsidRPr="00510442" w:rsidRDefault="00BE41B8" w:rsidP="0063591E">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CP 750 mg/m</w:t>
            </w:r>
            <w:r w:rsidRPr="00510442">
              <w:rPr>
                <w:rFonts w:ascii="Times New Roman" w:hAnsi="Times New Roman"/>
                <w:color w:val="000000"/>
                <w:sz w:val="22"/>
                <w:szCs w:val="22"/>
                <w:vertAlign w:val="superscript"/>
                <w:lang w:val="hr-HR"/>
              </w:rPr>
              <w:t>2</w:t>
            </w:r>
            <w:r w:rsidRPr="00510442">
              <w:rPr>
                <w:rFonts w:ascii="Times New Roman" w:hAnsi="Times New Roman"/>
                <w:color w:val="000000"/>
                <w:sz w:val="22"/>
                <w:szCs w:val="22"/>
                <w:lang w:val="hr-HR"/>
              </w:rPr>
              <w:t xml:space="preserve"> i.v., dani 1, 8;</w:t>
            </w:r>
          </w:p>
          <w:p w14:paraId="30F3691A" w14:textId="77777777" w:rsidR="00BE41B8" w:rsidRPr="00510442" w:rsidRDefault="00BE41B8" w:rsidP="0063591E">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Prednizon 60 mg/m</w:t>
            </w:r>
            <w:r w:rsidRPr="00510442">
              <w:rPr>
                <w:rFonts w:ascii="Times New Roman" w:hAnsi="Times New Roman"/>
                <w:color w:val="000000"/>
                <w:sz w:val="22"/>
                <w:szCs w:val="22"/>
                <w:vertAlign w:val="superscript"/>
                <w:lang w:val="hr-HR"/>
              </w:rPr>
              <w:t>2</w:t>
            </w:r>
            <w:r w:rsidRPr="00510442">
              <w:rPr>
                <w:rFonts w:ascii="Times New Roman" w:hAnsi="Times New Roman"/>
                <w:color w:val="000000"/>
                <w:sz w:val="22"/>
                <w:szCs w:val="22"/>
                <w:lang w:val="hr-HR"/>
              </w:rPr>
              <w:t xml:space="preserve"> peroralno, dani 1</w:t>
            </w:r>
            <w:r w:rsidRPr="00510442">
              <w:rPr>
                <w:rFonts w:ascii="Times New Roman" w:hAnsi="Times New Roman"/>
                <w:color w:val="000000"/>
                <w:sz w:val="22"/>
                <w:szCs w:val="22"/>
                <w:lang w:val="hr-HR"/>
              </w:rPr>
              <w:noBreakHyphen/>
              <w:t>7, 15</w:t>
            </w:r>
            <w:r w:rsidRPr="00510442">
              <w:rPr>
                <w:rFonts w:ascii="Times New Roman" w:hAnsi="Times New Roman"/>
                <w:color w:val="000000"/>
                <w:sz w:val="22"/>
                <w:szCs w:val="22"/>
                <w:lang w:val="hr-HR"/>
              </w:rPr>
              <w:noBreakHyphen/>
              <w:t>21;</w:t>
            </w:r>
          </w:p>
          <w:p w14:paraId="0513E1D1" w14:textId="77777777" w:rsidR="00BE41B8" w:rsidRPr="00510442" w:rsidRDefault="00BE41B8" w:rsidP="0063591E">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IDA 9 mg/m</w:t>
            </w:r>
            <w:r w:rsidRPr="00510442">
              <w:rPr>
                <w:rFonts w:ascii="Times New Roman" w:hAnsi="Times New Roman"/>
                <w:color w:val="000000"/>
                <w:sz w:val="22"/>
                <w:szCs w:val="22"/>
                <w:vertAlign w:val="superscript"/>
                <w:lang w:val="hr-HR"/>
              </w:rPr>
              <w:t>2</w:t>
            </w:r>
            <w:r w:rsidRPr="00510442">
              <w:rPr>
                <w:rFonts w:ascii="Times New Roman" w:hAnsi="Times New Roman"/>
                <w:color w:val="000000"/>
                <w:sz w:val="22"/>
                <w:szCs w:val="22"/>
                <w:lang w:val="hr-HR"/>
              </w:rPr>
              <w:t xml:space="preserve"> peroralno, dani 1</w:t>
            </w:r>
            <w:r w:rsidRPr="00510442">
              <w:rPr>
                <w:rFonts w:ascii="Times New Roman" w:hAnsi="Times New Roman"/>
                <w:color w:val="000000"/>
                <w:sz w:val="22"/>
                <w:szCs w:val="22"/>
                <w:lang w:val="hr-HR"/>
              </w:rPr>
              <w:noBreakHyphen/>
              <w:t>28;</w:t>
            </w:r>
          </w:p>
          <w:p w14:paraId="66CABA75" w14:textId="77777777" w:rsidR="00BE41B8" w:rsidRPr="00510442" w:rsidRDefault="00BE41B8" w:rsidP="0063591E">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MTX 15 mg intratekalno, dani 1, 8, 15, 22;</w:t>
            </w:r>
          </w:p>
          <w:p w14:paraId="0A6008CD" w14:textId="77777777" w:rsidR="00BE41B8" w:rsidRPr="00510442" w:rsidRDefault="00BE41B8" w:rsidP="0063591E">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Ara-C 40 mg intratekalno, dani 1, 8, 15, 22;</w:t>
            </w:r>
          </w:p>
          <w:p w14:paraId="213E6256" w14:textId="77777777" w:rsidR="00BE41B8" w:rsidRPr="00510442" w:rsidRDefault="00BE41B8" w:rsidP="0063591E">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sz w:val="22"/>
                <w:szCs w:val="22"/>
                <w:lang w:val="hr-HR"/>
              </w:rPr>
              <w:t xml:space="preserve">Metilprednizolon </w:t>
            </w:r>
            <w:r w:rsidRPr="00510442">
              <w:rPr>
                <w:rFonts w:ascii="Times New Roman" w:hAnsi="Times New Roman"/>
                <w:color w:val="000000"/>
                <w:sz w:val="22"/>
                <w:szCs w:val="22"/>
                <w:lang w:val="hr-HR"/>
              </w:rPr>
              <w:t>40 mg intratekalno, dani 1, 8, 15, 22</w:t>
            </w:r>
          </w:p>
        </w:tc>
      </w:tr>
      <w:tr w:rsidR="00BE41B8" w:rsidRPr="00F410C8" w14:paraId="233A18D6" w14:textId="77777777" w:rsidTr="0063591E">
        <w:trPr>
          <w:cantSplit/>
        </w:trPr>
        <w:tc>
          <w:tcPr>
            <w:tcW w:w="2148" w:type="dxa"/>
            <w:tcBorders>
              <w:top w:val="single" w:sz="4" w:space="0" w:color="auto"/>
              <w:bottom w:val="single" w:sz="4" w:space="0" w:color="auto"/>
            </w:tcBorders>
            <w:shd w:val="clear" w:color="auto" w:fill="auto"/>
          </w:tcPr>
          <w:p w14:paraId="09DB48AE" w14:textId="77777777" w:rsidR="00BE41B8" w:rsidRPr="00510442" w:rsidRDefault="00BE41B8" w:rsidP="0063591E">
            <w:pPr>
              <w:pStyle w:val="Table"/>
              <w:keepNext w:val="0"/>
              <w:keepLines w:val="0"/>
              <w:widowControl w:val="0"/>
              <w:spacing w:before="0" w:after="0"/>
              <w:rPr>
                <w:rFonts w:ascii="Times New Roman" w:hAnsi="Times New Roman"/>
                <w:color w:val="000000"/>
                <w:sz w:val="22"/>
                <w:szCs w:val="22"/>
                <w:lang w:val="hr-HR"/>
              </w:rPr>
            </w:pPr>
            <w:r w:rsidRPr="00510442">
              <w:rPr>
                <w:rFonts w:ascii="Times New Roman" w:hAnsi="Times New Roman"/>
                <w:sz w:val="22"/>
                <w:szCs w:val="22"/>
                <w:lang w:val="hr-HR"/>
              </w:rPr>
              <w:t>Konsolidacija (</w:t>
            </w:r>
            <w:r w:rsidRPr="00510442">
              <w:rPr>
                <w:rFonts w:ascii="Times New Roman" w:hAnsi="Times New Roman"/>
                <w:i/>
                <w:sz w:val="22"/>
                <w:szCs w:val="22"/>
                <w:lang w:val="hr-HR"/>
              </w:rPr>
              <w:t>de novo</w:t>
            </w:r>
            <w:r w:rsidRPr="00510442">
              <w:rPr>
                <w:rFonts w:ascii="Times New Roman" w:hAnsi="Times New Roman"/>
                <w:sz w:val="22"/>
                <w:szCs w:val="22"/>
                <w:lang w:val="hr-HR"/>
              </w:rPr>
              <w:t xml:space="preserve"> Ph+ ALL)</w:t>
            </w:r>
          </w:p>
        </w:tc>
        <w:tc>
          <w:tcPr>
            <w:tcW w:w="6732" w:type="dxa"/>
            <w:gridSpan w:val="4"/>
            <w:tcBorders>
              <w:top w:val="single" w:sz="4" w:space="0" w:color="auto"/>
              <w:bottom w:val="single" w:sz="4" w:space="0" w:color="auto"/>
            </w:tcBorders>
            <w:shd w:val="clear" w:color="auto" w:fill="auto"/>
          </w:tcPr>
          <w:p w14:paraId="3C7FDE5A" w14:textId="77777777" w:rsidR="00BE41B8" w:rsidRPr="00510442" w:rsidRDefault="00BE41B8" w:rsidP="0063591E">
            <w:pPr>
              <w:pStyle w:val="Table"/>
              <w:keepNext w:val="0"/>
              <w:keepLines w:val="0"/>
              <w:widowControl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Ara-C 1000 mg/m</w:t>
            </w:r>
            <w:r w:rsidRPr="00510442">
              <w:rPr>
                <w:rFonts w:ascii="Times New Roman" w:hAnsi="Times New Roman"/>
                <w:color w:val="000000"/>
                <w:sz w:val="22"/>
                <w:szCs w:val="22"/>
                <w:vertAlign w:val="superscript"/>
                <w:lang w:val="hr-HR"/>
              </w:rPr>
              <w:t>2</w:t>
            </w:r>
            <w:r w:rsidRPr="00510442">
              <w:rPr>
                <w:rFonts w:ascii="Times New Roman" w:hAnsi="Times New Roman"/>
                <w:color w:val="000000"/>
                <w:sz w:val="22"/>
                <w:szCs w:val="22"/>
                <w:lang w:val="hr-HR"/>
              </w:rPr>
              <w:t>/12 h i.v.(3 h), dani 1</w:t>
            </w:r>
            <w:r w:rsidRPr="00510442">
              <w:rPr>
                <w:rFonts w:ascii="Times New Roman" w:hAnsi="Times New Roman"/>
                <w:color w:val="000000"/>
                <w:sz w:val="22"/>
                <w:szCs w:val="22"/>
                <w:lang w:val="hr-HR"/>
              </w:rPr>
              <w:noBreakHyphen/>
              <w:t>4;</w:t>
            </w:r>
          </w:p>
          <w:p w14:paraId="108203CE" w14:textId="77777777" w:rsidR="00BE41B8" w:rsidRPr="00510442" w:rsidRDefault="00BE41B8" w:rsidP="0063591E">
            <w:pPr>
              <w:pStyle w:val="Table"/>
              <w:keepNext w:val="0"/>
              <w:keepLines w:val="0"/>
              <w:widowControl w:val="0"/>
              <w:spacing w:before="0" w:after="0"/>
              <w:rPr>
                <w:rFonts w:ascii="Times New Roman" w:hAnsi="Times New Roman"/>
                <w:color w:val="000000"/>
                <w:sz w:val="22"/>
                <w:szCs w:val="22"/>
                <w:lang w:val="hr-HR"/>
              </w:rPr>
            </w:pPr>
            <w:r w:rsidRPr="00510442">
              <w:rPr>
                <w:rFonts w:ascii="Times New Roman" w:hAnsi="Times New Roman"/>
                <w:sz w:val="22"/>
                <w:szCs w:val="22"/>
                <w:lang w:val="hr-HR"/>
              </w:rPr>
              <w:t xml:space="preserve">Mitoksantron </w:t>
            </w:r>
            <w:r w:rsidRPr="00510442">
              <w:rPr>
                <w:rFonts w:ascii="Times New Roman" w:hAnsi="Times New Roman"/>
                <w:color w:val="000000"/>
                <w:sz w:val="22"/>
                <w:szCs w:val="22"/>
                <w:lang w:val="hr-HR"/>
              </w:rPr>
              <w:t>10 mg/m</w:t>
            </w:r>
            <w:r w:rsidRPr="00510442">
              <w:rPr>
                <w:rFonts w:ascii="Times New Roman" w:hAnsi="Times New Roman"/>
                <w:color w:val="000000"/>
                <w:sz w:val="22"/>
                <w:szCs w:val="22"/>
                <w:vertAlign w:val="superscript"/>
                <w:lang w:val="hr-HR"/>
              </w:rPr>
              <w:t>2</w:t>
            </w:r>
            <w:r w:rsidRPr="00510442">
              <w:rPr>
                <w:rFonts w:ascii="Times New Roman" w:hAnsi="Times New Roman"/>
                <w:color w:val="000000"/>
                <w:sz w:val="22"/>
                <w:szCs w:val="22"/>
                <w:lang w:val="hr-HR"/>
              </w:rPr>
              <w:t xml:space="preserve"> i.v. dani 3</w:t>
            </w:r>
            <w:r w:rsidRPr="00510442">
              <w:rPr>
                <w:rFonts w:ascii="Times New Roman" w:hAnsi="Times New Roman"/>
                <w:color w:val="000000"/>
                <w:sz w:val="22"/>
                <w:szCs w:val="22"/>
                <w:lang w:val="hr-HR"/>
              </w:rPr>
              <w:noBreakHyphen/>
              <w:t>5;</w:t>
            </w:r>
          </w:p>
          <w:p w14:paraId="66D8B8E5" w14:textId="77777777" w:rsidR="00BE41B8" w:rsidRPr="00510442" w:rsidRDefault="00BE41B8" w:rsidP="0063591E">
            <w:pPr>
              <w:pStyle w:val="Table"/>
              <w:keepNext w:val="0"/>
              <w:keepLines w:val="0"/>
              <w:widowControl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 xml:space="preserve">MTX 15 mg intratekalno, dan 1; </w:t>
            </w:r>
            <w:r w:rsidRPr="00510442">
              <w:rPr>
                <w:rFonts w:ascii="Times New Roman" w:hAnsi="Times New Roman"/>
                <w:sz w:val="22"/>
                <w:szCs w:val="22"/>
                <w:lang w:val="hr-HR"/>
              </w:rPr>
              <w:t xml:space="preserve">metilprednizolon </w:t>
            </w:r>
            <w:r w:rsidRPr="00510442">
              <w:rPr>
                <w:rFonts w:ascii="Times New Roman" w:hAnsi="Times New Roman"/>
                <w:color w:val="000000"/>
                <w:sz w:val="22"/>
                <w:szCs w:val="22"/>
                <w:lang w:val="hr-HR"/>
              </w:rPr>
              <w:t xml:space="preserve">40 mg </w:t>
            </w:r>
            <w:r w:rsidRPr="00510442">
              <w:rPr>
                <w:rFonts w:ascii="Times New Roman" w:hAnsi="Times New Roman"/>
                <w:sz w:val="22"/>
                <w:szCs w:val="22"/>
                <w:lang w:val="hr-HR"/>
              </w:rPr>
              <w:t>intratekalno</w:t>
            </w:r>
            <w:r w:rsidRPr="00510442">
              <w:rPr>
                <w:rFonts w:ascii="Times New Roman" w:hAnsi="Times New Roman"/>
                <w:color w:val="000000"/>
                <w:sz w:val="22"/>
                <w:szCs w:val="22"/>
                <w:lang w:val="hr-HR"/>
              </w:rPr>
              <w:t>, dan 1</w:t>
            </w:r>
          </w:p>
        </w:tc>
      </w:tr>
      <w:tr w:rsidR="00BE41B8" w:rsidRPr="00510442" w14:paraId="77F8B155" w14:textId="77777777" w:rsidTr="0063591E">
        <w:trPr>
          <w:cantSplit/>
        </w:trPr>
        <w:tc>
          <w:tcPr>
            <w:tcW w:w="4800" w:type="dxa"/>
            <w:gridSpan w:val="2"/>
            <w:tcBorders>
              <w:top w:val="single" w:sz="4" w:space="0" w:color="auto"/>
              <w:bottom w:val="single" w:sz="4" w:space="0" w:color="auto"/>
            </w:tcBorders>
            <w:shd w:val="clear" w:color="auto" w:fill="auto"/>
          </w:tcPr>
          <w:p w14:paraId="06D795F3" w14:textId="77777777" w:rsidR="00BE41B8" w:rsidRPr="00510442" w:rsidRDefault="00BE41B8" w:rsidP="0063591E">
            <w:pPr>
              <w:pStyle w:val="Table"/>
              <w:keepLines w:val="0"/>
              <w:widowControl w:val="0"/>
              <w:spacing w:before="0" w:after="0"/>
              <w:rPr>
                <w:rFonts w:ascii="Times New Roman" w:hAnsi="Times New Roman"/>
                <w:b/>
                <w:color w:val="000000"/>
                <w:sz w:val="22"/>
                <w:szCs w:val="22"/>
                <w:lang w:val="hr-HR"/>
              </w:rPr>
            </w:pPr>
            <w:r w:rsidRPr="00510442">
              <w:rPr>
                <w:rFonts w:ascii="Times New Roman" w:hAnsi="Times New Roman"/>
                <w:b/>
                <w:sz w:val="22"/>
                <w:szCs w:val="22"/>
                <w:lang w:val="hr-HR"/>
              </w:rPr>
              <w:t xml:space="preserve">Studija </w:t>
            </w:r>
            <w:r w:rsidRPr="00510442">
              <w:rPr>
                <w:rFonts w:ascii="Times New Roman" w:hAnsi="Times New Roman"/>
                <w:b/>
                <w:color w:val="000000"/>
                <w:sz w:val="22"/>
                <w:szCs w:val="22"/>
                <w:lang w:val="hr-HR"/>
              </w:rPr>
              <w:t>ADE04</w:t>
            </w:r>
          </w:p>
        </w:tc>
        <w:tc>
          <w:tcPr>
            <w:tcW w:w="1080" w:type="dxa"/>
            <w:tcBorders>
              <w:top w:val="single" w:sz="4" w:space="0" w:color="auto"/>
              <w:bottom w:val="single" w:sz="4" w:space="0" w:color="auto"/>
            </w:tcBorders>
          </w:tcPr>
          <w:p w14:paraId="17A03457" w14:textId="77777777" w:rsidR="00BE41B8" w:rsidRPr="00510442" w:rsidRDefault="00BE41B8" w:rsidP="0063591E">
            <w:pPr>
              <w:pStyle w:val="Table"/>
              <w:keepLines w:val="0"/>
              <w:widowControl w:val="0"/>
              <w:spacing w:before="0" w:after="0"/>
              <w:rPr>
                <w:rFonts w:ascii="Times New Roman" w:hAnsi="Times New Roman"/>
                <w:color w:val="000000"/>
                <w:sz w:val="22"/>
                <w:szCs w:val="22"/>
                <w:lang w:val="hr-HR"/>
              </w:rPr>
            </w:pPr>
          </w:p>
        </w:tc>
        <w:tc>
          <w:tcPr>
            <w:tcW w:w="1380" w:type="dxa"/>
            <w:tcBorders>
              <w:top w:val="single" w:sz="4" w:space="0" w:color="auto"/>
              <w:bottom w:val="single" w:sz="4" w:space="0" w:color="auto"/>
            </w:tcBorders>
          </w:tcPr>
          <w:p w14:paraId="7804B5C2" w14:textId="77777777" w:rsidR="00BE41B8" w:rsidRPr="00510442" w:rsidRDefault="00BE41B8" w:rsidP="0063591E">
            <w:pPr>
              <w:pStyle w:val="Table"/>
              <w:keepLines w:val="0"/>
              <w:widowControl w:val="0"/>
              <w:spacing w:before="0" w:after="0"/>
              <w:rPr>
                <w:rFonts w:ascii="Times New Roman" w:hAnsi="Times New Roman"/>
                <w:color w:val="000000"/>
                <w:sz w:val="22"/>
                <w:szCs w:val="22"/>
                <w:lang w:val="hr-HR"/>
              </w:rPr>
            </w:pPr>
          </w:p>
        </w:tc>
        <w:tc>
          <w:tcPr>
            <w:tcW w:w="1620" w:type="dxa"/>
            <w:tcBorders>
              <w:top w:val="single" w:sz="4" w:space="0" w:color="auto"/>
              <w:bottom w:val="single" w:sz="4" w:space="0" w:color="auto"/>
            </w:tcBorders>
          </w:tcPr>
          <w:p w14:paraId="67BDD09B" w14:textId="77777777" w:rsidR="00BE41B8" w:rsidRPr="00510442" w:rsidRDefault="00BE41B8" w:rsidP="0063591E">
            <w:pPr>
              <w:pStyle w:val="Table"/>
              <w:keepLines w:val="0"/>
              <w:widowControl w:val="0"/>
              <w:spacing w:before="0" w:after="0"/>
              <w:rPr>
                <w:rFonts w:ascii="Times New Roman" w:hAnsi="Times New Roman"/>
                <w:color w:val="000000"/>
                <w:sz w:val="22"/>
                <w:szCs w:val="22"/>
                <w:lang w:val="hr-HR"/>
              </w:rPr>
            </w:pPr>
          </w:p>
        </w:tc>
      </w:tr>
      <w:tr w:rsidR="00BE41B8" w:rsidRPr="00510442" w14:paraId="0BD27420" w14:textId="77777777" w:rsidTr="0063591E">
        <w:trPr>
          <w:cantSplit/>
        </w:trPr>
        <w:tc>
          <w:tcPr>
            <w:tcW w:w="2148" w:type="dxa"/>
            <w:tcBorders>
              <w:top w:val="single" w:sz="4" w:space="0" w:color="auto"/>
              <w:bottom w:val="single" w:sz="4" w:space="0" w:color="auto"/>
            </w:tcBorders>
            <w:shd w:val="clear" w:color="auto" w:fill="auto"/>
          </w:tcPr>
          <w:p w14:paraId="1AB800B8" w14:textId="77777777" w:rsidR="00BE41B8" w:rsidRPr="00510442" w:rsidRDefault="00BE41B8" w:rsidP="0063591E">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sz w:val="22"/>
                <w:szCs w:val="22"/>
                <w:lang w:val="hr-HR"/>
              </w:rPr>
              <w:t>Predfaza</w:t>
            </w:r>
          </w:p>
        </w:tc>
        <w:tc>
          <w:tcPr>
            <w:tcW w:w="6732" w:type="dxa"/>
            <w:gridSpan w:val="4"/>
            <w:tcBorders>
              <w:top w:val="single" w:sz="4" w:space="0" w:color="auto"/>
              <w:bottom w:val="single" w:sz="4" w:space="0" w:color="auto"/>
            </w:tcBorders>
            <w:shd w:val="clear" w:color="auto" w:fill="auto"/>
          </w:tcPr>
          <w:p w14:paraId="2000499E" w14:textId="77777777" w:rsidR="00BE41B8" w:rsidRPr="00510442" w:rsidRDefault="00BE41B8" w:rsidP="0063591E">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DEX 10 mg/m</w:t>
            </w:r>
            <w:r w:rsidRPr="00510442">
              <w:rPr>
                <w:rFonts w:ascii="Times New Roman" w:hAnsi="Times New Roman"/>
                <w:color w:val="000000"/>
                <w:sz w:val="22"/>
                <w:szCs w:val="22"/>
                <w:vertAlign w:val="superscript"/>
                <w:lang w:val="hr-HR"/>
              </w:rPr>
              <w:t>2</w:t>
            </w:r>
            <w:r w:rsidRPr="00510442">
              <w:rPr>
                <w:rFonts w:ascii="Times New Roman" w:hAnsi="Times New Roman"/>
                <w:color w:val="000000"/>
                <w:sz w:val="22"/>
                <w:szCs w:val="22"/>
                <w:lang w:val="hr-HR"/>
              </w:rPr>
              <w:t xml:space="preserve"> peroralno, dani 1</w:t>
            </w:r>
            <w:r w:rsidRPr="00510442">
              <w:rPr>
                <w:rFonts w:ascii="Times New Roman" w:hAnsi="Times New Roman"/>
                <w:color w:val="000000"/>
                <w:sz w:val="22"/>
                <w:szCs w:val="22"/>
                <w:lang w:val="hr-HR"/>
              </w:rPr>
              <w:noBreakHyphen/>
              <w:t>5;</w:t>
            </w:r>
          </w:p>
          <w:p w14:paraId="461503C5" w14:textId="77777777" w:rsidR="00BE41B8" w:rsidRPr="00510442" w:rsidRDefault="00BE41B8" w:rsidP="0063591E">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CP 200 mg/m</w:t>
            </w:r>
            <w:r w:rsidRPr="00510442">
              <w:rPr>
                <w:rFonts w:ascii="Times New Roman" w:hAnsi="Times New Roman"/>
                <w:color w:val="000000"/>
                <w:sz w:val="22"/>
                <w:szCs w:val="22"/>
                <w:vertAlign w:val="superscript"/>
                <w:lang w:val="hr-HR"/>
              </w:rPr>
              <w:t>2</w:t>
            </w:r>
            <w:r w:rsidRPr="00510442">
              <w:rPr>
                <w:rFonts w:ascii="Times New Roman" w:hAnsi="Times New Roman"/>
                <w:color w:val="000000"/>
                <w:sz w:val="22"/>
                <w:szCs w:val="22"/>
                <w:lang w:val="hr-HR"/>
              </w:rPr>
              <w:t xml:space="preserve"> i.v., dani 3</w:t>
            </w:r>
            <w:r w:rsidRPr="00510442">
              <w:rPr>
                <w:rFonts w:ascii="Times New Roman" w:hAnsi="Times New Roman"/>
                <w:color w:val="000000"/>
                <w:sz w:val="22"/>
                <w:szCs w:val="22"/>
                <w:lang w:val="hr-HR"/>
              </w:rPr>
              <w:noBreakHyphen/>
              <w:t>5;</w:t>
            </w:r>
          </w:p>
          <w:p w14:paraId="2F3E8072" w14:textId="77777777" w:rsidR="00BE41B8" w:rsidRPr="00510442" w:rsidRDefault="00BE41B8" w:rsidP="0063591E">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 xml:space="preserve">MTX 15 mg </w:t>
            </w:r>
            <w:r w:rsidRPr="00510442">
              <w:rPr>
                <w:rFonts w:ascii="Times New Roman" w:hAnsi="Times New Roman"/>
                <w:sz w:val="22"/>
                <w:szCs w:val="22"/>
                <w:lang w:val="hr-HR"/>
              </w:rPr>
              <w:t>intratekalno</w:t>
            </w:r>
            <w:r w:rsidRPr="00510442">
              <w:rPr>
                <w:rFonts w:ascii="Times New Roman" w:hAnsi="Times New Roman"/>
                <w:color w:val="000000"/>
                <w:sz w:val="22"/>
                <w:szCs w:val="22"/>
                <w:lang w:val="hr-HR"/>
              </w:rPr>
              <w:t>, dan 1</w:t>
            </w:r>
          </w:p>
        </w:tc>
      </w:tr>
      <w:tr w:rsidR="00BE41B8" w:rsidRPr="00F410C8" w14:paraId="5A05AD19" w14:textId="77777777" w:rsidTr="0063591E">
        <w:trPr>
          <w:cantSplit/>
        </w:trPr>
        <w:tc>
          <w:tcPr>
            <w:tcW w:w="2148" w:type="dxa"/>
            <w:tcBorders>
              <w:top w:val="single" w:sz="4" w:space="0" w:color="auto"/>
              <w:bottom w:val="single" w:sz="4" w:space="0" w:color="auto"/>
            </w:tcBorders>
            <w:shd w:val="clear" w:color="auto" w:fill="auto"/>
          </w:tcPr>
          <w:p w14:paraId="23BDB9E2" w14:textId="77777777" w:rsidR="00BE41B8" w:rsidRPr="00510442" w:rsidRDefault="00BE41B8" w:rsidP="0063591E">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sz w:val="22"/>
                <w:szCs w:val="22"/>
                <w:lang w:val="hr-HR"/>
              </w:rPr>
              <w:t>Indukcijska terapija I</w:t>
            </w:r>
          </w:p>
        </w:tc>
        <w:tc>
          <w:tcPr>
            <w:tcW w:w="6732" w:type="dxa"/>
            <w:gridSpan w:val="4"/>
            <w:tcBorders>
              <w:top w:val="single" w:sz="4" w:space="0" w:color="auto"/>
              <w:bottom w:val="single" w:sz="4" w:space="0" w:color="auto"/>
            </w:tcBorders>
            <w:shd w:val="clear" w:color="auto" w:fill="auto"/>
          </w:tcPr>
          <w:p w14:paraId="4090C6CD" w14:textId="77777777" w:rsidR="00BE41B8" w:rsidRPr="00510442" w:rsidRDefault="00BE41B8" w:rsidP="0063591E">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DEX 10 mg/m</w:t>
            </w:r>
            <w:r w:rsidRPr="00510442">
              <w:rPr>
                <w:rFonts w:ascii="Times New Roman" w:hAnsi="Times New Roman"/>
                <w:color w:val="000000"/>
                <w:sz w:val="22"/>
                <w:szCs w:val="22"/>
                <w:vertAlign w:val="superscript"/>
                <w:lang w:val="hr-HR"/>
              </w:rPr>
              <w:t>2</w:t>
            </w:r>
            <w:r w:rsidRPr="00510442">
              <w:rPr>
                <w:rFonts w:ascii="Times New Roman" w:hAnsi="Times New Roman"/>
                <w:color w:val="000000"/>
                <w:sz w:val="22"/>
                <w:szCs w:val="22"/>
                <w:lang w:val="hr-HR"/>
              </w:rPr>
              <w:t xml:space="preserve"> peroralno, dani 1</w:t>
            </w:r>
            <w:r w:rsidRPr="00510442">
              <w:rPr>
                <w:rFonts w:ascii="Times New Roman" w:hAnsi="Times New Roman"/>
                <w:color w:val="000000"/>
                <w:sz w:val="22"/>
                <w:szCs w:val="22"/>
                <w:lang w:val="hr-HR"/>
              </w:rPr>
              <w:noBreakHyphen/>
              <w:t>5;</w:t>
            </w:r>
          </w:p>
          <w:p w14:paraId="0D278D0E" w14:textId="77777777" w:rsidR="00BE41B8" w:rsidRPr="00510442" w:rsidRDefault="00BE41B8" w:rsidP="0063591E">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VCR 2 mg i.v., dani 6, 13, 20;</w:t>
            </w:r>
          </w:p>
          <w:p w14:paraId="415AF8C0" w14:textId="77777777" w:rsidR="00BE41B8" w:rsidRPr="00510442" w:rsidRDefault="00BE41B8" w:rsidP="0063591E">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Daunorubicin 45 mg/m</w:t>
            </w:r>
            <w:r w:rsidRPr="00510442">
              <w:rPr>
                <w:rFonts w:ascii="Times New Roman" w:hAnsi="Times New Roman"/>
                <w:color w:val="000000"/>
                <w:sz w:val="22"/>
                <w:szCs w:val="22"/>
                <w:vertAlign w:val="superscript"/>
                <w:lang w:val="hr-HR"/>
              </w:rPr>
              <w:t>2</w:t>
            </w:r>
            <w:r w:rsidRPr="00510442">
              <w:rPr>
                <w:rFonts w:ascii="Times New Roman" w:hAnsi="Times New Roman"/>
                <w:color w:val="000000"/>
                <w:sz w:val="22"/>
                <w:szCs w:val="22"/>
                <w:lang w:val="hr-HR"/>
              </w:rPr>
              <w:t xml:space="preserve"> i.v., dani 6</w:t>
            </w:r>
            <w:r w:rsidRPr="00510442">
              <w:rPr>
                <w:rFonts w:ascii="Times New Roman" w:hAnsi="Times New Roman"/>
                <w:color w:val="000000"/>
                <w:sz w:val="22"/>
                <w:szCs w:val="22"/>
                <w:lang w:val="hr-HR"/>
              </w:rPr>
              <w:noBreakHyphen/>
              <w:t>7, 13</w:t>
            </w:r>
            <w:r w:rsidRPr="00510442">
              <w:rPr>
                <w:rFonts w:ascii="Times New Roman" w:hAnsi="Times New Roman"/>
                <w:color w:val="000000"/>
                <w:sz w:val="22"/>
                <w:szCs w:val="22"/>
                <w:lang w:val="hr-HR"/>
              </w:rPr>
              <w:noBreakHyphen/>
              <w:t>14</w:t>
            </w:r>
          </w:p>
        </w:tc>
      </w:tr>
      <w:tr w:rsidR="00BE41B8" w:rsidRPr="00510442" w14:paraId="6F2F38E5" w14:textId="77777777" w:rsidTr="0063591E">
        <w:trPr>
          <w:cantSplit/>
        </w:trPr>
        <w:tc>
          <w:tcPr>
            <w:tcW w:w="2148" w:type="dxa"/>
            <w:tcBorders>
              <w:top w:val="single" w:sz="4" w:space="0" w:color="auto"/>
              <w:bottom w:val="single" w:sz="4" w:space="0" w:color="auto"/>
            </w:tcBorders>
            <w:shd w:val="clear" w:color="auto" w:fill="auto"/>
          </w:tcPr>
          <w:p w14:paraId="26CE7FA3" w14:textId="77777777" w:rsidR="00BE41B8" w:rsidRPr="00510442" w:rsidRDefault="00BE41B8" w:rsidP="0063591E">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sz w:val="22"/>
                <w:szCs w:val="22"/>
                <w:lang w:val="hr-HR"/>
              </w:rPr>
              <w:t>Indukcijska terapija II</w:t>
            </w:r>
          </w:p>
        </w:tc>
        <w:tc>
          <w:tcPr>
            <w:tcW w:w="6732" w:type="dxa"/>
            <w:gridSpan w:val="4"/>
            <w:tcBorders>
              <w:top w:val="single" w:sz="4" w:space="0" w:color="auto"/>
              <w:bottom w:val="single" w:sz="4" w:space="0" w:color="auto"/>
            </w:tcBorders>
            <w:shd w:val="clear" w:color="auto" w:fill="auto"/>
          </w:tcPr>
          <w:p w14:paraId="5B0344BD" w14:textId="77777777" w:rsidR="00BE41B8" w:rsidRPr="00510442" w:rsidRDefault="00BE41B8" w:rsidP="0063591E">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CP 1 g/m</w:t>
            </w:r>
            <w:r w:rsidRPr="00510442">
              <w:rPr>
                <w:rFonts w:ascii="Times New Roman" w:hAnsi="Times New Roman"/>
                <w:color w:val="000000"/>
                <w:sz w:val="22"/>
                <w:szCs w:val="22"/>
                <w:vertAlign w:val="superscript"/>
                <w:lang w:val="hr-HR"/>
              </w:rPr>
              <w:t>2</w:t>
            </w:r>
            <w:r w:rsidRPr="00510442">
              <w:rPr>
                <w:rFonts w:ascii="Times New Roman" w:hAnsi="Times New Roman"/>
                <w:color w:val="000000"/>
                <w:sz w:val="22"/>
                <w:szCs w:val="22"/>
                <w:lang w:val="hr-HR"/>
              </w:rPr>
              <w:t xml:space="preserve"> i.v. (1 h), dani 26, 46;</w:t>
            </w:r>
          </w:p>
          <w:p w14:paraId="2770ED2A" w14:textId="77777777" w:rsidR="00BE41B8" w:rsidRPr="00510442" w:rsidRDefault="00BE41B8" w:rsidP="0063591E">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Ara-C 75 mg/m</w:t>
            </w:r>
            <w:r w:rsidRPr="00510442">
              <w:rPr>
                <w:rFonts w:ascii="Times New Roman" w:hAnsi="Times New Roman"/>
                <w:color w:val="000000"/>
                <w:sz w:val="22"/>
                <w:szCs w:val="22"/>
                <w:vertAlign w:val="superscript"/>
                <w:lang w:val="hr-HR"/>
              </w:rPr>
              <w:t>2</w:t>
            </w:r>
            <w:r w:rsidRPr="00510442">
              <w:rPr>
                <w:rFonts w:ascii="Times New Roman" w:hAnsi="Times New Roman"/>
                <w:color w:val="000000"/>
                <w:sz w:val="22"/>
                <w:szCs w:val="22"/>
                <w:lang w:val="hr-HR"/>
              </w:rPr>
              <w:t xml:space="preserve"> i.v. (1 h), dani 28</w:t>
            </w:r>
            <w:r w:rsidRPr="00510442">
              <w:rPr>
                <w:rFonts w:ascii="Times New Roman" w:hAnsi="Times New Roman"/>
                <w:color w:val="000000"/>
                <w:sz w:val="22"/>
                <w:szCs w:val="22"/>
                <w:lang w:val="hr-HR"/>
              </w:rPr>
              <w:noBreakHyphen/>
              <w:t>31, 35</w:t>
            </w:r>
            <w:r w:rsidRPr="00510442">
              <w:rPr>
                <w:rFonts w:ascii="Times New Roman" w:hAnsi="Times New Roman"/>
                <w:color w:val="000000"/>
                <w:sz w:val="22"/>
                <w:szCs w:val="22"/>
                <w:lang w:val="hr-HR"/>
              </w:rPr>
              <w:noBreakHyphen/>
              <w:t>38, 42</w:t>
            </w:r>
            <w:r w:rsidRPr="00510442">
              <w:rPr>
                <w:rFonts w:ascii="Times New Roman" w:hAnsi="Times New Roman"/>
                <w:color w:val="000000"/>
                <w:sz w:val="22"/>
                <w:szCs w:val="22"/>
                <w:lang w:val="hr-HR"/>
              </w:rPr>
              <w:noBreakHyphen/>
              <w:t>45;</w:t>
            </w:r>
          </w:p>
          <w:p w14:paraId="32472A51" w14:textId="77777777" w:rsidR="00BE41B8" w:rsidRPr="00510442" w:rsidRDefault="00BE41B8" w:rsidP="0063591E">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6-MP 60 mg/m</w:t>
            </w:r>
            <w:r w:rsidRPr="00510442">
              <w:rPr>
                <w:rFonts w:ascii="Times New Roman" w:hAnsi="Times New Roman"/>
                <w:color w:val="000000"/>
                <w:sz w:val="22"/>
                <w:szCs w:val="22"/>
                <w:vertAlign w:val="superscript"/>
                <w:lang w:val="hr-HR"/>
              </w:rPr>
              <w:t>2</w:t>
            </w:r>
            <w:r w:rsidRPr="00510442">
              <w:rPr>
                <w:rFonts w:ascii="Times New Roman" w:hAnsi="Times New Roman"/>
                <w:color w:val="000000"/>
                <w:sz w:val="22"/>
                <w:szCs w:val="22"/>
                <w:lang w:val="hr-HR"/>
              </w:rPr>
              <w:t xml:space="preserve"> peroralno, dani 26</w:t>
            </w:r>
            <w:r w:rsidRPr="00510442">
              <w:rPr>
                <w:rFonts w:ascii="Times New Roman" w:hAnsi="Times New Roman"/>
                <w:color w:val="000000"/>
                <w:sz w:val="22"/>
                <w:szCs w:val="22"/>
                <w:lang w:val="hr-HR"/>
              </w:rPr>
              <w:noBreakHyphen/>
              <w:t>46</w:t>
            </w:r>
          </w:p>
        </w:tc>
      </w:tr>
      <w:tr w:rsidR="00BE41B8" w:rsidRPr="00F410C8" w14:paraId="6B7071A6" w14:textId="77777777" w:rsidTr="0063591E">
        <w:trPr>
          <w:cantSplit/>
        </w:trPr>
        <w:tc>
          <w:tcPr>
            <w:tcW w:w="2148" w:type="dxa"/>
            <w:tcBorders>
              <w:top w:val="nil"/>
              <w:bottom w:val="single" w:sz="4" w:space="0" w:color="auto"/>
            </w:tcBorders>
            <w:shd w:val="clear" w:color="auto" w:fill="auto"/>
          </w:tcPr>
          <w:p w14:paraId="01A6905F" w14:textId="77777777" w:rsidR="00BE41B8" w:rsidRPr="00510442" w:rsidRDefault="00BE41B8" w:rsidP="0063591E">
            <w:pPr>
              <w:pStyle w:val="Table"/>
              <w:keepNext w:val="0"/>
              <w:keepLines w:val="0"/>
              <w:widowControl w:val="0"/>
              <w:spacing w:before="0" w:after="0"/>
              <w:rPr>
                <w:rFonts w:ascii="Times New Roman" w:hAnsi="Times New Roman"/>
                <w:color w:val="000000"/>
                <w:sz w:val="22"/>
                <w:szCs w:val="22"/>
                <w:lang w:val="hr-HR"/>
              </w:rPr>
            </w:pPr>
            <w:r w:rsidRPr="00510442">
              <w:rPr>
                <w:rFonts w:ascii="Times New Roman" w:hAnsi="Times New Roman"/>
                <w:sz w:val="22"/>
                <w:szCs w:val="22"/>
                <w:lang w:val="hr-HR"/>
              </w:rPr>
              <w:t>Konsolidacijska terapija</w:t>
            </w:r>
          </w:p>
        </w:tc>
        <w:tc>
          <w:tcPr>
            <w:tcW w:w="6732" w:type="dxa"/>
            <w:gridSpan w:val="4"/>
            <w:tcBorders>
              <w:top w:val="nil"/>
              <w:bottom w:val="single" w:sz="4" w:space="0" w:color="auto"/>
            </w:tcBorders>
            <w:shd w:val="clear" w:color="auto" w:fill="auto"/>
          </w:tcPr>
          <w:p w14:paraId="6DFD44A1" w14:textId="77777777" w:rsidR="00BE41B8" w:rsidRPr="00510442" w:rsidRDefault="00BE41B8" w:rsidP="0063591E">
            <w:pPr>
              <w:pStyle w:val="Table"/>
              <w:keepNext w:val="0"/>
              <w:keepLines w:val="0"/>
              <w:widowControl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DEX 10 mg/m</w:t>
            </w:r>
            <w:r w:rsidRPr="00510442">
              <w:rPr>
                <w:rFonts w:ascii="Times New Roman" w:hAnsi="Times New Roman"/>
                <w:color w:val="000000"/>
                <w:sz w:val="22"/>
                <w:szCs w:val="22"/>
                <w:vertAlign w:val="superscript"/>
                <w:lang w:val="hr-HR"/>
              </w:rPr>
              <w:t>2</w:t>
            </w:r>
            <w:r w:rsidRPr="00510442">
              <w:rPr>
                <w:rFonts w:ascii="Times New Roman" w:hAnsi="Times New Roman"/>
                <w:color w:val="000000"/>
                <w:sz w:val="22"/>
                <w:szCs w:val="22"/>
                <w:lang w:val="hr-HR"/>
              </w:rPr>
              <w:t xml:space="preserve"> peroralno, dani 1</w:t>
            </w:r>
            <w:r w:rsidRPr="00510442">
              <w:rPr>
                <w:rFonts w:ascii="Times New Roman" w:hAnsi="Times New Roman"/>
                <w:color w:val="000000"/>
                <w:sz w:val="22"/>
                <w:szCs w:val="22"/>
                <w:lang w:val="hr-HR"/>
              </w:rPr>
              <w:noBreakHyphen/>
              <w:t>5;</w:t>
            </w:r>
          </w:p>
          <w:p w14:paraId="283ED691" w14:textId="77777777" w:rsidR="00BE41B8" w:rsidRPr="00510442" w:rsidRDefault="00BE41B8" w:rsidP="0063591E">
            <w:pPr>
              <w:pStyle w:val="Table"/>
              <w:keepNext w:val="0"/>
              <w:keepLines w:val="0"/>
              <w:widowControl w:val="0"/>
              <w:spacing w:before="0" w:after="0"/>
              <w:rPr>
                <w:rFonts w:ascii="Times New Roman" w:hAnsi="Times New Roman"/>
                <w:color w:val="000000"/>
                <w:sz w:val="22"/>
                <w:szCs w:val="22"/>
                <w:lang w:val="hr-HR"/>
              </w:rPr>
            </w:pPr>
            <w:r w:rsidRPr="00510442">
              <w:rPr>
                <w:rFonts w:ascii="Times New Roman" w:hAnsi="Times New Roman"/>
                <w:sz w:val="22"/>
                <w:szCs w:val="22"/>
                <w:lang w:val="hr-HR"/>
              </w:rPr>
              <w:t xml:space="preserve">Vindezin </w:t>
            </w:r>
            <w:r w:rsidRPr="00510442">
              <w:rPr>
                <w:rFonts w:ascii="Times New Roman" w:hAnsi="Times New Roman"/>
                <w:color w:val="000000"/>
                <w:sz w:val="22"/>
                <w:szCs w:val="22"/>
                <w:lang w:val="hr-HR"/>
              </w:rPr>
              <w:t>3 mg/m</w:t>
            </w:r>
            <w:r w:rsidRPr="00510442">
              <w:rPr>
                <w:rFonts w:ascii="Times New Roman" w:hAnsi="Times New Roman"/>
                <w:color w:val="000000"/>
                <w:sz w:val="22"/>
                <w:szCs w:val="22"/>
                <w:vertAlign w:val="superscript"/>
                <w:lang w:val="hr-HR"/>
              </w:rPr>
              <w:t>2</w:t>
            </w:r>
            <w:r w:rsidRPr="00510442">
              <w:rPr>
                <w:rFonts w:ascii="Times New Roman" w:hAnsi="Times New Roman"/>
                <w:color w:val="000000"/>
                <w:sz w:val="22"/>
                <w:szCs w:val="22"/>
                <w:lang w:val="hr-HR"/>
              </w:rPr>
              <w:t xml:space="preserve"> i.v., dan 1;</w:t>
            </w:r>
          </w:p>
          <w:p w14:paraId="0DBA4448" w14:textId="77777777" w:rsidR="00BE41B8" w:rsidRPr="00510442" w:rsidRDefault="00BE41B8" w:rsidP="0063591E">
            <w:pPr>
              <w:pStyle w:val="Table"/>
              <w:keepNext w:val="0"/>
              <w:keepLines w:val="0"/>
              <w:widowControl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MTX 1,5 g/m</w:t>
            </w:r>
            <w:r w:rsidRPr="00510442">
              <w:rPr>
                <w:rFonts w:ascii="Times New Roman" w:hAnsi="Times New Roman"/>
                <w:color w:val="000000"/>
                <w:sz w:val="22"/>
                <w:szCs w:val="22"/>
                <w:vertAlign w:val="superscript"/>
                <w:lang w:val="hr-HR"/>
              </w:rPr>
              <w:t>2</w:t>
            </w:r>
            <w:r w:rsidRPr="00510442">
              <w:rPr>
                <w:rFonts w:ascii="Times New Roman" w:hAnsi="Times New Roman"/>
                <w:color w:val="000000"/>
                <w:sz w:val="22"/>
                <w:szCs w:val="22"/>
                <w:lang w:val="hr-HR"/>
              </w:rPr>
              <w:t xml:space="preserve"> i.v. (24 h), dan 1;</w:t>
            </w:r>
          </w:p>
          <w:p w14:paraId="3DDA3C33" w14:textId="77777777" w:rsidR="00BE41B8" w:rsidRPr="00510442" w:rsidRDefault="00BE41B8" w:rsidP="0063591E">
            <w:pPr>
              <w:pStyle w:val="Table"/>
              <w:keepNext w:val="0"/>
              <w:keepLines w:val="0"/>
              <w:widowControl w:val="0"/>
              <w:spacing w:before="0" w:after="0"/>
              <w:rPr>
                <w:rFonts w:ascii="Times New Roman" w:hAnsi="Times New Roman"/>
                <w:color w:val="000000"/>
                <w:sz w:val="22"/>
                <w:szCs w:val="22"/>
                <w:lang w:val="hr-HR"/>
              </w:rPr>
            </w:pPr>
            <w:r w:rsidRPr="00510442">
              <w:rPr>
                <w:rFonts w:ascii="Times New Roman" w:hAnsi="Times New Roman"/>
                <w:sz w:val="22"/>
                <w:szCs w:val="22"/>
                <w:lang w:val="hr-HR"/>
              </w:rPr>
              <w:t xml:space="preserve">Etopozid </w:t>
            </w:r>
            <w:r w:rsidRPr="00510442">
              <w:rPr>
                <w:rFonts w:ascii="Times New Roman" w:hAnsi="Times New Roman"/>
                <w:color w:val="000000"/>
                <w:sz w:val="22"/>
                <w:szCs w:val="22"/>
                <w:lang w:val="hr-HR"/>
              </w:rPr>
              <w:t>250 mg/m</w:t>
            </w:r>
            <w:r w:rsidRPr="00510442">
              <w:rPr>
                <w:rFonts w:ascii="Times New Roman" w:hAnsi="Times New Roman"/>
                <w:color w:val="000000"/>
                <w:sz w:val="22"/>
                <w:szCs w:val="22"/>
                <w:vertAlign w:val="superscript"/>
                <w:lang w:val="hr-HR"/>
              </w:rPr>
              <w:t>2</w:t>
            </w:r>
            <w:r w:rsidRPr="00510442">
              <w:rPr>
                <w:rFonts w:ascii="Times New Roman" w:hAnsi="Times New Roman"/>
                <w:color w:val="000000"/>
                <w:sz w:val="22"/>
                <w:szCs w:val="22"/>
                <w:lang w:val="hr-HR"/>
              </w:rPr>
              <w:t xml:space="preserve"> i.v. (1 h) dani 4</w:t>
            </w:r>
            <w:r w:rsidRPr="00510442">
              <w:rPr>
                <w:rFonts w:ascii="Times New Roman" w:hAnsi="Times New Roman"/>
                <w:color w:val="000000"/>
                <w:sz w:val="22"/>
                <w:szCs w:val="22"/>
                <w:lang w:val="hr-HR"/>
              </w:rPr>
              <w:noBreakHyphen/>
              <w:t>5;</w:t>
            </w:r>
          </w:p>
          <w:p w14:paraId="78443349" w14:textId="77777777" w:rsidR="00BE41B8" w:rsidRPr="00510442" w:rsidRDefault="00BE41B8" w:rsidP="0063591E">
            <w:pPr>
              <w:pStyle w:val="Table"/>
              <w:keepNext w:val="0"/>
              <w:keepLines w:val="0"/>
              <w:widowControl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Ara-C 2x 2 g/m</w:t>
            </w:r>
            <w:r w:rsidRPr="00510442">
              <w:rPr>
                <w:rFonts w:ascii="Times New Roman" w:hAnsi="Times New Roman"/>
                <w:color w:val="000000"/>
                <w:sz w:val="22"/>
                <w:szCs w:val="22"/>
                <w:vertAlign w:val="superscript"/>
                <w:lang w:val="hr-HR"/>
              </w:rPr>
              <w:t>2</w:t>
            </w:r>
            <w:r w:rsidRPr="00510442">
              <w:rPr>
                <w:rFonts w:ascii="Times New Roman" w:hAnsi="Times New Roman"/>
                <w:color w:val="000000"/>
                <w:sz w:val="22"/>
                <w:szCs w:val="22"/>
                <w:lang w:val="hr-HR"/>
              </w:rPr>
              <w:t xml:space="preserve"> i.v. (3 h, svakih 12 h), dan 5</w:t>
            </w:r>
          </w:p>
        </w:tc>
      </w:tr>
      <w:tr w:rsidR="00BE41B8" w:rsidRPr="00510442" w14:paraId="501179DA" w14:textId="77777777" w:rsidTr="0063591E">
        <w:trPr>
          <w:cantSplit/>
        </w:trPr>
        <w:tc>
          <w:tcPr>
            <w:tcW w:w="2148" w:type="dxa"/>
            <w:tcBorders>
              <w:top w:val="nil"/>
              <w:bottom w:val="single" w:sz="4" w:space="0" w:color="auto"/>
            </w:tcBorders>
            <w:shd w:val="clear" w:color="auto" w:fill="auto"/>
          </w:tcPr>
          <w:p w14:paraId="53C4F081" w14:textId="77777777" w:rsidR="00BE41B8" w:rsidRPr="00510442" w:rsidRDefault="00BE41B8" w:rsidP="0063591E">
            <w:pPr>
              <w:pStyle w:val="Table"/>
              <w:keepLines w:val="0"/>
              <w:widowControl w:val="0"/>
              <w:spacing w:before="0" w:after="0"/>
              <w:rPr>
                <w:rFonts w:ascii="Times New Roman" w:hAnsi="Times New Roman"/>
                <w:b/>
                <w:color w:val="000000"/>
                <w:sz w:val="22"/>
                <w:szCs w:val="22"/>
                <w:lang w:val="hr-HR"/>
              </w:rPr>
            </w:pPr>
            <w:r w:rsidRPr="00510442">
              <w:rPr>
                <w:rFonts w:ascii="Times New Roman" w:hAnsi="Times New Roman"/>
                <w:b/>
                <w:sz w:val="22"/>
                <w:szCs w:val="22"/>
                <w:lang w:val="hr-HR"/>
              </w:rPr>
              <w:t xml:space="preserve">Studija </w:t>
            </w:r>
            <w:r w:rsidRPr="00510442">
              <w:rPr>
                <w:rFonts w:ascii="Times New Roman" w:hAnsi="Times New Roman"/>
                <w:b/>
                <w:color w:val="000000"/>
                <w:sz w:val="22"/>
                <w:szCs w:val="22"/>
                <w:lang w:val="hr-HR"/>
              </w:rPr>
              <w:t>AJP01</w:t>
            </w:r>
          </w:p>
        </w:tc>
        <w:tc>
          <w:tcPr>
            <w:tcW w:w="2652" w:type="dxa"/>
            <w:tcBorders>
              <w:top w:val="nil"/>
              <w:bottom w:val="single" w:sz="4" w:space="0" w:color="auto"/>
            </w:tcBorders>
            <w:shd w:val="clear" w:color="auto" w:fill="auto"/>
          </w:tcPr>
          <w:p w14:paraId="454B60CD" w14:textId="77777777" w:rsidR="00BE41B8" w:rsidRPr="00510442" w:rsidRDefault="00BE41B8" w:rsidP="0063591E">
            <w:pPr>
              <w:pStyle w:val="Table"/>
              <w:keepLines w:val="0"/>
              <w:widowControl w:val="0"/>
              <w:spacing w:before="0" w:after="0"/>
              <w:rPr>
                <w:rFonts w:ascii="Times New Roman" w:hAnsi="Times New Roman"/>
                <w:color w:val="000000"/>
                <w:sz w:val="22"/>
                <w:szCs w:val="22"/>
                <w:lang w:val="hr-HR"/>
              </w:rPr>
            </w:pPr>
          </w:p>
        </w:tc>
        <w:tc>
          <w:tcPr>
            <w:tcW w:w="1080" w:type="dxa"/>
            <w:tcBorders>
              <w:top w:val="nil"/>
              <w:bottom w:val="single" w:sz="4" w:space="0" w:color="auto"/>
            </w:tcBorders>
          </w:tcPr>
          <w:p w14:paraId="77CD6D70" w14:textId="77777777" w:rsidR="00BE41B8" w:rsidRPr="00510442" w:rsidRDefault="00BE41B8" w:rsidP="0063591E">
            <w:pPr>
              <w:pStyle w:val="Table"/>
              <w:keepLines w:val="0"/>
              <w:widowControl w:val="0"/>
              <w:spacing w:before="0" w:after="0"/>
              <w:rPr>
                <w:rFonts w:ascii="Times New Roman" w:hAnsi="Times New Roman"/>
                <w:color w:val="000000"/>
                <w:sz w:val="22"/>
                <w:szCs w:val="22"/>
                <w:lang w:val="hr-HR"/>
              </w:rPr>
            </w:pPr>
          </w:p>
        </w:tc>
        <w:tc>
          <w:tcPr>
            <w:tcW w:w="1380" w:type="dxa"/>
            <w:tcBorders>
              <w:top w:val="nil"/>
              <w:bottom w:val="single" w:sz="4" w:space="0" w:color="auto"/>
            </w:tcBorders>
          </w:tcPr>
          <w:p w14:paraId="1EEC6125" w14:textId="77777777" w:rsidR="00BE41B8" w:rsidRPr="00510442" w:rsidRDefault="00BE41B8" w:rsidP="0063591E">
            <w:pPr>
              <w:pStyle w:val="Table"/>
              <w:keepLines w:val="0"/>
              <w:widowControl w:val="0"/>
              <w:spacing w:before="0" w:after="0"/>
              <w:rPr>
                <w:rFonts w:ascii="Times New Roman" w:hAnsi="Times New Roman"/>
                <w:color w:val="000000"/>
                <w:sz w:val="22"/>
                <w:szCs w:val="22"/>
                <w:lang w:val="hr-HR"/>
              </w:rPr>
            </w:pPr>
          </w:p>
        </w:tc>
        <w:tc>
          <w:tcPr>
            <w:tcW w:w="1620" w:type="dxa"/>
            <w:tcBorders>
              <w:top w:val="nil"/>
              <w:bottom w:val="single" w:sz="4" w:space="0" w:color="auto"/>
            </w:tcBorders>
          </w:tcPr>
          <w:p w14:paraId="6D577ADE" w14:textId="77777777" w:rsidR="00BE41B8" w:rsidRPr="00510442" w:rsidRDefault="00BE41B8" w:rsidP="0063591E">
            <w:pPr>
              <w:pStyle w:val="Table"/>
              <w:keepLines w:val="0"/>
              <w:widowControl w:val="0"/>
              <w:spacing w:before="0" w:after="0"/>
              <w:rPr>
                <w:rFonts w:ascii="Times New Roman" w:hAnsi="Times New Roman"/>
                <w:color w:val="000000"/>
                <w:sz w:val="22"/>
                <w:szCs w:val="22"/>
                <w:lang w:val="hr-HR"/>
              </w:rPr>
            </w:pPr>
          </w:p>
        </w:tc>
      </w:tr>
      <w:tr w:rsidR="00BE41B8" w:rsidRPr="00F410C8" w14:paraId="4EFF67C2" w14:textId="77777777" w:rsidTr="0063591E">
        <w:trPr>
          <w:cantSplit/>
        </w:trPr>
        <w:tc>
          <w:tcPr>
            <w:tcW w:w="2148" w:type="dxa"/>
            <w:tcBorders>
              <w:top w:val="nil"/>
              <w:bottom w:val="single" w:sz="4" w:space="0" w:color="auto"/>
            </w:tcBorders>
            <w:shd w:val="clear" w:color="auto" w:fill="auto"/>
          </w:tcPr>
          <w:p w14:paraId="497C8CEA" w14:textId="77777777" w:rsidR="00BE41B8" w:rsidRPr="00510442" w:rsidRDefault="00BE41B8" w:rsidP="0063591E">
            <w:pPr>
              <w:pStyle w:val="Table"/>
              <w:keepLines w:val="0"/>
              <w:widowControl w:val="0"/>
              <w:spacing w:before="0" w:after="0"/>
              <w:rPr>
                <w:rFonts w:ascii="Times New Roman" w:hAnsi="Times New Roman"/>
                <w:sz w:val="22"/>
                <w:szCs w:val="22"/>
                <w:lang w:val="hr-HR"/>
              </w:rPr>
            </w:pPr>
            <w:r w:rsidRPr="00510442">
              <w:rPr>
                <w:rFonts w:ascii="Times New Roman" w:hAnsi="Times New Roman"/>
                <w:sz w:val="22"/>
                <w:szCs w:val="22"/>
                <w:lang w:val="hr-HR"/>
              </w:rPr>
              <w:t>Indukcijska terapija</w:t>
            </w:r>
          </w:p>
        </w:tc>
        <w:tc>
          <w:tcPr>
            <w:tcW w:w="6732" w:type="dxa"/>
            <w:gridSpan w:val="4"/>
            <w:tcBorders>
              <w:top w:val="nil"/>
              <w:bottom w:val="single" w:sz="4" w:space="0" w:color="auto"/>
            </w:tcBorders>
            <w:shd w:val="clear" w:color="auto" w:fill="auto"/>
          </w:tcPr>
          <w:p w14:paraId="4A36DC5A" w14:textId="77777777" w:rsidR="00BE41B8" w:rsidRPr="00510442" w:rsidRDefault="00BE41B8" w:rsidP="0063591E">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CP 1,2 g/m</w:t>
            </w:r>
            <w:r w:rsidRPr="00510442">
              <w:rPr>
                <w:rFonts w:ascii="Times New Roman" w:hAnsi="Times New Roman"/>
                <w:color w:val="000000"/>
                <w:sz w:val="22"/>
                <w:szCs w:val="22"/>
                <w:vertAlign w:val="superscript"/>
                <w:lang w:val="hr-HR"/>
              </w:rPr>
              <w:t>2</w:t>
            </w:r>
            <w:r w:rsidRPr="00510442">
              <w:rPr>
                <w:rFonts w:ascii="Times New Roman" w:hAnsi="Times New Roman"/>
                <w:color w:val="000000"/>
                <w:sz w:val="22"/>
                <w:szCs w:val="22"/>
                <w:lang w:val="hr-HR"/>
              </w:rPr>
              <w:t xml:space="preserve"> i.v. (3 h), dan 1;</w:t>
            </w:r>
          </w:p>
          <w:p w14:paraId="35B03F63" w14:textId="77777777" w:rsidR="00BE41B8" w:rsidRPr="00510442" w:rsidRDefault="00BE41B8" w:rsidP="0063591E">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Daunorubicin 60 mg/m</w:t>
            </w:r>
            <w:r w:rsidRPr="00510442">
              <w:rPr>
                <w:rFonts w:ascii="Times New Roman" w:hAnsi="Times New Roman"/>
                <w:color w:val="000000"/>
                <w:sz w:val="22"/>
                <w:szCs w:val="22"/>
                <w:vertAlign w:val="superscript"/>
                <w:lang w:val="hr-HR"/>
              </w:rPr>
              <w:t>2</w:t>
            </w:r>
            <w:r w:rsidRPr="00510442">
              <w:rPr>
                <w:rFonts w:ascii="Times New Roman" w:hAnsi="Times New Roman"/>
                <w:color w:val="000000"/>
                <w:sz w:val="22"/>
                <w:szCs w:val="22"/>
                <w:lang w:val="hr-HR"/>
              </w:rPr>
              <w:t xml:space="preserve"> i.v. (1 h), dani 1</w:t>
            </w:r>
            <w:r w:rsidRPr="00510442">
              <w:rPr>
                <w:rFonts w:ascii="Times New Roman" w:hAnsi="Times New Roman"/>
                <w:color w:val="000000"/>
                <w:sz w:val="22"/>
                <w:szCs w:val="22"/>
                <w:lang w:val="hr-HR"/>
              </w:rPr>
              <w:noBreakHyphen/>
              <w:t>3;</w:t>
            </w:r>
          </w:p>
          <w:p w14:paraId="457C98E0" w14:textId="77777777" w:rsidR="00BE41B8" w:rsidRPr="00510442" w:rsidRDefault="00BE41B8" w:rsidP="0063591E">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sz w:val="22"/>
                <w:szCs w:val="22"/>
                <w:lang w:val="hr-HR"/>
              </w:rPr>
              <w:t xml:space="preserve">Vinkristin </w:t>
            </w:r>
            <w:r w:rsidRPr="00510442">
              <w:rPr>
                <w:rFonts w:ascii="Times New Roman" w:hAnsi="Times New Roman"/>
                <w:color w:val="000000"/>
                <w:sz w:val="22"/>
                <w:szCs w:val="22"/>
                <w:lang w:val="hr-HR"/>
              </w:rPr>
              <w:t>1,3 mg/m</w:t>
            </w:r>
            <w:r w:rsidRPr="00510442">
              <w:rPr>
                <w:rFonts w:ascii="Times New Roman" w:hAnsi="Times New Roman"/>
                <w:color w:val="000000"/>
                <w:sz w:val="22"/>
                <w:szCs w:val="22"/>
                <w:vertAlign w:val="superscript"/>
                <w:lang w:val="hr-HR"/>
              </w:rPr>
              <w:t>2</w:t>
            </w:r>
            <w:r w:rsidRPr="00510442">
              <w:rPr>
                <w:rFonts w:ascii="Times New Roman" w:hAnsi="Times New Roman"/>
                <w:color w:val="000000"/>
                <w:sz w:val="22"/>
                <w:szCs w:val="22"/>
                <w:lang w:val="hr-HR"/>
              </w:rPr>
              <w:t xml:space="preserve"> i.v., dani 1, 8, 15, 21;</w:t>
            </w:r>
          </w:p>
          <w:p w14:paraId="58019008" w14:textId="77777777" w:rsidR="00BE41B8" w:rsidRPr="00510442" w:rsidRDefault="00BE41B8" w:rsidP="0063591E">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sz w:val="22"/>
                <w:szCs w:val="22"/>
                <w:lang w:val="hr-HR"/>
              </w:rPr>
              <w:t xml:space="preserve">Prednizolon </w:t>
            </w:r>
            <w:r w:rsidRPr="00510442">
              <w:rPr>
                <w:rFonts w:ascii="Times New Roman" w:hAnsi="Times New Roman"/>
                <w:color w:val="000000"/>
                <w:sz w:val="22"/>
                <w:szCs w:val="22"/>
                <w:lang w:val="hr-HR"/>
              </w:rPr>
              <w:t>60 mg/m</w:t>
            </w:r>
            <w:r w:rsidRPr="00510442">
              <w:rPr>
                <w:rFonts w:ascii="Times New Roman" w:hAnsi="Times New Roman"/>
                <w:color w:val="000000"/>
                <w:sz w:val="22"/>
                <w:szCs w:val="22"/>
                <w:vertAlign w:val="superscript"/>
                <w:lang w:val="hr-HR"/>
              </w:rPr>
              <w:t>2</w:t>
            </w:r>
            <w:r w:rsidRPr="00510442">
              <w:rPr>
                <w:rFonts w:ascii="Times New Roman" w:hAnsi="Times New Roman"/>
                <w:color w:val="000000"/>
                <w:sz w:val="22"/>
                <w:szCs w:val="22"/>
                <w:lang w:val="hr-HR"/>
              </w:rPr>
              <w:t>/dan peroralno</w:t>
            </w:r>
          </w:p>
        </w:tc>
      </w:tr>
      <w:tr w:rsidR="00BE41B8" w:rsidRPr="00F410C8" w14:paraId="2BDE5124" w14:textId="77777777" w:rsidTr="0063591E">
        <w:trPr>
          <w:cantSplit/>
        </w:trPr>
        <w:tc>
          <w:tcPr>
            <w:tcW w:w="2148" w:type="dxa"/>
            <w:tcBorders>
              <w:top w:val="single" w:sz="4" w:space="0" w:color="auto"/>
              <w:bottom w:val="single" w:sz="4" w:space="0" w:color="auto"/>
            </w:tcBorders>
            <w:shd w:val="clear" w:color="auto" w:fill="auto"/>
          </w:tcPr>
          <w:p w14:paraId="373C6A0C" w14:textId="77777777" w:rsidR="00BE41B8" w:rsidRPr="00510442" w:rsidRDefault="00BE41B8" w:rsidP="0063591E">
            <w:pPr>
              <w:pStyle w:val="Table"/>
              <w:keepLines w:val="0"/>
              <w:widowControl w:val="0"/>
              <w:tabs>
                <w:tab w:val="left" w:pos="0"/>
              </w:tabs>
              <w:spacing w:before="0" w:after="0"/>
              <w:rPr>
                <w:rFonts w:ascii="Times New Roman" w:hAnsi="Times New Roman"/>
                <w:sz w:val="22"/>
                <w:szCs w:val="22"/>
                <w:lang w:val="hr-HR"/>
              </w:rPr>
            </w:pPr>
            <w:r w:rsidRPr="00510442">
              <w:rPr>
                <w:rFonts w:ascii="Times New Roman" w:hAnsi="Times New Roman"/>
                <w:sz w:val="22"/>
                <w:szCs w:val="22"/>
                <w:lang w:val="hr-HR"/>
              </w:rPr>
              <w:t>Konsolidacijska terapija</w:t>
            </w:r>
          </w:p>
        </w:tc>
        <w:tc>
          <w:tcPr>
            <w:tcW w:w="6732" w:type="dxa"/>
            <w:gridSpan w:val="4"/>
            <w:tcBorders>
              <w:top w:val="single" w:sz="4" w:space="0" w:color="auto"/>
              <w:bottom w:val="single" w:sz="4" w:space="0" w:color="auto"/>
            </w:tcBorders>
            <w:shd w:val="clear" w:color="auto" w:fill="auto"/>
          </w:tcPr>
          <w:p w14:paraId="23BD2FC5" w14:textId="77777777" w:rsidR="00BE41B8" w:rsidRPr="00510442" w:rsidRDefault="00BE41B8" w:rsidP="0063591E">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sz w:val="22"/>
                <w:szCs w:val="22"/>
                <w:lang w:val="hr-HR"/>
              </w:rPr>
              <w:t xml:space="preserve">Izmjenični tijek kemoterapije: visoka doza kemoterapije s </w:t>
            </w:r>
            <w:r w:rsidRPr="00510442">
              <w:rPr>
                <w:rFonts w:ascii="Times New Roman" w:hAnsi="Times New Roman"/>
                <w:color w:val="000000"/>
                <w:sz w:val="22"/>
                <w:szCs w:val="22"/>
                <w:lang w:val="hr-HR"/>
              </w:rPr>
              <w:t>MTX 1 g/m</w:t>
            </w:r>
            <w:r w:rsidRPr="00510442">
              <w:rPr>
                <w:rFonts w:ascii="Times New Roman" w:hAnsi="Times New Roman"/>
                <w:color w:val="000000"/>
                <w:sz w:val="22"/>
                <w:szCs w:val="22"/>
                <w:vertAlign w:val="superscript"/>
                <w:lang w:val="hr-HR"/>
              </w:rPr>
              <w:t>2</w:t>
            </w:r>
            <w:r w:rsidRPr="00510442">
              <w:rPr>
                <w:rFonts w:ascii="Times New Roman" w:hAnsi="Times New Roman"/>
                <w:color w:val="000000"/>
                <w:sz w:val="22"/>
                <w:szCs w:val="22"/>
                <w:lang w:val="hr-HR"/>
              </w:rPr>
              <w:t xml:space="preserve"> i.v. (24 h), dan 1, i Ara-C 2 g/m</w:t>
            </w:r>
            <w:r w:rsidRPr="00510442">
              <w:rPr>
                <w:rFonts w:ascii="Times New Roman" w:hAnsi="Times New Roman"/>
                <w:color w:val="000000"/>
                <w:sz w:val="22"/>
                <w:szCs w:val="22"/>
                <w:vertAlign w:val="superscript"/>
                <w:lang w:val="hr-HR"/>
              </w:rPr>
              <w:t>2</w:t>
            </w:r>
            <w:r w:rsidRPr="00510442">
              <w:rPr>
                <w:rFonts w:ascii="Times New Roman" w:hAnsi="Times New Roman"/>
                <w:color w:val="000000"/>
                <w:sz w:val="22"/>
                <w:szCs w:val="22"/>
                <w:lang w:val="hr-HR"/>
              </w:rPr>
              <w:t xml:space="preserve"> i.v. (svakih 12 h), dani 2</w:t>
            </w:r>
            <w:r w:rsidRPr="00510442">
              <w:rPr>
                <w:rFonts w:ascii="Times New Roman" w:hAnsi="Times New Roman"/>
                <w:color w:val="000000"/>
                <w:sz w:val="22"/>
                <w:szCs w:val="22"/>
                <w:lang w:val="hr-HR"/>
              </w:rPr>
              <w:noBreakHyphen/>
              <w:t>3, kroz 4 ciklusa</w:t>
            </w:r>
          </w:p>
        </w:tc>
      </w:tr>
      <w:tr w:rsidR="00BE41B8" w:rsidRPr="00510442" w14:paraId="330205C5" w14:textId="77777777" w:rsidTr="0063591E">
        <w:trPr>
          <w:cantSplit/>
        </w:trPr>
        <w:tc>
          <w:tcPr>
            <w:tcW w:w="2148" w:type="dxa"/>
            <w:tcBorders>
              <w:top w:val="single" w:sz="4" w:space="0" w:color="auto"/>
              <w:bottom w:val="single" w:sz="4" w:space="0" w:color="auto"/>
            </w:tcBorders>
            <w:shd w:val="clear" w:color="auto" w:fill="auto"/>
          </w:tcPr>
          <w:p w14:paraId="0ADB8AE1" w14:textId="77777777" w:rsidR="00BE41B8" w:rsidRPr="00510442" w:rsidRDefault="00BE41B8" w:rsidP="0063591E">
            <w:pPr>
              <w:pStyle w:val="Table"/>
              <w:keepNext w:val="0"/>
              <w:keepLines w:val="0"/>
              <w:widowControl w:val="0"/>
              <w:tabs>
                <w:tab w:val="left" w:pos="0"/>
              </w:tabs>
              <w:spacing w:before="0" w:after="0"/>
              <w:rPr>
                <w:rFonts w:ascii="Times New Roman" w:hAnsi="Times New Roman"/>
                <w:sz w:val="22"/>
                <w:szCs w:val="22"/>
                <w:lang w:val="hr-HR"/>
              </w:rPr>
            </w:pPr>
            <w:r w:rsidRPr="00510442">
              <w:rPr>
                <w:rFonts w:ascii="Times New Roman" w:hAnsi="Times New Roman"/>
                <w:sz w:val="22"/>
                <w:szCs w:val="22"/>
                <w:lang w:val="hr-HR"/>
              </w:rPr>
              <w:t>Održavanje</w:t>
            </w:r>
          </w:p>
        </w:tc>
        <w:tc>
          <w:tcPr>
            <w:tcW w:w="6732" w:type="dxa"/>
            <w:gridSpan w:val="4"/>
            <w:tcBorders>
              <w:top w:val="single" w:sz="4" w:space="0" w:color="auto"/>
              <w:bottom w:val="single" w:sz="4" w:space="0" w:color="auto"/>
            </w:tcBorders>
            <w:shd w:val="clear" w:color="auto" w:fill="auto"/>
          </w:tcPr>
          <w:p w14:paraId="236B8114" w14:textId="77777777" w:rsidR="00BE41B8" w:rsidRPr="00510442" w:rsidRDefault="00BE41B8" w:rsidP="0063591E">
            <w:pPr>
              <w:pStyle w:val="Table"/>
              <w:keepNext w:val="0"/>
              <w:keepLines w:val="0"/>
              <w:widowControl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VCR 1,3 g/m</w:t>
            </w:r>
            <w:r w:rsidRPr="00510442">
              <w:rPr>
                <w:rFonts w:ascii="Times New Roman" w:hAnsi="Times New Roman"/>
                <w:color w:val="000000"/>
                <w:sz w:val="22"/>
                <w:szCs w:val="22"/>
                <w:vertAlign w:val="superscript"/>
                <w:lang w:val="hr-HR"/>
              </w:rPr>
              <w:t>2</w:t>
            </w:r>
            <w:r w:rsidRPr="00510442">
              <w:rPr>
                <w:rFonts w:ascii="Times New Roman" w:hAnsi="Times New Roman"/>
                <w:color w:val="000000"/>
                <w:sz w:val="22"/>
                <w:szCs w:val="22"/>
                <w:lang w:val="hr-HR"/>
              </w:rPr>
              <w:t xml:space="preserve"> i.v., dan 1;</w:t>
            </w:r>
          </w:p>
          <w:p w14:paraId="6E439D9A" w14:textId="77777777" w:rsidR="00BE41B8" w:rsidRPr="00510442" w:rsidRDefault="00BE41B8" w:rsidP="0063591E">
            <w:pPr>
              <w:pStyle w:val="Table"/>
              <w:keepNext w:val="0"/>
              <w:keepLines w:val="0"/>
              <w:widowControl w:val="0"/>
              <w:spacing w:before="0" w:after="0"/>
              <w:rPr>
                <w:rFonts w:ascii="Times New Roman" w:hAnsi="Times New Roman"/>
                <w:color w:val="000000"/>
                <w:sz w:val="22"/>
                <w:szCs w:val="22"/>
                <w:lang w:val="hr-HR"/>
              </w:rPr>
            </w:pPr>
            <w:r w:rsidRPr="00510442">
              <w:rPr>
                <w:rFonts w:ascii="Times New Roman" w:hAnsi="Times New Roman"/>
                <w:sz w:val="22"/>
                <w:szCs w:val="22"/>
                <w:lang w:val="hr-HR"/>
              </w:rPr>
              <w:t xml:space="preserve">Prednizolon </w:t>
            </w:r>
            <w:r w:rsidRPr="00510442">
              <w:rPr>
                <w:rFonts w:ascii="Times New Roman" w:hAnsi="Times New Roman"/>
                <w:color w:val="000000"/>
                <w:sz w:val="22"/>
                <w:szCs w:val="22"/>
                <w:lang w:val="hr-HR"/>
              </w:rPr>
              <w:t>60 mg/m</w:t>
            </w:r>
            <w:r w:rsidRPr="00510442">
              <w:rPr>
                <w:rFonts w:ascii="Times New Roman" w:hAnsi="Times New Roman"/>
                <w:color w:val="000000"/>
                <w:sz w:val="22"/>
                <w:szCs w:val="22"/>
                <w:vertAlign w:val="superscript"/>
                <w:lang w:val="hr-HR"/>
              </w:rPr>
              <w:t>2</w:t>
            </w:r>
            <w:r w:rsidRPr="00510442">
              <w:rPr>
                <w:rFonts w:ascii="Times New Roman" w:hAnsi="Times New Roman"/>
                <w:color w:val="000000"/>
                <w:sz w:val="22"/>
                <w:szCs w:val="22"/>
                <w:lang w:val="hr-HR"/>
              </w:rPr>
              <w:t xml:space="preserve"> peroralno, dani 1</w:t>
            </w:r>
            <w:r w:rsidRPr="00510442">
              <w:rPr>
                <w:rFonts w:ascii="Times New Roman" w:hAnsi="Times New Roman"/>
                <w:color w:val="000000"/>
                <w:sz w:val="22"/>
                <w:szCs w:val="22"/>
                <w:lang w:val="hr-HR"/>
              </w:rPr>
              <w:noBreakHyphen/>
              <w:t>5</w:t>
            </w:r>
          </w:p>
        </w:tc>
      </w:tr>
      <w:tr w:rsidR="00BE41B8" w:rsidRPr="00510442" w14:paraId="4018F987" w14:textId="77777777" w:rsidTr="0063591E">
        <w:trPr>
          <w:cantSplit/>
        </w:trPr>
        <w:tc>
          <w:tcPr>
            <w:tcW w:w="4800" w:type="dxa"/>
            <w:gridSpan w:val="2"/>
            <w:tcBorders>
              <w:top w:val="single" w:sz="4" w:space="0" w:color="auto"/>
              <w:bottom w:val="single" w:sz="4" w:space="0" w:color="auto"/>
            </w:tcBorders>
            <w:shd w:val="clear" w:color="auto" w:fill="auto"/>
          </w:tcPr>
          <w:p w14:paraId="6FA434E6" w14:textId="77777777" w:rsidR="00BE41B8" w:rsidRPr="00510442" w:rsidRDefault="00BE41B8" w:rsidP="0063591E">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b/>
                <w:sz w:val="22"/>
                <w:szCs w:val="22"/>
                <w:lang w:val="hr-HR"/>
              </w:rPr>
              <w:lastRenderedPageBreak/>
              <w:t xml:space="preserve">Studija </w:t>
            </w:r>
            <w:r w:rsidRPr="00510442">
              <w:rPr>
                <w:rFonts w:ascii="Times New Roman" w:hAnsi="Times New Roman"/>
                <w:b/>
                <w:color w:val="000000"/>
                <w:sz w:val="22"/>
                <w:szCs w:val="22"/>
                <w:lang w:val="hr-HR"/>
              </w:rPr>
              <w:t>AUS01</w:t>
            </w:r>
          </w:p>
        </w:tc>
        <w:tc>
          <w:tcPr>
            <w:tcW w:w="1080" w:type="dxa"/>
            <w:tcBorders>
              <w:top w:val="single" w:sz="4" w:space="0" w:color="auto"/>
              <w:bottom w:val="single" w:sz="4" w:space="0" w:color="auto"/>
            </w:tcBorders>
          </w:tcPr>
          <w:p w14:paraId="098E4FB2" w14:textId="77777777" w:rsidR="00BE41B8" w:rsidRPr="00510442" w:rsidRDefault="00BE41B8" w:rsidP="0063591E">
            <w:pPr>
              <w:pStyle w:val="Table"/>
              <w:keepLines w:val="0"/>
              <w:widowControl w:val="0"/>
              <w:spacing w:before="0" w:after="0"/>
              <w:rPr>
                <w:rFonts w:ascii="Times New Roman" w:hAnsi="Times New Roman"/>
                <w:color w:val="000000"/>
                <w:sz w:val="22"/>
                <w:szCs w:val="22"/>
                <w:lang w:val="hr-HR"/>
              </w:rPr>
            </w:pPr>
          </w:p>
        </w:tc>
        <w:tc>
          <w:tcPr>
            <w:tcW w:w="1380" w:type="dxa"/>
            <w:tcBorders>
              <w:top w:val="single" w:sz="4" w:space="0" w:color="auto"/>
              <w:bottom w:val="single" w:sz="4" w:space="0" w:color="auto"/>
            </w:tcBorders>
          </w:tcPr>
          <w:p w14:paraId="3394281F" w14:textId="77777777" w:rsidR="00BE41B8" w:rsidRPr="00510442" w:rsidRDefault="00BE41B8" w:rsidP="0063591E">
            <w:pPr>
              <w:pStyle w:val="Table"/>
              <w:keepLines w:val="0"/>
              <w:widowControl w:val="0"/>
              <w:spacing w:before="0" w:after="0"/>
              <w:rPr>
                <w:rFonts w:ascii="Times New Roman" w:hAnsi="Times New Roman"/>
                <w:color w:val="000000"/>
                <w:sz w:val="22"/>
                <w:szCs w:val="22"/>
                <w:lang w:val="hr-HR"/>
              </w:rPr>
            </w:pPr>
          </w:p>
        </w:tc>
        <w:tc>
          <w:tcPr>
            <w:tcW w:w="1620" w:type="dxa"/>
            <w:tcBorders>
              <w:top w:val="single" w:sz="4" w:space="0" w:color="auto"/>
              <w:bottom w:val="single" w:sz="4" w:space="0" w:color="auto"/>
            </w:tcBorders>
          </w:tcPr>
          <w:p w14:paraId="55D3F98A" w14:textId="77777777" w:rsidR="00BE41B8" w:rsidRPr="00510442" w:rsidRDefault="00BE41B8" w:rsidP="0063591E">
            <w:pPr>
              <w:pStyle w:val="Table"/>
              <w:keepLines w:val="0"/>
              <w:widowControl w:val="0"/>
              <w:spacing w:before="0" w:after="0"/>
              <w:rPr>
                <w:rFonts w:ascii="Times New Roman" w:hAnsi="Times New Roman"/>
                <w:color w:val="000000"/>
                <w:sz w:val="22"/>
                <w:szCs w:val="22"/>
                <w:lang w:val="hr-HR"/>
              </w:rPr>
            </w:pPr>
          </w:p>
        </w:tc>
      </w:tr>
      <w:tr w:rsidR="00BE41B8" w:rsidRPr="00F410C8" w14:paraId="77708574" w14:textId="77777777" w:rsidTr="0063591E">
        <w:trPr>
          <w:cantSplit/>
        </w:trPr>
        <w:tc>
          <w:tcPr>
            <w:tcW w:w="2148" w:type="dxa"/>
            <w:tcBorders>
              <w:top w:val="single" w:sz="4" w:space="0" w:color="auto"/>
              <w:bottom w:val="single" w:sz="4" w:space="0" w:color="auto"/>
            </w:tcBorders>
            <w:shd w:val="clear" w:color="auto" w:fill="auto"/>
          </w:tcPr>
          <w:p w14:paraId="19297415" w14:textId="77777777" w:rsidR="00BE41B8" w:rsidRPr="00510442" w:rsidRDefault="00BE41B8" w:rsidP="0063591E">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sz w:val="22"/>
                <w:szCs w:val="22"/>
                <w:lang w:val="hr-HR"/>
              </w:rPr>
              <w:t>Indukcijsko-konsolidacijska terapija</w:t>
            </w:r>
          </w:p>
        </w:tc>
        <w:tc>
          <w:tcPr>
            <w:tcW w:w="6732" w:type="dxa"/>
            <w:gridSpan w:val="4"/>
            <w:tcBorders>
              <w:top w:val="single" w:sz="4" w:space="0" w:color="auto"/>
              <w:bottom w:val="single" w:sz="4" w:space="0" w:color="auto"/>
            </w:tcBorders>
            <w:shd w:val="clear" w:color="auto" w:fill="auto"/>
          </w:tcPr>
          <w:p w14:paraId="6656FA68" w14:textId="77777777" w:rsidR="00BE41B8" w:rsidRPr="00510442" w:rsidRDefault="00BE41B8" w:rsidP="0063591E">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sz w:val="22"/>
                <w:szCs w:val="22"/>
                <w:lang w:val="hr-HR"/>
              </w:rPr>
              <w:t>Hiper</w:t>
            </w:r>
            <w:r w:rsidRPr="00510442">
              <w:rPr>
                <w:rFonts w:ascii="Times New Roman" w:hAnsi="Times New Roman"/>
                <w:color w:val="000000"/>
                <w:sz w:val="22"/>
                <w:szCs w:val="22"/>
                <w:lang w:val="hr-HR"/>
              </w:rPr>
              <w:t>-CVAD režim: CP 300 mg/m</w:t>
            </w:r>
            <w:r w:rsidRPr="00510442">
              <w:rPr>
                <w:rFonts w:ascii="Times New Roman" w:hAnsi="Times New Roman"/>
                <w:color w:val="000000"/>
                <w:sz w:val="22"/>
                <w:szCs w:val="22"/>
                <w:vertAlign w:val="superscript"/>
                <w:lang w:val="hr-HR"/>
              </w:rPr>
              <w:t>2</w:t>
            </w:r>
            <w:r w:rsidRPr="00510442">
              <w:rPr>
                <w:rFonts w:ascii="Times New Roman" w:hAnsi="Times New Roman"/>
                <w:color w:val="000000"/>
                <w:sz w:val="22"/>
                <w:szCs w:val="22"/>
                <w:lang w:val="hr-HR"/>
              </w:rPr>
              <w:t xml:space="preserve"> i.v. (3 h, svakih 12 h), dani 1</w:t>
            </w:r>
            <w:r w:rsidRPr="00510442">
              <w:rPr>
                <w:rFonts w:ascii="Times New Roman" w:hAnsi="Times New Roman"/>
                <w:color w:val="000000"/>
                <w:sz w:val="22"/>
                <w:szCs w:val="22"/>
                <w:lang w:val="hr-HR"/>
              </w:rPr>
              <w:noBreakHyphen/>
              <w:t>3;</w:t>
            </w:r>
          </w:p>
          <w:p w14:paraId="31D14B23" w14:textId="77777777" w:rsidR="00BE41B8" w:rsidRPr="00510442" w:rsidRDefault="00BE41B8" w:rsidP="0063591E">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sz w:val="22"/>
                <w:szCs w:val="22"/>
                <w:lang w:val="hr-HR"/>
              </w:rPr>
              <w:t xml:space="preserve">Vinkristin </w:t>
            </w:r>
            <w:r w:rsidRPr="00510442">
              <w:rPr>
                <w:rFonts w:ascii="Times New Roman" w:hAnsi="Times New Roman"/>
                <w:color w:val="000000"/>
                <w:sz w:val="22"/>
                <w:szCs w:val="22"/>
                <w:lang w:val="hr-HR"/>
              </w:rPr>
              <w:t>2 mg i.v., dani 4, 11;</w:t>
            </w:r>
          </w:p>
          <w:p w14:paraId="453C5202" w14:textId="77777777" w:rsidR="00BE41B8" w:rsidRPr="00510442" w:rsidRDefault="00BE41B8" w:rsidP="0063591E">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sz w:val="22"/>
                <w:szCs w:val="22"/>
                <w:lang w:val="hr-HR"/>
              </w:rPr>
              <w:t xml:space="preserve">Doksorubicin </w:t>
            </w:r>
            <w:r w:rsidRPr="00510442">
              <w:rPr>
                <w:rFonts w:ascii="Times New Roman" w:hAnsi="Times New Roman"/>
                <w:color w:val="000000"/>
                <w:sz w:val="22"/>
                <w:szCs w:val="22"/>
                <w:lang w:val="hr-HR"/>
              </w:rPr>
              <w:t>50 mg/m</w:t>
            </w:r>
            <w:r w:rsidRPr="00510442">
              <w:rPr>
                <w:rFonts w:ascii="Times New Roman" w:hAnsi="Times New Roman"/>
                <w:color w:val="000000"/>
                <w:sz w:val="22"/>
                <w:szCs w:val="22"/>
                <w:vertAlign w:val="superscript"/>
                <w:lang w:val="hr-HR"/>
              </w:rPr>
              <w:t>2</w:t>
            </w:r>
            <w:r w:rsidRPr="00510442">
              <w:rPr>
                <w:rFonts w:ascii="Times New Roman" w:hAnsi="Times New Roman"/>
                <w:color w:val="000000"/>
                <w:sz w:val="22"/>
                <w:szCs w:val="22"/>
                <w:lang w:val="hr-HR"/>
              </w:rPr>
              <w:t xml:space="preserve"> i.v. (24 h), dan 4;</w:t>
            </w:r>
          </w:p>
          <w:p w14:paraId="3622FDD4" w14:textId="77777777" w:rsidR="00BE41B8" w:rsidRPr="00510442" w:rsidRDefault="00BE41B8" w:rsidP="0063591E">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DEX 40 mg/dan na dane 1</w:t>
            </w:r>
            <w:r w:rsidRPr="00510442">
              <w:rPr>
                <w:rFonts w:ascii="Times New Roman" w:hAnsi="Times New Roman"/>
                <w:color w:val="000000"/>
                <w:sz w:val="22"/>
                <w:szCs w:val="22"/>
                <w:lang w:val="hr-HR"/>
              </w:rPr>
              <w:noBreakHyphen/>
              <w:t>4 i 11</w:t>
            </w:r>
            <w:r w:rsidRPr="00510442">
              <w:rPr>
                <w:rFonts w:ascii="Times New Roman" w:hAnsi="Times New Roman"/>
                <w:color w:val="000000"/>
                <w:sz w:val="22"/>
                <w:szCs w:val="22"/>
                <w:lang w:val="hr-HR"/>
              </w:rPr>
              <w:noBreakHyphen/>
              <w:t xml:space="preserve">14, </w:t>
            </w:r>
            <w:r w:rsidRPr="00510442">
              <w:rPr>
                <w:rFonts w:ascii="Times New Roman" w:hAnsi="Times New Roman"/>
                <w:sz w:val="22"/>
                <w:szCs w:val="22"/>
                <w:lang w:val="hr-HR"/>
              </w:rPr>
              <w:t>izmjenjivano s</w:t>
            </w:r>
            <w:r w:rsidRPr="00510442">
              <w:rPr>
                <w:rFonts w:ascii="Times New Roman" w:hAnsi="Times New Roman"/>
                <w:color w:val="000000"/>
                <w:sz w:val="22"/>
                <w:szCs w:val="22"/>
                <w:lang w:val="hr-HR"/>
              </w:rPr>
              <w:t xml:space="preserve"> MTX 1 g/m</w:t>
            </w:r>
            <w:r w:rsidRPr="00510442">
              <w:rPr>
                <w:rFonts w:ascii="Times New Roman" w:hAnsi="Times New Roman"/>
                <w:color w:val="000000"/>
                <w:sz w:val="22"/>
                <w:szCs w:val="22"/>
                <w:vertAlign w:val="superscript"/>
                <w:lang w:val="hr-HR"/>
              </w:rPr>
              <w:t>2</w:t>
            </w:r>
            <w:r w:rsidRPr="00510442">
              <w:rPr>
                <w:rFonts w:ascii="Times New Roman" w:hAnsi="Times New Roman"/>
                <w:color w:val="000000"/>
                <w:sz w:val="22"/>
                <w:szCs w:val="22"/>
                <w:lang w:val="hr-HR"/>
              </w:rPr>
              <w:t xml:space="preserve"> i.v. (24 h), dan 1, Ara-C 1 g/m</w:t>
            </w:r>
            <w:r w:rsidRPr="00510442">
              <w:rPr>
                <w:rFonts w:ascii="Times New Roman" w:hAnsi="Times New Roman"/>
                <w:color w:val="000000"/>
                <w:sz w:val="22"/>
                <w:szCs w:val="22"/>
                <w:vertAlign w:val="superscript"/>
                <w:lang w:val="hr-HR"/>
              </w:rPr>
              <w:t>2</w:t>
            </w:r>
            <w:r w:rsidRPr="00510442">
              <w:rPr>
                <w:rFonts w:ascii="Times New Roman" w:hAnsi="Times New Roman"/>
                <w:color w:val="000000"/>
                <w:sz w:val="22"/>
                <w:szCs w:val="22"/>
                <w:lang w:val="hr-HR"/>
              </w:rPr>
              <w:t xml:space="preserve"> i.v. (2 h, svakih 12 h), dani 2</w:t>
            </w:r>
            <w:r w:rsidRPr="00510442">
              <w:rPr>
                <w:rFonts w:ascii="Times New Roman" w:hAnsi="Times New Roman"/>
                <w:color w:val="000000"/>
                <w:sz w:val="22"/>
                <w:szCs w:val="22"/>
                <w:lang w:val="hr-HR"/>
              </w:rPr>
              <w:noBreakHyphen/>
              <w:t>3 (ukupno 8 ciklusa)</w:t>
            </w:r>
          </w:p>
        </w:tc>
      </w:tr>
      <w:tr w:rsidR="00BE41B8" w:rsidRPr="00F410C8" w14:paraId="632E3D76" w14:textId="77777777" w:rsidTr="0063591E">
        <w:trPr>
          <w:cantSplit/>
        </w:trPr>
        <w:tc>
          <w:tcPr>
            <w:tcW w:w="2148" w:type="dxa"/>
            <w:tcBorders>
              <w:top w:val="single" w:sz="4" w:space="0" w:color="auto"/>
              <w:bottom w:val="single" w:sz="4" w:space="0" w:color="auto"/>
            </w:tcBorders>
            <w:shd w:val="clear" w:color="auto" w:fill="auto"/>
          </w:tcPr>
          <w:p w14:paraId="32BCB25F" w14:textId="77777777" w:rsidR="00BE41B8" w:rsidRPr="00510442" w:rsidRDefault="00BE41B8" w:rsidP="0063591E">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sz w:val="22"/>
                <w:szCs w:val="22"/>
                <w:lang w:val="hr-HR"/>
              </w:rPr>
              <w:t>Održavanje</w:t>
            </w:r>
          </w:p>
        </w:tc>
        <w:tc>
          <w:tcPr>
            <w:tcW w:w="6732" w:type="dxa"/>
            <w:gridSpan w:val="4"/>
            <w:tcBorders>
              <w:top w:val="single" w:sz="4" w:space="0" w:color="auto"/>
              <w:bottom w:val="single" w:sz="4" w:space="0" w:color="auto"/>
            </w:tcBorders>
            <w:shd w:val="clear" w:color="auto" w:fill="auto"/>
          </w:tcPr>
          <w:p w14:paraId="0C13AA7A" w14:textId="77777777" w:rsidR="00BE41B8" w:rsidRPr="00510442" w:rsidRDefault="00BE41B8" w:rsidP="0063591E">
            <w:pPr>
              <w:pStyle w:val="Table"/>
              <w:keepLines w:val="0"/>
              <w:widowControl w:val="0"/>
              <w:spacing w:before="0" w:after="0"/>
              <w:rPr>
                <w:rFonts w:ascii="Times New Roman" w:hAnsi="Times New Roman"/>
                <w:color w:val="000000"/>
                <w:sz w:val="22"/>
                <w:szCs w:val="22"/>
                <w:lang w:val="hr-HR"/>
              </w:rPr>
            </w:pPr>
            <w:smartTag w:uri="urn:schemas-microsoft-com:office:smarttags" w:element="stockticker">
              <w:r w:rsidRPr="00510442">
                <w:rPr>
                  <w:rFonts w:ascii="Times New Roman" w:hAnsi="Times New Roman"/>
                  <w:color w:val="000000"/>
                  <w:sz w:val="22"/>
                  <w:szCs w:val="22"/>
                  <w:lang w:val="hr-HR"/>
                </w:rPr>
                <w:t>VCR</w:t>
              </w:r>
            </w:smartTag>
            <w:r w:rsidRPr="00510442">
              <w:rPr>
                <w:rFonts w:ascii="Times New Roman" w:hAnsi="Times New Roman"/>
                <w:color w:val="000000"/>
                <w:sz w:val="22"/>
                <w:szCs w:val="22"/>
                <w:lang w:val="hr-HR"/>
              </w:rPr>
              <w:t xml:space="preserve"> 2 mg i.v. </w:t>
            </w:r>
            <w:r w:rsidRPr="00510442">
              <w:rPr>
                <w:rFonts w:ascii="Times New Roman" w:hAnsi="Times New Roman"/>
                <w:sz w:val="22"/>
                <w:szCs w:val="22"/>
                <w:lang w:val="hr-HR"/>
              </w:rPr>
              <w:t xml:space="preserve">mjesečno tijekom </w:t>
            </w:r>
            <w:r w:rsidRPr="00510442">
              <w:rPr>
                <w:rFonts w:ascii="Times New Roman" w:hAnsi="Times New Roman"/>
                <w:color w:val="000000"/>
                <w:sz w:val="22"/>
                <w:szCs w:val="22"/>
                <w:lang w:val="hr-HR"/>
              </w:rPr>
              <w:t>13 mjeseci;</w:t>
            </w:r>
          </w:p>
          <w:p w14:paraId="697FB421" w14:textId="77777777" w:rsidR="00BE41B8" w:rsidRPr="00510442" w:rsidRDefault="00BE41B8" w:rsidP="0063591E">
            <w:pPr>
              <w:pStyle w:val="Table"/>
              <w:keepLines w:val="0"/>
              <w:widowControl w:val="0"/>
              <w:spacing w:before="0" w:after="0"/>
              <w:rPr>
                <w:rFonts w:ascii="Times New Roman" w:hAnsi="Times New Roman"/>
                <w:color w:val="000000"/>
                <w:sz w:val="22"/>
                <w:szCs w:val="22"/>
                <w:lang w:val="hr-HR"/>
              </w:rPr>
            </w:pPr>
            <w:r w:rsidRPr="00510442">
              <w:rPr>
                <w:rFonts w:ascii="Times New Roman" w:hAnsi="Times New Roman"/>
                <w:sz w:val="22"/>
                <w:szCs w:val="22"/>
                <w:lang w:val="hr-HR"/>
              </w:rPr>
              <w:t xml:space="preserve">Prednizolon </w:t>
            </w:r>
            <w:r w:rsidRPr="00510442">
              <w:rPr>
                <w:rFonts w:ascii="Times New Roman" w:hAnsi="Times New Roman"/>
                <w:color w:val="000000"/>
                <w:sz w:val="22"/>
                <w:szCs w:val="22"/>
                <w:lang w:val="hr-HR"/>
              </w:rPr>
              <w:t xml:space="preserve">200 mg peroralno, 5 dana </w:t>
            </w:r>
            <w:r w:rsidRPr="00510442">
              <w:rPr>
                <w:rFonts w:ascii="Times New Roman" w:hAnsi="Times New Roman"/>
                <w:sz w:val="22"/>
                <w:szCs w:val="22"/>
                <w:lang w:val="hr-HR"/>
              </w:rPr>
              <w:t xml:space="preserve">na mjesec tijekom </w:t>
            </w:r>
            <w:r w:rsidRPr="00510442">
              <w:rPr>
                <w:rFonts w:ascii="Times New Roman" w:hAnsi="Times New Roman"/>
                <w:color w:val="000000"/>
                <w:sz w:val="22"/>
                <w:szCs w:val="22"/>
                <w:lang w:val="hr-HR"/>
              </w:rPr>
              <w:t>13 mjeseci</w:t>
            </w:r>
          </w:p>
        </w:tc>
      </w:tr>
      <w:tr w:rsidR="00BE41B8" w:rsidRPr="00F410C8" w14:paraId="07A2E66E" w14:textId="77777777" w:rsidTr="0063591E">
        <w:trPr>
          <w:cantSplit/>
        </w:trPr>
        <w:tc>
          <w:tcPr>
            <w:tcW w:w="8880" w:type="dxa"/>
            <w:gridSpan w:val="5"/>
            <w:tcBorders>
              <w:top w:val="single" w:sz="4" w:space="0" w:color="auto"/>
              <w:bottom w:val="single" w:sz="4" w:space="0" w:color="auto"/>
            </w:tcBorders>
            <w:shd w:val="clear" w:color="auto" w:fill="auto"/>
          </w:tcPr>
          <w:p w14:paraId="7FF8D226" w14:textId="77777777" w:rsidR="00BE41B8" w:rsidRPr="00510442" w:rsidRDefault="00BE41B8" w:rsidP="0063591E">
            <w:pPr>
              <w:pStyle w:val="Table"/>
              <w:keepLines w:val="0"/>
              <w:widowControl w:val="0"/>
              <w:spacing w:after="40"/>
              <w:rPr>
                <w:rFonts w:ascii="Times New Roman" w:hAnsi="Times New Roman"/>
                <w:color w:val="000000"/>
                <w:sz w:val="22"/>
                <w:szCs w:val="22"/>
                <w:lang w:val="hr-HR"/>
              </w:rPr>
            </w:pPr>
            <w:r w:rsidRPr="00510442">
              <w:rPr>
                <w:rFonts w:ascii="Times New Roman" w:hAnsi="Times New Roman"/>
                <w:sz w:val="22"/>
                <w:szCs w:val="22"/>
                <w:lang w:val="hr-HR"/>
              </w:rPr>
              <w:t>Svi režimi liječenja uključuju primjenu steroida radi CNS profilakse.</w:t>
            </w:r>
          </w:p>
        </w:tc>
      </w:tr>
      <w:tr w:rsidR="00BE41B8" w:rsidRPr="00F410C8" w14:paraId="2923A3CE" w14:textId="77777777" w:rsidTr="0063591E">
        <w:trPr>
          <w:cantSplit/>
          <w:trHeight w:val="535"/>
        </w:trPr>
        <w:tc>
          <w:tcPr>
            <w:tcW w:w="8880" w:type="dxa"/>
            <w:gridSpan w:val="5"/>
            <w:tcBorders>
              <w:top w:val="single" w:sz="4" w:space="0" w:color="auto"/>
              <w:bottom w:val="single" w:sz="4" w:space="0" w:color="auto"/>
            </w:tcBorders>
            <w:shd w:val="clear" w:color="auto" w:fill="auto"/>
          </w:tcPr>
          <w:p w14:paraId="0F6ECFB9" w14:textId="77777777" w:rsidR="00BE41B8" w:rsidRPr="00510442" w:rsidRDefault="00BE41B8" w:rsidP="0063591E">
            <w:pPr>
              <w:pStyle w:val="Table"/>
              <w:keepNext w:val="0"/>
              <w:keepLines w:val="0"/>
              <w:widowControl w:val="0"/>
              <w:spacing w:after="0"/>
              <w:rPr>
                <w:rFonts w:ascii="Times New Roman" w:hAnsi="Times New Roman"/>
                <w:color w:val="000000"/>
                <w:sz w:val="22"/>
                <w:szCs w:val="22"/>
                <w:lang w:val="hr-HR"/>
              </w:rPr>
            </w:pPr>
            <w:r w:rsidRPr="00510442">
              <w:rPr>
                <w:rFonts w:ascii="Times New Roman" w:hAnsi="Times New Roman"/>
                <w:color w:val="000000"/>
                <w:sz w:val="22"/>
                <w:szCs w:val="22"/>
                <w:lang w:val="hr-HR"/>
              </w:rPr>
              <w:t xml:space="preserve">Ara-C: </w:t>
            </w:r>
            <w:r w:rsidRPr="00510442">
              <w:rPr>
                <w:rFonts w:ascii="Times New Roman" w:hAnsi="Times New Roman"/>
                <w:sz w:val="22"/>
                <w:szCs w:val="22"/>
                <w:lang w:val="hr-HR"/>
              </w:rPr>
              <w:t>citozin arabinozid</w:t>
            </w:r>
            <w:r w:rsidRPr="00510442">
              <w:rPr>
                <w:rFonts w:ascii="Times New Roman" w:hAnsi="Times New Roman"/>
                <w:color w:val="000000"/>
                <w:sz w:val="22"/>
                <w:szCs w:val="22"/>
                <w:lang w:val="hr-HR"/>
              </w:rPr>
              <w:t xml:space="preserve">; CP: </w:t>
            </w:r>
            <w:r w:rsidRPr="00510442">
              <w:rPr>
                <w:rFonts w:ascii="Times New Roman" w:hAnsi="Times New Roman"/>
                <w:sz w:val="22"/>
                <w:szCs w:val="22"/>
                <w:lang w:val="hr-HR"/>
              </w:rPr>
              <w:t>ciklofosfamid</w:t>
            </w:r>
            <w:r w:rsidRPr="00510442">
              <w:rPr>
                <w:rFonts w:ascii="Times New Roman" w:hAnsi="Times New Roman"/>
                <w:color w:val="000000"/>
                <w:sz w:val="22"/>
                <w:szCs w:val="22"/>
                <w:lang w:val="hr-HR"/>
              </w:rPr>
              <w:t xml:space="preserve">; DEX: </w:t>
            </w:r>
            <w:r w:rsidRPr="00510442">
              <w:rPr>
                <w:rFonts w:ascii="Times New Roman" w:hAnsi="Times New Roman"/>
                <w:sz w:val="22"/>
                <w:szCs w:val="22"/>
                <w:lang w:val="hr-HR"/>
              </w:rPr>
              <w:t>deksametazon</w:t>
            </w:r>
            <w:r w:rsidRPr="00510442">
              <w:rPr>
                <w:rFonts w:ascii="Times New Roman" w:hAnsi="Times New Roman"/>
                <w:color w:val="000000"/>
                <w:sz w:val="22"/>
                <w:szCs w:val="22"/>
                <w:lang w:val="hr-HR"/>
              </w:rPr>
              <w:t xml:space="preserve">; </w:t>
            </w:r>
            <w:smartTag w:uri="urn:schemas-microsoft-com:office:smarttags" w:element="stockticker">
              <w:r w:rsidRPr="00510442">
                <w:rPr>
                  <w:rFonts w:ascii="Times New Roman" w:hAnsi="Times New Roman"/>
                  <w:color w:val="000000"/>
                  <w:sz w:val="22"/>
                  <w:szCs w:val="22"/>
                  <w:lang w:val="hr-HR"/>
                </w:rPr>
                <w:t>MTX</w:t>
              </w:r>
            </w:smartTag>
            <w:r w:rsidRPr="00510442">
              <w:rPr>
                <w:rFonts w:ascii="Times New Roman" w:hAnsi="Times New Roman"/>
                <w:color w:val="000000"/>
                <w:sz w:val="22"/>
                <w:szCs w:val="22"/>
                <w:lang w:val="hr-HR"/>
              </w:rPr>
              <w:t xml:space="preserve">: </w:t>
            </w:r>
            <w:r w:rsidRPr="00510442">
              <w:rPr>
                <w:rFonts w:ascii="Times New Roman" w:hAnsi="Times New Roman"/>
                <w:sz w:val="22"/>
                <w:szCs w:val="22"/>
                <w:lang w:val="hr-HR"/>
              </w:rPr>
              <w:t>metotreksat</w:t>
            </w:r>
            <w:r w:rsidRPr="00510442">
              <w:rPr>
                <w:rFonts w:ascii="Times New Roman" w:hAnsi="Times New Roman"/>
                <w:color w:val="000000"/>
                <w:sz w:val="22"/>
                <w:szCs w:val="22"/>
                <w:lang w:val="hr-HR"/>
              </w:rPr>
              <w:t xml:space="preserve">; 6-MP: </w:t>
            </w:r>
            <w:r w:rsidRPr="00510442">
              <w:rPr>
                <w:rFonts w:ascii="Times New Roman" w:hAnsi="Times New Roman"/>
                <w:sz w:val="22"/>
                <w:szCs w:val="22"/>
                <w:lang w:val="hr-HR"/>
              </w:rPr>
              <w:t>6-merkaptopurin;</w:t>
            </w:r>
            <w:r w:rsidRPr="00510442">
              <w:rPr>
                <w:rFonts w:ascii="Times New Roman" w:hAnsi="Times New Roman"/>
                <w:color w:val="000000"/>
                <w:sz w:val="22"/>
                <w:szCs w:val="22"/>
                <w:lang w:val="hr-HR"/>
              </w:rPr>
              <w:t xml:space="preserve"> VM26: </w:t>
            </w:r>
            <w:r w:rsidRPr="00510442">
              <w:rPr>
                <w:rFonts w:ascii="Times New Roman" w:hAnsi="Times New Roman"/>
                <w:sz w:val="22"/>
                <w:szCs w:val="22"/>
                <w:lang w:val="hr-HR"/>
              </w:rPr>
              <w:t>tenipozid</w:t>
            </w:r>
            <w:r w:rsidRPr="00510442">
              <w:rPr>
                <w:rFonts w:ascii="Times New Roman" w:hAnsi="Times New Roman"/>
                <w:color w:val="000000"/>
                <w:sz w:val="22"/>
                <w:szCs w:val="22"/>
                <w:lang w:val="hr-HR"/>
              </w:rPr>
              <w:t xml:space="preserve">; </w:t>
            </w:r>
            <w:smartTag w:uri="urn:schemas-microsoft-com:office:smarttags" w:element="stockticker">
              <w:r w:rsidRPr="00510442">
                <w:rPr>
                  <w:rFonts w:ascii="Times New Roman" w:hAnsi="Times New Roman"/>
                  <w:color w:val="000000"/>
                  <w:sz w:val="22"/>
                  <w:szCs w:val="22"/>
                  <w:lang w:val="hr-HR"/>
                </w:rPr>
                <w:t>VCR</w:t>
              </w:r>
            </w:smartTag>
            <w:r w:rsidRPr="00510442">
              <w:rPr>
                <w:rFonts w:ascii="Times New Roman" w:hAnsi="Times New Roman"/>
                <w:color w:val="000000"/>
                <w:sz w:val="22"/>
                <w:szCs w:val="22"/>
                <w:lang w:val="hr-HR"/>
              </w:rPr>
              <w:t xml:space="preserve">: </w:t>
            </w:r>
            <w:r w:rsidRPr="00510442">
              <w:rPr>
                <w:rFonts w:ascii="Times New Roman" w:hAnsi="Times New Roman"/>
                <w:sz w:val="22"/>
                <w:szCs w:val="22"/>
                <w:lang w:val="hr-HR"/>
              </w:rPr>
              <w:t>vinkristin</w:t>
            </w:r>
            <w:r w:rsidRPr="00510442">
              <w:rPr>
                <w:rFonts w:ascii="Times New Roman" w:hAnsi="Times New Roman"/>
                <w:color w:val="000000"/>
                <w:sz w:val="22"/>
                <w:szCs w:val="22"/>
                <w:lang w:val="hr-HR"/>
              </w:rPr>
              <w:t xml:space="preserve">; </w:t>
            </w:r>
            <w:smartTag w:uri="urn:schemas-microsoft-com:office:smarttags" w:element="stockticker">
              <w:r w:rsidRPr="00510442">
                <w:rPr>
                  <w:rFonts w:ascii="Times New Roman" w:hAnsi="Times New Roman"/>
                  <w:color w:val="000000"/>
                  <w:sz w:val="22"/>
                  <w:szCs w:val="22"/>
                  <w:lang w:val="hr-HR"/>
                </w:rPr>
                <w:t>IDA</w:t>
              </w:r>
            </w:smartTag>
            <w:r w:rsidRPr="00510442">
              <w:rPr>
                <w:rFonts w:ascii="Times New Roman" w:hAnsi="Times New Roman"/>
                <w:color w:val="000000"/>
                <w:sz w:val="22"/>
                <w:szCs w:val="22"/>
                <w:lang w:val="hr-HR"/>
              </w:rPr>
              <w:t xml:space="preserve">: </w:t>
            </w:r>
            <w:r w:rsidRPr="00510442">
              <w:rPr>
                <w:rFonts w:ascii="Times New Roman" w:hAnsi="Times New Roman"/>
                <w:sz w:val="22"/>
                <w:szCs w:val="22"/>
                <w:lang w:val="hr-HR"/>
              </w:rPr>
              <w:t>idarubicin</w:t>
            </w:r>
            <w:r w:rsidRPr="00510442">
              <w:rPr>
                <w:rFonts w:ascii="Times New Roman" w:hAnsi="Times New Roman"/>
                <w:color w:val="000000"/>
                <w:sz w:val="22"/>
                <w:szCs w:val="22"/>
                <w:lang w:val="hr-HR"/>
              </w:rPr>
              <w:t xml:space="preserve">; i.v.: </w:t>
            </w:r>
            <w:r w:rsidRPr="00510442">
              <w:rPr>
                <w:rFonts w:ascii="Times New Roman" w:hAnsi="Times New Roman"/>
                <w:sz w:val="22"/>
                <w:szCs w:val="22"/>
                <w:lang w:val="hr-HR"/>
              </w:rPr>
              <w:t>intravenski</w:t>
            </w:r>
          </w:p>
        </w:tc>
      </w:tr>
    </w:tbl>
    <w:p w14:paraId="574FE722" w14:textId="77777777" w:rsidR="00BE41B8" w:rsidRPr="00510442" w:rsidRDefault="00BE41B8" w:rsidP="00BE41B8">
      <w:pPr>
        <w:pStyle w:val="EndnoteText"/>
        <w:widowControl w:val="0"/>
        <w:rPr>
          <w:color w:val="000000"/>
          <w:szCs w:val="22"/>
          <w:lang w:val="hr-HR"/>
        </w:rPr>
      </w:pPr>
    </w:p>
    <w:p w14:paraId="2F62E044" w14:textId="4F296263" w:rsidR="00BE41B8" w:rsidRPr="00510442" w:rsidRDefault="00BE41B8" w:rsidP="00BE41B8">
      <w:pPr>
        <w:pStyle w:val="EndnoteText"/>
        <w:widowControl w:val="0"/>
        <w:rPr>
          <w:color w:val="000000"/>
          <w:lang w:val="hr-HR"/>
        </w:rPr>
      </w:pPr>
      <w:r w:rsidRPr="00510442">
        <w:rPr>
          <w:i/>
          <w:color w:val="000000"/>
          <w:lang w:val="hr-HR"/>
        </w:rPr>
        <w:t>Pedijatrijski bolesnici</w:t>
      </w:r>
      <w:r w:rsidRPr="00510442">
        <w:rPr>
          <w:color w:val="000000"/>
          <w:lang w:val="hr-HR"/>
        </w:rPr>
        <w:t>:</w:t>
      </w:r>
      <w:r w:rsidRPr="00510442">
        <w:rPr>
          <w:lang w:val="hr-HR"/>
        </w:rPr>
        <w:t xml:space="preserve"> </w:t>
      </w:r>
      <w:r w:rsidRPr="00510442">
        <w:rPr>
          <w:color w:val="000000"/>
          <w:lang w:val="hr-HR"/>
        </w:rPr>
        <w:t>U ispitivanju</w:t>
      </w:r>
      <w:r w:rsidRPr="00510442">
        <w:rPr>
          <w:lang w:val="hr-HR"/>
        </w:rPr>
        <w:t xml:space="preserve"> </w:t>
      </w:r>
      <w:r w:rsidRPr="00510442">
        <w:rPr>
          <w:color w:val="000000"/>
          <w:lang w:val="hr-HR"/>
        </w:rPr>
        <w:t>I2301 ukupno 93 djece, adolescenata i mladih odraslih osoba (u dobi od 1 do 22 godine) s Ph+ ALL bilo je uključeno u otvoreno, multicentrično, sekvencijsko kohortno, nerandomizirano ispitivanje faze III u kojem su primali Glivec (340 mg/m</w:t>
      </w:r>
      <w:r w:rsidRPr="00510442">
        <w:rPr>
          <w:color w:val="000000"/>
          <w:vertAlign w:val="superscript"/>
          <w:lang w:val="hr-HR"/>
        </w:rPr>
        <w:t>2</w:t>
      </w:r>
      <w:r w:rsidRPr="00510442">
        <w:rPr>
          <w:color w:val="000000"/>
          <w:lang w:val="hr-HR"/>
        </w:rPr>
        <w:t>/dan) u kombinaciji s intenzivnom kemoterapijom nakon indukcijskog liječenja. Glivec je povremeno primjenjivan u kohortama 1</w:t>
      </w:r>
      <w:r w:rsidRPr="00510442">
        <w:rPr>
          <w:color w:val="000000"/>
          <w:lang w:val="hr-HR"/>
        </w:rPr>
        <w:noBreakHyphen/>
        <w:t xml:space="preserve">5, uz progresivno produljenje i raniji početak primjene </w:t>
      </w:r>
      <w:r w:rsidR="004007D1" w:rsidRPr="00512481">
        <w:rPr>
          <w:szCs w:val="22"/>
          <w:lang w:val="hr-HR"/>
        </w:rPr>
        <w:t xml:space="preserve">lijeka </w:t>
      </w:r>
      <w:r w:rsidRPr="00510442">
        <w:rPr>
          <w:color w:val="000000"/>
          <w:lang w:val="hr-HR"/>
        </w:rPr>
        <w:t xml:space="preserve">Glivec od jedne do druge kohorte, pri čemu je kohorta 1 primala najmanji intenzitet, a kohorta 5 najveći intenzitet </w:t>
      </w:r>
      <w:r w:rsidR="004007D1" w:rsidRPr="00512481">
        <w:rPr>
          <w:szCs w:val="22"/>
          <w:lang w:val="hr-HR"/>
        </w:rPr>
        <w:t xml:space="preserve">lijeka </w:t>
      </w:r>
      <w:r w:rsidRPr="00510442">
        <w:rPr>
          <w:color w:val="000000"/>
          <w:lang w:val="hr-HR"/>
        </w:rPr>
        <w:t xml:space="preserve">Glivec (najdulje trajanje u danima kontinuiranog uzimanja dnevne doze </w:t>
      </w:r>
      <w:r w:rsidR="004007D1" w:rsidRPr="00512481">
        <w:rPr>
          <w:szCs w:val="22"/>
          <w:lang w:val="hr-HR"/>
        </w:rPr>
        <w:t xml:space="preserve">lijeka </w:t>
      </w:r>
      <w:r w:rsidRPr="00510442">
        <w:rPr>
          <w:color w:val="000000"/>
          <w:lang w:val="hr-HR"/>
        </w:rPr>
        <w:t xml:space="preserve">Glivec tijekom prvih ciklusa kemoterapije). Stalna svakodnevna izloženost </w:t>
      </w:r>
      <w:r w:rsidR="00561038">
        <w:rPr>
          <w:szCs w:val="22"/>
          <w:lang w:val="hr-HR"/>
        </w:rPr>
        <w:t xml:space="preserve">lijeku </w:t>
      </w:r>
      <w:r w:rsidRPr="00510442">
        <w:rPr>
          <w:color w:val="000000"/>
          <w:lang w:val="hr-HR"/>
        </w:rPr>
        <w:t xml:space="preserve">Glivec u ranoj fazi liječenja u kombinaciji s kemoterapijom dovela je u bolesnika iz kohorte 5 (n=50) do poboljšanja stope 4-godišnjeg preživljavanja bez događaja (EFS) u usporedbi s bolesnicima iz kontrolne kohorte (n=120), koji su primali standardnu kemoterapiju bez </w:t>
      </w:r>
      <w:r w:rsidR="004007D1" w:rsidRPr="00512481">
        <w:rPr>
          <w:szCs w:val="22"/>
          <w:lang w:val="hr-HR"/>
        </w:rPr>
        <w:t xml:space="preserve">lijeka </w:t>
      </w:r>
      <w:r w:rsidRPr="00510442">
        <w:rPr>
          <w:color w:val="000000"/>
          <w:lang w:val="hr-HR"/>
        </w:rPr>
        <w:t>Glivec (69,6% u odnosu na 31,6%). Procijenjeno 4-godišnje ukupno preživljavanje u bolesnika u kohorti 5 bilo je 83,6% u usporedbi s 44,8% u kontrolnoj kohorti. Od 50 bolesnika u kohorti</w:t>
      </w:r>
      <w:r w:rsidRPr="00510442">
        <w:rPr>
          <w:lang w:val="hr-HR"/>
        </w:rPr>
        <w:t> </w:t>
      </w:r>
      <w:r w:rsidRPr="00510442">
        <w:rPr>
          <w:color w:val="000000"/>
          <w:lang w:val="hr-HR"/>
        </w:rPr>
        <w:t>5, 20 (40%) ih je primilo transplantirane hematopoetske matične stanice.</w:t>
      </w:r>
    </w:p>
    <w:p w14:paraId="7F424D2B" w14:textId="77777777" w:rsidR="00BE41B8" w:rsidRPr="00510442" w:rsidRDefault="00BE41B8" w:rsidP="00BE41B8">
      <w:pPr>
        <w:pStyle w:val="EndnoteText"/>
        <w:widowControl w:val="0"/>
        <w:rPr>
          <w:color w:val="000000"/>
          <w:lang w:val="hr-HR"/>
        </w:rPr>
      </w:pPr>
    </w:p>
    <w:p w14:paraId="2D975ADD" w14:textId="77777777" w:rsidR="00BE41B8" w:rsidRPr="00510442" w:rsidRDefault="00BE41B8" w:rsidP="0063591E">
      <w:pPr>
        <w:pStyle w:val="EndnoteText"/>
        <w:keepNext/>
        <w:widowControl w:val="0"/>
        <w:tabs>
          <w:tab w:val="clear" w:pos="567"/>
        </w:tabs>
        <w:ind w:left="1134" w:hanging="1134"/>
        <w:rPr>
          <w:b/>
          <w:color w:val="000000"/>
          <w:lang w:val="hr-HR"/>
        </w:rPr>
      </w:pPr>
      <w:r w:rsidRPr="00510442">
        <w:rPr>
          <w:b/>
          <w:color w:val="000000"/>
          <w:lang w:val="hr-HR"/>
        </w:rPr>
        <w:t>Tablica </w:t>
      </w:r>
      <w:r w:rsidR="004C7699" w:rsidRPr="00510442">
        <w:rPr>
          <w:b/>
          <w:color w:val="000000"/>
          <w:lang w:val="hr-HR"/>
        </w:rPr>
        <w:t>5</w:t>
      </w:r>
      <w:r w:rsidRPr="00510442">
        <w:rPr>
          <w:b/>
          <w:color w:val="000000"/>
          <w:lang w:val="hr-HR"/>
        </w:rPr>
        <w:tab/>
        <w:t>Režim kemoterapije primijenjen u kombinaciji s imatinibom u ispitivanju I2301</w:t>
      </w:r>
    </w:p>
    <w:p w14:paraId="2285AE06" w14:textId="77777777" w:rsidR="00BE41B8" w:rsidRPr="00510442" w:rsidRDefault="00BE41B8" w:rsidP="0063591E">
      <w:pPr>
        <w:pStyle w:val="EndnoteText"/>
        <w:keepNext/>
        <w:widowControl w:val="0"/>
        <w:rPr>
          <w:color w:val="000000"/>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2"/>
        <w:gridCol w:w="6729"/>
      </w:tblGrid>
      <w:tr w:rsidR="00BE41B8" w:rsidRPr="00F410C8" w14:paraId="317FAF2E" w14:textId="77777777" w:rsidTr="0063591E">
        <w:trPr>
          <w:cantSplit/>
        </w:trPr>
        <w:tc>
          <w:tcPr>
            <w:tcW w:w="2358" w:type="dxa"/>
            <w:shd w:val="clear" w:color="auto" w:fill="auto"/>
          </w:tcPr>
          <w:p w14:paraId="7D71D892" w14:textId="77777777" w:rsidR="00BE41B8" w:rsidRPr="00510442" w:rsidRDefault="00BE41B8" w:rsidP="00C210A6">
            <w:pPr>
              <w:pStyle w:val="EndnoteText"/>
              <w:widowControl w:val="0"/>
              <w:rPr>
                <w:color w:val="000000"/>
                <w:lang w:val="hr-HR"/>
              </w:rPr>
            </w:pPr>
            <w:r w:rsidRPr="00510442">
              <w:rPr>
                <w:color w:val="000000"/>
                <w:lang w:val="hr-HR"/>
              </w:rPr>
              <w:t>Konsolidacijska terapija 1</w:t>
            </w:r>
          </w:p>
          <w:p w14:paraId="138E4251" w14:textId="77777777" w:rsidR="00BE41B8" w:rsidRPr="00510442" w:rsidRDefault="00BE41B8" w:rsidP="00C210A6">
            <w:pPr>
              <w:pStyle w:val="EndnoteText"/>
              <w:widowControl w:val="0"/>
              <w:rPr>
                <w:color w:val="000000"/>
                <w:lang w:val="hr-HR"/>
              </w:rPr>
            </w:pPr>
            <w:r w:rsidRPr="00510442">
              <w:rPr>
                <w:color w:val="000000"/>
                <w:lang w:val="hr-HR"/>
              </w:rPr>
              <w:t>(3 tjedna)</w:t>
            </w:r>
          </w:p>
        </w:tc>
        <w:tc>
          <w:tcPr>
            <w:tcW w:w="6929" w:type="dxa"/>
            <w:shd w:val="clear" w:color="auto" w:fill="auto"/>
          </w:tcPr>
          <w:p w14:paraId="5392D8D8" w14:textId="77777777" w:rsidR="00BE41B8" w:rsidRPr="00510442" w:rsidRDefault="00BE41B8" w:rsidP="00C210A6">
            <w:pPr>
              <w:pStyle w:val="EndnoteText"/>
              <w:widowControl w:val="0"/>
              <w:rPr>
                <w:color w:val="000000"/>
                <w:lang w:val="hr-HR"/>
              </w:rPr>
            </w:pPr>
            <w:r w:rsidRPr="00510442">
              <w:rPr>
                <w:color w:val="000000"/>
                <w:lang w:val="hr-HR"/>
              </w:rPr>
              <w:t>VP-16 (100 mg/m</w:t>
            </w:r>
            <w:r w:rsidRPr="00510442">
              <w:rPr>
                <w:color w:val="000000"/>
                <w:vertAlign w:val="superscript"/>
                <w:lang w:val="hr-HR"/>
              </w:rPr>
              <w:t>2</w:t>
            </w:r>
            <w:r w:rsidRPr="00510442">
              <w:rPr>
                <w:color w:val="000000"/>
                <w:lang w:val="hr-HR"/>
              </w:rPr>
              <w:t>/dan, i.v.): dani 1</w:t>
            </w:r>
            <w:r w:rsidRPr="00510442">
              <w:rPr>
                <w:color w:val="000000"/>
                <w:lang w:val="hr-HR"/>
              </w:rPr>
              <w:noBreakHyphen/>
              <w:t>5</w:t>
            </w:r>
          </w:p>
          <w:p w14:paraId="4395B1E2" w14:textId="77777777" w:rsidR="00BE41B8" w:rsidRPr="00510442" w:rsidRDefault="00BE41B8" w:rsidP="00C210A6">
            <w:pPr>
              <w:pStyle w:val="EndnoteText"/>
              <w:widowControl w:val="0"/>
              <w:rPr>
                <w:color w:val="000000"/>
                <w:lang w:val="hr-HR"/>
              </w:rPr>
            </w:pPr>
            <w:r w:rsidRPr="00510442">
              <w:rPr>
                <w:color w:val="000000"/>
                <w:lang w:val="hr-HR"/>
              </w:rPr>
              <w:t>Ifosfamid (1,8 g/m</w:t>
            </w:r>
            <w:r w:rsidRPr="00510442">
              <w:rPr>
                <w:color w:val="000000"/>
                <w:vertAlign w:val="superscript"/>
                <w:lang w:val="hr-HR"/>
              </w:rPr>
              <w:t>2</w:t>
            </w:r>
            <w:r w:rsidRPr="00510442">
              <w:rPr>
                <w:color w:val="000000"/>
                <w:lang w:val="hr-HR"/>
              </w:rPr>
              <w:t>/dan, i.v.): dani 1</w:t>
            </w:r>
            <w:r w:rsidRPr="00510442">
              <w:rPr>
                <w:color w:val="000000"/>
                <w:lang w:val="hr-HR"/>
              </w:rPr>
              <w:noBreakHyphen/>
              <w:t>5</w:t>
            </w:r>
          </w:p>
          <w:p w14:paraId="60D5F5A7" w14:textId="77777777" w:rsidR="00BE41B8" w:rsidRPr="00510442" w:rsidRDefault="00BE41B8" w:rsidP="00C210A6">
            <w:pPr>
              <w:pStyle w:val="EndnoteText"/>
              <w:widowControl w:val="0"/>
              <w:rPr>
                <w:color w:val="000000"/>
                <w:lang w:val="hr-HR"/>
              </w:rPr>
            </w:pPr>
            <w:r w:rsidRPr="00510442">
              <w:rPr>
                <w:color w:val="000000"/>
                <w:lang w:val="hr-HR"/>
              </w:rPr>
              <w:t>MESNA (360 mg/m</w:t>
            </w:r>
            <w:r w:rsidRPr="00510442">
              <w:rPr>
                <w:color w:val="000000"/>
                <w:vertAlign w:val="superscript"/>
                <w:lang w:val="hr-HR"/>
              </w:rPr>
              <w:t>2</w:t>
            </w:r>
            <w:r w:rsidRPr="00510442">
              <w:rPr>
                <w:color w:val="000000"/>
                <w:lang w:val="hr-HR"/>
              </w:rPr>
              <w:t>/doza svaka 3 sata x 8 doza/dan, i.v.): dani 1</w:t>
            </w:r>
            <w:r w:rsidRPr="00510442">
              <w:rPr>
                <w:color w:val="000000"/>
                <w:lang w:val="hr-HR"/>
              </w:rPr>
              <w:noBreakHyphen/>
              <w:t>5</w:t>
            </w:r>
          </w:p>
          <w:p w14:paraId="0B3DFD9C" w14:textId="77777777" w:rsidR="00BE41B8" w:rsidRPr="00510442" w:rsidRDefault="00BE41B8" w:rsidP="00C210A6">
            <w:pPr>
              <w:pStyle w:val="EndnoteText"/>
              <w:widowControl w:val="0"/>
              <w:rPr>
                <w:color w:val="000000"/>
                <w:lang w:val="hr-HR"/>
              </w:rPr>
            </w:pPr>
            <w:r w:rsidRPr="00510442">
              <w:rPr>
                <w:color w:val="000000"/>
                <w:lang w:val="hr-HR"/>
              </w:rPr>
              <w:t>G-CSF (5 μg/kg, s.c.): dani 6</w:t>
            </w:r>
            <w:r w:rsidRPr="00510442">
              <w:rPr>
                <w:color w:val="000000"/>
                <w:lang w:val="hr-HR"/>
              </w:rPr>
              <w:noBreakHyphen/>
              <w:t>15 ili do porasta ANC &gt;1500 nakon najniže izmjerene vrijednosti</w:t>
            </w:r>
          </w:p>
          <w:p w14:paraId="6436F966" w14:textId="77777777" w:rsidR="00BE41B8" w:rsidRPr="00510442" w:rsidRDefault="00BE41B8" w:rsidP="00C210A6">
            <w:pPr>
              <w:pStyle w:val="EndnoteText"/>
              <w:widowControl w:val="0"/>
              <w:rPr>
                <w:color w:val="000000"/>
                <w:lang w:val="hr-HR"/>
              </w:rPr>
            </w:pPr>
            <w:r w:rsidRPr="00510442">
              <w:rPr>
                <w:color w:val="000000"/>
                <w:lang w:val="hr-HR"/>
              </w:rPr>
              <w:t>i.t. metotreksat (prilagođeno dobi): SAMO dan 1</w:t>
            </w:r>
          </w:p>
          <w:p w14:paraId="2C0AB2F2" w14:textId="77777777" w:rsidR="00BE41B8" w:rsidRPr="00510442" w:rsidRDefault="00BE41B8" w:rsidP="00C210A6">
            <w:pPr>
              <w:pStyle w:val="EndnoteText"/>
              <w:widowControl w:val="0"/>
              <w:rPr>
                <w:color w:val="000000"/>
                <w:lang w:val="hr-HR"/>
              </w:rPr>
            </w:pPr>
            <w:r w:rsidRPr="00510442">
              <w:rPr>
                <w:color w:val="000000"/>
                <w:lang w:val="hr-HR"/>
              </w:rPr>
              <w:t>Trostruka i.t. terapija (prilagođena dobi): dan 8, 15</w:t>
            </w:r>
          </w:p>
        </w:tc>
      </w:tr>
      <w:tr w:rsidR="00BE41B8" w:rsidRPr="00F410C8" w14:paraId="7A04CF1D" w14:textId="77777777" w:rsidTr="0063591E">
        <w:trPr>
          <w:cantSplit/>
        </w:trPr>
        <w:tc>
          <w:tcPr>
            <w:tcW w:w="2358" w:type="dxa"/>
            <w:shd w:val="clear" w:color="auto" w:fill="auto"/>
          </w:tcPr>
          <w:p w14:paraId="0A703335" w14:textId="77777777" w:rsidR="00BE41B8" w:rsidRPr="00510442" w:rsidRDefault="00BE41B8" w:rsidP="00C210A6">
            <w:pPr>
              <w:pStyle w:val="EndnoteText"/>
              <w:widowControl w:val="0"/>
              <w:rPr>
                <w:color w:val="000000"/>
                <w:lang w:val="hr-HR"/>
              </w:rPr>
            </w:pPr>
            <w:r w:rsidRPr="00510442">
              <w:rPr>
                <w:color w:val="000000"/>
                <w:lang w:val="hr-HR"/>
              </w:rPr>
              <w:t>Konsolidacijska terapija 2</w:t>
            </w:r>
          </w:p>
          <w:p w14:paraId="0D693446" w14:textId="77777777" w:rsidR="00BE41B8" w:rsidRPr="00510442" w:rsidRDefault="00BE41B8" w:rsidP="00C210A6">
            <w:pPr>
              <w:pStyle w:val="EndnoteText"/>
              <w:widowControl w:val="0"/>
              <w:rPr>
                <w:color w:val="000000"/>
                <w:lang w:val="hr-HR"/>
              </w:rPr>
            </w:pPr>
            <w:r w:rsidRPr="00510442">
              <w:rPr>
                <w:color w:val="000000"/>
                <w:lang w:val="hr-HR"/>
              </w:rPr>
              <w:t>(3 tjedna)</w:t>
            </w:r>
          </w:p>
        </w:tc>
        <w:tc>
          <w:tcPr>
            <w:tcW w:w="6929" w:type="dxa"/>
            <w:shd w:val="clear" w:color="auto" w:fill="auto"/>
          </w:tcPr>
          <w:p w14:paraId="180727DD" w14:textId="77777777" w:rsidR="00BE41B8" w:rsidRPr="00510442" w:rsidRDefault="00BE41B8" w:rsidP="00C210A6">
            <w:pPr>
              <w:pStyle w:val="EndnoteText"/>
              <w:widowControl w:val="0"/>
              <w:rPr>
                <w:color w:val="000000"/>
                <w:lang w:val="hr-HR"/>
              </w:rPr>
            </w:pPr>
            <w:r w:rsidRPr="00510442">
              <w:rPr>
                <w:color w:val="000000"/>
                <w:lang w:val="hr-HR"/>
              </w:rPr>
              <w:t>Metotreksat (5 g/m</w:t>
            </w:r>
            <w:r w:rsidRPr="00510442">
              <w:rPr>
                <w:color w:val="000000"/>
                <w:vertAlign w:val="superscript"/>
                <w:lang w:val="hr-HR"/>
              </w:rPr>
              <w:t>2</w:t>
            </w:r>
            <w:r w:rsidRPr="00510442">
              <w:rPr>
                <w:color w:val="000000"/>
                <w:lang w:val="hr-HR"/>
              </w:rPr>
              <w:t xml:space="preserve"> kroz 24 sata, i.v.): dan 1</w:t>
            </w:r>
          </w:p>
          <w:p w14:paraId="6591193B" w14:textId="77777777" w:rsidR="00BE41B8" w:rsidRPr="00510442" w:rsidRDefault="00BE41B8" w:rsidP="00C210A6">
            <w:pPr>
              <w:pStyle w:val="EndnoteText"/>
              <w:widowControl w:val="0"/>
              <w:rPr>
                <w:color w:val="000000"/>
                <w:lang w:val="hr-HR"/>
              </w:rPr>
            </w:pPr>
            <w:r w:rsidRPr="00510442">
              <w:rPr>
                <w:color w:val="000000"/>
                <w:lang w:val="hr-HR"/>
              </w:rPr>
              <w:t>Leucovorin (75 mg/m</w:t>
            </w:r>
            <w:r w:rsidRPr="00510442">
              <w:rPr>
                <w:color w:val="000000"/>
                <w:vertAlign w:val="superscript"/>
                <w:lang w:val="hr-HR"/>
              </w:rPr>
              <w:t>2</w:t>
            </w:r>
            <w:r w:rsidRPr="00510442">
              <w:rPr>
                <w:color w:val="000000"/>
                <w:lang w:val="hr-HR"/>
              </w:rPr>
              <w:t xml:space="preserve"> u 36. satu, i.v.; 15 mg/m</w:t>
            </w:r>
            <w:r w:rsidRPr="00510442">
              <w:rPr>
                <w:color w:val="000000"/>
                <w:vertAlign w:val="superscript"/>
                <w:lang w:val="hr-HR"/>
              </w:rPr>
              <w:t>2</w:t>
            </w:r>
            <w:r w:rsidRPr="00510442">
              <w:rPr>
                <w:color w:val="000000"/>
                <w:lang w:val="hr-HR"/>
              </w:rPr>
              <w:t xml:space="preserve"> i.v. ili p.o. svakih 6 sati x 6 doza)iii: Dani 2 i 3</w:t>
            </w:r>
          </w:p>
          <w:p w14:paraId="0A81E55F" w14:textId="77777777" w:rsidR="00BE41B8" w:rsidRPr="00510442" w:rsidRDefault="00BE41B8" w:rsidP="00C210A6">
            <w:pPr>
              <w:pStyle w:val="EndnoteText"/>
              <w:widowControl w:val="0"/>
              <w:rPr>
                <w:color w:val="000000"/>
                <w:lang w:val="hr-HR"/>
              </w:rPr>
            </w:pPr>
            <w:r w:rsidRPr="00510442">
              <w:rPr>
                <w:color w:val="000000"/>
                <w:lang w:val="hr-HR"/>
              </w:rPr>
              <w:t>Trostruka i.t. terapija (prilagođena dobi): dan 1</w:t>
            </w:r>
          </w:p>
          <w:p w14:paraId="3449276F" w14:textId="77777777" w:rsidR="00BE41B8" w:rsidRPr="00510442" w:rsidRDefault="00BE41B8" w:rsidP="00C210A6">
            <w:pPr>
              <w:pStyle w:val="EndnoteText"/>
              <w:widowControl w:val="0"/>
              <w:rPr>
                <w:color w:val="000000"/>
                <w:lang w:val="hr-HR"/>
              </w:rPr>
            </w:pPr>
            <w:r w:rsidRPr="00510442">
              <w:rPr>
                <w:color w:val="000000"/>
                <w:lang w:val="hr-HR"/>
              </w:rPr>
              <w:t>ARA-C (3 g/m</w:t>
            </w:r>
            <w:r w:rsidRPr="00510442">
              <w:rPr>
                <w:color w:val="000000"/>
                <w:vertAlign w:val="superscript"/>
                <w:lang w:val="hr-HR"/>
              </w:rPr>
              <w:t>2</w:t>
            </w:r>
            <w:r w:rsidRPr="00510442">
              <w:rPr>
                <w:color w:val="000000"/>
                <w:lang w:val="hr-HR"/>
              </w:rPr>
              <w:t>/doza svakih 12 sati x 4, i.v.): dani 2 i 3</w:t>
            </w:r>
          </w:p>
          <w:p w14:paraId="757A9075" w14:textId="77777777" w:rsidR="00BE41B8" w:rsidRPr="00510442" w:rsidRDefault="00BE41B8" w:rsidP="00C210A6">
            <w:pPr>
              <w:pStyle w:val="EndnoteText"/>
              <w:widowControl w:val="0"/>
              <w:rPr>
                <w:color w:val="000000"/>
                <w:lang w:val="hr-HR"/>
              </w:rPr>
            </w:pPr>
            <w:r w:rsidRPr="00510442">
              <w:rPr>
                <w:color w:val="000000"/>
                <w:lang w:val="hr-HR"/>
              </w:rPr>
              <w:t>G-CSF (5 μg/kg, s.c.): dani 4-13 ili do porasta ANC &gt;1500 nakon najniže izmjerene vrijednosti</w:t>
            </w:r>
          </w:p>
        </w:tc>
      </w:tr>
      <w:tr w:rsidR="00BE41B8" w:rsidRPr="00510442" w14:paraId="36AA3D82" w14:textId="77777777" w:rsidTr="0063591E">
        <w:trPr>
          <w:cantSplit/>
        </w:trPr>
        <w:tc>
          <w:tcPr>
            <w:tcW w:w="2358" w:type="dxa"/>
            <w:shd w:val="clear" w:color="auto" w:fill="auto"/>
          </w:tcPr>
          <w:p w14:paraId="258A7A0E" w14:textId="77777777" w:rsidR="00BE41B8" w:rsidRPr="00510442" w:rsidRDefault="00BE41B8" w:rsidP="00C210A6">
            <w:pPr>
              <w:pStyle w:val="EndnoteText"/>
              <w:widowControl w:val="0"/>
              <w:rPr>
                <w:color w:val="000000"/>
                <w:lang w:val="hr-HR"/>
              </w:rPr>
            </w:pPr>
            <w:r w:rsidRPr="00510442">
              <w:rPr>
                <w:color w:val="000000"/>
                <w:lang w:val="hr-HR"/>
              </w:rPr>
              <w:t>Reindukcijska terapija 1</w:t>
            </w:r>
          </w:p>
          <w:p w14:paraId="4C7941ED" w14:textId="77777777" w:rsidR="00BE41B8" w:rsidRPr="00510442" w:rsidRDefault="00BE41B8" w:rsidP="00C210A6">
            <w:pPr>
              <w:pStyle w:val="EndnoteText"/>
              <w:widowControl w:val="0"/>
              <w:rPr>
                <w:color w:val="000000"/>
                <w:lang w:val="hr-HR"/>
              </w:rPr>
            </w:pPr>
            <w:r w:rsidRPr="00510442">
              <w:rPr>
                <w:color w:val="000000"/>
                <w:lang w:val="hr-HR"/>
              </w:rPr>
              <w:t>(3 tjedan)</w:t>
            </w:r>
          </w:p>
        </w:tc>
        <w:tc>
          <w:tcPr>
            <w:tcW w:w="6929" w:type="dxa"/>
            <w:shd w:val="clear" w:color="auto" w:fill="auto"/>
          </w:tcPr>
          <w:p w14:paraId="62E30EF1" w14:textId="77777777" w:rsidR="00BE41B8" w:rsidRPr="00510442" w:rsidRDefault="00BE41B8" w:rsidP="00C210A6">
            <w:pPr>
              <w:pStyle w:val="EndnoteText"/>
              <w:widowControl w:val="0"/>
              <w:rPr>
                <w:color w:val="000000"/>
                <w:lang w:val="hr-HR"/>
              </w:rPr>
            </w:pPr>
            <w:r w:rsidRPr="00510442">
              <w:rPr>
                <w:color w:val="000000"/>
                <w:lang w:val="hr-HR"/>
              </w:rPr>
              <w:t>VCR (1,5 mg/m</w:t>
            </w:r>
            <w:r w:rsidRPr="00510442">
              <w:rPr>
                <w:color w:val="000000"/>
                <w:vertAlign w:val="superscript"/>
                <w:lang w:val="hr-HR"/>
              </w:rPr>
              <w:t>2</w:t>
            </w:r>
            <w:r w:rsidRPr="00510442">
              <w:rPr>
                <w:color w:val="000000"/>
                <w:lang w:val="hr-HR"/>
              </w:rPr>
              <w:t>/dan, i.v.): dani 1, 8, i 15</w:t>
            </w:r>
          </w:p>
          <w:p w14:paraId="3BC11854" w14:textId="77777777" w:rsidR="00BE41B8" w:rsidRPr="00510442" w:rsidRDefault="00BE41B8" w:rsidP="00C210A6">
            <w:pPr>
              <w:pStyle w:val="EndnoteText"/>
              <w:widowControl w:val="0"/>
              <w:rPr>
                <w:color w:val="000000"/>
                <w:lang w:val="hr-HR"/>
              </w:rPr>
            </w:pPr>
            <w:r w:rsidRPr="00510442">
              <w:rPr>
                <w:color w:val="000000"/>
                <w:lang w:val="hr-HR"/>
              </w:rPr>
              <w:t>DAUN (45 mg/m</w:t>
            </w:r>
            <w:r w:rsidRPr="00510442">
              <w:rPr>
                <w:color w:val="000000"/>
                <w:vertAlign w:val="superscript"/>
                <w:lang w:val="hr-HR"/>
              </w:rPr>
              <w:t>2</w:t>
            </w:r>
            <w:r w:rsidRPr="00510442">
              <w:rPr>
                <w:color w:val="000000"/>
                <w:lang w:val="hr-HR"/>
              </w:rPr>
              <w:t>/dan bolus, i.v.): dani 1 i 2</w:t>
            </w:r>
          </w:p>
          <w:p w14:paraId="79CF341D" w14:textId="77777777" w:rsidR="00BE41B8" w:rsidRPr="00510442" w:rsidRDefault="00BE41B8" w:rsidP="00C210A6">
            <w:pPr>
              <w:pStyle w:val="EndnoteText"/>
              <w:widowControl w:val="0"/>
              <w:rPr>
                <w:color w:val="000000"/>
                <w:lang w:val="hr-HR"/>
              </w:rPr>
            </w:pPr>
            <w:r w:rsidRPr="00510442">
              <w:rPr>
                <w:color w:val="000000"/>
                <w:lang w:val="hr-HR"/>
              </w:rPr>
              <w:t>CPM (250 mg/m</w:t>
            </w:r>
            <w:r w:rsidRPr="00510442">
              <w:rPr>
                <w:color w:val="000000"/>
                <w:vertAlign w:val="superscript"/>
                <w:lang w:val="hr-HR"/>
              </w:rPr>
              <w:t>2</w:t>
            </w:r>
            <w:r w:rsidRPr="00510442">
              <w:rPr>
                <w:color w:val="000000"/>
                <w:lang w:val="hr-HR"/>
              </w:rPr>
              <w:t>/doza svakih 12 sati x 4 doze, i.v.): dani 3 i 4</w:t>
            </w:r>
          </w:p>
          <w:p w14:paraId="1D0F486E" w14:textId="77777777" w:rsidR="00BE41B8" w:rsidRPr="00510442" w:rsidRDefault="00BE41B8" w:rsidP="00C210A6">
            <w:pPr>
              <w:pStyle w:val="EndnoteText"/>
              <w:widowControl w:val="0"/>
              <w:rPr>
                <w:color w:val="000000"/>
                <w:lang w:val="hr-HR"/>
              </w:rPr>
            </w:pPr>
            <w:r w:rsidRPr="00510442">
              <w:rPr>
                <w:color w:val="000000"/>
                <w:lang w:val="hr-HR"/>
              </w:rPr>
              <w:t>PEG-ASP (2500 IU/m</w:t>
            </w:r>
            <w:r w:rsidRPr="00510442">
              <w:rPr>
                <w:color w:val="000000"/>
                <w:vertAlign w:val="superscript"/>
                <w:lang w:val="hr-HR"/>
              </w:rPr>
              <w:t>2</w:t>
            </w:r>
            <w:r w:rsidRPr="00510442">
              <w:rPr>
                <w:color w:val="000000"/>
                <w:lang w:val="hr-HR"/>
              </w:rPr>
              <w:t>, i.m.): dan 4</w:t>
            </w:r>
          </w:p>
          <w:p w14:paraId="6E5A5C3B" w14:textId="77777777" w:rsidR="00BE41B8" w:rsidRPr="00510442" w:rsidRDefault="00BE41B8" w:rsidP="00C210A6">
            <w:pPr>
              <w:pStyle w:val="EndnoteText"/>
              <w:widowControl w:val="0"/>
              <w:rPr>
                <w:color w:val="000000"/>
                <w:lang w:val="hr-HR"/>
              </w:rPr>
            </w:pPr>
            <w:r w:rsidRPr="00510442">
              <w:rPr>
                <w:color w:val="000000"/>
                <w:lang w:val="hr-HR"/>
              </w:rPr>
              <w:t>G-CSF (5 μg/kg, s.c.): dani 5</w:t>
            </w:r>
            <w:r w:rsidRPr="00510442">
              <w:rPr>
                <w:color w:val="000000"/>
                <w:lang w:val="hr-HR"/>
              </w:rPr>
              <w:noBreakHyphen/>
              <w:t>14 ili do porasta ANC &gt;1500 nakon najniže izmjerene vrijednosti</w:t>
            </w:r>
          </w:p>
          <w:p w14:paraId="1B912D16" w14:textId="77777777" w:rsidR="00BE41B8" w:rsidRPr="00510442" w:rsidRDefault="00BE41B8" w:rsidP="00C210A6">
            <w:pPr>
              <w:pStyle w:val="EndnoteText"/>
              <w:widowControl w:val="0"/>
              <w:rPr>
                <w:color w:val="000000"/>
                <w:lang w:val="hr-HR"/>
              </w:rPr>
            </w:pPr>
            <w:r w:rsidRPr="00510442">
              <w:rPr>
                <w:color w:val="000000"/>
                <w:lang w:val="hr-HR"/>
              </w:rPr>
              <w:t>Trostruka i.t. terapija (prilagođena dobi): dani 1 i 15</w:t>
            </w:r>
          </w:p>
          <w:p w14:paraId="2B7B5CF7" w14:textId="77777777" w:rsidR="00BE41B8" w:rsidRPr="00510442" w:rsidRDefault="00BE41B8" w:rsidP="00C210A6">
            <w:pPr>
              <w:pStyle w:val="EndnoteText"/>
              <w:widowControl w:val="0"/>
              <w:rPr>
                <w:color w:val="000000"/>
                <w:lang w:val="hr-HR"/>
              </w:rPr>
            </w:pPr>
            <w:r w:rsidRPr="00510442">
              <w:rPr>
                <w:color w:val="000000"/>
                <w:lang w:val="hr-HR"/>
              </w:rPr>
              <w:t>DEX (6 mg/m</w:t>
            </w:r>
            <w:r w:rsidRPr="00510442">
              <w:rPr>
                <w:color w:val="000000"/>
                <w:vertAlign w:val="superscript"/>
                <w:lang w:val="hr-HR"/>
              </w:rPr>
              <w:t>2</w:t>
            </w:r>
            <w:r w:rsidRPr="00510442">
              <w:rPr>
                <w:color w:val="000000"/>
                <w:lang w:val="hr-HR"/>
              </w:rPr>
              <w:t>/dan, p.o.): dani 1</w:t>
            </w:r>
            <w:r w:rsidRPr="00510442">
              <w:rPr>
                <w:color w:val="000000"/>
                <w:lang w:val="hr-HR"/>
              </w:rPr>
              <w:noBreakHyphen/>
              <w:t>7 i 15</w:t>
            </w:r>
            <w:r w:rsidRPr="00510442">
              <w:rPr>
                <w:color w:val="000000"/>
                <w:lang w:val="hr-HR"/>
              </w:rPr>
              <w:noBreakHyphen/>
              <w:t>21</w:t>
            </w:r>
          </w:p>
        </w:tc>
      </w:tr>
      <w:tr w:rsidR="00BE41B8" w:rsidRPr="00F410C8" w14:paraId="3976D475" w14:textId="77777777" w:rsidTr="0063591E">
        <w:trPr>
          <w:cantSplit/>
        </w:trPr>
        <w:tc>
          <w:tcPr>
            <w:tcW w:w="2358" w:type="dxa"/>
            <w:shd w:val="clear" w:color="auto" w:fill="auto"/>
          </w:tcPr>
          <w:p w14:paraId="3C066C88" w14:textId="77777777" w:rsidR="00BE41B8" w:rsidRPr="00510442" w:rsidRDefault="00BE41B8" w:rsidP="00C210A6">
            <w:pPr>
              <w:pStyle w:val="EndnoteText"/>
              <w:widowControl w:val="0"/>
              <w:rPr>
                <w:color w:val="000000"/>
                <w:lang w:val="hr-HR"/>
              </w:rPr>
            </w:pPr>
            <w:r w:rsidRPr="00510442">
              <w:rPr>
                <w:color w:val="000000"/>
                <w:lang w:val="hr-HR"/>
              </w:rPr>
              <w:lastRenderedPageBreak/>
              <w:t>Intenzifikacijska terapija 1</w:t>
            </w:r>
          </w:p>
          <w:p w14:paraId="5D7E821C" w14:textId="77777777" w:rsidR="00BE41B8" w:rsidRPr="00510442" w:rsidRDefault="00BE41B8" w:rsidP="00C210A6">
            <w:pPr>
              <w:pStyle w:val="EndnoteText"/>
              <w:widowControl w:val="0"/>
              <w:rPr>
                <w:color w:val="000000"/>
                <w:lang w:val="hr-HR"/>
              </w:rPr>
            </w:pPr>
            <w:r w:rsidRPr="00510442">
              <w:rPr>
                <w:color w:val="000000"/>
                <w:lang w:val="hr-HR"/>
              </w:rPr>
              <w:t>(9 tjedana)</w:t>
            </w:r>
          </w:p>
        </w:tc>
        <w:tc>
          <w:tcPr>
            <w:tcW w:w="6929" w:type="dxa"/>
            <w:shd w:val="clear" w:color="auto" w:fill="auto"/>
          </w:tcPr>
          <w:p w14:paraId="59524ACE" w14:textId="77777777" w:rsidR="00BE41B8" w:rsidRPr="00510442" w:rsidRDefault="00BE41B8" w:rsidP="00C210A6">
            <w:pPr>
              <w:pStyle w:val="EndnoteText"/>
              <w:widowControl w:val="0"/>
              <w:rPr>
                <w:color w:val="000000"/>
                <w:lang w:val="hr-HR"/>
              </w:rPr>
            </w:pPr>
            <w:r w:rsidRPr="00510442">
              <w:rPr>
                <w:color w:val="000000"/>
                <w:lang w:val="hr-HR"/>
              </w:rPr>
              <w:t>Metotreksat (5 g/m</w:t>
            </w:r>
            <w:r w:rsidRPr="00510442">
              <w:rPr>
                <w:color w:val="000000"/>
                <w:vertAlign w:val="superscript"/>
                <w:lang w:val="hr-HR"/>
              </w:rPr>
              <w:t>2</w:t>
            </w:r>
            <w:r w:rsidRPr="00510442">
              <w:rPr>
                <w:color w:val="000000"/>
                <w:lang w:val="hr-HR"/>
              </w:rPr>
              <w:t xml:space="preserve"> kroz 24 sata, i.v.): dani 1 i 15</w:t>
            </w:r>
          </w:p>
          <w:p w14:paraId="450CAA7C" w14:textId="77777777" w:rsidR="00BE41B8" w:rsidRPr="00510442" w:rsidRDefault="00BE41B8" w:rsidP="00C210A6">
            <w:pPr>
              <w:pStyle w:val="EndnoteText"/>
              <w:widowControl w:val="0"/>
              <w:rPr>
                <w:color w:val="000000"/>
                <w:lang w:val="hr-HR"/>
              </w:rPr>
            </w:pPr>
            <w:r w:rsidRPr="00510442">
              <w:rPr>
                <w:color w:val="000000"/>
                <w:lang w:val="hr-HR"/>
              </w:rPr>
              <w:t>Leucovorin (75 mg/m</w:t>
            </w:r>
            <w:r w:rsidRPr="00510442">
              <w:rPr>
                <w:color w:val="000000"/>
                <w:vertAlign w:val="superscript"/>
                <w:lang w:val="hr-HR"/>
              </w:rPr>
              <w:t>2</w:t>
            </w:r>
            <w:r w:rsidRPr="00510442">
              <w:rPr>
                <w:color w:val="000000"/>
                <w:lang w:val="hr-HR"/>
              </w:rPr>
              <w:t xml:space="preserve"> u 36. satu, i.v.; 15 mg/m</w:t>
            </w:r>
            <w:r w:rsidRPr="00510442">
              <w:rPr>
                <w:color w:val="000000"/>
                <w:vertAlign w:val="superscript"/>
                <w:lang w:val="hr-HR"/>
              </w:rPr>
              <w:t>2</w:t>
            </w:r>
            <w:r w:rsidRPr="00510442">
              <w:rPr>
                <w:color w:val="000000"/>
                <w:lang w:val="hr-HR"/>
              </w:rPr>
              <w:t xml:space="preserve"> i.v. ili p.o. svakih 6 sati x 6 doza)iii: Dani 2, 3, 16 i 17</w:t>
            </w:r>
          </w:p>
          <w:p w14:paraId="11F5353C" w14:textId="77777777" w:rsidR="00BE41B8" w:rsidRPr="00510442" w:rsidRDefault="00BE41B8" w:rsidP="00C210A6">
            <w:pPr>
              <w:pStyle w:val="EndnoteText"/>
              <w:widowControl w:val="0"/>
              <w:rPr>
                <w:color w:val="000000"/>
                <w:lang w:val="hr-HR"/>
              </w:rPr>
            </w:pPr>
            <w:r w:rsidRPr="00510442">
              <w:rPr>
                <w:color w:val="000000"/>
                <w:lang w:val="hr-HR"/>
              </w:rPr>
              <w:t>Trostruka i.t. terapija (prilagođena dobi): dani 1 i 22</w:t>
            </w:r>
          </w:p>
          <w:p w14:paraId="0707FEA4" w14:textId="77777777" w:rsidR="00BE41B8" w:rsidRPr="00510442" w:rsidRDefault="00BE41B8" w:rsidP="00C210A6">
            <w:pPr>
              <w:pStyle w:val="EndnoteText"/>
              <w:widowControl w:val="0"/>
              <w:rPr>
                <w:color w:val="000000"/>
                <w:lang w:val="hr-HR"/>
              </w:rPr>
            </w:pPr>
            <w:r w:rsidRPr="00510442">
              <w:rPr>
                <w:color w:val="000000"/>
                <w:lang w:val="hr-HR"/>
              </w:rPr>
              <w:t>VP-16 (100 mg/m</w:t>
            </w:r>
            <w:r w:rsidRPr="00510442">
              <w:rPr>
                <w:color w:val="000000"/>
                <w:vertAlign w:val="superscript"/>
                <w:lang w:val="hr-HR"/>
              </w:rPr>
              <w:t>2</w:t>
            </w:r>
            <w:r w:rsidRPr="00510442">
              <w:rPr>
                <w:color w:val="000000"/>
                <w:lang w:val="hr-HR"/>
              </w:rPr>
              <w:t>/dan, i.v.): dani 22</w:t>
            </w:r>
            <w:r w:rsidRPr="00510442">
              <w:rPr>
                <w:color w:val="000000"/>
                <w:lang w:val="hr-HR"/>
              </w:rPr>
              <w:noBreakHyphen/>
              <w:t>26</w:t>
            </w:r>
          </w:p>
          <w:p w14:paraId="58C083C3" w14:textId="77777777" w:rsidR="00BE41B8" w:rsidRPr="00510442" w:rsidRDefault="00BE41B8" w:rsidP="00C210A6">
            <w:pPr>
              <w:pStyle w:val="EndnoteText"/>
              <w:widowControl w:val="0"/>
              <w:rPr>
                <w:color w:val="000000"/>
                <w:lang w:val="hr-HR"/>
              </w:rPr>
            </w:pPr>
            <w:r w:rsidRPr="00510442">
              <w:rPr>
                <w:color w:val="000000"/>
                <w:lang w:val="hr-HR"/>
              </w:rPr>
              <w:t>CPM (300 mg/m</w:t>
            </w:r>
            <w:r w:rsidRPr="00510442">
              <w:rPr>
                <w:color w:val="000000"/>
                <w:vertAlign w:val="superscript"/>
                <w:lang w:val="hr-HR"/>
              </w:rPr>
              <w:t>2</w:t>
            </w:r>
            <w:r w:rsidRPr="00510442">
              <w:rPr>
                <w:color w:val="000000"/>
                <w:lang w:val="hr-HR"/>
              </w:rPr>
              <w:t>/dan, i.v.): dani 22</w:t>
            </w:r>
            <w:r w:rsidRPr="00510442">
              <w:rPr>
                <w:color w:val="000000"/>
                <w:lang w:val="hr-HR"/>
              </w:rPr>
              <w:noBreakHyphen/>
              <w:t>26</w:t>
            </w:r>
          </w:p>
          <w:p w14:paraId="6C8BB3CB" w14:textId="77777777" w:rsidR="00BE41B8" w:rsidRPr="00510442" w:rsidRDefault="00BE41B8" w:rsidP="00C210A6">
            <w:pPr>
              <w:pStyle w:val="EndnoteText"/>
              <w:widowControl w:val="0"/>
              <w:rPr>
                <w:color w:val="000000"/>
                <w:lang w:val="hr-HR"/>
              </w:rPr>
            </w:pPr>
            <w:r w:rsidRPr="00510442">
              <w:rPr>
                <w:color w:val="000000"/>
                <w:lang w:val="hr-HR"/>
              </w:rPr>
              <w:t>MESNA (150 mg/m</w:t>
            </w:r>
            <w:r w:rsidRPr="00510442">
              <w:rPr>
                <w:color w:val="000000"/>
                <w:vertAlign w:val="superscript"/>
                <w:lang w:val="hr-HR"/>
              </w:rPr>
              <w:t>2</w:t>
            </w:r>
            <w:r w:rsidRPr="00510442">
              <w:rPr>
                <w:color w:val="000000"/>
                <w:lang w:val="hr-HR"/>
              </w:rPr>
              <w:t>/dan, i.v.): dani 22</w:t>
            </w:r>
            <w:r w:rsidRPr="00510442">
              <w:rPr>
                <w:color w:val="000000"/>
                <w:lang w:val="hr-HR"/>
              </w:rPr>
              <w:noBreakHyphen/>
              <w:t>26</w:t>
            </w:r>
          </w:p>
          <w:p w14:paraId="467D586C" w14:textId="77777777" w:rsidR="00BE41B8" w:rsidRPr="00510442" w:rsidRDefault="00BE41B8" w:rsidP="00C210A6">
            <w:pPr>
              <w:pStyle w:val="EndnoteText"/>
              <w:widowControl w:val="0"/>
              <w:rPr>
                <w:color w:val="000000"/>
                <w:lang w:val="hr-HR"/>
              </w:rPr>
            </w:pPr>
            <w:r w:rsidRPr="00510442">
              <w:rPr>
                <w:color w:val="000000"/>
                <w:lang w:val="hr-HR"/>
              </w:rPr>
              <w:t>G-CSF (5 μg/kg, s.c.): dani 27-36 ili do porasta ANC &gt;1500 nakon najniže izmjerene vrijednosti</w:t>
            </w:r>
          </w:p>
          <w:p w14:paraId="51B613CE" w14:textId="77777777" w:rsidR="00BE41B8" w:rsidRPr="00510442" w:rsidRDefault="00BE41B8" w:rsidP="00C210A6">
            <w:pPr>
              <w:pStyle w:val="EndnoteText"/>
              <w:widowControl w:val="0"/>
              <w:rPr>
                <w:color w:val="000000"/>
                <w:lang w:val="hr-HR"/>
              </w:rPr>
            </w:pPr>
            <w:r w:rsidRPr="00510442">
              <w:rPr>
                <w:color w:val="000000"/>
                <w:lang w:val="hr-HR"/>
              </w:rPr>
              <w:t>ARA-C (3 g/m</w:t>
            </w:r>
            <w:r w:rsidRPr="00510442">
              <w:rPr>
                <w:color w:val="000000"/>
                <w:vertAlign w:val="superscript"/>
                <w:lang w:val="hr-HR"/>
              </w:rPr>
              <w:t>2</w:t>
            </w:r>
            <w:r w:rsidRPr="00510442">
              <w:rPr>
                <w:color w:val="000000"/>
                <w:lang w:val="hr-HR"/>
              </w:rPr>
              <w:t>, svakih 12 sati, i.v.): dani 43, 44</w:t>
            </w:r>
          </w:p>
          <w:p w14:paraId="5122A73E" w14:textId="77777777" w:rsidR="00BE41B8" w:rsidRPr="00510442" w:rsidRDefault="00BE41B8" w:rsidP="00C210A6">
            <w:pPr>
              <w:pStyle w:val="EndnoteText"/>
              <w:widowControl w:val="0"/>
              <w:rPr>
                <w:color w:val="000000"/>
                <w:lang w:val="hr-HR"/>
              </w:rPr>
            </w:pPr>
            <w:r w:rsidRPr="00510442">
              <w:rPr>
                <w:color w:val="000000"/>
                <w:lang w:val="hr-HR"/>
              </w:rPr>
              <w:t>L-ASP (6000 IU/m</w:t>
            </w:r>
            <w:r w:rsidRPr="00510442">
              <w:rPr>
                <w:color w:val="000000"/>
                <w:vertAlign w:val="superscript"/>
                <w:lang w:val="hr-HR"/>
              </w:rPr>
              <w:t>2</w:t>
            </w:r>
            <w:r w:rsidRPr="00510442">
              <w:rPr>
                <w:color w:val="000000"/>
                <w:lang w:val="hr-HR"/>
              </w:rPr>
              <w:t>, i.m.): dan 44</w:t>
            </w:r>
          </w:p>
        </w:tc>
      </w:tr>
      <w:tr w:rsidR="00BE41B8" w:rsidRPr="00510442" w14:paraId="08165DAE" w14:textId="77777777" w:rsidTr="0063591E">
        <w:trPr>
          <w:cantSplit/>
        </w:trPr>
        <w:tc>
          <w:tcPr>
            <w:tcW w:w="2358" w:type="dxa"/>
            <w:shd w:val="clear" w:color="auto" w:fill="auto"/>
          </w:tcPr>
          <w:p w14:paraId="1EC16BAA" w14:textId="77777777" w:rsidR="00BE41B8" w:rsidRPr="00510442" w:rsidRDefault="00BE41B8" w:rsidP="00C210A6">
            <w:pPr>
              <w:pStyle w:val="EndnoteText"/>
              <w:widowControl w:val="0"/>
              <w:rPr>
                <w:color w:val="000000"/>
                <w:lang w:val="hr-HR"/>
              </w:rPr>
            </w:pPr>
            <w:r w:rsidRPr="00510442">
              <w:rPr>
                <w:color w:val="000000"/>
                <w:lang w:val="hr-HR"/>
              </w:rPr>
              <w:t>Reindukcijska terapija 2</w:t>
            </w:r>
          </w:p>
          <w:p w14:paraId="7D4C2674" w14:textId="77777777" w:rsidR="00BE41B8" w:rsidRPr="00510442" w:rsidRDefault="00BE41B8" w:rsidP="00C210A6">
            <w:pPr>
              <w:pStyle w:val="EndnoteText"/>
              <w:widowControl w:val="0"/>
              <w:rPr>
                <w:color w:val="000000"/>
                <w:lang w:val="hr-HR"/>
              </w:rPr>
            </w:pPr>
            <w:r w:rsidRPr="00510442">
              <w:rPr>
                <w:color w:val="000000"/>
                <w:lang w:val="hr-HR"/>
              </w:rPr>
              <w:t>(3 tjedna)</w:t>
            </w:r>
          </w:p>
        </w:tc>
        <w:tc>
          <w:tcPr>
            <w:tcW w:w="6929" w:type="dxa"/>
            <w:shd w:val="clear" w:color="auto" w:fill="auto"/>
          </w:tcPr>
          <w:p w14:paraId="6D6C3E34" w14:textId="77777777" w:rsidR="00BE41B8" w:rsidRPr="00510442" w:rsidRDefault="00BE41B8" w:rsidP="00C210A6">
            <w:pPr>
              <w:pStyle w:val="EndnoteText"/>
              <w:widowControl w:val="0"/>
              <w:rPr>
                <w:color w:val="000000"/>
                <w:lang w:val="hr-HR"/>
              </w:rPr>
            </w:pPr>
            <w:r w:rsidRPr="00510442">
              <w:rPr>
                <w:color w:val="000000"/>
                <w:lang w:val="hr-HR"/>
              </w:rPr>
              <w:t>VCR (1,5 mg/m</w:t>
            </w:r>
            <w:r w:rsidRPr="00510442">
              <w:rPr>
                <w:color w:val="000000"/>
                <w:vertAlign w:val="superscript"/>
                <w:lang w:val="hr-HR"/>
              </w:rPr>
              <w:t>2</w:t>
            </w:r>
            <w:r w:rsidRPr="00510442">
              <w:rPr>
                <w:color w:val="000000"/>
                <w:lang w:val="hr-HR"/>
              </w:rPr>
              <w:t>/dan, i.v.): dani 1, 8 i 15</w:t>
            </w:r>
          </w:p>
          <w:p w14:paraId="6C9B39B7" w14:textId="77777777" w:rsidR="00BE41B8" w:rsidRPr="00510442" w:rsidRDefault="00BE41B8" w:rsidP="00C210A6">
            <w:pPr>
              <w:pStyle w:val="EndnoteText"/>
              <w:widowControl w:val="0"/>
              <w:rPr>
                <w:color w:val="000000"/>
                <w:lang w:val="hr-HR"/>
              </w:rPr>
            </w:pPr>
            <w:r w:rsidRPr="00510442">
              <w:rPr>
                <w:color w:val="000000"/>
                <w:lang w:val="hr-HR"/>
              </w:rPr>
              <w:t>DAUN (45 mg/m</w:t>
            </w:r>
            <w:r w:rsidRPr="00510442">
              <w:rPr>
                <w:color w:val="000000"/>
                <w:vertAlign w:val="superscript"/>
                <w:lang w:val="hr-HR"/>
              </w:rPr>
              <w:t>2</w:t>
            </w:r>
            <w:r w:rsidRPr="00510442">
              <w:rPr>
                <w:color w:val="000000"/>
                <w:lang w:val="hr-HR"/>
              </w:rPr>
              <w:t>/dan bolus, i.v.): dani 1 i 2</w:t>
            </w:r>
          </w:p>
          <w:p w14:paraId="1A01FFD1" w14:textId="77777777" w:rsidR="00BE41B8" w:rsidRPr="00510442" w:rsidRDefault="00BE41B8" w:rsidP="00C210A6">
            <w:pPr>
              <w:pStyle w:val="EndnoteText"/>
              <w:widowControl w:val="0"/>
              <w:rPr>
                <w:color w:val="000000"/>
                <w:lang w:val="hr-HR"/>
              </w:rPr>
            </w:pPr>
            <w:r w:rsidRPr="00510442">
              <w:rPr>
                <w:color w:val="000000"/>
                <w:lang w:val="hr-HR"/>
              </w:rPr>
              <w:t>CPM (250 mg/m</w:t>
            </w:r>
            <w:r w:rsidRPr="00510442">
              <w:rPr>
                <w:color w:val="000000"/>
                <w:vertAlign w:val="superscript"/>
                <w:lang w:val="hr-HR"/>
              </w:rPr>
              <w:t>2</w:t>
            </w:r>
            <w:r w:rsidRPr="00510442">
              <w:rPr>
                <w:color w:val="000000"/>
                <w:lang w:val="hr-HR"/>
              </w:rPr>
              <w:t>/doza svakih 12 sati x 4 doze, i.v.): Dani 3 i 4</w:t>
            </w:r>
          </w:p>
          <w:p w14:paraId="59BFC2C6" w14:textId="77777777" w:rsidR="00BE41B8" w:rsidRPr="00510442" w:rsidRDefault="00BE41B8" w:rsidP="00C210A6">
            <w:pPr>
              <w:pStyle w:val="EndnoteText"/>
              <w:widowControl w:val="0"/>
              <w:rPr>
                <w:color w:val="000000"/>
                <w:lang w:val="hr-HR"/>
              </w:rPr>
            </w:pPr>
            <w:r w:rsidRPr="00510442">
              <w:rPr>
                <w:color w:val="000000"/>
                <w:lang w:val="hr-HR"/>
              </w:rPr>
              <w:t>PEG-ASP (2500 IU/m</w:t>
            </w:r>
            <w:r w:rsidRPr="00510442">
              <w:rPr>
                <w:color w:val="000000"/>
                <w:vertAlign w:val="superscript"/>
                <w:lang w:val="hr-HR"/>
              </w:rPr>
              <w:t>2</w:t>
            </w:r>
            <w:r w:rsidRPr="00510442">
              <w:rPr>
                <w:color w:val="000000"/>
                <w:lang w:val="hr-HR"/>
              </w:rPr>
              <w:t>, i.m.): dan 4</w:t>
            </w:r>
          </w:p>
          <w:p w14:paraId="2CA01B92" w14:textId="77777777" w:rsidR="00BE41B8" w:rsidRPr="00510442" w:rsidRDefault="00BE41B8" w:rsidP="00C210A6">
            <w:pPr>
              <w:pStyle w:val="EndnoteText"/>
              <w:widowControl w:val="0"/>
              <w:rPr>
                <w:color w:val="000000"/>
                <w:lang w:val="hr-HR"/>
              </w:rPr>
            </w:pPr>
            <w:r w:rsidRPr="00510442">
              <w:rPr>
                <w:color w:val="000000"/>
                <w:lang w:val="hr-HR"/>
              </w:rPr>
              <w:t>G-CSF (5 μg/kg, s.c.): dani 5-14 ili do porasta ANC &gt;1500 nakon najniže izmjerene vrijednosti</w:t>
            </w:r>
          </w:p>
          <w:p w14:paraId="154E6A43" w14:textId="77777777" w:rsidR="00BE41B8" w:rsidRPr="00510442" w:rsidRDefault="00BE41B8" w:rsidP="00C210A6">
            <w:pPr>
              <w:pStyle w:val="EndnoteText"/>
              <w:widowControl w:val="0"/>
              <w:rPr>
                <w:color w:val="000000"/>
                <w:lang w:val="hr-HR"/>
              </w:rPr>
            </w:pPr>
            <w:r w:rsidRPr="00510442">
              <w:rPr>
                <w:color w:val="000000"/>
                <w:lang w:val="hr-HR"/>
              </w:rPr>
              <w:t>Trostruka i.t. terapija (prilagođena dobi): dani 1 i 15</w:t>
            </w:r>
          </w:p>
          <w:p w14:paraId="7C4F44FB" w14:textId="77777777" w:rsidR="00BE41B8" w:rsidRPr="00510442" w:rsidRDefault="00BE41B8" w:rsidP="00C210A6">
            <w:pPr>
              <w:pStyle w:val="EndnoteText"/>
              <w:widowControl w:val="0"/>
              <w:rPr>
                <w:color w:val="000000"/>
                <w:lang w:val="hr-HR"/>
              </w:rPr>
            </w:pPr>
            <w:r w:rsidRPr="00510442">
              <w:rPr>
                <w:color w:val="000000"/>
                <w:lang w:val="hr-HR"/>
              </w:rPr>
              <w:t>DEX (6 mg/m</w:t>
            </w:r>
            <w:r w:rsidRPr="00510442">
              <w:rPr>
                <w:color w:val="000000"/>
                <w:vertAlign w:val="superscript"/>
                <w:lang w:val="hr-HR"/>
              </w:rPr>
              <w:t>2</w:t>
            </w:r>
            <w:r w:rsidRPr="00510442">
              <w:rPr>
                <w:color w:val="000000"/>
                <w:lang w:val="hr-HR"/>
              </w:rPr>
              <w:t>/dan, p.o.): dani 1</w:t>
            </w:r>
            <w:r w:rsidRPr="00510442">
              <w:rPr>
                <w:color w:val="000000"/>
                <w:lang w:val="hr-HR"/>
              </w:rPr>
              <w:noBreakHyphen/>
              <w:t>7 i 15</w:t>
            </w:r>
            <w:r w:rsidRPr="00510442">
              <w:rPr>
                <w:color w:val="000000"/>
                <w:lang w:val="hr-HR"/>
              </w:rPr>
              <w:noBreakHyphen/>
              <w:t>21</w:t>
            </w:r>
          </w:p>
        </w:tc>
      </w:tr>
      <w:tr w:rsidR="00BE41B8" w:rsidRPr="00F410C8" w14:paraId="76ECF10E" w14:textId="77777777" w:rsidTr="0063591E">
        <w:trPr>
          <w:cantSplit/>
        </w:trPr>
        <w:tc>
          <w:tcPr>
            <w:tcW w:w="2358" w:type="dxa"/>
            <w:shd w:val="clear" w:color="auto" w:fill="auto"/>
          </w:tcPr>
          <w:p w14:paraId="5D147F80" w14:textId="77777777" w:rsidR="00BE41B8" w:rsidRPr="00510442" w:rsidRDefault="00BE41B8" w:rsidP="00C210A6">
            <w:pPr>
              <w:pStyle w:val="EndnoteText"/>
              <w:widowControl w:val="0"/>
              <w:rPr>
                <w:color w:val="000000"/>
                <w:lang w:val="hr-HR"/>
              </w:rPr>
            </w:pPr>
            <w:r w:rsidRPr="00510442">
              <w:rPr>
                <w:color w:val="000000"/>
                <w:lang w:val="hr-HR"/>
              </w:rPr>
              <w:t>Intenzifikacijska terapija 2</w:t>
            </w:r>
          </w:p>
          <w:p w14:paraId="766C408A" w14:textId="77777777" w:rsidR="00BE41B8" w:rsidRPr="00510442" w:rsidRDefault="00BE41B8" w:rsidP="00C210A6">
            <w:pPr>
              <w:pStyle w:val="EndnoteText"/>
              <w:widowControl w:val="0"/>
              <w:rPr>
                <w:color w:val="000000"/>
                <w:lang w:val="hr-HR"/>
              </w:rPr>
            </w:pPr>
            <w:r w:rsidRPr="00510442">
              <w:rPr>
                <w:color w:val="000000"/>
                <w:lang w:val="hr-HR"/>
              </w:rPr>
              <w:t>(9 tjedana)</w:t>
            </w:r>
          </w:p>
        </w:tc>
        <w:tc>
          <w:tcPr>
            <w:tcW w:w="6929" w:type="dxa"/>
            <w:shd w:val="clear" w:color="auto" w:fill="auto"/>
          </w:tcPr>
          <w:p w14:paraId="31F4F5AE" w14:textId="77777777" w:rsidR="00BE41B8" w:rsidRPr="00510442" w:rsidRDefault="00BE41B8" w:rsidP="00C210A6">
            <w:pPr>
              <w:pStyle w:val="EndnoteText"/>
              <w:widowControl w:val="0"/>
              <w:rPr>
                <w:color w:val="000000"/>
                <w:lang w:val="hr-HR"/>
              </w:rPr>
            </w:pPr>
            <w:r w:rsidRPr="00510442">
              <w:rPr>
                <w:color w:val="000000"/>
                <w:lang w:val="hr-HR"/>
              </w:rPr>
              <w:t>Metotreksat (5 g/m</w:t>
            </w:r>
            <w:r w:rsidRPr="00510442">
              <w:rPr>
                <w:color w:val="000000"/>
                <w:vertAlign w:val="superscript"/>
                <w:lang w:val="hr-HR"/>
              </w:rPr>
              <w:t>2</w:t>
            </w:r>
            <w:r w:rsidRPr="00510442">
              <w:rPr>
                <w:color w:val="000000"/>
                <w:lang w:val="hr-HR"/>
              </w:rPr>
              <w:t xml:space="preserve"> kroz 24 sata, i.v.): dani 1 i 15</w:t>
            </w:r>
          </w:p>
          <w:p w14:paraId="1D81DE51" w14:textId="77777777" w:rsidR="00BE41B8" w:rsidRPr="00510442" w:rsidRDefault="00BE41B8" w:rsidP="00C210A6">
            <w:pPr>
              <w:pStyle w:val="EndnoteText"/>
              <w:widowControl w:val="0"/>
              <w:rPr>
                <w:color w:val="000000"/>
                <w:lang w:val="hr-HR"/>
              </w:rPr>
            </w:pPr>
            <w:r w:rsidRPr="00510442">
              <w:rPr>
                <w:color w:val="000000"/>
                <w:lang w:val="hr-HR"/>
              </w:rPr>
              <w:t>Leucovorin (75 mg/m</w:t>
            </w:r>
            <w:r w:rsidRPr="00510442">
              <w:rPr>
                <w:color w:val="000000"/>
                <w:vertAlign w:val="superscript"/>
                <w:lang w:val="hr-HR"/>
              </w:rPr>
              <w:t>2</w:t>
            </w:r>
            <w:r w:rsidRPr="00510442">
              <w:rPr>
                <w:color w:val="000000"/>
                <w:lang w:val="hr-HR"/>
              </w:rPr>
              <w:t xml:space="preserve"> u36. satu, i.v.; 15 mg/m</w:t>
            </w:r>
            <w:r w:rsidRPr="00510442">
              <w:rPr>
                <w:color w:val="000000"/>
                <w:vertAlign w:val="superscript"/>
                <w:lang w:val="hr-HR"/>
              </w:rPr>
              <w:t>2</w:t>
            </w:r>
            <w:r w:rsidRPr="00510442">
              <w:rPr>
                <w:color w:val="000000"/>
                <w:lang w:val="hr-HR"/>
              </w:rPr>
              <w:t xml:space="preserve"> i.v. ili p.o. svakih 6 sati x 6 doza) iii: dani 2, 3, 16 i 17</w:t>
            </w:r>
          </w:p>
          <w:p w14:paraId="1A3A958E" w14:textId="77777777" w:rsidR="00BE41B8" w:rsidRPr="00510442" w:rsidRDefault="00BE41B8" w:rsidP="00C210A6">
            <w:pPr>
              <w:pStyle w:val="EndnoteText"/>
              <w:widowControl w:val="0"/>
              <w:rPr>
                <w:color w:val="000000"/>
                <w:lang w:val="hr-HR"/>
              </w:rPr>
            </w:pPr>
            <w:r w:rsidRPr="00510442">
              <w:rPr>
                <w:color w:val="000000"/>
                <w:lang w:val="hr-HR"/>
              </w:rPr>
              <w:t>Trostruka i.t. terapija (prilagođena dobi): dani 1 i 22</w:t>
            </w:r>
          </w:p>
          <w:p w14:paraId="5488310A" w14:textId="77777777" w:rsidR="00BE41B8" w:rsidRPr="00510442" w:rsidRDefault="00BE41B8" w:rsidP="00C210A6">
            <w:pPr>
              <w:pStyle w:val="EndnoteText"/>
              <w:widowControl w:val="0"/>
              <w:rPr>
                <w:color w:val="000000"/>
                <w:lang w:val="hr-HR"/>
              </w:rPr>
            </w:pPr>
            <w:r w:rsidRPr="00510442">
              <w:rPr>
                <w:color w:val="000000"/>
                <w:lang w:val="hr-HR"/>
              </w:rPr>
              <w:t>VP-16 (100 mg/m</w:t>
            </w:r>
            <w:r w:rsidRPr="00510442">
              <w:rPr>
                <w:color w:val="000000"/>
                <w:vertAlign w:val="superscript"/>
                <w:lang w:val="hr-HR"/>
              </w:rPr>
              <w:t>2</w:t>
            </w:r>
            <w:r w:rsidRPr="00510442">
              <w:rPr>
                <w:color w:val="000000"/>
                <w:lang w:val="hr-HR"/>
              </w:rPr>
              <w:t>/dan, i.v.): dani 22</w:t>
            </w:r>
            <w:r w:rsidRPr="00510442">
              <w:rPr>
                <w:color w:val="000000"/>
                <w:lang w:val="hr-HR"/>
              </w:rPr>
              <w:noBreakHyphen/>
              <w:t>26</w:t>
            </w:r>
          </w:p>
          <w:p w14:paraId="07CE3F47" w14:textId="77777777" w:rsidR="00BE41B8" w:rsidRPr="00510442" w:rsidRDefault="00BE41B8" w:rsidP="00C210A6">
            <w:pPr>
              <w:pStyle w:val="EndnoteText"/>
              <w:widowControl w:val="0"/>
              <w:rPr>
                <w:color w:val="000000"/>
                <w:lang w:val="hr-HR"/>
              </w:rPr>
            </w:pPr>
            <w:r w:rsidRPr="00510442">
              <w:rPr>
                <w:color w:val="000000"/>
                <w:lang w:val="hr-HR"/>
              </w:rPr>
              <w:t>CPM (300 mg/m</w:t>
            </w:r>
            <w:r w:rsidRPr="00510442">
              <w:rPr>
                <w:color w:val="000000"/>
                <w:vertAlign w:val="superscript"/>
                <w:lang w:val="hr-HR"/>
              </w:rPr>
              <w:t>2</w:t>
            </w:r>
            <w:r w:rsidRPr="00510442">
              <w:rPr>
                <w:color w:val="000000"/>
                <w:lang w:val="hr-HR"/>
              </w:rPr>
              <w:t>/dan, i.v.): dani 22</w:t>
            </w:r>
            <w:r w:rsidRPr="00510442">
              <w:rPr>
                <w:color w:val="000000"/>
                <w:lang w:val="hr-HR"/>
              </w:rPr>
              <w:noBreakHyphen/>
              <w:t>26</w:t>
            </w:r>
          </w:p>
          <w:p w14:paraId="0E5E36D3" w14:textId="77777777" w:rsidR="00BE41B8" w:rsidRPr="00510442" w:rsidRDefault="00BE41B8" w:rsidP="00C210A6">
            <w:pPr>
              <w:pStyle w:val="EndnoteText"/>
              <w:widowControl w:val="0"/>
              <w:rPr>
                <w:color w:val="000000"/>
                <w:lang w:val="hr-HR"/>
              </w:rPr>
            </w:pPr>
            <w:r w:rsidRPr="00510442">
              <w:rPr>
                <w:color w:val="000000"/>
                <w:lang w:val="hr-HR"/>
              </w:rPr>
              <w:t>MESNA (150 mg/m</w:t>
            </w:r>
            <w:r w:rsidRPr="00510442">
              <w:rPr>
                <w:color w:val="000000"/>
                <w:vertAlign w:val="superscript"/>
                <w:lang w:val="hr-HR"/>
              </w:rPr>
              <w:t>2</w:t>
            </w:r>
            <w:r w:rsidRPr="00510442">
              <w:rPr>
                <w:color w:val="000000"/>
                <w:lang w:val="hr-HR"/>
              </w:rPr>
              <w:t>/dan, i.v.): dani 22</w:t>
            </w:r>
            <w:r w:rsidRPr="00510442">
              <w:rPr>
                <w:color w:val="000000"/>
                <w:lang w:val="hr-HR"/>
              </w:rPr>
              <w:noBreakHyphen/>
              <w:t>26</w:t>
            </w:r>
          </w:p>
          <w:p w14:paraId="4F6A00B0" w14:textId="77777777" w:rsidR="00BE41B8" w:rsidRPr="00510442" w:rsidRDefault="00BE41B8" w:rsidP="00C210A6">
            <w:pPr>
              <w:pStyle w:val="EndnoteText"/>
              <w:widowControl w:val="0"/>
              <w:rPr>
                <w:color w:val="000000"/>
                <w:lang w:val="hr-HR"/>
              </w:rPr>
            </w:pPr>
            <w:r w:rsidRPr="00510442">
              <w:rPr>
                <w:color w:val="000000"/>
                <w:lang w:val="hr-HR"/>
              </w:rPr>
              <w:t>G-CSF (5 μg/kg, s.c.): dani 27</w:t>
            </w:r>
            <w:r w:rsidRPr="00510442">
              <w:rPr>
                <w:color w:val="000000"/>
                <w:lang w:val="hr-HR"/>
              </w:rPr>
              <w:noBreakHyphen/>
              <w:t>36 ili do porasta ANC &gt;1500 nakon najniže izmjerene vrijednosti</w:t>
            </w:r>
          </w:p>
          <w:p w14:paraId="30A93715" w14:textId="77777777" w:rsidR="00BE41B8" w:rsidRPr="00510442" w:rsidRDefault="00BE41B8" w:rsidP="00C210A6">
            <w:pPr>
              <w:pStyle w:val="EndnoteText"/>
              <w:widowControl w:val="0"/>
              <w:rPr>
                <w:color w:val="000000"/>
                <w:lang w:val="hr-HR"/>
              </w:rPr>
            </w:pPr>
            <w:r w:rsidRPr="00510442">
              <w:rPr>
                <w:color w:val="000000"/>
                <w:lang w:val="hr-HR"/>
              </w:rPr>
              <w:t>ARA-C (3 g/m</w:t>
            </w:r>
            <w:r w:rsidRPr="00510442">
              <w:rPr>
                <w:color w:val="000000"/>
                <w:vertAlign w:val="superscript"/>
                <w:lang w:val="hr-HR"/>
              </w:rPr>
              <w:t>2</w:t>
            </w:r>
            <w:r w:rsidRPr="00510442">
              <w:rPr>
                <w:color w:val="000000"/>
                <w:lang w:val="hr-HR"/>
              </w:rPr>
              <w:t>, svakih 12 sati, i.v.): dani 43, 44</w:t>
            </w:r>
          </w:p>
          <w:p w14:paraId="66B2DD9E" w14:textId="77777777" w:rsidR="00BE41B8" w:rsidRPr="00510442" w:rsidRDefault="00BE41B8" w:rsidP="00C210A6">
            <w:pPr>
              <w:pStyle w:val="EndnoteText"/>
              <w:widowControl w:val="0"/>
              <w:rPr>
                <w:color w:val="000000"/>
                <w:lang w:val="hr-HR"/>
              </w:rPr>
            </w:pPr>
            <w:r w:rsidRPr="00510442">
              <w:rPr>
                <w:color w:val="000000"/>
                <w:lang w:val="hr-HR"/>
              </w:rPr>
              <w:t>L-ASP (6000 IU/m</w:t>
            </w:r>
            <w:r w:rsidRPr="00510442">
              <w:rPr>
                <w:color w:val="000000"/>
                <w:vertAlign w:val="superscript"/>
                <w:lang w:val="hr-HR"/>
              </w:rPr>
              <w:t>2</w:t>
            </w:r>
            <w:r w:rsidRPr="00510442">
              <w:rPr>
                <w:color w:val="000000"/>
                <w:lang w:val="hr-HR"/>
              </w:rPr>
              <w:t>, i.m.): dan 44</w:t>
            </w:r>
          </w:p>
        </w:tc>
      </w:tr>
      <w:tr w:rsidR="00BE41B8" w:rsidRPr="00F410C8" w14:paraId="6C080175" w14:textId="77777777" w:rsidTr="0063591E">
        <w:trPr>
          <w:cantSplit/>
        </w:trPr>
        <w:tc>
          <w:tcPr>
            <w:tcW w:w="2358" w:type="dxa"/>
            <w:shd w:val="clear" w:color="auto" w:fill="auto"/>
          </w:tcPr>
          <w:p w14:paraId="7AE88D2F" w14:textId="77777777" w:rsidR="00BE41B8" w:rsidRPr="00510442" w:rsidRDefault="00BE41B8" w:rsidP="00C210A6">
            <w:pPr>
              <w:pStyle w:val="EndnoteText"/>
              <w:widowControl w:val="0"/>
              <w:rPr>
                <w:color w:val="000000"/>
                <w:lang w:val="hr-HR"/>
              </w:rPr>
            </w:pPr>
            <w:r w:rsidRPr="00510442">
              <w:rPr>
                <w:color w:val="000000"/>
                <w:lang w:val="hr-HR"/>
              </w:rPr>
              <w:t>Održavanje</w:t>
            </w:r>
          </w:p>
          <w:p w14:paraId="467D41E1" w14:textId="77777777" w:rsidR="00BE41B8" w:rsidRPr="00510442" w:rsidRDefault="00BE41B8" w:rsidP="00C210A6">
            <w:pPr>
              <w:pStyle w:val="EndnoteText"/>
              <w:widowControl w:val="0"/>
              <w:rPr>
                <w:color w:val="000000"/>
                <w:lang w:val="hr-HR"/>
              </w:rPr>
            </w:pPr>
            <w:r w:rsidRPr="00510442">
              <w:rPr>
                <w:color w:val="000000"/>
                <w:lang w:val="hr-HR"/>
              </w:rPr>
              <w:t>(8-tjedni ciklusi)</w:t>
            </w:r>
          </w:p>
          <w:p w14:paraId="4E552DAD" w14:textId="77777777" w:rsidR="00BE41B8" w:rsidRPr="00510442" w:rsidRDefault="00BE41B8" w:rsidP="00C210A6">
            <w:pPr>
              <w:pStyle w:val="EndnoteText"/>
              <w:widowControl w:val="0"/>
              <w:rPr>
                <w:color w:val="000000"/>
                <w:lang w:val="hr-HR"/>
              </w:rPr>
            </w:pPr>
            <w:r w:rsidRPr="00510442">
              <w:rPr>
                <w:color w:val="000000"/>
                <w:lang w:val="hr-HR"/>
              </w:rPr>
              <w:t>Ciklusi 1–4</w:t>
            </w:r>
          </w:p>
        </w:tc>
        <w:tc>
          <w:tcPr>
            <w:tcW w:w="6929" w:type="dxa"/>
            <w:shd w:val="clear" w:color="auto" w:fill="auto"/>
          </w:tcPr>
          <w:p w14:paraId="34C636FE" w14:textId="77777777" w:rsidR="00BE41B8" w:rsidRPr="00510442" w:rsidRDefault="00BE41B8" w:rsidP="00C210A6">
            <w:pPr>
              <w:pStyle w:val="EndnoteText"/>
              <w:widowControl w:val="0"/>
              <w:rPr>
                <w:color w:val="000000"/>
                <w:lang w:val="hr-HR"/>
              </w:rPr>
            </w:pPr>
            <w:r w:rsidRPr="00510442">
              <w:rPr>
                <w:color w:val="000000"/>
                <w:lang w:val="hr-HR"/>
              </w:rPr>
              <w:t>MTX (5 g/m</w:t>
            </w:r>
            <w:r w:rsidRPr="00510442">
              <w:rPr>
                <w:color w:val="000000"/>
                <w:vertAlign w:val="superscript"/>
                <w:lang w:val="hr-HR"/>
              </w:rPr>
              <w:t>2</w:t>
            </w:r>
            <w:r w:rsidRPr="00510442">
              <w:rPr>
                <w:color w:val="000000"/>
                <w:lang w:val="hr-HR"/>
              </w:rPr>
              <w:t xml:space="preserve"> kroz 24 sata, i.v.): dan 1</w:t>
            </w:r>
          </w:p>
          <w:p w14:paraId="33386C64" w14:textId="77777777" w:rsidR="00BE41B8" w:rsidRPr="00510442" w:rsidRDefault="00BE41B8" w:rsidP="00C210A6">
            <w:pPr>
              <w:pStyle w:val="EndnoteText"/>
              <w:widowControl w:val="0"/>
              <w:rPr>
                <w:color w:val="000000"/>
                <w:lang w:val="hr-HR"/>
              </w:rPr>
            </w:pPr>
            <w:r w:rsidRPr="00510442">
              <w:rPr>
                <w:color w:val="000000"/>
                <w:lang w:val="hr-HR"/>
              </w:rPr>
              <w:t>Leucovorin (75 mg/m</w:t>
            </w:r>
            <w:r w:rsidRPr="00510442">
              <w:rPr>
                <w:color w:val="000000"/>
                <w:vertAlign w:val="superscript"/>
                <w:lang w:val="hr-HR"/>
              </w:rPr>
              <w:t>2</w:t>
            </w:r>
            <w:r w:rsidRPr="00510442">
              <w:rPr>
                <w:color w:val="000000"/>
                <w:lang w:val="hr-HR"/>
              </w:rPr>
              <w:t xml:space="preserve"> u 36. satu, i.v.; 15 mg/m</w:t>
            </w:r>
            <w:r w:rsidRPr="00510442">
              <w:rPr>
                <w:color w:val="000000"/>
                <w:vertAlign w:val="superscript"/>
                <w:lang w:val="hr-HR"/>
              </w:rPr>
              <w:t>2</w:t>
            </w:r>
            <w:r w:rsidRPr="00510442">
              <w:rPr>
                <w:color w:val="000000"/>
                <w:lang w:val="hr-HR"/>
              </w:rPr>
              <w:t xml:space="preserve"> i.v. ili p.o. svakih 6 sati x 6 doza) iii: dani 2 i 3</w:t>
            </w:r>
          </w:p>
          <w:p w14:paraId="16A3020F" w14:textId="77777777" w:rsidR="00BE41B8" w:rsidRPr="00510442" w:rsidRDefault="00BE41B8" w:rsidP="00C210A6">
            <w:pPr>
              <w:pStyle w:val="EndnoteText"/>
              <w:widowControl w:val="0"/>
              <w:rPr>
                <w:color w:val="000000"/>
                <w:lang w:val="hr-HR"/>
              </w:rPr>
            </w:pPr>
            <w:r w:rsidRPr="00510442">
              <w:rPr>
                <w:color w:val="000000"/>
                <w:lang w:val="hr-HR"/>
              </w:rPr>
              <w:t>Trostruka i.t. terapija (prilagođena dobi): dani 1, 29</w:t>
            </w:r>
          </w:p>
          <w:p w14:paraId="0692C91A" w14:textId="77777777" w:rsidR="00BE41B8" w:rsidRPr="00510442" w:rsidRDefault="00BE41B8" w:rsidP="00C210A6">
            <w:pPr>
              <w:pStyle w:val="EndnoteText"/>
              <w:widowControl w:val="0"/>
              <w:rPr>
                <w:color w:val="000000"/>
                <w:lang w:val="hr-HR"/>
              </w:rPr>
            </w:pPr>
            <w:r w:rsidRPr="00510442">
              <w:rPr>
                <w:color w:val="000000"/>
                <w:lang w:val="hr-HR"/>
              </w:rPr>
              <w:t>VCR (1,5 mg/m</w:t>
            </w:r>
            <w:r w:rsidRPr="00510442">
              <w:rPr>
                <w:color w:val="000000"/>
                <w:vertAlign w:val="superscript"/>
                <w:lang w:val="hr-HR"/>
              </w:rPr>
              <w:t>2</w:t>
            </w:r>
            <w:r w:rsidRPr="00510442">
              <w:rPr>
                <w:color w:val="000000"/>
                <w:lang w:val="hr-HR"/>
              </w:rPr>
              <w:t>, i.v.): dani 1, 29</w:t>
            </w:r>
          </w:p>
          <w:p w14:paraId="4839A125" w14:textId="77777777" w:rsidR="00BE41B8" w:rsidRPr="00510442" w:rsidRDefault="00BE41B8" w:rsidP="00C210A6">
            <w:pPr>
              <w:pStyle w:val="EndnoteText"/>
              <w:widowControl w:val="0"/>
              <w:rPr>
                <w:color w:val="000000"/>
                <w:lang w:val="hr-HR"/>
              </w:rPr>
            </w:pPr>
            <w:r w:rsidRPr="00510442">
              <w:rPr>
                <w:color w:val="000000"/>
                <w:lang w:val="hr-HR"/>
              </w:rPr>
              <w:t>DEX (6 mg/m</w:t>
            </w:r>
            <w:r w:rsidRPr="00510442">
              <w:rPr>
                <w:color w:val="000000"/>
                <w:vertAlign w:val="superscript"/>
                <w:lang w:val="hr-HR"/>
              </w:rPr>
              <w:t>2</w:t>
            </w:r>
            <w:r w:rsidRPr="00510442">
              <w:rPr>
                <w:color w:val="000000"/>
                <w:lang w:val="hr-HR"/>
              </w:rPr>
              <w:t>/dan, p.o.): dani 1</w:t>
            </w:r>
            <w:r w:rsidRPr="00510442">
              <w:rPr>
                <w:color w:val="000000"/>
                <w:lang w:val="hr-HR"/>
              </w:rPr>
              <w:noBreakHyphen/>
              <w:t>5; 29</w:t>
            </w:r>
            <w:r w:rsidRPr="00510442">
              <w:rPr>
                <w:color w:val="000000"/>
                <w:lang w:val="hr-HR"/>
              </w:rPr>
              <w:noBreakHyphen/>
              <w:t>33</w:t>
            </w:r>
          </w:p>
          <w:p w14:paraId="65E7D2D8" w14:textId="77777777" w:rsidR="00BE41B8" w:rsidRPr="00510442" w:rsidRDefault="00BE41B8" w:rsidP="00C210A6">
            <w:pPr>
              <w:pStyle w:val="EndnoteText"/>
              <w:widowControl w:val="0"/>
              <w:rPr>
                <w:color w:val="000000"/>
                <w:lang w:val="hr-HR"/>
              </w:rPr>
            </w:pPr>
            <w:r w:rsidRPr="00510442">
              <w:rPr>
                <w:color w:val="000000"/>
                <w:lang w:val="hr-HR"/>
              </w:rPr>
              <w:t>6-MP (75 mg/m</w:t>
            </w:r>
            <w:r w:rsidRPr="00510442">
              <w:rPr>
                <w:color w:val="000000"/>
                <w:vertAlign w:val="superscript"/>
                <w:lang w:val="hr-HR"/>
              </w:rPr>
              <w:t>2</w:t>
            </w:r>
            <w:r w:rsidRPr="00510442">
              <w:rPr>
                <w:color w:val="000000"/>
                <w:lang w:val="hr-HR"/>
              </w:rPr>
              <w:t>/dan, p.o.): dani 8-28</w:t>
            </w:r>
          </w:p>
          <w:p w14:paraId="09909079" w14:textId="77777777" w:rsidR="00BE41B8" w:rsidRPr="00510442" w:rsidRDefault="00BE41B8" w:rsidP="00C210A6">
            <w:pPr>
              <w:pStyle w:val="EndnoteText"/>
              <w:widowControl w:val="0"/>
              <w:rPr>
                <w:color w:val="000000"/>
                <w:lang w:val="hr-HR"/>
              </w:rPr>
            </w:pPr>
            <w:r w:rsidRPr="00510442">
              <w:rPr>
                <w:color w:val="000000"/>
                <w:lang w:val="hr-HR"/>
              </w:rPr>
              <w:t>Metotreksat (20 mg/m</w:t>
            </w:r>
            <w:r w:rsidRPr="00510442">
              <w:rPr>
                <w:color w:val="000000"/>
                <w:vertAlign w:val="superscript"/>
                <w:lang w:val="hr-HR"/>
              </w:rPr>
              <w:t>2</w:t>
            </w:r>
            <w:r w:rsidRPr="00510442">
              <w:rPr>
                <w:color w:val="000000"/>
                <w:lang w:val="hr-HR"/>
              </w:rPr>
              <w:t>/tjedan, p.o.): dani 8, 15, 22</w:t>
            </w:r>
          </w:p>
          <w:p w14:paraId="0A0329EF" w14:textId="77777777" w:rsidR="00BE41B8" w:rsidRPr="00510442" w:rsidRDefault="00BE41B8" w:rsidP="00C210A6">
            <w:pPr>
              <w:pStyle w:val="EndnoteText"/>
              <w:widowControl w:val="0"/>
              <w:rPr>
                <w:color w:val="000000"/>
                <w:lang w:val="hr-HR"/>
              </w:rPr>
            </w:pPr>
            <w:r w:rsidRPr="00510442">
              <w:rPr>
                <w:color w:val="000000"/>
                <w:lang w:val="hr-HR"/>
              </w:rPr>
              <w:t>VP-16 (100 mg/m</w:t>
            </w:r>
            <w:r w:rsidRPr="00510442">
              <w:rPr>
                <w:color w:val="000000"/>
                <w:vertAlign w:val="superscript"/>
                <w:lang w:val="hr-HR"/>
              </w:rPr>
              <w:t>2</w:t>
            </w:r>
            <w:r w:rsidRPr="00510442">
              <w:rPr>
                <w:color w:val="000000"/>
                <w:lang w:val="hr-HR"/>
              </w:rPr>
              <w:t>, i.v.): dani 29</w:t>
            </w:r>
            <w:r w:rsidRPr="00510442">
              <w:rPr>
                <w:color w:val="000000"/>
                <w:lang w:val="hr-HR"/>
              </w:rPr>
              <w:noBreakHyphen/>
              <w:t>33</w:t>
            </w:r>
          </w:p>
          <w:p w14:paraId="366C5D3D" w14:textId="77777777" w:rsidR="00BE41B8" w:rsidRPr="00510442" w:rsidRDefault="00BE41B8" w:rsidP="00C210A6">
            <w:pPr>
              <w:pStyle w:val="EndnoteText"/>
              <w:widowControl w:val="0"/>
              <w:rPr>
                <w:color w:val="000000"/>
                <w:lang w:val="hr-HR"/>
              </w:rPr>
            </w:pPr>
            <w:r w:rsidRPr="00510442">
              <w:rPr>
                <w:color w:val="000000"/>
                <w:lang w:val="hr-HR"/>
              </w:rPr>
              <w:t>CPM (300 mg/m</w:t>
            </w:r>
            <w:r w:rsidRPr="00510442">
              <w:rPr>
                <w:color w:val="000000"/>
                <w:vertAlign w:val="superscript"/>
                <w:lang w:val="hr-HR"/>
              </w:rPr>
              <w:t>2</w:t>
            </w:r>
            <w:r w:rsidRPr="00510442">
              <w:rPr>
                <w:color w:val="000000"/>
                <w:lang w:val="hr-HR"/>
              </w:rPr>
              <w:t>, i.v.): dani 29</w:t>
            </w:r>
            <w:r w:rsidRPr="00510442">
              <w:rPr>
                <w:color w:val="000000"/>
                <w:lang w:val="hr-HR"/>
              </w:rPr>
              <w:noBreakHyphen/>
              <w:t>33</w:t>
            </w:r>
          </w:p>
          <w:p w14:paraId="7641B577" w14:textId="77777777" w:rsidR="00BE41B8" w:rsidRPr="00510442" w:rsidRDefault="00BE41B8" w:rsidP="00C210A6">
            <w:pPr>
              <w:pStyle w:val="EndnoteText"/>
              <w:widowControl w:val="0"/>
              <w:rPr>
                <w:color w:val="000000"/>
                <w:lang w:val="hr-HR"/>
              </w:rPr>
            </w:pPr>
            <w:r w:rsidRPr="00510442">
              <w:rPr>
                <w:color w:val="000000"/>
                <w:lang w:val="hr-HR"/>
              </w:rPr>
              <w:t>MESNA i.v., dani 29</w:t>
            </w:r>
            <w:r w:rsidRPr="00510442">
              <w:rPr>
                <w:color w:val="000000"/>
                <w:lang w:val="hr-HR"/>
              </w:rPr>
              <w:noBreakHyphen/>
              <w:t>33</w:t>
            </w:r>
          </w:p>
          <w:p w14:paraId="51DB7AEF" w14:textId="77777777" w:rsidR="00BE41B8" w:rsidRPr="00510442" w:rsidRDefault="00BE41B8" w:rsidP="00C210A6">
            <w:pPr>
              <w:pStyle w:val="EndnoteText"/>
              <w:widowControl w:val="0"/>
              <w:rPr>
                <w:color w:val="000000"/>
                <w:lang w:val="hr-HR"/>
              </w:rPr>
            </w:pPr>
            <w:r w:rsidRPr="00510442">
              <w:rPr>
                <w:color w:val="000000"/>
                <w:lang w:val="hr-HR"/>
              </w:rPr>
              <w:t>G-CSF (5 μg/kg, s.c.): dani 34</w:t>
            </w:r>
            <w:r w:rsidRPr="00510442">
              <w:rPr>
                <w:color w:val="000000"/>
                <w:lang w:val="hr-HR"/>
              </w:rPr>
              <w:noBreakHyphen/>
              <w:t>43</w:t>
            </w:r>
          </w:p>
        </w:tc>
      </w:tr>
      <w:tr w:rsidR="00BE41B8" w:rsidRPr="00F410C8" w14:paraId="34079D19" w14:textId="77777777" w:rsidTr="0063591E">
        <w:trPr>
          <w:cantSplit/>
        </w:trPr>
        <w:tc>
          <w:tcPr>
            <w:tcW w:w="2358" w:type="dxa"/>
            <w:shd w:val="clear" w:color="auto" w:fill="auto"/>
          </w:tcPr>
          <w:p w14:paraId="0A2CCF28" w14:textId="77777777" w:rsidR="00BE41B8" w:rsidRPr="00510442" w:rsidRDefault="00BE41B8" w:rsidP="00C210A6">
            <w:pPr>
              <w:pStyle w:val="EndnoteText"/>
              <w:widowControl w:val="0"/>
              <w:rPr>
                <w:color w:val="000000"/>
                <w:lang w:val="hr-HR"/>
              </w:rPr>
            </w:pPr>
            <w:r w:rsidRPr="00510442">
              <w:rPr>
                <w:color w:val="000000"/>
                <w:lang w:val="hr-HR"/>
              </w:rPr>
              <w:t>Održavanje</w:t>
            </w:r>
          </w:p>
          <w:p w14:paraId="7413E980" w14:textId="77777777" w:rsidR="00BE41B8" w:rsidRPr="00510442" w:rsidRDefault="00BE41B8" w:rsidP="00C210A6">
            <w:pPr>
              <w:pStyle w:val="EndnoteText"/>
              <w:widowControl w:val="0"/>
              <w:rPr>
                <w:color w:val="000000"/>
                <w:lang w:val="hr-HR"/>
              </w:rPr>
            </w:pPr>
            <w:r w:rsidRPr="00510442">
              <w:rPr>
                <w:color w:val="000000"/>
                <w:lang w:val="hr-HR"/>
              </w:rPr>
              <w:t>(8-tjedni ciklusi)</w:t>
            </w:r>
          </w:p>
          <w:p w14:paraId="3AF1C7A4" w14:textId="77777777" w:rsidR="00BE41B8" w:rsidRPr="00510442" w:rsidRDefault="00BE41B8" w:rsidP="00C210A6">
            <w:pPr>
              <w:pStyle w:val="EndnoteText"/>
              <w:widowControl w:val="0"/>
              <w:rPr>
                <w:color w:val="000000"/>
                <w:lang w:val="hr-HR"/>
              </w:rPr>
            </w:pPr>
            <w:r w:rsidRPr="00510442">
              <w:rPr>
                <w:color w:val="000000"/>
                <w:lang w:val="hr-HR"/>
              </w:rPr>
              <w:t>Ciklus 5</w:t>
            </w:r>
          </w:p>
        </w:tc>
        <w:tc>
          <w:tcPr>
            <w:tcW w:w="6929" w:type="dxa"/>
            <w:shd w:val="clear" w:color="auto" w:fill="auto"/>
          </w:tcPr>
          <w:p w14:paraId="6884A708" w14:textId="77777777" w:rsidR="00BE41B8" w:rsidRPr="00510442" w:rsidRDefault="00BE41B8" w:rsidP="00C210A6">
            <w:pPr>
              <w:pStyle w:val="EndnoteText"/>
              <w:widowControl w:val="0"/>
              <w:rPr>
                <w:color w:val="000000"/>
                <w:lang w:val="hr-HR"/>
              </w:rPr>
            </w:pPr>
            <w:r w:rsidRPr="00510442">
              <w:rPr>
                <w:color w:val="000000"/>
                <w:lang w:val="hr-HR"/>
              </w:rPr>
              <w:t>Kranijalna iradijacija (Samo blok br. 5)</w:t>
            </w:r>
          </w:p>
          <w:p w14:paraId="4408D08C" w14:textId="77777777" w:rsidR="00BE41B8" w:rsidRPr="00510442" w:rsidRDefault="00BE41B8" w:rsidP="00C210A6">
            <w:pPr>
              <w:pStyle w:val="EndnoteText"/>
              <w:widowControl w:val="0"/>
              <w:rPr>
                <w:color w:val="000000"/>
                <w:lang w:val="hr-HR"/>
              </w:rPr>
            </w:pPr>
            <w:r w:rsidRPr="00510442">
              <w:rPr>
                <w:color w:val="000000"/>
                <w:lang w:val="hr-HR"/>
              </w:rPr>
              <w:t>12 Gy u 8 frakcija za sve bolesnike koji imaju CNS1 i CNS2 u trenutku dijagnoze</w:t>
            </w:r>
          </w:p>
          <w:p w14:paraId="21356141" w14:textId="77777777" w:rsidR="00BE41B8" w:rsidRPr="00510442" w:rsidRDefault="00BE41B8" w:rsidP="00C210A6">
            <w:pPr>
              <w:pStyle w:val="EndnoteText"/>
              <w:widowControl w:val="0"/>
              <w:rPr>
                <w:color w:val="000000"/>
                <w:lang w:val="hr-HR"/>
              </w:rPr>
            </w:pPr>
            <w:r w:rsidRPr="00510442">
              <w:rPr>
                <w:color w:val="000000"/>
                <w:lang w:val="hr-HR"/>
              </w:rPr>
              <w:t>18 Gy u 10 frakcija za bolesnike koji imaju CNS3 u trenutku dijagnoze</w:t>
            </w:r>
          </w:p>
          <w:p w14:paraId="17E0BEA7" w14:textId="77777777" w:rsidR="00BE41B8" w:rsidRPr="00510442" w:rsidRDefault="00BE41B8" w:rsidP="00C210A6">
            <w:pPr>
              <w:pStyle w:val="EndnoteText"/>
              <w:widowControl w:val="0"/>
              <w:rPr>
                <w:color w:val="000000"/>
                <w:lang w:val="hr-HR"/>
              </w:rPr>
            </w:pPr>
            <w:r w:rsidRPr="00510442">
              <w:rPr>
                <w:color w:val="000000"/>
                <w:lang w:val="hr-HR"/>
              </w:rPr>
              <w:t>VCR (1,5 mg/m</w:t>
            </w:r>
            <w:r w:rsidRPr="00510442">
              <w:rPr>
                <w:color w:val="000000"/>
                <w:vertAlign w:val="superscript"/>
                <w:lang w:val="hr-HR"/>
              </w:rPr>
              <w:t>2</w:t>
            </w:r>
            <w:r w:rsidRPr="00510442">
              <w:rPr>
                <w:color w:val="000000"/>
                <w:lang w:val="hr-HR"/>
              </w:rPr>
              <w:t>/dan, i.v.): dani 1, 29</w:t>
            </w:r>
          </w:p>
          <w:p w14:paraId="23FEBD73" w14:textId="77777777" w:rsidR="00BE41B8" w:rsidRPr="00510442" w:rsidRDefault="00BE41B8" w:rsidP="00C210A6">
            <w:pPr>
              <w:pStyle w:val="EndnoteText"/>
              <w:widowControl w:val="0"/>
              <w:rPr>
                <w:color w:val="000000"/>
                <w:lang w:val="hr-HR"/>
              </w:rPr>
            </w:pPr>
            <w:r w:rsidRPr="00510442">
              <w:rPr>
                <w:color w:val="000000"/>
                <w:lang w:val="hr-HR"/>
              </w:rPr>
              <w:t>DEX (6 mg/m</w:t>
            </w:r>
            <w:r w:rsidRPr="00510442">
              <w:rPr>
                <w:color w:val="000000"/>
                <w:vertAlign w:val="superscript"/>
                <w:lang w:val="hr-HR"/>
              </w:rPr>
              <w:t>2</w:t>
            </w:r>
            <w:r w:rsidRPr="00510442">
              <w:rPr>
                <w:color w:val="000000"/>
                <w:lang w:val="hr-HR"/>
              </w:rPr>
              <w:t>/dan, p.o.): dani 1</w:t>
            </w:r>
            <w:r w:rsidRPr="00510442">
              <w:rPr>
                <w:color w:val="000000"/>
                <w:lang w:val="hr-HR"/>
              </w:rPr>
              <w:noBreakHyphen/>
              <w:t>5; 29</w:t>
            </w:r>
            <w:r w:rsidRPr="00510442">
              <w:rPr>
                <w:color w:val="000000"/>
                <w:lang w:val="hr-HR"/>
              </w:rPr>
              <w:noBreakHyphen/>
              <w:t>33</w:t>
            </w:r>
          </w:p>
          <w:p w14:paraId="7EB6A1C4" w14:textId="77777777" w:rsidR="00BE41B8" w:rsidRPr="00510442" w:rsidRDefault="00BE41B8" w:rsidP="00C210A6">
            <w:pPr>
              <w:pStyle w:val="EndnoteText"/>
              <w:widowControl w:val="0"/>
              <w:rPr>
                <w:color w:val="000000"/>
                <w:lang w:val="hr-HR"/>
              </w:rPr>
            </w:pPr>
            <w:r w:rsidRPr="00510442">
              <w:rPr>
                <w:color w:val="000000"/>
                <w:lang w:val="hr-HR"/>
              </w:rPr>
              <w:t>6-MP (75 mg/m</w:t>
            </w:r>
            <w:r w:rsidRPr="00510442">
              <w:rPr>
                <w:color w:val="000000"/>
                <w:vertAlign w:val="superscript"/>
                <w:lang w:val="hr-HR"/>
              </w:rPr>
              <w:t>2</w:t>
            </w:r>
            <w:r w:rsidRPr="00510442">
              <w:rPr>
                <w:color w:val="000000"/>
                <w:lang w:val="hr-HR"/>
              </w:rPr>
              <w:t>/dan, p.o.): dani 11</w:t>
            </w:r>
            <w:r w:rsidRPr="00510442">
              <w:rPr>
                <w:color w:val="000000"/>
                <w:lang w:val="hr-HR"/>
              </w:rPr>
              <w:noBreakHyphen/>
              <w:t>56 (Uskratiti 6-MP tijekom 6</w:t>
            </w:r>
            <w:r w:rsidRPr="00510442">
              <w:rPr>
                <w:color w:val="000000"/>
                <w:lang w:val="hr-HR"/>
              </w:rPr>
              <w:noBreakHyphen/>
              <w:t>10 dana kranijalne iradijacije dana 1, ciklusa 5. Započeti 6-MP 1-og dana nakon završetka kranijalne iradijacije.)</w:t>
            </w:r>
          </w:p>
          <w:p w14:paraId="3F68D6DC" w14:textId="77777777" w:rsidR="00BE41B8" w:rsidRPr="00510442" w:rsidRDefault="00BE41B8" w:rsidP="00C210A6">
            <w:pPr>
              <w:pStyle w:val="EndnoteText"/>
              <w:widowControl w:val="0"/>
              <w:rPr>
                <w:color w:val="000000"/>
                <w:lang w:val="hr-HR"/>
              </w:rPr>
            </w:pPr>
            <w:r w:rsidRPr="00510442">
              <w:rPr>
                <w:color w:val="000000"/>
                <w:lang w:val="hr-HR"/>
              </w:rPr>
              <w:t>Metotreksat (20 mg/m</w:t>
            </w:r>
            <w:r w:rsidRPr="00510442">
              <w:rPr>
                <w:color w:val="000000"/>
                <w:vertAlign w:val="superscript"/>
                <w:lang w:val="hr-HR"/>
              </w:rPr>
              <w:t>2</w:t>
            </w:r>
            <w:r w:rsidRPr="00510442">
              <w:rPr>
                <w:color w:val="000000"/>
                <w:lang w:val="hr-HR"/>
              </w:rPr>
              <w:t>/tjedan, p.o.): dani 8, 15, 22, 29, 36, 43, 50</w:t>
            </w:r>
          </w:p>
        </w:tc>
      </w:tr>
      <w:tr w:rsidR="00BE41B8" w:rsidRPr="00F410C8" w14:paraId="107B7E14" w14:textId="77777777" w:rsidTr="0063591E">
        <w:trPr>
          <w:cantSplit/>
        </w:trPr>
        <w:tc>
          <w:tcPr>
            <w:tcW w:w="2358" w:type="dxa"/>
            <w:shd w:val="clear" w:color="auto" w:fill="auto"/>
          </w:tcPr>
          <w:p w14:paraId="2322A67E" w14:textId="77777777" w:rsidR="00BE41B8" w:rsidRPr="00510442" w:rsidRDefault="00BE41B8" w:rsidP="0063591E">
            <w:pPr>
              <w:pStyle w:val="EndnoteText"/>
              <w:keepNext/>
              <w:widowControl w:val="0"/>
              <w:rPr>
                <w:color w:val="000000"/>
                <w:lang w:val="hr-HR"/>
              </w:rPr>
            </w:pPr>
            <w:r w:rsidRPr="00510442">
              <w:rPr>
                <w:color w:val="000000"/>
                <w:lang w:val="hr-HR"/>
              </w:rPr>
              <w:lastRenderedPageBreak/>
              <w:t>Održavanje</w:t>
            </w:r>
          </w:p>
          <w:p w14:paraId="035A0485" w14:textId="77777777" w:rsidR="00BE41B8" w:rsidRPr="00510442" w:rsidRDefault="00BE41B8" w:rsidP="0063591E">
            <w:pPr>
              <w:pStyle w:val="EndnoteText"/>
              <w:keepNext/>
              <w:widowControl w:val="0"/>
              <w:rPr>
                <w:color w:val="000000"/>
                <w:lang w:val="hr-HR"/>
              </w:rPr>
            </w:pPr>
            <w:r w:rsidRPr="00510442">
              <w:rPr>
                <w:color w:val="000000"/>
                <w:lang w:val="hr-HR"/>
              </w:rPr>
              <w:t>(8-tjedni ciklusi)</w:t>
            </w:r>
          </w:p>
          <w:p w14:paraId="2F6C2681" w14:textId="77777777" w:rsidR="00BE41B8" w:rsidRPr="00510442" w:rsidRDefault="00BE41B8" w:rsidP="0063591E">
            <w:pPr>
              <w:pStyle w:val="EndnoteText"/>
              <w:keepNext/>
              <w:widowControl w:val="0"/>
              <w:rPr>
                <w:color w:val="000000"/>
                <w:lang w:val="hr-HR"/>
              </w:rPr>
            </w:pPr>
            <w:r w:rsidRPr="00510442">
              <w:rPr>
                <w:color w:val="000000"/>
                <w:lang w:val="hr-HR"/>
              </w:rPr>
              <w:t>Ciklusi 6</w:t>
            </w:r>
            <w:r w:rsidRPr="00510442">
              <w:rPr>
                <w:color w:val="000000"/>
                <w:lang w:val="hr-HR"/>
              </w:rPr>
              <w:noBreakHyphen/>
              <w:t>12</w:t>
            </w:r>
          </w:p>
        </w:tc>
        <w:tc>
          <w:tcPr>
            <w:tcW w:w="6929" w:type="dxa"/>
            <w:shd w:val="clear" w:color="auto" w:fill="auto"/>
          </w:tcPr>
          <w:p w14:paraId="630DE194" w14:textId="77777777" w:rsidR="00BE41B8" w:rsidRPr="00510442" w:rsidRDefault="00BE41B8" w:rsidP="0063591E">
            <w:pPr>
              <w:pStyle w:val="EndnoteText"/>
              <w:keepNext/>
              <w:widowControl w:val="0"/>
              <w:rPr>
                <w:color w:val="000000"/>
                <w:lang w:val="hr-HR"/>
              </w:rPr>
            </w:pPr>
            <w:r w:rsidRPr="00510442">
              <w:rPr>
                <w:color w:val="000000"/>
                <w:lang w:val="hr-HR"/>
              </w:rPr>
              <w:t>VCR (1,5 mg/m</w:t>
            </w:r>
            <w:r w:rsidRPr="00510442">
              <w:rPr>
                <w:color w:val="000000"/>
                <w:vertAlign w:val="superscript"/>
                <w:lang w:val="hr-HR"/>
              </w:rPr>
              <w:t>2</w:t>
            </w:r>
            <w:r w:rsidRPr="00510442">
              <w:rPr>
                <w:color w:val="000000"/>
                <w:lang w:val="hr-HR"/>
              </w:rPr>
              <w:t>/dan, i.v.): dani 1, 29</w:t>
            </w:r>
          </w:p>
          <w:p w14:paraId="2693C5E1" w14:textId="77777777" w:rsidR="00BE41B8" w:rsidRPr="00510442" w:rsidRDefault="00BE41B8" w:rsidP="0063591E">
            <w:pPr>
              <w:pStyle w:val="EndnoteText"/>
              <w:keepNext/>
              <w:widowControl w:val="0"/>
              <w:rPr>
                <w:color w:val="000000"/>
                <w:lang w:val="hr-HR"/>
              </w:rPr>
            </w:pPr>
            <w:r w:rsidRPr="00510442">
              <w:rPr>
                <w:color w:val="000000"/>
                <w:lang w:val="hr-HR"/>
              </w:rPr>
              <w:t>DEX (6 mg/m</w:t>
            </w:r>
            <w:r w:rsidRPr="00510442">
              <w:rPr>
                <w:color w:val="000000"/>
                <w:vertAlign w:val="superscript"/>
                <w:lang w:val="hr-HR"/>
              </w:rPr>
              <w:t>2</w:t>
            </w:r>
            <w:r w:rsidRPr="00510442">
              <w:rPr>
                <w:color w:val="000000"/>
                <w:lang w:val="hr-HR"/>
              </w:rPr>
              <w:t>/dan, p.o.): dani 1</w:t>
            </w:r>
            <w:r w:rsidRPr="00510442">
              <w:rPr>
                <w:color w:val="000000"/>
                <w:lang w:val="hr-HR"/>
              </w:rPr>
              <w:noBreakHyphen/>
              <w:t>5; 29</w:t>
            </w:r>
            <w:r w:rsidRPr="00510442">
              <w:rPr>
                <w:color w:val="000000"/>
                <w:lang w:val="hr-HR"/>
              </w:rPr>
              <w:noBreakHyphen/>
              <w:t>33</w:t>
            </w:r>
          </w:p>
          <w:p w14:paraId="0E1B1DC9" w14:textId="77777777" w:rsidR="00BE41B8" w:rsidRPr="00510442" w:rsidRDefault="00BE41B8" w:rsidP="0063591E">
            <w:pPr>
              <w:pStyle w:val="EndnoteText"/>
              <w:keepNext/>
              <w:widowControl w:val="0"/>
              <w:rPr>
                <w:color w:val="000000"/>
                <w:lang w:val="hr-HR"/>
              </w:rPr>
            </w:pPr>
            <w:r w:rsidRPr="00510442">
              <w:rPr>
                <w:color w:val="000000"/>
                <w:lang w:val="hr-HR"/>
              </w:rPr>
              <w:t>6-MP (75 mg/m</w:t>
            </w:r>
            <w:r w:rsidRPr="00510442">
              <w:rPr>
                <w:color w:val="000000"/>
                <w:vertAlign w:val="superscript"/>
                <w:lang w:val="hr-HR"/>
              </w:rPr>
              <w:t>2</w:t>
            </w:r>
            <w:r w:rsidRPr="00510442">
              <w:rPr>
                <w:color w:val="000000"/>
                <w:lang w:val="hr-HR"/>
              </w:rPr>
              <w:t>/dan, p.o.): dani 1</w:t>
            </w:r>
            <w:r w:rsidRPr="00510442">
              <w:rPr>
                <w:color w:val="000000"/>
                <w:lang w:val="hr-HR"/>
              </w:rPr>
              <w:noBreakHyphen/>
              <w:t>56</w:t>
            </w:r>
          </w:p>
          <w:p w14:paraId="415261B7" w14:textId="77777777" w:rsidR="00BE41B8" w:rsidRPr="00510442" w:rsidRDefault="00BE41B8" w:rsidP="0063591E">
            <w:pPr>
              <w:pStyle w:val="EndnoteText"/>
              <w:keepNext/>
              <w:widowControl w:val="0"/>
              <w:rPr>
                <w:color w:val="000000"/>
                <w:lang w:val="hr-HR"/>
              </w:rPr>
            </w:pPr>
            <w:r w:rsidRPr="00510442">
              <w:rPr>
                <w:color w:val="000000"/>
                <w:lang w:val="hr-HR"/>
              </w:rPr>
              <w:t>Metotreksat (20 mg/m</w:t>
            </w:r>
            <w:r w:rsidRPr="00510442">
              <w:rPr>
                <w:color w:val="000000"/>
                <w:vertAlign w:val="superscript"/>
                <w:lang w:val="hr-HR"/>
              </w:rPr>
              <w:t>2</w:t>
            </w:r>
            <w:r w:rsidRPr="00510442">
              <w:rPr>
                <w:color w:val="000000"/>
                <w:lang w:val="hr-HR"/>
              </w:rPr>
              <w:t>/tjedan, p.o.): dani 1, 8, 15, 22, 29, 36, 43, 50</w:t>
            </w:r>
          </w:p>
        </w:tc>
      </w:tr>
    </w:tbl>
    <w:p w14:paraId="6CA07B83" w14:textId="77777777" w:rsidR="00BE41B8" w:rsidRPr="00510442" w:rsidRDefault="00BE41B8" w:rsidP="0063591E">
      <w:pPr>
        <w:pStyle w:val="EndnoteText"/>
        <w:keepLines/>
        <w:widowControl w:val="0"/>
        <w:rPr>
          <w:color w:val="000000"/>
          <w:szCs w:val="22"/>
          <w:lang w:val="hr-HR"/>
        </w:rPr>
      </w:pPr>
      <w:r w:rsidRPr="00510442">
        <w:rPr>
          <w:color w:val="000000"/>
          <w:szCs w:val="22"/>
          <w:lang w:val="hr-HR"/>
        </w:rPr>
        <w:t>G-CSF = faktor stimulacije rasta granulocita, VP-16 = etoposid, MTX = metotreksat, i.v. = intravenski, SC = potkožno, i.t. = intratekalno, p.o. = oralno, i.m. = u mišić, ARA-C = citarabin, CPM = ciklofosfamid, VCR = vinkristin, DEX = deksametazon, DAUN = daunorubicin, 6-MP = 6-merkaptopurin, E.Coli L-ASP = L-asparaginaza, PEG-ASP = PEG asparaginaza, MESNA= natrijev 2-merkaptoetan sulfonat, iii= ili dok vrijednost MTX-a ne bude &lt;0,1 µm, Gy= Gray</w:t>
      </w:r>
    </w:p>
    <w:p w14:paraId="63AF3DE9" w14:textId="77777777" w:rsidR="00BE41B8" w:rsidRPr="00510442" w:rsidRDefault="00BE41B8" w:rsidP="00BE41B8">
      <w:pPr>
        <w:pStyle w:val="EndnoteText"/>
        <w:widowControl w:val="0"/>
        <w:jc w:val="both"/>
        <w:rPr>
          <w:color w:val="000000"/>
          <w:szCs w:val="22"/>
          <w:lang w:val="hr-HR"/>
        </w:rPr>
      </w:pPr>
    </w:p>
    <w:p w14:paraId="54E6EE15" w14:textId="77777777" w:rsidR="00BE41B8" w:rsidRPr="00510442" w:rsidRDefault="00BE41B8" w:rsidP="00BE41B8">
      <w:pPr>
        <w:pStyle w:val="EndnoteText"/>
        <w:widowControl w:val="0"/>
        <w:rPr>
          <w:color w:val="000000"/>
          <w:szCs w:val="22"/>
          <w:lang w:val="hr-HR"/>
        </w:rPr>
      </w:pPr>
      <w:r w:rsidRPr="00510442">
        <w:rPr>
          <w:color w:val="000000"/>
          <w:szCs w:val="22"/>
          <w:lang w:val="hr-HR"/>
        </w:rPr>
        <w:t>Ispitivanje AIT07 bilo je multicentrično, otvoreno, randomizirano ispitivanje faze II/III u kojem je sudjelovalo 128 bolesnika (od 1 do &lt;18 godina) liječenih imatinibom u kombinaciji s kemoterapijom. Podaci o sigurnosti primjene iz ovog ispitivanja u skladu su sa sigurnosnim profilom imatiniba u bolesnika s Ph+ ALL.</w:t>
      </w:r>
    </w:p>
    <w:p w14:paraId="3A487EAF" w14:textId="77777777" w:rsidR="00BE41B8" w:rsidRPr="00510442" w:rsidRDefault="00BE41B8" w:rsidP="00BE41B8">
      <w:pPr>
        <w:pStyle w:val="EndnoteText"/>
        <w:widowControl w:val="0"/>
        <w:rPr>
          <w:color w:val="000000"/>
          <w:szCs w:val="22"/>
          <w:lang w:val="hr-HR"/>
        </w:rPr>
      </w:pPr>
    </w:p>
    <w:p w14:paraId="0A30DE5D" w14:textId="77777777" w:rsidR="00BE41B8" w:rsidRPr="00510442" w:rsidRDefault="00BE41B8" w:rsidP="00BE41B8">
      <w:pPr>
        <w:pStyle w:val="EndnoteText"/>
        <w:widowControl w:val="0"/>
        <w:rPr>
          <w:szCs w:val="22"/>
          <w:lang w:val="hr-HR"/>
        </w:rPr>
      </w:pPr>
      <w:r w:rsidRPr="00510442">
        <w:rPr>
          <w:i/>
          <w:szCs w:val="22"/>
          <w:lang w:val="hr-HR"/>
        </w:rPr>
        <w:t>Recidivirajući ili refraktorni</w:t>
      </w:r>
      <w:r w:rsidRPr="00510442">
        <w:rPr>
          <w:szCs w:val="22"/>
          <w:lang w:val="hr-HR"/>
        </w:rPr>
        <w:t xml:space="preserve"> </w:t>
      </w:r>
      <w:r w:rsidRPr="00510442">
        <w:rPr>
          <w:i/>
          <w:color w:val="000000"/>
          <w:szCs w:val="22"/>
          <w:lang w:val="hr-HR"/>
        </w:rPr>
        <w:t>Ph+ ALL:</w:t>
      </w:r>
      <w:r w:rsidRPr="00510442">
        <w:rPr>
          <w:color w:val="000000"/>
          <w:szCs w:val="22"/>
          <w:lang w:val="hr-HR"/>
        </w:rPr>
        <w:t xml:space="preserve"> </w:t>
      </w:r>
      <w:r w:rsidRPr="00510442">
        <w:rPr>
          <w:szCs w:val="22"/>
          <w:lang w:val="hr-HR"/>
        </w:rPr>
        <w:t>Kada je imatinib samostalno korišten u bolesnika s recidivirajućim ili refraktornim Ph+ ALL-om, rezultirao je s odgovorom u 53</w:t>
      </w:r>
      <w:r w:rsidRPr="00510442">
        <w:rPr>
          <w:color w:val="000000"/>
          <w:szCs w:val="22"/>
          <w:lang w:val="hr-HR"/>
        </w:rPr>
        <w:t> </w:t>
      </w:r>
      <w:r w:rsidRPr="00510442">
        <w:rPr>
          <w:szCs w:val="22"/>
          <w:lang w:val="hr-HR"/>
        </w:rPr>
        <w:t>od 411</w:t>
      </w:r>
      <w:r w:rsidRPr="00510442">
        <w:rPr>
          <w:color w:val="000000"/>
          <w:szCs w:val="22"/>
          <w:lang w:val="hr-HR"/>
        </w:rPr>
        <w:t> </w:t>
      </w:r>
      <w:r w:rsidRPr="00510442">
        <w:rPr>
          <w:szCs w:val="22"/>
          <w:lang w:val="hr-HR"/>
        </w:rPr>
        <w:t>procijenjenih bolesnika, sa stopom hematološkog odgovora od 30% (9% potpuni) i stopom većeg citogenetskog odgovora od 23%. (Napomena, od 411</w:t>
      </w:r>
      <w:r w:rsidRPr="00510442">
        <w:rPr>
          <w:color w:val="000000"/>
          <w:szCs w:val="22"/>
          <w:lang w:val="hr-HR"/>
        </w:rPr>
        <w:t> </w:t>
      </w:r>
      <w:r w:rsidRPr="00510442">
        <w:rPr>
          <w:szCs w:val="22"/>
          <w:lang w:val="hr-HR"/>
        </w:rPr>
        <w:t>bolesnika, 353 je liječeno u proširenom pristupnom programu bez prikupljenih podataka o primarnom odgovoru.) Medijan vremena do progresije u ukupnoj populaciji od 411</w:t>
      </w:r>
      <w:r w:rsidRPr="00510442">
        <w:rPr>
          <w:color w:val="000000"/>
          <w:szCs w:val="22"/>
          <w:lang w:val="hr-HR"/>
        </w:rPr>
        <w:t> </w:t>
      </w:r>
      <w:r w:rsidRPr="00510442">
        <w:rPr>
          <w:szCs w:val="22"/>
          <w:lang w:val="hr-HR"/>
        </w:rPr>
        <w:t>bolesnika s recidivirajućim ili refraktornim Ph+ ALL-om kretao se od 2,6 do 3,1</w:t>
      </w:r>
      <w:r w:rsidRPr="00510442">
        <w:rPr>
          <w:color w:val="000000"/>
          <w:szCs w:val="22"/>
          <w:lang w:val="hr-HR"/>
        </w:rPr>
        <w:t> </w:t>
      </w:r>
      <w:r w:rsidRPr="00510442">
        <w:rPr>
          <w:szCs w:val="22"/>
          <w:lang w:val="hr-HR"/>
        </w:rPr>
        <w:t>mjesec, a medijan ukupnog preživljenja kod 401</w:t>
      </w:r>
      <w:r w:rsidRPr="00510442">
        <w:rPr>
          <w:color w:val="000000"/>
          <w:szCs w:val="22"/>
          <w:lang w:val="hr-HR"/>
        </w:rPr>
        <w:t> </w:t>
      </w:r>
      <w:r w:rsidRPr="00510442">
        <w:rPr>
          <w:szCs w:val="22"/>
          <w:lang w:val="hr-HR"/>
        </w:rPr>
        <w:t>procijenjenog bolesnika kretao se od 4,9 do 9</w:t>
      </w:r>
      <w:r w:rsidRPr="00510442">
        <w:rPr>
          <w:color w:val="000000"/>
          <w:szCs w:val="22"/>
          <w:lang w:val="hr-HR"/>
        </w:rPr>
        <w:t> </w:t>
      </w:r>
      <w:r w:rsidRPr="00510442">
        <w:rPr>
          <w:szCs w:val="22"/>
          <w:lang w:val="hr-HR"/>
        </w:rPr>
        <w:t xml:space="preserve">mjeseci. </w:t>
      </w:r>
      <w:r w:rsidRPr="00510442">
        <w:rPr>
          <w:color w:val="000000"/>
          <w:szCs w:val="22"/>
          <w:lang w:val="hr-HR"/>
        </w:rPr>
        <w:t>Podaci su bili slični kada su ponovno analizirani kako bi uključili samo one bolesnike u dobi od 55 godina ili starije.</w:t>
      </w:r>
    </w:p>
    <w:p w14:paraId="0FCF40A6" w14:textId="77777777" w:rsidR="00BE41B8" w:rsidRPr="00510442" w:rsidRDefault="00BE41B8" w:rsidP="00BE41B8">
      <w:pPr>
        <w:pStyle w:val="EndnoteText"/>
        <w:widowControl w:val="0"/>
        <w:tabs>
          <w:tab w:val="clear" w:pos="567"/>
        </w:tabs>
        <w:rPr>
          <w:color w:val="000000"/>
          <w:szCs w:val="22"/>
          <w:lang w:val="hr-HR"/>
        </w:rPr>
      </w:pPr>
    </w:p>
    <w:p w14:paraId="1CEFCFE3" w14:textId="77777777" w:rsidR="00BE41B8" w:rsidRPr="00510442" w:rsidRDefault="00BE41B8" w:rsidP="0063591E">
      <w:pPr>
        <w:pStyle w:val="EndnoteText"/>
        <w:keepNext/>
        <w:widowControl w:val="0"/>
        <w:rPr>
          <w:color w:val="000000"/>
          <w:szCs w:val="22"/>
          <w:u w:val="single"/>
          <w:lang w:val="hr-HR"/>
        </w:rPr>
      </w:pPr>
      <w:r w:rsidRPr="00510442">
        <w:rPr>
          <w:color w:val="000000"/>
          <w:szCs w:val="22"/>
          <w:u w:val="single"/>
          <w:lang w:val="hr-HR"/>
        </w:rPr>
        <w:t>Klinička ispitivanja kod MDS/MPD-a</w:t>
      </w:r>
    </w:p>
    <w:p w14:paraId="3706F80E" w14:textId="4A57BF71" w:rsidR="005271CB" w:rsidRPr="00510442" w:rsidRDefault="00BE41B8" w:rsidP="00BE41B8">
      <w:pPr>
        <w:pStyle w:val="EndnoteText"/>
        <w:widowControl w:val="0"/>
        <w:rPr>
          <w:color w:val="000000"/>
          <w:szCs w:val="22"/>
          <w:lang w:val="hr-HR"/>
        </w:rPr>
      </w:pPr>
      <w:r w:rsidRPr="00510442">
        <w:rPr>
          <w:color w:val="000000"/>
          <w:szCs w:val="22"/>
          <w:lang w:val="hr-HR"/>
        </w:rPr>
        <w:t xml:space="preserve">Iskustvo s </w:t>
      </w:r>
      <w:r w:rsidR="00B27A2B">
        <w:rPr>
          <w:szCs w:val="22"/>
          <w:lang w:val="hr-HR"/>
        </w:rPr>
        <w:t xml:space="preserve">lijekom </w:t>
      </w:r>
      <w:r w:rsidRPr="00510442">
        <w:rPr>
          <w:color w:val="000000"/>
          <w:szCs w:val="22"/>
          <w:lang w:val="hr-HR"/>
        </w:rPr>
        <w:t xml:space="preserve">Glivec u ovoj indikaciji je vrlo ograničeno te se temelji na hematološkom i citogenetskom odgovoru. Ne postoje kontrolirana ispitivanja koja pokazuju kliničku korist ili povećano preživljenje. Provedeno je jedno otvoreno, multicentrično kliničko ispitivanje faze II (studija B2225) za ispitivanje </w:t>
      </w:r>
      <w:r w:rsidR="004007D1" w:rsidRPr="00512481">
        <w:rPr>
          <w:szCs w:val="22"/>
          <w:lang w:val="hr-HR"/>
        </w:rPr>
        <w:t xml:space="preserve">lijeka </w:t>
      </w:r>
      <w:r w:rsidRPr="00510442">
        <w:rPr>
          <w:color w:val="000000"/>
          <w:szCs w:val="22"/>
          <w:lang w:val="hr-HR"/>
        </w:rPr>
        <w:t xml:space="preserve">Glivec u raznim populacijama bolesnika koji pate od bolesti opasnih po život povezanih s Abl, Kit ili PDGFR protein tirozin kinazama. Ovo je kliničko ispitivanje uključivalo 7 bolesnika s </w:t>
      </w:r>
      <w:smartTag w:uri="urn:schemas-microsoft-com:office:smarttags" w:element="stockticker">
        <w:r w:rsidRPr="00510442">
          <w:rPr>
            <w:color w:val="000000"/>
            <w:szCs w:val="22"/>
            <w:lang w:val="hr-HR"/>
          </w:rPr>
          <w:t>MDS</w:t>
        </w:r>
      </w:smartTag>
      <w:r w:rsidRPr="00510442">
        <w:rPr>
          <w:color w:val="000000"/>
          <w:szCs w:val="22"/>
          <w:lang w:val="hr-HR"/>
        </w:rPr>
        <w:t xml:space="preserve">/MPD-om koji su liječeni </w:t>
      </w:r>
      <w:r w:rsidR="00B27A2B">
        <w:rPr>
          <w:szCs w:val="22"/>
          <w:lang w:val="hr-HR"/>
        </w:rPr>
        <w:t xml:space="preserve">lijekom </w:t>
      </w:r>
      <w:r w:rsidRPr="00510442">
        <w:rPr>
          <w:color w:val="000000"/>
          <w:szCs w:val="22"/>
          <w:lang w:val="hr-HR"/>
        </w:rPr>
        <w:t>Glivec 400 mg na dan. Tri bolesnika imala su potpuni hematološki odgovor (</w:t>
      </w:r>
      <w:smartTag w:uri="urn:schemas-microsoft-com:office:smarttags" w:element="stockticker">
        <w:r w:rsidRPr="00510442">
          <w:rPr>
            <w:color w:val="000000"/>
            <w:szCs w:val="22"/>
            <w:lang w:val="hr-HR"/>
          </w:rPr>
          <w:t>CHR</w:t>
        </w:r>
      </w:smartTag>
      <w:r w:rsidRPr="00510442">
        <w:rPr>
          <w:color w:val="000000"/>
          <w:szCs w:val="22"/>
          <w:lang w:val="hr-HR"/>
        </w:rPr>
        <w:t>), a jedan bolesnik je imao djelomičan hematološki odgovor (</w:t>
      </w:r>
      <w:smartTag w:uri="urn:schemas-microsoft-com:office:smarttags" w:element="stockticker">
        <w:r w:rsidRPr="00510442">
          <w:rPr>
            <w:color w:val="000000"/>
            <w:szCs w:val="22"/>
            <w:lang w:val="hr-HR"/>
          </w:rPr>
          <w:t>PHR</w:t>
        </w:r>
      </w:smartTag>
      <w:r w:rsidRPr="00510442">
        <w:rPr>
          <w:color w:val="000000"/>
          <w:szCs w:val="22"/>
          <w:lang w:val="hr-HR"/>
        </w:rPr>
        <w:t xml:space="preserve">). U vrijeme početne analize, kod tri od četiri bolesnika s utvrđenom PDGFR preraspodjelom gena razvio se hematološki odgovor (2 </w:t>
      </w:r>
      <w:smartTag w:uri="urn:schemas-microsoft-com:office:smarttags" w:element="stockticker">
        <w:r w:rsidRPr="00510442">
          <w:rPr>
            <w:color w:val="000000"/>
            <w:szCs w:val="22"/>
            <w:lang w:val="hr-HR"/>
          </w:rPr>
          <w:t>CHR</w:t>
        </w:r>
      </w:smartTag>
      <w:r w:rsidRPr="00510442">
        <w:rPr>
          <w:color w:val="000000"/>
          <w:szCs w:val="22"/>
          <w:lang w:val="hr-HR"/>
        </w:rPr>
        <w:t xml:space="preserve"> i 1 </w:t>
      </w:r>
      <w:smartTag w:uri="urn:schemas-microsoft-com:office:smarttags" w:element="stockticker">
        <w:r w:rsidRPr="00510442">
          <w:rPr>
            <w:color w:val="000000"/>
            <w:szCs w:val="22"/>
            <w:lang w:val="hr-HR"/>
          </w:rPr>
          <w:t>PHR</w:t>
        </w:r>
      </w:smartTag>
      <w:r w:rsidRPr="00510442">
        <w:rPr>
          <w:color w:val="000000"/>
          <w:szCs w:val="22"/>
          <w:lang w:val="hr-HR"/>
        </w:rPr>
        <w:t>). Starost tih bolesnika se kretala od 20 do 72 godine.</w:t>
      </w:r>
    </w:p>
    <w:p w14:paraId="2166FA98" w14:textId="77777777" w:rsidR="005271CB" w:rsidRPr="00510442" w:rsidRDefault="005271CB" w:rsidP="00BE41B8">
      <w:pPr>
        <w:pStyle w:val="EndnoteText"/>
        <w:widowControl w:val="0"/>
        <w:rPr>
          <w:color w:val="000000"/>
          <w:szCs w:val="22"/>
          <w:lang w:val="hr-HR"/>
        </w:rPr>
      </w:pPr>
    </w:p>
    <w:p w14:paraId="06A853F7" w14:textId="23582B98" w:rsidR="005271CB" w:rsidRPr="000B51EB" w:rsidRDefault="005271CB" w:rsidP="005271CB">
      <w:pPr>
        <w:pStyle w:val="EndnoteText"/>
        <w:rPr>
          <w:color w:val="000000"/>
          <w:szCs w:val="22"/>
          <w:lang w:val="hr-HR"/>
        </w:rPr>
      </w:pPr>
      <w:r w:rsidRPr="00510442">
        <w:rPr>
          <w:color w:val="000000"/>
          <w:szCs w:val="22"/>
          <w:lang w:val="hr-HR"/>
        </w:rPr>
        <w:t>Proveden je opservacijski registar (ispitivanje L2401) da bi se prikupili podaci o dugoročnoj sigurnosti primjene i djelotvornosti u bolesnika s mijeloproliferativnim novotvorinama s PDGFR- β</w:t>
      </w:r>
      <w:r w:rsidRPr="00307897">
        <w:rPr>
          <w:color w:val="000000"/>
          <w:szCs w:val="22"/>
          <w:lang w:val="hr-HR"/>
        </w:rPr>
        <w:t xml:space="preserve"> preraspodjelom, a koji su liječeni </w:t>
      </w:r>
      <w:r w:rsidR="00B27A2B">
        <w:rPr>
          <w:szCs w:val="22"/>
          <w:lang w:val="hr-HR"/>
        </w:rPr>
        <w:t xml:space="preserve">lijekom </w:t>
      </w:r>
      <w:r w:rsidRPr="00307897">
        <w:rPr>
          <w:color w:val="000000"/>
          <w:szCs w:val="22"/>
          <w:lang w:val="hr-HR"/>
        </w:rPr>
        <w:t>Glivec. 23 bolesnika uključena u ovaj registar primala su Glivec s medijanom dnevne doze od 264 mg (raspon: 100 do 400 mg) i medijanom vremena trajanja od 7,2 godine (raspon od 0,1 do 12,7 godina). Zbog opservacijske prirode ovog registra, podaci hematološke, citogenetske i molekularne pr</w:t>
      </w:r>
      <w:r w:rsidRPr="00A00164">
        <w:rPr>
          <w:color w:val="000000"/>
          <w:szCs w:val="22"/>
          <w:lang w:val="hr-HR"/>
        </w:rPr>
        <w:t xml:space="preserve">ocjene bili su dostupni za 22, 9 odnosno 17 od 23 uključena bolesnika. Uz konzervativnu pretpostavku da bolesnici kod kojih nedostaju podaci nisu odgovorili na terapiju, CHR je zabilježen u 20/23 (87%) bolesnika, CCyR u 9/23 (39,1%) bolesnika odnosno MR (engl. </w:t>
      </w:r>
      <w:r w:rsidRPr="00973BDD">
        <w:rPr>
          <w:i/>
          <w:color w:val="000000"/>
          <w:szCs w:val="22"/>
          <w:lang w:val="hr-HR"/>
        </w:rPr>
        <w:t>molecular response</w:t>
      </w:r>
      <w:r w:rsidRPr="000B51EB">
        <w:rPr>
          <w:color w:val="000000"/>
          <w:szCs w:val="22"/>
          <w:lang w:val="hr-HR"/>
        </w:rPr>
        <w:t>) u 11/23 (47,8%) bolesnika. Kad se stopa odgovora računa u bolesnika s barem jednom valjanom procjenom, stopa odgovora za CHR, CCyR i MR bila je 20/22 (90,9%), 9/9 (100%) odnosno 11/17 (64,7%).</w:t>
      </w:r>
    </w:p>
    <w:p w14:paraId="02A9EDCC" w14:textId="77777777" w:rsidR="005271CB" w:rsidRPr="00510442" w:rsidRDefault="005271CB" w:rsidP="00BE41B8">
      <w:pPr>
        <w:pStyle w:val="EndnoteText"/>
        <w:widowControl w:val="0"/>
        <w:rPr>
          <w:color w:val="000000"/>
          <w:szCs w:val="22"/>
          <w:lang w:val="hr-HR"/>
        </w:rPr>
      </w:pPr>
    </w:p>
    <w:p w14:paraId="4C144E07" w14:textId="2878AF54" w:rsidR="00BE41B8" w:rsidRPr="00510442" w:rsidRDefault="00BE41B8" w:rsidP="00BE41B8">
      <w:pPr>
        <w:pStyle w:val="EndnoteText"/>
        <w:widowControl w:val="0"/>
        <w:rPr>
          <w:color w:val="000000"/>
          <w:szCs w:val="22"/>
          <w:lang w:val="hr-HR"/>
        </w:rPr>
      </w:pPr>
      <w:r w:rsidRPr="00510442">
        <w:rPr>
          <w:color w:val="000000"/>
          <w:szCs w:val="22"/>
          <w:lang w:val="hr-HR"/>
        </w:rPr>
        <w:t xml:space="preserve">Osim toga, dodatnih 24 bolesnika s </w:t>
      </w:r>
      <w:smartTag w:uri="urn:schemas-microsoft-com:office:smarttags" w:element="stockticker">
        <w:r w:rsidRPr="00510442">
          <w:rPr>
            <w:color w:val="000000"/>
            <w:szCs w:val="22"/>
            <w:lang w:val="hr-HR"/>
          </w:rPr>
          <w:t>MDS</w:t>
        </w:r>
      </w:smartTag>
      <w:r w:rsidRPr="00510442">
        <w:rPr>
          <w:color w:val="000000"/>
          <w:szCs w:val="22"/>
          <w:lang w:val="hr-HR"/>
        </w:rPr>
        <w:t xml:space="preserve">/MPD-om je zabilježeno u 13 publikacija. 21 bolesnik je liječen </w:t>
      </w:r>
      <w:r w:rsidR="00B27A2B">
        <w:rPr>
          <w:szCs w:val="22"/>
          <w:lang w:val="hr-HR"/>
        </w:rPr>
        <w:t xml:space="preserve">lijekom </w:t>
      </w:r>
      <w:r w:rsidRPr="00510442">
        <w:rPr>
          <w:color w:val="000000"/>
          <w:szCs w:val="22"/>
          <w:lang w:val="hr-HR"/>
        </w:rPr>
        <w:t xml:space="preserve">Glivec 400 mg na dan, dok su preostala 3 bolesnika primala niže doze. U jedanaest bolesnika otkrivene su preraspodjele PDGFR gena, od kojih je 9 postiglo </w:t>
      </w:r>
      <w:smartTag w:uri="urn:schemas-microsoft-com:office:smarttags" w:element="stockticker">
        <w:r w:rsidRPr="00510442">
          <w:rPr>
            <w:color w:val="000000"/>
            <w:szCs w:val="22"/>
            <w:lang w:val="hr-HR"/>
          </w:rPr>
          <w:t>CHR</w:t>
        </w:r>
      </w:smartTag>
      <w:r w:rsidRPr="00510442">
        <w:rPr>
          <w:color w:val="000000"/>
          <w:szCs w:val="22"/>
          <w:lang w:val="hr-HR"/>
        </w:rPr>
        <w:t>, a 1 PHR. Starost tih bolesnika se kretala od 2 do 79 godina. U nedavnoj publikaciji, novije informacije o 6 od tih 11 bolesnika otkrile su da su svi ti bolesnici ostali u citogenetskoj remisiji (raspon 32</w:t>
      </w:r>
      <w:r w:rsidRPr="00510442">
        <w:rPr>
          <w:color w:val="000000"/>
          <w:szCs w:val="22"/>
          <w:lang w:val="hr-HR"/>
        </w:rPr>
        <w:noBreakHyphen/>
        <w:t xml:space="preserve">38 mjeseci). Ista publikacija je objavila i podatke dugotrajnog praćenja od 12 MDS/MPD bolesnika s preraspodjelom PDGFR gena (5 bolesnika iz studije B2225). Ti su bolesnici primali Glivec za medijan od 47 mjeseci (raspon 24 dana – 60 mjeseci). U 6 od tih bolesnika praćenje sada premašuje 4 godine. Jedanaest </w:t>
      </w:r>
      <w:r w:rsidRPr="00510442">
        <w:rPr>
          <w:color w:val="000000"/>
          <w:szCs w:val="22"/>
          <w:lang w:val="hr-HR"/>
        </w:rPr>
        <w:lastRenderedPageBreak/>
        <w:t xml:space="preserve">bolesnika postiglo je brzi </w:t>
      </w:r>
      <w:smartTag w:uri="urn:schemas-microsoft-com:office:smarttags" w:element="stockticker">
        <w:r w:rsidRPr="00510442">
          <w:rPr>
            <w:color w:val="000000"/>
            <w:szCs w:val="22"/>
            <w:lang w:val="hr-HR"/>
          </w:rPr>
          <w:t>CHR</w:t>
        </w:r>
      </w:smartTag>
      <w:r w:rsidRPr="00510442">
        <w:rPr>
          <w:color w:val="000000"/>
          <w:szCs w:val="22"/>
          <w:lang w:val="hr-HR"/>
        </w:rPr>
        <w:t xml:space="preserve">; deset je imalo potpun </w:t>
      </w:r>
      <w:r w:rsidRPr="00510442">
        <w:rPr>
          <w:szCs w:val="22"/>
          <w:lang w:val="hr-HR"/>
        </w:rPr>
        <w:t>nestanak</w:t>
      </w:r>
      <w:r w:rsidRPr="00510442">
        <w:rPr>
          <w:color w:val="000000"/>
          <w:szCs w:val="22"/>
          <w:lang w:val="hr-HR"/>
        </w:rPr>
        <w:t xml:space="preserve"> citogenetskih abnormalnosti te smanjenje ili nestanak fuzijskih transkripcija mjereno RT-</w:t>
      </w:r>
      <w:smartTag w:uri="urn:schemas-microsoft-com:office:smarttags" w:element="stockticker">
        <w:r w:rsidRPr="00510442">
          <w:rPr>
            <w:color w:val="000000"/>
            <w:szCs w:val="22"/>
            <w:lang w:val="hr-HR"/>
          </w:rPr>
          <w:t>PCR</w:t>
        </w:r>
      </w:smartTag>
      <w:r w:rsidRPr="00510442">
        <w:rPr>
          <w:color w:val="000000"/>
          <w:szCs w:val="22"/>
          <w:lang w:val="hr-HR"/>
        </w:rPr>
        <w:t>-om. Hematološki i citogenetski odgovori su se održali za medijan od 49 mjeseci (raspon 19</w:t>
      </w:r>
      <w:r w:rsidRPr="00510442">
        <w:rPr>
          <w:color w:val="000000"/>
          <w:szCs w:val="22"/>
          <w:lang w:val="hr-HR"/>
        </w:rPr>
        <w:noBreakHyphen/>
        <w:t>60), odnosno 47 mjeseci (raspon 16</w:t>
      </w:r>
      <w:r w:rsidRPr="00510442">
        <w:rPr>
          <w:color w:val="000000"/>
          <w:szCs w:val="22"/>
          <w:lang w:val="hr-HR"/>
        </w:rPr>
        <w:noBreakHyphen/>
        <w:t>59). Ukupno preživljenje iznosi 65 mjeseci od dijagnoze (raspon 25</w:t>
      </w:r>
      <w:r w:rsidRPr="00510442">
        <w:rPr>
          <w:color w:val="000000"/>
          <w:szCs w:val="22"/>
          <w:lang w:val="hr-HR"/>
        </w:rPr>
        <w:noBreakHyphen/>
        <w:t xml:space="preserve">234). Primjena </w:t>
      </w:r>
      <w:r w:rsidR="004007D1" w:rsidRPr="00512481">
        <w:rPr>
          <w:szCs w:val="22"/>
          <w:lang w:val="hr-HR"/>
        </w:rPr>
        <w:t xml:space="preserve">lijeka </w:t>
      </w:r>
      <w:r w:rsidRPr="00510442">
        <w:rPr>
          <w:color w:val="000000"/>
          <w:szCs w:val="22"/>
          <w:lang w:val="hr-HR"/>
        </w:rPr>
        <w:t>Glivec bez genetske translokacije obično ne rezultira poboljšanjem.</w:t>
      </w:r>
    </w:p>
    <w:p w14:paraId="42022EBF" w14:textId="77777777" w:rsidR="00BE41B8" w:rsidRPr="00510442" w:rsidRDefault="00BE41B8" w:rsidP="00BE41B8">
      <w:pPr>
        <w:pStyle w:val="EndnoteText"/>
        <w:widowControl w:val="0"/>
        <w:tabs>
          <w:tab w:val="clear" w:pos="567"/>
        </w:tabs>
        <w:rPr>
          <w:color w:val="000000"/>
          <w:szCs w:val="22"/>
          <w:lang w:val="hr-HR"/>
        </w:rPr>
      </w:pPr>
    </w:p>
    <w:p w14:paraId="68C83BD0" w14:textId="77777777" w:rsidR="00BE41B8" w:rsidRPr="00510442" w:rsidRDefault="00BE41B8" w:rsidP="00BE41B8">
      <w:pPr>
        <w:pStyle w:val="EndnoteText"/>
        <w:widowControl w:val="0"/>
        <w:tabs>
          <w:tab w:val="clear" w:pos="567"/>
        </w:tabs>
        <w:rPr>
          <w:color w:val="000000"/>
          <w:szCs w:val="22"/>
          <w:lang w:val="hr-HR"/>
        </w:rPr>
      </w:pPr>
      <w:r w:rsidRPr="00510442">
        <w:rPr>
          <w:color w:val="000000"/>
          <w:szCs w:val="22"/>
          <w:lang w:val="hr-HR"/>
        </w:rPr>
        <w:t>Nema kontroliranih ispitivanja u pedijatrijskih bolesnika s MDS/MPD-om. U 4 publikacije zabilježeno je pet (5) bolesnika s MDS/MPD-om povezanim s preraspodjelom gena za PDGFR. Dob tih bolesnika bila je u rasponu od 3 mjeseca do 4 godine, a imatinib se primjenjivao u dozi od 50 mg na dan ili dozama u rasponu od 92,5 do 340 mg/m</w:t>
      </w:r>
      <w:r w:rsidRPr="00510442">
        <w:rPr>
          <w:color w:val="000000"/>
          <w:szCs w:val="22"/>
          <w:vertAlign w:val="superscript"/>
          <w:lang w:val="hr-HR"/>
        </w:rPr>
        <w:t>2</w:t>
      </w:r>
      <w:r w:rsidRPr="00510442">
        <w:rPr>
          <w:color w:val="000000"/>
          <w:szCs w:val="22"/>
          <w:lang w:val="hr-HR"/>
        </w:rPr>
        <w:t xml:space="preserve"> na dan. Svi su bolesnici postigli potpuni hematološki odgovor, citogenetski odgovor i/ili klinički odgovor.</w:t>
      </w:r>
    </w:p>
    <w:p w14:paraId="64AB8003" w14:textId="77777777" w:rsidR="00BE41B8" w:rsidRPr="00510442" w:rsidRDefault="00BE41B8" w:rsidP="00BE41B8">
      <w:pPr>
        <w:pStyle w:val="EndnoteText"/>
        <w:widowControl w:val="0"/>
        <w:tabs>
          <w:tab w:val="clear" w:pos="567"/>
        </w:tabs>
        <w:rPr>
          <w:color w:val="000000"/>
          <w:szCs w:val="22"/>
          <w:lang w:val="hr-HR"/>
        </w:rPr>
      </w:pPr>
    </w:p>
    <w:p w14:paraId="225AF10C" w14:textId="77777777" w:rsidR="00BE41B8" w:rsidRPr="00510442" w:rsidRDefault="00BE41B8" w:rsidP="0063591E">
      <w:pPr>
        <w:pStyle w:val="EndnoteText"/>
        <w:keepNext/>
        <w:widowControl w:val="0"/>
        <w:outlineLvl w:val="0"/>
        <w:rPr>
          <w:color w:val="000000"/>
          <w:szCs w:val="22"/>
          <w:u w:val="single"/>
          <w:lang w:val="hr-HR"/>
        </w:rPr>
      </w:pPr>
      <w:r w:rsidRPr="00510442">
        <w:rPr>
          <w:color w:val="000000"/>
          <w:szCs w:val="22"/>
          <w:u w:val="single"/>
          <w:lang w:val="hr-HR"/>
        </w:rPr>
        <w:t>Klinička ispitivanja kod HES/KEL-a</w:t>
      </w:r>
    </w:p>
    <w:p w14:paraId="15DE19CD" w14:textId="28F5825D" w:rsidR="00BE41B8" w:rsidRPr="00510442" w:rsidRDefault="00BE41B8" w:rsidP="00BE41B8">
      <w:pPr>
        <w:pStyle w:val="EndnoteText"/>
        <w:widowControl w:val="0"/>
        <w:rPr>
          <w:color w:val="000000"/>
          <w:szCs w:val="22"/>
          <w:lang w:val="hr-HR"/>
        </w:rPr>
      </w:pPr>
      <w:r w:rsidRPr="00510442">
        <w:rPr>
          <w:color w:val="000000"/>
          <w:szCs w:val="22"/>
          <w:lang w:val="hr-HR"/>
        </w:rPr>
        <w:t xml:space="preserve">Provedeno je jedno otvoreno, multicentrično kliničko ispitivanje faze II (studija B2225) za ispitivanje </w:t>
      </w:r>
      <w:r w:rsidR="004007D1" w:rsidRPr="00512481">
        <w:rPr>
          <w:szCs w:val="22"/>
          <w:lang w:val="hr-HR"/>
        </w:rPr>
        <w:t xml:space="preserve">lijeka </w:t>
      </w:r>
      <w:r w:rsidRPr="00510442">
        <w:rPr>
          <w:color w:val="000000"/>
          <w:szCs w:val="22"/>
          <w:lang w:val="hr-HR"/>
        </w:rPr>
        <w:t>Glivec u raznim populacijama bolesnika koji pate od bolesti opasnih po život povezanih s Abl, Kit ili PDGFR protein tirozin kinazama. U tom kliničkom ispitivanju, 14</w:t>
      </w:r>
      <w:r w:rsidRPr="00510442">
        <w:rPr>
          <w:color w:val="000000"/>
          <w:szCs w:val="22"/>
          <w:lang w:val="hr-HR" w:eastAsia="ja-JP"/>
        </w:rPr>
        <w:t> </w:t>
      </w:r>
      <w:r w:rsidRPr="00510442">
        <w:rPr>
          <w:color w:val="000000"/>
          <w:szCs w:val="22"/>
          <w:lang w:val="hr-HR"/>
        </w:rPr>
        <w:t xml:space="preserve">bolesnika s HES/KEL-om je liječeno </w:t>
      </w:r>
      <w:r w:rsidR="00B27A2B">
        <w:rPr>
          <w:szCs w:val="22"/>
          <w:lang w:val="hr-HR"/>
        </w:rPr>
        <w:t xml:space="preserve">lijekom </w:t>
      </w:r>
      <w:r w:rsidRPr="00510442">
        <w:rPr>
          <w:color w:val="000000"/>
          <w:szCs w:val="22"/>
          <w:lang w:val="hr-HR"/>
        </w:rPr>
        <w:t>Glivec od 100</w:t>
      </w:r>
      <w:r w:rsidRPr="00510442">
        <w:rPr>
          <w:color w:val="000000"/>
          <w:szCs w:val="22"/>
          <w:lang w:val="hr-HR" w:eastAsia="ja-JP"/>
        </w:rPr>
        <w:t> </w:t>
      </w:r>
      <w:r w:rsidRPr="00510442">
        <w:rPr>
          <w:color w:val="000000"/>
          <w:szCs w:val="22"/>
          <w:lang w:val="hr-HR"/>
        </w:rPr>
        <w:t>mg do 1000</w:t>
      </w:r>
      <w:r w:rsidRPr="00510442">
        <w:rPr>
          <w:color w:val="000000"/>
          <w:szCs w:val="22"/>
          <w:lang w:val="hr-HR" w:eastAsia="ja-JP"/>
        </w:rPr>
        <w:t> </w:t>
      </w:r>
      <w:r w:rsidRPr="00510442">
        <w:rPr>
          <w:color w:val="000000"/>
          <w:szCs w:val="22"/>
          <w:lang w:val="hr-HR"/>
        </w:rPr>
        <w:t>mg na dan. Dodatnih 162</w:t>
      </w:r>
      <w:r w:rsidRPr="00510442">
        <w:rPr>
          <w:color w:val="000000"/>
          <w:szCs w:val="22"/>
          <w:lang w:val="hr-HR" w:eastAsia="ja-JP"/>
        </w:rPr>
        <w:t> </w:t>
      </w:r>
      <w:r w:rsidRPr="00510442">
        <w:rPr>
          <w:color w:val="000000"/>
          <w:szCs w:val="22"/>
          <w:lang w:val="hr-HR"/>
        </w:rPr>
        <w:t>bolesnika s HES/KEL-om, zabilježenih u 35</w:t>
      </w:r>
      <w:r w:rsidRPr="00510442">
        <w:rPr>
          <w:color w:val="000000"/>
          <w:szCs w:val="22"/>
          <w:lang w:val="hr-HR" w:eastAsia="ja-JP"/>
        </w:rPr>
        <w:t> </w:t>
      </w:r>
      <w:r w:rsidRPr="00510442">
        <w:rPr>
          <w:color w:val="000000"/>
          <w:szCs w:val="22"/>
          <w:lang w:val="hr-HR"/>
        </w:rPr>
        <w:t>objavljenih prikaza slučajeva i serija slučajeva, primalo je Glivec u dozama od 75</w:t>
      </w:r>
      <w:r w:rsidRPr="00510442">
        <w:rPr>
          <w:color w:val="000000"/>
          <w:szCs w:val="22"/>
          <w:lang w:val="hr-HR" w:eastAsia="ja-JP"/>
        </w:rPr>
        <w:t> </w:t>
      </w:r>
      <w:r w:rsidRPr="00510442">
        <w:rPr>
          <w:color w:val="000000"/>
          <w:szCs w:val="22"/>
          <w:lang w:val="hr-HR"/>
        </w:rPr>
        <w:t>mg do 800</w:t>
      </w:r>
      <w:r w:rsidRPr="00510442">
        <w:rPr>
          <w:color w:val="000000"/>
          <w:szCs w:val="22"/>
          <w:lang w:val="hr-HR" w:eastAsia="ja-JP"/>
        </w:rPr>
        <w:t> </w:t>
      </w:r>
      <w:r w:rsidRPr="00510442">
        <w:rPr>
          <w:color w:val="000000"/>
          <w:szCs w:val="22"/>
          <w:lang w:val="hr-HR"/>
        </w:rPr>
        <w:t>mg na dan. Citogenetske abnormalnosti su procijenjene u 117 od ukupne populacije od 176</w:t>
      </w:r>
      <w:r w:rsidRPr="00510442">
        <w:rPr>
          <w:color w:val="000000"/>
          <w:szCs w:val="22"/>
          <w:lang w:val="hr-HR" w:eastAsia="ja-JP"/>
        </w:rPr>
        <w:t> </w:t>
      </w:r>
      <w:r w:rsidRPr="00510442">
        <w:rPr>
          <w:color w:val="000000"/>
          <w:szCs w:val="22"/>
          <w:lang w:val="hr-HR"/>
        </w:rPr>
        <w:t>bolesnika. U 61 od tih 117</w:t>
      </w:r>
      <w:r w:rsidRPr="00510442">
        <w:rPr>
          <w:color w:val="000000"/>
          <w:szCs w:val="22"/>
          <w:lang w:val="hr-HR" w:eastAsia="ja-JP"/>
        </w:rPr>
        <w:t> </w:t>
      </w:r>
      <w:r w:rsidRPr="00510442">
        <w:rPr>
          <w:color w:val="000000"/>
          <w:szCs w:val="22"/>
          <w:lang w:val="hr-HR"/>
        </w:rPr>
        <w:t>bolesnika identificirana je FIP1L1-PDGFRα fuzijska kinaza. Dodatna četiri HES bolesnika su otkrivena kao FIP1L1-PDGFRα-pozitivni u druga 3</w:t>
      </w:r>
      <w:r w:rsidRPr="00510442">
        <w:rPr>
          <w:color w:val="000000"/>
          <w:szCs w:val="22"/>
          <w:lang w:val="hr-HR" w:eastAsia="ja-JP"/>
        </w:rPr>
        <w:t> </w:t>
      </w:r>
      <w:r w:rsidRPr="00510442">
        <w:rPr>
          <w:color w:val="000000"/>
          <w:szCs w:val="22"/>
          <w:lang w:val="hr-HR"/>
        </w:rPr>
        <w:t>objavljenja slučaja. Svih 65</w:t>
      </w:r>
      <w:r w:rsidRPr="00510442">
        <w:rPr>
          <w:color w:val="000000"/>
          <w:szCs w:val="22"/>
          <w:lang w:val="hr-HR" w:eastAsia="ja-JP"/>
        </w:rPr>
        <w:t> </w:t>
      </w:r>
      <w:r w:rsidRPr="00510442">
        <w:rPr>
          <w:color w:val="000000"/>
          <w:szCs w:val="22"/>
          <w:lang w:val="hr-HR"/>
        </w:rPr>
        <w:t xml:space="preserve">bolesnika s pozitivnom FIP1L1-PDGFRα fuzijskom kinazom postiglo je CHR održan mjesecima (raspon od 1+ do 44+ mjeseci </w:t>
      </w:r>
      <w:r w:rsidRPr="00510442">
        <w:rPr>
          <w:szCs w:val="22"/>
          <w:lang w:val="hr-HR"/>
        </w:rPr>
        <w:t xml:space="preserve">izostavljen </w:t>
      </w:r>
      <w:r w:rsidRPr="00510442">
        <w:rPr>
          <w:color w:val="000000"/>
          <w:szCs w:val="22"/>
          <w:lang w:val="hr-HR"/>
        </w:rPr>
        <w:t>u trenutku izvještavanja). Kao što je zabilježeno u nedavnoj publikaciji, 21 od tih 65</w:t>
      </w:r>
      <w:r w:rsidRPr="00510442">
        <w:rPr>
          <w:color w:val="000000"/>
          <w:szCs w:val="22"/>
          <w:lang w:val="hr-HR" w:eastAsia="ja-JP"/>
        </w:rPr>
        <w:t> </w:t>
      </w:r>
      <w:r w:rsidRPr="00510442">
        <w:rPr>
          <w:color w:val="000000"/>
          <w:szCs w:val="22"/>
          <w:lang w:val="hr-HR"/>
        </w:rPr>
        <w:t>bolesnika također je postigao potpunu molekularnu remisiju s medijanom praćenja od 28</w:t>
      </w:r>
      <w:r w:rsidRPr="00510442">
        <w:rPr>
          <w:color w:val="000000"/>
          <w:szCs w:val="22"/>
          <w:lang w:val="hr-HR" w:eastAsia="ja-JP"/>
        </w:rPr>
        <w:t> </w:t>
      </w:r>
      <w:r w:rsidRPr="00510442">
        <w:rPr>
          <w:color w:val="000000"/>
          <w:szCs w:val="22"/>
          <w:lang w:val="hr-HR"/>
        </w:rPr>
        <w:t>mjeseci (raspon 13</w:t>
      </w:r>
      <w:r w:rsidRPr="00510442">
        <w:rPr>
          <w:color w:val="000000"/>
          <w:szCs w:val="22"/>
          <w:lang w:val="hr-HR"/>
        </w:rPr>
        <w:noBreakHyphen/>
        <w:t>67</w:t>
      </w:r>
      <w:r w:rsidRPr="00510442">
        <w:rPr>
          <w:color w:val="000000"/>
          <w:szCs w:val="22"/>
          <w:lang w:val="hr-HR" w:eastAsia="ja-JP"/>
        </w:rPr>
        <w:t> </w:t>
      </w:r>
      <w:r w:rsidRPr="00510442">
        <w:rPr>
          <w:color w:val="000000"/>
          <w:szCs w:val="22"/>
          <w:lang w:val="hr-HR"/>
        </w:rPr>
        <w:t>mjeseci). Starost tih bolesnika kretala se od 25 do 72</w:t>
      </w:r>
      <w:r w:rsidRPr="00510442">
        <w:rPr>
          <w:color w:val="000000"/>
          <w:szCs w:val="22"/>
          <w:lang w:val="hr-HR" w:eastAsia="ja-JP"/>
        </w:rPr>
        <w:t> </w:t>
      </w:r>
      <w:r w:rsidRPr="00510442">
        <w:rPr>
          <w:color w:val="000000"/>
          <w:szCs w:val="22"/>
          <w:lang w:val="hr-HR"/>
        </w:rPr>
        <w:t>godine. Dodatno, ispitivači su u prikazima slučajeva zabilježili i poboljšanja u simptomatologiji i drugim abnormalnostima disfunkcije organa. Poboljšanja su zabilježena u srčanom, živčanom, koži/potkožnom tkivu, dišnom/prsištu/sredoprsju, mišićno-koštanom/vezivnom tkivu/krvožilnom i probavnom organskom sustavu.</w:t>
      </w:r>
    </w:p>
    <w:p w14:paraId="0490890B" w14:textId="77777777" w:rsidR="00BE41B8" w:rsidRPr="00510442" w:rsidRDefault="00BE41B8" w:rsidP="00BE41B8">
      <w:pPr>
        <w:pStyle w:val="EndnoteText"/>
        <w:widowControl w:val="0"/>
        <w:tabs>
          <w:tab w:val="clear" w:pos="567"/>
        </w:tabs>
        <w:rPr>
          <w:color w:val="000000"/>
          <w:szCs w:val="22"/>
          <w:lang w:val="hr-HR"/>
        </w:rPr>
      </w:pPr>
    </w:p>
    <w:p w14:paraId="37E62DFC" w14:textId="77777777" w:rsidR="00BE41B8" w:rsidRPr="00510442" w:rsidRDefault="00BE41B8" w:rsidP="00BE41B8">
      <w:pPr>
        <w:pStyle w:val="EndnoteText"/>
        <w:widowControl w:val="0"/>
        <w:tabs>
          <w:tab w:val="clear" w:pos="567"/>
        </w:tabs>
        <w:rPr>
          <w:color w:val="000000"/>
          <w:szCs w:val="22"/>
          <w:lang w:val="hr-HR"/>
        </w:rPr>
      </w:pPr>
      <w:r w:rsidRPr="00510442">
        <w:rPr>
          <w:color w:val="000000"/>
          <w:szCs w:val="22"/>
          <w:lang w:val="hr-HR"/>
        </w:rPr>
        <w:t>Nema kontroliranih ispitivanja u pedijatrijskih bolesnika s HES/KEL-om. U 3 publikacije zabilježena su tri (3) bolesnika s HES-om i KEL-om povezanim s preraspodjelom gena za PDGFR. Dob tih bolesnika bila je u rasponu od 2 do 16 godina, a imatinib se primjenjivao u dozi od 300 mg/m</w:t>
      </w:r>
      <w:r w:rsidRPr="00510442">
        <w:rPr>
          <w:color w:val="000000"/>
          <w:szCs w:val="22"/>
          <w:vertAlign w:val="superscript"/>
          <w:lang w:val="hr-HR"/>
        </w:rPr>
        <w:t>2</w:t>
      </w:r>
      <w:r w:rsidRPr="00510442">
        <w:rPr>
          <w:color w:val="000000"/>
          <w:szCs w:val="22"/>
          <w:lang w:val="hr-HR"/>
        </w:rPr>
        <w:t xml:space="preserve"> na dan ili u dozama u rasponu od 200 do 400 mg na dan. Svi su bolesnici postigli potpuni hematološki odgovor, potpuni citogenetski odgovor i/ili potpuni molekularni odgovor.</w:t>
      </w:r>
    </w:p>
    <w:p w14:paraId="147EDEDD" w14:textId="77777777" w:rsidR="00BE41B8" w:rsidRPr="00510442" w:rsidRDefault="00BE41B8" w:rsidP="00BE41B8">
      <w:pPr>
        <w:pStyle w:val="EndnoteText"/>
        <w:widowControl w:val="0"/>
        <w:tabs>
          <w:tab w:val="clear" w:pos="567"/>
        </w:tabs>
        <w:rPr>
          <w:color w:val="000000"/>
          <w:szCs w:val="22"/>
          <w:lang w:val="hr-HR"/>
        </w:rPr>
      </w:pPr>
    </w:p>
    <w:p w14:paraId="62386E3E" w14:textId="77777777" w:rsidR="00BE41B8" w:rsidRPr="00510442" w:rsidRDefault="00BE41B8" w:rsidP="0063591E">
      <w:pPr>
        <w:keepNext/>
        <w:spacing w:line="240" w:lineRule="auto"/>
        <w:outlineLvl w:val="0"/>
        <w:rPr>
          <w:szCs w:val="22"/>
          <w:u w:val="single"/>
          <w:lang w:val="hr-HR"/>
        </w:rPr>
      </w:pPr>
      <w:r w:rsidRPr="00510442">
        <w:rPr>
          <w:szCs w:val="22"/>
          <w:u w:val="single"/>
          <w:lang w:val="hr-HR"/>
        </w:rPr>
        <w:t>Klinička ispitivanja kod inoperabilnog i/ili metastazirajućeg GIST-a</w:t>
      </w:r>
    </w:p>
    <w:p w14:paraId="29EA35F0" w14:textId="77777777" w:rsidR="00BE41B8" w:rsidRPr="00510442" w:rsidRDefault="00BE41B8" w:rsidP="00BE41B8">
      <w:pPr>
        <w:spacing w:line="240" w:lineRule="auto"/>
        <w:rPr>
          <w:szCs w:val="22"/>
          <w:lang w:val="hr-HR"/>
        </w:rPr>
      </w:pPr>
      <w:r w:rsidRPr="00510442">
        <w:rPr>
          <w:szCs w:val="22"/>
          <w:lang w:val="hr-HR"/>
        </w:rPr>
        <w:t>Kod bolesnika s inoperabilnim ili metastazirajućim malignim gastrointestinalnim stromalnim tumorima (GIST) provedeno je jedno otvoreno, randomizirano, nekontrolirano, multinacionalno ispitivanje faze II. U to je ispitivanje uključeno i randomizirano 147</w:t>
      </w:r>
      <w:r w:rsidRPr="00510442">
        <w:rPr>
          <w:color w:val="000000"/>
          <w:szCs w:val="22"/>
          <w:lang w:val="hr-HR"/>
        </w:rPr>
        <w:t> </w:t>
      </w:r>
      <w:r w:rsidRPr="00510442">
        <w:rPr>
          <w:szCs w:val="22"/>
          <w:lang w:val="hr-HR"/>
        </w:rPr>
        <w:t>bolesnika kako bi na dan primali bilo 400</w:t>
      </w:r>
      <w:r w:rsidRPr="00510442">
        <w:rPr>
          <w:color w:val="000000"/>
          <w:szCs w:val="22"/>
          <w:lang w:val="hr-HR"/>
        </w:rPr>
        <w:t> </w:t>
      </w:r>
      <w:r w:rsidRPr="00510442">
        <w:rPr>
          <w:szCs w:val="22"/>
          <w:lang w:val="hr-HR"/>
        </w:rPr>
        <w:t>mg bilo 600</w:t>
      </w:r>
      <w:r w:rsidRPr="00510442">
        <w:rPr>
          <w:color w:val="000000"/>
          <w:szCs w:val="22"/>
          <w:lang w:val="hr-HR"/>
        </w:rPr>
        <w:t> </w:t>
      </w:r>
      <w:r w:rsidRPr="00510442">
        <w:rPr>
          <w:szCs w:val="22"/>
          <w:lang w:val="hr-HR"/>
        </w:rPr>
        <w:t>mg peroralno tijekom razdoblja do 36</w:t>
      </w:r>
      <w:r w:rsidRPr="00510442">
        <w:rPr>
          <w:color w:val="000000"/>
          <w:szCs w:val="22"/>
          <w:lang w:val="hr-HR"/>
        </w:rPr>
        <w:t> </w:t>
      </w:r>
      <w:r w:rsidRPr="00510442">
        <w:rPr>
          <w:szCs w:val="22"/>
          <w:lang w:val="hr-HR"/>
        </w:rPr>
        <w:t>mjeseci. Dob se tih bolesnika kretala od 18 do 83</w:t>
      </w:r>
      <w:r w:rsidRPr="00510442">
        <w:rPr>
          <w:color w:val="000000"/>
          <w:szCs w:val="22"/>
          <w:lang w:val="hr-HR"/>
        </w:rPr>
        <w:t> </w:t>
      </w:r>
      <w:r w:rsidRPr="00510442">
        <w:rPr>
          <w:szCs w:val="22"/>
          <w:lang w:val="hr-HR"/>
        </w:rPr>
        <w:t>godine, a imali su patološku dijagnozu Kit-pozitivnog malignog GIST-a koji je bio inoperabilan i/ili metastatski. Nakon pronalaska antigena, imunohistokemijske pretrage su rutinski provedene s Kit protutijelom (A-4502, poliklonski antiserum kunića, 1:100; DAKO Corporation, Carpinteria, Kalifornija) prema analizi metodom kompleksa avidin-biotin-peroksidaze.</w:t>
      </w:r>
    </w:p>
    <w:p w14:paraId="192403DE" w14:textId="77777777" w:rsidR="00BE41B8" w:rsidRPr="00510442" w:rsidRDefault="00BE41B8" w:rsidP="00BE41B8">
      <w:pPr>
        <w:spacing w:line="240" w:lineRule="auto"/>
        <w:rPr>
          <w:szCs w:val="22"/>
          <w:lang w:val="hr-HR"/>
        </w:rPr>
      </w:pPr>
    </w:p>
    <w:p w14:paraId="15B520A9" w14:textId="77777777" w:rsidR="00BE41B8" w:rsidRPr="00510442" w:rsidRDefault="00BE41B8" w:rsidP="00BE41B8">
      <w:pPr>
        <w:spacing w:line="240" w:lineRule="auto"/>
        <w:rPr>
          <w:szCs w:val="22"/>
          <w:lang w:val="hr-HR"/>
        </w:rPr>
      </w:pPr>
      <w:r w:rsidRPr="00510442">
        <w:rPr>
          <w:szCs w:val="22"/>
          <w:lang w:val="hr-HR"/>
        </w:rPr>
        <w:t>Primarni dokaz djelotvornosti temeljio se na objektivnim stopama odgovora. Za tumore je bilo potrebno da se mogu mjeriti na barem jednom mjestu bolesti, a karakterizacija odgovora bila je temeljena na kriterijima grupacije Southwestern Oncology Group (SWOG). Rezultati su prikazani u Tablici</w:t>
      </w:r>
      <w:r w:rsidRPr="00510442">
        <w:rPr>
          <w:color w:val="000000"/>
          <w:szCs w:val="22"/>
          <w:lang w:val="hr-HR"/>
        </w:rPr>
        <w:t> </w:t>
      </w:r>
      <w:r w:rsidR="004C7699" w:rsidRPr="00510442">
        <w:rPr>
          <w:szCs w:val="22"/>
          <w:lang w:val="hr-HR"/>
        </w:rPr>
        <w:t>6</w:t>
      </w:r>
      <w:r w:rsidRPr="00510442">
        <w:rPr>
          <w:szCs w:val="22"/>
          <w:lang w:val="hr-HR"/>
        </w:rPr>
        <w:t>.</w:t>
      </w:r>
    </w:p>
    <w:p w14:paraId="60B2B208" w14:textId="77777777" w:rsidR="00BE41B8" w:rsidRPr="00510442" w:rsidRDefault="00BE41B8" w:rsidP="00BE41B8">
      <w:pPr>
        <w:pStyle w:val="EndnoteText"/>
        <w:widowControl w:val="0"/>
        <w:tabs>
          <w:tab w:val="clear" w:pos="567"/>
        </w:tabs>
        <w:rPr>
          <w:color w:val="000000"/>
          <w:szCs w:val="22"/>
          <w:u w:val="single"/>
          <w:lang w:val="hr-HR"/>
        </w:rPr>
      </w:pPr>
    </w:p>
    <w:p w14:paraId="4264D76A" w14:textId="77777777" w:rsidR="00BE41B8" w:rsidRPr="00510442" w:rsidRDefault="00BE41B8" w:rsidP="0063591E">
      <w:pPr>
        <w:pStyle w:val="EndnoteText"/>
        <w:keepNext/>
        <w:widowControl w:val="0"/>
        <w:tabs>
          <w:tab w:val="clear" w:pos="567"/>
        </w:tabs>
        <w:ind w:left="1134" w:hanging="1134"/>
        <w:rPr>
          <w:b/>
          <w:color w:val="000000"/>
          <w:szCs w:val="22"/>
          <w:lang w:val="hr-HR"/>
        </w:rPr>
      </w:pPr>
      <w:r w:rsidRPr="00510442">
        <w:rPr>
          <w:b/>
          <w:color w:val="000000"/>
          <w:szCs w:val="22"/>
          <w:lang w:val="hr-HR"/>
        </w:rPr>
        <w:lastRenderedPageBreak/>
        <w:t>Tablica </w:t>
      </w:r>
      <w:r w:rsidR="004C7699" w:rsidRPr="00510442">
        <w:rPr>
          <w:b/>
          <w:color w:val="000000"/>
          <w:szCs w:val="22"/>
          <w:lang w:val="hr-HR"/>
        </w:rPr>
        <w:t>6</w:t>
      </w:r>
      <w:r w:rsidRPr="00510442">
        <w:rPr>
          <w:b/>
          <w:color w:val="000000"/>
          <w:szCs w:val="22"/>
          <w:lang w:val="hr-HR"/>
        </w:rPr>
        <w:tab/>
      </w:r>
      <w:r w:rsidRPr="00510442">
        <w:rPr>
          <w:b/>
          <w:szCs w:val="22"/>
          <w:lang w:val="hr-HR"/>
        </w:rPr>
        <w:t>Najbolji tumorski odgovor u ispitivanju STIB2222 (GIST)</w:t>
      </w:r>
    </w:p>
    <w:p w14:paraId="31A8D6AC" w14:textId="77777777" w:rsidR="00BE41B8" w:rsidRPr="00510442" w:rsidRDefault="00BE41B8" w:rsidP="0063591E">
      <w:pPr>
        <w:pStyle w:val="EndnoteText"/>
        <w:keepNext/>
        <w:widowControl w:val="0"/>
        <w:tabs>
          <w:tab w:val="clear" w:pos="567"/>
        </w:tabs>
        <w:rPr>
          <w:color w:val="000000"/>
          <w:szCs w:val="22"/>
          <w:lang w:val="hr-H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5"/>
        <w:gridCol w:w="4252"/>
      </w:tblGrid>
      <w:tr w:rsidR="00BE41B8" w:rsidRPr="00510442" w14:paraId="72276922" w14:textId="77777777" w:rsidTr="0063591E">
        <w:trPr>
          <w:cantSplit/>
        </w:trPr>
        <w:tc>
          <w:tcPr>
            <w:tcW w:w="4395" w:type="dxa"/>
            <w:tcBorders>
              <w:left w:val="nil"/>
              <w:bottom w:val="single" w:sz="4" w:space="0" w:color="auto"/>
              <w:right w:val="nil"/>
            </w:tcBorders>
          </w:tcPr>
          <w:p w14:paraId="3540642B" w14:textId="77777777" w:rsidR="00BE41B8" w:rsidRPr="00510442" w:rsidRDefault="00BE41B8" w:rsidP="0063591E">
            <w:pPr>
              <w:pStyle w:val="EndnoteText"/>
              <w:keepNext/>
              <w:widowControl w:val="0"/>
              <w:tabs>
                <w:tab w:val="clear" w:pos="567"/>
              </w:tabs>
              <w:rPr>
                <w:color w:val="000000"/>
                <w:szCs w:val="22"/>
                <w:lang w:val="hr-HR"/>
              </w:rPr>
            </w:pPr>
          </w:p>
          <w:p w14:paraId="024F9DBE" w14:textId="77777777" w:rsidR="00BE41B8" w:rsidRPr="00510442" w:rsidRDefault="00BE41B8" w:rsidP="0063591E">
            <w:pPr>
              <w:pStyle w:val="EndnoteText"/>
              <w:keepNext/>
              <w:widowControl w:val="0"/>
              <w:tabs>
                <w:tab w:val="clear" w:pos="567"/>
              </w:tabs>
              <w:rPr>
                <w:color w:val="000000"/>
                <w:szCs w:val="22"/>
                <w:lang w:val="hr-HR"/>
              </w:rPr>
            </w:pPr>
          </w:p>
          <w:p w14:paraId="43632683" w14:textId="77777777" w:rsidR="00BE41B8" w:rsidRPr="00510442" w:rsidRDefault="00BE41B8" w:rsidP="0063591E">
            <w:pPr>
              <w:pStyle w:val="EndnoteText"/>
              <w:keepNext/>
              <w:widowControl w:val="0"/>
              <w:tabs>
                <w:tab w:val="clear" w:pos="567"/>
              </w:tabs>
              <w:rPr>
                <w:color w:val="000000"/>
                <w:szCs w:val="22"/>
                <w:lang w:val="hr-HR"/>
              </w:rPr>
            </w:pPr>
          </w:p>
          <w:p w14:paraId="4DC95B0A" w14:textId="77777777" w:rsidR="00BE41B8" w:rsidRPr="00510442" w:rsidRDefault="00BE41B8" w:rsidP="0063591E">
            <w:pPr>
              <w:pStyle w:val="EndnoteText"/>
              <w:keepNext/>
              <w:widowControl w:val="0"/>
              <w:tabs>
                <w:tab w:val="clear" w:pos="567"/>
              </w:tabs>
              <w:rPr>
                <w:color w:val="000000"/>
                <w:szCs w:val="22"/>
                <w:lang w:val="hr-HR"/>
              </w:rPr>
            </w:pPr>
            <w:r w:rsidRPr="00510442">
              <w:rPr>
                <w:szCs w:val="22"/>
                <w:lang w:val="hr-HR"/>
              </w:rPr>
              <w:t>Najbolji odgovor</w:t>
            </w:r>
          </w:p>
        </w:tc>
        <w:tc>
          <w:tcPr>
            <w:tcW w:w="4252" w:type="dxa"/>
            <w:tcBorders>
              <w:left w:val="nil"/>
              <w:bottom w:val="single" w:sz="4" w:space="0" w:color="auto"/>
              <w:right w:val="nil"/>
            </w:tcBorders>
          </w:tcPr>
          <w:p w14:paraId="40B66B3F" w14:textId="77777777" w:rsidR="00BE41B8" w:rsidRPr="00510442" w:rsidRDefault="00BE41B8" w:rsidP="0063591E">
            <w:pPr>
              <w:pStyle w:val="EndnoteText"/>
              <w:keepNext/>
              <w:widowControl w:val="0"/>
              <w:tabs>
                <w:tab w:val="clear" w:pos="567"/>
              </w:tabs>
              <w:jc w:val="center"/>
              <w:rPr>
                <w:color w:val="000000"/>
                <w:szCs w:val="22"/>
                <w:lang w:val="hr-HR"/>
              </w:rPr>
            </w:pPr>
            <w:r w:rsidRPr="00510442">
              <w:rPr>
                <w:color w:val="000000"/>
                <w:szCs w:val="22"/>
                <w:lang w:val="hr-HR"/>
              </w:rPr>
              <w:t>Sve doze (n=147)</w:t>
            </w:r>
          </w:p>
          <w:p w14:paraId="313D16D8" w14:textId="77777777" w:rsidR="00BE41B8" w:rsidRPr="00510442" w:rsidRDefault="00BE41B8" w:rsidP="0063591E">
            <w:pPr>
              <w:pStyle w:val="EndnoteText"/>
              <w:keepNext/>
              <w:widowControl w:val="0"/>
              <w:tabs>
                <w:tab w:val="clear" w:pos="567"/>
              </w:tabs>
              <w:jc w:val="center"/>
              <w:rPr>
                <w:color w:val="000000"/>
                <w:szCs w:val="22"/>
                <w:lang w:val="hr-HR"/>
              </w:rPr>
            </w:pPr>
            <w:r w:rsidRPr="00510442">
              <w:rPr>
                <w:color w:val="000000"/>
                <w:szCs w:val="22"/>
                <w:lang w:val="hr-HR"/>
              </w:rPr>
              <w:t>400 mg (n=73)</w:t>
            </w:r>
          </w:p>
          <w:p w14:paraId="0FA236D6" w14:textId="77777777" w:rsidR="00BE41B8" w:rsidRPr="00510442" w:rsidRDefault="00BE41B8" w:rsidP="0063591E">
            <w:pPr>
              <w:pStyle w:val="EndnoteText"/>
              <w:keepNext/>
              <w:widowControl w:val="0"/>
              <w:tabs>
                <w:tab w:val="clear" w:pos="567"/>
              </w:tabs>
              <w:jc w:val="center"/>
              <w:rPr>
                <w:color w:val="000000"/>
                <w:szCs w:val="22"/>
                <w:lang w:val="hr-HR"/>
              </w:rPr>
            </w:pPr>
            <w:r w:rsidRPr="00510442">
              <w:rPr>
                <w:color w:val="000000"/>
                <w:szCs w:val="22"/>
                <w:lang w:val="hr-HR"/>
              </w:rPr>
              <w:t>600 mg (n=74)</w:t>
            </w:r>
          </w:p>
          <w:p w14:paraId="5D1E6577" w14:textId="77777777" w:rsidR="00BE41B8" w:rsidRPr="00510442" w:rsidRDefault="00BE41B8" w:rsidP="0063591E">
            <w:pPr>
              <w:pStyle w:val="EndnoteText"/>
              <w:keepNext/>
              <w:widowControl w:val="0"/>
              <w:tabs>
                <w:tab w:val="clear" w:pos="567"/>
              </w:tabs>
              <w:jc w:val="center"/>
              <w:rPr>
                <w:color w:val="000000"/>
                <w:szCs w:val="22"/>
                <w:lang w:val="hr-HR"/>
              </w:rPr>
            </w:pPr>
            <w:r w:rsidRPr="00510442">
              <w:rPr>
                <w:color w:val="000000"/>
                <w:szCs w:val="22"/>
                <w:lang w:val="hr-HR"/>
              </w:rPr>
              <w:t>n (%)</w:t>
            </w:r>
          </w:p>
        </w:tc>
      </w:tr>
      <w:tr w:rsidR="00BE41B8" w:rsidRPr="00510442" w14:paraId="69EAF46E" w14:textId="77777777" w:rsidTr="0063591E">
        <w:trPr>
          <w:cantSplit/>
        </w:trPr>
        <w:tc>
          <w:tcPr>
            <w:tcW w:w="4395" w:type="dxa"/>
            <w:tcBorders>
              <w:top w:val="nil"/>
              <w:left w:val="nil"/>
              <w:bottom w:val="nil"/>
              <w:right w:val="nil"/>
            </w:tcBorders>
          </w:tcPr>
          <w:p w14:paraId="6CF9348F" w14:textId="77777777" w:rsidR="00BE41B8" w:rsidRPr="00510442" w:rsidRDefault="00BE41B8" w:rsidP="0063591E">
            <w:pPr>
              <w:pStyle w:val="EndnoteText"/>
              <w:keepNext/>
              <w:widowControl w:val="0"/>
              <w:tabs>
                <w:tab w:val="clear" w:pos="567"/>
              </w:tabs>
              <w:rPr>
                <w:color w:val="000000"/>
                <w:szCs w:val="22"/>
                <w:lang w:val="hr-HR"/>
              </w:rPr>
            </w:pPr>
            <w:r w:rsidRPr="00510442">
              <w:rPr>
                <w:szCs w:val="22"/>
                <w:lang w:val="hr-HR"/>
              </w:rPr>
              <w:t>Potpuni odgovor</w:t>
            </w:r>
          </w:p>
        </w:tc>
        <w:tc>
          <w:tcPr>
            <w:tcW w:w="4252" w:type="dxa"/>
            <w:tcBorders>
              <w:top w:val="nil"/>
              <w:left w:val="nil"/>
              <w:bottom w:val="nil"/>
              <w:right w:val="nil"/>
            </w:tcBorders>
          </w:tcPr>
          <w:p w14:paraId="2F6251DA" w14:textId="77777777" w:rsidR="00BE41B8" w:rsidRPr="00510442" w:rsidRDefault="00BE41B8" w:rsidP="0063591E">
            <w:pPr>
              <w:pStyle w:val="EndnoteText"/>
              <w:keepNext/>
              <w:widowControl w:val="0"/>
              <w:tabs>
                <w:tab w:val="clear" w:pos="567"/>
              </w:tabs>
              <w:jc w:val="center"/>
              <w:rPr>
                <w:color w:val="000000"/>
                <w:szCs w:val="22"/>
                <w:lang w:val="hr-HR"/>
              </w:rPr>
            </w:pPr>
            <w:r w:rsidRPr="00510442">
              <w:rPr>
                <w:rFonts w:eastAsia="MS Mincho"/>
                <w:color w:val="000000"/>
                <w:szCs w:val="22"/>
                <w:lang w:val="hr-HR"/>
              </w:rPr>
              <w:t>1 (0,7)</w:t>
            </w:r>
          </w:p>
        </w:tc>
      </w:tr>
      <w:tr w:rsidR="00BE41B8" w:rsidRPr="00510442" w14:paraId="47D00457" w14:textId="77777777" w:rsidTr="0063591E">
        <w:trPr>
          <w:cantSplit/>
        </w:trPr>
        <w:tc>
          <w:tcPr>
            <w:tcW w:w="4395" w:type="dxa"/>
            <w:tcBorders>
              <w:top w:val="nil"/>
              <w:left w:val="nil"/>
              <w:bottom w:val="nil"/>
              <w:right w:val="nil"/>
            </w:tcBorders>
          </w:tcPr>
          <w:p w14:paraId="75B010CD" w14:textId="77777777" w:rsidR="00BE41B8" w:rsidRPr="00510442" w:rsidRDefault="00BE41B8" w:rsidP="0063591E">
            <w:pPr>
              <w:pStyle w:val="EndnoteText"/>
              <w:keepNext/>
              <w:widowControl w:val="0"/>
              <w:tabs>
                <w:tab w:val="clear" w:pos="567"/>
              </w:tabs>
              <w:rPr>
                <w:color w:val="000000"/>
                <w:szCs w:val="22"/>
                <w:lang w:val="hr-HR"/>
              </w:rPr>
            </w:pPr>
            <w:r w:rsidRPr="00510442">
              <w:rPr>
                <w:szCs w:val="22"/>
                <w:lang w:val="hr-HR"/>
              </w:rPr>
              <w:t>Djelomični odgovor</w:t>
            </w:r>
          </w:p>
        </w:tc>
        <w:tc>
          <w:tcPr>
            <w:tcW w:w="4252" w:type="dxa"/>
            <w:tcBorders>
              <w:top w:val="nil"/>
              <w:left w:val="nil"/>
              <w:bottom w:val="nil"/>
              <w:right w:val="nil"/>
            </w:tcBorders>
          </w:tcPr>
          <w:p w14:paraId="7E817770" w14:textId="77777777" w:rsidR="00BE41B8" w:rsidRPr="00510442" w:rsidRDefault="00BE41B8" w:rsidP="0063591E">
            <w:pPr>
              <w:pStyle w:val="EndnoteText"/>
              <w:keepNext/>
              <w:widowControl w:val="0"/>
              <w:tabs>
                <w:tab w:val="clear" w:pos="567"/>
              </w:tabs>
              <w:jc w:val="center"/>
              <w:rPr>
                <w:color w:val="000000"/>
                <w:szCs w:val="22"/>
                <w:lang w:val="hr-HR"/>
              </w:rPr>
            </w:pPr>
            <w:r w:rsidRPr="00510442">
              <w:rPr>
                <w:rFonts w:eastAsia="MS Mincho"/>
                <w:color w:val="000000"/>
                <w:szCs w:val="22"/>
                <w:lang w:val="hr-HR"/>
              </w:rPr>
              <w:t>98 (66,7)</w:t>
            </w:r>
          </w:p>
        </w:tc>
      </w:tr>
      <w:tr w:rsidR="00BE41B8" w:rsidRPr="00510442" w14:paraId="2743BA2A" w14:textId="77777777" w:rsidTr="0063591E">
        <w:trPr>
          <w:cantSplit/>
        </w:trPr>
        <w:tc>
          <w:tcPr>
            <w:tcW w:w="4395" w:type="dxa"/>
            <w:tcBorders>
              <w:top w:val="nil"/>
              <w:left w:val="nil"/>
              <w:bottom w:val="nil"/>
              <w:right w:val="nil"/>
            </w:tcBorders>
          </w:tcPr>
          <w:p w14:paraId="124352CD" w14:textId="77777777" w:rsidR="00BE41B8" w:rsidRPr="00510442" w:rsidRDefault="00BE41B8" w:rsidP="0063591E">
            <w:pPr>
              <w:pStyle w:val="EndnoteText"/>
              <w:keepNext/>
              <w:widowControl w:val="0"/>
              <w:tabs>
                <w:tab w:val="clear" w:pos="567"/>
              </w:tabs>
              <w:rPr>
                <w:color w:val="000000"/>
                <w:szCs w:val="22"/>
                <w:lang w:val="hr-HR"/>
              </w:rPr>
            </w:pPr>
            <w:r w:rsidRPr="00510442">
              <w:rPr>
                <w:szCs w:val="22"/>
                <w:lang w:val="hr-HR"/>
              </w:rPr>
              <w:t>Stabilna bolest</w:t>
            </w:r>
          </w:p>
        </w:tc>
        <w:tc>
          <w:tcPr>
            <w:tcW w:w="4252" w:type="dxa"/>
            <w:tcBorders>
              <w:top w:val="nil"/>
              <w:left w:val="nil"/>
              <w:bottom w:val="nil"/>
              <w:right w:val="nil"/>
            </w:tcBorders>
          </w:tcPr>
          <w:p w14:paraId="3BCC4A1B" w14:textId="77777777" w:rsidR="00BE41B8" w:rsidRPr="00510442" w:rsidRDefault="00BE41B8" w:rsidP="0063591E">
            <w:pPr>
              <w:pStyle w:val="EndnoteText"/>
              <w:keepNext/>
              <w:widowControl w:val="0"/>
              <w:tabs>
                <w:tab w:val="clear" w:pos="567"/>
              </w:tabs>
              <w:jc w:val="center"/>
              <w:rPr>
                <w:color w:val="000000"/>
                <w:szCs w:val="22"/>
                <w:lang w:val="hr-HR"/>
              </w:rPr>
            </w:pPr>
            <w:r w:rsidRPr="00510442">
              <w:rPr>
                <w:rFonts w:eastAsia="MS Mincho"/>
                <w:color w:val="000000"/>
                <w:szCs w:val="22"/>
                <w:lang w:val="hr-HR"/>
              </w:rPr>
              <w:t>23 (15,6)</w:t>
            </w:r>
          </w:p>
        </w:tc>
      </w:tr>
      <w:tr w:rsidR="00BE41B8" w:rsidRPr="00510442" w14:paraId="12A36D6C" w14:textId="77777777" w:rsidTr="0063591E">
        <w:trPr>
          <w:cantSplit/>
        </w:trPr>
        <w:tc>
          <w:tcPr>
            <w:tcW w:w="4395" w:type="dxa"/>
            <w:tcBorders>
              <w:top w:val="nil"/>
              <w:left w:val="nil"/>
              <w:bottom w:val="nil"/>
              <w:right w:val="nil"/>
            </w:tcBorders>
          </w:tcPr>
          <w:p w14:paraId="6C499441" w14:textId="77777777" w:rsidR="00BE41B8" w:rsidRPr="00510442" w:rsidRDefault="00BE41B8" w:rsidP="0063591E">
            <w:pPr>
              <w:pStyle w:val="EndnoteText"/>
              <w:keepNext/>
              <w:widowControl w:val="0"/>
              <w:tabs>
                <w:tab w:val="clear" w:pos="567"/>
              </w:tabs>
              <w:rPr>
                <w:color w:val="000000"/>
                <w:szCs w:val="22"/>
                <w:lang w:val="hr-HR"/>
              </w:rPr>
            </w:pPr>
            <w:r w:rsidRPr="00510442">
              <w:rPr>
                <w:szCs w:val="22"/>
                <w:lang w:val="hr-HR"/>
              </w:rPr>
              <w:t>Progresija bolesti</w:t>
            </w:r>
          </w:p>
        </w:tc>
        <w:tc>
          <w:tcPr>
            <w:tcW w:w="4252" w:type="dxa"/>
            <w:tcBorders>
              <w:top w:val="nil"/>
              <w:left w:val="nil"/>
              <w:bottom w:val="nil"/>
              <w:right w:val="nil"/>
            </w:tcBorders>
          </w:tcPr>
          <w:p w14:paraId="5DC967E4" w14:textId="77777777" w:rsidR="00BE41B8" w:rsidRPr="00510442" w:rsidRDefault="00BE41B8" w:rsidP="0063591E">
            <w:pPr>
              <w:pStyle w:val="EndnoteText"/>
              <w:keepNext/>
              <w:widowControl w:val="0"/>
              <w:tabs>
                <w:tab w:val="clear" w:pos="567"/>
              </w:tabs>
              <w:jc w:val="center"/>
              <w:rPr>
                <w:color w:val="000000"/>
                <w:szCs w:val="22"/>
                <w:lang w:val="hr-HR"/>
              </w:rPr>
            </w:pPr>
            <w:r w:rsidRPr="00510442">
              <w:rPr>
                <w:rFonts w:eastAsia="MS Mincho"/>
                <w:color w:val="000000"/>
                <w:szCs w:val="22"/>
                <w:lang w:val="hr-HR"/>
              </w:rPr>
              <w:t>18 (12,2)</w:t>
            </w:r>
          </w:p>
        </w:tc>
      </w:tr>
      <w:tr w:rsidR="00BE41B8" w:rsidRPr="00510442" w14:paraId="0D9B9BDC" w14:textId="77777777" w:rsidTr="0063591E">
        <w:trPr>
          <w:cantSplit/>
        </w:trPr>
        <w:tc>
          <w:tcPr>
            <w:tcW w:w="4395" w:type="dxa"/>
            <w:tcBorders>
              <w:top w:val="nil"/>
              <w:left w:val="nil"/>
              <w:bottom w:val="nil"/>
              <w:right w:val="nil"/>
            </w:tcBorders>
          </w:tcPr>
          <w:p w14:paraId="22A988AD" w14:textId="77777777" w:rsidR="00BE41B8" w:rsidRPr="00510442" w:rsidRDefault="00BE41B8" w:rsidP="0063591E">
            <w:pPr>
              <w:pStyle w:val="EndnoteText"/>
              <w:keepNext/>
              <w:widowControl w:val="0"/>
              <w:tabs>
                <w:tab w:val="clear" w:pos="567"/>
              </w:tabs>
              <w:rPr>
                <w:color w:val="000000"/>
                <w:szCs w:val="22"/>
                <w:lang w:val="hr-HR"/>
              </w:rPr>
            </w:pPr>
            <w:r w:rsidRPr="00510442">
              <w:rPr>
                <w:szCs w:val="22"/>
                <w:lang w:val="hr-HR"/>
              </w:rPr>
              <w:t>Neprocijenjeno</w:t>
            </w:r>
          </w:p>
        </w:tc>
        <w:tc>
          <w:tcPr>
            <w:tcW w:w="4252" w:type="dxa"/>
            <w:tcBorders>
              <w:top w:val="nil"/>
              <w:left w:val="nil"/>
              <w:bottom w:val="nil"/>
              <w:right w:val="nil"/>
            </w:tcBorders>
          </w:tcPr>
          <w:p w14:paraId="5CED106A" w14:textId="77777777" w:rsidR="00BE41B8" w:rsidRPr="00510442" w:rsidRDefault="00BE41B8" w:rsidP="0063591E">
            <w:pPr>
              <w:pStyle w:val="EndnoteText"/>
              <w:keepNext/>
              <w:widowControl w:val="0"/>
              <w:tabs>
                <w:tab w:val="clear" w:pos="567"/>
              </w:tabs>
              <w:jc w:val="center"/>
              <w:rPr>
                <w:color w:val="000000"/>
                <w:szCs w:val="22"/>
                <w:lang w:val="hr-HR"/>
              </w:rPr>
            </w:pPr>
            <w:r w:rsidRPr="00510442">
              <w:rPr>
                <w:rFonts w:eastAsia="MS Mincho"/>
                <w:color w:val="000000"/>
                <w:szCs w:val="22"/>
                <w:lang w:val="hr-HR"/>
              </w:rPr>
              <w:t>5 (3,4)</w:t>
            </w:r>
          </w:p>
        </w:tc>
      </w:tr>
      <w:tr w:rsidR="00BE41B8" w:rsidRPr="00510442" w14:paraId="23EC5B50" w14:textId="77777777" w:rsidTr="0063591E">
        <w:trPr>
          <w:cantSplit/>
        </w:trPr>
        <w:tc>
          <w:tcPr>
            <w:tcW w:w="4395" w:type="dxa"/>
            <w:tcBorders>
              <w:top w:val="nil"/>
              <w:left w:val="nil"/>
              <w:right w:val="nil"/>
            </w:tcBorders>
          </w:tcPr>
          <w:p w14:paraId="25B7093C" w14:textId="77777777" w:rsidR="00BE41B8" w:rsidRPr="00510442" w:rsidRDefault="00BE41B8" w:rsidP="00C210A6">
            <w:pPr>
              <w:pStyle w:val="EndnoteText"/>
              <w:widowControl w:val="0"/>
              <w:tabs>
                <w:tab w:val="clear" w:pos="567"/>
              </w:tabs>
              <w:rPr>
                <w:color w:val="000000"/>
                <w:szCs w:val="22"/>
                <w:lang w:val="hr-HR"/>
              </w:rPr>
            </w:pPr>
            <w:r w:rsidRPr="00510442">
              <w:rPr>
                <w:szCs w:val="22"/>
                <w:lang w:val="hr-HR"/>
              </w:rPr>
              <w:t>Nepoznato</w:t>
            </w:r>
          </w:p>
        </w:tc>
        <w:tc>
          <w:tcPr>
            <w:tcW w:w="4252" w:type="dxa"/>
            <w:tcBorders>
              <w:top w:val="nil"/>
              <w:left w:val="nil"/>
              <w:right w:val="nil"/>
            </w:tcBorders>
          </w:tcPr>
          <w:p w14:paraId="79EA131E" w14:textId="77777777" w:rsidR="00BE41B8" w:rsidRPr="00510442" w:rsidRDefault="00BE41B8" w:rsidP="00C210A6">
            <w:pPr>
              <w:pStyle w:val="EndnoteText"/>
              <w:widowControl w:val="0"/>
              <w:tabs>
                <w:tab w:val="clear" w:pos="567"/>
              </w:tabs>
              <w:jc w:val="center"/>
              <w:rPr>
                <w:color w:val="000000"/>
                <w:szCs w:val="22"/>
                <w:lang w:val="hr-HR"/>
              </w:rPr>
            </w:pPr>
            <w:r w:rsidRPr="00510442">
              <w:rPr>
                <w:color w:val="000000"/>
                <w:szCs w:val="22"/>
                <w:lang w:val="hr-HR"/>
              </w:rPr>
              <w:t>2 (1,4)</w:t>
            </w:r>
          </w:p>
        </w:tc>
      </w:tr>
    </w:tbl>
    <w:p w14:paraId="3D77D7D1" w14:textId="77777777" w:rsidR="00BE41B8" w:rsidRPr="00510442" w:rsidRDefault="00BE41B8" w:rsidP="00BE41B8">
      <w:pPr>
        <w:pStyle w:val="EndnoteText"/>
        <w:widowControl w:val="0"/>
        <w:tabs>
          <w:tab w:val="clear" w:pos="567"/>
        </w:tabs>
        <w:rPr>
          <w:color w:val="000000"/>
          <w:szCs w:val="22"/>
          <w:lang w:val="hr-HR"/>
        </w:rPr>
      </w:pPr>
    </w:p>
    <w:p w14:paraId="399F38E7" w14:textId="77777777" w:rsidR="00BE41B8" w:rsidRPr="00510442" w:rsidRDefault="00BE41B8" w:rsidP="00BE41B8">
      <w:pPr>
        <w:spacing w:line="240" w:lineRule="auto"/>
        <w:rPr>
          <w:szCs w:val="22"/>
          <w:lang w:val="hr-HR"/>
        </w:rPr>
      </w:pPr>
      <w:r w:rsidRPr="00510442">
        <w:rPr>
          <w:szCs w:val="22"/>
          <w:lang w:val="hr-HR"/>
        </w:rPr>
        <w:t>Nije bilo razlika u stopama odgovora između dvije dozirne skupine. Značajan broj bolesnika koji je imao stabilnu bolest u vrijeme interim analize je postigao djelomični odgovor s dužim liječenjem (medijan praćenja od 31</w:t>
      </w:r>
      <w:r w:rsidRPr="00510442">
        <w:rPr>
          <w:color w:val="000000"/>
          <w:szCs w:val="22"/>
          <w:lang w:val="hr-HR"/>
        </w:rPr>
        <w:t> </w:t>
      </w:r>
      <w:r w:rsidRPr="00510442">
        <w:rPr>
          <w:szCs w:val="22"/>
          <w:lang w:val="hr-HR"/>
        </w:rPr>
        <w:t>mjeseca). Medijan vremena do odgovora bio je 13</w:t>
      </w:r>
      <w:r w:rsidRPr="00510442">
        <w:rPr>
          <w:color w:val="000000"/>
          <w:szCs w:val="22"/>
          <w:lang w:val="hr-HR"/>
        </w:rPr>
        <w:t> </w:t>
      </w:r>
      <w:r w:rsidRPr="00510442">
        <w:rPr>
          <w:szCs w:val="22"/>
          <w:lang w:val="hr-HR"/>
        </w:rPr>
        <w:t>tjedana (95% CI 12</w:t>
      </w:r>
      <w:r w:rsidRPr="00510442">
        <w:rPr>
          <w:color w:val="000000"/>
          <w:szCs w:val="22"/>
          <w:lang w:val="hr-HR"/>
        </w:rPr>
        <w:noBreakHyphen/>
      </w:r>
      <w:r w:rsidRPr="00510442">
        <w:rPr>
          <w:szCs w:val="22"/>
          <w:lang w:val="hr-HR"/>
        </w:rPr>
        <w:t>23). Medijan vremena do neuspjeha liječenja u bolesnika koji su odgovorili na terapiju bio je 122</w:t>
      </w:r>
      <w:r w:rsidRPr="00510442">
        <w:rPr>
          <w:color w:val="000000"/>
          <w:szCs w:val="22"/>
          <w:lang w:val="hr-HR"/>
        </w:rPr>
        <w:t> </w:t>
      </w:r>
      <w:r w:rsidRPr="00510442">
        <w:rPr>
          <w:szCs w:val="22"/>
          <w:lang w:val="hr-HR"/>
        </w:rPr>
        <w:t>tjedna (95% CI 106</w:t>
      </w:r>
      <w:r w:rsidRPr="00510442">
        <w:rPr>
          <w:color w:val="000000"/>
          <w:szCs w:val="22"/>
          <w:lang w:val="hr-HR"/>
        </w:rPr>
        <w:noBreakHyphen/>
      </w:r>
      <w:r w:rsidRPr="00510442">
        <w:rPr>
          <w:szCs w:val="22"/>
          <w:lang w:val="hr-HR"/>
        </w:rPr>
        <w:t>147), odnosno 84</w:t>
      </w:r>
      <w:r w:rsidRPr="00510442">
        <w:rPr>
          <w:color w:val="000000"/>
          <w:szCs w:val="22"/>
          <w:lang w:val="hr-HR"/>
        </w:rPr>
        <w:t> </w:t>
      </w:r>
      <w:r w:rsidRPr="00510442">
        <w:rPr>
          <w:szCs w:val="22"/>
          <w:lang w:val="hr-HR"/>
        </w:rPr>
        <w:t>tjedana (95% CI 71</w:t>
      </w:r>
      <w:r w:rsidRPr="00510442">
        <w:rPr>
          <w:color w:val="000000"/>
          <w:szCs w:val="22"/>
          <w:lang w:val="hr-HR"/>
        </w:rPr>
        <w:noBreakHyphen/>
      </w:r>
      <w:r w:rsidRPr="00510442">
        <w:rPr>
          <w:szCs w:val="22"/>
          <w:lang w:val="hr-HR"/>
        </w:rPr>
        <w:t>109) u ukupno ispitivanoj populaciji. Medijan vrijednosti ukupnog preživljenja nije dosegnut. Kaplan-Meierova procjena za preživljenje nakon 36-mjesečnog praćenja iznosi 68%.</w:t>
      </w:r>
    </w:p>
    <w:p w14:paraId="2C56D6CD" w14:textId="77777777" w:rsidR="00BE41B8" w:rsidRPr="00510442" w:rsidRDefault="00BE41B8" w:rsidP="00BE41B8">
      <w:pPr>
        <w:spacing w:line="240" w:lineRule="auto"/>
        <w:rPr>
          <w:szCs w:val="22"/>
          <w:lang w:val="hr-HR"/>
        </w:rPr>
      </w:pPr>
    </w:p>
    <w:p w14:paraId="1A7B4AFF" w14:textId="543990E4" w:rsidR="00BE41B8" w:rsidRPr="00510442" w:rsidRDefault="00BE41B8" w:rsidP="00BE41B8">
      <w:pPr>
        <w:spacing w:line="240" w:lineRule="auto"/>
        <w:rPr>
          <w:szCs w:val="22"/>
          <w:lang w:val="hr-HR"/>
        </w:rPr>
      </w:pPr>
      <w:r w:rsidRPr="00510442">
        <w:rPr>
          <w:szCs w:val="22"/>
          <w:lang w:val="hr-HR"/>
        </w:rPr>
        <w:t xml:space="preserve">U dvije kliničke studije (studija B2222 i intergrupna studija S0033) dnevna doza </w:t>
      </w:r>
      <w:r w:rsidR="004007D1" w:rsidRPr="00512481">
        <w:rPr>
          <w:szCs w:val="22"/>
          <w:lang w:val="hr-HR"/>
        </w:rPr>
        <w:t xml:space="preserve">lijeka </w:t>
      </w:r>
      <w:r w:rsidRPr="00510442">
        <w:rPr>
          <w:szCs w:val="22"/>
          <w:lang w:val="hr-HR"/>
        </w:rPr>
        <w:t>Glivec je povećana do 800</w:t>
      </w:r>
      <w:r w:rsidRPr="00510442">
        <w:rPr>
          <w:rFonts w:eastAsia="MS Mincho"/>
          <w:color w:val="000000"/>
          <w:szCs w:val="22"/>
          <w:lang w:val="hr-HR" w:eastAsia="ja-JP"/>
        </w:rPr>
        <w:t> </w:t>
      </w:r>
      <w:r w:rsidRPr="00510442">
        <w:rPr>
          <w:szCs w:val="22"/>
          <w:lang w:val="hr-HR"/>
        </w:rPr>
        <w:t>mg u bolesnika kod kojih je došlo do progresije pri nižim dnevnim dozama od 400</w:t>
      </w:r>
      <w:r w:rsidRPr="00510442">
        <w:rPr>
          <w:rFonts w:eastAsia="MS Mincho"/>
          <w:color w:val="000000"/>
          <w:szCs w:val="22"/>
          <w:lang w:val="hr-HR" w:eastAsia="ja-JP"/>
        </w:rPr>
        <w:t> </w:t>
      </w:r>
      <w:r w:rsidRPr="00510442">
        <w:rPr>
          <w:szCs w:val="22"/>
          <w:lang w:val="hr-HR"/>
        </w:rPr>
        <w:t>mg ili 600</w:t>
      </w:r>
      <w:r w:rsidRPr="00510442">
        <w:rPr>
          <w:rFonts w:eastAsia="MS Mincho"/>
          <w:color w:val="000000"/>
          <w:szCs w:val="22"/>
          <w:lang w:val="hr-HR" w:eastAsia="ja-JP"/>
        </w:rPr>
        <w:t> </w:t>
      </w:r>
      <w:r w:rsidRPr="00510442">
        <w:rPr>
          <w:szCs w:val="22"/>
          <w:lang w:val="hr-HR"/>
        </w:rPr>
        <w:t>mg. Dnevna doza je povećana na 800</w:t>
      </w:r>
      <w:r w:rsidRPr="00510442">
        <w:rPr>
          <w:rFonts w:eastAsia="MS Mincho"/>
          <w:color w:val="000000"/>
          <w:szCs w:val="22"/>
          <w:lang w:val="hr-HR" w:eastAsia="ja-JP"/>
        </w:rPr>
        <w:t> </w:t>
      </w:r>
      <w:r w:rsidRPr="00510442">
        <w:rPr>
          <w:szCs w:val="22"/>
          <w:lang w:val="hr-HR"/>
        </w:rPr>
        <w:t>mg kod ukupno 103</w:t>
      </w:r>
      <w:r w:rsidRPr="00510442">
        <w:rPr>
          <w:rFonts w:eastAsia="MS Mincho"/>
          <w:color w:val="000000"/>
          <w:szCs w:val="22"/>
          <w:lang w:val="hr-HR" w:eastAsia="ja-JP"/>
        </w:rPr>
        <w:t> </w:t>
      </w:r>
      <w:r w:rsidRPr="00510442">
        <w:rPr>
          <w:szCs w:val="22"/>
          <w:lang w:val="hr-HR"/>
        </w:rPr>
        <w:t>bolesnika; 6</w:t>
      </w:r>
      <w:r w:rsidRPr="00510442">
        <w:rPr>
          <w:rFonts w:eastAsia="MS Mincho"/>
          <w:color w:val="000000"/>
          <w:szCs w:val="22"/>
          <w:lang w:val="hr-HR" w:eastAsia="ja-JP"/>
        </w:rPr>
        <w:t> </w:t>
      </w:r>
      <w:r w:rsidRPr="00510442">
        <w:rPr>
          <w:szCs w:val="22"/>
          <w:lang w:val="hr-HR"/>
        </w:rPr>
        <w:t>bolesnika je postiglo djelomični odgovor, a 21 stabilizaciju njihove bolesti nakon povećanja doze, uz ukupnu kliničku korist od 26%. Prema dostupnim podacima o sigurnosti primjene, izgleda da povećanje doze na 800</w:t>
      </w:r>
      <w:r w:rsidRPr="00510442">
        <w:rPr>
          <w:rFonts w:eastAsia="MS Mincho"/>
          <w:color w:val="000000"/>
          <w:szCs w:val="22"/>
          <w:lang w:val="hr-HR" w:eastAsia="ja-JP"/>
        </w:rPr>
        <w:t> </w:t>
      </w:r>
      <w:r w:rsidRPr="00510442">
        <w:rPr>
          <w:szCs w:val="22"/>
          <w:lang w:val="hr-HR"/>
        </w:rPr>
        <w:t>mg na dan, u bolesnika kod kojih je došlo do progresije pri nižim dozama od 400</w:t>
      </w:r>
      <w:r w:rsidRPr="00510442">
        <w:rPr>
          <w:rFonts w:eastAsia="MS Mincho"/>
          <w:color w:val="000000"/>
          <w:szCs w:val="22"/>
          <w:lang w:val="hr-HR" w:eastAsia="ja-JP"/>
        </w:rPr>
        <w:t> </w:t>
      </w:r>
      <w:r w:rsidRPr="00510442">
        <w:rPr>
          <w:szCs w:val="22"/>
          <w:lang w:val="hr-HR"/>
        </w:rPr>
        <w:t>mg ili 600</w:t>
      </w:r>
      <w:r w:rsidRPr="00510442">
        <w:rPr>
          <w:rFonts w:eastAsia="MS Mincho"/>
          <w:color w:val="000000"/>
          <w:szCs w:val="22"/>
          <w:lang w:val="hr-HR" w:eastAsia="ja-JP"/>
        </w:rPr>
        <w:t> </w:t>
      </w:r>
      <w:r w:rsidRPr="00510442">
        <w:rPr>
          <w:szCs w:val="22"/>
          <w:lang w:val="hr-HR"/>
        </w:rPr>
        <w:t xml:space="preserve">mg na dan, ne utječe na sigurnosni profil </w:t>
      </w:r>
      <w:r w:rsidR="004007D1" w:rsidRPr="00512481">
        <w:rPr>
          <w:szCs w:val="22"/>
          <w:lang w:val="hr-HR"/>
        </w:rPr>
        <w:t xml:space="preserve">lijeka </w:t>
      </w:r>
      <w:r w:rsidRPr="00510442">
        <w:rPr>
          <w:szCs w:val="22"/>
          <w:lang w:val="hr-HR"/>
        </w:rPr>
        <w:t>Glivec.</w:t>
      </w:r>
    </w:p>
    <w:p w14:paraId="06F8C7EC" w14:textId="77777777" w:rsidR="00BE41B8" w:rsidRPr="00510442" w:rsidRDefault="00BE41B8" w:rsidP="00BE41B8">
      <w:pPr>
        <w:pStyle w:val="Text"/>
        <w:spacing w:before="0"/>
        <w:jc w:val="left"/>
        <w:rPr>
          <w:rFonts w:eastAsia="MS Mincho"/>
          <w:color w:val="000000"/>
          <w:sz w:val="22"/>
          <w:szCs w:val="22"/>
          <w:lang w:val="hr-HR" w:eastAsia="ja-JP"/>
        </w:rPr>
      </w:pPr>
    </w:p>
    <w:p w14:paraId="111A4D74" w14:textId="77777777" w:rsidR="00BE41B8" w:rsidRPr="00510442" w:rsidRDefault="00BE41B8" w:rsidP="00BE41B8">
      <w:pPr>
        <w:pStyle w:val="Nottoc-headings"/>
        <w:spacing w:before="0" w:after="0"/>
        <w:rPr>
          <w:rFonts w:ascii="Times New Roman" w:eastAsia="MS Mincho" w:hAnsi="Times New Roman"/>
          <w:b w:val="0"/>
          <w:color w:val="000000"/>
          <w:sz w:val="22"/>
          <w:szCs w:val="22"/>
          <w:u w:val="single"/>
          <w:lang w:val="hr-HR" w:eastAsia="ja-JP"/>
        </w:rPr>
      </w:pPr>
      <w:r w:rsidRPr="00510442">
        <w:rPr>
          <w:rFonts w:ascii="Times New Roman" w:hAnsi="Times New Roman"/>
          <w:b w:val="0"/>
          <w:sz w:val="22"/>
          <w:szCs w:val="22"/>
          <w:u w:val="single"/>
          <w:lang w:val="hr-HR"/>
        </w:rPr>
        <w:t>Klinička ispitivanja kod adjuvantnog liječenja GIST-a</w:t>
      </w:r>
    </w:p>
    <w:p w14:paraId="391A0EC4" w14:textId="77777777" w:rsidR="00BE41B8" w:rsidRPr="00510442" w:rsidRDefault="00BE41B8" w:rsidP="00BE41B8">
      <w:pPr>
        <w:spacing w:line="240" w:lineRule="auto"/>
        <w:rPr>
          <w:szCs w:val="22"/>
          <w:lang w:val="hr-HR"/>
        </w:rPr>
      </w:pPr>
      <w:r w:rsidRPr="00510442">
        <w:rPr>
          <w:szCs w:val="22"/>
          <w:lang w:val="hr-HR"/>
        </w:rPr>
        <w:t>U sklopu adjuvantnog liječenja, Glivec je ispitivan u multicentričnom, dvostrukoslijepom, dugotrajnom placebo kontroliranom ispitivanju faze III (Z9001) koje je uključivalo 773</w:t>
      </w:r>
      <w:r w:rsidRPr="00510442">
        <w:rPr>
          <w:rFonts w:eastAsia="MS Mincho"/>
          <w:color w:val="000000"/>
          <w:szCs w:val="22"/>
          <w:lang w:val="hr-HR" w:eastAsia="ja-JP"/>
        </w:rPr>
        <w:t> </w:t>
      </w:r>
      <w:r w:rsidRPr="00510442">
        <w:rPr>
          <w:szCs w:val="22"/>
          <w:lang w:val="hr-HR"/>
        </w:rPr>
        <w:t>bolesnika. Dob tih bolesnika se kretala od 18 do 91</w:t>
      </w:r>
      <w:r w:rsidRPr="00510442">
        <w:rPr>
          <w:rFonts w:eastAsia="MS Mincho"/>
          <w:color w:val="000000"/>
          <w:szCs w:val="22"/>
          <w:lang w:val="hr-HR" w:eastAsia="ja-JP"/>
        </w:rPr>
        <w:t> </w:t>
      </w:r>
      <w:r w:rsidRPr="00510442">
        <w:rPr>
          <w:szCs w:val="22"/>
          <w:lang w:val="hr-HR"/>
        </w:rPr>
        <w:t xml:space="preserve">godine. Uključeni bolesnici imali su histološku dijagnozu primarnog GIST-a s imunokemijski dokazanom ekspresijom Kit proteina i veličinom tumora </w:t>
      </w:r>
      <w:r w:rsidRPr="00510442">
        <w:rPr>
          <w:rFonts w:eastAsia="MS Mincho"/>
          <w:color w:val="000000"/>
          <w:szCs w:val="22"/>
          <w:lang w:val="hr-HR" w:eastAsia="ja-JP"/>
        </w:rPr>
        <w:t>≥3 cm u najvećem promjeru, uz potpunu makroskopsku resekciju primarnog GIST</w:t>
      </w:r>
      <w:r w:rsidRPr="00510442">
        <w:rPr>
          <w:rFonts w:eastAsia="MS Mincho"/>
          <w:color w:val="000000"/>
          <w:szCs w:val="22"/>
          <w:lang w:val="hr-HR" w:eastAsia="ja-JP"/>
        </w:rPr>
        <w:noBreakHyphen/>
        <w:t>a unutar 14</w:t>
      </w:r>
      <w:r w:rsidRPr="00510442">
        <w:rPr>
          <w:rFonts w:eastAsia="MS Mincho"/>
          <w:color w:val="000000"/>
          <w:szCs w:val="22"/>
          <w:lang w:val="hr-HR" w:eastAsia="ja-JP"/>
        </w:rPr>
        <w:noBreakHyphen/>
        <w:t>70 dana prije uključivanja u ispitivanje.</w:t>
      </w:r>
      <w:r w:rsidRPr="00510442">
        <w:rPr>
          <w:szCs w:val="22"/>
          <w:lang w:val="hr-HR"/>
        </w:rPr>
        <w:t xml:space="preserve"> Nakon resekcije primarnog GIST-a, bolesnici su randomizirani u jedan od dva kraka: Glivec 400</w:t>
      </w:r>
      <w:r w:rsidRPr="00510442">
        <w:rPr>
          <w:rFonts w:eastAsia="MS Mincho"/>
          <w:color w:val="000000"/>
          <w:szCs w:val="22"/>
          <w:lang w:val="hr-HR" w:eastAsia="ja-JP"/>
        </w:rPr>
        <w:t> </w:t>
      </w:r>
      <w:r w:rsidRPr="00510442">
        <w:rPr>
          <w:szCs w:val="22"/>
          <w:lang w:val="hr-HR"/>
        </w:rPr>
        <w:t>mg/dan ili odgovarajući placebo tijekom jedne godine.</w:t>
      </w:r>
    </w:p>
    <w:p w14:paraId="37B554D0" w14:textId="77777777" w:rsidR="00BE41B8" w:rsidRPr="00510442" w:rsidRDefault="00BE41B8" w:rsidP="00BE41B8">
      <w:pPr>
        <w:spacing w:line="240" w:lineRule="auto"/>
        <w:rPr>
          <w:szCs w:val="22"/>
          <w:lang w:val="hr-HR"/>
        </w:rPr>
      </w:pPr>
    </w:p>
    <w:p w14:paraId="428380B6" w14:textId="77777777" w:rsidR="00BE41B8" w:rsidRPr="00510442" w:rsidRDefault="00BE41B8" w:rsidP="00BE41B8">
      <w:pPr>
        <w:spacing w:line="240" w:lineRule="auto"/>
        <w:rPr>
          <w:szCs w:val="22"/>
          <w:lang w:val="hr-HR"/>
        </w:rPr>
      </w:pPr>
      <w:r w:rsidRPr="00510442">
        <w:rPr>
          <w:szCs w:val="22"/>
          <w:lang w:val="hr-HR"/>
        </w:rPr>
        <w:t>Primarni ishod ispitivanja bilo je preživljenje bez recidiva bolesti, definirano kao vrijeme od datuma randomizacije do datuma recidiva ili smrti zbog bilo kojeg uzroka.</w:t>
      </w:r>
    </w:p>
    <w:p w14:paraId="49ED9517" w14:textId="77777777" w:rsidR="00BE41B8" w:rsidRPr="00510442" w:rsidRDefault="00BE41B8" w:rsidP="00BE41B8">
      <w:pPr>
        <w:spacing w:line="240" w:lineRule="auto"/>
        <w:rPr>
          <w:szCs w:val="22"/>
          <w:lang w:val="hr-HR"/>
        </w:rPr>
      </w:pPr>
    </w:p>
    <w:p w14:paraId="3A7D7E6E" w14:textId="77777777" w:rsidR="00BE41B8" w:rsidRPr="00510442" w:rsidRDefault="00BE41B8" w:rsidP="00BE41B8">
      <w:pPr>
        <w:spacing w:line="240" w:lineRule="auto"/>
        <w:rPr>
          <w:rFonts w:eastAsia="MS Mincho"/>
          <w:color w:val="000000"/>
          <w:szCs w:val="22"/>
          <w:lang w:val="hr-HR" w:eastAsia="ja-JP"/>
        </w:rPr>
      </w:pPr>
      <w:r w:rsidRPr="00510442">
        <w:rPr>
          <w:szCs w:val="22"/>
          <w:lang w:val="hr-HR"/>
        </w:rPr>
        <w:t>Glivec je značajno produljio preživljenje bez recidiva bolesti, pri čemu je 75% bolesnika bilo bez recidiva nakon 38</w:t>
      </w:r>
      <w:r w:rsidRPr="00510442">
        <w:rPr>
          <w:rFonts w:eastAsia="MS Mincho"/>
          <w:color w:val="000000"/>
          <w:szCs w:val="22"/>
          <w:lang w:val="hr-HR" w:eastAsia="ja-JP"/>
        </w:rPr>
        <w:t> </w:t>
      </w:r>
      <w:r w:rsidRPr="00510442">
        <w:rPr>
          <w:szCs w:val="22"/>
          <w:lang w:val="hr-HR"/>
        </w:rPr>
        <w:t>mjeseci u Glivec skupini, u odnosu na 20</w:t>
      </w:r>
      <w:r w:rsidRPr="00510442">
        <w:rPr>
          <w:rFonts w:eastAsia="MS Mincho"/>
          <w:color w:val="000000"/>
          <w:szCs w:val="22"/>
          <w:lang w:val="hr-HR" w:eastAsia="ja-JP"/>
        </w:rPr>
        <w:t> </w:t>
      </w:r>
      <w:r w:rsidRPr="00510442">
        <w:rPr>
          <w:szCs w:val="22"/>
          <w:lang w:val="hr-HR"/>
        </w:rPr>
        <w:t xml:space="preserve">mjeseci u placebo skupini </w:t>
      </w:r>
      <w:r w:rsidRPr="00510442">
        <w:rPr>
          <w:rFonts w:eastAsia="MS Mincho"/>
          <w:color w:val="000000"/>
          <w:szCs w:val="22"/>
          <w:lang w:val="hr-HR" w:eastAsia="ja-JP"/>
        </w:rPr>
        <w:t>(95% CIs, [30 - nije moguće procijeniti], odnosno [14 - nije moguće procijeniti]); (omjer rizika = 0,398 [0,259</w:t>
      </w:r>
      <w:r w:rsidRPr="00510442">
        <w:rPr>
          <w:rFonts w:eastAsia="MS Mincho"/>
          <w:color w:val="000000"/>
          <w:szCs w:val="22"/>
          <w:lang w:val="hr-HR" w:eastAsia="ja-JP"/>
        </w:rPr>
        <w:noBreakHyphen/>
        <w:t xml:space="preserve">0,610], p&lt;0,0001). Nakon jedne godine ukupno </w:t>
      </w:r>
      <w:r w:rsidRPr="00510442">
        <w:rPr>
          <w:szCs w:val="22"/>
          <w:lang w:val="hr-HR"/>
        </w:rPr>
        <w:t xml:space="preserve">preživljenje bez recidiva bolesti bilo je značajno bolje za Glivec (97,7%) u odnosu na placebo (82,3%), (p&lt;0,0001). Rizik od recidiva bolesti je smanjen za otprilike 89% u usporedbi s placebom </w:t>
      </w:r>
      <w:r w:rsidRPr="00510442">
        <w:rPr>
          <w:rFonts w:eastAsia="MS Mincho"/>
          <w:color w:val="000000"/>
          <w:szCs w:val="22"/>
          <w:lang w:val="hr-HR" w:eastAsia="ja-JP"/>
        </w:rPr>
        <w:t>(omjer rizika = 0,113 [0,049</w:t>
      </w:r>
      <w:r w:rsidRPr="00510442">
        <w:rPr>
          <w:rFonts w:eastAsia="MS Mincho"/>
          <w:color w:val="000000"/>
          <w:szCs w:val="22"/>
          <w:lang w:val="hr-HR" w:eastAsia="ja-JP"/>
        </w:rPr>
        <w:noBreakHyphen/>
        <w:t>0,264]).</w:t>
      </w:r>
    </w:p>
    <w:p w14:paraId="7B680B16" w14:textId="77777777" w:rsidR="00BE41B8" w:rsidRPr="00510442" w:rsidRDefault="00BE41B8" w:rsidP="00BE41B8">
      <w:pPr>
        <w:spacing w:line="240" w:lineRule="auto"/>
        <w:rPr>
          <w:rFonts w:eastAsia="MS Mincho"/>
          <w:color w:val="000000"/>
          <w:szCs w:val="22"/>
          <w:lang w:val="hr-HR" w:eastAsia="ja-JP"/>
        </w:rPr>
      </w:pPr>
    </w:p>
    <w:p w14:paraId="617E55FC" w14:textId="77777777" w:rsidR="00BE41B8" w:rsidRPr="00510442" w:rsidRDefault="00BE41B8" w:rsidP="00BE41B8">
      <w:pPr>
        <w:spacing w:line="240" w:lineRule="auto"/>
        <w:rPr>
          <w:rFonts w:eastAsia="MS Mincho"/>
          <w:color w:val="000000"/>
          <w:szCs w:val="22"/>
          <w:lang w:val="hr-HR" w:eastAsia="ja-JP"/>
        </w:rPr>
      </w:pPr>
      <w:r w:rsidRPr="00510442">
        <w:rPr>
          <w:szCs w:val="22"/>
          <w:lang w:val="hr-HR"/>
        </w:rPr>
        <w:t>Rizik od recidiva bolesti u bolesnika nakon kirurškog uklanjanja primarnog GIST-a je retrospektivno procijenjen na temelju sljedećih prognostičkih faktora: veličina tumora, mitotski indeks, lokacija tumora. Podaci o mitotskom indeksu su bili dostupni za 556 od 713</w:t>
      </w:r>
      <w:r w:rsidRPr="00510442">
        <w:rPr>
          <w:rFonts w:eastAsia="MS Mincho"/>
          <w:color w:val="000000"/>
          <w:szCs w:val="22"/>
          <w:lang w:val="hr-HR" w:eastAsia="ja-JP"/>
        </w:rPr>
        <w:t> </w:t>
      </w:r>
      <w:r w:rsidRPr="00510442">
        <w:rPr>
          <w:szCs w:val="22"/>
          <w:lang w:val="hr-HR"/>
        </w:rPr>
        <w:t xml:space="preserve">bolesnika u populaciji planiranoj za liječenje (ITT – engl. </w:t>
      </w:r>
      <w:r w:rsidRPr="00510442">
        <w:rPr>
          <w:rFonts w:eastAsia="MS Mincho"/>
          <w:i/>
          <w:color w:val="000000"/>
          <w:szCs w:val="22"/>
          <w:lang w:val="hr-HR" w:eastAsia="ja-JP"/>
        </w:rPr>
        <w:t>intention-to-treat</w:t>
      </w:r>
      <w:r w:rsidRPr="00510442">
        <w:rPr>
          <w:rFonts w:eastAsia="MS Mincho"/>
          <w:color w:val="000000"/>
          <w:szCs w:val="22"/>
          <w:lang w:val="hr-HR" w:eastAsia="ja-JP"/>
        </w:rPr>
        <w:t>). Rezultati analize podskupine bolesnika razvrstane prema klasifikacijama rizika američkog Nacionalnog instituta za zdravstvo (NIH - National Institutes of Health) i Instituta za patologiju američkih oružanih snaga (AFIP - Armed Forces Institute of Pathology) su prikazani u Tablici </w:t>
      </w:r>
      <w:r w:rsidR="004C7699" w:rsidRPr="00510442">
        <w:rPr>
          <w:rFonts w:eastAsia="MS Mincho"/>
          <w:color w:val="000000"/>
          <w:szCs w:val="22"/>
          <w:lang w:val="hr-HR" w:eastAsia="ja-JP"/>
        </w:rPr>
        <w:t>7</w:t>
      </w:r>
      <w:r w:rsidRPr="00510442">
        <w:rPr>
          <w:rFonts w:eastAsia="MS Mincho"/>
          <w:color w:val="000000"/>
          <w:szCs w:val="22"/>
          <w:lang w:val="hr-HR" w:eastAsia="ja-JP"/>
        </w:rPr>
        <w:t>. U skupinama s niskim ili vrlo niskim rizikom nije uočena korist. Nije uočeno da bi liječenje povećavalo ukupno preživljenje.</w:t>
      </w:r>
    </w:p>
    <w:p w14:paraId="46B57C4A" w14:textId="77777777" w:rsidR="00BE41B8" w:rsidRPr="00510442" w:rsidRDefault="00BE41B8" w:rsidP="00BE41B8">
      <w:pPr>
        <w:pStyle w:val="Text"/>
        <w:spacing w:before="0"/>
        <w:jc w:val="left"/>
        <w:rPr>
          <w:color w:val="000000"/>
          <w:sz w:val="22"/>
          <w:szCs w:val="22"/>
          <w:lang w:val="hr-HR"/>
        </w:rPr>
      </w:pPr>
    </w:p>
    <w:p w14:paraId="3B6DF142" w14:textId="77777777" w:rsidR="00BE41B8" w:rsidRPr="00510442" w:rsidRDefault="00BE41B8" w:rsidP="0063591E">
      <w:pPr>
        <w:pStyle w:val="Heading6"/>
        <w:keepLines/>
        <w:tabs>
          <w:tab w:val="clear" w:pos="567"/>
          <w:tab w:val="clear" w:pos="4536"/>
        </w:tabs>
        <w:spacing w:line="240" w:lineRule="auto"/>
        <w:ind w:left="1134" w:hanging="1134"/>
        <w:rPr>
          <w:rFonts w:eastAsia="MS Mincho"/>
          <w:b/>
          <w:i w:val="0"/>
          <w:color w:val="000000"/>
          <w:szCs w:val="22"/>
          <w:lang w:val="hr-HR" w:eastAsia="ja-JP"/>
        </w:rPr>
      </w:pPr>
      <w:r w:rsidRPr="00510442">
        <w:rPr>
          <w:rFonts w:eastAsia="MS Mincho"/>
          <w:b/>
          <w:i w:val="0"/>
          <w:color w:val="000000"/>
          <w:szCs w:val="22"/>
          <w:lang w:val="hr-HR" w:eastAsia="ja-JP"/>
        </w:rPr>
        <w:lastRenderedPageBreak/>
        <w:t>Tablica </w:t>
      </w:r>
      <w:r w:rsidR="004C7699" w:rsidRPr="00510442">
        <w:rPr>
          <w:rFonts w:eastAsia="MS Mincho"/>
          <w:b/>
          <w:i w:val="0"/>
          <w:color w:val="000000"/>
          <w:szCs w:val="22"/>
          <w:lang w:val="hr-HR" w:eastAsia="ja-JP"/>
        </w:rPr>
        <w:t>7</w:t>
      </w:r>
      <w:r w:rsidRPr="00510442">
        <w:rPr>
          <w:rFonts w:eastAsia="MS Mincho"/>
          <w:b/>
          <w:i w:val="0"/>
          <w:color w:val="000000"/>
          <w:szCs w:val="22"/>
          <w:lang w:val="hr-HR" w:eastAsia="ja-JP"/>
        </w:rPr>
        <w:tab/>
      </w:r>
      <w:r w:rsidRPr="00510442">
        <w:rPr>
          <w:b/>
          <w:i w:val="0"/>
          <w:szCs w:val="22"/>
          <w:lang w:val="hr-HR"/>
        </w:rPr>
        <w:t>Sažetak analiza preživljenja bez recidiva bolesti u ispitivanju Z9001 prema NIH i AFIP klasifikacijama rizika</w:t>
      </w:r>
    </w:p>
    <w:p w14:paraId="03CD4AAB" w14:textId="77777777" w:rsidR="00BE41B8" w:rsidRPr="00510442" w:rsidRDefault="00BE41B8" w:rsidP="00BE41B8">
      <w:pPr>
        <w:keepNext/>
        <w:spacing w:line="240" w:lineRule="auto"/>
        <w:rPr>
          <w:rFonts w:eastAsia="MS Mincho"/>
          <w:color w:val="000000"/>
          <w:szCs w:val="22"/>
          <w:lang w:val="hr-HR" w:eastAsia="ja-JP"/>
        </w:rPr>
      </w:pPr>
    </w:p>
    <w:tbl>
      <w:tblPr>
        <w:tblW w:w="93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9"/>
        <w:gridCol w:w="1276"/>
        <w:gridCol w:w="1134"/>
        <w:gridCol w:w="1843"/>
        <w:gridCol w:w="1319"/>
        <w:gridCol w:w="1440"/>
        <w:gridCol w:w="1360"/>
      </w:tblGrid>
      <w:tr w:rsidR="00BE41B8" w:rsidRPr="00F410C8" w14:paraId="592B9D5A" w14:textId="77777777" w:rsidTr="0063591E">
        <w:trPr>
          <w:cantSplit/>
        </w:trPr>
        <w:tc>
          <w:tcPr>
            <w:tcW w:w="959" w:type="dxa"/>
            <w:vMerge w:val="restart"/>
          </w:tcPr>
          <w:p w14:paraId="75B645DA" w14:textId="77777777" w:rsidR="00BE41B8" w:rsidRPr="00510442" w:rsidRDefault="00BE41B8" w:rsidP="0063591E">
            <w:pPr>
              <w:pStyle w:val="Table"/>
              <w:keepLines w:val="0"/>
              <w:spacing w:before="0" w:after="0"/>
              <w:jc w:val="center"/>
              <w:rPr>
                <w:rFonts w:ascii="Times New Roman" w:hAnsi="Times New Roman"/>
                <w:b/>
                <w:color w:val="000000"/>
                <w:sz w:val="22"/>
                <w:szCs w:val="22"/>
                <w:lang w:val="hr-HR"/>
              </w:rPr>
            </w:pPr>
            <w:r w:rsidRPr="00510442">
              <w:rPr>
                <w:rFonts w:ascii="Times New Roman" w:hAnsi="Times New Roman"/>
                <w:b/>
                <w:sz w:val="22"/>
                <w:szCs w:val="22"/>
                <w:lang w:val="hr-HR"/>
              </w:rPr>
              <w:t>Kriterij rizika</w:t>
            </w:r>
          </w:p>
        </w:tc>
        <w:tc>
          <w:tcPr>
            <w:tcW w:w="1276" w:type="dxa"/>
            <w:vMerge w:val="restart"/>
            <w:tcBorders>
              <w:right w:val="single" w:sz="4" w:space="0" w:color="auto"/>
            </w:tcBorders>
          </w:tcPr>
          <w:p w14:paraId="6CA2C430" w14:textId="77777777" w:rsidR="00BE41B8" w:rsidRPr="00510442" w:rsidRDefault="00BE41B8" w:rsidP="0063591E">
            <w:pPr>
              <w:pStyle w:val="Table"/>
              <w:keepLines w:val="0"/>
              <w:spacing w:before="0" w:after="0"/>
              <w:rPr>
                <w:rFonts w:ascii="Times New Roman" w:hAnsi="Times New Roman"/>
                <w:b/>
                <w:color w:val="000000"/>
                <w:sz w:val="22"/>
                <w:szCs w:val="22"/>
                <w:lang w:val="hr-HR"/>
              </w:rPr>
            </w:pPr>
            <w:r w:rsidRPr="00510442">
              <w:rPr>
                <w:rFonts w:ascii="Times New Roman" w:hAnsi="Times New Roman"/>
                <w:b/>
                <w:sz w:val="22"/>
                <w:szCs w:val="22"/>
                <w:lang w:val="hr-HR"/>
              </w:rPr>
              <w:t>Razina rizika</w:t>
            </w:r>
          </w:p>
        </w:tc>
        <w:tc>
          <w:tcPr>
            <w:tcW w:w="1134" w:type="dxa"/>
            <w:vMerge w:val="restart"/>
            <w:tcBorders>
              <w:left w:val="single" w:sz="4" w:space="0" w:color="auto"/>
              <w:right w:val="single" w:sz="4" w:space="0" w:color="auto"/>
            </w:tcBorders>
          </w:tcPr>
          <w:p w14:paraId="3B4D595A" w14:textId="77777777" w:rsidR="00BE41B8" w:rsidRPr="00510442" w:rsidRDefault="00BE41B8" w:rsidP="0063591E">
            <w:pPr>
              <w:pStyle w:val="Table"/>
              <w:keepLines w:val="0"/>
              <w:spacing w:before="0" w:after="0"/>
              <w:jc w:val="center"/>
              <w:rPr>
                <w:rFonts w:ascii="Times New Roman" w:hAnsi="Times New Roman"/>
                <w:b/>
                <w:color w:val="000000"/>
                <w:sz w:val="22"/>
                <w:szCs w:val="22"/>
                <w:lang w:val="hr-HR"/>
              </w:rPr>
            </w:pPr>
            <w:r w:rsidRPr="00510442">
              <w:rPr>
                <w:rFonts w:ascii="Times New Roman" w:hAnsi="Times New Roman"/>
                <w:b/>
                <w:color w:val="000000"/>
                <w:sz w:val="22"/>
                <w:szCs w:val="22"/>
                <w:lang w:val="hr-HR"/>
              </w:rPr>
              <w:t>% bolesnika</w:t>
            </w:r>
          </w:p>
        </w:tc>
        <w:tc>
          <w:tcPr>
            <w:tcW w:w="1843" w:type="dxa"/>
            <w:vMerge w:val="restart"/>
            <w:tcBorders>
              <w:left w:val="single" w:sz="4" w:space="0" w:color="auto"/>
              <w:right w:val="single" w:sz="4" w:space="0" w:color="auto"/>
            </w:tcBorders>
          </w:tcPr>
          <w:p w14:paraId="2169AB89" w14:textId="77777777" w:rsidR="00BE41B8" w:rsidRPr="00510442" w:rsidRDefault="00BE41B8" w:rsidP="0063591E">
            <w:pPr>
              <w:pStyle w:val="Table"/>
              <w:keepLines w:val="0"/>
              <w:spacing w:before="0" w:after="0"/>
              <w:jc w:val="center"/>
              <w:rPr>
                <w:rFonts w:ascii="Times New Roman" w:hAnsi="Times New Roman"/>
                <w:b/>
                <w:color w:val="000000"/>
                <w:sz w:val="22"/>
                <w:szCs w:val="22"/>
                <w:lang w:val="hr-HR"/>
              </w:rPr>
            </w:pPr>
            <w:r w:rsidRPr="00510442">
              <w:rPr>
                <w:rFonts w:ascii="Times New Roman" w:hAnsi="Times New Roman"/>
                <w:b/>
                <w:sz w:val="22"/>
                <w:szCs w:val="22"/>
                <w:lang w:val="hr-HR"/>
              </w:rPr>
              <w:t>Broj događaja</w:t>
            </w:r>
            <w:r w:rsidRPr="00510442">
              <w:rPr>
                <w:rFonts w:ascii="Times New Roman" w:hAnsi="Times New Roman"/>
                <w:b/>
                <w:color w:val="000000"/>
                <w:sz w:val="22"/>
                <w:szCs w:val="22"/>
                <w:lang w:val="hr-HR"/>
              </w:rPr>
              <w:t xml:space="preserve"> /</w:t>
            </w:r>
            <w:r w:rsidRPr="00510442">
              <w:rPr>
                <w:rFonts w:ascii="Times New Roman" w:hAnsi="Times New Roman"/>
                <w:b/>
                <w:color w:val="000000"/>
                <w:sz w:val="22"/>
                <w:szCs w:val="22"/>
                <w:lang w:val="hr-HR"/>
              </w:rPr>
              <w:br/>
            </w:r>
            <w:r w:rsidRPr="00510442">
              <w:rPr>
                <w:rFonts w:ascii="Times New Roman" w:hAnsi="Times New Roman"/>
                <w:b/>
                <w:sz w:val="22"/>
                <w:szCs w:val="22"/>
                <w:lang w:val="hr-HR"/>
              </w:rPr>
              <w:t>broj bolesnika</w:t>
            </w:r>
          </w:p>
        </w:tc>
        <w:tc>
          <w:tcPr>
            <w:tcW w:w="1319" w:type="dxa"/>
            <w:vMerge w:val="restart"/>
            <w:tcBorders>
              <w:left w:val="single" w:sz="4" w:space="0" w:color="auto"/>
              <w:right w:val="single" w:sz="4" w:space="0" w:color="auto"/>
            </w:tcBorders>
          </w:tcPr>
          <w:p w14:paraId="6DE67870" w14:textId="77777777" w:rsidR="00BE41B8" w:rsidRPr="00510442" w:rsidRDefault="00BE41B8" w:rsidP="0063591E">
            <w:pPr>
              <w:pStyle w:val="Table"/>
              <w:keepLines w:val="0"/>
              <w:spacing w:before="0" w:after="0"/>
              <w:jc w:val="center"/>
              <w:rPr>
                <w:rFonts w:ascii="Times New Roman" w:hAnsi="Times New Roman"/>
                <w:b/>
                <w:color w:val="000000"/>
                <w:sz w:val="22"/>
                <w:szCs w:val="22"/>
                <w:lang w:val="hr-HR"/>
              </w:rPr>
            </w:pPr>
            <w:r w:rsidRPr="00510442">
              <w:rPr>
                <w:rFonts w:ascii="Times New Roman" w:hAnsi="Times New Roman"/>
                <w:b/>
                <w:sz w:val="22"/>
                <w:szCs w:val="22"/>
                <w:lang w:val="hr-HR"/>
              </w:rPr>
              <w:t>Ukupni omjer rizika</w:t>
            </w:r>
            <w:r w:rsidRPr="00510442">
              <w:rPr>
                <w:rFonts w:ascii="Times New Roman" w:hAnsi="Times New Roman"/>
                <w:b/>
                <w:color w:val="000000"/>
                <w:sz w:val="22"/>
                <w:szCs w:val="22"/>
                <w:lang w:val="hr-HR"/>
              </w:rPr>
              <w:t xml:space="preserve"> (95%CI)*</w:t>
            </w:r>
          </w:p>
        </w:tc>
        <w:tc>
          <w:tcPr>
            <w:tcW w:w="2800" w:type="dxa"/>
            <w:gridSpan w:val="2"/>
            <w:tcBorders>
              <w:left w:val="single" w:sz="4" w:space="0" w:color="auto"/>
            </w:tcBorders>
          </w:tcPr>
          <w:p w14:paraId="3DA76071" w14:textId="77777777" w:rsidR="00BE41B8" w:rsidRPr="00510442" w:rsidRDefault="00BE41B8" w:rsidP="0063591E">
            <w:pPr>
              <w:pStyle w:val="Table"/>
              <w:keepLines w:val="0"/>
              <w:spacing w:before="0" w:after="0"/>
              <w:jc w:val="center"/>
              <w:rPr>
                <w:rFonts w:ascii="Times New Roman" w:hAnsi="Times New Roman"/>
                <w:b/>
                <w:color w:val="000000"/>
                <w:sz w:val="22"/>
                <w:szCs w:val="22"/>
                <w:lang w:val="hr-HR"/>
              </w:rPr>
            </w:pPr>
            <w:r w:rsidRPr="00510442">
              <w:rPr>
                <w:rFonts w:ascii="Times New Roman" w:hAnsi="Times New Roman"/>
                <w:b/>
                <w:sz w:val="22"/>
                <w:szCs w:val="22"/>
                <w:lang w:val="hr-HR"/>
              </w:rPr>
              <w:t xml:space="preserve">Stope preživljenja bez recidiva bolesti </w:t>
            </w:r>
            <w:r w:rsidRPr="00510442">
              <w:rPr>
                <w:rFonts w:ascii="Times New Roman" w:hAnsi="Times New Roman"/>
                <w:b/>
                <w:color w:val="000000"/>
                <w:sz w:val="22"/>
                <w:szCs w:val="22"/>
                <w:lang w:val="hr-HR"/>
              </w:rPr>
              <w:t>(%)</w:t>
            </w:r>
          </w:p>
        </w:tc>
      </w:tr>
      <w:tr w:rsidR="00BE41B8" w:rsidRPr="00510442" w14:paraId="3B0ECBBF" w14:textId="77777777" w:rsidTr="0063591E">
        <w:trPr>
          <w:cantSplit/>
        </w:trPr>
        <w:tc>
          <w:tcPr>
            <w:tcW w:w="959" w:type="dxa"/>
            <w:vMerge/>
          </w:tcPr>
          <w:p w14:paraId="7940586A" w14:textId="77777777" w:rsidR="00BE41B8" w:rsidRPr="00510442" w:rsidRDefault="00BE41B8" w:rsidP="0063591E">
            <w:pPr>
              <w:pStyle w:val="Table"/>
              <w:keepLines w:val="0"/>
              <w:spacing w:before="0" w:after="0"/>
              <w:rPr>
                <w:rFonts w:ascii="Times New Roman" w:hAnsi="Times New Roman"/>
                <w:b/>
                <w:color w:val="000000"/>
                <w:sz w:val="22"/>
                <w:szCs w:val="22"/>
                <w:lang w:val="hr-HR"/>
              </w:rPr>
            </w:pPr>
          </w:p>
        </w:tc>
        <w:tc>
          <w:tcPr>
            <w:tcW w:w="1276" w:type="dxa"/>
            <w:vMerge/>
            <w:tcBorders>
              <w:right w:val="single" w:sz="4" w:space="0" w:color="auto"/>
            </w:tcBorders>
          </w:tcPr>
          <w:p w14:paraId="348CC8BA" w14:textId="77777777" w:rsidR="00BE41B8" w:rsidRPr="00510442" w:rsidRDefault="00BE41B8" w:rsidP="0063591E">
            <w:pPr>
              <w:pStyle w:val="Table"/>
              <w:keepLines w:val="0"/>
              <w:spacing w:before="0" w:after="0"/>
              <w:rPr>
                <w:rFonts w:ascii="Times New Roman" w:hAnsi="Times New Roman"/>
                <w:b/>
                <w:color w:val="000000"/>
                <w:sz w:val="22"/>
                <w:szCs w:val="22"/>
                <w:lang w:val="hr-HR"/>
              </w:rPr>
            </w:pPr>
          </w:p>
        </w:tc>
        <w:tc>
          <w:tcPr>
            <w:tcW w:w="1134" w:type="dxa"/>
            <w:vMerge/>
            <w:tcBorders>
              <w:left w:val="single" w:sz="4" w:space="0" w:color="auto"/>
              <w:right w:val="single" w:sz="4" w:space="0" w:color="auto"/>
            </w:tcBorders>
          </w:tcPr>
          <w:p w14:paraId="17FD68E8" w14:textId="77777777" w:rsidR="00BE41B8" w:rsidRPr="00510442" w:rsidRDefault="00BE41B8" w:rsidP="0063591E">
            <w:pPr>
              <w:pStyle w:val="Table"/>
              <w:keepLines w:val="0"/>
              <w:spacing w:before="0" w:after="0"/>
              <w:jc w:val="center"/>
              <w:rPr>
                <w:rFonts w:ascii="Times New Roman" w:hAnsi="Times New Roman"/>
                <w:b/>
                <w:color w:val="000000"/>
                <w:sz w:val="22"/>
                <w:szCs w:val="22"/>
                <w:lang w:val="hr-HR"/>
              </w:rPr>
            </w:pPr>
          </w:p>
        </w:tc>
        <w:tc>
          <w:tcPr>
            <w:tcW w:w="1843" w:type="dxa"/>
            <w:vMerge/>
            <w:tcBorders>
              <w:left w:val="single" w:sz="4" w:space="0" w:color="auto"/>
              <w:right w:val="single" w:sz="4" w:space="0" w:color="auto"/>
            </w:tcBorders>
          </w:tcPr>
          <w:p w14:paraId="6FAE3DE2" w14:textId="77777777" w:rsidR="00BE41B8" w:rsidRPr="00510442" w:rsidRDefault="00BE41B8" w:rsidP="0063591E">
            <w:pPr>
              <w:pStyle w:val="Table"/>
              <w:keepLines w:val="0"/>
              <w:spacing w:before="0" w:after="0"/>
              <w:jc w:val="center"/>
              <w:rPr>
                <w:rFonts w:ascii="Times New Roman" w:hAnsi="Times New Roman"/>
                <w:b/>
                <w:color w:val="000000"/>
                <w:sz w:val="22"/>
                <w:szCs w:val="22"/>
                <w:lang w:val="hr-HR"/>
              </w:rPr>
            </w:pPr>
          </w:p>
        </w:tc>
        <w:tc>
          <w:tcPr>
            <w:tcW w:w="1319" w:type="dxa"/>
            <w:vMerge/>
            <w:tcBorders>
              <w:left w:val="single" w:sz="4" w:space="0" w:color="auto"/>
              <w:right w:val="single" w:sz="4" w:space="0" w:color="auto"/>
            </w:tcBorders>
          </w:tcPr>
          <w:p w14:paraId="0A88EA63" w14:textId="77777777" w:rsidR="00BE41B8" w:rsidRPr="00510442" w:rsidRDefault="00BE41B8" w:rsidP="0063591E">
            <w:pPr>
              <w:pStyle w:val="Table"/>
              <w:keepLines w:val="0"/>
              <w:spacing w:before="0" w:after="0"/>
              <w:rPr>
                <w:rFonts w:ascii="Times New Roman" w:hAnsi="Times New Roman"/>
                <w:b/>
                <w:color w:val="000000"/>
                <w:sz w:val="22"/>
                <w:szCs w:val="22"/>
                <w:lang w:val="hr-HR"/>
              </w:rPr>
            </w:pPr>
          </w:p>
        </w:tc>
        <w:tc>
          <w:tcPr>
            <w:tcW w:w="1440" w:type="dxa"/>
            <w:tcBorders>
              <w:left w:val="single" w:sz="4" w:space="0" w:color="auto"/>
              <w:right w:val="single" w:sz="4" w:space="0" w:color="auto"/>
            </w:tcBorders>
          </w:tcPr>
          <w:p w14:paraId="41947F01" w14:textId="77777777" w:rsidR="00BE41B8" w:rsidRPr="00510442" w:rsidRDefault="00BE41B8" w:rsidP="0063591E">
            <w:pPr>
              <w:pStyle w:val="Table"/>
              <w:keepLines w:val="0"/>
              <w:spacing w:before="0" w:after="0"/>
              <w:jc w:val="center"/>
              <w:rPr>
                <w:rFonts w:ascii="Times New Roman" w:hAnsi="Times New Roman"/>
                <w:b/>
                <w:color w:val="000000"/>
                <w:sz w:val="22"/>
                <w:szCs w:val="22"/>
                <w:lang w:val="hr-HR"/>
              </w:rPr>
            </w:pPr>
            <w:r w:rsidRPr="00510442">
              <w:rPr>
                <w:rFonts w:ascii="Times New Roman" w:hAnsi="Times New Roman"/>
                <w:b/>
                <w:color w:val="000000"/>
                <w:sz w:val="22"/>
                <w:szCs w:val="22"/>
                <w:lang w:val="hr-HR"/>
              </w:rPr>
              <w:t>12 </w:t>
            </w:r>
            <w:r w:rsidRPr="00510442">
              <w:rPr>
                <w:rFonts w:ascii="Times New Roman" w:hAnsi="Times New Roman"/>
                <w:b/>
                <w:sz w:val="22"/>
                <w:szCs w:val="22"/>
                <w:lang w:val="hr-HR"/>
              </w:rPr>
              <w:t>mjeseci</w:t>
            </w:r>
          </w:p>
        </w:tc>
        <w:tc>
          <w:tcPr>
            <w:tcW w:w="1360" w:type="dxa"/>
            <w:tcBorders>
              <w:left w:val="single" w:sz="4" w:space="0" w:color="auto"/>
            </w:tcBorders>
          </w:tcPr>
          <w:p w14:paraId="78D91530" w14:textId="77777777" w:rsidR="00BE41B8" w:rsidRPr="00510442" w:rsidRDefault="00BE41B8" w:rsidP="0063591E">
            <w:pPr>
              <w:pStyle w:val="Table"/>
              <w:keepLines w:val="0"/>
              <w:spacing w:before="0" w:after="0"/>
              <w:jc w:val="center"/>
              <w:rPr>
                <w:rFonts w:ascii="Times New Roman" w:hAnsi="Times New Roman"/>
                <w:b/>
                <w:color w:val="000000"/>
                <w:sz w:val="22"/>
                <w:szCs w:val="22"/>
                <w:lang w:val="hr-HR"/>
              </w:rPr>
            </w:pPr>
            <w:r w:rsidRPr="00510442">
              <w:rPr>
                <w:rFonts w:ascii="Times New Roman" w:hAnsi="Times New Roman"/>
                <w:b/>
                <w:color w:val="000000"/>
                <w:sz w:val="22"/>
                <w:szCs w:val="22"/>
                <w:lang w:val="hr-HR"/>
              </w:rPr>
              <w:t>24 </w:t>
            </w:r>
            <w:r w:rsidRPr="00510442">
              <w:rPr>
                <w:rFonts w:ascii="Times New Roman" w:hAnsi="Times New Roman"/>
                <w:b/>
                <w:sz w:val="22"/>
                <w:szCs w:val="22"/>
                <w:lang w:val="hr-HR"/>
              </w:rPr>
              <w:t>mjeseci</w:t>
            </w:r>
          </w:p>
        </w:tc>
      </w:tr>
      <w:tr w:rsidR="00BE41B8" w:rsidRPr="00510442" w14:paraId="230F1EFB" w14:textId="77777777" w:rsidTr="0063591E">
        <w:trPr>
          <w:cantSplit/>
        </w:trPr>
        <w:tc>
          <w:tcPr>
            <w:tcW w:w="959" w:type="dxa"/>
            <w:vMerge/>
          </w:tcPr>
          <w:p w14:paraId="41AB3B39" w14:textId="77777777" w:rsidR="00BE41B8" w:rsidRPr="00510442" w:rsidRDefault="00BE41B8" w:rsidP="0063591E">
            <w:pPr>
              <w:pStyle w:val="Table"/>
              <w:keepLines w:val="0"/>
              <w:spacing w:before="0" w:after="0"/>
              <w:rPr>
                <w:rFonts w:ascii="Times New Roman" w:hAnsi="Times New Roman"/>
                <w:b/>
                <w:color w:val="000000"/>
                <w:sz w:val="22"/>
                <w:szCs w:val="22"/>
                <w:lang w:val="hr-HR"/>
              </w:rPr>
            </w:pPr>
          </w:p>
        </w:tc>
        <w:tc>
          <w:tcPr>
            <w:tcW w:w="1276" w:type="dxa"/>
            <w:vMerge/>
            <w:tcBorders>
              <w:right w:val="single" w:sz="4" w:space="0" w:color="auto"/>
            </w:tcBorders>
          </w:tcPr>
          <w:p w14:paraId="610BD591" w14:textId="77777777" w:rsidR="00BE41B8" w:rsidRPr="00510442" w:rsidRDefault="00BE41B8" w:rsidP="0063591E">
            <w:pPr>
              <w:pStyle w:val="Table"/>
              <w:keepLines w:val="0"/>
              <w:spacing w:before="0" w:after="0"/>
              <w:rPr>
                <w:rFonts w:ascii="Times New Roman" w:hAnsi="Times New Roman"/>
                <w:b/>
                <w:color w:val="000000"/>
                <w:sz w:val="22"/>
                <w:szCs w:val="22"/>
                <w:lang w:val="hr-HR"/>
              </w:rPr>
            </w:pPr>
          </w:p>
        </w:tc>
        <w:tc>
          <w:tcPr>
            <w:tcW w:w="1134" w:type="dxa"/>
            <w:vMerge/>
            <w:tcBorders>
              <w:left w:val="single" w:sz="4" w:space="0" w:color="auto"/>
              <w:right w:val="single" w:sz="4" w:space="0" w:color="auto"/>
            </w:tcBorders>
          </w:tcPr>
          <w:p w14:paraId="1E0D100B" w14:textId="77777777" w:rsidR="00BE41B8" w:rsidRPr="00510442" w:rsidRDefault="00BE41B8" w:rsidP="0063591E">
            <w:pPr>
              <w:pStyle w:val="Table"/>
              <w:keepLines w:val="0"/>
              <w:spacing w:before="0" w:after="0"/>
              <w:jc w:val="center"/>
              <w:rPr>
                <w:rFonts w:ascii="Times New Roman" w:hAnsi="Times New Roman"/>
                <w:b/>
                <w:color w:val="000000"/>
                <w:sz w:val="22"/>
                <w:szCs w:val="22"/>
                <w:lang w:val="hr-HR"/>
              </w:rPr>
            </w:pPr>
          </w:p>
        </w:tc>
        <w:tc>
          <w:tcPr>
            <w:tcW w:w="1843" w:type="dxa"/>
            <w:tcBorders>
              <w:left w:val="single" w:sz="4" w:space="0" w:color="auto"/>
              <w:bottom w:val="single" w:sz="4" w:space="0" w:color="auto"/>
              <w:right w:val="single" w:sz="4" w:space="0" w:color="auto"/>
            </w:tcBorders>
          </w:tcPr>
          <w:p w14:paraId="762D2CD7" w14:textId="77777777" w:rsidR="00BE41B8" w:rsidRPr="00510442" w:rsidRDefault="00BE41B8" w:rsidP="0063591E">
            <w:pPr>
              <w:pStyle w:val="Table"/>
              <w:keepLines w:val="0"/>
              <w:spacing w:before="0" w:after="0"/>
              <w:jc w:val="center"/>
              <w:rPr>
                <w:rFonts w:ascii="Times New Roman" w:hAnsi="Times New Roman"/>
                <w:b/>
                <w:color w:val="000000"/>
                <w:sz w:val="22"/>
                <w:szCs w:val="22"/>
                <w:lang w:val="hr-HR"/>
              </w:rPr>
            </w:pPr>
            <w:r w:rsidRPr="00510442">
              <w:rPr>
                <w:rFonts w:ascii="Times New Roman" w:hAnsi="Times New Roman"/>
                <w:b/>
                <w:color w:val="000000"/>
                <w:sz w:val="22"/>
                <w:szCs w:val="22"/>
                <w:lang w:val="hr-HR"/>
              </w:rPr>
              <w:t>Glivec vs. placebo</w:t>
            </w:r>
          </w:p>
        </w:tc>
        <w:tc>
          <w:tcPr>
            <w:tcW w:w="1319" w:type="dxa"/>
            <w:vMerge/>
            <w:tcBorders>
              <w:left w:val="single" w:sz="4" w:space="0" w:color="auto"/>
              <w:bottom w:val="single" w:sz="4" w:space="0" w:color="auto"/>
              <w:right w:val="single" w:sz="4" w:space="0" w:color="auto"/>
            </w:tcBorders>
          </w:tcPr>
          <w:p w14:paraId="3E1E32CF" w14:textId="77777777" w:rsidR="00BE41B8" w:rsidRPr="00510442" w:rsidRDefault="00BE41B8" w:rsidP="0063591E">
            <w:pPr>
              <w:pStyle w:val="Table"/>
              <w:keepLines w:val="0"/>
              <w:spacing w:before="0" w:after="0"/>
              <w:jc w:val="center"/>
              <w:rPr>
                <w:rFonts w:ascii="Times New Roman" w:hAnsi="Times New Roman"/>
                <w:b/>
                <w:color w:val="000000"/>
                <w:sz w:val="22"/>
                <w:szCs w:val="22"/>
                <w:lang w:val="hr-HR"/>
              </w:rPr>
            </w:pPr>
          </w:p>
        </w:tc>
        <w:tc>
          <w:tcPr>
            <w:tcW w:w="1440" w:type="dxa"/>
            <w:tcBorders>
              <w:left w:val="single" w:sz="4" w:space="0" w:color="auto"/>
              <w:bottom w:val="single" w:sz="4" w:space="0" w:color="auto"/>
              <w:right w:val="single" w:sz="4" w:space="0" w:color="auto"/>
            </w:tcBorders>
          </w:tcPr>
          <w:p w14:paraId="27900F09" w14:textId="77777777" w:rsidR="00BE41B8" w:rsidRPr="00510442" w:rsidRDefault="00BE41B8" w:rsidP="0063591E">
            <w:pPr>
              <w:pStyle w:val="Table"/>
              <w:keepLines w:val="0"/>
              <w:spacing w:before="0" w:after="0"/>
              <w:jc w:val="center"/>
              <w:rPr>
                <w:rFonts w:ascii="Times New Roman" w:hAnsi="Times New Roman"/>
                <w:b/>
                <w:color w:val="000000"/>
                <w:sz w:val="22"/>
                <w:szCs w:val="22"/>
                <w:lang w:val="hr-HR"/>
              </w:rPr>
            </w:pPr>
            <w:r w:rsidRPr="00510442">
              <w:rPr>
                <w:rFonts w:ascii="Times New Roman" w:hAnsi="Times New Roman"/>
                <w:b/>
                <w:color w:val="000000"/>
                <w:sz w:val="22"/>
                <w:szCs w:val="22"/>
                <w:lang w:val="hr-HR"/>
              </w:rPr>
              <w:t>Glivec vs. placebo</w:t>
            </w:r>
          </w:p>
        </w:tc>
        <w:tc>
          <w:tcPr>
            <w:tcW w:w="1360" w:type="dxa"/>
            <w:tcBorders>
              <w:left w:val="single" w:sz="4" w:space="0" w:color="auto"/>
            </w:tcBorders>
          </w:tcPr>
          <w:p w14:paraId="5C9D8BF5" w14:textId="77777777" w:rsidR="00BE41B8" w:rsidRPr="00510442" w:rsidRDefault="00BE41B8" w:rsidP="0063591E">
            <w:pPr>
              <w:pStyle w:val="Table"/>
              <w:keepLines w:val="0"/>
              <w:spacing w:before="0" w:after="0"/>
              <w:jc w:val="center"/>
              <w:rPr>
                <w:rFonts w:ascii="Times New Roman" w:hAnsi="Times New Roman"/>
                <w:b/>
                <w:color w:val="000000"/>
                <w:sz w:val="22"/>
                <w:szCs w:val="22"/>
                <w:lang w:val="hr-HR"/>
              </w:rPr>
            </w:pPr>
            <w:r w:rsidRPr="00510442">
              <w:rPr>
                <w:rFonts w:ascii="Times New Roman" w:hAnsi="Times New Roman"/>
                <w:b/>
                <w:color w:val="000000"/>
                <w:sz w:val="22"/>
                <w:szCs w:val="22"/>
                <w:lang w:val="hr-HR"/>
              </w:rPr>
              <w:t>Glivec vs. placebo</w:t>
            </w:r>
          </w:p>
        </w:tc>
      </w:tr>
      <w:tr w:rsidR="00BE41B8" w:rsidRPr="00510442" w14:paraId="13474E6F" w14:textId="77777777" w:rsidTr="0063591E">
        <w:trPr>
          <w:cantSplit/>
        </w:trPr>
        <w:tc>
          <w:tcPr>
            <w:tcW w:w="959" w:type="dxa"/>
            <w:vMerge w:val="restart"/>
            <w:shd w:val="clear" w:color="auto" w:fill="auto"/>
          </w:tcPr>
          <w:p w14:paraId="16244905" w14:textId="77777777" w:rsidR="00BE41B8" w:rsidRPr="00510442" w:rsidRDefault="00BE41B8" w:rsidP="0063591E">
            <w:pPr>
              <w:pStyle w:val="Nottoc-headings"/>
              <w:keepLines w:val="0"/>
              <w:spacing w:before="0" w:after="0"/>
              <w:ind w:left="0" w:firstLine="0"/>
              <w:rPr>
                <w:color w:val="000000"/>
                <w:sz w:val="22"/>
                <w:szCs w:val="22"/>
                <w:lang w:val="hr-HR"/>
              </w:rPr>
            </w:pPr>
            <w:r w:rsidRPr="00510442">
              <w:rPr>
                <w:rFonts w:ascii="Times New Roman" w:hAnsi="Times New Roman"/>
                <w:b w:val="0"/>
                <w:color w:val="000000"/>
                <w:sz w:val="22"/>
                <w:szCs w:val="22"/>
                <w:lang w:val="hr-HR"/>
              </w:rPr>
              <w:t>NIH</w:t>
            </w:r>
          </w:p>
        </w:tc>
        <w:tc>
          <w:tcPr>
            <w:tcW w:w="1276" w:type="dxa"/>
            <w:tcBorders>
              <w:bottom w:val="nil"/>
              <w:right w:val="single" w:sz="4" w:space="0" w:color="auto"/>
            </w:tcBorders>
            <w:vAlign w:val="bottom"/>
          </w:tcPr>
          <w:p w14:paraId="09120363" w14:textId="77777777" w:rsidR="00BE41B8" w:rsidRPr="00510442" w:rsidRDefault="00BE41B8" w:rsidP="0063591E">
            <w:pPr>
              <w:pStyle w:val="Nottoc-headings"/>
              <w:keepLines w:val="0"/>
              <w:spacing w:before="0" w:after="0"/>
              <w:ind w:left="57" w:hanging="57"/>
              <w:rPr>
                <w:rFonts w:ascii="Times New Roman" w:hAnsi="Times New Roman"/>
                <w:b w:val="0"/>
                <w:sz w:val="22"/>
                <w:szCs w:val="22"/>
                <w:lang w:val="hr-HR"/>
              </w:rPr>
            </w:pPr>
            <w:r w:rsidRPr="00510442">
              <w:rPr>
                <w:rFonts w:ascii="Times New Roman" w:hAnsi="Times New Roman"/>
                <w:b w:val="0"/>
                <w:sz w:val="22"/>
                <w:szCs w:val="22"/>
                <w:lang w:val="hr-HR"/>
              </w:rPr>
              <w:t>Niska</w:t>
            </w:r>
          </w:p>
        </w:tc>
        <w:tc>
          <w:tcPr>
            <w:tcW w:w="1134" w:type="dxa"/>
            <w:tcBorders>
              <w:left w:val="single" w:sz="4" w:space="0" w:color="auto"/>
              <w:bottom w:val="nil"/>
              <w:right w:val="single" w:sz="4" w:space="0" w:color="auto"/>
            </w:tcBorders>
            <w:vAlign w:val="bottom"/>
          </w:tcPr>
          <w:p w14:paraId="131893C8" w14:textId="77777777" w:rsidR="00BE41B8" w:rsidRPr="00510442" w:rsidRDefault="00BE41B8" w:rsidP="0063591E">
            <w:pPr>
              <w:pStyle w:val="Nottoc-headings"/>
              <w:keepLines w:val="0"/>
              <w:spacing w:before="0" w:after="0"/>
              <w:ind w:left="57" w:hanging="57"/>
              <w:jc w:val="center"/>
              <w:rPr>
                <w:rFonts w:ascii="Times New Roman" w:hAnsi="Times New Roman"/>
                <w:b w:val="0"/>
                <w:color w:val="000000"/>
                <w:sz w:val="22"/>
                <w:szCs w:val="22"/>
                <w:lang w:val="hr-HR"/>
              </w:rPr>
            </w:pPr>
            <w:r w:rsidRPr="00510442">
              <w:rPr>
                <w:rFonts w:ascii="Times New Roman" w:hAnsi="Times New Roman"/>
                <w:b w:val="0"/>
                <w:color w:val="000000"/>
                <w:sz w:val="22"/>
                <w:szCs w:val="22"/>
                <w:lang w:val="hr-HR"/>
              </w:rPr>
              <w:t>29,5</w:t>
            </w:r>
          </w:p>
        </w:tc>
        <w:tc>
          <w:tcPr>
            <w:tcW w:w="1843" w:type="dxa"/>
            <w:tcBorders>
              <w:left w:val="single" w:sz="4" w:space="0" w:color="auto"/>
              <w:bottom w:val="nil"/>
              <w:right w:val="single" w:sz="4" w:space="0" w:color="auto"/>
            </w:tcBorders>
            <w:vAlign w:val="bottom"/>
          </w:tcPr>
          <w:p w14:paraId="30EA1694" w14:textId="77777777" w:rsidR="00BE41B8" w:rsidRPr="00510442" w:rsidRDefault="00BE41B8" w:rsidP="0063591E">
            <w:pPr>
              <w:pStyle w:val="Nottoc-headings"/>
              <w:keepLines w:val="0"/>
              <w:spacing w:before="0" w:after="0"/>
              <w:ind w:left="57" w:hanging="57"/>
              <w:rPr>
                <w:rFonts w:ascii="Times New Roman" w:hAnsi="Times New Roman"/>
                <w:b w:val="0"/>
                <w:color w:val="000000"/>
                <w:sz w:val="22"/>
                <w:szCs w:val="22"/>
                <w:lang w:val="hr-HR"/>
              </w:rPr>
            </w:pPr>
            <w:r w:rsidRPr="00510442">
              <w:rPr>
                <w:rFonts w:ascii="Times New Roman" w:hAnsi="Times New Roman"/>
                <w:b w:val="0"/>
                <w:color w:val="000000"/>
                <w:sz w:val="22"/>
                <w:szCs w:val="22"/>
                <w:lang w:val="hr-HR"/>
              </w:rPr>
              <w:t>0/86 vs. 2/90</w:t>
            </w:r>
          </w:p>
        </w:tc>
        <w:tc>
          <w:tcPr>
            <w:tcW w:w="1319" w:type="dxa"/>
            <w:tcBorders>
              <w:left w:val="single" w:sz="4" w:space="0" w:color="auto"/>
              <w:bottom w:val="nil"/>
              <w:right w:val="single" w:sz="4" w:space="0" w:color="auto"/>
            </w:tcBorders>
            <w:vAlign w:val="bottom"/>
          </w:tcPr>
          <w:p w14:paraId="1F710B14" w14:textId="77777777" w:rsidR="00BE41B8" w:rsidRPr="00510442" w:rsidRDefault="00BE41B8" w:rsidP="0063591E">
            <w:pPr>
              <w:pStyle w:val="Nottoc-headings"/>
              <w:keepLines w:val="0"/>
              <w:spacing w:before="0" w:after="0"/>
              <w:ind w:left="57" w:hanging="57"/>
              <w:jc w:val="center"/>
              <w:rPr>
                <w:rFonts w:ascii="Times New Roman" w:hAnsi="Times New Roman"/>
                <w:b w:val="0"/>
                <w:color w:val="000000"/>
                <w:sz w:val="22"/>
                <w:szCs w:val="22"/>
                <w:lang w:val="hr-HR"/>
              </w:rPr>
            </w:pPr>
            <w:r w:rsidRPr="00510442">
              <w:rPr>
                <w:rFonts w:ascii="Times New Roman" w:hAnsi="Times New Roman"/>
                <w:b w:val="0"/>
                <w:color w:val="000000"/>
                <w:sz w:val="22"/>
                <w:szCs w:val="22"/>
                <w:lang w:val="hr-HR"/>
              </w:rPr>
              <w:t>NP</w:t>
            </w:r>
          </w:p>
        </w:tc>
        <w:tc>
          <w:tcPr>
            <w:tcW w:w="1440" w:type="dxa"/>
            <w:tcBorders>
              <w:left w:val="single" w:sz="4" w:space="0" w:color="auto"/>
              <w:bottom w:val="nil"/>
              <w:right w:val="single" w:sz="4" w:space="0" w:color="auto"/>
            </w:tcBorders>
            <w:vAlign w:val="bottom"/>
          </w:tcPr>
          <w:p w14:paraId="4EC2B38A" w14:textId="77777777" w:rsidR="00BE41B8" w:rsidRPr="00510442" w:rsidRDefault="00BE41B8" w:rsidP="0063591E">
            <w:pPr>
              <w:pStyle w:val="Nottoc-headings"/>
              <w:keepLines w:val="0"/>
              <w:spacing w:before="0" w:after="0"/>
              <w:ind w:left="57" w:hanging="57"/>
              <w:rPr>
                <w:rFonts w:ascii="Times New Roman" w:hAnsi="Times New Roman"/>
                <w:b w:val="0"/>
                <w:color w:val="000000"/>
                <w:sz w:val="22"/>
                <w:szCs w:val="22"/>
                <w:lang w:val="hr-HR"/>
              </w:rPr>
            </w:pPr>
            <w:r w:rsidRPr="00510442">
              <w:rPr>
                <w:rFonts w:ascii="Times New Roman" w:hAnsi="Times New Roman"/>
                <w:b w:val="0"/>
                <w:color w:val="000000"/>
                <w:sz w:val="22"/>
                <w:szCs w:val="22"/>
                <w:lang w:val="hr-HR"/>
              </w:rPr>
              <w:t>100 vs. 98,7</w:t>
            </w:r>
          </w:p>
        </w:tc>
        <w:tc>
          <w:tcPr>
            <w:tcW w:w="1360" w:type="dxa"/>
            <w:tcBorders>
              <w:left w:val="single" w:sz="4" w:space="0" w:color="auto"/>
              <w:bottom w:val="nil"/>
            </w:tcBorders>
            <w:vAlign w:val="bottom"/>
          </w:tcPr>
          <w:p w14:paraId="1E6E9498" w14:textId="77777777" w:rsidR="00BE41B8" w:rsidRPr="00510442" w:rsidRDefault="00BE41B8" w:rsidP="0063591E">
            <w:pPr>
              <w:pStyle w:val="Nottoc-headings"/>
              <w:keepLines w:val="0"/>
              <w:spacing w:before="0" w:after="0"/>
              <w:ind w:left="57" w:hanging="57"/>
              <w:rPr>
                <w:rFonts w:ascii="Times New Roman" w:hAnsi="Times New Roman"/>
                <w:b w:val="0"/>
                <w:color w:val="000000"/>
                <w:sz w:val="22"/>
                <w:szCs w:val="22"/>
                <w:lang w:val="hr-HR"/>
              </w:rPr>
            </w:pPr>
            <w:r w:rsidRPr="00510442">
              <w:rPr>
                <w:rFonts w:ascii="Times New Roman" w:hAnsi="Times New Roman"/>
                <w:b w:val="0"/>
                <w:color w:val="000000"/>
                <w:sz w:val="22"/>
                <w:szCs w:val="22"/>
                <w:lang w:val="hr-HR"/>
              </w:rPr>
              <w:t>100 vs. 95,5</w:t>
            </w:r>
          </w:p>
        </w:tc>
      </w:tr>
      <w:tr w:rsidR="00BE41B8" w:rsidRPr="00510442" w14:paraId="00D5E3EB" w14:textId="77777777" w:rsidTr="0063591E">
        <w:trPr>
          <w:cantSplit/>
        </w:trPr>
        <w:tc>
          <w:tcPr>
            <w:tcW w:w="959" w:type="dxa"/>
            <w:vMerge/>
            <w:shd w:val="clear" w:color="auto" w:fill="auto"/>
          </w:tcPr>
          <w:p w14:paraId="3198A92E" w14:textId="77777777" w:rsidR="00BE41B8" w:rsidRPr="00510442" w:rsidRDefault="00BE41B8" w:rsidP="0063591E">
            <w:pPr>
              <w:pStyle w:val="Nottoc-headings"/>
              <w:keepLines w:val="0"/>
              <w:spacing w:before="0" w:after="0"/>
              <w:rPr>
                <w:rFonts w:ascii="Times New Roman" w:hAnsi="Times New Roman"/>
                <w:b w:val="0"/>
                <w:color w:val="000000"/>
                <w:sz w:val="22"/>
                <w:szCs w:val="22"/>
                <w:lang w:val="hr-HR"/>
              </w:rPr>
            </w:pPr>
          </w:p>
        </w:tc>
        <w:tc>
          <w:tcPr>
            <w:tcW w:w="1276" w:type="dxa"/>
            <w:tcBorders>
              <w:top w:val="nil"/>
              <w:bottom w:val="nil"/>
              <w:right w:val="single" w:sz="4" w:space="0" w:color="auto"/>
            </w:tcBorders>
            <w:vAlign w:val="bottom"/>
          </w:tcPr>
          <w:p w14:paraId="489F0DAC" w14:textId="77777777" w:rsidR="00BE41B8" w:rsidRPr="00510442" w:rsidRDefault="00BE41B8" w:rsidP="0063591E">
            <w:pPr>
              <w:pStyle w:val="Table"/>
              <w:keepLines w:val="0"/>
              <w:spacing w:before="0" w:after="0"/>
              <w:rPr>
                <w:rFonts w:ascii="Times New Roman" w:hAnsi="Times New Roman"/>
                <w:sz w:val="22"/>
                <w:szCs w:val="22"/>
                <w:lang w:val="hr-HR"/>
              </w:rPr>
            </w:pPr>
            <w:r w:rsidRPr="00510442">
              <w:rPr>
                <w:rFonts w:ascii="Times New Roman" w:hAnsi="Times New Roman"/>
                <w:sz w:val="22"/>
                <w:szCs w:val="22"/>
                <w:lang w:val="hr-HR"/>
              </w:rPr>
              <w:t>Srednja</w:t>
            </w:r>
          </w:p>
        </w:tc>
        <w:tc>
          <w:tcPr>
            <w:tcW w:w="1134" w:type="dxa"/>
            <w:tcBorders>
              <w:top w:val="nil"/>
              <w:left w:val="single" w:sz="4" w:space="0" w:color="auto"/>
              <w:bottom w:val="nil"/>
              <w:right w:val="single" w:sz="4" w:space="0" w:color="auto"/>
            </w:tcBorders>
            <w:vAlign w:val="bottom"/>
          </w:tcPr>
          <w:p w14:paraId="18DC4FA9" w14:textId="77777777" w:rsidR="00BE41B8" w:rsidRPr="00510442" w:rsidRDefault="00BE41B8" w:rsidP="0063591E">
            <w:pPr>
              <w:pStyle w:val="Table"/>
              <w:keepLines w:val="0"/>
              <w:spacing w:before="0" w:after="0"/>
              <w:jc w:val="center"/>
              <w:rPr>
                <w:rFonts w:ascii="Times New Roman" w:hAnsi="Times New Roman"/>
                <w:color w:val="000000"/>
                <w:sz w:val="22"/>
                <w:szCs w:val="22"/>
                <w:lang w:val="hr-HR"/>
              </w:rPr>
            </w:pPr>
            <w:r w:rsidRPr="00510442">
              <w:rPr>
                <w:rFonts w:ascii="Times New Roman" w:hAnsi="Times New Roman"/>
                <w:color w:val="000000"/>
                <w:sz w:val="22"/>
                <w:szCs w:val="22"/>
                <w:lang w:val="hr-HR"/>
              </w:rPr>
              <w:t>25,7</w:t>
            </w:r>
          </w:p>
        </w:tc>
        <w:tc>
          <w:tcPr>
            <w:tcW w:w="1843" w:type="dxa"/>
            <w:tcBorders>
              <w:top w:val="nil"/>
              <w:left w:val="single" w:sz="4" w:space="0" w:color="auto"/>
              <w:bottom w:val="nil"/>
              <w:right w:val="single" w:sz="4" w:space="0" w:color="auto"/>
            </w:tcBorders>
            <w:vAlign w:val="bottom"/>
          </w:tcPr>
          <w:p w14:paraId="56E8C782" w14:textId="77777777" w:rsidR="00BE41B8" w:rsidRPr="00510442" w:rsidRDefault="00BE41B8" w:rsidP="0063591E">
            <w:pPr>
              <w:pStyle w:val="Table"/>
              <w:keepLines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4/75 vs. 6/78</w:t>
            </w:r>
          </w:p>
        </w:tc>
        <w:tc>
          <w:tcPr>
            <w:tcW w:w="1319" w:type="dxa"/>
            <w:tcBorders>
              <w:top w:val="nil"/>
              <w:left w:val="single" w:sz="4" w:space="0" w:color="auto"/>
              <w:bottom w:val="nil"/>
              <w:right w:val="single" w:sz="4" w:space="0" w:color="auto"/>
            </w:tcBorders>
            <w:vAlign w:val="bottom"/>
          </w:tcPr>
          <w:p w14:paraId="3B3A9A26" w14:textId="77777777" w:rsidR="00BE41B8" w:rsidRPr="00510442" w:rsidRDefault="00BE41B8" w:rsidP="0063591E">
            <w:pPr>
              <w:pStyle w:val="Table"/>
              <w:keepLines w:val="0"/>
              <w:spacing w:before="0" w:after="0"/>
              <w:jc w:val="center"/>
              <w:rPr>
                <w:rFonts w:ascii="Times New Roman" w:hAnsi="Times New Roman"/>
                <w:color w:val="000000"/>
                <w:sz w:val="22"/>
                <w:szCs w:val="22"/>
                <w:lang w:val="hr-HR"/>
              </w:rPr>
            </w:pPr>
            <w:r w:rsidRPr="00510442">
              <w:rPr>
                <w:rFonts w:ascii="Times New Roman" w:hAnsi="Times New Roman"/>
                <w:color w:val="000000"/>
                <w:sz w:val="22"/>
                <w:szCs w:val="22"/>
                <w:lang w:val="hr-HR"/>
              </w:rPr>
              <w:t>0,59</w:t>
            </w:r>
            <w:r w:rsidRPr="00510442">
              <w:rPr>
                <w:rFonts w:ascii="Times New Roman" w:hAnsi="Times New Roman"/>
                <w:color w:val="000000"/>
                <w:sz w:val="22"/>
                <w:szCs w:val="22"/>
                <w:lang w:val="hr-HR"/>
              </w:rPr>
              <w:br/>
              <w:t>(0,17; 2,10)</w:t>
            </w:r>
          </w:p>
        </w:tc>
        <w:tc>
          <w:tcPr>
            <w:tcW w:w="1440" w:type="dxa"/>
            <w:tcBorders>
              <w:top w:val="nil"/>
              <w:left w:val="single" w:sz="4" w:space="0" w:color="auto"/>
              <w:bottom w:val="nil"/>
              <w:right w:val="single" w:sz="4" w:space="0" w:color="auto"/>
            </w:tcBorders>
            <w:vAlign w:val="bottom"/>
          </w:tcPr>
          <w:p w14:paraId="52386810" w14:textId="77777777" w:rsidR="00BE41B8" w:rsidRPr="00510442" w:rsidRDefault="00BE41B8" w:rsidP="0063591E">
            <w:pPr>
              <w:pStyle w:val="Table"/>
              <w:keepLines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100 vs. 94,8</w:t>
            </w:r>
          </w:p>
        </w:tc>
        <w:tc>
          <w:tcPr>
            <w:tcW w:w="1360" w:type="dxa"/>
            <w:tcBorders>
              <w:top w:val="nil"/>
              <w:left w:val="single" w:sz="4" w:space="0" w:color="auto"/>
              <w:bottom w:val="nil"/>
            </w:tcBorders>
            <w:vAlign w:val="bottom"/>
          </w:tcPr>
          <w:p w14:paraId="58FD19DC" w14:textId="77777777" w:rsidR="00BE41B8" w:rsidRPr="00510442" w:rsidRDefault="00BE41B8" w:rsidP="0063591E">
            <w:pPr>
              <w:pStyle w:val="Table"/>
              <w:keepLines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97,8 vs. 89,5</w:t>
            </w:r>
          </w:p>
        </w:tc>
      </w:tr>
      <w:tr w:rsidR="00BE41B8" w:rsidRPr="00510442" w14:paraId="534076DA" w14:textId="77777777" w:rsidTr="0063591E">
        <w:trPr>
          <w:cantSplit/>
        </w:trPr>
        <w:tc>
          <w:tcPr>
            <w:tcW w:w="959" w:type="dxa"/>
            <w:vMerge/>
            <w:shd w:val="clear" w:color="auto" w:fill="auto"/>
          </w:tcPr>
          <w:p w14:paraId="28955D6E" w14:textId="77777777" w:rsidR="00BE41B8" w:rsidRPr="00510442" w:rsidRDefault="00BE41B8" w:rsidP="0063591E">
            <w:pPr>
              <w:pStyle w:val="Table"/>
              <w:keepLines w:val="0"/>
              <w:spacing w:before="0" w:after="0"/>
              <w:rPr>
                <w:rFonts w:ascii="Times New Roman" w:hAnsi="Times New Roman"/>
                <w:color w:val="000000"/>
                <w:sz w:val="22"/>
                <w:szCs w:val="22"/>
                <w:lang w:val="hr-HR"/>
              </w:rPr>
            </w:pPr>
          </w:p>
        </w:tc>
        <w:tc>
          <w:tcPr>
            <w:tcW w:w="1276" w:type="dxa"/>
            <w:tcBorders>
              <w:top w:val="nil"/>
              <w:right w:val="single" w:sz="4" w:space="0" w:color="auto"/>
            </w:tcBorders>
            <w:vAlign w:val="bottom"/>
          </w:tcPr>
          <w:p w14:paraId="052DFB24" w14:textId="77777777" w:rsidR="00BE41B8" w:rsidRPr="00510442" w:rsidRDefault="00BE41B8" w:rsidP="0063591E">
            <w:pPr>
              <w:pStyle w:val="Table"/>
              <w:keepLines w:val="0"/>
              <w:spacing w:before="0" w:after="0"/>
              <w:rPr>
                <w:rFonts w:ascii="Times New Roman" w:hAnsi="Times New Roman"/>
                <w:sz w:val="22"/>
                <w:szCs w:val="22"/>
                <w:lang w:val="hr-HR"/>
              </w:rPr>
            </w:pPr>
            <w:r w:rsidRPr="00510442">
              <w:rPr>
                <w:rFonts w:ascii="Times New Roman" w:hAnsi="Times New Roman"/>
                <w:sz w:val="22"/>
                <w:szCs w:val="22"/>
                <w:lang w:val="hr-HR"/>
              </w:rPr>
              <w:t>Visoka</w:t>
            </w:r>
          </w:p>
        </w:tc>
        <w:tc>
          <w:tcPr>
            <w:tcW w:w="1134" w:type="dxa"/>
            <w:tcBorders>
              <w:top w:val="nil"/>
              <w:left w:val="single" w:sz="4" w:space="0" w:color="auto"/>
              <w:right w:val="single" w:sz="4" w:space="0" w:color="auto"/>
            </w:tcBorders>
            <w:vAlign w:val="bottom"/>
          </w:tcPr>
          <w:p w14:paraId="50083934" w14:textId="77777777" w:rsidR="00BE41B8" w:rsidRPr="00510442" w:rsidRDefault="00BE41B8" w:rsidP="0063591E">
            <w:pPr>
              <w:pStyle w:val="Table"/>
              <w:keepLines w:val="0"/>
              <w:spacing w:before="0" w:after="0"/>
              <w:jc w:val="center"/>
              <w:rPr>
                <w:rFonts w:ascii="Times New Roman" w:hAnsi="Times New Roman"/>
                <w:color w:val="000000"/>
                <w:sz w:val="22"/>
                <w:szCs w:val="22"/>
                <w:lang w:val="hr-HR"/>
              </w:rPr>
            </w:pPr>
            <w:r w:rsidRPr="00510442">
              <w:rPr>
                <w:rFonts w:ascii="Times New Roman" w:hAnsi="Times New Roman"/>
                <w:color w:val="000000"/>
                <w:sz w:val="22"/>
                <w:szCs w:val="22"/>
                <w:lang w:val="hr-HR"/>
              </w:rPr>
              <w:t>44,8</w:t>
            </w:r>
          </w:p>
        </w:tc>
        <w:tc>
          <w:tcPr>
            <w:tcW w:w="1843" w:type="dxa"/>
            <w:tcBorders>
              <w:top w:val="nil"/>
              <w:left w:val="single" w:sz="4" w:space="0" w:color="auto"/>
              <w:right w:val="single" w:sz="4" w:space="0" w:color="auto"/>
            </w:tcBorders>
            <w:vAlign w:val="bottom"/>
          </w:tcPr>
          <w:p w14:paraId="66876D06" w14:textId="77777777" w:rsidR="00BE41B8" w:rsidRPr="00510442" w:rsidRDefault="00BE41B8" w:rsidP="0063591E">
            <w:pPr>
              <w:pStyle w:val="Table"/>
              <w:keepLines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21/140 vs. 51/127</w:t>
            </w:r>
          </w:p>
        </w:tc>
        <w:tc>
          <w:tcPr>
            <w:tcW w:w="1319" w:type="dxa"/>
            <w:tcBorders>
              <w:top w:val="nil"/>
              <w:left w:val="single" w:sz="4" w:space="0" w:color="auto"/>
              <w:right w:val="single" w:sz="4" w:space="0" w:color="auto"/>
            </w:tcBorders>
            <w:vAlign w:val="bottom"/>
          </w:tcPr>
          <w:p w14:paraId="746E5B57" w14:textId="77777777" w:rsidR="00BE41B8" w:rsidRPr="00510442" w:rsidRDefault="00BE41B8" w:rsidP="0063591E">
            <w:pPr>
              <w:pStyle w:val="Table"/>
              <w:keepLines w:val="0"/>
              <w:spacing w:before="0" w:after="0"/>
              <w:jc w:val="center"/>
              <w:rPr>
                <w:rFonts w:ascii="Times New Roman" w:hAnsi="Times New Roman"/>
                <w:color w:val="000000"/>
                <w:sz w:val="22"/>
                <w:szCs w:val="22"/>
                <w:lang w:val="hr-HR"/>
              </w:rPr>
            </w:pPr>
            <w:r w:rsidRPr="00510442">
              <w:rPr>
                <w:rFonts w:ascii="Times New Roman" w:hAnsi="Times New Roman"/>
                <w:color w:val="000000"/>
                <w:sz w:val="22"/>
                <w:szCs w:val="22"/>
                <w:lang w:val="hr-HR"/>
              </w:rPr>
              <w:t>0,29</w:t>
            </w:r>
            <w:r w:rsidRPr="00510442">
              <w:rPr>
                <w:rFonts w:ascii="Times New Roman" w:hAnsi="Times New Roman"/>
                <w:color w:val="000000"/>
                <w:sz w:val="22"/>
                <w:szCs w:val="22"/>
                <w:lang w:val="hr-HR"/>
              </w:rPr>
              <w:br/>
              <w:t>(0,18; 0,49)</w:t>
            </w:r>
          </w:p>
        </w:tc>
        <w:tc>
          <w:tcPr>
            <w:tcW w:w="1440" w:type="dxa"/>
            <w:tcBorders>
              <w:top w:val="nil"/>
              <w:left w:val="single" w:sz="4" w:space="0" w:color="auto"/>
              <w:right w:val="single" w:sz="4" w:space="0" w:color="auto"/>
            </w:tcBorders>
            <w:vAlign w:val="bottom"/>
          </w:tcPr>
          <w:p w14:paraId="48B3027B" w14:textId="77777777" w:rsidR="00BE41B8" w:rsidRPr="00510442" w:rsidRDefault="00BE41B8" w:rsidP="0063591E">
            <w:pPr>
              <w:pStyle w:val="Table"/>
              <w:keepLines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94,8 vs. 64,0</w:t>
            </w:r>
          </w:p>
        </w:tc>
        <w:tc>
          <w:tcPr>
            <w:tcW w:w="1360" w:type="dxa"/>
            <w:tcBorders>
              <w:top w:val="nil"/>
              <w:left w:val="single" w:sz="4" w:space="0" w:color="auto"/>
            </w:tcBorders>
            <w:vAlign w:val="bottom"/>
          </w:tcPr>
          <w:p w14:paraId="1672F57D" w14:textId="77777777" w:rsidR="00BE41B8" w:rsidRPr="00510442" w:rsidRDefault="00BE41B8" w:rsidP="0063591E">
            <w:pPr>
              <w:pStyle w:val="Table"/>
              <w:keepLines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80,7 vs. 46,6</w:t>
            </w:r>
          </w:p>
        </w:tc>
      </w:tr>
      <w:tr w:rsidR="00BE41B8" w:rsidRPr="00510442" w14:paraId="756FAB32" w14:textId="77777777" w:rsidTr="0063591E">
        <w:trPr>
          <w:cantSplit/>
        </w:trPr>
        <w:tc>
          <w:tcPr>
            <w:tcW w:w="959" w:type="dxa"/>
            <w:vMerge w:val="restart"/>
            <w:shd w:val="clear" w:color="auto" w:fill="auto"/>
          </w:tcPr>
          <w:p w14:paraId="6B1C7D1B" w14:textId="77777777" w:rsidR="00BE41B8" w:rsidRPr="00510442" w:rsidRDefault="00BE41B8" w:rsidP="0063591E">
            <w:pPr>
              <w:pStyle w:val="Table"/>
              <w:keepLines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AFIP</w:t>
            </w:r>
          </w:p>
        </w:tc>
        <w:tc>
          <w:tcPr>
            <w:tcW w:w="1276" w:type="dxa"/>
            <w:tcBorders>
              <w:bottom w:val="nil"/>
              <w:right w:val="single" w:sz="4" w:space="0" w:color="auto"/>
            </w:tcBorders>
            <w:vAlign w:val="bottom"/>
          </w:tcPr>
          <w:p w14:paraId="3EF874F0" w14:textId="77777777" w:rsidR="00BE41B8" w:rsidRPr="00510442" w:rsidRDefault="00BE41B8" w:rsidP="0063591E">
            <w:pPr>
              <w:pStyle w:val="Table"/>
              <w:keepLines w:val="0"/>
              <w:spacing w:before="0" w:after="0"/>
              <w:rPr>
                <w:rFonts w:ascii="Times New Roman" w:hAnsi="Times New Roman"/>
                <w:sz w:val="22"/>
                <w:szCs w:val="22"/>
                <w:lang w:val="hr-HR"/>
              </w:rPr>
            </w:pPr>
            <w:r w:rsidRPr="00510442">
              <w:rPr>
                <w:rFonts w:ascii="Times New Roman" w:hAnsi="Times New Roman"/>
                <w:sz w:val="22"/>
                <w:szCs w:val="22"/>
                <w:lang w:val="hr-HR"/>
              </w:rPr>
              <w:t>Vrlo niska</w:t>
            </w:r>
          </w:p>
        </w:tc>
        <w:tc>
          <w:tcPr>
            <w:tcW w:w="1134" w:type="dxa"/>
            <w:tcBorders>
              <w:left w:val="single" w:sz="4" w:space="0" w:color="auto"/>
              <w:bottom w:val="nil"/>
              <w:right w:val="single" w:sz="4" w:space="0" w:color="auto"/>
            </w:tcBorders>
            <w:vAlign w:val="bottom"/>
          </w:tcPr>
          <w:p w14:paraId="5CAAE60A" w14:textId="77777777" w:rsidR="00BE41B8" w:rsidRPr="00510442" w:rsidRDefault="00BE41B8" w:rsidP="0063591E">
            <w:pPr>
              <w:pStyle w:val="Table"/>
              <w:keepLines w:val="0"/>
              <w:spacing w:before="0" w:after="0"/>
              <w:jc w:val="center"/>
              <w:rPr>
                <w:rFonts w:ascii="Times New Roman" w:hAnsi="Times New Roman"/>
                <w:color w:val="000000"/>
                <w:sz w:val="22"/>
                <w:szCs w:val="22"/>
                <w:lang w:val="hr-HR"/>
              </w:rPr>
            </w:pPr>
            <w:r w:rsidRPr="00510442">
              <w:rPr>
                <w:rFonts w:ascii="Times New Roman" w:hAnsi="Times New Roman"/>
                <w:color w:val="000000"/>
                <w:sz w:val="22"/>
                <w:szCs w:val="22"/>
                <w:lang w:val="hr-HR"/>
              </w:rPr>
              <w:t>20,7</w:t>
            </w:r>
          </w:p>
        </w:tc>
        <w:tc>
          <w:tcPr>
            <w:tcW w:w="1843" w:type="dxa"/>
            <w:tcBorders>
              <w:left w:val="single" w:sz="4" w:space="0" w:color="auto"/>
              <w:bottom w:val="nil"/>
              <w:right w:val="single" w:sz="4" w:space="0" w:color="auto"/>
            </w:tcBorders>
            <w:vAlign w:val="bottom"/>
          </w:tcPr>
          <w:p w14:paraId="2347F915" w14:textId="77777777" w:rsidR="00BE41B8" w:rsidRPr="00510442" w:rsidRDefault="00BE41B8" w:rsidP="0063591E">
            <w:pPr>
              <w:pStyle w:val="Table"/>
              <w:keepLines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0/52 vs. 2/63</w:t>
            </w:r>
          </w:p>
        </w:tc>
        <w:tc>
          <w:tcPr>
            <w:tcW w:w="1319" w:type="dxa"/>
            <w:tcBorders>
              <w:left w:val="single" w:sz="4" w:space="0" w:color="auto"/>
              <w:bottom w:val="nil"/>
              <w:right w:val="single" w:sz="4" w:space="0" w:color="auto"/>
            </w:tcBorders>
            <w:vAlign w:val="bottom"/>
          </w:tcPr>
          <w:p w14:paraId="1B2B603D" w14:textId="77777777" w:rsidR="00BE41B8" w:rsidRPr="00510442" w:rsidRDefault="00BE41B8" w:rsidP="0063591E">
            <w:pPr>
              <w:pStyle w:val="Table"/>
              <w:keepLines w:val="0"/>
              <w:spacing w:before="0" w:after="0"/>
              <w:jc w:val="center"/>
              <w:rPr>
                <w:rFonts w:ascii="Times New Roman" w:hAnsi="Times New Roman"/>
                <w:color w:val="000000"/>
                <w:sz w:val="22"/>
                <w:szCs w:val="22"/>
                <w:lang w:val="hr-HR"/>
              </w:rPr>
            </w:pPr>
            <w:r w:rsidRPr="00510442">
              <w:rPr>
                <w:rFonts w:ascii="Times New Roman" w:hAnsi="Times New Roman"/>
                <w:color w:val="000000"/>
                <w:sz w:val="22"/>
                <w:szCs w:val="22"/>
                <w:lang w:val="hr-HR"/>
              </w:rPr>
              <w:t>NP</w:t>
            </w:r>
          </w:p>
        </w:tc>
        <w:tc>
          <w:tcPr>
            <w:tcW w:w="1440" w:type="dxa"/>
            <w:tcBorders>
              <w:left w:val="single" w:sz="4" w:space="0" w:color="auto"/>
              <w:bottom w:val="nil"/>
              <w:right w:val="single" w:sz="4" w:space="0" w:color="auto"/>
            </w:tcBorders>
            <w:vAlign w:val="bottom"/>
          </w:tcPr>
          <w:p w14:paraId="6A17D42E" w14:textId="77777777" w:rsidR="00BE41B8" w:rsidRPr="00510442" w:rsidRDefault="00BE41B8" w:rsidP="0063591E">
            <w:pPr>
              <w:pStyle w:val="Table"/>
              <w:keepLines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100 vs. 98,1</w:t>
            </w:r>
          </w:p>
        </w:tc>
        <w:tc>
          <w:tcPr>
            <w:tcW w:w="1360" w:type="dxa"/>
            <w:tcBorders>
              <w:left w:val="single" w:sz="4" w:space="0" w:color="auto"/>
              <w:bottom w:val="nil"/>
            </w:tcBorders>
            <w:vAlign w:val="bottom"/>
          </w:tcPr>
          <w:p w14:paraId="2F33E89D" w14:textId="77777777" w:rsidR="00BE41B8" w:rsidRPr="00510442" w:rsidRDefault="00BE41B8" w:rsidP="0063591E">
            <w:pPr>
              <w:pStyle w:val="Table"/>
              <w:keepLines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100 vs. 93,0</w:t>
            </w:r>
          </w:p>
        </w:tc>
      </w:tr>
      <w:tr w:rsidR="00BE41B8" w:rsidRPr="00510442" w14:paraId="4741DD64" w14:textId="77777777" w:rsidTr="0063591E">
        <w:trPr>
          <w:cantSplit/>
        </w:trPr>
        <w:tc>
          <w:tcPr>
            <w:tcW w:w="959" w:type="dxa"/>
            <w:vMerge/>
            <w:shd w:val="clear" w:color="auto" w:fill="auto"/>
          </w:tcPr>
          <w:p w14:paraId="58078709" w14:textId="77777777" w:rsidR="00BE41B8" w:rsidRPr="00510442" w:rsidRDefault="00BE41B8" w:rsidP="0063591E">
            <w:pPr>
              <w:pStyle w:val="Table"/>
              <w:keepLines w:val="0"/>
              <w:spacing w:before="0" w:after="0"/>
              <w:rPr>
                <w:rFonts w:ascii="Times New Roman" w:hAnsi="Times New Roman"/>
                <w:color w:val="000000"/>
                <w:sz w:val="22"/>
                <w:szCs w:val="22"/>
                <w:lang w:val="hr-HR"/>
              </w:rPr>
            </w:pPr>
          </w:p>
        </w:tc>
        <w:tc>
          <w:tcPr>
            <w:tcW w:w="1276" w:type="dxa"/>
            <w:tcBorders>
              <w:top w:val="nil"/>
              <w:bottom w:val="nil"/>
              <w:right w:val="single" w:sz="4" w:space="0" w:color="auto"/>
            </w:tcBorders>
            <w:vAlign w:val="bottom"/>
          </w:tcPr>
          <w:p w14:paraId="33D4576F" w14:textId="77777777" w:rsidR="00BE41B8" w:rsidRPr="00510442" w:rsidRDefault="00BE41B8" w:rsidP="0063591E">
            <w:pPr>
              <w:pStyle w:val="Table"/>
              <w:keepLines w:val="0"/>
              <w:spacing w:before="0" w:after="0"/>
              <w:rPr>
                <w:rFonts w:ascii="Times New Roman" w:hAnsi="Times New Roman"/>
                <w:sz w:val="22"/>
                <w:szCs w:val="22"/>
                <w:lang w:val="hr-HR"/>
              </w:rPr>
            </w:pPr>
            <w:r w:rsidRPr="00510442">
              <w:rPr>
                <w:rFonts w:ascii="Times New Roman" w:hAnsi="Times New Roman"/>
                <w:sz w:val="22"/>
                <w:szCs w:val="22"/>
                <w:lang w:val="hr-HR"/>
              </w:rPr>
              <w:t>Niska</w:t>
            </w:r>
          </w:p>
        </w:tc>
        <w:tc>
          <w:tcPr>
            <w:tcW w:w="1134" w:type="dxa"/>
            <w:tcBorders>
              <w:top w:val="nil"/>
              <w:left w:val="single" w:sz="4" w:space="0" w:color="auto"/>
              <w:bottom w:val="nil"/>
              <w:right w:val="single" w:sz="4" w:space="0" w:color="auto"/>
            </w:tcBorders>
            <w:vAlign w:val="bottom"/>
          </w:tcPr>
          <w:p w14:paraId="742B1E21" w14:textId="77777777" w:rsidR="00BE41B8" w:rsidRPr="00510442" w:rsidRDefault="00BE41B8" w:rsidP="0063591E">
            <w:pPr>
              <w:pStyle w:val="Table"/>
              <w:keepLines w:val="0"/>
              <w:spacing w:before="0" w:after="0"/>
              <w:jc w:val="center"/>
              <w:rPr>
                <w:rFonts w:ascii="Times New Roman" w:hAnsi="Times New Roman"/>
                <w:color w:val="000000"/>
                <w:sz w:val="22"/>
                <w:szCs w:val="22"/>
                <w:lang w:val="hr-HR"/>
              </w:rPr>
            </w:pPr>
            <w:r w:rsidRPr="00510442">
              <w:rPr>
                <w:rFonts w:ascii="Times New Roman" w:hAnsi="Times New Roman"/>
                <w:color w:val="000000"/>
                <w:sz w:val="22"/>
                <w:szCs w:val="22"/>
                <w:lang w:val="hr-HR"/>
              </w:rPr>
              <w:t>25,0</w:t>
            </w:r>
          </w:p>
        </w:tc>
        <w:tc>
          <w:tcPr>
            <w:tcW w:w="1843" w:type="dxa"/>
            <w:tcBorders>
              <w:top w:val="nil"/>
              <w:left w:val="single" w:sz="4" w:space="0" w:color="auto"/>
              <w:bottom w:val="nil"/>
              <w:right w:val="single" w:sz="4" w:space="0" w:color="auto"/>
            </w:tcBorders>
            <w:vAlign w:val="bottom"/>
          </w:tcPr>
          <w:p w14:paraId="352FCBE7" w14:textId="77777777" w:rsidR="00BE41B8" w:rsidRPr="00510442" w:rsidRDefault="00BE41B8" w:rsidP="0063591E">
            <w:pPr>
              <w:pStyle w:val="Table"/>
              <w:keepLines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2/70 vs. 0/69</w:t>
            </w:r>
          </w:p>
        </w:tc>
        <w:tc>
          <w:tcPr>
            <w:tcW w:w="1319" w:type="dxa"/>
            <w:tcBorders>
              <w:top w:val="nil"/>
              <w:left w:val="single" w:sz="4" w:space="0" w:color="auto"/>
              <w:bottom w:val="nil"/>
              <w:right w:val="single" w:sz="4" w:space="0" w:color="auto"/>
            </w:tcBorders>
            <w:vAlign w:val="bottom"/>
          </w:tcPr>
          <w:p w14:paraId="05AE36C3" w14:textId="77777777" w:rsidR="00BE41B8" w:rsidRPr="00510442" w:rsidRDefault="00BE41B8" w:rsidP="0063591E">
            <w:pPr>
              <w:pStyle w:val="Table"/>
              <w:keepLines w:val="0"/>
              <w:spacing w:before="0" w:after="0"/>
              <w:jc w:val="center"/>
              <w:rPr>
                <w:rFonts w:ascii="Times New Roman" w:hAnsi="Times New Roman"/>
                <w:color w:val="000000"/>
                <w:sz w:val="22"/>
                <w:szCs w:val="22"/>
                <w:lang w:val="hr-HR"/>
              </w:rPr>
            </w:pPr>
            <w:r w:rsidRPr="00510442">
              <w:rPr>
                <w:rFonts w:ascii="Times New Roman" w:hAnsi="Times New Roman"/>
                <w:color w:val="000000"/>
                <w:sz w:val="22"/>
                <w:szCs w:val="22"/>
                <w:lang w:val="hr-HR"/>
              </w:rPr>
              <w:t>NP</w:t>
            </w:r>
          </w:p>
        </w:tc>
        <w:tc>
          <w:tcPr>
            <w:tcW w:w="1440" w:type="dxa"/>
            <w:tcBorders>
              <w:top w:val="nil"/>
              <w:left w:val="single" w:sz="4" w:space="0" w:color="auto"/>
              <w:bottom w:val="nil"/>
              <w:right w:val="single" w:sz="4" w:space="0" w:color="auto"/>
            </w:tcBorders>
            <w:vAlign w:val="bottom"/>
          </w:tcPr>
          <w:p w14:paraId="07778227" w14:textId="77777777" w:rsidR="00BE41B8" w:rsidRPr="00510442" w:rsidRDefault="00BE41B8" w:rsidP="0063591E">
            <w:pPr>
              <w:pStyle w:val="Table"/>
              <w:keepLines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100 vs. 100</w:t>
            </w:r>
          </w:p>
        </w:tc>
        <w:tc>
          <w:tcPr>
            <w:tcW w:w="1360" w:type="dxa"/>
            <w:tcBorders>
              <w:top w:val="nil"/>
              <w:left w:val="single" w:sz="4" w:space="0" w:color="auto"/>
              <w:bottom w:val="nil"/>
            </w:tcBorders>
            <w:vAlign w:val="bottom"/>
          </w:tcPr>
          <w:p w14:paraId="0EC8C533" w14:textId="77777777" w:rsidR="00BE41B8" w:rsidRPr="00510442" w:rsidRDefault="00BE41B8" w:rsidP="0063591E">
            <w:pPr>
              <w:pStyle w:val="Table"/>
              <w:keepLines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97,8 vs. 100</w:t>
            </w:r>
          </w:p>
        </w:tc>
      </w:tr>
      <w:tr w:rsidR="00BE41B8" w:rsidRPr="00510442" w14:paraId="3B310365" w14:textId="77777777" w:rsidTr="0063591E">
        <w:trPr>
          <w:cantSplit/>
        </w:trPr>
        <w:tc>
          <w:tcPr>
            <w:tcW w:w="959" w:type="dxa"/>
            <w:vMerge/>
            <w:shd w:val="clear" w:color="auto" w:fill="auto"/>
          </w:tcPr>
          <w:p w14:paraId="44D71115" w14:textId="77777777" w:rsidR="00BE41B8" w:rsidRPr="00510442" w:rsidRDefault="00BE41B8" w:rsidP="0063591E">
            <w:pPr>
              <w:pStyle w:val="Table"/>
              <w:keepLines w:val="0"/>
              <w:spacing w:before="0" w:after="0"/>
              <w:rPr>
                <w:rFonts w:ascii="Times New Roman" w:hAnsi="Times New Roman"/>
                <w:b/>
                <w:color w:val="000000"/>
                <w:sz w:val="22"/>
                <w:szCs w:val="22"/>
                <w:lang w:val="hr-HR"/>
              </w:rPr>
            </w:pPr>
          </w:p>
        </w:tc>
        <w:tc>
          <w:tcPr>
            <w:tcW w:w="1276" w:type="dxa"/>
            <w:tcBorders>
              <w:top w:val="nil"/>
              <w:bottom w:val="nil"/>
              <w:right w:val="single" w:sz="4" w:space="0" w:color="auto"/>
            </w:tcBorders>
            <w:vAlign w:val="bottom"/>
          </w:tcPr>
          <w:p w14:paraId="09B71E9C" w14:textId="77777777" w:rsidR="00BE41B8" w:rsidRPr="00510442" w:rsidRDefault="00BE41B8" w:rsidP="0063591E">
            <w:pPr>
              <w:pStyle w:val="Table"/>
              <w:keepLines w:val="0"/>
              <w:spacing w:before="0" w:after="0"/>
              <w:rPr>
                <w:rFonts w:ascii="Times New Roman" w:hAnsi="Times New Roman"/>
                <w:sz w:val="22"/>
                <w:szCs w:val="22"/>
                <w:lang w:val="hr-HR"/>
              </w:rPr>
            </w:pPr>
            <w:r w:rsidRPr="00510442">
              <w:rPr>
                <w:rFonts w:ascii="Times New Roman" w:hAnsi="Times New Roman"/>
                <w:sz w:val="22"/>
                <w:szCs w:val="22"/>
                <w:lang w:val="hr-HR"/>
              </w:rPr>
              <w:t>Srednja</w:t>
            </w:r>
          </w:p>
        </w:tc>
        <w:tc>
          <w:tcPr>
            <w:tcW w:w="1134" w:type="dxa"/>
            <w:tcBorders>
              <w:top w:val="nil"/>
              <w:left w:val="single" w:sz="4" w:space="0" w:color="auto"/>
              <w:bottom w:val="nil"/>
              <w:right w:val="single" w:sz="4" w:space="0" w:color="auto"/>
            </w:tcBorders>
            <w:vAlign w:val="bottom"/>
          </w:tcPr>
          <w:p w14:paraId="511E0131" w14:textId="77777777" w:rsidR="00BE41B8" w:rsidRPr="00510442" w:rsidRDefault="00BE41B8" w:rsidP="0063591E">
            <w:pPr>
              <w:pStyle w:val="Table"/>
              <w:keepLines w:val="0"/>
              <w:spacing w:before="0" w:after="0"/>
              <w:jc w:val="center"/>
              <w:rPr>
                <w:rFonts w:ascii="Times New Roman" w:hAnsi="Times New Roman"/>
                <w:color w:val="000000"/>
                <w:sz w:val="22"/>
                <w:szCs w:val="22"/>
                <w:lang w:val="hr-HR"/>
              </w:rPr>
            </w:pPr>
            <w:r w:rsidRPr="00510442">
              <w:rPr>
                <w:rFonts w:ascii="Times New Roman" w:hAnsi="Times New Roman"/>
                <w:color w:val="000000"/>
                <w:sz w:val="22"/>
                <w:szCs w:val="22"/>
                <w:lang w:val="hr-HR"/>
              </w:rPr>
              <w:t>24,6</w:t>
            </w:r>
          </w:p>
        </w:tc>
        <w:tc>
          <w:tcPr>
            <w:tcW w:w="1843" w:type="dxa"/>
            <w:tcBorders>
              <w:top w:val="nil"/>
              <w:left w:val="single" w:sz="4" w:space="0" w:color="auto"/>
              <w:bottom w:val="nil"/>
              <w:right w:val="single" w:sz="4" w:space="0" w:color="auto"/>
            </w:tcBorders>
            <w:vAlign w:val="bottom"/>
          </w:tcPr>
          <w:p w14:paraId="07208953" w14:textId="77777777" w:rsidR="00BE41B8" w:rsidRPr="00510442" w:rsidRDefault="00BE41B8" w:rsidP="0063591E">
            <w:pPr>
              <w:pStyle w:val="Table"/>
              <w:keepLines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2/70 vs. 11/67</w:t>
            </w:r>
          </w:p>
        </w:tc>
        <w:tc>
          <w:tcPr>
            <w:tcW w:w="1319" w:type="dxa"/>
            <w:tcBorders>
              <w:top w:val="nil"/>
              <w:left w:val="single" w:sz="4" w:space="0" w:color="auto"/>
              <w:bottom w:val="nil"/>
              <w:right w:val="single" w:sz="4" w:space="0" w:color="auto"/>
            </w:tcBorders>
            <w:vAlign w:val="bottom"/>
          </w:tcPr>
          <w:p w14:paraId="0640E470" w14:textId="77777777" w:rsidR="00BE41B8" w:rsidRPr="00510442" w:rsidRDefault="00BE41B8" w:rsidP="0063591E">
            <w:pPr>
              <w:pStyle w:val="Table"/>
              <w:keepLines w:val="0"/>
              <w:spacing w:before="0" w:after="0"/>
              <w:jc w:val="center"/>
              <w:rPr>
                <w:rFonts w:ascii="Times New Roman" w:hAnsi="Times New Roman"/>
                <w:color w:val="000000"/>
                <w:sz w:val="22"/>
                <w:szCs w:val="22"/>
                <w:lang w:val="hr-HR"/>
              </w:rPr>
            </w:pPr>
            <w:r w:rsidRPr="00510442">
              <w:rPr>
                <w:rFonts w:ascii="Times New Roman" w:hAnsi="Times New Roman"/>
                <w:color w:val="000000"/>
                <w:sz w:val="22"/>
                <w:szCs w:val="22"/>
                <w:lang w:val="hr-HR"/>
              </w:rPr>
              <w:t>0,16</w:t>
            </w:r>
            <w:r w:rsidRPr="00510442">
              <w:rPr>
                <w:rFonts w:ascii="Times New Roman" w:hAnsi="Times New Roman"/>
                <w:color w:val="000000"/>
                <w:sz w:val="22"/>
                <w:szCs w:val="22"/>
                <w:lang w:val="hr-HR"/>
              </w:rPr>
              <w:br/>
              <w:t>(0,03; 0,70)</w:t>
            </w:r>
          </w:p>
        </w:tc>
        <w:tc>
          <w:tcPr>
            <w:tcW w:w="1440" w:type="dxa"/>
            <w:tcBorders>
              <w:top w:val="nil"/>
              <w:left w:val="single" w:sz="4" w:space="0" w:color="auto"/>
              <w:bottom w:val="nil"/>
              <w:right w:val="single" w:sz="4" w:space="0" w:color="auto"/>
            </w:tcBorders>
            <w:vAlign w:val="bottom"/>
          </w:tcPr>
          <w:p w14:paraId="02884168" w14:textId="77777777" w:rsidR="00BE41B8" w:rsidRPr="00510442" w:rsidRDefault="00BE41B8" w:rsidP="0063591E">
            <w:pPr>
              <w:pStyle w:val="Table"/>
              <w:keepLines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97,9 vs. 90,8</w:t>
            </w:r>
          </w:p>
        </w:tc>
        <w:tc>
          <w:tcPr>
            <w:tcW w:w="1360" w:type="dxa"/>
            <w:tcBorders>
              <w:top w:val="nil"/>
              <w:left w:val="single" w:sz="4" w:space="0" w:color="auto"/>
              <w:bottom w:val="nil"/>
            </w:tcBorders>
            <w:vAlign w:val="bottom"/>
          </w:tcPr>
          <w:p w14:paraId="4041E668" w14:textId="77777777" w:rsidR="00BE41B8" w:rsidRPr="00510442" w:rsidRDefault="00BE41B8" w:rsidP="0063591E">
            <w:pPr>
              <w:pStyle w:val="Table"/>
              <w:keepLines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97,9 vs. 73,3</w:t>
            </w:r>
          </w:p>
        </w:tc>
      </w:tr>
      <w:tr w:rsidR="00BE41B8" w:rsidRPr="00510442" w14:paraId="46293B73" w14:textId="77777777" w:rsidTr="0063591E">
        <w:trPr>
          <w:cantSplit/>
        </w:trPr>
        <w:tc>
          <w:tcPr>
            <w:tcW w:w="959" w:type="dxa"/>
            <w:vMerge/>
            <w:tcBorders>
              <w:bottom w:val="single" w:sz="4" w:space="0" w:color="auto"/>
            </w:tcBorders>
            <w:shd w:val="clear" w:color="auto" w:fill="auto"/>
          </w:tcPr>
          <w:p w14:paraId="625BFB7A" w14:textId="77777777" w:rsidR="00BE41B8" w:rsidRPr="00510442" w:rsidRDefault="00BE41B8" w:rsidP="0063591E">
            <w:pPr>
              <w:pStyle w:val="Table"/>
              <w:keepLines w:val="0"/>
              <w:spacing w:before="0" w:after="0"/>
              <w:rPr>
                <w:rFonts w:ascii="Times New Roman" w:hAnsi="Times New Roman"/>
                <w:color w:val="000000"/>
                <w:sz w:val="22"/>
                <w:szCs w:val="22"/>
                <w:lang w:val="hr-HR"/>
              </w:rPr>
            </w:pPr>
          </w:p>
        </w:tc>
        <w:tc>
          <w:tcPr>
            <w:tcW w:w="1276" w:type="dxa"/>
            <w:tcBorders>
              <w:top w:val="nil"/>
              <w:bottom w:val="single" w:sz="4" w:space="0" w:color="auto"/>
              <w:right w:val="single" w:sz="4" w:space="0" w:color="auto"/>
            </w:tcBorders>
            <w:vAlign w:val="bottom"/>
          </w:tcPr>
          <w:p w14:paraId="7DCB6397" w14:textId="77777777" w:rsidR="00BE41B8" w:rsidRPr="00510442" w:rsidRDefault="00BE41B8" w:rsidP="0063591E">
            <w:pPr>
              <w:pStyle w:val="Table"/>
              <w:keepLines w:val="0"/>
              <w:spacing w:before="0" w:after="0"/>
              <w:rPr>
                <w:rFonts w:ascii="Times New Roman" w:hAnsi="Times New Roman"/>
                <w:sz w:val="22"/>
                <w:szCs w:val="22"/>
                <w:lang w:val="hr-HR"/>
              </w:rPr>
            </w:pPr>
            <w:r w:rsidRPr="00510442">
              <w:rPr>
                <w:rFonts w:ascii="Times New Roman" w:hAnsi="Times New Roman"/>
                <w:sz w:val="22"/>
                <w:szCs w:val="22"/>
                <w:lang w:val="hr-HR"/>
              </w:rPr>
              <w:t>Visoka</w:t>
            </w:r>
          </w:p>
        </w:tc>
        <w:tc>
          <w:tcPr>
            <w:tcW w:w="1134" w:type="dxa"/>
            <w:tcBorders>
              <w:top w:val="nil"/>
              <w:left w:val="single" w:sz="4" w:space="0" w:color="auto"/>
              <w:bottom w:val="single" w:sz="4" w:space="0" w:color="auto"/>
              <w:right w:val="single" w:sz="4" w:space="0" w:color="auto"/>
            </w:tcBorders>
            <w:vAlign w:val="bottom"/>
          </w:tcPr>
          <w:p w14:paraId="7EB883C0" w14:textId="77777777" w:rsidR="00BE41B8" w:rsidRPr="00510442" w:rsidRDefault="00BE41B8" w:rsidP="0063591E">
            <w:pPr>
              <w:pStyle w:val="Table"/>
              <w:keepLines w:val="0"/>
              <w:spacing w:before="0" w:after="0"/>
              <w:ind w:right="-3"/>
              <w:jc w:val="center"/>
              <w:rPr>
                <w:rFonts w:ascii="Times New Roman" w:hAnsi="Times New Roman"/>
                <w:color w:val="000000"/>
                <w:sz w:val="22"/>
                <w:szCs w:val="22"/>
                <w:lang w:val="hr-HR"/>
              </w:rPr>
            </w:pPr>
            <w:r w:rsidRPr="00510442">
              <w:rPr>
                <w:rFonts w:ascii="Times New Roman" w:hAnsi="Times New Roman"/>
                <w:color w:val="000000"/>
                <w:sz w:val="22"/>
                <w:szCs w:val="22"/>
                <w:lang w:val="hr-HR"/>
              </w:rPr>
              <w:t>29,7</w:t>
            </w:r>
          </w:p>
        </w:tc>
        <w:tc>
          <w:tcPr>
            <w:tcW w:w="1843" w:type="dxa"/>
            <w:tcBorders>
              <w:top w:val="nil"/>
              <w:left w:val="single" w:sz="4" w:space="0" w:color="auto"/>
              <w:bottom w:val="single" w:sz="4" w:space="0" w:color="auto"/>
              <w:right w:val="single" w:sz="4" w:space="0" w:color="auto"/>
            </w:tcBorders>
            <w:vAlign w:val="bottom"/>
          </w:tcPr>
          <w:p w14:paraId="07A34C2C" w14:textId="77777777" w:rsidR="00BE41B8" w:rsidRPr="00510442" w:rsidRDefault="00BE41B8" w:rsidP="0063591E">
            <w:pPr>
              <w:pStyle w:val="Table"/>
              <w:keepLines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16/84 vs. 39/81</w:t>
            </w:r>
          </w:p>
        </w:tc>
        <w:tc>
          <w:tcPr>
            <w:tcW w:w="1319" w:type="dxa"/>
            <w:tcBorders>
              <w:top w:val="nil"/>
              <w:left w:val="single" w:sz="4" w:space="0" w:color="auto"/>
              <w:bottom w:val="single" w:sz="4" w:space="0" w:color="auto"/>
              <w:right w:val="single" w:sz="4" w:space="0" w:color="auto"/>
            </w:tcBorders>
            <w:vAlign w:val="bottom"/>
          </w:tcPr>
          <w:p w14:paraId="1EADEB5C" w14:textId="77777777" w:rsidR="00BE41B8" w:rsidRPr="00510442" w:rsidRDefault="00BE41B8" w:rsidP="0063591E">
            <w:pPr>
              <w:pStyle w:val="Table"/>
              <w:keepLines w:val="0"/>
              <w:spacing w:before="0" w:after="0"/>
              <w:jc w:val="center"/>
              <w:rPr>
                <w:rFonts w:ascii="Times New Roman" w:hAnsi="Times New Roman"/>
                <w:color w:val="000000"/>
                <w:sz w:val="22"/>
                <w:szCs w:val="22"/>
                <w:lang w:val="hr-HR"/>
              </w:rPr>
            </w:pPr>
            <w:r w:rsidRPr="00510442">
              <w:rPr>
                <w:rFonts w:ascii="Times New Roman" w:hAnsi="Times New Roman"/>
                <w:color w:val="000000"/>
                <w:sz w:val="22"/>
                <w:szCs w:val="22"/>
                <w:lang w:val="hr-HR"/>
              </w:rPr>
              <w:t>0,27</w:t>
            </w:r>
            <w:r w:rsidRPr="00510442">
              <w:rPr>
                <w:rFonts w:ascii="Times New Roman" w:hAnsi="Times New Roman"/>
                <w:color w:val="000000"/>
                <w:sz w:val="22"/>
                <w:szCs w:val="22"/>
                <w:lang w:val="hr-HR"/>
              </w:rPr>
              <w:br/>
              <w:t>(0,15; 0,48)</w:t>
            </w:r>
          </w:p>
        </w:tc>
        <w:tc>
          <w:tcPr>
            <w:tcW w:w="1440" w:type="dxa"/>
            <w:tcBorders>
              <w:top w:val="nil"/>
              <w:left w:val="single" w:sz="4" w:space="0" w:color="auto"/>
              <w:bottom w:val="single" w:sz="4" w:space="0" w:color="auto"/>
              <w:right w:val="single" w:sz="4" w:space="0" w:color="auto"/>
            </w:tcBorders>
            <w:vAlign w:val="bottom"/>
          </w:tcPr>
          <w:p w14:paraId="112AE4D1" w14:textId="77777777" w:rsidR="00BE41B8" w:rsidRPr="00510442" w:rsidRDefault="00BE41B8" w:rsidP="0063591E">
            <w:pPr>
              <w:pStyle w:val="Table"/>
              <w:keepLines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98,7 vs. 56,1</w:t>
            </w:r>
          </w:p>
        </w:tc>
        <w:tc>
          <w:tcPr>
            <w:tcW w:w="1360" w:type="dxa"/>
            <w:tcBorders>
              <w:top w:val="nil"/>
              <w:left w:val="single" w:sz="4" w:space="0" w:color="auto"/>
              <w:bottom w:val="single" w:sz="4" w:space="0" w:color="auto"/>
            </w:tcBorders>
            <w:vAlign w:val="bottom"/>
          </w:tcPr>
          <w:p w14:paraId="3598E8D6" w14:textId="77777777" w:rsidR="00BE41B8" w:rsidRPr="00510442" w:rsidRDefault="00BE41B8" w:rsidP="0063591E">
            <w:pPr>
              <w:pStyle w:val="Table"/>
              <w:keepLines w:val="0"/>
              <w:spacing w:before="0" w:after="0"/>
              <w:rPr>
                <w:rFonts w:ascii="Times New Roman" w:hAnsi="Times New Roman"/>
                <w:color w:val="000000"/>
                <w:sz w:val="22"/>
                <w:szCs w:val="22"/>
                <w:lang w:val="hr-HR"/>
              </w:rPr>
            </w:pPr>
            <w:r w:rsidRPr="00510442">
              <w:rPr>
                <w:rFonts w:ascii="Times New Roman" w:hAnsi="Times New Roman"/>
                <w:color w:val="000000"/>
                <w:sz w:val="22"/>
                <w:szCs w:val="22"/>
                <w:lang w:val="hr-HR"/>
              </w:rPr>
              <w:t>79,9 vs. 41,5</w:t>
            </w:r>
          </w:p>
        </w:tc>
      </w:tr>
    </w:tbl>
    <w:p w14:paraId="36DA7F39" w14:textId="77777777" w:rsidR="00BE41B8" w:rsidRPr="00510442" w:rsidRDefault="00BE41B8" w:rsidP="0063591E">
      <w:pPr>
        <w:pStyle w:val="Text"/>
        <w:spacing w:before="0"/>
        <w:jc w:val="left"/>
        <w:rPr>
          <w:color w:val="000000"/>
          <w:sz w:val="22"/>
          <w:szCs w:val="22"/>
          <w:lang w:val="hr-HR"/>
        </w:rPr>
      </w:pPr>
      <w:r w:rsidRPr="00510442">
        <w:rPr>
          <w:color w:val="000000"/>
          <w:sz w:val="22"/>
          <w:szCs w:val="22"/>
          <w:lang w:val="hr-HR"/>
        </w:rPr>
        <w:t xml:space="preserve">* </w:t>
      </w:r>
      <w:r w:rsidRPr="00510442">
        <w:rPr>
          <w:sz w:val="22"/>
          <w:szCs w:val="22"/>
          <w:lang w:val="hr-HR"/>
        </w:rPr>
        <w:t>Potpuni period praćenja</w:t>
      </w:r>
      <w:r w:rsidRPr="00510442">
        <w:rPr>
          <w:color w:val="000000"/>
          <w:sz w:val="22"/>
          <w:szCs w:val="22"/>
          <w:lang w:val="hr-HR"/>
        </w:rPr>
        <w:t xml:space="preserve">; NP – </w:t>
      </w:r>
      <w:r w:rsidRPr="00510442">
        <w:rPr>
          <w:rFonts w:eastAsia="MS Mincho"/>
          <w:color w:val="000000"/>
          <w:sz w:val="22"/>
          <w:szCs w:val="22"/>
          <w:lang w:val="hr-HR" w:eastAsia="ja-JP"/>
        </w:rPr>
        <w:t>nije moguće procijeniti</w:t>
      </w:r>
    </w:p>
    <w:p w14:paraId="774F7C61" w14:textId="77777777" w:rsidR="00BE41B8" w:rsidRPr="00510442" w:rsidRDefault="00BE41B8" w:rsidP="00BE41B8">
      <w:pPr>
        <w:pStyle w:val="Text"/>
        <w:spacing w:before="0"/>
        <w:jc w:val="left"/>
        <w:rPr>
          <w:rFonts w:eastAsia="MS Mincho"/>
          <w:color w:val="000000"/>
          <w:sz w:val="22"/>
          <w:szCs w:val="22"/>
          <w:lang w:val="hr-HR" w:eastAsia="ja-JP"/>
        </w:rPr>
      </w:pPr>
    </w:p>
    <w:p w14:paraId="3F638ACD" w14:textId="3F786F7E" w:rsidR="00BE41B8" w:rsidRPr="00510442" w:rsidRDefault="00BE41B8" w:rsidP="00BE41B8">
      <w:pPr>
        <w:pStyle w:val="Text"/>
        <w:spacing w:before="0"/>
        <w:jc w:val="left"/>
        <w:rPr>
          <w:rFonts w:eastAsia="MS Mincho"/>
          <w:iCs/>
          <w:sz w:val="22"/>
          <w:szCs w:val="22"/>
          <w:lang w:val="hr-HR" w:eastAsia="ja-JP"/>
        </w:rPr>
      </w:pPr>
      <w:r w:rsidRPr="00510442">
        <w:rPr>
          <w:rFonts w:eastAsia="MS Mincho"/>
          <w:sz w:val="22"/>
          <w:szCs w:val="22"/>
          <w:lang w:val="hr-HR" w:eastAsia="ja-JP"/>
        </w:rPr>
        <w:t xml:space="preserve">Drugo otvoreno multicentrično ispitivanje faze III (SSG XVIII/AIO) uspoređivalo je 12 mjeseci liječenja </w:t>
      </w:r>
      <w:r w:rsidR="00B27A2B">
        <w:rPr>
          <w:sz w:val="22"/>
          <w:szCs w:val="22"/>
          <w:lang w:val="hr-HR"/>
        </w:rPr>
        <w:t xml:space="preserve">lijekom </w:t>
      </w:r>
      <w:r w:rsidRPr="00510442">
        <w:rPr>
          <w:rFonts w:eastAsia="MS Mincho"/>
          <w:sz w:val="22"/>
          <w:szCs w:val="22"/>
          <w:lang w:val="hr-HR" w:eastAsia="ja-JP"/>
        </w:rPr>
        <w:t xml:space="preserve">Glivec 400 mg/dan u odnosu na 36 mjeseci liječenja u bolesnika nakon kirurške resekcije GIST-a i jednog od sljedećeg: promjer tumora </w:t>
      </w:r>
      <w:r w:rsidRPr="00510442">
        <w:rPr>
          <w:rFonts w:eastAsia="MS Mincho"/>
          <w:iCs/>
          <w:sz w:val="22"/>
          <w:szCs w:val="22"/>
          <w:lang w:val="hr-HR" w:eastAsia="ja-JP"/>
        </w:rPr>
        <w:t>&gt;5</w:t>
      </w:r>
      <w:r w:rsidRPr="00510442">
        <w:rPr>
          <w:rFonts w:eastAsia="MS Mincho"/>
          <w:sz w:val="22"/>
          <w:szCs w:val="22"/>
          <w:lang w:val="hr-HR" w:eastAsia="ja-JP"/>
        </w:rPr>
        <w:t> </w:t>
      </w:r>
      <w:r w:rsidRPr="00510442">
        <w:rPr>
          <w:rFonts w:eastAsia="MS Mincho"/>
          <w:iCs/>
          <w:sz w:val="22"/>
          <w:szCs w:val="22"/>
          <w:lang w:val="hr-HR" w:eastAsia="ja-JP"/>
        </w:rPr>
        <w:t xml:space="preserve">cm i broj mitoza &gt;5/50 u vidnom polju mikroskopa pri velikom povećanju (HPF, engl. </w:t>
      </w:r>
      <w:r w:rsidRPr="00510442">
        <w:rPr>
          <w:rFonts w:eastAsia="MS Mincho"/>
          <w:i/>
          <w:iCs/>
          <w:sz w:val="22"/>
          <w:szCs w:val="22"/>
          <w:lang w:val="hr-HR" w:eastAsia="ja-JP"/>
        </w:rPr>
        <w:t>high power fields</w:t>
      </w:r>
      <w:r w:rsidRPr="00510442">
        <w:rPr>
          <w:rFonts w:eastAsia="MS Mincho"/>
          <w:iCs/>
          <w:sz w:val="22"/>
          <w:szCs w:val="22"/>
          <w:lang w:val="hr-HR" w:eastAsia="ja-JP"/>
        </w:rPr>
        <w:t xml:space="preserve">); ili </w:t>
      </w:r>
      <w:r w:rsidRPr="00510442">
        <w:rPr>
          <w:rFonts w:eastAsia="MS Mincho"/>
          <w:sz w:val="22"/>
          <w:szCs w:val="22"/>
          <w:lang w:val="hr-HR" w:eastAsia="ja-JP"/>
        </w:rPr>
        <w:t xml:space="preserve">promjer tumora </w:t>
      </w:r>
      <w:r w:rsidRPr="00510442">
        <w:rPr>
          <w:rFonts w:eastAsia="MS Mincho"/>
          <w:iCs/>
          <w:sz w:val="22"/>
          <w:szCs w:val="22"/>
          <w:lang w:val="hr-HR" w:eastAsia="ja-JP"/>
        </w:rPr>
        <w:t>&gt;10</w:t>
      </w:r>
      <w:r w:rsidRPr="00510442">
        <w:rPr>
          <w:rFonts w:eastAsia="MS Mincho"/>
          <w:sz w:val="22"/>
          <w:szCs w:val="22"/>
          <w:lang w:val="hr-HR" w:eastAsia="ja-JP"/>
        </w:rPr>
        <w:t> </w:t>
      </w:r>
      <w:r w:rsidRPr="00510442">
        <w:rPr>
          <w:rFonts w:eastAsia="MS Mincho"/>
          <w:iCs/>
          <w:sz w:val="22"/>
          <w:szCs w:val="22"/>
          <w:lang w:val="hr-HR" w:eastAsia="ja-JP"/>
        </w:rPr>
        <w:t>cm i bilo koji broj mitoza ili tumor bilo koje veličine s brojem mitoza &gt;10/50 HPF ili ruptura tumora u peritonealnu šupljinu. Ukupno 397</w:t>
      </w:r>
      <w:r w:rsidRPr="00510442">
        <w:rPr>
          <w:rFonts w:eastAsia="MS Mincho"/>
          <w:sz w:val="22"/>
          <w:szCs w:val="22"/>
          <w:lang w:val="hr-HR" w:eastAsia="ja-JP"/>
        </w:rPr>
        <w:t> </w:t>
      </w:r>
      <w:r w:rsidRPr="00510442">
        <w:rPr>
          <w:rFonts w:eastAsia="MS Mincho"/>
          <w:iCs/>
          <w:sz w:val="22"/>
          <w:szCs w:val="22"/>
          <w:lang w:val="hr-HR" w:eastAsia="ja-JP"/>
        </w:rPr>
        <w:t>bolesnika je pristalo sudjelovati i biti randomizirano u ispitivanju (199</w:t>
      </w:r>
      <w:r w:rsidRPr="00510442">
        <w:rPr>
          <w:rFonts w:eastAsia="MS Mincho"/>
          <w:sz w:val="22"/>
          <w:szCs w:val="22"/>
          <w:lang w:val="hr-HR" w:eastAsia="ja-JP"/>
        </w:rPr>
        <w:t> </w:t>
      </w:r>
      <w:r w:rsidRPr="00510442">
        <w:rPr>
          <w:rFonts w:eastAsia="MS Mincho"/>
          <w:iCs/>
          <w:sz w:val="22"/>
          <w:szCs w:val="22"/>
          <w:lang w:val="hr-HR" w:eastAsia="ja-JP"/>
        </w:rPr>
        <w:t>bolesnika u 12</w:t>
      </w:r>
      <w:r w:rsidRPr="00510442">
        <w:rPr>
          <w:rFonts w:eastAsia="MS Mincho"/>
          <w:sz w:val="22"/>
          <w:szCs w:val="22"/>
          <w:lang w:val="hr-HR" w:eastAsia="ja-JP"/>
        </w:rPr>
        <w:t>-</w:t>
      </w:r>
      <w:r w:rsidRPr="00510442">
        <w:rPr>
          <w:rFonts w:eastAsia="MS Mincho"/>
          <w:iCs/>
          <w:sz w:val="22"/>
          <w:szCs w:val="22"/>
          <w:lang w:val="hr-HR" w:eastAsia="ja-JP"/>
        </w:rPr>
        <w:t>mjesečni krak i 198</w:t>
      </w:r>
      <w:r w:rsidRPr="00510442">
        <w:rPr>
          <w:rFonts w:eastAsia="MS Mincho"/>
          <w:sz w:val="22"/>
          <w:szCs w:val="22"/>
          <w:lang w:val="hr-HR" w:eastAsia="ja-JP"/>
        </w:rPr>
        <w:t> </w:t>
      </w:r>
      <w:r w:rsidRPr="00510442">
        <w:rPr>
          <w:rFonts w:eastAsia="MS Mincho"/>
          <w:iCs/>
          <w:sz w:val="22"/>
          <w:szCs w:val="22"/>
          <w:lang w:val="hr-HR" w:eastAsia="ja-JP"/>
        </w:rPr>
        <w:t>bolesnika u 36</w:t>
      </w:r>
      <w:r w:rsidRPr="00510442">
        <w:rPr>
          <w:rFonts w:eastAsia="MS Mincho"/>
          <w:sz w:val="22"/>
          <w:szCs w:val="22"/>
          <w:lang w:val="hr-HR" w:eastAsia="ja-JP"/>
        </w:rPr>
        <w:t>-</w:t>
      </w:r>
      <w:r w:rsidRPr="00510442">
        <w:rPr>
          <w:rFonts w:eastAsia="MS Mincho"/>
          <w:iCs/>
          <w:sz w:val="22"/>
          <w:szCs w:val="22"/>
          <w:lang w:val="hr-HR" w:eastAsia="ja-JP"/>
        </w:rPr>
        <w:t xml:space="preserve">mjesečni krak), pri čemu je medijan starosti bio </w:t>
      </w:r>
      <w:r w:rsidRPr="00510442">
        <w:rPr>
          <w:rFonts w:eastAsia="MS Mincho"/>
          <w:bCs/>
          <w:iCs/>
          <w:sz w:val="22"/>
          <w:szCs w:val="22"/>
          <w:lang w:val="hr-HR" w:eastAsia="ja-JP"/>
        </w:rPr>
        <w:t>61</w:t>
      </w:r>
      <w:r w:rsidRPr="00510442">
        <w:rPr>
          <w:rFonts w:eastAsia="MS Mincho"/>
          <w:sz w:val="22"/>
          <w:szCs w:val="22"/>
          <w:lang w:val="hr-HR" w:eastAsia="ja-JP"/>
        </w:rPr>
        <w:t> </w:t>
      </w:r>
      <w:r w:rsidRPr="00510442">
        <w:rPr>
          <w:rFonts w:eastAsia="MS Mincho"/>
          <w:bCs/>
          <w:iCs/>
          <w:sz w:val="22"/>
          <w:szCs w:val="22"/>
          <w:lang w:val="hr-HR" w:eastAsia="ja-JP"/>
        </w:rPr>
        <w:t>godina</w:t>
      </w:r>
      <w:r w:rsidRPr="00510442">
        <w:rPr>
          <w:rFonts w:eastAsia="MS Mincho"/>
          <w:iCs/>
          <w:sz w:val="22"/>
          <w:szCs w:val="22"/>
          <w:lang w:val="hr-HR" w:eastAsia="ja-JP"/>
        </w:rPr>
        <w:t xml:space="preserve"> (raspon od 22 do 84</w:t>
      </w:r>
      <w:r w:rsidRPr="00510442">
        <w:rPr>
          <w:rFonts w:eastAsia="MS Mincho"/>
          <w:sz w:val="22"/>
          <w:szCs w:val="22"/>
          <w:lang w:val="hr-HR" w:eastAsia="ja-JP"/>
        </w:rPr>
        <w:t> </w:t>
      </w:r>
      <w:r w:rsidRPr="00510442">
        <w:rPr>
          <w:rFonts w:eastAsia="MS Mincho"/>
          <w:iCs/>
          <w:sz w:val="22"/>
          <w:szCs w:val="22"/>
          <w:lang w:val="hr-HR" w:eastAsia="ja-JP"/>
        </w:rPr>
        <w:t>godina). Medijan vremena praćenja bio je 54</w:t>
      </w:r>
      <w:r w:rsidRPr="00510442">
        <w:rPr>
          <w:rFonts w:eastAsia="MS Mincho"/>
          <w:sz w:val="22"/>
          <w:szCs w:val="22"/>
          <w:lang w:val="hr-HR" w:eastAsia="ja-JP"/>
        </w:rPr>
        <w:t> </w:t>
      </w:r>
      <w:r w:rsidRPr="00510442">
        <w:rPr>
          <w:rFonts w:eastAsia="MS Mincho"/>
          <w:iCs/>
          <w:sz w:val="22"/>
          <w:szCs w:val="22"/>
          <w:lang w:val="hr-HR" w:eastAsia="ja-JP"/>
        </w:rPr>
        <w:t>mjeseca (od datuma randomizacije do završetka prikupljanja podataka), pri čemu je od randomizacije prvog bolesnika do završetka prikupljanja podataka prošlo 83</w:t>
      </w:r>
      <w:r w:rsidRPr="00510442">
        <w:rPr>
          <w:rFonts w:eastAsia="MS Mincho"/>
          <w:sz w:val="22"/>
          <w:szCs w:val="22"/>
          <w:lang w:val="hr-HR" w:eastAsia="ja-JP"/>
        </w:rPr>
        <w:t> </w:t>
      </w:r>
      <w:r w:rsidRPr="00510442">
        <w:rPr>
          <w:rFonts w:eastAsia="MS Mincho"/>
          <w:iCs/>
          <w:sz w:val="22"/>
          <w:szCs w:val="22"/>
          <w:lang w:val="hr-HR" w:eastAsia="ja-JP"/>
        </w:rPr>
        <w:t>mjeseca.</w:t>
      </w:r>
    </w:p>
    <w:p w14:paraId="68D0B429" w14:textId="77777777" w:rsidR="00BE41B8" w:rsidRPr="00510442" w:rsidRDefault="00BE41B8" w:rsidP="00BE41B8">
      <w:pPr>
        <w:tabs>
          <w:tab w:val="clear" w:pos="567"/>
        </w:tabs>
        <w:spacing w:line="240" w:lineRule="auto"/>
        <w:rPr>
          <w:rFonts w:eastAsia="MS Mincho"/>
          <w:iCs/>
          <w:szCs w:val="22"/>
          <w:lang w:val="hr-HR" w:eastAsia="ja-JP"/>
        </w:rPr>
      </w:pPr>
    </w:p>
    <w:p w14:paraId="299C72FF" w14:textId="77777777" w:rsidR="00BE41B8" w:rsidRPr="00510442" w:rsidRDefault="00BE41B8" w:rsidP="00BE41B8">
      <w:pPr>
        <w:spacing w:line="240" w:lineRule="auto"/>
        <w:rPr>
          <w:szCs w:val="22"/>
          <w:lang w:val="hr-HR"/>
        </w:rPr>
      </w:pPr>
      <w:r w:rsidRPr="00510442">
        <w:rPr>
          <w:szCs w:val="22"/>
          <w:lang w:val="hr-HR"/>
        </w:rPr>
        <w:t>Primarni ishod ispitivanja bio je preživljenje bez recidiva bolesti, definirano kao vrijeme od datuma randomizacije do datuma recidiva ili smrti zbog bilo kojeg uzroka.</w:t>
      </w:r>
    </w:p>
    <w:p w14:paraId="71F45BE7" w14:textId="77777777" w:rsidR="00BE41B8" w:rsidRPr="00510442" w:rsidRDefault="00BE41B8" w:rsidP="00BE41B8">
      <w:pPr>
        <w:tabs>
          <w:tab w:val="clear" w:pos="567"/>
        </w:tabs>
        <w:spacing w:line="240" w:lineRule="auto"/>
        <w:rPr>
          <w:rFonts w:eastAsia="MS Mincho"/>
          <w:szCs w:val="22"/>
          <w:lang w:val="hr-HR" w:eastAsia="ja-JP"/>
        </w:rPr>
      </w:pPr>
    </w:p>
    <w:p w14:paraId="4676A0C2" w14:textId="3ADE5AFE" w:rsidR="00BE41B8" w:rsidRPr="00510442" w:rsidRDefault="00BE41B8" w:rsidP="00BE41B8">
      <w:pPr>
        <w:tabs>
          <w:tab w:val="clear" w:pos="567"/>
        </w:tabs>
        <w:spacing w:line="240" w:lineRule="auto"/>
        <w:rPr>
          <w:rFonts w:eastAsia="MS Mincho"/>
          <w:iCs/>
          <w:szCs w:val="22"/>
          <w:lang w:val="hr-HR" w:eastAsia="ja-JP"/>
        </w:rPr>
      </w:pPr>
      <w:r w:rsidRPr="00510442">
        <w:rPr>
          <w:rFonts w:eastAsia="MS Mincho"/>
          <w:iCs/>
          <w:szCs w:val="22"/>
          <w:lang w:val="hr-HR" w:eastAsia="ja-JP"/>
        </w:rPr>
        <w:t xml:space="preserve">Trideset i šest (36) mjeseci liječenja </w:t>
      </w:r>
      <w:r w:rsidR="00B27A2B">
        <w:rPr>
          <w:szCs w:val="22"/>
          <w:lang w:val="hr-HR"/>
        </w:rPr>
        <w:t xml:space="preserve">lijekom </w:t>
      </w:r>
      <w:r w:rsidRPr="00510442">
        <w:rPr>
          <w:rFonts w:eastAsia="MS Mincho"/>
          <w:iCs/>
          <w:szCs w:val="22"/>
          <w:lang w:val="hr-HR" w:eastAsia="ja-JP"/>
        </w:rPr>
        <w:t xml:space="preserve">Glivec značajno je produljilo </w:t>
      </w:r>
      <w:r w:rsidRPr="00510442">
        <w:rPr>
          <w:szCs w:val="22"/>
          <w:lang w:val="hr-HR"/>
        </w:rPr>
        <w:t xml:space="preserve">preživljenje bez recidiva bolesti u usporedbi s </w:t>
      </w:r>
      <w:r w:rsidRPr="00510442">
        <w:rPr>
          <w:rFonts w:eastAsia="MS Mincho"/>
          <w:iCs/>
          <w:szCs w:val="22"/>
          <w:lang w:val="hr-HR" w:eastAsia="ja-JP"/>
        </w:rPr>
        <w:t>12</w:t>
      </w:r>
      <w:r w:rsidRPr="00510442">
        <w:rPr>
          <w:rFonts w:eastAsia="MS Mincho"/>
          <w:szCs w:val="22"/>
          <w:lang w:val="hr-HR" w:eastAsia="ja-JP"/>
        </w:rPr>
        <w:t> </w:t>
      </w:r>
      <w:r w:rsidRPr="00510442">
        <w:rPr>
          <w:rFonts w:eastAsia="MS Mincho"/>
          <w:iCs/>
          <w:szCs w:val="22"/>
          <w:lang w:val="hr-HR" w:eastAsia="ja-JP"/>
        </w:rPr>
        <w:t xml:space="preserve">mjeseci liječenja </w:t>
      </w:r>
      <w:r w:rsidR="00B3237D">
        <w:rPr>
          <w:szCs w:val="22"/>
          <w:lang w:val="hr-HR"/>
        </w:rPr>
        <w:t xml:space="preserve">lijekom </w:t>
      </w:r>
      <w:r w:rsidRPr="00510442">
        <w:rPr>
          <w:rFonts w:eastAsia="MS Mincho"/>
          <w:iCs/>
          <w:szCs w:val="22"/>
          <w:lang w:val="hr-HR" w:eastAsia="ja-JP"/>
        </w:rPr>
        <w:t>Glivec (uz ukupan omjer rizika = 0,46 [0,32, 0,65], p&lt;0,0001) (Tablica</w:t>
      </w:r>
      <w:r w:rsidRPr="00510442">
        <w:rPr>
          <w:rFonts w:eastAsia="MS Mincho"/>
          <w:szCs w:val="22"/>
          <w:lang w:val="hr-HR" w:eastAsia="ja-JP"/>
        </w:rPr>
        <w:t> </w:t>
      </w:r>
      <w:r w:rsidR="004C7699" w:rsidRPr="00510442">
        <w:rPr>
          <w:rFonts w:eastAsia="MS Mincho"/>
          <w:iCs/>
          <w:szCs w:val="22"/>
          <w:lang w:val="hr-HR" w:eastAsia="ja-JP"/>
        </w:rPr>
        <w:t>8</w:t>
      </w:r>
      <w:r w:rsidRPr="00510442">
        <w:rPr>
          <w:rFonts w:eastAsia="MS Mincho"/>
          <w:iCs/>
          <w:szCs w:val="22"/>
          <w:lang w:val="hr-HR" w:eastAsia="ja-JP"/>
        </w:rPr>
        <w:t xml:space="preserve">, </w:t>
      </w:r>
      <w:r w:rsidRPr="00510442">
        <w:rPr>
          <w:rFonts w:eastAsia="MS Mincho"/>
          <w:szCs w:val="22"/>
          <w:lang w:val="hr-HR"/>
        </w:rPr>
        <w:t>Slika 1</w:t>
      </w:r>
      <w:r w:rsidRPr="00510442">
        <w:rPr>
          <w:rFonts w:eastAsia="MS Mincho"/>
          <w:iCs/>
          <w:szCs w:val="22"/>
          <w:lang w:val="hr-HR" w:eastAsia="ja-JP"/>
        </w:rPr>
        <w:t>).</w:t>
      </w:r>
    </w:p>
    <w:p w14:paraId="5002056C" w14:textId="77777777" w:rsidR="00BE41B8" w:rsidRPr="00510442" w:rsidRDefault="00BE41B8" w:rsidP="00BE41B8">
      <w:pPr>
        <w:tabs>
          <w:tab w:val="clear" w:pos="567"/>
        </w:tabs>
        <w:spacing w:line="240" w:lineRule="auto"/>
        <w:rPr>
          <w:rFonts w:eastAsia="MS Mincho"/>
          <w:iCs/>
          <w:szCs w:val="22"/>
          <w:lang w:val="hr-HR" w:eastAsia="ja-JP"/>
        </w:rPr>
      </w:pPr>
    </w:p>
    <w:p w14:paraId="7896DCFE" w14:textId="136F6968" w:rsidR="00BE41B8" w:rsidRPr="00510442" w:rsidRDefault="00BE41B8" w:rsidP="00BE41B8">
      <w:pPr>
        <w:tabs>
          <w:tab w:val="clear" w:pos="567"/>
        </w:tabs>
        <w:spacing w:line="240" w:lineRule="auto"/>
        <w:rPr>
          <w:rFonts w:eastAsia="MS Mincho"/>
          <w:iCs/>
          <w:szCs w:val="22"/>
          <w:lang w:val="hr-HR" w:eastAsia="ja-JP"/>
        </w:rPr>
      </w:pPr>
      <w:r w:rsidRPr="00510442">
        <w:rPr>
          <w:rFonts w:eastAsia="MS Mincho"/>
          <w:iCs/>
          <w:szCs w:val="22"/>
          <w:lang w:val="hr-HR" w:eastAsia="ja-JP"/>
        </w:rPr>
        <w:t xml:space="preserve">Osim toga, trideset i šest (36) mjeseci liječenja </w:t>
      </w:r>
      <w:r w:rsidR="00B3237D">
        <w:rPr>
          <w:szCs w:val="22"/>
          <w:lang w:val="hr-HR"/>
        </w:rPr>
        <w:t xml:space="preserve">lijekom </w:t>
      </w:r>
      <w:r w:rsidRPr="00510442">
        <w:rPr>
          <w:rFonts w:eastAsia="MS Mincho"/>
          <w:iCs/>
          <w:szCs w:val="22"/>
          <w:lang w:val="hr-HR" w:eastAsia="ja-JP"/>
        </w:rPr>
        <w:t xml:space="preserve">Glivec značajno je produljilo ukupno preživljenje (OS) </w:t>
      </w:r>
      <w:r w:rsidRPr="00510442">
        <w:rPr>
          <w:szCs w:val="22"/>
          <w:lang w:val="hr-HR"/>
        </w:rPr>
        <w:t>u usporedbi s</w:t>
      </w:r>
      <w:r w:rsidRPr="00510442">
        <w:rPr>
          <w:rFonts w:eastAsia="MS Mincho"/>
          <w:iCs/>
          <w:szCs w:val="22"/>
          <w:lang w:val="hr-HR" w:eastAsia="ja-JP"/>
        </w:rPr>
        <w:t xml:space="preserve"> 12</w:t>
      </w:r>
      <w:r w:rsidRPr="00510442">
        <w:rPr>
          <w:rFonts w:eastAsia="MS Mincho"/>
          <w:szCs w:val="22"/>
          <w:lang w:val="hr-HR" w:eastAsia="ja-JP"/>
        </w:rPr>
        <w:t> </w:t>
      </w:r>
      <w:r w:rsidRPr="00510442">
        <w:rPr>
          <w:rFonts w:eastAsia="MS Mincho"/>
          <w:iCs/>
          <w:szCs w:val="22"/>
          <w:lang w:val="hr-HR" w:eastAsia="ja-JP"/>
        </w:rPr>
        <w:t xml:space="preserve">mjeseci liječenja </w:t>
      </w:r>
      <w:r w:rsidR="00B3237D">
        <w:rPr>
          <w:szCs w:val="22"/>
          <w:lang w:val="hr-HR"/>
        </w:rPr>
        <w:t xml:space="preserve">lijekom </w:t>
      </w:r>
      <w:r w:rsidRPr="00510442">
        <w:rPr>
          <w:rFonts w:eastAsia="MS Mincho"/>
          <w:iCs/>
          <w:szCs w:val="22"/>
          <w:lang w:val="hr-HR" w:eastAsia="ja-JP"/>
        </w:rPr>
        <w:t>Glivec (omjer rizika = 0,45 [0,22, 0,89], p=0,0187) (Tablica</w:t>
      </w:r>
      <w:r w:rsidRPr="00510442">
        <w:rPr>
          <w:rFonts w:eastAsia="MS Mincho"/>
          <w:szCs w:val="22"/>
          <w:lang w:val="hr-HR" w:eastAsia="ja-JP"/>
        </w:rPr>
        <w:t> </w:t>
      </w:r>
      <w:r w:rsidR="004C7699" w:rsidRPr="00510442">
        <w:rPr>
          <w:rFonts w:eastAsia="MS Mincho"/>
          <w:iCs/>
          <w:szCs w:val="22"/>
          <w:lang w:val="hr-HR" w:eastAsia="ja-JP"/>
        </w:rPr>
        <w:t>8</w:t>
      </w:r>
      <w:r w:rsidRPr="00510442">
        <w:rPr>
          <w:rFonts w:eastAsia="MS Mincho"/>
          <w:iCs/>
          <w:szCs w:val="22"/>
          <w:lang w:val="hr-HR" w:eastAsia="ja-JP"/>
        </w:rPr>
        <w:t>, Slika 2).</w:t>
      </w:r>
    </w:p>
    <w:p w14:paraId="4EA8F788" w14:textId="77777777" w:rsidR="00BE41B8" w:rsidRPr="00510442" w:rsidRDefault="00BE41B8" w:rsidP="00BE41B8">
      <w:pPr>
        <w:spacing w:line="240" w:lineRule="auto"/>
        <w:rPr>
          <w:rFonts w:eastAsia="MS Mincho"/>
          <w:szCs w:val="22"/>
          <w:lang w:val="hr-HR" w:eastAsia="ja-JP"/>
        </w:rPr>
      </w:pPr>
    </w:p>
    <w:p w14:paraId="432CEE9A" w14:textId="77777777" w:rsidR="00BE41B8" w:rsidRPr="00510442" w:rsidRDefault="00BE41B8" w:rsidP="00BE41B8">
      <w:pPr>
        <w:spacing w:line="240" w:lineRule="auto"/>
        <w:rPr>
          <w:rFonts w:eastAsia="MS Mincho"/>
          <w:szCs w:val="22"/>
          <w:lang w:val="hr-HR" w:eastAsia="ja-JP"/>
        </w:rPr>
      </w:pPr>
      <w:r w:rsidRPr="00510442">
        <w:rPr>
          <w:rFonts w:eastAsia="MS Mincho"/>
          <w:szCs w:val="22"/>
          <w:lang w:val="hr-HR" w:eastAsia="ja-JP"/>
        </w:rPr>
        <w:t>Duže trajanje liječenja (&gt;36 mjeseci) može odgoditi pojavu dodatnih recidiva; međutim utjecaj tih nalaza na ukupno preživljenje ostaje nepoznat.</w:t>
      </w:r>
    </w:p>
    <w:p w14:paraId="2DCA6DC0" w14:textId="77777777" w:rsidR="00BE41B8" w:rsidRPr="00510442" w:rsidRDefault="00BE41B8" w:rsidP="00BE41B8">
      <w:pPr>
        <w:spacing w:line="240" w:lineRule="auto"/>
        <w:rPr>
          <w:rFonts w:eastAsia="MS Mincho"/>
          <w:szCs w:val="22"/>
          <w:lang w:val="hr-HR" w:eastAsia="ja-JP"/>
        </w:rPr>
      </w:pPr>
    </w:p>
    <w:p w14:paraId="49E1367E" w14:textId="77777777" w:rsidR="00BE41B8" w:rsidRPr="00510442" w:rsidRDefault="00BE41B8" w:rsidP="00BE41B8">
      <w:pPr>
        <w:spacing w:line="240" w:lineRule="auto"/>
        <w:rPr>
          <w:rFonts w:eastAsia="MS Mincho"/>
          <w:szCs w:val="22"/>
          <w:lang w:val="hr-HR" w:eastAsia="ja-JP"/>
        </w:rPr>
      </w:pPr>
      <w:r w:rsidRPr="00510442">
        <w:rPr>
          <w:rFonts w:eastAsia="MS Mincho"/>
          <w:szCs w:val="22"/>
          <w:lang w:val="hr-HR" w:eastAsia="ja-JP"/>
        </w:rPr>
        <w:t xml:space="preserve">U kraku s </w:t>
      </w:r>
      <w:r w:rsidRPr="00510442">
        <w:rPr>
          <w:rFonts w:eastAsia="MS Mincho"/>
          <w:szCs w:val="22"/>
          <w:lang w:val="hr-HR"/>
        </w:rPr>
        <w:t>12-mjesečnim liječenjem</w:t>
      </w:r>
      <w:r w:rsidRPr="00510442">
        <w:rPr>
          <w:rFonts w:eastAsia="MS Mincho"/>
          <w:szCs w:val="22"/>
          <w:lang w:val="hr-HR" w:eastAsia="ja-JP"/>
        </w:rPr>
        <w:t xml:space="preserve"> umrlo je ukupno 25 bolesnika, a u kraku s </w:t>
      </w:r>
      <w:r w:rsidRPr="00510442">
        <w:rPr>
          <w:rFonts w:eastAsia="MS Mincho"/>
          <w:szCs w:val="22"/>
          <w:lang w:val="hr-HR"/>
        </w:rPr>
        <w:t>36-mjesečnim liječenjem</w:t>
      </w:r>
      <w:r w:rsidRPr="00510442">
        <w:rPr>
          <w:rFonts w:eastAsia="MS Mincho"/>
          <w:szCs w:val="22"/>
          <w:lang w:val="hr-HR" w:eastAsia="ja-JP"/>
        </w:rPr>
        <w:t xml:space="preserve"> 12.</w:t>
      </w:r>
    </w:p>
    <w:p w14:paraId="5FF44E26" w14:textId="77777777" w:rsidR="00BE41B8" w:rsidRPr="00510442" w:rsidRDefault="00BE41B8" w:rsidP="00BE41B8">
      <w:pPr>
        <w:spacing w:line="240" w:lineRule="auto"/>
        <w:rPr>
          <w:rFonts w:eastAsia="MS Mincho"/>
          <w:szCs w:val="22"/>
          <w:lang w:val="hr-HR" w:eastAsia="ja-JP"/>
        </w:rPr>
      </w:pPr>
    </w:p>
    <w:p w14:paraId="3A66E17F" w14:textId="77777777" w:rsidR="00BE41B8" w:rsidRPr="00510442" w:rsidRDefault="00BE41B8" w:rsidP="00BE41B8">
      <w:pPr>
        <w:spacing w:line="240" w:lineRule="auto"/>
        <w:rPr>
          <w:rFonts w:eastAsia="MS Mincho"/>
          <w:iCs/>
          <w:szCs w:val="22"/>
          <w:lang w:val="hr-HR" w:eastAsia="ja-JP"/>
        </w:rPr>
      </w:pPr>
      <w:r w:rsidRPr="00510442">
        <w:rPr>
          <w:rFonts w:eastAsia="MS Mincho"/>
          <w:szCs w:val="22"/>
          <w:lang w:val="hr-HR" w:eastAsia="ja-JP"/>
        </w:rPr>
        <w:t xml:space="preserve">U ITT analizi, koja uključuje cijelu populaciju ispitivanja, </w:t>
      </w:r>
      <w:r w:rsidRPr="00510442">
        <w:rPr>
          <w:rFonts w:eastAsia="MS Mincho"/>
          <w:iCs/>
          <w:szCs w:val="22"/>
          <w:lang w:val="hr-HR" w:eastAsia="ja-JP"/>
        </w:rPr>
        <w:t xml:space="preserve">36-mjesečno </w:t>
      </w:r>
      <w:r w:rsidRPr="00510442">
        <w:rPr>
          <w:rFonts w:eastAsia="MS Mincho"/>
          <w:szCs w:val="22"/>
          <w:lang w:val="hr-HR" w:eastAsia="ja-JP"/>
        </w:rPr>
        <w:t xml:space="preserve">liječenje imatinibom </w:t>
      </w:r>
      <w:r w:rsidRPr="00510442">
        <w:rPr>
          <w:rFonts w:eastAsia="MS Mincho"/>
          <w:iCs/>
          <w:szCs w:val="22"/>
          <w:lang w:val="hr-HR" w:eastAsia="ja-JP"/>
        </w:rPr>
        <w:t xml:space="preserve">bilo je superiornije od 12-mjesečnog liječenja. U planiranoj analizi podskupine prema vrsti mutacije je omjer rizika za preživljenje bez recidiva bolesti kod 36-mjesečnog </w:t>
      </w:r>
      <w:r w:rsidRPr="00510442">
        <w:rPr>
          <w:rFonts w:eastAsia="MS Mincho"/>
          <w:szCs w:val="22"/>
          <w:lang w:val="hr-HR" w:eastAsia="ja-JP"/>
        </w:rPr>
        <w:t>liječenja bolesnika s mutacijama na 11.</w:t>
      </w:r>
      <w:r w:rsidRPr="00510442">
        <w:rPr>
          <w:rFonts w:eastAsia="MS Mincho"/>
          <w:iCs/>
          <w:szCs w:val="22"/>
          <w:lang w:val="hr-HR" w:eastAsia="ja-JP"/>
        </w:rPr>
        <w:t xml:space="preserve"> eksonu bio 0,35 [95% CI: 0,22, 0,56]. Nikakav zaključak se ne može izvući za druge manje česte podskupine mutacija zbog malog broja opaženih događaja.</w:t>
      </w:r>
    </w:p>
    <w:p w14:paraId="17E588E0" w14:textId="77777777" w:rsidR="00BE41B8" w:rsidRPr="00510442" w:rsidRDefault="00BE41B8" w:rsidP="00BE41B8">
      <w:pPr>
        <w:tabs>
          <w:tab w:val="clear" w:pos="567"/>
        </w:tabs>
        <w:spacing w:line="240" w:lineRule="auto"/>
        <w:rPr>
          <w:rFonts w:eastAsia="MS Mincho"/>
          <w:iCs/>
          <w:szCs w:val="22"/>
          <w:lang w:val="hr-HR" w:eastAsia="ja-JP"/>
        </w:rPr>
      </w:pPr>
    </w:p>
    <w:p w14:paraId="5BC0B4A4" w14:textId="342B7BE5" w:rsidR="00BE41B8" w:rsidRPr="00510442" w:rsidRDefault="00BE41B8" w:rsidP="001150EE">
      <w:pPr>
        <w:keepNext/>
        <w:tabs>
          <w:tab w:val="clear" w:pos="567"/>
        </w:tabs>
        <w:spacing w:line="240" w:lineRule="auto"/>
        <w:ind w:left="1134" w:hanging="1134"/>
        <w:rPr>
          <w:rFonts w:eastAsia="MS Mincho"/>
          <w:b/>
          <w:szCs w:val="22"/>
          <w:lang w:val="hr-HR" w:eastAsia="ja-JP"/>
        </w:rPr>
      </w:pPr>
      <w:r w:rsidRPr="00510442">
        <w:rPr>
          <w:rFonts w:eastAsia="MS Mincho"/>
          <w:b/>
          <w:szCs w:val="22"/>
          <w:lang w:val="hr-HR"/>
        </w:rPr>
        <w:lastRenderedPageBreak/>
        <w:t>Tablica </w:t>
      </w:r>
      <w:r w:rsidR="004C7699" w:rsidRPr="00510442">
        <w:rPr>
          <w:rFonts w:eastAsia="MS Mincho"/>
          <w:b/>
          <w:szCs w:val="22"/>
          <w:lang w:val="hr-HR"/>
        </w:rPr>
        <w:t>8</w:t>
      </w:r>
      <w:r w:rsidRPr="00510442">
        <w:rPr>
          <w:rFonts w:eastAsia="MS Mincho"/>
          <w:szCs w:val="22"/>
          <w:lang w:val="hr-HR"/>
        </w:rPr>
        <w:tab/>
      </w:r>
      <w:r w:rsidRPr="00510442">
        <w:rPr>
          <w:rFonts w:eastAsia="MS Mincho"/>
          <w:b/>
          <w:szCs w:val="22"/>
          <w:lang w:val="hr-HR" w:eastAsia="ja-JP"/>
        </w:rPr>
        <w:t xml:space="preserve">12-mjesečno i 36-mjesečno liječenje </w:t>
      </w:r>
      <w:r w:rsidR="00B3237D" w:rsidRPr="00B3237D">
        <w:rPr>
          <w:rFonts w:eastAsia="MS Mincho"/>
          <w:b/>
          <w:szCs w:val="22"/>
          <w:lang w:val="hr-HR" w:eastAsia="ja-JP"/>
        </w:rPr>
        <w:t xml:space="preserve">lijekom </w:t>
      </w:r>
      <w:r w:rsidRPr="00510442">
        <w:rPr>
          <w:rFonts w:eastAsia="MS Mincho"/>
          <w:b/>
          <w:szCs w:val="22"/>
          <w:lang w:val="hr-HR" w:eastAsia="ja-JP"/>
        </w:rPr>
        <w:t>Glivec (SSGXVIII/AIO ispitivanje)</w:t>
      </w:r>
    </w:p>
    <w:p w14:paraId="0ADEEB6C" w14:textId="77777777" w:rsidR="00BE41B8" w:rsidRPr="00510442" w:rsidRDefault="00BE41B8" w:rsidP="001150EE">
      <w:pPr>
        <w:keepNext/>
        <w:tabs>
          <w:tab w:val="clear" w:pos="567"/>
        </w:tabs>
        <w:spacing w:line="240" w:lineRule="auto"/>
        <w:rPr>
          <w:rFonts w:eastAsia="MS Mincho"/>
          <w:szCs w:val="22"/>
          <w:lang w:val="hr-HR"/>
        </w:rPr>
      </w:pPr>
    </w:p>
    <w:tbl>
      <w:tblPr>
        <w:tblW w:w="0" w:type="auto"/>
        <w:tblBorders>
          <w:top w:val="single" w:sz="4" w:space="0" w:color="auto"/>
          <w:bottom w:val="single" w:sz="4" w:space="0" w:color="auto"/>
        </w:tblBorders>
        <w:tblLayout w:type="fixed"/>
        <w:tblLook w:val="0000" w:firstRow="0" w:lastRow="0" w:firstColumn="0" w:lastColumn="0" w:noHBand="0" w:noVBand="0"/>
      </w:tblPr>
      <w:tblGrid>
        <w:gridCol w:w="3099"/>
        <w:gridCol w:w="3100"/>
        <w:gridCol w:w="3100"/>
      </w:tblGrid>
      <w:tr w:rsidR="00BE41B8" w:rsidRPr="00510442" w14:paraId="0D634119" w14:textId="77777777" w:rsidTr="001150EE">
        <w:trPr>
          <w:cantSplit/>
        </w:trPr>
        <w:tc>
          <w:tcPr>
            <w:tcW w:w="3099" w:type="dxa"/>
            <w:tcBorders>
              <w:top w:val="single" w:sz="4" w:space="0" w:color="auto"/>
              <w:bottom w:val="nil"/>
            </w:tcBorders>
            <w:shd w:val="clear" w:color="auto" w:fill="auto"/>
          </w:tcPr>
          <w:p w14:paraId="24FA3AAB" w14:textId="77777777" w:rsidR="00BE41B8" w:rsidRPr="00510442" w:rsidRDefault="00BE41B8" w:rsidP="001150EE">
            <w:pPr>
              <w:keepNext/>
              <w:tabs>
                <w:tab w:val="clear" w:pos="567"/>
                <w:tab w:val="left" w:pos="284"/>
              </w:tabs>
              <w:spacing w:line="240" w:lineRule="auto"/>
              <w:rPr>
                <w:rFonts w:eastAsia="MS Mincho"/>
                <w:szCs w:val="22"/>
                <w:lang w:val="hr-HR"/>
              </w:rPr>
            </w:pPr>
          </w:p>
        </w:tc>
        <w:tc>
          <w:tcPr>
            <w:tcW w:w="3100" w:type="dxa"/>
            <w:tcBorders>
              <w:top w:val="single" w:sz="4" w:space="0" w:color="auto"/>
              <w:bottom w:val="nil"/>
            </w:tcBorders>
            <w:shd w:val="clear" w:color="auto" w:fill="auto"/>
          </w:tcPr>
          <w:p w14:paraId="2EA980F2" w14:textId="77777777" w:rsidR="00BE41B8" w:rsidRPr="00510442" w:rsidRDefault="00BE41B8" w:rsidP="001150EE">
            <w:pPr>
              <w:keepNext/>
              <w:tabs>
                <w:tab w:val="clear" w:pos="567"/>
                <w:tab w:val="left" w:pos="284"/>
              </w:tabs>
              <w:spacing w:line="240" w:lineRule="auto"/>
              <w:rPr>
                <w:rFonts w:eastAsia="MS Mincho"/>
                <w:b/>
                <w:szCs w:val="22"/>
                <w:lang w:val="hr-HR"/>
              </w:rPr>
            </w:pPr>
            <w:r w:rsidRPr="00510442">
              <w:rPr>
                <w:rFonts w:eastAsia="MS Mincho"/>
                <w:b/>
                <w:szCs w:val="22"/>
                <w:lang w:val="hr-HR"/>
              </w:rPr>
              <w:t>Krak s 12-mjesečnim liječenjem</w:t>
            </w:r>
          </w:p>
        </w:tc>
        <w:tc>
          <w:tcPr>
            <w:tcW w:w="3100" w:type="dxa"/>
            <w:tcBorders>
              <w:top w:val="single" w:sz="4" w:space="0" w:color="auto"/>
              <w:bottom w:val="nil"/>
            </w:tcBorders>
            <w:shd w:val="clear" w:color="auto" w:fill="auto"/>
          </w:tcPr>
          <w:p w14:paraId="37C4A10D" w14:textId="77777777" w:rsidR="00BE41B8" w:rsidRPr="00510442" w:rsidRDefault="00BE41B8" w:rsidP="001150EE">
            <w:pPr>
              <w:keepNext/>
              <w:tabs>
                <w:tab w:val="clear" w:pos="567"/>
                <w:tab w:val="left" w:pos="284"/>
              </w:tabs>
              <w:spacing w:line="240" w:lineRule="auto"/>
              <w:rPr>
                <w:rFonts w:eastAsia="MS Mincho"/>
                <w:b/>
                <w:szCs w:val="22"/>
                <w:lang w:val="hr-HR"/>
              </w:rPr>
            </w:pPr>
            <w:r w:rsidRPr="00510442">
              <w:rPr>
                <w:rFonts w:eastAsia="MS Mincho"/>
                <w:b/>
                <w:szCs w:val="22"/>
                <w:lang w:val="hr-HR"/>
              </w:rPr>
              <w:t>Krak s 36-mjesečnim liječenjem</w:t>
            </w:r>
          </w:p>
        </w:tc>
      </w:tr>
      <w:tr w:rsidR="00BE41B8" w:rsidRPr="00510442" w14:paraId="0DFD3C91" w14:textId="77777777" w:rsidTr="001150EE">
        <w:trPr>
          <w:cantSplit/>
        </w:trPr>
        <w:tc>
          <w:tcPr>
            <w:tcW w:w="3099" w:type="dxa"/>
            <w:tcBorders>
              <w:top w:val="nil"/>
            </w:tcBorders>
            <w:shd w:val="clear" w:color="auto" w:fill="auto"/>
          </w:tcPr>
          <w:p w14:paraId="33C51999" w14:textId="77777777" w:rsidR="00BE41B8" w:rsidRPr="00510442" w:rsidRDefault="00BE41B8" w:rsidP="001150EE">
            <w:pPr>
              <w:keepNext/>
              <w:tabs>
                <w:tab w:val="clear" w:pos="567"/>
                <w:tab w:val="left" w:pos="284"/>
              </w:tabs>
              <w:spacing w:line="240" w:lineRule="auto"/>
              <w:rPr>
                <w:rFonts w:eastAsia="MS Mincho"/>
                <w:b/>
                <w:szCs w:val="22"/>
                <w:lang w:val="hr-HR"/>
              </w:rPr>
            </w:pPr>
            <w:r w:rsidRPr="00510442">
              <w:rPr>
                <w:b/>
                <w:szCs w:val="22"/>
                <w:lang w:val="hr-HR"/>
              </w:rPr>
              <w:t>Preživljenje bez recidiva bolesti</w:t>
            </w:r>
          </w:p>
        </w:tc>
        <w:tc>
          <w:tcPr>
            <w:tcW w:w="3100" w:type="dxa"/>
            <w:tcBorders>
              <w:top w:val="nil"/>
            </w:tcBorders>
            <w:shd w:val="clear" w:color="auto" w:fill="auto"/>
          </w:tcPr>
          <w:p w14:paraId="2B73E14B" w14:textId="77777777" w:rsidR="00BE41B8" w:rsidRPr="00510442" w:rsidRDefault="00BE41B8" w:rsidP="001150EE">
            <w:pPr>
              <w:keepNext/>
              <w:tabs>
                <w:tab w:val="clear" w:pos="567"/>
                <w:tab w:val="left" w:pos="284"/>
              </w:tabs>
              <w:spacing w:line="240" w:lineRule="auto"/>
              <w:rPr>
                <w:rFonts w:eastAsia="MS Mincho"/>
                <w:b/>
                <w:szCs w:val="22"/>
                <w:lang w:val="hr-HR"/>
              </w:rPr>
            </w:pPr>
            <w:r w:rsidRPr="00510442">
              <w:rPr>
                <w:rFonts w:eastAsia="MS Mincho"/>
                <w:b/>
                <w:szCs w:val="22"/>
                <w:lang w:val="hr-HR"/>
              </w:rPr>
              <w:t>%(CI)</w:t>
            </w:r>
          </w:p>
        </w:tc>
        <w:tc>
          <w:tcPr>
            <w:tcW w:w="3100" w:type="dxa"/>
            <w:tcBorders>
              <w:top w:val="nil"/>
            </w:tcBorders>
            <w:shd w:val="clear" w:color="auto" w:fill="auto"/>
          </w:tcPr>
          <w:p w14:paraId="1796C481" w14:textId="77777777" w:rsidR="00BE41B8" w:rsidRPr="00510442" w:rsidRDefault="00BE41B8" w:rsidP="001150EE">
            <w:pPr>
              <w:keepNext/>
              <w:tabs>
                <w:tab w:val="clear" w:pos="567"/>
                <w:tab w:val="left" w:pos="284"/>
              </w:tabs>
              <w:spacing w:line="240" w:lineRule="auto"/>
              <w:rPr>
                <w:rFonts w:eastAsia="MS Mincho"/>
                <w:b/>
                <w:szCs w:val="22"/>
                <w:lang w:val="hr-HR"/>
              </w:rPr>
            </w:pPr>
            <w:r w:rsidRPr="00510442">
              <w:rPr>
                <w:rFonts w:eastAsia="MS Mincho"/>
                <w:b/>
                <w:szCs w:val="22"/>
                <w:lang w:val="hr-HR"/>
              </w:rPr>
              <w:t>%(CI)</w:t>
            </w:r>
          </w:p>
        </w:tc>
      </w:tr>
      <w:tr w:rsidR="00BE41B8" w:rsidRPr="00510442" w14:paraId="619C18D5" w14:textId="77777777" w:rsidTr="001150EE">
        <w:trPr>
          <w:cantSplit/>
        </w:trPr>
        <w:tc>
          <w:tcPr>
            <w:tcW w:w="3099" w:type="dxa"/>
            <w:shd w:val="clear" w:color="auto" w:fill="auto"/>
          </w:tcPr>
          <w:p w14:paraId="470946E4" w14:textId="77777777" w:rsidR="00BE41B8" w:rsidRPr="00510442" w:rsidRDefault="00BE41B8" w:rsidP="001150EE">
            <w:pPr>
              <w:keepNext/>
              <w:tabs>
                <w:tab w:val="clear" w:pos="567"/>
              </w:tabs>
              <w:spacing w:line="240" w:lineRule="auto"/>
              <w:ind w:left="284"/>
              <w:rPr>
                <w:rFonts w:eastAsia="MS Mincho"/>
                <w:szCs w:val="22"/>
                <w:lang w:val="hr-HR"/>
              </w:rPr>
            </w:pPr>
            <w:r w:rsidRPr="00510442">
              <w:rPr>
                <w:rFonts w:eastAsia="MS Mincho"/>
                <w:szCs w:val="22"/>
                <w:lang w:val="hr-HR"/>
              </w:rPr>
              <w:t>12</w:t>
            </w:r>
            <w:r w:rsidRPr="00510442">
              <w:rPr>
                <w:rFonts w:eastAsia="MS Mincho"/>
                <w:szCs w:val="22"/>
                <w:lang w:val="hr-HR" w:eastAsia="ja-JP"/>
              </w:rPr>
              <w:t> </w:t>
            </w:r>
            <w:r w:rsidRPr="00510442">
              <w:rPr>
                <w:rFonts w:eastAsia="MS Mincho"/>
                <w:szCs w:val="22"/>
                <w:lang w:val="hr-HR"/>
              </w:rPr>
              <w:t>mjeseci</w:t>
            </w:r>
          </w:p>
        </w:tc>
        <w:tc>
          <w:tcPr>
            <w:tcW w:w="3100" w:type="dxa"/>
            <w:shd w:val="clear" w:color="auto" w:fill="auto"/>
          </w:tcPr>
          <w:p w14:paraId="49F165DB" w14:textId="77777777" w:rsidR="00BE41B8" w:rsidRPr="00510442" w:rsidRDefault="00BE41B8" w:rsidP="001150EE">
            <w:pPr>
              <w:keepNext/>
              <w:tabs>
                <w:tab w:val="clear" w:pos="567"/>
                <w:tab w:val="left" w:pos="284"/>
              </w:tabs>
              <w:spacing w:line="240" w:lineRule="auto"/>
              <w:rPr>
                <w:rFonts w:eastAsia="MS Mincho"/>
                <w:szCs w:val="22"/>
                <w:lang w:val="hr-HR"/>
              </w:rPr>
            </w:pPr>
            <w:r w:rsidRPr="00510442">
              <w:rPr>
                <w:rFonts w:eastAsia="MS Mincho"/>
                <w:szCs w:val="22"/>
                <w:lang w:val="hr-HR"/>
              </w:rPr>
              <w:t>93,7 (89,2</w:t>
            </w:r>
            <w:r w:rsidRPr="00510442">
              <w:rPr>
                <w:rFonts w:eastAsia="MS Mincho"/>
                <w:szCs w:val="22"/>
                <w:lang w:val="hr-HR"/>
              </w:rPr>
              <w:noBreakHyphen/>
              <w:t>96,4)</w:t>
            </w:r>
          </w:p>
        </w:tc>
        <w:tc>
          <w:tcPr>
            <w:tcW w:w="3100" w:type="dxa"/>
            <w:shd w:val="clear" w:color="auto" w:fill="auto"/>
          </w:tcPr>
          <w:p w14:paraId="4CDD51E8" w14:textId="77777777" w:rsidR="00BE41B8" w:rsidRPr="00510442" w:rsidRDefault="00BE41B8" w:rsidP="001150EE">
            <w:pPr>
              <w:keepNext/>
              <w:tabs>
                <w:tab w:val="clear" w:pos="567"/>
                <w:tab w:val="left" w:pos="284"/>
              </w:tabs>
              <w:spacing w:line="240" w:lineRule="auto"/>
              <w:rPr>
                <w:rFonts w:eastAsia="MS Mincho"/>
                <w:szCs w:val="22"/>
                <w:lang w:val="hr-HR"/>
              </w:rPr>
            </w:pPr>
            <w:r w:rsidRPr="00510442">
              <w:rPr>
                <w:rFonts w:eastAsia="MS Mincho"/>
                <w:szCs w:val="22"/>
                <w:lang w:val="hr-HR"/>
              </w:rPr>
              <w:t>95,9 (91,9</w:t>
            </w:r>
            <w:r w:rsidRPr="00510442">
              <w:rPr>
                <w:rFonts w:eastAsia="MS Mincho"/>
                <w:szCs w:val="22"/>
                <w:lang w:val="hr-HR"/>
              </w:rPr>
              <w:noBreakHyphen/>
              <w:t>97,9)</w:t>
            </w:r>
          </w:p>
        </w:tc>
      </w:tr>
      <w:tr w:rsidR="00BE41B8" w:rsidRPr="00510442" w14:paraId="318CD089" w14:textId="77777777" w:rsidTr="001150EE">
        <w:trPr>
          <w:cantSplit/>
        </w:trPr>
        <w:tc>
          <w:tcPr>
            <w:tcW w:w="3099" w:type="dxa"/>
            <w:shd w:val="clear" w:color="auto" w:fill="auto"/>
          </w:tcPr>
          <w:p w14:paraId="3C717E44" w14:textId="77777777" w:rsidR="00BE41B8" w:rsidRPr="00510442" w:rsidRDefault="00BE41B8" w:rsidP="001150EE">
            <w:pPr>
              <w:keepNext/>
              <w:tabs>
                <w:tab w:val="clear" w:pos="567"/>
              </w:tabs>
              <w:spacing w:line="240" w:lineRule="auto"/>
              <w:ind w:left="284"/>
              <w:rPr>
                <w:rFonts w:eastAsia="MS Mincho"/>
                <w:szCs w:val="22"/>
                <w:lang w:val="hr-HR"/>
              </w:rPr>
            </w:pPr>
            <w:r w:rsidRPr="00510442">
              <w:rPr>
                <w:rFonts w:eastAsia="MS Mincho"/>
                <w:szCs w:val="22"/>
                <w:lang w:val="hr-HR"/>
              </w:rPr>
              <w:t>24</w:t>
            </w:r>
            <w:r w:rsidRPr="00510442">
              <w:rPr>
                <w:rFonts w:eastAsia="MS Mincho"/>
                <w:szCs w:val="22"/>
                <w:lang w:val="hr-HR" w:eastAsia="ja-JP"/>
              </w:rPr>
              <w:t> </w:t>
            </w:r>
            <w:r w:rsidRPr="00510442">
              <w:rPr>
                <w:rFonts w:eastAsia="MS Mincho"/>
                <w:szCs w:val="22"/>
                <w:lang w:val="hr-HR"/>
              </w:rPr>
              <w:t>mjeseca</w:t>
            </w:r>
          </w:p>
        </w:tc>
        <w:tc>
          <w:tcPr>
            <w:tcW w:w="3100" w:type="dxa"/>
            <w:shd w:val="clear" w:color="auto" w:fill="auto"/>
          </w:tcPr>
          <w:p w14:paraId="6905DD34" w14:textId="77777777" w:rsidR="00BE41B8" w:rsidRPr="00510442" w:rsidRDefault="00BE41B8" w:rsidP="001150EE">
            <w:pPr>
              <w:keepNext/>
              <w:tabs>
                <w:tab w:val="clear" w:pos="567"/>
                <w:tab w:val="left" w:pos="284"/>
              </w:tabs>
              <w:spacing w:line="240" w:lineRule="auto"/>
              <w:rPr>
                <w:rFonts w:eastAsia="MS Mincho"/>
                <w:szCs w:val="22"/>
                <w:lang w:val="hr-HR"/>
              </w:rPr>
            </w:pPr>
            <w:r w:rsidRPr="00510442">
              <w:rPr>
                <w:rFonts w:eastAsia="MS Mincho"/>
                <w:szCs w:val="22"/>
                <w:lang w:val="hr-HR"/>
              </w:rPr>
              <w:t>75,4 (68,6</w:t>
            </w:r>
            <w:r w:rsidRPr="00510442">
              <w:rPr>
                <w:rFonts w:eastAsia="MS Mincho"/>
                <w:szCs w:val="22"/>
                <w:lang w:val="hr-HR"/>
              </w:rPr>
              <w:noBreakHyphen/>
              <w:t>81,0)</w:t>
            </w:r>
          </w:p>
        </w:tc>
        <w:tc>
          <w:tcPr>
            <w:tcW w:w="3100" w:type="dxa"/>
            <w:shd w:val="clear" w:color="auto" w:fill="auto"/>
          </w:tcPr>
          <w:p w14:paraId="21040050" w14:textId="77777777" w:rsidR="00BE41B8" w:rsidRPr="00510442" w:rsidRDefault="00BE41B8" w:rsidP="001150EE">
            <w:pPr>
              <w:keepNext/>
              <w:tabs>
                <w:tab w:val="clear" w:pos="567"/>
                <w:tab w:val="left" w:pos="284"/>
              </w:tabs>
              <w:spacing w:line="240" w:lineRule="auto"/>
              <w:rPr>
                <w:rFonts w:eastAsia="MS Mincho"/>
                <w:szCs w:val="22"/>
                <w:lang w:val="hr-HR"/>
              </w:rPr>
            </w:pPr>
            <w:r w:rsidRPr="00510442">
              <w:rPr>
                <w:rFonts w:eastAsia="MS Mincho"/>
                <w:szCs w:val="22"/>
                <w:lang w:val="hr-HR"/>
              </w:rPr>
              <w:t>90,7 (85,6</w:t>
            </w:r>
            <w:r w:rsidRPr="00510442">
              <w:rPr>
                <w:rFonts w:eastAsia="MS Mincho"/>
                <w:szCs w:val="22"/>
                <w:lang w:val="hr-HR"/>
              </w:rPr>
              <w:noBreakHyphen/>
              <w:t>94,0)</w:t>
            </w:r>
          </w:p>
        </w:tc>
      </w:tr>
      <w:tr w:rsidR="00BE41B8" w:rsidRPr="00510442" w14:paraId="03BF46EE" w14:textId="77777777" w:rsidTr="001150EE">
        <w:trPr>
          <w:cantSplit/>
        </w:trPr>
        <w:tc>
          <w:tcPr>
            <w:tcW w:w="3099" w:type="dxa"/>
            <w:shd w:val="clear" w:color="auto" w:fill="auto"/>
          </w:tcPr>
          <w:p w14:paraId="0228D896" w14:textId="77777777" w:rsidR="00BE41B8" w:rsidRPr="00510442" w:rsidRDefault="00BE41B8" w:rsidP="001150EE">
            <w:pPr>
              <w:keepNext/>
              <w:tabs>
                <w:tab w:val="clear" w:pos="567"/>
              </w:tabs>
              <w:spacing w:line="240" w:lineRule="auto"/>
              <w:ind w:left="284"/>
              <w:rPr>
                <w:rFonts w:eastAsia="MS Mincho"/>
                <w:szCs w:val="22"/>
                <w:lang w:val="hr-HR"/>
              </w:rPr>
            </w:pPr>
            <w:r w:rsidRPr="00510442">
              <w:rPr>
                <w:rFonts w:eastAsia="MS Mincho"/>
                <w:szCs w:val="22"/>
                <w:lang w:val="hr-HR"/>
              </w:rPr>
              <w:t>36</w:t>
            </w:r>
            <w:r w:rsidRPr="00510442">
              <w:rPr>
                <w:rFonts w:eastAsia="MS Mincho"/>
                <w:szCs w:val="22"/>
                <w:lang w:val="hr-HR" w:eastAsia="ja-JP"/>
              </w:rPr>
              <w:t> </w:t>
            </w:r>
            <w:r w:rsidRPr="00510442">
              <w:rPr>
                <w:rFonts w:eastAsia="MS Mincho"/>
                <w:szCs w:val="22"/>
                <w:lang w:val="hr-HR"/>
              </w:rPr>
              <w:t>mjeseci</w:t>
            </w:r>
          </w:p>
        </w:tc>
        <w:tc>
          <w:tcPr>
            <w:tcW w:w="3100" w:type="dxa"/>
            <w:shd w:val="clear" w:color="auto" w:fill="auto"/>
          </w:tcPr>
          <w:p w14:paraId="7409AA89" w14:textId="77777777" w:rsidR="00BE41B8" w:rsidRPr="00510442" w:rsidRDefault="00BE41B8" w:rsidP="001150EE">
            <w:pPr>
              <w:keepNext/>
              <w:tabs>
                <w:tab w:val="clear" w:pos="567"/>
                <w:tab w:val="left" w:pos="284"/>
              </w:tabs>
              <w:spacing w:line="240" w:lineRule="auto"/>
              <w:rPr>
                <w:rFonts w:eastAsia="MS Mincho"/>
                <w:szCs w:val="22"/>
                <w:lang w:val="hr-HR"/>
              </w:rPr>
            </w:pPr>
            <w:r w:rsidRPr="00510442">
              <w:rPr>
                <w:rFonts w:eastAsia="MS Mincho"/>
                <w:szCs w:val="22"/>
                <w:lang w:val="hr-HR"/>
              </w:rPr>
              <w:t>60,1 (52,5</w:t>
            </w:r>
            <w:r w:rsidRPr="00510442">
              <w:rPr>
                <w:rFonts w:eastAsia="MS Mincho"/>
                <w:szCs w:val="22"/>
                <w:lang w:val="hr-HR"/>
              </w:rPr>
              <w:noBreakHyphen/>
              <w:t>66,9)</w:t>
            </w:r>
          </w:p>
        </w:tc>
        <w:tc>
          <w:tcPr>
            <w:tcW w:w="3100" w:type="dxa"/>
            <w:shd w:val="clear" w:color="auto" w:fill="auto"/>
          </w:tcPr>
          <w:p w14:paraId="31E044E1" w14:textId="77777777" w:rsidR="00BE41B8" w:rsidRPr="00510442" w:rsidRDefault="00BE41B8" w:rsidP="001150EE">
            <w:pPr>
              <w:keepNext/>
              <w:tabs>
                <w:tab w:val="clear" w:pos="567"/>
                <w:tab w:val="left" w:pos="284"/>
              </w:tabs>
              <w:spacing w:line="240" w:lineRule="auto"/>
              <w:rPr>
                <w:rFonts w:eastAsia="MS Mincho"/>
                <w:szCs w:val="22"/>
                <w:lang w:val="hr-HR"/>
              </w:rPr>
            </w:pPr>
            <w:r w:rsidRPr="00510442">
              <w:rPr>
                <w:rFonts w:eastAsia="MS Mincho"/>
                <w:szCs w:val="22"/>
                <w:lang w:val="hr-HR"/>
              </w:rPr>
              <w:t>86,6 (80,8</w:t>
            </w:r>
            <w:r w:rsidRPr="00510442">
              <w:rPr>
                <w:rFonts w:eastAsia="MS Mincho"/>
                <w:szCs w:val="22"/>
                <w:lang w:val="hr-HR"/>
              </w:rPr>
              <w:noBreakHyphen/>
              <w:t>90,8)</w:t>
            </w:r>
          </w:p>
        </w:tc>
      </w:tr>
      <w:tr w:rsidR="00BE41B8" w:rsidRPr="00510442" w14:paraId="7849CD2A" w14:textId="77777777" w:rsidTr="001150EE">
        <w:trPr>
          <w:cantSplit/>
        </w:trPr>
        <w:tc>
          <w:tcPr>
            <w:tcW w:w="3099" w:type="dxa"/>
            <w:shd w:val="clear" w:color="auto" w:fill="auto"/>
          </w:tcPr>
          <w:p w14:paraId="5C10CE1C" w14:textId="77777777" w:rsidR="00BE41B8" w:rsidRPr="00510442" w:rsidRDefault="00BE41B8" w:rsidP="001150EE">
            <w:pPr>
              <w:keepNext/>
              <w:tabs>
                <w:tab w:val="clear" w:pos="567"/>
              </w:tabs>
              <w:spacing w:line="240" w:lineRule="auto"/>
              <w:ind w:left="284"/>
              <w:rPr>
                <w:rFonts w:eastAsia="MS Mincho"/>
                <w:szCs w:val="22"/>
                <w:lang w:val="hr-HR"/>
              </w:rPr>
            </w:pPr>
            <w:r w:rsidRPr="00510442">
              <w:rPr>
                <w:rFonts w:eastAsia="MS Mincho"/>
                <w:szCs w:val="22"/>
                <w:lang w:val="hr-HR"/>
              </w:rPr>
              <w:t>48</w:t>
            </w:r>
            <w:r w:rsidRPr="00510442">
              <w:rPr>
                <w:rFonts w:eastAsia="MS Mincho"/>
                <w:szCs w:val="22"/>
                <w:lang w:val="hr-HR" w:eastAsia="ja-JP"/>
              </w:rPr>
              <w:t> </w:t>
            </w:r>
            <w:r w:rsidRPr="00510442">
              <w:rPr>
                <w:rFonts w:eastAsia="MS Mincho"/>
                <w:szCs w:val="22"/>
                <w:lang w:val="hr-HR"/>
              </w:rPr>
              <w:t>mjeseci</w:t>
            </w:r>
          </w:p>
        </w:tc>
        <w:tc>
          <w:tcPr>
            <w:tcW w:w="3100" w:type="dxa"/>
            <w:shd w:val="clear" w:color="auto" w:fill="auto"/>
          </w:tcPr>
          <w:p w14:paraId="0BBFE41D" w14:textId="77777777" w:rsidR="00BE41B8" w:rsidRPr="00510442" w:rsidRDefault="00BE41B8" w:rsidP="001150EE">
            <w:pPr>
              <w:keepNext/>
              <w:tabs>
                <w:tab w:val="clear" w:pos="567"/>
                <w:tab w:val="left" w:pos="284"/>
              </w:tabs>
              <w:spacing w:line="240" w:lineRule="auto"/>
              <w:rPr>
                <w:rFonts w:eastAsia="MS Mincho"/>
                <w:szCs w:val="22"/>
                <w:lang w:val="hr-HR"/>
              </w:rPr>
            </w:pPr>
            <w:r w:rsidRPr="00510442">
              <w:rPr>
                <w:rFonts w:eastAsia="MS Mincho"/>
                <w:szCs w:val="22"/>
                <w:lang w:val="hr-HR"/>
              </w:rPr>
              <w:t>52,3 (44,0</w:t>
            </w:r>
            <w:r w:rsidRPr="00510442">
              <w:rPr>
                <w:rFonts w:eastAsia="MS Mincho"/>
                <w:szCs w:val="22"/>
                <w:lang w:val="hr-HR"/>
              </w:rPr>
              <w:noBreakHyphen/>
              <w:t>59,8)</w:t>
            </w:r>
          </w:p>
        </w:tc>
        <w:tc>
          <w:tcPr>
            <w:tcW w:w="3100" w:type="dxa"/>
            <w:shd w:val="clear" w:color="auto" w:fill="auto"/>
          </w:tcPr>
          <w:p w14:paraId="5B9EDB24" w14:textId="77777777" w:rsidR="00BE41B8" w:rsidRPr="00510442" w:rsidRDefault="00BE41B8" w:rsidP="001150EE">
            <w:pPr>
              <w:keepNext/>
              <w:tabs>
                <w:tab w:val="clear" w:pos="567"/>
                <w:tab w:val="left" w:pos="284"/>
              </w:tabs>
              <w:spacing w:line="240" w:lineRule="auto"/>
              <w:rPr>
                <w:rFonts w:eastAsia="MS Mincho"/>
                <w:szCs w:val="22"/>
                <w:lang w:val="hr-HR"/>
              </w:rPr>
            </w:pPr>
            <w:r w:rsidRPr="00510442">
              <w:rPr>
                <w:rFonts w:eastAsia="MS Mincho"/>
                <w:szCs w:val="22"/>
                <w:lang w:val="hr-HR"/>
              </w:rPr>
              <w:t>78,3 (70,8</w:t>
            </w:r>
            <w:r w:rsidRPr="00510442">
              <w:rPr>
                <w:rFonts w:eastAsia="MS Mincho"/>
                <w:szCs w:val="22"/>
                <w:lang w:val="hr-HR"/>
              </w:rPr>
              <w:noBreakHyphen/>
              <w:t>84,1)</w:t>
            </w:r>
          </w:p>
        </w:tc>
      </w:tr>
      <w:tr w:rsidR="00BE41B8" w:rsidRPr="00510442" w14:paraId="7F068EDC" w14:textId="77777777" w:rsidTr="001150EE">
        <w:trPr>
          <w:cantSplit/>
        </w:trPr>
        <w:tc>
          <w:tcPr>
            <w:tcW w:w="3099" w:type="dxa"/>
            <w:shd w:val="clear" w:color="auto" w:fill="auto"/>
          </w:tcPr>
          <w:p w14:paraId="4250C356" w14:textId="77777777" w:rsidR="00BE41B8" w:rsidRPr="00510442" w:rsidRDefault="00BE41B8" w:rsidP="001150EE">
            <w:pPr>
              <w:keepNext/>
              <w:tabs>
                <w:tab w:val="clear" w:pos="567"/>
              </w:tabs>
              <w:spacing w:line="240" w:lineRule="auto"/>
              <w:ind w:left="284"/>
              <w:rPr>
                <w:rFonts w:eastAsia="MS Mincho"/>
                <w:szCs w:val="22"/>
                <w:lang w:val="hr-HR"/>
              </w:rPr>
            </w:pPr>
            <w:r w:rsidRPr="00510442">
              <w:rPr>
                <w:rFonts w:eastAsia="MS Mincho"/>
                <w:szCs w:val="22"/>
                <w:lang w:val="hr-HR"/>
              </w:rPr>
              <w:t>60</w:t>
            </w:r>
            <w:r w:rsidRPr="00510442">
              <w:rPr>
                <w:rFonts w:eastAsia="MS Mincho"/>
                <w:szCs w:val="22"/>
                <w:lang w:val="hr-HR" w:eastAsia="ja-JP"/>
              </w:rPr>
              <w:t> </w:t>
            </w:r>
            <w:r w:rsidRPr="00510442">
              <w:rPr>
                <w:rFonts w:eastAsia="MS Mincho"/>
                <w:szCs w:val="22"/>
                <w:lang w:val="hr-HR"/>
              </w:rPr>
              <w:t>mjeseci</w:t>
            </w:r>
          </w:p>
        </w:tc>
        <w:tc>
          <w:tcPr>
            <w:tcW w:w="3100" w:type="dxa"/>
            <w:shd w:val="clear" w:color="auto" w:fill="auto"/>
          </w:tcPr>
          <w:p w14:paraId="2F62967B" w14:textId="77777777" w:rsidR="00BE41B8" w:rsidRPr="00510442" w:rsidRDefault="00BE41B8" w:rsidP="001150EE">
            <w:pPr>
              <w:keepNext/>
              <w:tabs>
                <w:tab w:val="clear" w:pos="567"/>
                <w:tab w:val="left" w:pos="284"/>
              </w:tabs>
              <w:spacing w:line="240" w:lineRule="auto"/>
              <w:rPr>
                <w:rFonts w:eastAsia="MS Mincho"/>
                <w:szCs w:val="22"/>
                <w:lang w:val="hr-HR"/>
              </w:rPr>
            </w:pPr>
            <w:r w:rsidRPr="00510442">
              <w:rPr>
                <w:rFonts w:eastAsia="MS Mincho"/>
                <w:szCs w:val="22"/>
                <w:lang w:val="hr-HR"/>
              </w:rPr>
              <w:t>47,9 (39,0</w:t>
            </w:r>
            <w:r w:rsidRPr="00510442">
              <w:rPr>
                <w:rFonts w:eastAsia="MS Mincho"/>
                <w:szCs w:val="22"/>
                <w:lang w:val="hr-HR"/>
              </w:rPr>
              <w:noBreakHyphen/>
              <w:t>56,3)</w:t>
            </w:r>
          </w:p>
        </w:tc>
        <w:tc>
          <w:tcPr>
            <w:tcW w:w="3100" w:type="dxa"/>
            <w:shd w:val="clear" w:color="auto" w:fill="auto"/>
          </w:tcPr>
          <w:p w14:paraId="7433B729" w14:textId="77777777" w:rsidR="00BE41B8" w:rsidRPr="00510442" w:rsidRDefault="00BE41B8" w:rsidP="001150EE">
            <w:pPr>
              <w:keepNext/>
              <w:tabs>
                <w:tab w:val="clear" w:pos="567"/>
                <w:tab w:val="left" w:pos="284"/>
              </w:tabs>
              <w:spacing w:line="240" w:lineRule="auto"/>
              <w:rPr>
                <w:rFonts w:eastAsia="MS Mincho"/>
                <w:szCs w:val="22"/>
                <w:lang w:val="hr-HR"/>
              </w:rPr>
            </w:pPr>
            <w:r w:rsidRPr="00510442">
              <w:rPr>
                <w:rFonts w:eastAsia="MS Mincho"/>
                <w:szCs w:val="22"/>
                <w:lang w:val="hr-HR"/>
              </w:rPr>
              <w:t>65,6 (56,1</w:t>
            </w:r>
            <w:r w:rsidRPr="00510442">
              <w:rPr>
                <w:rFonts w:eastAsia="MS Mincho"/>
                <w:szCs w:val="22"/>
                <w:lang w:val="hr-HR"/>
              </w:rPr>
              <w:noBreakHyphen/>
              <w:t>73,4)</w:t>
            </w:r>
          </w:p>
        </w:tc>
      </w:tr>
      <w:tr w:rsidR="00BE41B8" w:rsidRPr="00510442" w14:paraId="63D84D55" w14:textId="77777777" w:rsidTr="001150EE">
        <w:trPr>
          <w:cantSplit/>
        </w:trPr>
        <w:tc>
          <w:tcPr>
            <w:tcW w:w="3099" w:type="dxa"/>
            <w:shd w:val="clear" w:color="auto" w:fill="auto"/>
          </w:tcPr>
          <w:p w14:paraId="39A38E93" w14:textId="77777777" w:rsidR="00BE41B8" w:rsidRPr="00510442" w:rsidRDefault="00BE41B8" w:rsidP="001150EE">
            <w:pPr>
              <w:keepNext/>
              <w:tabs>
                <w:tab w:val="clear" w:pos="567"/>
                <w:tab w:val="left" w:pos="284"/>
              </w:tabs>
              <w:spacing w:line="240" w:lineRule="auto"/>
              <w:rPr>
                <w:rFonts w:eastAsia="MS Mincho"/>
                <w:b/>
                <w:szCs w:val="22"/>
                <w:lang w:val="hr-HR"/>
              </w:rPr>
            </w:pPr>
            <w:r w:rsidRPr="00510442">
              <w:rPr>
                <w:rFonts w:eastAsia="MS Mincho"/>
                <w:b/>
                <w:szCs w:val="22"/>
                <w:lang w:val="hr-HR"/>
              </w:rPr>
              <w:t>Preživljenje</w:t>
            </w:r>
          </w:p>
        </w:tc>
        <w:tc>
          <w:tcPr>
            <w:tcW w:w="3100" w:type="dxa"/>
            <w:shd w:val="clear" w:color="auto" w:fill="auto"/>
          </w:tcPr>
          <w:p w14:paraId="52A17298" w14:textId="77777777" w:rsidR="00BE41B8" w:rsidRPr="00510442" w:rsidRDefault="00BE41B8" w:rsidP="001150EE">
            <w:pPr>
              <w:keepNext/>
              <w:tabs>
                <w:tab w:val="clear" w:pos="567"/>
                <w:tab w:val="left" w:pos="284"/>
              </w:tabs>
              <w:spacing w:line="240" w:lineRule="auto"/>
              <w:rPr>
                <w:rFonts w:eastAsia="MS Mincho"/>
                <w:szCs w:val="22"/>
                <w:lang w:val="hr-HR"/>
              </w:rPr>
            </w:pPr>
          </w:p>
        </w:tc>
        <w:tc>
          <w:tcPr>
            <w:tcW w:w="3100" w:type="dxa"/>
            <w:shd w:val="clear" w:color="auto" w:fill="auto"/>
          </w:tcPr>
          <w:p w14:paraId="16B61F37" w14:textId="77777777" w:rsidR="00BE41B8" w:rsidRPr="00510442" w:rsidRDefault="00BE41B8" w:rsidP="001150EE">
            <w:pPr>
              <w:keepNext/>
              <w:tabs>
                <w:tab w:val="clear" w:pos="567"/>
                <w:tab w:val="left" w:pos="284"/>
              </w:tabs>
              <w:spacing w:line="240" w:lineRule="auto"/>
              <w:rPr>
                <w:rFonts w:eastAsia="MS Mincho"/>
                <w:szCs w:val="22"/>
                <w:lang w:val="hr-HR"/>
              </w:rPr>
            </w:pPr>
          </w:p>
        </w:tc>
      </w:tr>
      <w:tr w:rsidR="00BE41B8" w:rsidRPr="00510442" w14:paraId="7AAC6397" w14:textId="77777777" w:rsidTr="001150EE">
        <w:trPr>
          <w:cantSplit/>
        </w:trPr>
        <w:tc>
          <w:tcPr>
            <w:tcW w:w="3099" w:type="dxa"/>
            <w:shd w:val="clear" w:color="auto" w:fill="auto"/>
          </w:tcPr>
          <w:p w14:paraId="7C1B933C" w14:textId="77777777" w:rsidR="00BE41B8" w:rsidRPr="00510442" w:rsidRDefault="00BE41B8" w:rsidP="001150EE">
            <w:pPr>
              <w:keepNext/>
              <w:tabs>
                <w:tab w:val="clear" w:pos="567"/>
              </w:tabs>
              <w:spacing w:line="240" w:lineRule="auto"/>
              <w:ind w:left="284"/>
              <w:rPr>
                <w:rFonts w:eastAsia="MS Mincho"/>
                <w:szCs w:val="22"/>
                <w:lang w:val="hr-HR"/>
              </w:rPr>
            </w:pPr>
            <w:r w:rsidRPr="00510442">
              <w:rPr>
                <w:rFonts w:eastAsia="MS Mincho"/>
                <w:szCs w:val="22"/>
                <w:lang w:val="hr-HR"/>
              </w:rPr>
              <w:t>36</w:t>
            </w:r>
            <w:r w:rsidRPr="00510442">
              <w:rPr>
                <w:rFonts w:eastAsia="MS Mincho"/>
                <w:szCs w:val="22"/>
                <w:lang w:val="hr-HR" w:eastAsia="ja-JP"/>
              </w:rPr>
              <w:t> </w:t>
            </w:r>
            <w:r w:rsidRPr="00510442">
              <w:rPr>
                <w:rFonts w:eastAsia="MS Mincho"/>
                <w:szCs w:val="22"/>
                <w:lang w:val="hr-HR"/>
              </w:rPr>
              <w:t>mjeseci</w:t>
            </w:r>
          </w:p>
        </w:tc>
        <w:tc>
          <w:tcPr>
            <w:tcW w:w="3100" w:type="dxa"/>
            <w:shd w:val="clear" w:color="auto" w:fill="auto"/>
          </w:tcPr>
          <w:p w14:paraId="48EC7170" w14:textId="77777777" w:rsidR="00BE41B8" w:rsidRPr="00510442" w:rsidRDefault="00BE41B8" w:rsidP="001150EE">
            <w:pPr>
              <w:keepNext/>
              <w:tabs>
                <w:tab w:val="clear" w:pos="567"/>
                <w:tab w:val="left" w:pos="284"/>
              </w:tabs>
              <w:spacing w:line="240" w:lineRule="auto"/>
              <w:rPr>
                <w:rFonts w:eastAsia="MS Mincho"/>
                <w:szCs w:val="22"/>
                <w:lang w:val="hr-HR"/>
              </w:rPr>
            </w:pPr>
            <w:r w:rsidRPr="00510442">
              <w:rPr>
                <w:rFonts w:eastAsia="MS Mincho"/>
                <w:szCs w:val="22"/>
                <w:lang w:val="hr-HR"/>
              </w:rPr>
              <w:t>94,0 (89,5</w:t>
            </w:r>
            <w:r w:rsidRPr="00510442">
              <w:rPr>
                <w:rFonts w:eastAsia="MS Mincho"/>
                <w:szCs w:val="22"/>
                <w:lang w:val="hr-HR"/>
              </w:rPr>
              <w:noBreakHyphen/>
              <w:t>96,7)</w:t>
            </w:r>
          </w:p>
        </w:tc>
        <w:tc>
          <w:tcPr>
            <w:tcW w:w="3100" w:type="dxa"/>
            <w:shd w:val="clear" w:color="auto" w:fill="auto"/>
          </w:tcPr>
          <w:p w14:paraId="31C8AD48" w14:textId="77777777" w:rsidR="00BE41B8" w:rsidRPr="00510442" w:rsidRDefault="00BE41B8" w:rsidP="001150EE">
            <w:pPr>
              <w:keepNext/>
              <w:tabs>
                <w:tab w:val="clear" w:pos="567"/>
                <w:tab w:val="left" w:pos="284"/>
              </w:tabs>
              <w:spacing w:line="240" w:lineRule="auto"/>
              <w:rPr>
                <w:rFonts w:eastAsia="MS Mincho"/>
                <w:szCs w:val="22"/>
                <w:lang w:val="hr-HR"/>
              </w:rPr>
            </w:pPr>
            <w:r w:rsidRPr="00510442">
              <w:rPr>
                <w:rFonts w:eastAsia="MS Mincho"/>
                <w:szCs w:val="22"/>
                <w:lang w:val="hr-HR"/>
              </w:rPr>
              <w:t>96,3 (92,4</w:t>
            </w:r>
            <w:r w:rsidRPr="00510442">
              <w:rPr>
                <w:rFonts w:eastAsia="MS Mincho"/>
                <w:szCs w:val="22"/>
                <w:lang w:val="hr-HR"/>
              </w:rPr>
              <w:noBreakHyphen/>
              <w:t>98,2)</w:t>
            </w:r>
          </w:p>
        </w:tc>
      </w:tr>
      <w:tr w:rsidR="00BE41B8" w:rsidRPr="00510442" w14:paraId="5C1A2BAE" w14:textId="77777777" w:rsidTr="001150EE">
        <w:trPr>
          <w:cantSplit/>
        </w:trPr>
        <w:tc>
          <w:tcPr>
            <w:tcW w:w="3099" w:type="dxa"/>
            <w:shd w:val="clear" w:color="auto" w:fill="auto"/>
          </w:tcPr>
          <w:p w14:paraId="4275A026" w14:textId="77777777" w:rsidR="00BE41B8" w:rsidRPr="00510442" w:rsidRDefault="00BE41B8" w:rsidP="001150EE">
            <w:pPr>
              <w:keepNext/>
              <w:tabs>
                <w:tab w:val="clear" w:pos="567"/>
              </w:tabs>
              <w:spacing w:line="240" w:lineRule="auto"/>
              <w:ind w:left="284"/>
              <w:rPr>
                <w:rFonts w:eastAsia="MS Mincho"/>
                <w:szCs w:val="22"/>
                <w:lang w:val="hr-HR"/>
              </w:rPr>
            </w:pPr>
            <w:r w:rsidRPr="00510442">
              <w:rPr>
                <w:rFonts w:eastAsia="MS Mincho"/>
                <w:szCs w:val="22"/>
                <w:lang w:val="hr-HR"/>
              </w:rPr>
              <w:t>48</w:t>
            </w:r>
            <w:r w:rsidRPr="00510442">
              <w:rPr>
                <w:rFonts w:eastAsia="MS Mincho"/>
                <w:szCs w:val="22"/>
                <w:lang w:val="hr-HR" w:eastAsia="ja-JP"/>
              </w:rPr>
              <w:t> </w:t>
            </w:r>
            <w:r w:rsidRPr="00510442">
              <w:rPr>
                <w:rFonts w:eastAsia="MS Mincho"/>
                <w:szCs w:val="22"/>
                <w:lang w:val="hr-HR"/>
              </w:rPr>
              <w:t>mjeseci</w:t>
            </w:r>
          </w:p>
        </w:tc>
        <w:tc>
          <w:tcPr>
            <w:tcW w:w="3100" w:type="dxa"/>
            <w:shd w:val="clear" w:color="auto" w:fill="auto"/>
          </w:tcPr>
          <w:p w14:paraId="358DBB3B" w14:textId="77777777" w:rsidR="00BE41B8" w:rsidRPr="00510442" w:rsidRDefault="00BE41B8" w:rsidP="001150EE">
            <w:pPr>
              <w:keepNext/>
              <w:tabs>
                <w:tab w:val="clear" w:pos="567"/>
                <w:tab w:val="left" w:pos="284"/>
              </w:tabs>
              <w:spacing w:line="240" w:lineRule="auto"/>
              <w:rPr>
                <w:rFonts w:eastAsia="MS Mincho"/>
                <w:szCs w:val="22"/>
                <w:lang w:val="hr-HR"/>
              </w:rPr>
            </w:pPr>
            <w:r w:rsidRPr="00510442">
              <w:rPr>
                <w:rFonts w:eastAsia="MS Mincho"/>
                <w:szCs w:val="22"/>
                <w:lang w:val="hr-HR"/>
              </w:rPr>
              <w:t>87,9 (81,1</w:t>
            </w:r>
            <w:r w:rsidRPr="00510442">
              <w:rPr>
                <w:rFonts w:eastAsia="MS Mincho"/>
                <w:szCs w:val="22"/>
                <w:lang w:val="hr-HR"/>
              </w:rPr>
              <w:noBreakHyphen/>
              <w:t>92,3)</w:t>
            </w:r>
          </w:p>
        </w:tc>
        <w:tc>
          <w:tcPr>
            <w:tcW w:w="3100" w:type="dxa"/>
            <w:shd w:val="clear" w:color="auto" w:fill="auto"/>
          </w:tcPr>
          <w:p w14:paraId="19548FB7" w14:textId="77777777" w:rsidR="00BE41B8" w:rsidRPr="00510442" w:rsidRDefault="00BE41B8" w:rsidP="001150EE">
            <w:pPr>
              <w:keepNext/>
              <w:tabs>
                <w:tab w:val="clear" w:pos="567"/>
                <w:tab w:val="left" w:pos="284"/>
              </w:tabs>
              <w:spacing w:line="240" w:lineRule="auto"/>
              <w:rPr>
                <w:rFonts w:eastAsia="MS Mincho"/>
                <w:szCs w:val="22"/>
                <w:lang w:val="hr-HR"/>
              </w:rPr>
            </w:pPr>
            <w:r w:rsidRPr="00510442">
              <w:rPr>
                <w:rFonts w:eastAsia="MS Mincho"/>
                <w:szCs w:val="22"/>
                <w:lang w:val="hr-HR"/>
              </w:rPr>
              <w:t>95,6 (91,2</w:t>
            </w:r>
            <w:r w:rsidRPr="00510442">
              <w:rPr>
                <w:rFonts w:eastAsia="MS Mincho"/>
                <w:szCs w:val="22"/>
                <w:lang w:val="hr-HR"/>
              </w:rPr>
              <w:noBreakHyphen/>
              <w:t>97,8)</w:t>
            </w:r>
          </w:p>
        </w:tc>
      </w:tr>
      <w:tr w:rsidR="00BE41B8" w:rsidRPr="00510442" w14:paraId="2BB6DB6F" w14:textId="77777777" w:rsidTr="001150EE">
        <w:trPr>
          <w:cantSplit/>
        </w:trPr>
        <w:tc>
          <w:tcPr>
            <w:tcW w:w="3099" w:type="dxa"/>
            <w:shd w:val="clear" w:color="auto" w:fill="auto"/>
          </w:tcPr>
          <w:p w14:paraId="730AA7FF" w14:textId="77777777" w:rsidR="00BE41B8" w:rsidRPr="00510442" w:rsidRDefault="00BE41B8" w:rsidP="001150EE">
            <w:pPr>
              <w:tabs>
                <w:tab w:val="clear" w:pos="567"/>
              </w:tabs>
              <w:spacing w:line="240" w:lineRule="auto"/>
              <w:ind w:left="284"/>
              <w:rPr>
                <w:rFonts w:eastAsia="MS Mincho"/>
                <w:szCs w:val="22"/>
                <w:lang w:val="hr-HR"/>
              </w:rPr>
            </w:pPr>
            <w:r w:rsidRPr="00510442">
              <w:rPr>
                <w:rFonts w:eastAsia="MS Mincho"/>
                <w:szCs w:val="22"/>
                <w:lang w:val="hr-HR"/>
              </w:rPr>
              <w:t>60</w:t>
            </w:r>
            <w:r w:rsidRPr="00510442">
              <w:rPr>
                <w:rFonts w:eastAsia="MS Mincho"/>
                <w:szCs w:val="22"/>
                <w:lang w:val="hr-HR" w:eastAsia="ja-JP"/>
              </w:rPr>
              <w:t> </w:t>
            </w:r>
            <w:r w:rsidRPr="00510442">
              <w:rPr>
                <w:rFonts w:eastAsia="MS Mincho"/>
                <w:szCs w:val="22"/>
                <w:lang w:val="hr-HR"/>
              </w:rPr>
              <w:t>mjeseci</w:t>
            </w:r>
          </w:p>
        </w:tc>
        <w:tc>
          <w:tcPr>
            <w:tcW w:w="3100" w:type="dxa"/>
            <w:shd w:val="clear" w:color="auto" w:fill="auto"/>
          </w:tcPr>
          <w:p w14:paraId="7ADBD027" w14:textId="77777777" w:rsidR="00BE41B8" w:rsidRPr="00510442" w:rsidRDefault="00BE41B8" w:rsidP="001150EE">
            <w:pPr>
              <w:tabs>
                <w:tab w:val="clear" w:pos="567"/>
                <w:tab w:val="left" w:pos="284"/>
              </w:tabs>
              <w:spacing w:line="240" w:lineRule="auto"/>
              <w:rPr>
                <w:rFonts w:eastAsia="MS Mincho"/>
                <w:szCs w:val="22"/>
                <w:lang w:val="hr-HR"/>
              </w:rPr>
            </w:pPr>
            <w:r w:rsidRPr="00510442">
              <w:rPr>
                <w:rFonts w:eastAsia="MS Mincho"/>
                <w:szCs w:val="22"/>
                <w:lang w:val="hr-HR"/>
              </w:rPr>
              <w:t>81,7 (73,0</w:t>
            </w:r>
            <w:r w:rsidRPr="00510442">
              <w:rPr>
                <w:rFonts w:eastAsia="MS Mincho"/>
                <w:szCs w:val="22"/>
                <w:lang w:val="hr-HR"/>
              </w:rPr>
              <w:noBreakHyphen/>
              <w:t>87,8)</w:t>
            </w:r>
          </w:p>
        </w:tc>
        <w:tc>
          <w:tcPr>
            <w:tcW w:w="3100" w:type="dxa"/>
            <w:shd w:val="clear" w:color="auto" w:fill="auto"/>
          </w:tcPr>
          <w:p w14:paraId="5DCD655F" w14:textId="77777777" w:rsidR="00BE41B8" w:rsidRPr="00510442" w:rsidRDefault="00BE41B8" w:rsidP="001150EE">
            <w:pPr>
              <w:tabs>
                <w:tab w:val="clear" w:pos="567"/>
                <w:tab w:val="left" w:pos="284"/>
              </w:tabs>
              <w:spacing w:line="240" w:lineRule="auto"/>
              <w:rPr>
                <w:rFonts w:eastAsia="MS Mincho"/>
                <w:szCs w:val="22"/>
                <w:lang w:val="hr-HR"/>
              </w:rPr>
            </w:pPr>
            <w:r w:rsidRPr="00510442">
              <w:rPr>
                <w:rFonts w:eastAsia="MS Mincho"/>
                <w:szCs w:val="22"/>
                <w:lang w:val="hr-HR"/>
              </w:rPr>
              <w:t>92,0 (85,3</w:t>
            </w:r>
            <w:r w:rsidRPr="00510442">
              <w:rPr>
                <w:rFonts w:eastAsia="MS Mincho"/>
                <w:szCs w:val="22"/>
                <w:lang w:val="hr-HR"/>
              </w:rPr>
              <w:noBreakHyphen/>
              <w:t>95,7)</w:t>
            </w:r>
          </w:p>
        </w:tc>
      </w:tr>
    </w:tbl>
    <w:p w14:paraId="210CF6B6" w14:textId="77777777" w:rsidR="00BE41B8" w:rsidRPr="00510442" w:rsidRDefault="00BE41B8" w:rsidP="00BE41B8">
      <w:pPr>
        <w:tabs>
          <w:tab w:val="clear" w:pos="567"/>
        </w:tabs>
        <w:spacing w:line="240" w:lineRule="auto"/>
        <w:rPr>
          <w:rFonts w:eastAsia="MS Mincho"/>
          <w:szCs w:val="22"/>
          <w:lang w:val="hr-HR"/>
        </w:rPr>
      </w:pPr>
    </w:p>
    <w:p w14:paraId="09615F3D" w14:textId="77777777" w:rsidR="00BE41B8" w:rsidRPr="00510442" w:rsidRDefault="00BE41B8" w:rsidP="00BE41B8">
      <w:pPr>
        <w:keepNext/>
        <w:tabs>
          <w:tab w:val="clear" w:pos="567"/>
          <w:tab w:val="left" w:pos="1134"/>
        </w:tabs>
        <w:spacing w:line="240" w:lineRule="auto"/>
        <w:ind w:left="1134" w:hanging="1134"/>
        <w:outlineLvl w:val="6"/>
        <w:rPr>
          <w:rFonts w:eastAsia="MS Mincho"/>
          <w:b/>
          <w:szCs w:val="22"/>
          <w:lang w:val="hr-HR"/>
        </w:rPr>
      </w:pPr>
      <w:r w:rsidRPr="00510442">
        <w:rPr>
          <w:rFonts w:eastAsia="MS Mincho"/>
          <w:b/>
          <w:szCs w:val="22"/>
          <w:lang w:val="hr-HR"/>
        </w:rPr>
        <w:t>Slika 1</w:t>
      </w:r>
      <w:r w:rsidRPr="00510442">
        <w:rPr>
          <w:rFonts w:eastAsia="MS Mincho"/>
          <w:b/>
          <w:szCs w:val="22"/>
          <w:lang w:val="hr-HR"/>
        </w:rPr>
        <w:tab/>
        <w:t xml:space="preserve">Kaplan-Meierova procjena </w:t>
      </w:r>
      <w:r w:rsidRPr="00510442">
        <w:rPr>
          <w:b/>
          <w:szCs w:val="22"/>
          <w:lang w:val="hr-HR"/>
        </w:rPr>
        <w:t>preživljenja bez recidiva bolesti kao</w:t>
      </w:r>
      <w:r w:rsidRPr="00510442">
        <w:rPr>
          <w:rFonts w:eastAsia="MS Mincho"/>
          <w:b/>
          <w:szCs w:val="22"/>
          <w:lang w:val="hr-HR"/>
        </w:rPr>
        <w:t xml:space="preserve"> primarnog ishoda (ITT populacija)</w:t>
      </w:r>
    </w:p>
    <w:p w14:paraId="778F66B2" w14:textId="77777777" w:rsidR="00BE41B8" w:rsidRPr="00510442" w:rsidRDefault="00BE41B8" w:rsidP="00BE41B8">
      <w:pPr>
        <w:keepNext/>
        <w:tabs>
          <w:tab w:val="clear" w:pos="567"/>
          <w:tab w:val="left" w:pos="1134"/>
        </w:tabs>
        <w:spacing w:line="240" w:lineRule="auto"/>
        <w:ind w:left="1134" w:hanging="1134"/>
        <w:outlineLvl w:val="6"/>
        <w:rPr>
          <w:rFonts w:eastAsia="MS Mincho"/>
          <w:szCs w:val="22"/>
          <w:lang w:val="hr-HR"/>
        </w:rPr>
      </w:pPr>
    </w:p>
    <w:p w14:paraId="5363BC10" w14:textId="77777777" w:rsidR="00BE41B8" w:rsidRPr="00307897" w:rsidRDefault="00C712C6" w:rsidP="00BE41B8">
      <w:pPr>
        <w:widowControl w:val="0"/>
        <w:tabs>
          <w:tab w:val="clear" w:pos="567"/>
          <w:tab w:val="left" w:pos="1134"/>
        </w:tabs>
        <w:spacing w:line="240" w:lineRule="auto"/>
        <w:ind w:left="1134" w:hanging="1134"/>
        <w:outlineLvl w:val="6"/>
        <w:rPr>
          <w:rFonts w:eastAsia="MS Mincho"/>
          <w:szCs w:val="22"/>
          <w:lang w:val="hr-HR"/>
        </w:rPr>
      </w:pPr>
      <w:r w:rsidRPr="00510442">
        <w:rPr>
          <w:noProof/>
          <w:szCs w:val="22"/>
          <w:lang w:eastAsia="en-GB"/>
        </w:rPr>
        <mc:AlternateContent>
          <mc:Choice Requires="wps">
            <w:drawing>
              <wp:anchor distT="0" distB="0" distL="114300" distR="114300" simplePos="0" relativeHeight="251658240" behindDoc="0" locked="0" layoutInCell="1" allowOverlap="1" wp14:anchorId="3E7C5443" wp14:editId="42B96196">
                <wp:simplePos x="0" y="0"/>
                <wp:positionH relativeFrom="column">
                  <wp:posOffset>-198120</wp:posOffset>
                </wp:positionH>
                <wp:positionV relativeFrom="paragraph">
                  <wp:posOffset>188595</wp:posOffset>
                </wp:positionV>
                <wp:extent cx="335915" cy="224536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22453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91F1DB" w14:textId="77777777" w:rsidR="00547367" w:rsidRPr="00E56B37" w:rsidRDefault="00547367" w:rsidP="00BE41B8">
                            <w:pPr>
                              <w:rPr>
                                <w:rFonts w:ascii="Arial" w:hAnsi="Arial" w:cs="Arial"/>
                                <w:sz w:val="20"/>
                                <w:lang w:val="hr-HR"/>
                              </w:rPr>
                            </w:pPr>
                            <w:r>
                              <w:rPr>
                                <w:rFonts w:ascii="Arial" w:hAnsi="Arial" w:cs="Arial"/>
                                <w:sz w:val="20"/>
                                <w:lang w:val="hr-HR"/>
                              </w:rPr>
                              <w:t>Vjerojatnost preživljenja bez recidiva</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7C5443" id="_x0000_s1032" type="#_x0000_t202" style="position:absolute;left:0;text-align:left;margin-left:-15.6pt;margin-top:14.85pt;width:26.45pt;height:176.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" stroked="f">
                <v:fill opacity="0"/>
                <v:textbox style="layout-flow:vertical;mso-layout-flow-alt:bottom-to-top">
                  <w:txbxContent>
                    <w:p w14:paraId="7091F1DB" w14:textId="77777777" w:rsidR="00547367" w:rsidRPr="00E56B37" w:rsidRDefault="00547367" w:rsidP="00BE41B8">
                      <w:pPr>
                        <w:rPr>
                          <w:rFonts w:ascii="Arial" w:hAnsi="Arial" w:cs="Arial"/>
                          <w:sz w:val="20"/>
                          <w:lang w:val="hr-HR"/>
                        </w:rPr>
                      </w:pPr>
                      <w:r>
                        <w:rPr>
                          <w:rFonts w:ascii="Arial" w:hAnsi="Arial" w:cs="Arial"/>
                          <w:sz w:val="20"/>
                          <w:lang w:val="hr-HR"/>
                        </w:rPr>
                        <w:t>Vjerojatnost preživljenja bez recidiva</w:t>
                      </w:r>
                    </w:p>
                  </w:txbxContent>
                </v:textbox>
              </v:shape>
            </w:pict>
          </mc:Fallback>
        </mc:AlternateContent>
      </w:r>
      <w:r w:rsidRPr="00510442">
        <w:rPr>
          <w:noProof/>
          <w:szCs w:val="22"/>
          <w:lang w:eastAsia="en-GB"/>
        </w:rPr>
        <mc:AlternateContent>
          <mc:Choice Requires="wps">
            <w:drawing>
              <wp:anchor distT="0" distB="0" distL="114300" distR="114300" simplePos="0" relativeHeight="251659264" behindDoc="0" locked="0" layoutInCell="1" allowOverlap="1" wp14:anchorId="5CE189C3" wp14:editId="536EE89D">
                <wp:simplePos x="0" y="0"/>
                <wp:positionH relativeFrom="column">
                  <wp:posOffset>350520</wp:posOffset>
                </wp:positionH>
                <wp:positionV relativeFrom="paragraph">
                  <wp:posOffset>970915</wp:posOffset>
                </wp:positionV>
                <wp:extent cx="4585335" cy="1466215"/>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5335" cy="146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C30E55" w14:textId="77777777" w:rsidR="00547367" w:rsidRDefault="00547367" w:rsidP="00BE41B8">
                            <w:pPr>
                              <w:rPr>
                                <w:rFonts w:ascii="Arial" w:hAnsi="Arial" w:cs="Arial"/>
                                <w:sz w:val="20"/>
                              </w:rPr>
                            </w:pPr>
                          </w:p>
                          <w:tbl>
                            <w:tblPr>
                              <w:tblW w:w="0" w:type="auto"/>
                              <w:tblLook w:val="04A0" w:firstRow="1" w:lastRow="0" w:firstColumn="1" w:lastColumn="0" w:noHBand="0" w:noVBand="1"/>
                            </w:tblPr>
                            <w:tblGrid>
                              <w:gridCol w:w="817"/>
                              <w:gridCol w:w="2464"/>
                              <w:gridCol w:w="851"/>
                              <w:gridCol w:w="962"/>
                              <w:gridCol w:w="917"/>
                            </w:tblGrid>
                            <w:tr w:rsidR="00547367" w:rsidRPr="0055776F" w14:paraId="042D9E6C" w14:textId="77777777" w:rsidTr="000A6648">
                              <w:trPr>
                                <w:gridAfter w:val="3"/>
                                <w:wAfter w:w="2410" w:type="dxa"/>
                              </w:trPr>
                              <w:tc>
                                <w:tcPr>
                                  <w:tcW w:w="3281" w:type="dxa"/>
                                  <w:gridSpan w:val="2"/>
                                  <w:shd w:val="clear" w:color="auto" w:fill="auto"/>
                                </w:tcPr>
                                <w:p w14:paraId="1709A800" w14:textId="77777777" w:rsidR="00547367" w:rsidRPr="0055776F" w:rsidRDefault="00547367" w:rsidP="0077258C">
                                  <w:pPr>
                                    <w:rPr>
                                      <w:rFonts w:ascii="Arial" w:hAnsi="Arial" w:cs="Arial"/>
                                      <w:sz w:val="20"/>
                                    </w:rPr>
                                  </w:pPr>
                                  <w:r>
                                    <w:rPr>
                                      <w:rFonts w:ascii="Arial" w:hAnsi="Arial" w:cs="Arial"/>
                                      <w:sz w:val="20"/>
                                    </w:rPr>
                                    <w:t>P &lt; 0,0001</w:t>
                                  </w:r>
                                </w:p>
                                <w:p w14:paraId="687EC8A9" w14:textId="77777777" w:rsidR="00547367" w:rsidRPr="0055776F" w:rsidRDefault="00547367" w:rsidP="0077258C">
                                  <w:pPr>
                                    <w:rPr>
                                      <w:rFonts w:ascii="Arial" w:hAnsi="Arial" w:cs="Arial"/>
                                      <w:sz w:val="20"/>
                                    </w:rPr>
                                  </w:pPr>
                                  <w:r>
                                    <w:rPr>
                                      <w:rFonts w:ascii="Arial" w:hAnsi="Arial" w:cs="Arial"/>
                                      <w:sz w:val="20"/>
                                    </w:rPr>
                                    <w:t>Omjer rizika</w:t>
                                  </w:r>
                                  <w:r w:rsidRPr="0055776F">
                                    <w:rPr>
                                      <w:rFonts w:ascii="Arial" w:hAnsi="Arial" w:cs="Arial"/>
                                      <w:sz w:val="20"/>
                                    </w:rPr>
                                    <w:t xml:space="preserve"> 0</w:t>
                                  </w:r>
                                  <w:r>
                                    <w:rPr>
                                      <w:rFonts w:ascii="Arial" w:hAnsi="Arial" w:cs="Arial"/>
                                      <w:sz w:val="20"/>
                                    </w:rPr>
                                    <w:t>,</w:t>
                                  </w:r>
                                  <w:r w:rsidRPr="0055776F">
                                    <w:rPr>
                                      <w:rFonts w:ascii="Arial" w:hAnsi="Arial" w:cs="Arial"/>
                                      <w:sz w:val="20"/>
                                    </w:rPr>
                                    <w:t>4</w:t>
                                  </w:r>
                                  <w:r>
                                    <w:rPr>
                                      <w:rFonts w:ascii="Arial" w:hAnsi="Arial" w:cs="Arial"/>
                                      <w:sz w:val="20"/>
                                    </w:rPr>
                                    <w:t>6</w:t>
                                  </w:r>
                                </w:p>
                                <w:p w14:paraId="62E4F23B" w14:textId="77777777" w:rsidR="00547367" w:rsidRPr="0055776F" w:rsidRDefault="00547367" w:rsidP="00E56B37">
                                  <w:pPr>
                                    <w:rPr>
                                      <w:rFonts w:ascii="Arial" w:hAnsi="Arial" w:cs="Arial"/>
                                      <w:sz w:val="20"/>
                                      <w:lang w:val="de-DE"/>
                                    </w:rPr>
                                  </w:pPr>
                                  <w:r w:rsidRPr="0055776F">
                                    <w:rPr>
                                      <w:rFonts w:ascii="Arial" w:hAnsi="Arial" w:cs="Arial"/>
                                      <w:sz w:val="20"/>
                                    </w:rPr>
                                    <w:t xml:space="preserve">(95% </w:t>
                                  </w:r>
                                  <w:r w:rsidRPr="00B014D4">
                                    <w:rPr>
                                      <w:rFonts w:ascii="Arial" w:hAnsi="Arial" w:cs="Arial"/>
                                      <w:sz w:val="20"/>
                                    </w:rPr>
                                    <w:t>Cl,</w:t>
                                  </w:r>
                                  <w:r w:rsidRPr="0055776F">
                                    <w:rPr>
                                      <w:rFonts w:ascii="Arial" w:hAnsi="Arial" w:cs="Arial"/>
                                      <w:sz w:val="20"/>
                                    </w:rPr>
                                    <w:t xml:space="preserve"> 0</w:t>
                                  </w:r>
                                  <w:r>
                                    <w:rPr>
                                      <w:rFonts w:ascii="Arial" w:hAnsi="Arial" w:cs="Arial"/>
                                      <w:sz w:val="20"/>
                                    </w:rPr>
                                    <w:t>,3</w:t>
                                  </w:r>
                                  <w:r w:rsidRPr="0055776F">
                                    <w:rPr>
                                      <w:rFonts w:ascii="Arial" w:hAnsi="Arial" w:cs="Arial"/>
                                      <w:sz w:val="20"/>
                                    </w:rPr>
                                    <w:t>2</w:t>
                                  </w:r>
                                  <w:r>
                                    <w:rPr>
                                      <w:rFonts w:ascii="Arial" w:hAnsi="Arial" w:cs="Arial"/>
                                      <w:sz w:val="20"/>
                                    </w:rPr>
                                    <w:noBreakHyphen/>
                                  </w:r>
                                  <w:r w:rsidRPr="0055776F">
                                    <w:rPr>
                                      <w:rFonts w:ascii="Arial" w:hAnsi="Arial" w:cs="Arial"/>
                                      <w:sz w:val="20"/>
                                    </w:rPr>
                                    <w:t>0</w:t>
                                  </w:r>
                                  <w:r>
                                    <w:rPr>
                                      <w:rFonts w:ascii="Arial" w:hAnsi="Arial" w:cs="Arial"/>
                                      <w:sz w:val="20"/>
                                    </w:rPr>
                                    <w:t>,65</w:t>
                                  </w:r>
                                  <w:r w:rsidRPr="0055776F">
                                    <w:rPr>
                                      <w:rFonts w:ascii="Arial" w:hAnsi="Arial" w:cs="Arial"/>
                                      <w:sz w:val="20"/>
                                    </w:rPr>
                                    <w:t>)</w:t>
                                  </w:r>
                                </w:p>
                              </w:tc>
                            </w:tr>
                            <w:tr w:rsidR="00547367" w:rsidRPr="0055776F" w14:paraId="47359892" w14:textId="77777777" w:rsidTr="0077258C">
                              <w:tc>
                                <w:tcPr>
                                  <w:tcW w:w="817" w:type="dxa"/>
                                  <w:shd w:val="clear" w:color="auto" w:fill="auto"/>
                                </w:tcPr>
                                <w:p w14:paraId="652358AB" w14:textId="77777777" w:rsidR="00547367" w:rsidRPr="0055776F" w:rsidRDefault="00547367" w:rsidP="0077258C">
                                  <w:pPr>
                                    <w:rPr>
                                      <w:rFonts w:ascii="Arial" w:hAnsi="Arial" w:cs="Arial"/>
                                      <w:sz w:val="20"/>
                                    </w:rPr>
                                  </w:pPr>
                                </w:p>
                              </w:tc>
                              <w:tc>
                                <w:tcPr>
                                  <w:tcW w:w="2464" w:type="dxa"/>
                                  <w:shd w:val="clear" w:color="auto" w:fill="auto"/>
                                </w:tcPr>
                                <w:p w14:paraId="180D843F" w14:textId="77777777" w:rsidR="00547367" w:rsidRPr="0055776F" w:rsidRDefault="00547367" w:rsidP="0077258C">
                                  <w:pPr>
                                    <w:rPr>
                                      <w:rFonts w:ascii="Arial" w:hAnsi="Arial" w:cs="Arial"/>
                                      <w:sz w:val="20"/>
                                    </w:rPr>
                                  </w:pPr>
                                </w:p>
                              </w:tc>
                              <w:tc>
                                <w:tcPr>
                                  <w:tcW w:w="851" w:type="dxa"/>
                                  <w:tcBorders>
                                    <w:bottom w:val="single" w:sz="4" w:space="0" w:color="auto"/>
                                  </w:tcBorders>
                                  <w:shd w:val="clear" w:color="auto" w:fill="auto"/>
                                </w:tcPr>
                                <w:p w14:paraId="59971C7B" w14:textId="77777777" w:rsidR="00547367" w:rsidRPr="0055776F" w:rsidRDefault="00547367" w:rsidP="0077258C">
                                  <w:pPr>
                                    <w:rPr>
                                      <w:rFonts w:ascii="Arial" w:hAnsi="Arial" w:cs="Arial"/>
                                      <w:sz w:val="20"/>
                                    </w:rPr>
                                  </w:pPr>
                                  <w:r w:rsidRPr="0055776F">
                                    <w:rPr>
                                      <w:rFonts w:ascii="Arial" w:hAnsi="Arial" w:cs="Arial"/>
                                      <w:sz w:val="20"/>
                                      <w:lang w:val="de-DE"/>
                                    </w:rPr>
                                    <w:t>N</w:t>
                                  </w:r>
                                </w:p>
                              </w:tc>
                              <w:tc>
                                <w:tcPr>
                                  <w:tcW w:w="709" w:type="dxa"/>
                                  <w:tcBorders>
                                    <w:bottom w:val="single" w:sz="4" w:space="0" w:color="auto"/>
                                  </w:tcBorders>
                                  <w:shd w:val="clear" w:color="auto" w:fill="auto"/>
                                </w:tcPr>
                                <w:p w14:paraId="152C9259" w14:textId="77777777" w:rsidR="00547367" w:rsidRPr="0055776F" w:rsidRDefault="00547367" w:rsidP="0077258C">
                                  <w:pPr>
                                    <w:rPr>
                                      <w:rFonts w:ascii="Arial" w:hAnsi="Arial" w:cs="Arial"/>
                                      <w:sz w:val="20"/>
                                    </w:rPr>
                                  </w:pPr>
                                  <w:r>
                                    <w:rPr>
                                      <w:rFonts w:ascii="Arial" w:hAnsi="Arial" w:cs="Arial"/>
                                      <w:sz w:val="20"/>
                                      <w:lang w:val="de-DE"/>
                                    </w:rPr>
                                    <w:t>Događaj</w:t>
                                  </w:r>
                                </w:p>
                              </w:tc>
                              <w:tc>
                                <w:tcPr>
                                  <w:tcW w:w="850" w:type="dxa"/>
                                  <w:tcBorders>
                                    <w:bottom w:val="single" w:sz="4" w:space="0" w:color="auto"/>
                                  </w:tcBorders>
                                  <w:shd w:val="clear" w:color="auto" w:fill="auto"/>
                                </w:tcPr>
                                <w:p w14:paraId="69F716E1" w14:textId="77777777" w:rsidR="00547367" w:rsidRPr="0055776F" w:rsidRDefault="00547367" w:rsidP="0077258C">
                                  <w:pPr>
                                    <w:rPr>
                                      <w:rFonts w:ascii="Arial" w:hAnsi="Arial" w:cs="Arial"/>
                                      <w:sz w:val="20"/>
                                    </w:rPr>
                                  </w:pPr>
                                  <w:r w:rsidRPr="0055776F">
                                    <w:rPr>
                                      <w:rFonts w:ascii="Arial" w:hAnsi="Arial" w:cs="Arial"/>
                                      <w:sz w:val="20"/>
                                      <w:lang w:val="de-DE"/>
                                    </w:rPr>
                                    <w:t>Cen</w:t>
                                  </w:r>
                                  <w:r>
                                    <w:rPr>
                                      <w:rFonts w:ascii="Arial" w:hAnsi="Arial" w:cs="Arial"/>
                                      <w:sz w:val="20"/>
                                      <w:lang w:val="de-DE"/>
                                    </w:rPr>
                                    <w:t>zur.</w:t>
                                  </w:r>
                                </w:p>
                              </w:tc>
                            </w:tr>
                            <w:tr w:rsidR="00547367" w:rsidRPr="0055776F" w14:paraId="4FE71A54" w14:textId="77777777" w:rsidTr="0077258C">
                              <w:tc>
                                <w:tcPr>
                                  <w:tcW w:w="817" w:type="dxa"/>
                                  <w:shd w:val="clear" w:color="auto" w:fill="auto"/>
                                </w:tcPr>
                                <w:p w14:paraId="6E2AE2EA" w14:textId="77777777" w:rsidR="00547367" w:rsidRPr="0055776F" w:rsidRDefault="00547367" w:rsidP="0077258C">
                                  <w:pPr>
                                    <w:rPr>
                                      <w:rFonts w:ascii="Arial" w:hAnsi="Arial" w:cs="Arial"/>
                                      <w:sz w:val="20"/>
                                    </w:rPr>
                                  </w:pPr>
                                  <w:r w:rsidRPr="0055776F">
                                    <w:rPr>
                                      <w:rFonts w:ascii="Arial" w:hAnsi="Arial" w:cs="Arial"/>
                                      <w:b/>
                                      <w:sz w:val="20"/>
                                    </w:rPr>
                                    <w:t>——</w:t>
                                  </w:r>
                                </w:p>
                              </w:tc>
                              <w:tc>
                                <w:tcPr>
                                  <w:tcW w:w="2464" w:type="dxa"/>
                                  <w:shd w:val="clear" w:color="auto" w:fill="auto"/>
                                </w:tcPr>
                                <w:p w14:paraId="7E502EF4" w14:textId="77777777" w:rsidR="00547367" w:rsidRPr="0055776F" w:rsidRDefault="00547367" w:rsidP="00E56B37">
                                  <w:pPr>
                                    <w:rPr>
                                      <w:rFonts w:ascii="Arial" w:hAnsi="Arial" w:cs="Arial"/>
                                      <w:sz w:val="20"/>
                                    </w:rPr>
                                  </w:pPr>
                                  <w:r w:rsidRPr="0055776F">
                                    <w:rPr>
                                      <w:rFonts w:ascii="Arial" w:hAnsi="Arial" w:cs="Arial"/>
                                      <w:sz w:val="20"/>
                                    </w:rPr>
                                    <w:t xml:space="preserve">(1) </w:t>
                                  </w:r>
                                  <w:r>
                                    <w:rPr>
                                      <w:rFonts w:ascii="Arial" w:hAnsi="Arial" w:cs="Arial"/>
                                      <w:sz w:val="20"/>
                                    </w:rPr>
                                    <w:t>Imatinib 12 mj.</w:t>
                                  </w:r>
                                  <w:r w:rsidRPr="0055776F">
                                    <w:rPr>
                                      <w:rFonts w:ascii="Arial" w:hAnsi="Arial" w:cs="Arial"/>
                                      <w:sz w:val="20"/>
                                    </w:rPr>
                                    <w:t>:</w:t>
                                  </w:r>
                                </w:p>
                              </w:tc>
                              <w:tc>
                                <w:tcPr>
                                  <w:tcW w:w="851" w:type="dxa"/>
                                  <w:tcBorders>
                                    <w:top w:val="single" w:sz="4" w:space="0" w:color="auto"/>
                                  </w:tcBorders>
                                  <w:shd w:val="clear" w:color="auto" w:fill="auto"/>
                                </w:tcPr>
                                <w:p w14:paraId="652641E5" w14:textId="77777777" w:rsidR="00547367" w:rsidRPr="0055776F" w:rsidRDefault="00547367" w:rsidP="0077258C">
                                  <w:pPr>
                                    <w:rPr>
                                      <w:rFonts w:ascii="Arial" w:hAnsi="Arial" w:cs="Arial"/>
                                      <w:sz w:val="20"/>
                                    </w:rPr>
                                  </w:pPr>
                                  <w:r w:rsidRPr="0055776F">
                                    <w:rPr>
                                      <w:rFonts w:ascii="Arial" w:hAnsi="Arial" w:cs="Arial"/>
                                      <w:sz w:val="20"/>
                                    </w:rPr>
                                    <w:t>199</w:t>
                                  </w:r>
                                </w:p>
                              </w:tc>
                              <w:tc>
                                <w:tcPr>
                                  <w:tcW w:w="709" w:type="dxa"/>
                                  <w:tcBorders>
                                    <w:top w:val="single" w:sz="4" w:space="0" w:color="auto"/>
                                  </w:tcBorders>
                                  <w:shd w:val="clear" w:color="auto" w:fill="auto"/>
                                </w:tcPr>
                                <w:p w14:paraId="07BAE6C1" w14:textId="77777777" w:rsidR="00547367" w:rsidRPr="0055776F" w:rsidRDefault="00547367" w:rsidP="0077258C">
                                  <w:pPr>
                                    <w:rPr>
                                      <w:rFonts w:ascii="Arial" w:hAnsi="Arial" w:cs="Arial"/>
                                      <w:sz w:val="20"/>
                                    </w:rPr>
                                  </w:pPr>
                                  <w:r w:rsidRPr="0055776F">
                                    <w:rPr>
                                      <w:rFonts w:ascii="Arial" w:hAnsi="Arial" w:cs="Arial"/>
                                      <w:sz w:val="20"/>
                                    </w:rPr>
                                    <w:t>84</w:t>
                                  </w:r>
                                </w:p>
                              </w:tc>
                              <w:tc>
                                <w:tcPr>
                                  <w:tcW w:w="850" w:type="dxa"/>
                                  <w:tcBorders>
                                    <w:top w:val="single" w:sz="4" w:space="0" w:color="auto"/>
                                  </w:tcBorders>
                                  <w:shd w:val="clear" w:color="auto" w:fill="auto"/>
                                </w:tcPr>
                                <w:p w14:paraId="2833378E" w14:textId="77777777" w:rsidR="00547367" w:rsidRPr="0055776F" w:rsidRDefault="00547367" w:rsidP="0077258C">
                                  <w:pPr>
                                    <w:rPr>
                                      <w:rFonts w:ascii="Arial" w:hAnsi="Arial" w:cs="Arial"/>
                                      <w:sz w:val="20"/>
                                    </w:rPr>
                                  </w:pPr>
                                  <w:r w:rsidRPr="0055776F">
                                    <w:rPr>
                                      <w:rFonts w:ascii="Arial" w:hAnsi="Arial" w:cs="Arial"/>
                                      <w:sz w:val="20"/>
                                    </w:rPr>
                                    <w:t>115</w:t>
                                  </w:r>
                                </w:p>
                              </w:tc>
                            </w:tr>
                            <w:tr w:rsidR="00547367" w:rsidRPr="0055776F" w14:paraId="5C6C14A8" w14:textId="77777777" w:rsidTr="0077258C">
                              <w:tc>
                                <w:tcPr>
                                  <w:tcW w:w="817" w:type="dxa"/>
                                  <w:shd w:val="clear" w:color="auto" w:fill="auto"/>
                                </w:tcPr>
                                <w:p w14:paraId="6FE9D6E3" w14:textId="77777777" w:rsidR="00547367" w:rsidRPr="0055776F" w:rsidRDefault="00547367" w:rsidP="0077258C">
                                  <w:pPr>
                                    <w:rPr>
                                      <w:rFonts w:ascii="Arial" w:hAnsi="Arial" w:cs="Arial"/>
                                      <w:sz w:val="20"/>
                                    </w:rPr>
                                  </w:pPr>
                                  <w:r w:rsidRPr="0055776F">
                                    <w:rPr>
                                      <w:rFonts w:ascii="Arial" w:hAnsi="Arial" w:cs="Arial"/>
                                      <w:sz w:val="20"/>
                                    </w:rPr>
                                    <w:t>-----</w:t>
                                  </w:r>
                                </w:p>
                              </w:tc>
                              <w:tc>
                                <w:tcPr>
                                  <w:tcW w:w="2464" w:type="dxa"/>
                                  <w:shd w:val="clear" w:color="auto" w:fill="auto"/>
                                </w:tcPr>
                                <w:p w14:paraId="78E5C284" w14:textId="77777777" w:rsidR="00547367" w:rsidRPr="0055776F" w:rsidRDefault="00547367" w:rsidP="00E56B37">
                                  <w:pPr>
                                    <w:rPr>
                                      <w:rFonts w:ascii="Arial" w:hAnsi="Arial" w:cs="Arial"/>
                                      <w:sz w:val="20"/>
                                    </w:rPr>
                                  </w:pPr>
                                  <w:r w:rsidRPr="0055776F">
                                    <w:rPr>
                                      <w:rFonts w:ascii="Arial" w:hAnsi="Arial" w:cs="Arial"/>
                                      <w:sz w:val="20"/>
                                    </w:rPr>
                                    <w:t xml:space="preserve">(2) </w:t>
                                  </w:r>
                                  <w:r>
                                    <w:rPr>
                                      <w:rFonts w:ascii="Arial" w:hAnsi="Arial" w:cs="Arial"/>
                                      <w:sz w:val="20"/>
                                    </w:rPr>
                                    <w:t>Imatinib 36 mj.</w:t>
                                  </w:r>
                                  <w:r w:rsidRPr="0055776F">
                                    <w:rPr>
                                      <w:rFonts w:ascii="Arial" w:hAnsi="Arial" w:cs="Arial"/>
                                      <w:sz w:val="20"/>
                                    </w:rPr>
                                    <w:t>:</w:t>
                                  </w:r>
                                </w:p>
                              </w:tc>
                              <w:tc>
                                <w:tcPr>
                                  <w:tcW w:w="851" w:type="dxa"/>
                                  <w:tcBorders>
                                    <w:bottom w:val="single" w:sz="4" w:space="0" w:color="auto"/>
                                  </w:tcBorders>
                                  <w:shd w:val="clear" w:color="auto" w:fill="auto"/>
                                </w:tcPr>
                                <w:p w14:paraId="21642C21" w14:textId="77777777" w:rsidR="00547367" w:rsidRPr="0055776F" w:rsidRDefault="00547367" w:rsidP="0077258C">
                                  <w:pPr>
                                    <w:rPr>
                                      <w:rFonts w:ascii="Arial" w:hAnsi="Arial" w:cs="Arial"/>
                                      <w:sz w:val="20"/>
                                    </w:rPr>
                                  </w:pPr>
                                  <w:r w:rsidRPr="0055776F">
                                    <w:rPr>
                                      <w:rFonts w:ascii="Arial" w:hAnsi="Arial" w:cs="Arial"/>
                                      <w:sz w:val="20"/>
                                    </w:rPr>
                                    <w:t>198</w:t>
                                  </w:r>
                                </w:p>
                              </w:tc>
                              <w:tc>
                                <w:tcPr>
                                  <w:tcW w:w="709" w:type="dxa"/>
                                  <w:tcBorders>
                                    <w:bottom w:val="single" w:sz="4" w:space="0" w:color="auto"/>
                                  </w:tcBorders>
                                  <w:shd w:val="clear" w:color="auto" w:fill="auto"/>
                                </w:tcPr>
                                <w:p w14:paraId="1AFDB04D" w14:textId="77777777" w:rsidR="00547367" w:rsidRPr="0055776F" w:rsidRDefault="00547367" w:rsidP="0077258C">
                                  <w:pPr>
                                    <w:rPr>
                                      <w:rFonts w:ascii="Arial" w:hAnsi="Arial" w:cs="Arial"/>
                                      <w:sz w:val="20"/>
                                    </w:rPr>
                                  </w:pPr>
                                  <w:r w:rsidRPr="0055776F">
                                    <w:rPr>
                                      <w:rFonts w:ascii="Arial" w:hAnsi="Arial" w:cs="Arial"/>
                                      <w:sz w:val="20"/>
                                    </w:rPr>
                                    <w:t>50</w:t>
                                  </w:r>
                                </w:p>
                              </w:tc>
                              <w:tc>
                                <w:tcPr>
                                  <w:tcW w:w="850" w:type="dxa"/>
                                  <w:tcBorders>
                                    <w:bottom w:val="single" w:sz="4" w:space="0" w:color="auto"/>
                                  </w:tcBorders>
                                  <w:shd w:val="clear" w:color="auto" w:fill="auto"/>
                                </w:tcPr>
                                <w:p w14:paraId="11614A4D" w14:textId="77777777" w:rsidR="00547367" w:rsidRPr="0055776F" w:rsidRDefault="00547367" w:rsidP="0077258C">
                                  <w:pPr>
                                    <w:rPr>
                                      <w:rFonts w:ascii="Arial" w:hAnsi="Arial" w:cs="Arial"/>
                                      <w:sz w:val="20"/>
                                    </w:rPr>
                                  </w:pPr>
                                  <w:r w:rsidRPr="0055776F">
                                    <w:rPr>
                                      <w:rFonts w:ascii="Arial" w:hAnsi="Arial" w:cs="Arial"/>
                                      <w:sz w:val="20"/>
                                    </w:rPr>
                                    <w:t>148</w:t>
                                  </w:r>
                                </w:p>
                              </w:tc>
                            </w:tr>
                            <w:tr w:rsidR="00547367" w:rsidRPr="0055776F" w14:paraId="4B02743C" w14:textId="77777777" w:rsidTr="0077258C">
                              <w:tc>
                                <w:tcPr>
                                  <w:tcW w:w="817" w:type="dxa"/>
                                  <w:shd w:val="clear" w:color="auto" w:fill="auto"/>
                                </w:tcPr>
                                <w:p w14:paraId="39616313" w14:textId="77777777" w:rsidR="00547367" w:rsidRPr="0055776F" w:rsidRDefault="00547367" w:rsidP="0077258C">
                                  <w:pPr>
                                    <w:rPr>
                                      <w:rFonts w:ascii="Arial" w:hAnsi="Arial" w:cs="Arial"/>
                                      <w:sz w:val="20"/>
                                    </w:rPr>
                                  </w:pPr>
                                  <w:r w:rsidRPr="0055776F">
                                    <w:rPr>
                                      <w:rFonts w:ascii="Arial" w:hAnsi="Arial" w:cs="Arial"/>
                                      <w:sz w:val="20"/>
                                    </w:rPr>
                                    <w:t>│││</w:t>
                                  </w:r>
                                </w:p>
                              </w:tc>
                              <w:tc>
                                <w:tcPr>
                                  <w:tcW w:w="2464" w:type="dxa"/>
                                  <w:shd w:val="clear" w:color="auto" w:fill="auto"/>
                                </w:tcPr>
                                <w:p w14:paraId="682294E9" w14:textId="77777777" w:rsidR="00547367" w:rsidRPr="0055776F" w:rsidRDefault="00547367" w:rsidP="0077258C">
                                  <w:pPr>
                                    <w:rPr>
                                      <w:rFonts w:ascii="Arial" w:hAnsi="Arial" w:cs="Arial"/>
                                      <w:sz w:val="20"/>
                                    </w:rPr>
                                  </w:pPr>
                                  <w:r>
                                    <w:rPr>
                                      <w:rFonts w:ascii="Arial" w:hAnsi="Arial" w:cs="Arial"/>
                                      <w:sz w:val="20"/>
                                    </w:rPr>
                                    <w:t>Cenzurirana opažanja</w:t>
                                  </w:r>
                                </w:p>
                              </w:tc>
                              <w:tc>
                                <w:tcPr>
                                  <w:tcW w:w="851" w:type="dxa"/>
                                  <w:tcBorders>
                                    <w:top w:val="single" w:sz="4" w:space="0" w:color="auto"/>
                                  </w:tcBorders>
                                  <w:shd w:val="clear" w:color="auto" w:fill="auto"/>
                                </w:tcPr>
                                <w:p w14:paraId="11B793A7" w14:textId="77777777" w:rsidR="00547367" w:rsidRPr="0055776F" w:rsidRDefault="00547367" w:rsidP="0077258C">
                                  <w:pPr>
                                    <w:rPr>
                                      <w:rFonts w:ascii="Arial" w:hAnsi="Arial" w:cs="Arial"/>
                                      <w:sz w:val="20"/>
                                    </w:rPr>
                                  </w:pPr>
                                </w:p>
                              </w:tc>
                              <w:tc>
                                <w:tcPr>
                                  <w:tcW w:w="709" w:type="dxa"/>
                                  <w:tcBorders>
                                    <w:top w:val="single" w:sz="4" w:space="0" w:color="auto"/>
                                  </w:tcBorders>
                                  <w:shd w:val="clear" w:color="auto" w:fill="auto"/>
                                </w:tcPr>
                                <w:p w14:paraId="4AA81B73" w14:textId="77777777" w:rsidR="00547367" w:rsidRPr="0055776F" w:rsidRDefault="00547367" w:rsidP="0077258C">
                                  <w:pPr>
                                    <w:rPr>
                                      <w:rFonts w:ascii="Arial" w:hAnsi="Arial" w:cs="Arial"/>
                                      <w:sz w:val="20"/>
                                    </w:rPr>
                                  </w:pPr>
                                </w:p>
                              </w:tc>
                              <w:tc>
                                <w:tcPr>
                                  <w:tcW w:w="850" w:type="dxa"/>
                                  <w:tcBorders>
                                    <w:top w:val="single" w:sz="4" w:space="0" w:color="auto"/>
                                  </w:tcBorders>
                                  <w:shd w:val="clear" w:color="auto" w:fill="auto"/>
                                </w:tcPr>
                                <w:p w14:paraId="2E31E3F2" w14:textId="77777777" w:rsidR="00547367" w:rsidRPr="0055776F" w:rsidRDefault="00547367" w:rsidP="0077258C">
                                  <w:pPr>
                                    <w:rPr>
                                      <w:rFonts w:ascii="Arial" w:hAnsi="Arial" w:cs="Arial"/>
                                      <w:sz w:val="20"/>
                                    </w:rPr>
                                  </w:pPr>
                                </w:p>
                              </w:tc>
                            </w:tr>
                          </w:tbl>
                          <w:p w14:paraId="3831F9EA" w14:textId="77777777" w:rsidR="00547367" w:rsidRPr="00A33DBA" w:rsidRDefault="00547367" w:rsidP="00BE41B8">
                            <w:pPr>
                              <w:rPr>
                                <w:rFonts w:ascii="Arial" w:hAnsi="Arial" w:cs="Arial"/>
                                <w:sz w:val="20"/>
                              </w:rPr>
                            </w:pPr>
                          </w:p>
                          <w:p w14:paraId="704D50DC" w14:textId="77777777" w:rsidR="00547367" w:rsidRPr="00A33DBA" w:rsidRDefault="00547367" w:rsidP="00BE41B8">
                            <w:pPr>
                              <w:rPr>
                                <w:rFonts w:ascii="Arial" w:hAnsi="Arial" w:cs="Arial"/>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CE189C3" id="_x0000_s1033" type="#_x0000_t202" style="position:absolute;left:0;text-align:left;margin-left:27.6pt;margin-top:76.45pt;width:361.05pt;height:115.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" filled="f" stroked="f">
                <v:textbox>
                  <w:txbxContent>
                    <w:p w14:paraId="35C30E55" w14:textId="77777777" w:rsidR="00547367" w:rsidRDefault="00547367" w:rsidP="00BE41B8">
                      <w:pPr>
                        <w:rPr>
                          <w:rFonts w:ascii="Arial" w:hAnsi="Arial" w:cs="Arial"/>
                          <w:sz w:val="20"/>
                        </w:rPr>
                      </w:pPr>
                    </w:p>
                    <w:tbl>
                      <w:tblPr>
                        <w:tblW w:w="0" w:type="auto"/>
                        <w:tblLook w:val="04A0" w:firstRow="1" w:lastRow="0" w:firstColumn="1" w:lastColumn="0" w:noHBand="0" w:noVBand="1"/>
                      </w:tblPr>
                      <w:tblGrid>
                        <w:gridCol w:w="817"/>
                        <w:gridCol w:w="2464"/>
                        <w:gridCol w:w="851"/>
                        <w:gridCol w:w="962"/>
                        <w:gridCol w:w="917"/>
                      </w:tblGrid>
                      <w:tr w:rsidR="00547367" w:rsidRPr="0055776F" w14:paraId="042D9E6C" w14:textId="77777777" w:rsidTr="000A6648">
                        <w:trPr>
                          <w:gridAfter w:val="3"/>
                          <w:wAfter w:w="2410" w:type="dxa"/>
                        </w:trPr>
                        <w:tc>
                          <w:tcPr>
                            <w:tcW w:w="3281" w:type="dxa"/>
                            <w:gridSpan w:val="2"/>
                            <w:shd w:val="clear" w:color="auto" w:fill="auto"/>
                          </w:tcPr>
                          <w:p w14:paraId="1709A800" w14:textId="77777777" w:rsidR="00547367" w:rsidRPr="0055776F" w:rsidRDefault="00547367" w:rsidP="0077258C">
                            <w:pPr>
                              <w:rPr>
                                <w:rFonts w:ascii="Arial" w:hAnsi="Arial" w:cs="Arial"/>
                                <w:sz w:val="20"/>
                              </w:rPr>
                            </w:pPr>
                            <w:r>
                              <w:rPr>
                                <w:rFonts w:ascii="Arial" w:hAnsi="Arial" w:cs="Arial"/>
                                <w:sz w:val="20"/>
                              </w:rPr>
                              <w:t>P &lt; 0,0001</w:t>
                            </w:r>
                          </w:p>
                          <w:p w14:paraId="687EC8A9" w14:textId="77777777" w:rsidR="00547367" w:rsidRPr="0055776F" w:rsidRDefault="00547367" w:rsidP="0077258C">
                            <w:pPr>
                              <w:rPr>
                                <w:rFonts w:ascii="Arial" w:hAnsi="Arial" w:cs="Arial"/>
                                <w:sz w:val="20"/>
                              </w:rPr>
                            </w:pPr>
                            <w:r>
                              <w:rPr>
                                <w:rFonts w:ascii="Arial" w:hAnsi="Arial" w:cs="Arial"/>
                                <w:sz w:val="20"/>
                              </w:rPr>
                              <w:t>Omjer rizika</w:t>
                            </w:r>
                            <w:r w:rsidRPr="0055776F">
                              <w:rPr>
                                <w:rFonts w:ascii="Arial" w:hAnsi="Arial" w:cs="Arial"/>
                                <w:sz w:val="20"/>
                              </w:rPr>
                              <w:t xml:space="preserve"> 0</w:t>
                            </w:r>
                            <w:r>
                              <w:rPr>
                                <w:rFonts w:ascii="Arial" w:hAnsi="Arial" w:cs="Arial"/>
                                <w:sz w:val="20"/>
                              </w:rPr>
                              <w:t>,</w:t>
                            </w:r>
                            <w:r w:rsidRPr="0055776F">
                              <w:rPr>
                                <w:rFonts w:ascii="Arial" w:hAnsi="Arial" w:cs="Arial"/>
                                <w:sz w:val="20"/>
                              </w:rPr>
                              <w:t>4</w:t>
                            </w:r>
                            <w:r>
                              <w:rPr>
                                <w:rFonts w:ascii="Arial" w:hAnsi="Arial" w:cs="Arial"/>
                                <w:sz w:val="20"/>
                              </w:rPr>
                              <w:t>6</w:t>
                            </w:r>
                          </w:p>
                          <w:p w14:paraId="62E4F23B" w14:textId="77777777" w:rsidR="00547367" w:rsidRPr="0055776F" w:rsidRDefault="00547367" w:rsidP="00E56B37">
                            <w:pPr>
                              <w:rPr>
                                <w:rFonts w:ascii="Arial" w:hAnsi="Arial" w:cs="Arial"/>
                                <w:sz w:val="20"/>
                                <w:lang w:val="de-DE"/>
                              </w:rPr>
                            </w:pPr>
                            <w:r w:rsidRPr="0055776F">
                              <w:rPr>
                                <w:rFonts w:ascii="Arial" w:hAnsi="Arial" w:cs="Arial"/>
                                <w:sz w:val="20"/>
                              </w:rPr>
                              <w:t xml:space="preserve">(95% </w:t>
                            </w:r>
                            <w:r w:rsidRPr="00B014D4">
                              <w:rPr>
                                <w:rFonts w:ascii="Arial" w:hAnsi="Arial" w:cs="Arial"/>
                                <w:sz w:val="20"/>
                              </w:rPr>
                              <w:t>Cl,</w:t>
                            </w:r>
                            <w:r w:rsidRPr="0055776F">
                              <w:rPr>
                                <w:rFonts w:ascii="Arial" w:hAnsi="Arial" w:cs="Arial"/>
                                <w:sz w:val="20"/>
                              </w:rPr>
                              <w:t xml:space="preserve"> 0</w:t>
                            </w:r>
                            <w:r>
                              <w:rPr>
                                <w:rFonts w:ascii="Arial" w:hAnsi="Arial" w:cs="Arial"/>
                                <w:sz w:val="20"/>
                              </w:rPr>
                              <w:t>,3</w:t>
                            </w:r>
                            <w:r w:rsidRPr="0055776F">
                              <w:rPr>
                                <w:rFonts w:ascii="Arial" w:hAnsi="Arial" w:cs="Arial"/>
                                <w:sz w:val="20"/>
                              </w:rPr>
                              <w:t>2</w:t>
                            </w:r>
                            <w:r>
                              <w:rPr>
                                <w:rFonts w:ascii="Arial" w:hAnsi="Arial" w:cs="Arial"/>
                                <w:sz w:val="20"/>
                              </w:rPr>
                              <w:noBreakHyphen/>
                            </w:r>
                            <w:r w:rsidRPr="0055776F">
                              <w:rPr>
                                <w:rFonts w:ascii="Arial" w:hAnsi="Arial" w:cs="Arial"/>
                                <w:sz w:val="20"/>
                              </w:rPr>
                              <w:t>0</w:t>
                            </w:r>
                            <w:r>
                              <w:rPr>
                                <w:rFonts w:ascii="Arial" w:hAnsi="Arial" w:cs="Arial"/>
                                <w:sz w:val="20"/>
                              </w:rPr>
                              <w:t>,65</w:t>
                            </w:r>
                            <w:r w:rsidRPr="0055776F">
                              <w:rPr>
                                <w:rFonts w:ascii="Arial" w:hAnsi="Arial" w:cs="Arial"/>
                                <w:sz w:val="20"/>
                              </w:rPr>
                              <w:t>)</w:t>
                            </w:r>
                          </w:p>
                        </w:tc>
                      </w:tr>
                      <w:tr w:rsidR="00547367" w:rsidRPr="0055776F" w14:paraId="47359892" w14:textId="77777777" w:rsidTr="0077258C">
                        <w:tc>
                          <w:tcPr>
                            <w:tcW w:w="817" w:type="dxa"/>
                            <w:shd w:val="clear" w:color="auto" w:fill="auto"/>
                          </w:tcPr>
                          <w:p w14:paraId="652358AB" w14:textId="77777777" w:rsidR="00547367" w:rsidRPr="0055776F" w:rsidRDefault="00547367" w:rsidP="0077258C">
                            <w:pPr>
                              <w:rPr>
                                <w:rFonts w:ascii="Arial" w:hAnsi="Arial" w:cs="Arial"/>
                                <w:sz w:val="20"/>
                              </w:rPr>
                            </w:pPr>
                          </w:p>
                        </w:tc>
                        <w:tc>
                          <w:tcPr>
                            <w:tcW w:w="2464" w:type="dxa"/>
                            <w:shd w:val="clear" w:color="auto" w:fill="auto"/>
                          </w:tcPr>
                          <w:p w14:paraId="180D843F" w14:textId="77777777" w:rsidR="00547367" w:rsidRPr="0055776F" w:rsidRDefault="00547367" w:rsidP="0077258C">
                            <w:pPr>
                              <w:rPr>
                                <w:rFonts w:ascii="Arial" w:hAnsi="Arial" w:cs="Arial"/>
                                <w:sz w:val="20"/>
                              </w:rPr>
                            </w:pPr>
                          </w:p>
                        </w:tc>
                        <w:tc>
                          <w:tcPr>
                            <w:tcW w:w="851" w:type="dxa"/>
                            <w:tcBorders>
                              <w:bottom w:val="single" w:sz="4" w:space="0" w:color="auto"/>
                            </w:tcBorders>
                            <w:shd w:val="clear" w:color="auto" w:fill="auto"/>
                          </w:tcPr>
                          <w:p w14:paraId="59971C7B" w14:textId="77777777" w:rsidR="00547367" w:rsidRPr="0055776F" w:rsidRDefault="00547367" w:rsidP="0077258C">
                            <w:pPr>
                              <w:rPr>
                                <w:rFonts w:ascii="Arial" w:hAnsi="Arial" w:cs="Arial"/>
                                <w:sz w:val="20"/>
                              </w:rPr>
                            </w:pPr>
                            <w:r w:rsidRPr="0055776F">
                              <w:rPr>
                                <w:rFonts w:ascii="Arial" w:hAnsi="Arial" w:cs="Arial"/>
                                <w:sz w:val="20"/>
                                <w:lang w:val="de-DE"/>
                              </w:rPr>
                              <w:t>N</w:t>
                            </w:r>
                          </w:p>
                        </w:tc>
                        <w:tc>
                          <w:tcPr>
                            <w:tcW w:w="709" w:type="dxa"/>
                            <w:tcBorders>
                              <w:bottom w:val="single" w:sz="4" w:space="0" w:color="auto"/>
                            </w:tcBorders>
                            <w:shd w:val="clear" w:color="auto" w:fill="auto"/>
                          </w:tcPr>
                          <w:p w14:paraId="152C9259" w14:textId="77777777" w:rsidR="00547367" w:rsidRPr="0055776F" w:rsidRDefault="00547367" w:rsidP="0077258C">
                            <w:pPr>
                              <w:rPr>
                                <w:rFonts w:ascii="Arial" w:hAnsi="Arial" w:cs="Arial"/>
                                <w:sz w:val="20"/>
                              </w:rPr>
                            </w:pPr>
                            <w:r>
                              <w:rPr>
                                <w:rFonts w:ascii="Arial" w:hAnsi="Arial" w:cs="Arial"/>
                                <w:sz w:val="20"/>
                                <w:lang w:val="de-DE"/>
                              </w:rPr>
                              <w:t>Događaj</w:t>
                            </w:r>
                          </w:p>
                        </w:tc>
                        <w:tc>
                          <w:tcPr>
                            <w:tcW w:w="850" w:type="dxa"/>
                            <w:tcBorders>
                              <w:bottom w:val="single" w:sz="4" w:space="0" w:color="auto"/>
                            </w:tcBorders>
                            <w:shd w:val="clear" w:color="auto" w:fill="auto"/>
                          </w:tcPr>
                          <w:p w14:paraId="69F716E1" w14:textId="77777777" w:rsidR="00547367" w:rsidRPr="0055776F" w:rsidRDefault="00547367" w:rsidP="0077258C">
                            <w:pPr>
                              <w:rPr>
                                <w:rFonts w:ascii="Arial" w:hAnsi="Arial" w:cs="Arial"/>
                                <w:sz w:val="20"/>
                              </w:rPr>
                            </w:pPr>
                            <w:r w:rsidRPr="0055776F">
                              <w:rPr>
                                <w:rFonts w:ascii="Arial" w:hAnsi="Arial" w:cs="Arial"/>
                                <w:sz w:val="20"/>
                                <w:lang w:val="de-DE"/>
                              </w:rPr>
                              <w:t>Cen</w:t>
                            </w:r>
                            <w:r>
                              <w:rPr>
                                <w:rFonts w:ascii="Arial" w:hAnsi="Arial" w:cs="Arial"/>
                                <w:sz w:val="20"/>
                                <w:lang w:val="de-DE"/>
                              </w:rPr>
                              <w:t>zur.</w:t>
                            </w:r>
                          </w:p>
                        </w:tc>
                      </w:tr>
                      <w:tr w:rsidR="00547367" w:rsidRPr="0055776F" w14:paraId="4FE71A54" w14:textId="77777777" w:rsidTr="0077258C">
                        <w:tc>
                          <w:tcPr>
                            <w:tcW w:w="817" w:type="dxa"/>
                            <w:shd w:val="clear" w:color="auto" w:fill="auto"/>
                          </w:tcPr>
                          <w:p w14:paraId="6E2AE2EA" w14:textId="77777777" w:rsidR="00547367" w:rsidRPr="0055776F" w:rsidRDefault="00547367" w:rsidP="0077258C">
                            <w:pPr>
                              <w:rPr>
                                <w:rFonts w:ascii="Arial" w:hAnsi="Arial" w:cs="Arial"/>
                                <w:sz w:val="20"/>
                              </w:rPr>
                            </w:pPr>
                            <w:r w:rsidRPr="0055776F">
                              <w:rPr>
                                <w:rFonts w:ascii="Arial" w:hAnsi="Arial" w:cs="Arial"/>
                                <w:b/>
                                <w:sz w:val="20"/>
                              </w:rPr>
                              <w:t>——</w:t>
                            </w:r>
                          </w:p>
                        </w:tc>
                        <w:tc>
                          <w:tcPr>
                            <w:tcW w:w="2464" w:type="dxa"/>
                            <w:shd w:val="clear" w:color="auto" w:fill="auto"/>
                          </w:tcPr>
                          <w:p w14:paraId="7E502EF4" w14:textId="77777777" w:rsidR="00547367" w:rsidRPr="0055776F" w:rsidRDefault="00547367" w:rsidP="00E56B37">
                            <w:pPr>
                              <w:rPr>
                                <w:rFonts w:ascii="Arial" w:hAnsi="Arial" w:cs="Arial"/>
                                <w:sz w:val="20"/>
                              </w:rPr>
                            </w:pPr>
                            <w:r w:rsidRPr="0055776F">
                              <w:rPr>
                                <w:rFonts w:ascii="Arial" w:hAnsi="Arial" w:cs="Arial"/>
                                <w:sz w:val="20"/>
                              </w:rPr>
                              <w:t xml:space="preserve">(1) </w:t>
                            </w:r>
                            <w:r>
                              <w:rPr>
                                <w:rFonts w:ascii="Arial" w:hAnsi="Arial" w:cs="Arial"/>
                                <w:sz w:val="20"/>
                              </w:rPr>
                              <w:t>Imatinib 12 mj.</w:t>
                            </w:r>
                            <w:r w:rsidRPr="0055776F">
                              <w:rPr>
                                <w:rFonts w:ascii="Arial" w:hAnsi="Arial" w:cs="Arial"/>
                                <w:sz w:val="20"/>
                              </w:rPr>
                              <w:t>:</w:t>
                            </w:r>
                          </w:p>
                        </w:tc>
                        <w:tc>
                          <w:tcPr>
                            <w:tcW w:w="851" w:type="dxa"/>
                            <w:tcBorders>
                              <w:top w:val="single" w:sz="4" w:space="0" w:color="auto"/>
                            </w:tcBorders>
                            <w:shd w:val="clear" w:color="auto" w:fill="auto"/>
                          </w:tcPr>
                          <w:p w14:paraId="652641E5" w14:textId="77777777" w:rsidR="00547367" w:rsidRPr="0055776F" w:rsidRDefault="00547367" w:rsidP="0077258C">
                            <w:pPr>
                              <w:rPr>
                                <w:rFonts w:ascii="Arial" w:hAnsi="Arial" w:cs="Arial"/>
                                <w:sz w:val="20"/>
                              </w:rPr>
                            </w:pPr>
                            <w:r w:rsidRPr="0055776F">
                              <w:rPr>
                                <w:rFonts w:ascii="Arial" w:hAnsi="Arial" w:cs="Arial"/>
                                <w:sz w:val="20"/>
                              </w:rPr>
                              <w:t>199</w:t>
                            </w:r>
                          </w:p>
                        </w:tc>
                        <w:tc>
                          <w:tcPr>
                            <w:tcW w:w="709" w:type="dxa"/>
                            <w:tcBorders>
                              <w:top w:val="single" w:sz="4" w:space="0" w:color="auto"/>
                            </w:tcBorders>
                            <w:shd w:val="clear" w:color="auto" w:fill="auto"/>
                          </w:tcPr>
                          <w:p w14:paraId="07BAE6C1" w14:textId="77777777" w:rsidR="00547367" w:rsidRPr="0055776F" w:rsidRDefault="00547367" w:rsidP="0077258C">
                            <w:pPr>
                              <w:rPr>
                                <w:rFonts w:ascii="Arial" w:hAnsi="Arial" w:cs="Arial"/>
                                <w:sz w:val="20"/>
                              </w:rPr>
                            </w:pPr>
                            <w:r w:rsidRPr="0055776F">
                              <w:rPr>
                                <w:rFonts w:ascii="Arial" w:hAnsi="Arial" w:cs="Arial"/>
                                <w:sz w:val="20"/>
                              </w:rPr>
                              <w:t>84</w:t>
                            </w:r>
                          </w:p>
                        </w:tc>
                        <w:tc>
                          <w:tcPr>
                            <w:tcW w:w="850" w:type="dxa"/>
                            <w:tcBorders>
                              <w:top w:val="single" w:sz="4" w:space="0" w:color="auto"/>
                            </w:tcBorders>
                            <w:shd w:val="clear" w:color="auto" w:fill="auto"/>
                          </w:tcPr>
                          <w:p w14:paraId="2833378E" w14:textId="77777777" w:rsidR="00547367" w:rsidRPr="0055776F" w:rsidRDefault="00547367" w:rsidP="0077258C">
                            <w:pPr>
                              <w:rPr>
                                <w:rFonts w:ascii="Arial" w:hAnsi="Arial" w:cs="Arial"/>
                                <w:sz w:val="20"/>
                              </w:rPr>
                            </w:pPr>
                            <w:r w:rsidRPr="0055776F">
                              <w:rPr>
                                <w:rFonts w:ascii="Arial" w:hAnsi="Arial" w:cs="Arial"/>
                                <w:sz w:val="20"/>
                              </w:rPr>
                              <w:t>115</w:t>
                            </w:r>
                          </w:p>
                        </w:tc>
                      </w:tr>
                      <w:tr w:rsidR="00547367" w:rsidRPr="0055776F" w14:paraId="5C6C14A8" w14:textId="77777777" w:rsidTr="0077258C">
                        <w:tc>
                          <w:tcPr>
                            <w:tcW w:w="817" w:type="dxa"/>
                            <w:shd w:val="clear" w:color="auto" w:fill="auto"/>
                          </w:tcPr>
                          <w:p w14:paraId="6FE9D6E3" w14:textId="77777777" w:rsidR="00547367" w:rsidRPr="0055776F" w:rsidRDefault="00547367" w:rsidP="0077258C">
                            <w:pPr>
                              <w:rPr>
                                <w:rFonts w:ascii="Arial" w:hAnsi="Arial" w:cs="Arial"/>
                                <w:sz w:val="20"/>
                              </w:rPr>
                            </w:pPr>
                            <w:r w:rsidRPr="0055776F">
                              <w:rPr>
                                <w:rFonts w:ascii="Arial" w:hAnsi="Arial" w:cs="Arial"/>
                                <w:sz w:val="20"/>
                              </w:rPr>
                              <w:t>-----</w:t>
                            </w:r>
                          </w:p>
                        </w:tc>
                        <w:tc>
                          <w:tcPr>
                            <w:tcW w:w="2464" w:type="dxa"/>
                            <w:shd w:val="clear" w:color="auto" w:fill="auto"/>
                          </w:tcPr>
                          <w:p w14:paraId="78E5C284" w14:textId="77777777" w:rsidR="00547367" w:rsidRPr="0055776F" w:rsidRDefault="00547367" w:rsidP="00E56B37">
                            <w:pPr>
                              <w:rPr>
                                <w:rFonts w:ascii="Arial" w:hAnsi="Arial" w:cs="Arial"/>
                                <w:sz w:val="20"/>
                              </w:rPr>
                            </w:pPr>
                            <w:r w:rsidRPr="0055776F">
                              <w:rPr>
                                <w:rFonts w:ascii="Arial" w:hAnsi="Arial" w:cs="Arial"/>
                                <w:sz w:val="20"/>
                              </w:rPr>
                              <w:t xml:space="preserve">(2) </w:t>
                            </w:r>
                            <w:r>
                              <w:rPr>
                                <w:rFonts w:ascii="Arial" w:hAnsi="Arial" w:cs="Arial"/>
                                <w:sz w:val="20"/>
                              </w:rPr>
                              <w:t>Imatinib 36 mj.</w:t>
                            </w:r>
                            <w:r w:rsidRPr="0055776F">
                              <w:rPr>
                                <w:rFonts w:ascii="Arial" w:hAnsi="Arial" w:cs="Arial"/>
                                <w:sz w:val="20"/>
                              </w:rPr>
                              <w:t>:</w:t>
                            </w:r>
                          </w:p>
                        </w:tc>
                        <w:tc>
                          <w:tcPr>
                            <w:tcW w:w="851" w:type="dxa"/>
                            <w:tcBorders>
                              <w:bottom w:val="single" w:sz="4" w:space="0" w:color="auto"/>
                            </w:tcBorders>
                            <w:shd w:val="clear" w:color="auto" w:fill="auto"/>
                          </w:tcPr>
                          <w:p w14:paraId="21642C21" w14:textId="77777777" w:rsidR="00547367" w:rsidRPr="0055776F" w:rsidRDefault="00547367" w:rsidP="0077258C">
                            <w:pPr>
                              <w:rPr>
                                <w:rFonts w:ascii="Arial" w:hAnsi="Arial" w:cs="Arial"/>
                                <w:sz w:val="20"/>
                              </w:rPr>
                            </w:pPr>
                            <w:r w:rsidRPr="0055776F">
                              <w:rPr>
                                <w:rFonts w:ascii="Arial" w:hAnsi="Arial" w:cs="Arial"/>
                                <w:sz w:val="20"/>
                              </w:rPr>
                              <w:t>198</w:t>
                            </w:r>
                          </w:p>
                        </w:tc>
                        <w:tc>
                          <w:tcPr>
                            <w:tcW w:w="709" w:type="dxa"/>
                            <w:tcBorders>
                              <w:bottom w:val="single" w:sz="4" w:space="0" w:color="auto"/>
                            </w:tcBorders>
                            <w:shd w:val="clear" w:color="auto" w:fill="auto"/>
                          </w:tcPr>
                          <w:p w14:paraId="1AFDB04D" w14:textId="77777777" w:rsidR="00547367" w:rsidRPr="0055776F" w:rsidRDefault="00547367" w:rsidP="0077258C">
                            <w:pPr>
                              <w:rPr>
                                <w:rFonts w:ascii="Arial" w:hAnsi="Arial" w:cs="Arial"/>
                                <w:sz w:val="20"/>
                              </w:rPr>
                            </w:pPr>
                            <w:r w:rsidRPr="0055776F">
                              <w:rPr>
                                <w:rFonts w:ascii="Arial" w:hAnsi="Arial" w:cs="Arial"/>
                                <w:sz w:val="20"/>
                              </w:rPr>
                              <w:t>50</w:t>
                            </w:r>
                          </w:p>
                        </w:tc>
                        <w:tc>
                          <w:tcPr>
                            <w:tcW w:w="850" w:type="dxa"/>
                            <w:tcBorders>
                              <w:bottom w:val="single" w:sz="4" w:space="0" w:color="auto"/>
                            </w:tcBorders>
                            <w:shd w:val="clear" w:color="auto" w:fill="auto"/>
                          </w:tcPr>
                          <w:p w14:paraId="11614A4D" w14:textId="77777777" w:rsidR="00547367" w:rsidRPr="0055776F" w:rsidRDefault="00547367" w:rsidP="0077258C">
                            <w:pPr>
                              <w:rPr>
                                <w:rFonts w:ascii="Arial" w:hAnsi="Arial" w:cs="Arial"/>
                                <w:sz w:val="20"/>
                              </w:rPr>
                            </w:pPr>
                            <w:r w:rsidRPr="0055776F">
                              <w:rPr>
                                <w:rFonts w:ascii="Arial" w:hAnsi="Arial" w:cs="Arial"/>
                                <w:sz w:val="20"/>
                              </w:rPr>
                              <w:t>148</w:t>
                            </w:r>
                          </w:p>
                        </w:tc>
                      </w:tr>
                      <w:tr w:rsidR="00547367" w:rsidRPr="0055776F" w14:paraId="4B02743C" w14:textId="77777777" w:rsidTr="0077258C">
                        <w:tc>
                          <w:tcPr>
                            <w:tcW w:w="817" w:type="dxa"/>
                            <w:shd w:val="clear" w:color="auto" w:fill="auto"/>
                          </w:tcPr>
                          <w:p w14:paraId="39616313" w14:textId="77777777" w:rsidR="00547367" w:rsidRPr="0055776F" w:rsidRDefault="00547367" w:rsidP="0077258C">
                            <w:pPr>
                              <w:rPr>
                                <w:rFonts w:ascii="Arial" w:hAnsi="Arial" w:cs="Arial"/>
                                <w:sz w:val="20"/>
                              </w:rPr>
                            </w:pPr>
                            <w:r w:rsidRPr="0055776F">
                              <w:rPr>
                                <w:rFonts w:ascii="Arial" w:hAnsi="Arial" w:cs="Arial"/>
                                <w:sz w:val="20"/>
                              </w:rPr>
                              <w:t>│││</w:t>
                            </w:r>
                          </w:p>
                        </w:tc>
                        <w:tc>
                          <w:tcPr>
                            <w:tcW w:w="2464" w:type="dxa"/>
                            <w:shd w:val="clear" w:color="auto" w:fill="auto"/>
                          </w:tcPr>
                          <w:p w14:paraId="682294E9" w14:textId="77777777" w:rsidR="00547367" w:rsidRPr="0055776F" w:rsidRDefault="00547367" w:rsidP="0077258C">
                            <w:pPr>
                              <w:rPr>
                                <w:rFonts w:ascii="Arial" w:hAnsi="Arial" w:cs="Arial"/>
                                <w:sz w:val="20"/>
                              </w:rPr>
                            </w:pPr>
                            <w:r>
                              <w:rPr>
                                <w:rFonts w:ascii="Arial" w:hAnsi="Arial" w:cs="Arial"/>
                                <w:sz w:val="20"/>
                              </w:rPr>
                              <w:t>Cenzurirana opažanja</w:t>
                            </w:r>
                          </w:p>
                        </w:tc>
                        <w:tc>
                          <w:tcPr>
                            <w:tcW w:w="851" w:type="dxa"/>
                            <w:tcBorders>
                              <w:top w:val="single" w:sz="4" w:space="0" w:color="auto"/>
                            </w:tcBorders>
                            <w:shd w:val="clear" w:color="auto" w:fill="auto"/>
                          </w:tcPr>
                          <w:p w14:paraId="11B793A7" w14:textId="77777777" w:rsidR="00547367" w:rsidRPr="0055776F" w:rsidRDefault="00547367" w:rsidP="0077258C">
                            <w:pPr>
                              <w:rPr>
                                <w:rFonts w:ascii="Arial" w:hAnsi="Arial" w:cs="Arial"/>
                                <w:sz w:val="20"/>
                              </w:rPr>
                            </w:pPr>
                          </w:p>
                        </w:tc>
                        <w:tc>
                          <w:tcPr>
                            <w:tcW w:w="709" w:type="dxa"/>
                            <w:tcBorders>
                              <w:top w:val="single" w:sz="4" w:space="0" w:color="auto"/>
                            </w:tcBorders>
                            <w:shd w:val="clear" w:color="auto" w:fill="auto"/>
                          </w:tcPr>
                          <w:p w14:paraId="4AA81B73" w14:textId="77777777" w:rsidR="00547367" w:rsidRPr="0055776F" w:rsidRDefault="00547367" w:rsidP="0077258C">
                            <w:pPr>
                              <w:rPr>
                                <w:rFonts w:ascii="Arial" w:hAnsi="Arial" w:cs="Arial"/>
                                <w:sz w:val="20"/>
                              </w:rPr>
                            </w:pPr>
                          </w:p>
                        </w:tc>
                        <w:tc>
                          <w:tcPr>
                            <w:tcW w:w="850" w:type="dxa"/>
                            <w:tcBorders>
                              <w:top w:val="single" w:sz="4" w:space="0" w:color="auto"/>
                            </w:tcBorders>
                            <w:shd w:val="clear" w:color="auto" w:fill="auto"/>
                          </w:tcPr>
                          <w:p w14:paraId="2E31E3F2" w14:textId="77777777" w:rsidR="00547367" w:rsidRPr="0055776F" w:rsidRDefault="00547367" w:rsidP="0077258C">
                            <w:pPr>
                              <w:rPr>
                                <w:rFonts w:ascii="Arial" w:hAnsi="Arial" w:cs="Arial"/>
                                <w:sz w:val="20"/>
                              </w:rPr>
                            </w:pPr>
                          </w:p>
                        </w:tc>
                      </w:tr>
                    </w:tbl>
                    <w:p w14:paraId="3831F9EA" w14:textId="77777777" w:rsidR="00547367" w:rsidRPr="00A33DBA" w:rsidRDefault="00547367" w:rsidP="00BE41B8">
                      <w:pPr>
                        <w:rPr>
                          <w:rFonts w:ascii="Arial" w:hAnsi="Arial" w:cs="Arial"/>
                          <w:sz w:val="20"/>
                        </w:rPr>
                      </w:pPr>
                    </w:p>
                    <w:p w14:paraId="704D50DC" w14:textId="77777777" w:rsidR="00547367" w:rsidRPr="00A33DBA" w:rsidRDefault="00547367" w:rsidP="00BE41B8">
                      <w:pPr>
                        <w:rPr>
                          <w:rFonts w:ascii="Arial" w:hAnsi="Arial" w:cs="Arial"/>
                          <w:sz w:val="20"/>
                        </w:rPr>
                      </w:pPr>
                    </w:p>
                  </w:txbxContent>
                </v:textbox>
              </v:shape>
            </w:pict>
          </mc:Fallback>
        </mc:AlternateContent>
      </w:r>
      <w:r w:rsidRPr="00510442">
        <w:rPr>
          <w:noProof/>
          <w:szCs w:val="22"/>
          <w:lang w:eastAsia="en-GB"/>
        </w:rPr>
        <w:drawing>
          <wp:inline distT="0" distB="0" distL="0" distR="0" wp14:anchorId="60DEA2A7" wp14:editId="5812D5C8">
            <wp:extent cx="5939790" cy="267970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9790" cy="2679700"/>
                    </a:xfrm>
                    <a:prstGeom prst="rect">
                      <a:avLst/>
                    </a:prstGeom>
                    <a:noFill/>
                    <a:ln>
                      <a:noFill/>
                    </a:ln>
                  </pic:spPr>
                </pic:pic>
              </a:graphicData>
            </a:graphic>
          </wp:inline>
        </w:drawing>
      </w:r>
    </w:p>
    <w:p w14:paraId="3432A654" w14:textId="77777777" w:rsidR="00BE41B8" w:rsidRPr="00307897" w:rsidRDefault="00C712C6" w:rsidP="00BE41B8">
      <w:pPr>
        <w:widowControl w:val="0"/>
        <w:tabs>
          <w:tab w:val="clear" w:pos="567"/>
          <w:tab w:val="left" w:pos="1134"/>
        </w:tabs>
        <w:spacing w:line="240" w:lineRule="auto"/>
        <w:ind w:left="1134" w:hanging="1134"/>
        <w:outlineLvl w:val="6"/>
        <w:rPr>
          <w:rFonts w:eastAsia="MS Mincho"/>
          <w:szCs w:val="22"/>
          <w:lang w:val="hr-HR"/>
        </w:rPr>
      </w:pPr>
      <w:r w:rsidRPr="00510442">
        <w:rPr>
          <w:rFonts w:eastAsia="MS Mincho"/>
          <w:noProof/>
          <w:szCs w:val="22"/>
          <w:lang w:eastAsia="en-GB"/>
        </w:rPr>
        <mc:AlternateContent>
          <mc:Choice Requires="wps">
            <w:drawing>
              <wp:anchor distT="0" distB="0" distL="114300" distR="114300" simplePos="0" relativeHeight="251660288" behindDoc="0" locked="0" layoutInCell="1" allowOverlap="1" wp14:anchorId="65A02FD2" wp14:editId="4D578725">
                <wp:simplePos x="0" y="0"/>
                <wp:positionH relativeFrom="column">
                  <wp:posOffset>2057400</wp:posOffset>
                </wp:positionH>
                <wp:positionV relativeFrom="paragraph">
                  <wp:posOffset>10795</wp:posOffset>
                </wp:positionV>
                <wp:extent cx="2289810" cy="295275"/>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9810" cy="2952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3C4945" w14:textId="77777777" w:rsidR="00547367" w:rsidRPr="00490021" w:rsidRDefault="00547367" w:rsidP="00BE41B8">
                            <w:pPr>
                              <w:rPr>
                                <w:rFonts w:ascii="Arial" w:hAnsi="Arial" w:cs="Arial"/>
                                <w:sz w:val="20"/>
                                <w:lang w:val="hr-HR"/>
                              </w:rPr>
                            </w:pPr>
                            <w:r>
                              <w:rPr>
                                <w:rFonts w:ascii="Arial" w:hAnsi="Arial" w:cs="Arial"/>
                                <w:sz w:val="20"/>
                                <w:lang w:val="hr-HR"/>
                              </w:rPr>
                              <w:t>Vrijeme preživljenja u mjesecima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5A02FD2" id="_x0000_s1034" type="#_x0000_t202" style="position:absolute;left:0;text-align:left;margin-left:162pt;margin-top:.85pt;width:180.3pt;height:2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" stroked="f">
                <v:fill opacity="0"/>
                <v:textbox>
                  <w:txbxContent>
                    <w:p w14:paraId="3B3C4945" w14:textId="77777777" w:rsidR="00547367" w:rsidRPr="00490021" w:rsidRDefault="00547367" w:rsidP="00BE41B8">
                      <w:pPr>
                        <w:rPr>
                          <w:rFonts w:ascii="Arial" w:hAnsi="Arial" w:cs="Arial"/>
                          <w:sz w:val="20"/>
                          <w:lang w:val="hr-HR"/>
                        </w:rPr>
                      </w:pPr>
                      <w:r>
                        <w:rPr>
                          <w:rFonts w:ascii="Arial" w:hAnsi="Arial" w:cs="Arial"/>
                          <w:sz w:val="20"/>
                          <w:lang w:val="hr-HR"/>
                        </w:rPr>
                        <w:t>Vrijeme preživljenja u mjesecima</w:t>
                      </w:r>
                    </w:p>
                  </w:txbxContent>
                </v:textbox>
              </v:shape>
            </w:pict>
          </mc:Fallback>
        </mc:AlternateContent>
      </w:r>
    </w:p>
    <w:p w14:paraId="1623A94D" w14:textId="77777777" w:rsidR="00BE41B8" w:rsidRPr="00510442" w:rsidRDefault="00BE41B8" w:rsidP="00BE41B8">
      <w:pPr>
        <w:spacing w:line="240" w:lineRule="auto"/>
        <w:rPr>
          <w:szCs w:val="22"/>
          <w:lang w:val="hr-HR"/>
        </w:rPr>
      </w:pPr>
    </w:p>
    <w:tbl>
      <w:tblPr>
        <w:tblW w:w="10599" w:type="dxa"/>
        <w:tblInd w:w="-318" w:type="dxa"/>
        <w:tblLook w:val="04A0" w:firstRow="1" w:lastRow="0" w:firstColumn="1" w:lastColumn="0" w:noHBand="0" w:noVBand="1"/>
      </w:tblPr>
      <w:tblGrid>
        <w:gridCol w:w="450"/>
        <w:gridCol w:w="646"/>
        <w:gridCol w:w="645"/>
        <w:gridCol w:w="745"/>
        <w:gridCol w:w="745"/>
        <w:gridCol w:w="745"/>
        <w:gridCol w:w="752"/>
        <w:gridCol w:w="745"/>
        <w:gridCol w:w="745"/>
        <w:gridCol w:w="652"/>
        <w:gridCol w:w="652"/>
        <w:gridCol w:w="649"/>
        <w:gridCol w:w="660"/>
        <w:gridCol w:w="649"/>
        <w:gridCol w:w="564"/>
        <w:gridCol w:w="555"/>
      </w:tblGrid>
      <w:tr w:rsidR="00BE41B8" w:rsidRPr="00F410C8" w14:paraId="5D08F60C" w14:textId="77777777" w:rsidTr="00C210A6">
        <w:tc>
          <w:tcPr>
            <w:tcW w:w="10599" w:type="dxa"/>
            <w:gridSpan w:val="16"/>
            <w:shd w:val="clear" w:color="auto" w:fill="auto"/>
          </w:tcPr>
          <w:p w14:paraId="7122BF11" w14:textId="77777777" w:rsidR="00BE41B8" w:rsidRPr="00510442" w:rsidRDefault="00BE41B8" w:rsidP="00C210A6">
            <w:pPr>
              <w:spacing w:line="240" w:lineRule="auto"/>
              <w:ind w:left="-27"/>
              <w:rPr>
                <w:rFonts w:ascii="Arial" w:hAnsi="Arial" w:cs="Arial"/>
                <w:sz w:val="20"/>
                <w:lang w:val="hr-HR"/>
              </w:rPr>
            </w:pPr>
            <w:r w:rsidRPr="00510442">
              <w:rPr>
                <w:rFonts w:ascii="Arial" w:hAnsi="Arial" w:cs="Arial"/>
                <w:sz w:val="20"/>
                <w:lang w:val="hr-HR"/>
              </w:rPr>
              <w:t>Broj izloženih riziku : broj događaja</w:t>
            </w:r>
          </w:p>
        </w:tc>
      </w:tr>
      <w:tr w:rsidR="00BE41B8" w:rsidRPr="00510442" w14:paraId="667BC719" w14:textId="77777777" w:rsidTr="00C210A6">
        <w:tc>
          <w:tcPr>
            <w:tcW w:w="450" w:type="dxa"/>
            <w:shd w:val="clear" w:color="auto" w:fill="auto"/>
          </w:tcPr>
          <w:p w14:paraId="3BD40267" w14:textId="77777777" w:rsidR="00BE41B8" w:rsidRPr="00510442" w:rsidRDefault="00BE41B8" w:rsidP="00C210A6">
            <w:pPr>
              <w:spacing w:line="240" w:lineRule="auto"/>
              <w:rPr>
                <w:sz w:val="18"/>
                <w:szCs w:val="18"/>
                <w:lang w:val="hr-HR"/>
              </w:rPr>
            </w:pPr>
            <w:r w:rsidRPr="00510442">
              <w:rPr>
                <w:sz w:val="18"/>
                <w:szCs w:val="18"/>
                <w:lang w:val="hr-HR"/>
              </w:rPr>
              <w:t>(1)</w:t>
            </w:r>
          </w:p>
        </w:tc>
        <w:tc>
          <w:tcPr>
            <w:tcW w:w="646" w:type="dxa"/>
            <w:shd w:val="clear" w:color="auto" w:fill="auto"/>
          </w:tcPr>
          <w:p w14:paraId="4F6CED4D" w14:textId="77777777" w:rsidR="00BE41B8" w:rsidRPr="00510442" w:rsidRDefault="00BE41B8" w:rsidP="00C210A6">
            <w:pPr>
              <w:spacing w:line="240" w:lineRule="auto"/>
              <w:ind w:left="-27"/>
              <w:rPr>
                <w:sz w:val="18"/>
                <w:szCs w:val="18"/>
                <w:lang w:val="hr-HR"/>
              </w:rPr>
            </w:pPr>
            <w:r w:rsidRPr="00510442">
              <w:rPr>
                <w:sz w:val="18"/>
                <w:szCs w:val="18"/>
                <w:lang w:val="hr-HR"/>
              </w:rPr>
              <w:t>199:0</w:t>
            </w:r>
          </w:p>
        </w:tc>
        <w:tc>
          <w:tcPr>
            <w:tcW w:w="645" w:type="dxa"/>
            <w:shd w:val="clear" w:color="auto" w:fill="auto"/>
          </w:tcPr>
          <w:p w14:paraId="20D8928B" w14:textId="77777777" w:rsidR="00BE41B8" w:rsidRPr="00510442" w:rsidRDefault="00BE41B8" w:rsidP="00C210A6">
            <w:pPr>
              <w:spacing w:line="240" w:lineRule="auto"/>
              <w:ind w:left="-27"/>
              <w:rPr>
                <w:sz w:val="18"/>
                <w:szCs w:val="18"/>
                <w:lang w:val="hr-HR"/>
              </w:rPr>
            </w:pPr>
            <w:r w:rsidRPr="00510442">
              <w:rPr>
                <w:sz w:val="18"/>
                <w:szCs w:val="18"/>
                <w:lang w:val="hr-HR"/>
              </w:rPr>
              <w:t>182:8</w:t>
            </w:r>
          </w:p>
        </w:tc>
        <w:tc>
          <w:tcPr>
            <w:tcW w:w="745" w:type="dxa"/>
            <w:shd w:val="clear" w:color="auto" w:fill="auto"/>
          </w:tcPr>
          <w:p w14:paraId="2F7AA3BB" w14:textId="77777777" w:rsidR="00BE41B8" w:rsidRPr="00510442" w:rsidRDefault="00BE41B8" w:rsidP="00C210A6">
            <w:pPr>
              <w:spacing w:line="240" w:lineRule="auto"/>
              <w:ind w:left="-27"/>
              <w:rPr>
                <w:sz w:val="18"/>
                <w:szCs w:val="18"/>
                <w:lang w:val="hr-HR"/>
              </w:rPr>
            </w:pPr>
            <w:r w:rsidRPr="00510442">
              <w:rPr>
                <w:sz w:val="18"/>
                <w:szCs w:val="18"/>
                <w:lang w:val="hr-HR"/>
              </w:rPr>
              <w:t>177:12</w:t>
            </w:r>
          </w:p>
        </w:tc>
        <w:tc>
          <w:tcPr>
            <w:tcW w:w="745" w:type="dxa"/>
            <w:shd w:val="clear" w:color="auto" w:fill="auto"/>
          </w:tcPr>
          <w:p w14:paraId="0EE8107B" w14:textId="77777777" w:rsidR="00BE41B8" w:rsidRPr="00510442" w:rsidRDefault="00BE41B8" w:rsidP="00C210A6">
            <w:pPr>
              <w:spacing w:line="240" w:lineRule="auto"/>
              <w:ind w:left="-27"/>
              <w:rPr>
                <w:sz w:val="18"/>
                <w:szCs w:val="18"/>
                <w:lang w:val="hr-HR"/>
              </w:rPr>
            </w:pPr>
            <w:r w:rsidRPr="00510442">
              <w:rPr>
                <w:sz w:val="18"/>
                <w:szCs w:val="18"/>
                <w:lang w:val="hr-HR"/>
              </w:rPr>
              <w:t>163:25</w:t>
            </w:r>
          </w:p>
        </w:tc>
        <w:tc>
          <w:tcPr>
            <w:tcW w:w="745" w:type="dxa"/>
            <w:shd w:val="clear" w:color="auto" w:fill="auto"/>
          </w:tcPr>
          <w:p w14:paraId="77CD0676" w14:textId="77777777" w:rsidR="00BE41B8" w:rsidRPr="00510442" w:rsidRDefault="00BE41B8" w:rsidP="00C210A6">
            <w:pPr>
              <w:spacing w:line="240" w:lineRule="auto"/>
              <w:ind w:left="-27"/>
              <w:rPr>
                <w:sz w:val="18"/>
                <w:szCs w:val="18"/>
                <w:lang w:val="hr-HR"/>
              </w:rPr>
            </w:pPr>
            <w:r w:rsidRPr="00510442">
              <w:rPr>
                <w:sz w:val="18"/>
                <w:szCs w:val="18"/>
                <w:lang w:val="hr-HR"/>
              </w:rPr>
              <w:t>137:46</w:t>
            </w:r>
          </w:p>
        </w:tc>
        <w:tc>
          <w:tcPr>
            <w:tcW w:w="752" w:type="dxa"/>
            <w:shd w:val="clear" w:color="auto" w:fill="auto"/>
          </w:tcPr>
          <w:p w14:paraId="0F7DDD86" w14:textId="77777777" w:rsidR="00BE41B8" w:rsidRPr="00510442" w:rsidRDefault="00BE41B8" w:rsidP="00C210A6">
            <w:pPr>
              <w:spacing w:line="240" w:lineRule="auto"/>
              <w:ind w:left="-27"/>
              <w:rPr>
                <w:sz w:val="18"/>
                <w:szCs w:val="18"/>
                <w:lang w:val="hr-HR"/>
              </w:rPr>
            </w:pPr>
            <w:r w:rsidRPr="00510442">
              <w:rPr>
                <w:sz w:val="18"/>
                <w:szCs w:val="18"/>
                <w:lang w:val="hr-HR"/>
              </w:rPr>
              <w:t>105:65</w:t>
            </w:r>
          </w:p>
        </w:tc>
        <w:tc>
          <w:tcPr>
            <w:tcW w:w="745" w:type="dxa"/>
            <w:shd w:val="clear" w:color="auto" w:fill="auto"/>
          </w:tcPr>
          <w:p w14:paraId="6AA80C82" w14:textId="77777777" w:rsidR="00BE41B8" w:rsidRPr="00510442" w:rsidRDefault="00BE41B8" w:rsidP="00C210A6">
            <w:pPr>
              <w:spacing w:line="240" w:lineRule="auto"/>
              <w:ind w:left="-27"/>
              <w:rPr>
                <w:sz w:val="18"/>
                <w:szCs w:val="18"/>
                <w:lang w:val="hr-HR"/>
              </w:rPr>
            </w:pPr>
            <w:r w:rsidRPr="00510442">
              <w:rPr>
                <w:sz w:val="18"/>
                <w:szCs w:val="18"/>
                <w:lang w:val="hr-HR"/>
              </w:rPr>
              <w:t>88:72</w:t>
            </w:r>
          </w:p>
        </w:tc>
        <w:tc>
          <w:tcPr>
            <w:tcW w:w="745" w:type="dxa"/>
            <w:shd w:val="clear" w:color="auto" w:fill="auto"/>
          </w:tcPr>
          <w:p w14:paraId="4BF4C539" w14:textId="77777777" w:rsidR="00BE41B8" w:rsidRPr="00510442" w:rsidRDefault="00BE41B8" w:rsidP="00C210A6">
            <w:pPr>
              <w:spacing w:line="240" w:lineRule="auto"/>
              <w:ind w:left="-27"/>
              <w:rPr>
                <w:sz w:val="18"/>
                <w:szCs w:val="18"/>
                <w:lang w:val="hr-HR"/>
              </w:rPr>
            </w:pPr>
            <w:r w:rsidRPr="00510442">
              <w:rPr>
                <w:sz w:val="18"/>
                <w:szCs w:val="18"/>
                <w:lang w:val="hr-HR"/>
              </w:rPr>
              <w:t>61:77</w:t>
            </w:r>
          </w:p>
        </w:tc>
        <w:tc>
          <w:tcPr>
            <w:tcW w:w="652" w:type="dxa"/>
            <w:shd w:val="clear" w:color="auto" w:fill="auto"/>
          </w:tcPr>
          <w:p w14:paraId="083EE810" w14:textId="77777777" w:rsidR="00BE41B8" w:rsidRPr="00510442" w:rsidRDefault="00BE41B8" w:rsidP="00C210A6">
            <w:pPr>
              <w:spacing w:line="240" w:lineRule="auto"/>
              <w:ind w:left="-27"/>
              <w:rPr>
                <w:sz w:val="18"/>
                <w:szCs w:val="18"/>
                <w:lang w:val="hr-HR"/>
              </w:rPr>
            </w:pPr>
            <w:r w:rsidRPr="00510442">
              <w:rPr>
                <w:sz w:val="18"/>
                <w:szCs w:val="18"/>
                <w:lang w:val="hr-HR"/>
              </w:rPr>
              <w:t>49:81</w:t>
            </w:r>
          </w:p>
        </w:tc>
        <w:tc>
          <w:tcPr>
            <w:tcW w:w="652" w:type="dxa"/>
            <w:shd w:val="clear" w:color="auto" w:fill="auto"/>
          </w:tcPr>
          <w:p w14:paraId="705964CF" w14:textId="77777777" w:rsidR="00BE41B8" w:rsidRPr="00510442" w:rsidRDefault="00BE41B8" w:rsidP="00C210A6">
            <w:pPr>
              <w:spacing w:line="240" w:lineRule="auto"/>
              <w:ind w:left="-27"/>
              <w:rPr>
                <w:sz w:val="18"/>
                <w:szCs w:val="18"/>
                <w:lang w:val="hr-HR"/>
              </w:rPr>
            </w:pPr>
            <w:r w:rsidRPr="00510442">
              <w:rPr>
                <w:sz w:val="18"/>
                <w:szCs w:val="18"/>
                <w:lang w:val="hr-HR"/>
              </w:rPr>
              <w:t>36:83</w:t>
            </w:r>
          </w:p>
        </w:tc>
        <w:tc>
          <w:tcPr>
            <w:tcW w:w="649" w:type="dxa"/>
            <w:shd w:val="clear" w:color="auto" w:fill="auto"/>
          </w:tcPr>
          <w:p w14:paraId="307D3F7A" w14:textId="77777777" w:rsidR="00BE41B8" w:rsidRPr="00510442" w:rsidRDefault="00BE41B8" w:rsidP="00C210A6">
            <w:pPr>
              <w:spacing w:line="240" w:lineRule="auto"/>
              <w:ind w:left="-27"/>
              <w:rPr>
                <w:sz w:val="18"/>
                <w:szCs w:val="18"/>
                <w:lang w:val="hr-HR"/>
              </w:rPr>
            </w:pPr>
            <w:r w:rsidRPr="00510442">
              <w:rPr>
                <w:sz w:val="18"/>
                <w:szCs w:val="18"/>
                <w:lang w:val="hr-HR"/>
              </w:rPr>
              <w:t>27:84</w:t>
            </w:r>
          </w:p>
        </w:tc>
        <w:tc>
          <w:tcPr>
            <w:tcW w:w="660" w:type="dxa"/>
            <w:shd w:val="clear" w:color="auto" w:fill="auto"/>
          </w:tcPr>
          <w:p w14:paraId="4FF902E9" w14:textId="77777777" w:rsidR="00BE41B8" w:rsidRPr="00510442" w:rsidRDefault="00BE41B8" w:rsidP="00C210A6">
            <w:pPr>
              <w:spacing w:line="240" w:lineRule="auto"/>
              <w:ind w:left="-27"/>
              <w:rPr>
                <w:sz w:val="18"/>
                <w:szCs w:val="18"/>
                <w:lang w:val="hr-HR"/>
              </w:rPr>
            </w:pPr>
            <w:r w:rsidRPr="00510442">
              <w:rPr>
                <w:sz w:val="18"/>
                <w:szCs w:val="18"/>
                <w:lang w:val="hr-HR"/>
              </w:rPr>
              <w:t>14:84</w:t>
            </w:r>
          </w:p>
        </w:tc>
        <w:tc>
          <w:tcPr>
            <w:tcW w:w="649" w:type="dxa"/>
            <w:shd w:val="clear" w:color="auto" w:fill="auto"/>
          </w:tcPr>
          <w:p w14:paraId="1EF18B73" w14:textId="77777777" w:rsidR="00BE41B8" w:rsidRPr="00510442" w:rsidRDefault="00BE41B8" w:rsidP="00C210A6">
            <w:pPr>
              <w:spacing w:line="240" w:lineRule="auto"/>
              <w:ind w:left="-27"/>
              <w:rPr>
                <w:sz w:val="18"/>
                <w:szCs w:val="18"/>
                <w:lang w:val="hr-HR"/>
              </w:rPr>
            </w:pPr>
            <w:r w:rsidRPr="00510442">
              <w:rPr>
                <w:sz w:val="18"/>
                <w:szCs w:val="18"/>
                <w:lang w:val="hr-HR"/>
              </w:rPr>
              <w:t>10:84</w:t>
            </w:r>
          </w:p>
        </w:tc>
        <w:tc>
          <w:tcPr>
            <w:tcW w:w="564" w:type="dxa"/>
            <w:shd w:val="clear" w:color="auto" w:fill="auto"/>
          </w:tcPr>
          <w:p w14:paraId="337F7659" w14:textId="77777777" w:rsidR="00BE41B8" w:rsidRPr="00510442" w:rsidRDefault="00BE41B8" w:rsidP="00C210A6">
            <w:pPr>
              <w:spacing w:line="240" w:lineRule="auto"/>
              <w:ind w:left="-27"/>
              <w:rPr>
                <w:sz w:val="18"/>
                <w:szCs w:val="18"/>
                <w:lang w:val="hr-HR"/>
              </w:rPr>
            </w:pPr>
            <w:r w:rsidRPr="00510442">
              <w:rPr>
                <w:sz w:val="18"/>
                <w:szCs w:val="18"/>
                <w:lang w:val="hr-HR"/>
              </w:rPr>
              <w:t>2:84</w:t>
            </w:r>
          </w:p>
        </w:tc>
        <w:tc>
          <w:tcPr>
            <w:tcW w:w="555" w:type="dxa"/>
            <w:shd w:val="clear" w:color="auto" w:fill="auto"/>
          </w:tcPr>
          <w:p w14:paraId="3BEBF752" w14:textId="77777777" w:rsidR="00BE41B8" w:rsidRPr="00510442" w:rsidRDefault="00BE41B8" w:rsidP="00C210A6">
            <w:pPr>
              <w:spacing w:line="240" w:lineRule="auto"/>
              <w:ind w:left="-27"/>
              <w:rPr>
                <w:sz w:val="18"/>
                <w:szCs w:val="18"/>
                <w:lang w:val="hr-HR"/>
              </w:rPr>
            </w:pPr>
            <w:r w:rsidRPr="00510442">
              <w:rPr>
                <w:sz w:val="18"/>
                <w:szCs w:val="18"/>
                <w:lang w:val="hr-HR"/>
              </w:rPr>
              <w:t>0:84</w:t>
            </w:r>
          </w:p>
        </w:tc>
      </w:tr>
      <w:tr w:rsidR="00BE41B8" w:rsidRPr="00510442" w14:paraId="4FEC9433" w14:textId="77777777" w:rsidTr="00C210A6">
        <w:tc>
          <w:tcPr>
            <w:tcW w:w="450" w:type="dxa"/>
            <w:shd w:val="clear" w:color="auto" w:fill="auto"/>
          </w:tcPr>
          <w:p w14:paraId="359200C5" w14:textId="77777777" w:rsidR="00BE41B8" w:rsidRPr="00510442" w:rsidRDefault="00BE41B8" w:rsidP="00C210A6">
            <w:pPr>
              <w:spacing w:line="240" w:lineRule="auto"/>
              <w:rPr>
                <w:sz w:val="18"/>
                <w:szCs w:val="18"/>
                <w:lang w:val="hr-HR"/>
              </w:rPr>
            </w:pPr>
            <w:r w:rsidRPr="00510442">
              <w:rPr>
                <w:sz w:val="18"/>
                <w:szCs w:val="18"/>
                <w:lang w:val="hr-HR"/>
              </w:rPr>
              <w:t>(2)</w:t>
            </w:r>
          </w:p>
        </w:tc>
        <w:tc>
          <w:tcPr>
            <w:tcW w:w="646" w:type="dxa"/>
            <w:shd w:val="clear" w:color="auto" w:fill="auto"/>
          </w:tcPr>
          <w:p w14:paraId="3D34549E" w14:textId="77777777" w:rsidR="00BE41B8" w:rsidRPr="00510442" w:rsidRDefault="00BE41B8" w:rsidP="00C210A6">
            <w:pPr>
              <w:spacing w:line="240" w:lineRule="auto"/>
              <w:ind w:left="-27"/>
              <w:rPr>
                <w:sz w:val="18"/>
                <w:szCs w:val="18"/>
                <w:lang w:val="hr-HR"/>
              </w:rPr>
            </w:pPr>
            <w:r w:rsidRPr="00510442">
              <w:rPr>
                <w:sz w:val="18"/>
                <w:szCs w:val="18"/>
                <w:lang w:val="hr-HR"/>
              </w:rPr>
              <w:t>198:0</w:t>
            </w:r>
          </w:p>
        </w:tc>
        <w:tc>
          <w:tcPr>
            <w:tcW w:w="645" w:type="dxa"/>
            <w:shd w:val="clear" w:color="auto" w:fill="auto"/>
          </w:tcPr>
          <w:p w14:paraId="1B9EFD14" w14:textId="77777777" w:rsidR="00BE41B8" w:rsidRPr="00510442" w:rsidRDefault="00BE41B8" w:rsidP="00C210A6">
            <w:pPr>
              <w:spacing w:line="240" w:lineRule="auto"/>
              <w:ind w:left="-27"/>
              <w:rPr>
                <w:sz w:val="18"/>
                <w:szCs w:val="18"/>
                <w:lang w:val="hr-HR"/>
              </w:rPr>
            </w:pPr>
            <w:r w:rsidRPr="00510442">
              <w:rPr>
                <w:sz w:val="18"/>
                <w:szCs w:val="18"/>
                <w:lang w:val="hr-HR"/>
              </w:rPr>
              <w:t>189:5</w:t>
            </w:r>
          </w:p>
        </w:tc>
        <w:tc>
          <w:tcPr>
            <w:tcW w:w="745" w:type="dxa"/>
            <w:shd w:val="clear" w:color="auto" w:fill="auto"/>
          </w:tcPr>
          <w:p w14:paraId="3D5FAD46" w14:textId="77777777" w:rsidR="00BE41B8" w:rsidRPr="00510442" w:rsidRDefault="00BE41B8" w:rsidP="00C210A6">
            <w:pPr>
              <w:spacing w:line="240" w:lineRule="auto"/>
              <w:ind w:left="-27"/>
              <w:rPr>
                <w:sz w:val="18"/>
                <w:szCs w:val="18"/>
                <w:lang w:val="hr-HR"/>
              </w:rPr>
            </w:pPr>
            <w:r w:rsidRPr="00510442">
              <w:rPr>
                <w:sz w:val="18"/>
                <w:szCs w:val="18"/>
                <w:lang w:val="hr-HR"/>
              </w:rPr>
              <w:t>184:8</w:t>
            </w:r>
          </w:p>
        </w:tc>
        <w:tc>
          <w:tcPr>
            <w:tcW w:w="745" w:type="dxa"/>
            <w:shd w:val="clear" w:color="auto" w:fill="auto"/>
          </w:tcPr>
          <w:p w14:paraId="1A873B70" w14:textId="77777777" w:rsidR="00BE41B8" w:rsidRPr="00510442" w:rsidRDefault="00BE41B8" w:rsidP="00C210A6">
            <w:pPr>
              <w:spacing w:line="240" w:lineRule="auto"/>
              <w:ind w:left="-27"/>
              <w:rPr>
                <w:sz w:val="18"/>
                <w:szCs w:val="18"/>
                <w:lang w:val="hr-HR"/>
              </w:rPr>
            </w:pPr>
            <w:r w:rsidRPr="00510442">
              <w:rPr>
                <w:sz w:val="18"/>
                <w:szCs w:val="18"/>
                <w:lang w:val="hr-HR"/>
              </w:rPr>
              <w:t>181:11</w:t>
            </w:r>
          </w:p>
        </w:tc>
        <w:tc>
          <w:tcPr>
            <w:tcW w:w="745" w:type="dxa"/>
            <w:shd w:val="clear" w:color="auto" w:fill="auto"/>
          </w:tcPr>
          <w:p w14:paraId="50FFE578" w14:textId="77777777" w:rsidR="00BE41B8" w:rsidRPr="00510442" w:rsidRDefault="00BE41B8" w:rsidP="00C210A6">
            <w:pPr>
              <w:spacing w:line="240" w:lineRule="auto"/>
              <w:ind w:left="-27"/>
              <w:rPr>
                <w:sz w:val="18"/>
                <w:szCs w:val="18"/>
                <w:lang w:val="hr-HR"/>
              </w:rPr>
            </w:pPr>
            <w:r w:rsidRPr="00510442">
              <w:rPr>
                <w:sz w:val="18"/>
                <w:szCs w:val="18"/>
                <w:lang w:val="hr-HR"/>
              </w:rPr>
              <w:t>173:18</w:t>
            </w:r>
          </w:p>
        </w:tc>
        <w:tc>
          <w:tcPr>
            <w:tcW w:w="752" w:type="dxa"/>
            <w:shd w:val="clear" w:color="auto" w:fill="auto"/>
          </w:tcPr>
          <w:p w14:paraId="041305C3" w14:textId="77777777" w:rsidR="00BE41B8" w:rsidRPr="00510442" w:rsidRDefault="00BE41B8" w:rsidP="00C210A6">
            <w:pPr>
              <w:spacing w:line="240" w:lineRule="auto"/>
              <w:ind w:left="-27"/>
              <w:rPr>
                <w:sz w:val="18"/>
                <w:szCs w:val="18"/>
                <w:lang w:val="hr-HR"/>
              </w:rPr>
            </w:pPr>
            <w:r w:rsidRPr="00510442">
              <w:rPr>
                <w:sz w:val="18"/>
                <w:szCs w:val="18"/>
                <w:lang w:val="hr-HR"/>
              </w:rPr>
              <w:t>152:22</w:t>
            </w:r>
          </w:p>
        </w:tc>
        <w:tc>
          <w:tcPr>
            <w:tcW w:w="745" w:type="dxa"/>
            <w:shd w:val="clear" w:color="auto" w:fill="auto"/>
          </w:tcPr>
          <w:p w14:paraId="68D0C328" w14:textId="77777777" w:rsidR="00BE41B8" w:rsidRPr="00510442" w:rsidRDefault="00BE41B8" w:rsidP="00C210A6">
            <w:pPr>
              <w:spacing w:line="240" w:lineRule="auto"/>
              <w:ind w:left="-27"/>
              <w:rPr>
                <w:sz w:val="18"/>
                <w:szCs w:val="18"/>
                <w:lang w:val="hr-HR"/>
              </w:rPr>
            </w:pPr>
            <w:r w:rsidRPr="00510442">
              <w:rPr>
                <w:sz w:val="18"/>
                <w:szCs w:val="18"/>
                <w:lang w:val="hr-HR"/>
              </w:rPr>
              <w:t>133:25</w:t>
            </w:r>
          </w:p>
        </w:tc>
        <w:tc>
          <w:tcPr>
            <w:tcW w:w="745" w:type="dxa"/>
            <w:shd w:val="clear" w:color="auto" w:fill="auto"/>
          </w:tcPr>
          <w:p w14:paraId="2BDBD403" w14:textId="77777777" w:rsidR="00BE41B8" w:rsidRPr="00510442" w:rsidRDefault="00BE41B8" w:rsidP="00C210A6">
            <w:pPr>
              <w:spacing w:line="240" w:lineRule="auto"/>
              <w:ind w:left="-27"/>
              <w:rPr>
                <w:sz w:val="18"/>
                <w:szCs w:val="18"/>
                <w:lang w:val="hr-HR"/>
              </w:rPr>
            </w:pPr>
            <w:r w:rsidRPr="00510442">
              <w:rPr>
                <w:sz w:val="18"/>
                <w:szCs w:val="18"/>
                <w:lang w:val="hr-HR"/>
              </w:rPr>
              <w:t>102:29</w:t>
            </w:r>
          </w:p>
        </w:tc>
        <w:tc>
          <w:tcPr>
            <w:tcW w:w="652" w:type="dxa"/>
            <w:shd w:val="clear" w:color="auto" w:fill="auto"/>
          </w:tcPr>
          <w:p w14:paraId="2B6141F2" w14:textId="77777777" w:rsidR="00BE41B8" w:rsidRPr="00510442" w:rsidRDefault="00BE41B8" w:rsidP="00C210A6">
            <w:pPr>
              <w:spacing w:line="240" w:lineRule="auto"/>
              <w:ind w:left="-27"/>
              <w:rPr>
                <w:sz w:val="18"/>
                <w:szCs w:val="18"/>
                <w:lang w:val="hr-HR"/>
              </w:rPr>
            </w:pPr>
            <w:r w:rsidRPr="00510442">
              <w:rPr>
                <w:sz w:val="18"/>
                <w:szCs w:val="18"/>
                <w:lang w:val="hr-HR"/>
              </w:rPr>
              <w:t>82:35</w:t>
            </w:r>
          </w:p>
        </w:tc>
        <w:tc>
          <w:tcPr>
            <w:tcW w:w="652" w:type="dxa"/>
            <w:shd w:val="clear" w:color="auto" w:fill="auto"/>
          </w:tcPr>
          <w:p w14:paraId="4D2BA5FF" w14:textId="77777777" w:rsidR="00BE41B8" w:rsidRPr="00510442" w:rsidRDefault="00BE41B8" w:rsidP="00C210A6">
            <w:pPr>
              <w:spacing w:line="240" w:lineRule="auto"/>
              <w:ind w:left="-27"/>
              <w:rPr>
                <w:sz w:val="18"/>
                <w:szCs w:val="18"/>
                <w:lang w:val="hr-HR"/>
              </w:rPr>
            </w:pPr>
            <w:r w:rsidRPr="00510442">
              <w:rPr>
                <w:sz w:val="18"/>
                <w:szCs w:val="18"/>
                <w:lang w:val="hr-HR"/>
              </w:rPr>
              <w:t>54:46</w:t>
            </w:r>
          </w:p>
        </w:tc>
        <w:tc>
          <w:tcPr>
            <w:tcW w:w="649" w:type="dxa"/>
            <w:shd w:val="clear" w:color="auto" w:fill="auto"/>
          </w:tcPr>
          <w:p w14:paraId="1E8C139C" w14:textId="77777777" w:rsidR="00BE41B8" w:rsidRPr="00510442" w:rsidRDefault="00BE41B8" w:rsidP="00C210A6">
            <w:pPr>
              <w:spacing w:line="240" w:lineRule="auto"/>
              <w:ind w:left="-27"/>
              <w:rPr>
                <w:sz w:val="18"/>
                <w:szCs w:val="18"/>
                <w:lang w:val="hr-HR"/>
              </w:rPr>
            </w:pPr>
            <w:r w:rsidRPr="00510442">
              <w:rPr>
                <w:sz w:val="18"/>
                <w:szCs w:val="18"/>
                <w:lang w:val="hr-HR"/>
              </w:rPr>
              <w:t>39:47</w:t>
            </w:r>
          </w:p>
        </w:tc>
        <w:tc>
          <w:tcPr>
            <w:tcW w:w="660" w:type="dxa"/>
            <w:shd w:val="clear" w:color="auto" w:fill="auto"/>
          </w:tcPr>
          <w:p w14:paraId="7ED917B1" w14:textId="77777777" w:rsidR="00BE41B8" w:rsidRPr="00510442" w:rsidRDefault="00BE41B8" w:rsidP="00C210A6">
            <w:pPr>
              <w:spacing w:line="240" w:lineRule="auto"/>
              <w:ind w:left="-27"/>
              <w:rPr>
                <w:sz w:val="18"/>
                <w:szCs w:val="18"/>
                <w:lang w:val="hr-HR"/>
              </w:rPr>
            </w:pPr>
            <w:r w:rsidRPr="00510442">
              <w:rPr>
                <w:sz w:val="18"/>
                <w:szCs w:val="18"/>
                <w:lang w:val="hr-HR"/>
              </w:rPr>
              <w:t>21:49</w:t>
            </w:r>
          </w:p>
        </w:tc>
        <w:tc>
          <w:tcPr>
            <w:tcW w:w="649" w:type="dxa"/>
            <w:shd w:val="clear" w:color="auto" w:fill="auto"/>
          </w:tcPr>
          <w:p w14:paraId="696EE134" w14:textId="77777777" w:rsidR="00BE41B8" w:rsidRPr="00510442" w:rsidRDefault="00BE41B8" w:rsidP="00C210A6">
            <w:pPr>
              <w:spacing w:line="240" w:lineRule="auto"/>
              <w:ind w:left="-27"/>
              <w:rPr>
                <w:sz w:val="18"/>
                <w:szCs w:val="18"/>
                <w:lang w:val="hr-HR"/>
              </w:rPr>
            </w:pPr>
            <w:r w:rsidRPr="00510442">
              <w:rPr>
                <w:sz w:val="18"/>
                <w:szCs w:val="18"/>
                <w:lang w:val="hr-HR"/>
              </w:rPr>
              <w:t>8:50</w:t>
            </w:r>
          </w:p>
        </w:tc>
        <w:tc>
          <w:tcPr>
            <w:tcW w:w="564" w:type="dxa"/>
            <w:shd w:val="clear" w:color="auto" w:fill="auto"/>
          </w:tcPr>
          <w:p w14:paraId="5DC26420" w14:textId="77777777" w:rsidR="00BE41B8" w:rsidRPr="00510442" w:rsidRDefault="00BE41B8" w:rsidP="00C210A6">
            <w:pPr>
              <w:spacing w:line="240" w:lineRule="auto"/>
              <w:ind w:left="-27"/>
              <w:rPr>
                <w:sz w:val="18"/>
                <w:szCs w:val="18"/>
                <w:lang w:val="hr-HR"/>
              </w:rPr>
            </w:pPr>
            <w:r w:rsidRPr="00510442">
              <w:rPr>
                <w:sz w:val="18"/>
                <w:szCs w:val="18"/>
                <w:lang w:val="hr-HR"/>
              </w:rPr>
              <w:t>0:50</w:t>
            </w:r>
          </w:p>
        </w:tc>
        <w:tc>
          <w:tcPr>
            <w:tcW w:w="555" w:type="dxa"/>
            <w:shd w:val="clear" w:color="auto" w:fill="auto"/>
          </w:tcPr>
          <w:p w14:paraId="05881079" w14:textId="77777777" w:rsidR="00BE41B8" w:rsidRPr="00510442" w:rsidRDefault="00BE41B8" w:rsidP="00C210A6">
            <w:pPr>
              <w:spacing w:line="240" w:lineRule="auto"/>
              <w:ind w:left="-27"/>
              <w:rPr>
                <w:sz w:val="18"/>
                <w:szCs w:val="18"/>
                <w:lang w:val="hr-HR"/>
              </w:rPr>
            </w:pPr>
          </w:p>
        </w:tc>
      </w:tr>
    </w:tbl>
    <w:p w14:paraId="41FE42BE" w14:textId="77777777" w:rsidR="00BE41B8" w:rsidRPr="00510442" w:rsidRDefault="00BE41B8" w:rsidP="00BE41B8">
      <w:pPr>
        <w:tabs>
          <w:tab w:val="clear" w:pos="567"/>
        </w:tabs>
        <w:spacing w:line="240" w:lineRule="auto"/>
        <w:rPr>
          <w:rFonts w:eastAsia="MS Mincho"/>
          <w:szCs w:val="22"/>
          <w:lang w:val="hr-HR"/>
        </w:rPr>
      </w:pPr>
    </w:p>
    <w:p w14:paraId="5253412C" w14:textId="77777777" w:rsidR="00BE41B8" w:rsidRPr="00510442" w:rsidRDefault="00BE41B8" w:rsidP="00BE41B8">
      <w:pPr>
        <w:keepNext/>
        <w:tabs>
          <w:tab w:val="clear" w:pos="567"/>
        </w:tabs>
        <w:spacing w:line="240" w:lineRule="auto"/>
        <w:ind w:left="1134" w:hanging="1134"/>
        <w:outlineLvl w:val="6"/>
        <w:rPr>
          <w:rFonts w:eastAsia="MS Mincho"/>
          <w:b/>
          <w:szCs w:val="22"/>
          <w:lang w:val="hr-HR"/>
        </w:rPr>
      </w:pPr>
      <w:r w:rsidRPr="00510442">
        <w:rPr>
          <w:rFonts w:eastAsia="MS Mincho"/>
          <w:b/>
          <w:szCs w:val="22"/>
          <w:lang w:val="hr-HR"/>
        </w:rPr>
        <w:lastRenderedPageBreak/>
        <w:t>Slika 2</w:t>
      </w:r>
      <w:r w:rsidRPr="00510442">
        <w:rPr>
          <w:rFonts w:eastAsia="MS Mincho"/>
          <w:b/>
          <w:szCs w:val="22"/>
          <w:lang w:val="hr-HR"/>
        </w:rPr>
        <w:tab/>
        <w:t>Kaplan-Meierova procjena ukupnog preživljenja (ITT populacija)</w:t>
      </w:r>
    </w:p>
    <w:p w14:paraId="5EF82021" w14:textId="77777777" w:rsidR="00BE41B8" w:rsidRPr="00510442" w:rsidRDefault="00BE41B8" w:rsidP="00BE41B8">
      <w:pPr>
        <w:keepNext/>
        <w:tabs>
          <w:tab w:val="clear" w:pos="567"/>
        </w:tabs>
        <w:spacing w:line="240" w:lineRule="auto"/>
        <w:ind w:left="1134" w:hanging="1134"/>
        <w:outlineLvl w:val="6"/>
        <w:rPr>
          <w:rFonts w:eastAsia="MS Mincho"/>
          <w:szCs w:val="22"/>
          <w:lang w:val="hr-HR"/>
        </w:rPr>
      </w:pPr>
    </w:p>
    <w:p w14:paraId="6FF58873" w14:textId="77777777" w:rsidR="00BE41B8" w:rsidRPr="00307897" w:rsidRDefault="00C712C6" w:rsidP="00BE41B8">
      <w:pPr>
        <w:keepNext/>
        <w:widowControl w:val="0"/>
        <w:tabs>
          <w:tab w:val="clear" w:pos="567"/>
        </w:tabs>
        <w:spacing w:line="240" w:lineRule="auto"/>
        <w:ind w:left="1134" w:hanging="1134"/>
        <w:outlineLvl w:val="6"/>
        <w:rPr>
          <w:rFonts w:eastAsia="MS Mincho"/>
          <w:szCs w:val="22"/>
          <w:lang w:val="hr-HR"/>
        </w:rPr>
      </w:pPr>
      <w:r w:rsidRPr="00510442">
        <w:rPr>
          <w:noProof/>
          <w:szCs w:val="22"/>
          <w:lang w:eastAsia="en-GB"/>
        </w:rPr>
        <mc:AlternateContent>
          <mc:Choice Requires="wps">
            <w:drawing>
              <wp:anchor distT="0" distB="0" distL="114300" distR="114300" simplePos="0" relativeHeight="251661312" behindDoc="0" locked="0" layoutInCell="1" allowOverlap="1" wp14:anchorId="31E879F3" wp14:editId="3E9B1B25">
                <wp:simplePos x="0" y="0"/>
                <wp:positionH relativeFrom="column">
                  <wp:posOffset>-217170</wp:posOffset>
                </wp:positionH>
                <wp:positionV relativeFrom="paragraph">
                  <wp:posOffset>284480</wp:posOffset>
                </wp:positionV>
                <wp:extent cx="335915" cy="202057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202057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946FD7" w14:textId="77777777" w:rsidR="00547367" w:rsidRPr="00A33DBA" w:rsidRDefault="00547367" w:rsidP="00BE41B8">
                            <w:pPr>
                              <w:rPr>
                                <w:rFonts w:ascii="Arial" w:hAnsi="Arial" w:cs="Arial"/>
                                <w:sz w:val="20"/>
                              </w:rPr>
                            </w:pPr>
                            <w:r>
                              <w:rPr>
                                <w:rFonts w:ascii="Arial" w:hAnsi="Arial" w:cs="Arial"/>
                                <w:sz w:val="20"/>
                              </w:rPr>
                              <w:t>Vjerojatnost ukupnog preživljenja</w:t>
                            </w:r>
                          </w:p>
                          <w:p w14:paraId="5C936804" w14:textId="77777777" w:rsidR="00547367" w:rsidRPr="00A33DBA" w:rsidRDefault="00547367" w:rsidP="00BE41B8">
                            <w:pPr>
                              <w:rPr>
                                <w:rFonts w:ascii="Arial" w:hAnsi="Arial" w:cs="Arial"/>
                                <w:sz w:val="20"/>
                              </w:rPr>
                            </w:pP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1E879F3" id="_x0000_s1035" type="#_x0000_t202" style="position:absolute;left:0;text-align:left;margin-left:-17.1pt;margin-top:22.4pt;width:26.45pt;height:159.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" stroked="f">
                <v:fill opacity="0"/>
                <v:textbox style="layout-flow:vertical;mso-layout-flow-alt:bottom-to-top">
                  <w:txbxContent>
                    <w:p w14:paraId="5F946FD7" w14:textId="77777777" w:rsidR="00547367" w:rsidRPr="00A33DBA" w:rsidRDefault="00547367" w:rsidP="00BE41B8">
                      <w:pPr>
                        <w:rPr>
                          <w:rFonts w:ascii="Arial" w:hAnsi="Arial" w:cs="Arial"/>
                          <w:sz w:val="20"/>
                        </w:rPr>
                      </w:pPr>
                      <w:r>
                        <w:rPr>
                          <w:rFonts w:ascii="Arial" w:hAnsi="Arial" w:cs="Arial"/>
                          <w:sz w:val="20"/>
                        </w:rPr>
                        <w:t>Vjerojatnost ukupnog preživljenja</w:t>
                      </w:r>
                    </w:p>
                    <w:p w14:paraId="5C936804" w14:textId="77777777" w:rsidR="00547367" w:rsidRPr="00A33DBA" w:rsidRDefault="00547367" w:rsidP="00BE41B8">
                      <w:pPr>
                        <w:rPr>
                          <w:rFonts w:ascii="Arial" w:hAnsi="Arial" w:cs="Arial"/>
                          <w:sz w:val="20"/>
                        </w:rPr>
                      </w:pPr>
                    </w:p>
                  </w:txbxContent>
                </v:textbox>
              </v:shape>
            </w:pict>
          </mc:Fallback>
        </mc:AlternateContent>
      </w:r>
      <w:r w:rsidRPr="00510442">
        <w:rPr>
          <w:noProof/>
          <w:szCs w:val="22"/>
          <w:lang w:eastAsia="en-GB"/>
        </w:rPr>
        <mc:AlternateContent>
          <mc:Choice Requires="wps">
            <w:drawing>
              <wp:anchor distT="0" distB="0" distL="114300" distR="114300" simplePos="0" relativeHeight="251662336" behindDoc="0" locked="0" layoutInCell="1" allowOverlap="1" wp14:anchorId="5F6D394D" wp14:editId="7C3C1729">
                <wp:simplePos x="0" y="0"/>
                <wp:positionH relativeFrom="column">
                  <wp:posOffset>350520</wp:posOffset>
                </wp:positionH>
                <wp:positionV relativeFrom="paragraph">
                  <wp:posOffset>866140</wp:posOffset>
                </wp:positionV>
                <wp:extent cx="4585335" cy="142875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5335" cy="142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EA6E67" w14:textId="77777777" w:rsidR="00547367" w:rsidRDefault="00547367" w:rsidP="00BE41B8">
                            <w:pPr>
                              <w:rPr>
                                <w:rFonts w:ascii="Arial" w:hAnsi="Arial" w:cs="Arial"/>
                                <w:sz w:val="20"/>
                              </w:rPr>
                            </w:pPr>
                          </w:p>
                          <w:tbl>
                            <w:tblPr>
                              <w:tblW w:w="0" w:type="auto"/>
                              <w:tblLook w:val="04A0" w:firstRow="1" w:lastRow="0" w:firstColumn="1" w:lastColumn="0" w:noHBand="0" w:noVBand="1"/>
                            </w:tblPr>
                            <w:tblGrid>
                              <w:gridCol w:w="817"/>
                              <w:gridCol w:w="2464"/>
                              <w:gridCol w:w="851"/>
                              <w:gridCol w:w="962"/>
                              <w:gridCol w:w="917"/>
                            </w:tblGrid>
                            <w:tr w:rsidR="00547367" w:rsidRPr="0055776F" w14:paraId="78494A35" w14:textId="77777777" w:rsidTr="0077258C">
                              <w:tc>
                                <w:tcPr>
                                  <w:tcW w:w="5691" w:type="dxa"/>
                                  <w:gridSpan w:val="5"/>
                                  <w:shd w:val="clear" w:color="auto" w:fill="auto"/>
                                </w:tcPr>
                                <w:p w14:paraId="5E9A1CA3" w14:textId="77777777" w:rsidR="00547367" w:rsidRPr="0055776F" w:rsidRDefault="00547367" w:rsidP="0077258C">
                                  <w:pPr>
                                    <w:rPr>
                                      <w:rFonts w:ascii="Arial" w:hAnsi="Arial" w:cs="Arial"/>
                                      <w:sz w:val="20"/>
                                    </w:rPr>
                                  </w:pPr>
                                  <w:r>
                                    <w:rPr>
                                      <w:rFonts w:ascii="Arial" w:hAnsi="Arial" w:cs="Arial"/>
                                      <w:sz w:val="20"/>
                                    </w:rPr>
                                    <w:t>P =</w:t>
                                  </w:r>
                                  <w:r w:rsidRPr="0055776F">
                                    <w:rPr>
                                      <w:rFonts w:ascii="Arial" w:hAnsi="Arial" w:cs="Arial"/>
                                      <w:sz w:val="20"/>
                                    </w:rPr>
                                    <w:t xml:space="preserve"> 0</w:t>
                                  </w:r>
                                  <w:r>
                                    <w:rPr>
                                      <w:rFonts w:ascii="Arial" w:hAnsi="Arial" w:cs="Arial"/>
                                      <w:sz w:val="20"/>
                                    </w:rPr>
                                    <w:t>,0</w:t>
                                  </w:r>
                                  <w:r w:rsidRPr="0055776F">
                                    <w:rPr>
                                      <w:rFonts w:ascii="Arial" w:hAnsi="Arial" w:cs="Arial"/>
                                      <w:sz w:val="20"/>
                                    </w:rPr>
                                    <w:t>19</w:t>
                                  </w:r>
                                </w:p>
                                <w:p w14:paraId="59499465" w14:textId="77777777" w:rsidR="00547367" w:rsidRPr="0055776F" w:rsidRDefault="00547367" w:rsidP="0077258C">
                                  <w:pPr>
                                    <w:rPr>
                                      <w:rFonts w:ascii="Arial" w:hAnsi="Arial" w:cs="Arial"/>
                                      <w:sz w:val="20"/>
                                    </w:rPr>
                                  </w:pPr>
                                  <w:r>
                                    <w:rPr>
                                      <w:rFonts w:ascii="Arial" w:hAnsi="Arial" w:cs="Arial"/>
                                      <w:sz w:val="20"/>
                                    </w:rPr>
                                    <w:t>Omjer rizika</w:t>
                                  </w:r>
                                  <w:r w:rsidRPr="0055776F">
                                    <w:rPr>
                                      <w:rFonts w:ascii="Arial" w:hAnsi="Arial" w:cs="Arial"/>
                                      <w:sz w:val="20"/>
                                    </w:rPr>
                                    <w:t xml:space="preserve"> 0</w:t>
                                  </w:r>
                                  <w:r>
                                    <w:rPr>
                                      <w:rFonts w:ascii="Arial" w:hAnsi="Arial" w:cs="Arial"/>
                                      <w:sz w:val="20"/>
                                    </w:rPr>
                                    <w:t>,</w:t>
                                  </w:r>
                                  <w:r w:rsidRPr="0055776F">
                                    <w:rPr>
                                      <w:rFonts w:ascii="Arial" w:hAnsi="Arial" w:cs="Arial"/>
                                      <w:sz w:val="20"/>
                                    </w:rPr>
                                    <w:t>45</w:t>
                                  </w:r>
                                </w:p>
                                <w:p w14:paraId="76CED834" w14:textId="77777777" w:rsidR="00547367" w:rsidRPr="0055776F" w:rsidRDefault="00547367" w:rsidP="00490021">
                                  <w:pPr>
                                    <w:rPr>
                                      <w:rFonts w:ascii="Arial" w:hAnsi="Arial" w:cs="Arial"/>
                                      <w:sz w:val="20"/>
                                      <w:lang w:val="de-DE"/>
                                    </w:rPr>
                                  </w:pPr>
                                  <w:r w:rsidRPr="0055776F">
                                    <w:rPr>
                                      <w:rFonts w:ascii="Arial" w:hAnsi="Arial" w:cs="Arial"/>
                                      <w:sz w:val="20"/>
                                    </w:rPr>
                                    <w:t xml:space="preserve">(95% </w:t>
                                  </w:r>
                                  <w:r w:rsidRPr="00B014D4">
                                    <w:rPr>
                                      <w:rFonts w:ascii="Arial" w:hAnsi="Arial" w:cs="Arial"/>
                                      <w:sz w:val="20"/>
                                    </w:rPr>
                                    <w:t>Cl,</w:t>
                                  </w:r>
                                  <w:r w:rsidRPr="0055776F">
                                    <w:rPr>
                                      <w:rFonts w:ascii="Arial" w:hAnsi="Arial" w:cs="Arial"/>
                                      <w:sz w:val="20"/>
                                    </w:rPr>
                                    <w:t xml:space="preserve"> 0</w:t>
                                  </w:r>
                                  <w:r>
                                    <w:rPr>
                                      <w:rFonts w:ascii="Arial" w:hAnsi="Arial" w:cs="Arial"/>
                                      <w:sz w:val="20"/>
                                    </w:rPr>
                                    <w:t>,</w:t>
                                  </w:r>
                                  <w:r w:rsidRPr="0055776F">
                                    <w:rPr>
                                      <w:rFonts w:ascii="Arial" w:hAnsi="Arial" w:cs="Arial"/>
                                      <w:sz w:val="20"/>
                                    </w:rPr>
                                    <w:t>22</w:t>
                                  </w:r>
                                  <w:r>
                                    <w:rPr>
                                      <w:rFonts w:ascii="Arial" w:hAnsi="Arial" w:cs="Arial"/>
                                      <w:sz w:val="20"/>
                                    </w:rPr>
                                    <w:noBreakHyphen/>
                                  </w:r>
                                  <w:r w:rsidRPr="0055776F">
                                    <w:rPr>
                                      <w:rFonts w:ascii="Arial" w:hAnsi="Arial" w:cs="Arial"/>
                                      <w:sz w:val="20"/>
                                    </w:rPr>
                                    <w:t>0</w:t>
                                  </w:r>
                                  <w:r>
                                    <w:rPr>
                                      <w:rFonts w:ascii="Arial" w:hAnsi="Arial" w:cs="Arial"/>
                                      <w:sz w:val="20"/>
                                    </w:rPr>
                                    <w:t>,</w:t>
                                  </w:r>
                                  <w:r w:rsidRPr="0055776F">
                                    <w:rPr>
                                      <w:rFonts w:ascii="Arial" w:hAnsi="Arial" w:cs="Arial"/>
                                      <w:sz w:val="20"/>
                                    </w:rPr>
                                    <w:t>89)</w:t>
                                  </w:r>
                                </w:p>
                              </w:tc>
                            </w:tr>
                            <w:tr w:rsidR="00547367" w:rsidRPr="0055776F" w14:paraId="3119A151" w14:textId="77777777" w:rsidTr="0077258C">
                              <w:tc>
                                <w:tcPr>
                                  <w:tcW w:w="817" w:type="dxa"/>
                                  <w:shd w:val="clear" w:color="auto" w:fill="auto"/>
                                </w:tcPr>
                                <w:p w14:paraId="2EB0D542" w14:textId="77777777" w:rsidR="00547367" w:rsidRPr="0055776F" w:rsidRDefault="00547367" w:rsidP="0077258C">
                                  <w:pPr>
                                    <w:rPr>
                                      <w:rFonts w:ascii="Arial" w:hAnsi="Arial" w:cs="Arial"/>
                                      <w:sz w:val="20"/>
                                    </w:rPr>
                                  </w:pPr>
                                </w:p>
                              </w:tc>
                              <w:tc>
                                <w:tcPr>
                                  <w:tcW w:w="2464" w:type="dxa"/>
                                  <w:shd w:val="clear" w:color="auto" w:fill="auto"/>
                                </w:tcPr>
                                <w:p w14:paraId="50F1FE25" w14:textId="77777777" w:rsidR="00547367" w:rsidRPr="0055776F" w:rsidRDefault="00547367" w:rsidP="0077258C">
                                  <w:pPr>
                                    <w:rPr>
                                      <w:rFonts w:ascii="Arial" w:hAnsi="Arial" w:cs="Arial"/>
                                      <w:sz w:val="20"/>
                                    </w:rPr>
                                  </w:pPr>
                                </w:p>
                              </w:tc>
                              <w:tc>
                                <w:tcPr>
                                  <w:tcW w:w="851" w:type="dxa"/>
                                  <w:tcBorders>
                                    <w:bottom w:val="single" w:sz="4" w:space="0" w:color="auto"/>
                                  </w:tcBorders>
                                  <w:shd w:val="clear" w:color="auto" w:fill="auto"/>
                                </w:tcPr>
                                <w:p w14:paraId="6EAFC1FB" w14:textId="77777777" w:rsidR="00547367" w:rsidRPr="0055776F" w:rsidRDefault="00547367" w:rsidP="0077258C">
                                  <w:pPr>
                                    <w:rPr>
                                      <w:rFonts w:ascii="Arial" w:hAnsi="Arial" w:cs="Arial"/>
                                      <w:sz w:val="20"/>
                                    </w:rPr>
                                  </w:pPr>
                                  <w:r w:rsidRPr="0055776F">
                                    <w:rPr>
                                      <w:rFonts w:ascii="Arial" w:hAnsi="Arial" w:cs="Arial"/>
                                      <w:sz w:val="20"/>
                                      <w:lang w:val="de-DE"/>
                                    </w:rPr>
                                    <w:t>N</w:t>
                                  </w:r>
                                </w:p>
                              </w:tc>
                              <w:tc>
                                <w:tcPr>
                                  <w:tcW w:w="709" w:type="dxa"/>
                                  <w:tcBorders>
                                    <w:bottom w:val="single" w:sz="4" w:space="0" w:color="auto"/>
                                  </w:tcBorders>
                                  <w:shd w:val="clear" w:color="auto" w:fill="auto"/>
                                </w:tcPr>
                                <w:p w14:paraId="67B1B3A4" w14:textId="77777777" w:rsidR="00547367" w:rsidRPr="0055776F" w:rsidRDefault="00547367" w:rsidP="0077258C">
                                  <w:pPr>
                                    <w:rPr>
                                      <w:rFonts w:ascii="Arial" w:hAnsi="Arial" w:cs="Arial"/>
                                      <w:sz w:val="20"/>
                                    </w:rPr>
                                  </w:pPr>
                                  <w:r>
                                    <w:rPr>
                                      <w:rFonts w:ascii="Arial" w:hAnsi="Arial" w:cs="Arial"/>
                                      <w:sz w:val="20"/>
                                      <w:lang w:val="de-DE"/>
                                    </w:rPr>
                                    <w:t>Događaj</w:t>
                                  </w:r>
                                </w:p>
                              </w:tc>
                              <w:tc>
                                <w:tcPr>
                                  <w:tcW w:w="850" w:type="dxa"/>
                                  <w:tcBorders>
                                    <w:bottom w:val="single" w:sz="4" w:space="0" w:color="auto"/>
                                  </w:tcBorders>
                                  <w:shd w:val="clear" w:color="auto" w:fill="auto"/>
                                </w:tcPr>
                                <w:p w14:paraId="2745855A" w14:textId="77777777" w:rsidR="00547367" w:rsidRPr="0055776F" w:rsidRDefault="00547367" w:rsidP="003E04C1">
                                  <w:pPr>
                                    <w:rPr>
                                      <w:rFonts w:ascii="Arial" w:hAnsi="Arial" w:cs="Arial"/>
                                      <w:sz w:val="20"/>
                                    </w:rPr>
                                  </w:pPr>
                                  <w:r w:rsidRPr="0055776F">
                                    <w:rPr>
                                      <w:rFonts w:ascii="Arial" w:hAnsi="Arial" w:cs="Arial"/>
                                      <w:sz w:val="20"/>
                                      <w:lang w:val="de-DE"/>
                                    </w:rPr>
                                    <w:t>Cen</w:t>
                                  </w:r>
                                  <w:r>
                                    <w:rPr>
                                      <w:rFonts w:ascii="Arial" w:hAnsi="Arial" w:cs="Arial"/>
                                      <w:sz w:val="20"/>
                                      <w:lang w:val="de-DE"/>
                                    </w:rPr>
                                    <w:t>zur.</w:t>
                                  </w:r>
                                </w:p>
                              </w:tc>
                            </w:tr>
                            <w:tr w:rsidR="00547367" w:rsidRPr="0055776F" w14:paraId="1DE667E2" w14:textId="77777777" w:rsidTr="0077258C">
                              <w:tc>
                                <w:tcPr>
                                  <w:tcW w:w="817" w:type="dxa"/>
                                  <w:shd w:val="clear" w:color="auto" w:fill="auto"/>
                                </w:tcPr>
                                <w:p w14:paraId="3F4E6F2D" w14:textId="77777777" w:rsidR="00547367" w:rsidRPr="0055776F" w:rsidRDefault="00547367" w:rsidP="0077258C">
                                  <w:pPr>
                                    <w:rPr>
                                      <w:rFonts w:ascii="Arial" w:hAnsi="Arial" w:cs="Arial"/>
                                      <w:sz w:val="20"/>
                                    </w:rPr>
                                  </w:pPr>
                                  <w:r w:rsidRPr="0055776F">
                                    <w:rPr>
                                      <w:rFonts w:ascii="Arial" w:hAnsi="Arial" w:cs="Arial"/>
                                      <w:b/>
                                      <w:sz w:val="20"/>
                                    </w:rPr>
                                    <w:t>——</w:t>
                                  </w:r>
                                </w:p>
                              </w:tc>
                              <w:tc>
                                <w:tcPr>
                                  <w:tcW w:w="2464" w:type="dxa"/>
                                  <w:shd w:val="clear" w:color="auto" w:fill="auto"/>
                                </w:tcPr>
                                <w:p w14:paraId="3F0BE784" w14:textId="77777777" w:rsidR="00547367" w:rsidRPr="0055776F" w:rsidRDefault="00547367" w:rsidP="00490021">
                                  <w:pPr>
                                    <w:rPr>
                                      <w:rFonts w:ascii="Arial" w:hAnsi="Arial" w:cs="Arial"/>
                                      <w:sz w:val="20"/>
                                    </w:rPr>
                                  </w:pPr>
                                  <w:r>
                                    <w:rPr>
                                      <w:rFonts w:ascii="Arial" w:hAnsi="Arial" w:cs="Arial"/>
                                      <w:sz w:val="20"/>
                                    </w:rPr>
                                    <w:t>(1) Imatinib 12 mj.</w:t>
                                  </w:r>
                                  <w:r w:rsidRPr="0055776F">
                                    <w:rPr>
                                      <w:rFonts w:ascii="Arial" w:hAnsi="Arial" w:cs="Arial"/>
                                      <w:sz w:val="20"/>
                                    </w:rPr>
                                    <w:t>:</w:t>
                                  </w:r>
                                </w:p>
                              </w:tc>
                              <w:tc>
                                <w:tcPr>
                                  <w:tcW w:w="851" w:type="dxa"/>
                                  <w:tcBorders>
                                    <w:top w:val="single" w:sz="4" w:space="0" w:color="auto"/>
                                  </w:tcBorders>
                                  <w:shd w:val="clear" w:color="auto" w:fill="auto"/>
                                </w:tcPr>
                                <w:p w14:paraId="46BD8872" w14:textId="77777777" w:rsidR="00547367" w:rsidRPr="0055776F" w:rsidRDefault="00547367" w:rsidP="0077258C">
                                  <w:pPr>
                                    <w:rPr>
                                      <w:rFonts w:ascii="Arial" w:hAnsi="Arial" w:cs="Arial"/>
                                      <w:sz w:val="20"/>
                                    </w:rPr>
                                  </w:pPr>
                                  <w:r w:rsidRPr="0055776F">
                                    <w:rPr>
                                      <w:rFonts w:ascii="Arial" w:hAnsi="Arial" w:cs="Arial"/>
                                      <w:sz w:val="20"/>
                                    </w:rPr>
                                    <w:t>199</w:t>
                                  </w:r>
                                </w:p>
                              </w:tc>
                              <w:tc>
                                <w:tcPr>
                                  <w:tcW w:w="709" w:type="dxa"/>
                                  <w:tcBorders>
                                    <w:top w:val="single" w:sz="4" w:space="0" w:color="auto"/>
                                  </w:tcBorders>
                                  <w:shd w:val="clear" w:color="auto" w:fill="auto"/>
                                </w:tcPr>
                                <w:p w14:paraId="702860EB" w14:textId="77777777" w:rsidR="00547367" w:rsidRPr="0055776F" w:rsidRDefault="00547367" w:rsidP="0077258C">
                                  <w:pPr>
                                    <w:rPr>
                                      <w:rFonts w:ascii="Arial" w:hAnsi="Arial" w:cs="Arial"/>
                                      <w:sz w:val="20"/>
                                    </w:rPr>
                                  </w:pPr>
                                  <w:r w:rsidRPr="0055776F">
                                    <w:rPr>
                                      <w:rFonts w:ascii="Arial" w:hAnsi="Arial" w:cs="Arial"/>
                                      <w:sz w:val="20"/>
                                    </w:rPr>
                                    <w:t>25</w:t>
                                  </w:r>
                                </w:p>
                              </w:tc>
                              <w:tc>
                                <w:tcPr>
                                  <w:tcW w:w="850" w:type="dxa"/>
                                  <w:tcBorders>
                                    <w:top w:val="single" w:sz="4" w:space="0" w:color="auto"/>
                                  </w:tcBorders>
                                  <w:shd w:val="clear" w:color="auto" w:fill="auto"/>
                                </w:tcPr>
                                <w:p w14:paraId="581AF99A" w14:textId="77777777" w:rsidR="00547367" w:rsidRPr="0055776F" w:rsidRDefault="00547367" w:rsidP="0077258C">
                                  <w:pPr>
                                    <w:rPr>
                                      <w:rFonts w:ascii="Arial" w:hAnsi="Arial" w:cs="Arial"/>
                                      <w:sz w:val="20"/>
                                    </w:rPr>
                                  </w:pPr>
                                  <w:r w:rsidRPr="0055776F">
                                    <w:rPr>
                                      <w:rFonts w:ascii="Arial" w:hAnsi="Arial" w:cs="Arial"/>
                                      <w:sz w:val="20"/>
                                    </w:rPr>
                                    <w:t>174</w:t>
                                  </w:r>
                                </w:p>
                              </w:tc>
                            </w:tr>
                            <w:tr w:rsidR="00547367" w:rsidRPr="0055776F" w14:paraId="77860860" w14:textId="77777777" w:rsidTr="0077258C">
                              <w:tc>
                                <w:tcPr>
                                  <w:tcW w:w="817" w:type="dxa"/>
                                  <w:shd w:val="clear" w:color="auto" w:fill="auto"/>
                                </w:tcPr>
                                <w:p w14:paraId="2B2C01E6" w14:textId="77777777" w:rsidR="00547367" w:rsidRPr="0055776F" w:rsidRDefault="00547367" w:rsidP="0077258C">
                                  <w:pPr>
                                    <w:rPr>
                                      <w:rFonts w:ascii="Arial" w:hAnsi="Arial" w:cs="Arial"/>
                                      <w:sz w:val="20"/>
                                    </w:rPr>
                                  </w:pPr>
                                  <w:r w:rsidRPr="0055776F">
                                    <w:rPr>
                                      <w:rFonts w:ascii="Arial" w:hAnsi="Arial" w:cs="Arial"/>
                                      <w:sz w:val="20"/>
                                    </w:rPr>
                                    <w:t>-----</w:t>
                                  </w:r>
                                </w:p>
                              </w:tc>
                              <w:tc>
                                <w:tcPr>
                                  <w:tcW w:w="2464" w:type="dxa"/>
                                  <w:shd w:val="clear" w:color="auto" w:fill="auto"/>
                                </w:tcPr>
                                <w:p w14:paraId="5251A241" w14:textId="77777777" w:rsidR="00547367" w:rsidRPr="0055776F" w:rsidRDefault="00547367" w:rsidP="00490021">
                                  <w:pPr>
                                    <w:rPr>
                                      <w:rFonts w:ascii="Arial" w:hAnsi="Arial" w:cs="Arial"/>
                                      <w:sz w:val="20"/>
                                    </w:rPr>
                                  </w:pPr>
                                  <w:r>
                                    <w:rPr>
                                      <w:rFonts w:ascii="Arial" w:hAnsi="Arial" w:cs="Arial"/>
                                      <w:sz w:val="20"/>
                                    </w:rPr>
                                    <w:t>(2) Imatinib 36 mj.</w:t>
                                  </w:r>
                                  <w:r w:rsidRPr="0055776F">
                                    <w:rPr>
                                      <w:rFonts w:ascii="Arial" w:hAnsi="Arial" w:cs="Arial"/>
                                      <w:sz w:val="20"/>
                                    </w:rPr>
                                    <w:t>:</w:t>
                                  </w:r>
                                </w:p>
                              </w:tc>
                              <w:tc>
                                <w:tcPr>
                                  <w:tcW w:w="851" w:type="dxa"/>
                                  <w:tcBorders>
                                    <w:bottom w:val="single" w:sz="4" w:space="0" w:color="auto"/>
                                  </w:tcBorders>
                                  <w:shd w:val="clear" w:color="auto" w:fill="auto"/>
                                </w:tcPr>
                                <w:p w14:paraId="20CA7F51" w14:textId="77777777" w:rsidR="00547367" w:rsidRPr="0055776F" w:rsidRDefault="00547367" w:rsidP="0077258C">
                                  <w:pPr>
                                    <w:rPr>
                                      <w:rFonts w:ascii="Arial" w:hAnsi="Arial" w:cs="Arial"/>
                                      <w:sz w:val="20"/>
                                    </w:rPr>
                                  </w:pPr>
                                  <w:r w:rsidRPr="0055776F">
                                    <w:rPr>
                                      <w:rFonts w:ascii="Arial" w:hAnsi="Arial" w:cs="Arial"/>
                                      <w:sz w:val="20"/>
                                    </w:rPr>
                                    <w:t>198</w:t>
                                  </w:r>
                                </w:p>
                              </w:tc>
                              <w:tc>
                                <w:tcPr>
                                  <w:tcW w:w="709" w:type="dxa"/>
                                  <w:tcBorders>
                                    <w:bottom w:val="single" w:sz="4" w:space="0" w:color="auto"/>
                                  </w:tcBorders>
                                  <w:shd w:val="clear" w:color="auto" w:fill="auto"/>
                                </w:tcPr>
                                <w:p w14:paraId="138308E4" w14:textId="77777777" w:rsidR="00547367" w:rsidRPr="0055776F" w:rsidRDefault="00547367" w:rsidP="0077258C">
                                  <w:pPr>
                                    <w:rPr>
                                      <w:rFonts w:ascii="Arial" w:hAnsi="Arial" w:cs="Arial"/>
                                      <w:sz w:val="20"/>
                                    </w:rPr>
                                  </w:pPr>
                                  <w:r w:rsidRPr="0055776F">
                                    <w:rPr>
                                      <w:rFonts w:ascii="Arial" w:hAnsi="Arial" w:cs="Arial"/>
                                      <w:sz w:val="20"/>
                                    </w:rPr>
                                    <w:t>12</w:t>
                                  </w:r>
                                </w:p>
                              </w:tc>
                              <w:tc>
                                <w:tcPr>
                                  <w:tcW w:w="850" w:type="dxa"/>
                                  <w:tcBorders>
                                    <w:bottom w:val="single" w:sz="4" w:space="0" w:color="auto"/>
                                  </w:tcBorders>
                                  <w:shd w:val="clear" w:color="auto" w:fill="auto"/>
                                </w:tcPr>
                                <w:p w14:paraId="24F8CABA" w14:textId="77777777" w:rsidR="00547367" w:rsidRPr="0055776F" w:rsidRDefault="00547367" w:rsidP="0077258C">
                                  <w:pPr>
                                    <w:rPr>
                                      <w:rFonts w:ascii="Arial" w:hAnsi="Arial" w:cs="Arial"/>
                                      <w:sz w:val="20"/>
                                    </w:rPr>
                                  </w:pPr>
                                  <w:r w:rsidRPr="0055776F">
                                    <w:rPr>
                                      <w:rFonts w:ascii="Arial" w:hAnsi="Arial" w:cs="Arial"/>
                                      <w:sz w:val="20"/>
                                    </w:rPr>
                                    <w:t>186</w:t>
                                  </w:r>
                                </w:p>
                              </w:tc>
                            </w:tr>
                            <w:tr w:rsidR="00547367" w:rsidRPr="0055776F" w14:paraId="1C73AE79" w14:textId="77777777" w:rsidTr="0077258C">
                              <w:tc>
                                <w:tcPr>
                                  <w:tcW w:w="817" w:type="dxa"/>
                                  <w:shd w:val="clear" w:color="auto" w:fill="auto"/>
                                </w:tcPr>
                                <w:p w14:paraId="6BFC3DAA" w14:textId="77777777" w:rsidR="00547367" w:rsidRPr="0055776F" w:rsidRDefault="00547367" w:rsidP="0077258C">
                                  <w:pPr>
                                    <w:rPr>
                                      <w:rFonts w:ascii="Arial" w:hAnsi="Arial" w:cs="Arial"/>
                                      <w:sz w:val="20"/>
                                    </w:rPr>
                                  </w:pPr>
                                  <w:r w:rsidRPr="0055776F">
                                    <w:rPr>
                                      <w:rFonts w:ascii="Arial" w:hAnsi="Arial" w:cs="Arial"/>
                                      <w:sz w:val="20"/>
                                    </w:rPr>
                                    <w:t>│││</w:t>
                                  </w:r>
                                </w:p>
                              </w:tc>
                              <w:tc>
                                <w:tcPr>
                                  <w:tcW w:w="2464" w:type="dxa"/>
                                  <w:shd w:val="clear" w:color="auto" w:fill="auto"/>
                                </w:tcPr>
                                <w:p w14:paraId="46D68716" w14:textId="77777777" w:rsidR="00547367" w:rsidRPr="0055776F" w:rsidRDefault="00547367" w:rsidP="0077258C">
                                  <w:pPr>
                                    <w:rPr>
                                      <w:rFonts w:ascii="Arial" w:hAnsi="Arial" w:cs="Arial"/>
                                      <w:sz w:val="20"/>
                                    </w:rPr>
                                  </w:pPr>
                                  <w:r>
                                    <w:rPr>
                                      <w:rFonts w:ascii="Arial" w:hAnsi="Arial" w:cs="Arial"/>
                                      <w:sz w:val="20"/>
                                    </w:rPr>
                                    <w:t>Cenzurirana opažanja</w:t>
                                  </w:r>
                                </w:p>
                              </w:tc>
                              <w:tc>
                                <w:tcPr>
                                  <w:tcW w:w="851" w:type="dxa"/>
                                  <w:tcBorders>
                                    <w:top w:val="single" w:sz="4" w:space="0" w:color="auto"/>
                                  </w:tcBorders>
                                  <w:shd w:val="clear" w:color="auto" w:fill="auto"/>
                                </w:tcPr>
                                <w:p w14:paraId="2F093939" w14:textId="77777777" w:rsidR="00547367" w:rsidRPr="0055776F" w:rsidRDefault="00547367" w:rsidP="0077258C">
                                  <w:pPr>
                                    <w:rPr>
                                      <w:rFonts w:ascii="Arial" w:hAnsi="Arial" w:cs="Arial"/>
                                      <w:sz w:val="20"/>
                                    </w:rPr>
                                  </w:pPr>
                                </w:p>
                              </w:tc>
                              <w:tc>
                                <w:tcPr>
                                  <w:tcW w:w="709" w:type="dxa"/>
                                  <w:tcBorders>
                                    <w:top w:val="single" w:sz="4" w:space="0" w:color="auto"/>
                                  </w:tcBorders>
                                  <w:shd w:val="clear" w:color="auto" w:fill="auto"/>
                                </w:tcPr>
                                <w:p w14:paraId="0FE51E92" w14:textId="77777777" w:rsidR="00547367" w:rsidRPr="0055776F" w:rsidRDefault="00547367" w:rsidP="0077258C">
                                  <w:pPr>
                                    <w:rPr>
                                      <w:rFonts w:ascii="Arial" w:hAnsi="Arial" w:cs="Arial"/>
                                      <w:sz w:val="20"/>
                                    </w:rPr>
                                  </w:pPr>
                                </w:p>
                              </w:tc>
                              <w:tc>
                                <w:tcPr>
                                  <w:tcW w:w="850" w:type="dxa"/>
                                  <w:tcBorders>
                                    <w:top w:val="single" w:sz="4" w:space="0" w:color="auto"/>
                                  </w:tcBorders>
                                  <w:shd w:val="clear" w:color="auto" w:fill="auto"/>
                                </w:tcPr>
                                <w:p w14:paraId="63D278DD" w14:textId="77777777" w:rsidR="00547367" w:rsidRPr="0055776F" w:rsidRDefault="00547367" w:rsidP="0077258C">
                                  <w:pPr>
                                    <w:rPr>
                                      <w:rFonts w:ascii="Arial" w:hAnsi="Arial" w:cs="Arial"/>
                                      <w:sz w:val="20"/>
                                    </w:rPr>
                                  </w:pPr>
                                </w:p>
                              </w:tc>
                            </w:tr>
                          </w:tbl>
                          <w:p w14:paraId="1CF918EC" w14:textId="77777777" w:rsidR="00547367" w:rsidRPr="00A33DBA" w:rsidRDefault="00547367" w:rsidP="00BE41B8">
                            <w:pPr>
                              <w:rPr>
                                <w:rFonts w:ascii="Arial" w:hAnsi="Arial" w:cs="Arial"/>
                                <w:sz w:val="20"/>
                              </w:rPr>
                            </w:pPr>
                          </w:p>
                          <w:p w14:paraId="1B3DDBB8" w14:textId="77777777" w:rsidR="00547367" w:rsidRPr="00A33DBA" w:rsidRDefault="00547367" w:rsidP="00BE41B8">
                            <w:pPr>
                              <w:rPr>
                                <w:rFonts w:ascii="Arial" w:hAnsi="Arial" w:cs="Arial"/>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F6D394D" id="_x0000_s1036" type="#_x0000_t202" style="position:absolute;left:0;text-align:left;margin-left:27.6pt;margin-top:68.2pt;width:361.05pt;height:1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" filled="f" stroked="f">
                <v:textbox>
                  <w:txbxContent>
                    <w:p w14:paraId="0AEA6E67" w14:textId="77777777" w:rsidR="00547367" w:rsidRDefault="00547367" w:rsidP="00BE41B8">
                      <w:pPr>
                        <w:rPr>
                          <w:rFonts w:ascii="Arial" w:hAnsi="Arial" w:cs="Arial"/>
                          <w:sz w:val="20"/>
                        </w:rPr>
                      </w:pPr>
                    </w:p>
                    <w:tbl>
                      <w:tblPr>
                        <w:tblW w:w="0" w:type="auto"/>
                        <w:tblLook w:val="04A0" w:firstRow="1" w:lastRow="0" w:firstColumn="1" w:lastColumn="0" w:noHBand="0" w:noVBand="1"/>
                      </w:tblPr>
                      <w:tblGrid>
                        <w:gridCol w:w="817"/>
                        <w:gridCol w:w="2464"/>
                        <w:gridCol w:w="851"/>
                        <w:gridCol w:w="962"/>
                        <w:gridCol w:w="917"/>
                      </w:tblGrid>
                      <w:tr w:rsidR="00547367" w:rsidRPr="0055776F" w14:paraId="78494A35" w14:textId="77777777" w:rsidTr="0077258C">
                        <w:tc>
                          <w:tcPr>
                            <w:tcW w:w="5691" w:type="dxa"/>
                            <w:gridSpan w:val="5"/>
                            <w:shd w:val="clear" w:color="auto" w:fill="auto"/>
                          </w:tcPr>
                          <w:p w14:paraId="5E9A1CA3" w14:textId="77777777" w:rsidR="00547367" w:rsidRPr="0055776F" w:rsidRDefault="00547367" w:rsidP="0077258C">
                            <w:pPr>
                              <w:rPr>
                                <w:rFonts w:ascii="Arial" w:hAnsi="Arial" w:cs="Arial"/>
                                <w:sz w:val="20"/>
                              </w:rPr>
                            </w:pPr>
                            <w:r>
                              <w:rPr>
                                <w:rFonts w:ascii="Arial" w:hAnsi="Arial" w:cs="Arial"/>
                                <w:sz w:val="20"/>
                              </w:rPr>
                              <w:t>P =</w:t>
                            </w:r>
                            <w:r w:rsidRPr="0055776F">
                              <w:rPr>
                                <w:rFonts w:ascii="Arial" w:hAnsi="Arial" w:cs="Arial"/>
                                <w:sz w:val="20"/>
                              </w:rPr>
                              <w:t xml:space="preserve"> 0</w:t>
                            </w:r>
                            <w:r>
                              <w:rPr>
                                <w:rFonts w:ascii="Arial" w:hAnsi="Arial" w:cs="Arial"/>
                                <w:sz w:val="20"/>
                              </w:rPr>
                              <w:t>,0</w:t>
                            </w:r>
                            <w:r w:rsidRPr="0055776F">
                              <w:rPr>
                                <w:rFonts w:ascii="Arial" w:hAnsi="Arial" w:cs="Arial"/>
                                <w:sz w:val="20"/>
                              </w:rPr>
                              <w:t>19</w:t>
                            </w:r>
                          </w:p>
                          <w:p w14:paraId="59499465" w14:textId="77777777" w:rsidR="00547367" w:rsidRPr="0055776F" w:rsidRDefault="00547367" w:rsidP="0077258C">
                            <w:pPr>
                              <w:rPr>
                                <w:rFonts w:ascii="Arial" w:hAnsi="Arial" w:cs="Arial"/>
                                <w:sz w:val="20"/>
                              </w:rPr>
                            </w:pPr>
                            <w:r>
                              <w:rPr>
                                <w:rFonts w:ascii="Arial" w:hAnsi="Arial" w:cs="Arial"/>
                                <w:sz w:val="20"/>
                              </w:rPr>
                              <w:t>Omjer rizika</w:t>
                            </w:r>
                            <w:r w:rsidRPr="0055776F">
                              <w:rPr>
                                <w:rFonts w:ascii="Arial" w:hAnsi="Arial" w:cs="Arial"/>
                                <w:sz w:val="20"/>
                              </w:rPr>
                              <w:t xml:space="preserve"> 0</w:t>
                            </w:r>
                            <w:r>
                              <w:rPr>
                                <w:rFonts w:ascii="Arial" w:hAnsi="Arial" w:cs="Arial"/>
                                <w:sz w:val="20"/>
                              </w:rPr>
                              <w:t>,</w:t>
                            </w:r>
                            <w:r w:rsidRPr="0055776F">
                              <w:rPr>
                                <w:rFonts w:ascii="Arial" w:hAnsi="Arial" w:cs="Arial"/>
                                <w:sz w:val="20"/>
                              </w:rPr>
                              <w:t>45</w:t>
                            </w:r>
                          </w:p>
                          <w:p w14:paraId="76CED834" w14:textId="77777777" w:rsidR="00547367" w:rsidRPr="0055776F" w:rsidRDefault="00547367" w:rsidP="00490021">
                            <w:pPr>
                              <w:rPr>
                                <w:rFonts w:ascii="Arial" w:hAnsi="Arial" w:cs="Arial"/>
                                <w:sz w:val="20"/>
                                <w:lang w:val="de-DE"/>
                              </w:rPr>
                            </w:pPr>
                            <w:r w:rsidRPr="0055776F">
                              <w:rPr>
                                <w:rFonts w:ascii="Arial" w:hAnsi="Arial" w:cs="Arial"/>
                                <w:sz w:val="20"/>
                              </w:rPr>
                              <w:t xml:space="preserve">(95% </w:t>
                            </w:r>
                            <w:r w:rsidRPr="00B014D4">
                              <w:rPr>
                                <w:rFonts w:ascii="Arial" w:hAnsi="Arial" w:cs="Arial"/>
                                <w:sz w:val="20"/>
                              </w:rPr>
                              <w:t>Cl,</w:t>
                            </w:r>
                            <w:r w:rsidRPr="0055776F">
                              <w:rPr>
                                <w:rFonts w:ascii="Arial" w:hAnsi="Arial" w:cs="Arial"/>
                                <w:sz w:val="20"/>
                              </w:rPr>
                              <w:t xml:space="preserve"> 0</w:t>
                            </w:r>
                            <w:r>
                              <w:rPr>
                                <w:rFonts w:ascii="Arial" w:hAnsi="Arial" w:cs="Arial"/>
                                <w:sz w:val="20"/>
                              </w:rPr>
                              <w:t>,</w:t>
                            </w:r>
                            <w:r w:rsidRPr="0055776F">
                              <w:rPr>
                                <w:rFonts w:ascii="Arial" w:hAnsi="Arial" w:cs="Arial"/>
                                <w:sz w:val="20"/>
                              </w:rPr>
                              <w:t>22</w:t>
                            </w:r>
                            <w:r>
                              <w:rPr>
                                <w:rFonts w:ascii="Arial" w:hAnsi="Arial" w:cs="Arial"/>
                                <w:sz w:val="20"/>
                              </w:rPr>
                              <w:noBreakHyphen/>
                            </w:r>
                            <w:r w:rsidRPr="0055776F">
                              <w:rPr>
                                <w:rFonts w:ascii="Arial" w:hAnsi="Arial" w:cs="Arial"/>
                                <w:sz w:val="20"/>
                              </w:rPr>
                              <w:t>0</w:t>
                            </w:r>
                            <w:r>
                              <w:rPr>
                                <w:rFonts w:ascii="Arial" w:hAnsi="Arial" w:cs="Arial"/>
                                <w:sz w:val="20"/>
                              </w:rPr>
                              <w:t>,</w:t>
                            </w:r>
                            <w:r w:rsidRPr="0055776F">
                              <w:rPr>
                                <w:rFonts w:ascii="Arial" w:hAnsi="Arial" w:cs="Arial"/>
                                <w:sz w:val="20"/>
                              </w:rPr>
                              <w:t>89)</w:t>
                            </w:r>
                          </w:p>
                        </w:tc>
                      </w:tr>
                      <w:tr w:rsidR="00547367" w:rsidRPr="0055776F" w14:paraId="3119A151" w14:textId="77777777" w:rsidTr="0077258C">
                        <w:tc>
                          <w:tcPr>
                            <w:tcW w:w="817" w:type="dxa"/>
                            <w:shd w:val="clear" w:color="auto" w:fill="auto"/>
                          </w:tcPr>
                          <w:p w14:paraId="2EB0D542" w14:textId="77777777" w:rsidR="00547367" w:rsidRPr="0055776F" w:rsidRDefault="00547367" w:rsidP="0077258C">
                            <w:pPr>
                              <w:rPr>
                                <w:rFonts w:ascii="Arial" w:hAnsi="Arial" w:cs="Arial"/>
                                <w:sz w:val="20"/>
                              </w:rPr>
                            </w:pPr>
                          </w:p>
                        </w:tc>
                        <w:tc>
                          <w:tcPr>
                            <w:tcW w:w="2464" w:type="dxa"/>
                            <w:shd w:val="clear" w:color="auto" w:fill="auto"/>
                          </w:tcPr>
                          <w:p w14:paraId="50F1FE25" w14:textId="77777777" w:rsidR="00547367" w:rsidRPr="0055776F" w:rsidRDefault="00547367" w:rsidP="0077258C">
                            <w:pPr>
                              <w:rPr>
                                <w:rFonts w:ascii="Arial" w:hAnsi="Arial" w:cs="Arial"/>
                                <w:sz w:val="20"/>
                              </w:rPr>
                            </w:pPr>
                          </w:p>
                        </w:tc>
                        <w:tc>
                          <w:tcPr>
                            <w:tcW w:w="851" w:type="dxa"/>
                            <w:tcBorders>
                              <w:bottom w:val="single" w:sz="4" w:space="0" w:color="auto"/>
                            </w:tcBorders>
                            <w:shd w:val="clear" w:color="auto" w:fill="auto"/>
                          </w:tcPr>
                          <w:p w14:paraId="6EAFC1FB" w14:textId="77777777" w:rsidR="00547367" w:rsidRPr="0055776F" w:rsidRDefault="00547367" w:rsidP="0077258C">
                            <w:pPr>
                              <w:rPr>
                                <w:rFonts w:ascii="Arial" w:hAnsi="Arial" w:cs="Arial"/>
                                <w:sz w:val="20"/>
                              </w:rPr>
                            </w:pPr>
                            <w:r w:rsidRPr="0055776F">
                              <w:rPr>
                                <w:rFonts w:ascii="Arial" w:hAnsi="Arial" w:cs="Arial"/>
                                <w:sz w:val="20"/>
                                <w:lang w:val="de-DE"/>
                              </w:rPr>
                              <w:t>N</w:t>
                            </w:r>
                          </w:p>
                        </w:tc>
                        <w:tc>
                          <w:tcPr>
                            <w:tcW w:w="709" w:type="dxa"/>
                            <w:tcBorders>
                              <w:bottom w:val="single" w:sz="4" w:space="0" w:color="auto"/>
                            </w:tcBorders>
                            <w:shd w:val="clear" w:color="auto" w:fill="auto"/>
                          </w:tcPr>
                          <w:p w14:paraId="67B1B3A4" w14:textId="77777777" w:rsidR="00547367" w:rsidRPr="0055776F" w:rsidRDefault="00547367" w:rsidP="0077258C">
                            <w:pPr>
                              <w:rPr>
                                <w:rFonts w:ascii="Arial" w:hAnsi="Arial" w:cs="Arial"/>
                                <w:sz w:val="20"/>
                              </w:rPr>
                            </w:pPr>
                            <w:r>
                              <w:rPr>
                                <w:rFonts w:ascii="Arial" w:hAnsi="Arial" w:cs="Arial"/>
                                <w:sz w:val="20"/>
                                <w:lang w:val="de-DE"/>
                              </w:rPr>
                              <w:t>Događaj</w:t>
                            </w:r>
                          </w:p>
                        </w:tc>
                        <w:tc>
                          <w:tcPr>
                            <w:tcW w:w="850" w:type="dxa"/>
                            <w:tcBorders>
                              <w:bottom w:val="single" w:sz="4" w:space="0" w:color="auto"/>
                            </w:tcBorders>
                            <w:shd w:val="clear" w:color="auto" w:fill="auto"/>
                          </w:tcPr>
                          <w:p w14:paraId="2745855A" w14:textId="77777777" w:rsidR="00547367" w:rsidRPr="0055776F" w:rsidRDefault="00547367" w:rsidP="003E04C1">
                            <w:pPr>
                              <w:rPr>
                                <w:rFonts w:ascii="Arial" w:hAnsi="Arial" w:cs="Arial"/>
                                <w:sz w:val="20"/>
                              </w:rPr>
                            </w:pPr>
                            <w:r w:rsidRPr="0055776F">
                              <w:rPr>
                                <w:rFonts w:ascii="Arial" w:hAnsi="Arial" w:cs="Arial"/>
                                <w:sz w:val="20"/>
                                <w:lang w:val="de-DE"/>
                              </w:rPr>
                              <w:t>Cen</w:t>
                            </w:r>
                            <w:r>
                              <w:rPr>
                                <w:rFonts w:ascii="Arial" w:hAnsi="Arial" w:cs="Arial"/>
                                <w:sz w:val="20"/>
                                <w:lang w:val="de-DE"/>
                              </w:rPr>
                              <w:t>zur.</w:t>
                            </w:r>
                          </w:p>
                        </w:tc>
                      </w:tr>
                      <w:tr w:rsidR="00547367" w:rsidRPr="0055776F" w14:paraId="1DE667E2" w14:textId="77777777" w:rsidTr="0077258C">
                        <w:tc>
                          <w:tcPr>
                            <w:tcW w:w="817" w:type="dxa"/>
                            <w:shd w:val="clear" w:color="auto" w:fill="auto"/>
                          </w:tcPr>
                          <w:p w14:paraId="3F4E6F2D" w14:textId="77777777" w:rsidR="00547367" w:rsidRPr="0055776F" w:rsidRDefault="00547367" w:rsidP="0077258C">
                            <w:pPr>
                              <w:rPr>
                                <w:rFonts w:ascii="Arial" w:hAnsi="Arial" w:cs="Arial"/>
                                <w:sz w:val="20"/>
                              </w:rPr>
                            </w:pPr>
                            <w:r w:rsidRPr="0055776F">
                              <w:rPr>
                                <w:rFonts w:ascii="Arial" w:hAnsi="Arial" w:cs="Arial"/>
                                <w:b/>
                                <w:sz w:val="20"/>
                              </w:rPr>
                              <w:t>——</w:t>
                            </w:r>
                          </w:p>
                        </w:tc>
                        <w:tc>
                          <w:tcPr>
                            <w:tcW w:w="2464" w:type="dxa"/>
                            <w:shd w:val="clear" w:color="auto" w:fill="auto"/>
                          </w:tcPr>
                          <w:p w14:paraId="3F0BE784" w14:textId="77777777" w:rsidR="00547367" w:rsidRPr="0055776F" w:rsidRDefault="00547367" w:rsidP="00490021">
                            <w:pPr>
                              <w:rPr>
                                <w:rFonts w:ascii="Arial" w:hAnsi="Arial" w:cs="Arial"/>
                                <w:sz w:val="20"/>
                              </w:rPr>
                            </w:pPr>
                            <w:r>
                              <w:rPr>
                                <w:rFonts w:ascii="Arial" w:hAnsi="Arial" w:cs="Arial"/>
                                <w:sz w:val="20"/>
                              </w:rPr>
                              <w:t>(1) Imatinib 12 mj.</w:t>
                            </w:r>
                            <w:r w:rsidRPr="0055776F">
                              <w:rPr>
                                <w:rFonts w:ascii="Arial" w:hAnsi="Arial" w:cs="Arial"/>
                                <w:sz w:val="20"/>
                              </w:rPr>
                              <w:t>:</w:t>
                            </w:r>
                          </w:p>
                        </w:tc>
                        <w:tc>
                          <w:tcPr>
                            <w:tcW w:w="851" w:type="dxa"/>
                            <w:tcBorders>
                              <w:top w:val="single" w:sz="4" w:space="0" w:color="auto"/>
                            </w:tcBorders>
                            <w:shd w:val="clear" w:color="auto" w:fill="auto"/>
                          </w:tcPr>
                          <w:p w14:paraId="46BD8872" w14:textId="77777777" w:rsidR="00547367" w:rsidRPr="0055776F" w:rsidRDefault="00547367" w:rsidP="0077258C">
                            <w:pPr>
                              <w:rPr>
                                <w:rFonts w:ascii="Arial" w:hAnsi="Arial" w:cs="Arial"/>
                                <w:sz w:val="20"/>
                              </w:rPr>
                            </w:pPr>
                            <w:r w:rsidRPr="0055776F">
                              <w:rPr>
                                <w:rFonts w:ascii="Arial" w:hAnsi="Arial" w:cs="Arial"/>
                                <w:sz w:val="20"/>
                              </w:rPr>
                              <w:t>199</w:t>
                            </w:r>
                          </w:p>
                        </w:tc>
                        <w:tc>
                          <w:tcPr>
                            <w:tcW w:w="709" w:type="dxa"/>
                            <w:tcBorders>
                              <w:top w:val="single" w:sz="4" w:space="0" w:color="auto"/>
                            </w:tcBorders>
                            <w:shd w:val="clear" w:color="auto" w:fill="auto"/>
                          </w:tcPr>
                          <w:p w14:paraId="702860EB" w14:textId="77777777" w:rsidR="00547367" w:rsidRPr="0055776F" w:rsidRDefault="00547367" w:rsidP="0077258C">
                            <w:pPr>
                              <w:rPr>
                                <w:rFonts w:ascii="Arial" w:hAnsi="Arial" w:cs="Arial"/>
                                <w:sz w:val="20"/>
                              </w:rPr>
                            </w:pPr>
                            <w:r w:rsidRPr="0055776F">
                              <w:rPr>
                                <w:rFonts w:ascii="Arial" w:hAnsi="Arial" w:cs="Arial"/>
                                <w:sz w:val="20"/>
                              </w:rPr>
                              <w:t>25</w:t>
                            </w:r>
                          </w:p>
                        </w:tc>
                        <w:tc>
                          <w:tcPr>
                            <w:tcW w:w="850" w:type="dxa"/>
                            <w:tcBorders>
                              <w:top w:val="single" w:sz="4" w:space="0" w:color="auto"/>
                            </w:tcBorders>
                            <w:shd w:val="clear" w:color="auto" w:fill="auto"/>
                          </w:tcPr>
                          <w:p w14:paraId="581AF99A" w14:textId="77777777" w:rsidR="00547367" w:rsidRPr="0055776F" w:rsidRDefault="00547367" w:rsidP="0077258C">
                            <w:pPr>
                              <w:rPr>
                                <w:rFonts w:ascii="Arial" w:hAnsi="Arial" w:cs="Arial"/>
                                <w:sz w:val="20"/>
                              </w:rPr>
                            </w:pPr>
                            <w:r w:rsidRPr="0055776F">
                              <w:rPr>
                                <w:rFonts w:ascii="Arial" w:hAnsi="Arial" w:cs="Arial"/>
                                <w:sz w:val="20"/>
                              </w:rPr>
                              <w:t>174</w:t>
                            </w:r>
                          </w:p>
                        </w:tc>
                      </w:tr>
                      <w:tr w:rsidR="00547367" w:rsidRPr="0055776F" w14:paraId="77860860" w14:textId="77777777" w:rsidTr="0077258C">
                        <w:tc>
                          <w:tcPr>
                            <w:tcW w:w="817" w:type="dxa"/>
                            <w:shd w:val="clear" w:color="auto" w:fill="auto"/>
                          </w:tcPr>
                          <w:p w14:paraId="2B2C01E6" w14:textId="77777777" w:rsidR="00547367" w:rsidRPr="0055776F" w:rsidRDefault="00547367" w:rsidP="0077258C">
                            <w:pPr>
                              <w:rPr>
                                <w:rFonts w:ascii="Arial" w:hAnsi="Arial" w:cs="Arial"/>
                                <w:sz w:val="20"/>
                              </w:rPr>
                            </w:pPr>
                            <w:r w:rsidRPr="0055776F">
                              <w:rPr>
                                <w:rFonts w:ascii="Arial" w:hAnsi="Arial" w:cs="Arial"/>
                                <w:sz w:val="20"/>
                              </w:rPr>
                              <w:t>-----</w:t>
                            </w:r>
                          </w:p>
                        </w:tc>
                        <w:tc>
                          <w:tcPr>
                            <w:tcW w:w="2464" w:type="dxa"/>
                            <w:shd w:val="clear" w:color="auto" w:fill="auto"/>
                          </w:tcPr>
                          <w:p w14:paraId="5251A241" w14:textId="77777777" w:rsidR="00547367" w:rsidRPr="0055776F" w:rsidRDefault="00547367" w:rsidP="00490021">
                            <w:pPr>
                              <w:rPr>
                                <w:rFonts w:ascii="Arial" w:hAnsi="Arial" w:cs="Arial"/>
                                <w:sz w:val="20"/>
                              </w:rPr>
                            </w:pPr>
                            <w:r>
                              <w:rPr>
                                <w:rFonts w:ascii="Arial" w:hAnsi="Arial" w:cs="Arial"/>
                                <w:sz w:val="20"/>
                              </w:rPr>
                              <w:t>(2) Imatinib 36 mj.</w:t>
                            </w:r>
                            <w:r w:rsidRPr="0055776F">
                              <w:rPr>
                                <w:rFonts w:ascii="Arial" w:hAnsi="Arial" w:cs="Arial"/>
                                <w:sz w:val="20"/>
                              </w:rPr>
                              <w:t>:</w:t>
                            </w:r>
                          </w:p>
                        </w:tc>
                        <w:tc>
                          <w:tcPr>
                            <w:tcW w:w="851" w:type="dxa"/>
                            <w:tcBorders>
                              <w:bottom w:val="single" w:sz="4" w:space="0" w:color="auto"/>
                            </w:tcBorders>
                            <w:shd w:val="clear" w:color="auto" w:fill="auto"/>
                          </w:tcPr>
                          <w:p w14:paraId="20CA7F51" w14:textId="77777777" w:rsidR="00547367" w:rsidRPr="0055776F" w:rsidRDefault="00547367" w:rsidP="0077258C">
                            <w:pPr>
                              <w:rPr>
                                <w:rFonts w:ascii="Arial" w:hAnsi="Arial" w:cs="Arial"/>
                                <w:sz w:val="20"/>
                              </w:rPr>
                            </w:pPr>
                            <w:r w:rsidRPr="0055776F">
                              <w:rPr>
                                <w:rFonts w:ascii="Arial" w:hAnsi="Arial" w:cs="Arial"/>
                                <w:sz w:val="20"/>
                              </w:rPr>
                              <w:t>198</w:t>
                            </w:r>
                          </w:p>
                        </w:tc>
                        <w:tc>
                          <w:tcPr>
                            <w:tcW w:w="709" w:type="dxa"/>
                            <w:tcBorders>
                              <w:bottom w:val="single" w:sz="4" w:space="0" w:color="auto"/>
                            </w:tcBorders>
                            <w:shd w:val="clear" w:color="auto" w:fill="auto"/>
                          </w:tcPr>
                          <w:p w14:paraId="138308E4" w14:textId="77777777" w:rsidR="00547367" w:rsidRPr="0055776F" w:rsidRDefault="00547367" w:rsidP="0077258C">
                            <w:pPr>
                              <w:rPr>
                                <w:rFonts w:ascii="Arial" w:hAnsi="Arial" w:cs="Arial"/>
                                <w:sz w:val="20"/>
                              </w:rPr>
                            </w:pPr>
                            <w:r w:rsidRPr="0055776F">
                              <w:rPr>
                                <w:rFonts w:ascii="Arial" w:hAnsi="Arial" w:cs="Arial"/>
                                <w:sz w:val="20"/>
                              </w:rPr>
                              <w:t>12</w:t>
                            </w:r>
                          </w:p>
                        </w:tc>
                        <w:tc>
                          <w:tcPr>
                            <w:tcW w:w="850" w:type="dxa"/>
                            <w:tcBorders>
                              <w:bottom w:val="single" w:sz="4" w:space="0" w:color="auto"/>
                            </w:tcBorders>
                            <w:shd w:val="clear" w:color="auto" w:fill="auto"/>
                          </w:tcPr>
                          <w:p w14:paraId="24F8CABA" w14:textId="77777777" w:rsidR="00547367" w:rsidRPr="0055776F" w:rsidRDefault="00547367" w:rsidP="0077258C">
                            <w:pPr>
                              <w:rPr>
                                <w:rFonts w:ascii="Arial" w:hAnsi="Arial" w:cs="Arial"/>
                                <w:sz w:val="20"/>
                              </w:rPr>
                            </w:pPr>
                            <w:r w:rsidRPr="0055776F">
                              <w:rPr>
                                <w:rFonts w:ascii="Arial" w:hAnsi="Arial" w:cs="Arial"/>
                                <w:sz w:val="20"/>
                              </w:rPr>
                              <w:t>186</w:t>
                            </w:r>
                          </w:p>
                        </w:tc>
                      </w:tr>
                      <w:tr w:rsidR="00547367" w:rsidRPr="0055776F" w14:paraId="1C73AE79" w14:textId="77777777" w:rsidTr="0077258C">
                        <w:tc>
                          <w:tcPr>
                            <w:tcW w:w="817" w:type="dxa"/>
                            <w:shd w:val="clear" w:color="auto" w:fill="auto"/>
                          </w:tcPr>
                          <w:p w14:paraId="6BFC3DAA" w14:textId="77777777" w:rsidR="00547367" w:rsidRPr="0055776F" w:rsidRDefault="00547367" w:rsidP="0077258C">
                            <w:pPr>
                              <w:rPr>
                                <w:rFonts w:ascii="Arial" w:hAnsi="Arial" w:cs="Arial"/>
                                <w:sz w:val="20"/>
                              </w:rPr>
                            </w:pPr>
                            <w:r w:rsidRPr="0055776F">
                              <w:rPr>
                                <w:rFonts w:ascii="Arial" w:hAnsi="Arial" w:cs="Arial"/>
                                <w:sz w:val="20"/>
                              </w:rPr>
                              <w:t>│││</w:t>
                            </w:r>
                          </w:p>
                        </w:tc>
                        <w:tc>
                          <w:tcPr>
                            <w:tcW w:w="2464" w:type="dxa"/>
                            <w:shd w:val="clear" w:color="auto" w:fill="auto"/>
                          </w:tcPr>
                          <w:p w14:paraId="46D68716" w14:textId="77777777" w:rsidR="00547367" w:rsidRPr="0055776F" w:rsidRDefault="00547367" w:rsidP="0077258C">
                            <w:pPr>
                              <w:rPr>
                                <w:rFonts w:ascii="Arial" w:hAnsi="Arial" w:cs="Arial"/>
                                <w:sz w:val="20"/>
                              </w:rPr>
                            </w:pPr>
                            <w:r>
                              <w:rPr>
                                <w:rFonts w:ascii="Arial" w:hAnsi="Arial" w:cs="Arial"/>
                                <w:sz w:val="20"/>
                              </w:rPr>
                              <w:t>Cenzurirana opažanja</w:t>
                            </w:r>
                          </w:p>
                        </w:tc>
                        <w:tc>
                          <w:tcPr>
                            <w:tcW w:w="851" w:type="dxa"/>
                            <w:tcBorders>
                              <w:top w:val="single" w:sz="4" w:space="0" w:color="auto"/>
                            </w:tcBorders>
                            <w:shd w:val="clear" w:color="auto" w:fill="auto"/>
                          </w:tcPr>
                          <w:p w14:paraId="2F093939" w14:textId="77777777" w:rsidR="00547367" w:rsidRPr="0055776F" w:rsidRDefault="00547367" w:rsidP="0077258C">
                            <w:pPr>
                              <w:rPr>
                                <w:rFonts w:ascii="Arial" w:hAnsi="Arial" w:cs="Arial"/>
                                <w:sz w:val="20"/>
                              </w:rPr>
                            </w:pPr>
                          </w:p>
                        </w:tc>
                        <w:tc>
                          <w:tcPr>
                            <w:tcW w:w="709" w:type="dxa"/>
                            <w:tcBorders>
                              <w:top w:val="single" w:sz="4" w:space="0" w:color="auto"/>
                            </w:tcBorders>
                            <w:shd w:val="clear" w:color="auto" w:fill="auto"/>
                          </w:tcPr>
                          <w:p w14:paraId="0FE51E92" w14:textId="77777777" w:rsidR="00547367" w:rsidRPr="0055776F" w:rsidRDefault="00547367" w:rsidP="0077258C">
                            <w:pPr>
                              <w:rPr>
                                <w:rFonts w:ascii="Arial" w:hAnsi="Arial" w:cs="Arial"/>
                                <w:sz w:val="20"/>
                              </w:rPr>
                            </w:pPr>
                          </w:p>
                        </w:tc>
                        <w:tc>
                          <w:tcPr>
                            <w:tcW w:w="850" w:type="dxa"/>
                            <w:tcBorders>
                              <w:top w:val="single" w:sz="4" w:space="0" w:color="auto"/>
                            </w:tcBorders>
                            <w:shd w:val="clear" w:color="auto" w:fill="auto"/>
                          </w:tcPr>
                          <w:p w14:paraId="63D278DD" w14:textId="77777777" w:rsidR="00547367" w:rsidRPr="0055776F" w:rsidRDefault="00547367" w:rsidP="0077258C">
                            <w:pPr>
                              <w:rPr>
                                <w:rFonts w:ascii="Arial" w:hAnsi="Arial" w:cs="Arial"/>
                                <w:sz w:val="20"/>
                              </w:rPr>
                            </w:pPr>
                          </w:p>
                        </w:tc>
                      </w:tr>
                    </w:tbl>
                    <w:p w14:paraId="1CF918EC" w14:textId="77777777" w:rsidR="00547367" w:rsidRPr="00A33DBA" w:rsidRDefault="00547367" w:rsidP="00BE41B8">
                      <w:pPr>
                        <w:rPr>
                          <w:rFonts w:ascii="Arial" w:hAnsi="Arial" w:cs="Arial"/>
                          <w:sz w:val="20"/>
                        </w:rPr>
                      </w:pPr>
                    </w:p>
                    <w:p w14:paraId="1B3DDBB8" w14:textId="77777777" w:rsidR="00547367" w:rsidRPr="00A33DBA" w:rsidRDefault="00547367" w:rsidP="00BE41B8">
                      <w:pPr>
                        <w:rPr>
                          <w:rFonts w:ascii="Arial" w:hAnsi="Arial" w:cs="Arial"/>
                          <w:sz w:val="20"/>
                        </w:rPr>
                      </w:pPr>
                    </w:p>
                  </w:txbxContent>
                </v:textbox>
              </v:shape>
            </w:pict>
          </mc:Fallback>
        </mc:AlternateContent>
      </w:r>
      <w:r w:rsidRPr="00510442">
        <w:rPr>
          <w:noProof/>
          <w:szCs w:val="22"/>
          <w:lang w:eastAsia="en-GB"/>
        </w:rPr>
        <w:drawing>
          <wp:inline distT="0" distB="0" distL="0" distR="0" wp14:anchorId="28517815" wp14:editId="58787E97">
            <wp:extent cx="5947410" cy="263207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7410" cy="2632075"/>
                    </a:xfrm>
                    <a:prstGeom prst="rect">
                      <a:avLst/>
                    </a:prstGeom>
                    <a:noFill/>
                    <a:ln>
                      <a:noFill/>
                    </a:ln>
                  </pic:spPr>
                </pic:pic>
              </a:graphicData>
            </a:graphic>
          </wp:inline>
        </w:drawing>
      </w:r>
    </w:p>
    <w:p w14:paraId="39808449" w14:textId="77777777" w:rsidR="00BE41B8" w:rsidRPr="00307897" w:rsidRDefault="00C712C6" w:rsidP="00BE41B8">
      <w:pPr>
        <w:keepNext/>
        <w:widowControl w:val="0"/>
        <w:tabs>
          <w:tab w:val="clear" w:pos="567"/>
        </w:tabs>
        <w:spacing w:line="240" w:lineRule="auto"/>
        <w:ind w:left="1134" w:hanging="1134"/>
        <w:outlineLvl w:val="6"/>
        <w:rPr>
          <w:rFonts w:eastAsia="MS Mincho"/>
          <w:szCs w:val="22"/>
          <w:lang w:val="hr-HR"/>
        </w:rPr>
      </w:pPr>
      <w:r w:rsidRPr="00510442">
        <w:rPr>
          <w:rFonts w:eastAsia="MS Mincho"/>
          <w:noProof/>
          <w:szCs w:val="22"/>
          <w:lang w:eastAsia="en-GB"/>
        </w:rPr>
        <mc:AlternateContent>
          <mc:Choice Requires="wps">
            <w:drawing>
              <wp:anchor distT="0" distB="0" distL="114300" distR="114300" simplePos="0" relativeHeight="251663360" behindDoc="0" locked="0" layoutInCell="1" allowOverlap="1" wp14:anchorId="219D5334" wp14:editId="2B8DBE65">
                <wp:simplePos x="0" y="0"/>
                <wp:positionH relativeFrom="column">
                  <wp:posOffset>2123440</wp:posOffset>
                </wp:positionH>
                <wp:positionV relativeFrom="paragraph">
                  <wp:posOffset>73660</wp:posOffset>
                </wp:positionV>
                <wp:extent cx="2192020" cy="30353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2020" cy="3035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1E9144" w14:textId="77777777" w:rsidR="00547367" w:rsidRPr="00A33DBA" w:rsidRDefault="00547367" w:rsidP="00BE41B8">
                            <w:pPr>
                              <w:rPr>
                                <w:rFonts w:ascii="Arial" w:hAnsi="Arial" w:cs="Arial"/>
                                <w:sz w:val="20"/>
                              </w:rPr>
                            </w:pPr>
                            <w:r>
                              <w:rPr>
                                <w:rFonts w:ascii="Arial" w:hAnsi="Arial" w:cs="Arial"/>
                                <w:sz w:val="20"/>
                                <w:lang w:val="hr-HR"/>
                              </w:rPr>
                              <w:t>Vrijeme preživljenja u mjesecima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19D5334" id="_x0000_s1037" type="#_x0000_t202" style="position:absolute;left:0;text-align:left;margin-left:167.2pt;margin-top:5.8pt;width:172.6pt;height:2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" stroked="f">
                <v:fill opacity="0"/>
                <v:textbox>
                  <w:txbxContent>
                    <w:p w14:paraId="6A1E9144" w14:textId="77777777" w:rsidR="00547367" w:rsidRPr="00A33DBA" w:rsidRDefault="00547367" w:rsidP="00BE41B8">
                      <w:pPr>
                        <w:rPr>
                          <w:rFonts w:ascii="Arial" w:hAnsi="Arial" w:cs="Arial"/>
                          <w:sz w:val="20"/>
                        </w:rPr>
                      </w:pPr>
                      <w:r>
                        <w:rPr>
                          <w:rFonts w:ascii="Arial" w:hAnsi="Arial" w:cs="Arial"/>
                          <w:sz w:val="20"/>
                          <w:lang w:val="hr-HR"/>
                        </w:rPr>
                        <w:t>Vrijeme preživljenja u mjesecima</w:t>
                      </w:r>
                    </w:p>
                  </w:txbxContent>
                </v:textbox>
              </v:shape>
            </w:pict>
          </mc:Fallback>
        </mc:AlternateContent>
      </w:r>
    </w:p>
    <w:p w14:paraId="125FBC90" w14:textId="77777777" w:rsidR="00BE41B8" w:rsidRPr="00307897" w:rsidRDefault="00BE41B8" w:rsidP="00BE41B8">
      <w:pPr>
        <w:keepNext/>
        <w:widowControl w:val="0"/>
        <w:tabs>
          <w:tab w:val="clear" w:pos="567"/>
        </w:tabs>
        <w:spacing w:line="240" w:lineRule="auto"/>
        <w:ind w:left="1134" w:hanging="1134"/>
        <w:outlineLvl w:val="6"/>
        <w:rPr>
          <w:rFonts w:eastAsia="MS Mincho"/>
          <w:szCs w:val="22"/>
          <w:lang w:val="hr-HR"/>
        </w:rPr>
      </w:pPr>
    </w:p>
    <w:p w14:paraId="7DD1A432" w14:textId="77777777" w:rsidR="00BE41B8" w:rsidRPr="00510442" w:rsidRDefault="00BE41B8" w:rsidP="00BE41B8">
      <w:pPr>
        <w:keepNext/>
        <w:widowControl w:val="0"/>
        <w:spacing w:line="240" w:lineRule="auto"/>
        <w:ind w:left="1134" w:hanging="1134"/>
        <w:outlineLvl w:val="6"/>
        <w:rPr>
          <w:szCs w:val="22"/>
          <w:lang w:val="hr-HR"/>
        </w:rPr>
      </w:pPr>
    </w:p>
    <w:tbl>
      <w:tblPr>
        <w:tblW w:w="10632" w:type="dxa"/>
        <w:tblInd w:w="-318" w:type="dxa"/>
        <w:tblLook w:val="04A0" w:firstRow="1" w:lastRow="0" w:firstColumn="1" w:lastColumn="0" w:noHBand="0" w:noVBand="1"/>
      </w:tblPr>
      <w:tblGrid>
        <w:gridCol w:w="450"/>
        <w:gridCol w:w="687"/>
        <w:gridCol w:w="670"/>
        <w:gridCol w:w="710"/>
        <w:gridCol w:w="717"/>
        <w:gridCol w:w="691"/>
        <w:gridCol w:w="770"/>
        <w:gridCol w:w="779"/>
        <w:gridCol w:w="794"/>
        <w:gridCol w:w="653"/>
        <w:gridCol w:w="630"/>
        <w:gridCol w:w="643"/>
        <w:gridCol w:w="670"/>
        <w:gridCol w:w="683"/>
        <w:gridCol w:w="558"/>
        <w:gridCol w:w="527"/>
      </w:tblGrid>
      <w:tr w:rsidR="00BE41B8" w:rsidRPr="00F410C8" w14:paraId="65704E9B" w14:textId="77777777" w:rsidTr="00C210A6">
        <w:tc>
          <w:tcPr>
            <w:tcW w:w="10632" w:type="dxa"/>
            <w:gridSpan w:val="16"/>
            <w:shd w:val="clear" w:color="auto" w:fill="auto"/>
          </w:tcPr>
          <w:p w14:paraId="6E9501BB" w14:textId="77777777" w:rsidR="00BE41B8" w:rsidRPr="00510442" w:rsidRDefault="00BE41B8" w:rsidP="00C210A6">
            <w:pPr>
              <w:keepNext/>
              <w:widowControl w:val="0"/>
              <w:spacing w:line="240" w:lineRule="auto"/>
              <w:ind w:left="1134" w:hanging="1134"/>
              <w:outlineLvl w:val="6"/>
              <w:rPr>
                <w:rFonts w:ascii="Arial" w:hAnsi="Arial" w:cs="Arial"/>
                <w:sz w:val="20"/>
                <w:lang w:val="hr-HR"/>
              </w:rPr>
            </w:pPr>
            <w:r w:rsidRPr="00510442">
              <w:rPr>
                <w:rFonts w:ascii="Arial" w:hAnsi="Arial" w:cs="Arial"/>
                <w:sz w:val="20"/>
                <w:lang w:val="hr-HR"/>
              </w:rPr>
              <w:t>Broj izloženih riziku : broj događaja</w:t>
            </w:r>
          </w:p>
        </w:tc>
      </w:tr>
      <w:tr w:rsidR="00BE41B8" w:rsidRPr="00510442" w14:paraId="4A266129" w14:textId="77777777" w:rsidTr="00C210A6">
        <w:tc>
          <w:tcPr>
            <w:tcW w:w="450" w:type="dxa"/>
            <w:shd w:val="clear" w:color="auto" w:fill="auto"/>
          </w:tcPr>
          <w:p w14:paraId="20846AE6" w14:textId="77777777" w:rsidR="00BE41B8" w:rsidRPr="00510442" w:rsidRDefault="00BE41B8" w:rsidP="00C210A6">
            <w:pPr>
              <w:spacing w:line="240" w:lineRule="auto"/>
              <w:rPr>
                <w:sz w:val="20"/>
                <w:lang w:val="hr-HR"/>
              </w:rPr>
            </w:pPr>
            <w:r w:rsidRPr="00510442">
              <w:rPr>
                <w:sz w:val="20"/>
                <w:lang w:val="hr-HR"/>
              </w:rPr>
              <w:t>(1)</w:t>
            </w:r>
          </w:p>
        </w:tc>
        <w:tc>
          <w:tcPr>
            <w:tcW w:w="691" w:type="dxa"/>
            <w:shd w:val="clear" w:color="auto" w:fill="auto"/>
          </w:tcPr>
          <w:p w14:paraId="1305C430" w14:textId="77777777" w:rsidR="00BE41B8" w:rsidRPr="00510442" w:rsidRDefault="00BE41B8" w:rsidP="00C210A6">
            <w:pPr>
              <w:spacing w:line="240" w:lineRule="auto"/>
              <w:ind w:left="-45"/>
              <w:rPr>
                <w:sz w:val="20"/>
                <w:lang w:val="hr-HR"/>
              </w:rPr>
            </w:pPr>
            <w:r w:rsidRPr="00510442">
              <w:rPr>
                <w:sz w:val="20"/>
                <w:lang w:val="hr-HR"/>
              </w:rPr>
              <w:t>199:0</w:t>
            </w:r>
          </w:p>
        </w:tc>
        <w:tc>
          <w:tcPr>
            <w:tcW w:w="672" w:type="dxa"/>
            <w:shd w:val="clear" w:color="auto" w:fill="auto"/>
          </w:tcPr>
          <w:p w14:paraId="5F44159D" w14:textId="77777777" w:rsidR="00BE41B8" w:rsidRPr="00510442" w:rsidRDefault="00BE41B8" w:rsidP="00C210A6">
            <w:pPr>
              <w:spacing w:line="240" w:lineRule="auto"/>
              <w:ind w:left="-45"/>
              <w:rPr>
                <w:sz w:val="20"/>
                <w:lang w:val="hr-HR"/>
              </w:rPr>
            </w:pPr>
            <w:r w:rsidRPr="00510442">
              <w:rPr>
                <w:sz w:val="20"/>
                <w:lang w:val="hr-HR"/>
              </w:rPr>
              <w:t>190:2</w:t>
            </w:r>
          </w:p>
        </w:tc>
        <w:tc>
          <w:tcPr>
            <w:tcW w:w="714" w:type="dxa"/>
            <w:shd w:val="clear" w:color="auto" w:fill="auto"/>
          </w:tcPr>
          <w:p w14:paraId="51FE205F" w14:textId="77777777" w:rsidR="00BE41B8" w:rsidRPr="00510442" w:rsidRDefault="00BE41B8" w:rsidP="00C210A6">
            <w:pPr>
              <w:spacing w:line="240" w:lineRule="auto"/>
              <w:ind w:left="-45"/>
              <w:rPr>
                <w:sz w:val="20"/>
                <w:lang w:val="hr-HR"/>
              </w:rPr>
            </w:pPr>
            <w:r w:rsidRPr="00510442">
              <w:rPr>
                <w:sz w:val="20"/>
                <w:lang w:val="hr-HR"/>
              </w:rPr>
              <w:t>188:2</w:t>
            </w:r>
          </w:p>
        </w:tc>
        <w:tc>
          <w:tcPr>
            <w:tcW w:w="722" w:type="dxa"/>
            <w:shd w:val="clear" w:color="auto" w:fill="auto"/>
          </w:tcPr>
          <w:p w14:paraId="1D2CAB6A" w14:textId="77777777" w:rsidR="00BE41B8" w:rsidRPr="00510442" w:rsidRDefault="00BE41B8" w:rsidP="00C210A6">
            <w:pPr>
              <w:spacing w:line="240" w:lineRule="auto"/>
              <w:ind w:left="-45"/>
              <w:rPr>
                <w:sz w:val="20"/>
                <w:lang w:val="hr-HR"/>
              </w:rPr>
            </w:pPr>
            <w:r w:rsidRPr="00510442">
              <w:rPr>
                <w:sz w:val="20"/>
                <w:lang w:val="hr-HR"/>
              </w:rPr>
              <w:t>183:6</w:t>
            </w:r>
          </w:p>
        </w:tc>
        <w:tc>
          <w:tcPr>
            <w:tcW w:w="694" w:type="dxa"/>
            <w:shd w:val="clear" w:color="auto" w:fill="auto"/>
          </w:tcPr>
          <w:p w14:paraId="55B8BF3F" w14:textId="77777777" w:rsidR="00BE41B8" w:rsidRPr="00510442" w:rsidRDefault="00BE41B8" w:rsidP="00C210A6">
            <w:pPr>
              <w:spacing w:line="240" w:lineRule="auto"/>
              <w:ind w:left="-45"/>
              <w:rPr>
                <w:sz w:val="20"/>
                <w:lang w:val="hr-HR"/>
              </w:rPr>
            </w:pPr>
            <w:r w:rsidRPr="00510442">
              <w:rPr>
                <w:sz w:val="20"/>
                <w:lang w:val="hr-HR"/>
              </w:rPr>
              <w:t>176:8</w:t>
            </w:r>
          </w:p>
        </w:tc>
        <w:tc>
          <w:tcPr>
            <w:tcW w:w="772" w:type="dxa"/>
            <w:shd w:val="clear" w:color="auto" w:fill="auto"/>
          </w:tcPr>
          <w:p w14:paraId="2B8DC781" w14:textId="77777777" w:rsidR="00BE41B8" w:rsidRPr="00510442" w:rsidRDefault="00BE41B8" w:rsidP="00C210A6">
            <w:pPr>
              <w:spacing w:line="240" w:lineRule="auto"/>
              <w:ind w:left="-45"/>
              <w:rPr>
                <w:sz w:val="20"/>
                <w:lang w:val="hr-HR"/>
              </w:rPr>
            </w:pPr>
            <w:r w:rsidRPr="00510442">
              <w:rPr>
                <w:sz w:val="20"/>
                <w:lang w:val="hr-HR"/>
              </w:rPr>
              <w:t>156:10</w:t>
            </w:r>
          </w:p>
        </w:tc>
        <w:tc>
          <w:tcPr>
            <w:tcW w:w="782" w:type="dxa"/>
            <w:shd w:val="clear" w:color="auto" w:fill="auto"/>
          </w:tcPr>
          <w:p w14:paraId="792B5DC0" w14:textId="77777777" w:rsidR="00BE41B8" w:rsidRPr="00510442" w:rsidRDefault="00BE41B8" w:rsidP="00C210A6">
            <w:pPr>
              <w:spacing w:line="240" w:lineRule="auto"/>
              <w:ind w:left="-45"/>
              <w:rPr>
                <w:sz w:val="20"/>
                <w:lang w:val="hr-HR"/>
              </w:rPr>
            </w:pPr>
            <w:r w:rsidRPr="00510442">
              <w:rPr>
                <w:sz w:val="20"/>
                <w:lang w:val="hr-HR"/>
              </w:rPr>
              <w:t>140:11</w:t>
            </w:r>
          </w:p>
        </w:tc>
        <w:tc>
          <w:tcPr>
            <w:tcW w:w="798" w:type="dxa"/>
            <w:shd w:val="clear" w:color="auto" w:fill="auto"/>
          </w:tcPr>
          <w:p w14:paraId="0FB8904E" w14:textId="77777777" w:rsidR="00BE41B8" w:rsidRPr="00510442" w:rsidRDefault="00BE41B8" w:rsidP="00C210A6">
            <w:pPr>
              <w:spacing w:line="240" w:lineRule="auto"/>
              <w:ind w:left="-45"/>
              <w:rPr>
                <w:sz w:val="20"/>
                <w:lang w:val="hr-HR"/>
              </w:rPr>
            </w:pPr>
            <w:r w:rsidRPr="00510442">
              <w:rPr>
                <w:sz w:val="20"/>
                <w:lang w:val="hr-HR"/>
              </w:rPr>
              <w:t>105:14</w:t>
            </w:r>
          </w:p>
        </w:tc>
        <w:tc>
          <w:tcPr>
            <w:tcW w:w="654" w:type="dxa"/>
            <w:shd w:val="clear" w:color="auto" w:fill="auto"/>
          </w:tcPr>
          <w:p w14:paraId="3684B60F" w14:textId="77777777" w:rsidR="00BE41B8" w:rsidRPr="00510442" w:rsidRDefault="00BE41B8" w:rsidP="00C210A6">
            <w:pPr>
              <w:spacing w:line="240" w:lineRule="auto"/>
              <w:ind w:left="-45"/>
              <w:rPr>
                <w:sz w:val="20"/>
                <w:lang w:val="hr-HR"/>
              </w:rPr>
            </w:pPr>
            <w:r w:rsidRPr="00510442">
              <w:rPr>
                <w:sz w:val="20"/>
                <w:lang w:val="hr-HR"/>
              </w:rPr>
              <w:t>87:18</w:t>
            </w:r>
          </w:p>
        </w:tc>
        <w:tc>
          <w:tcPr>
            <w:tcW w:w="630" w:type="dxa"/>
            <w:shd w:val="clear" w:color="auto" w:fill="auto"/>
          </w:tcPr>
          <w:p w14:paraId="1C49405B" w14:textId="77777777" w:rsidR="00BE41B8" w:rsidRPr="00510442" w:rsidRDefault="00BE41B8" w:rsidP="00C210A6">
            <w:pPr>
              <w:spacing w:line="240" w:lineRule="auto"/>
              <w:ind w:left="-45"/>
              <w:rPr>
                <w:sz w:val="20"/>
                <w:lang w:val="hr-HR"/>
              </w:rPr>
            </w:pPr>
            <w:r w:rsidRPr="00510442">
              <w:rPr>
                <w:sz w:val="20"/>
                <w:lang w:val="hr-HR"/>
              </w:rPr>
              <w:t>64:22</w:t>
            </w:r>
          </w:p>
        </w:tc>
        <w:tc>
          <w:tcPr>
            <w:tcW w:w="644" w:type="dxa"/>
            <w:shd w:val="clear" w:color="auto" w:fill="auto"/>
          </w:tcPr>
          <w:p w14:paraId="4136B3E8" w14:textId="77777777" w:rsidR="00BE41B8" w:rsidRPr="00510442" w:rsidRDefault="00BE41B8" w:rsidP="00C210A6">
            <w:pPr>
              <w:spacing w:line="240" w:lineRule="auto"/>
              <w:ind w:left="-45"/>
              <w:rPr>
                <w:sz w:val="20"/>
                <w:lang w:val="hr-HR"/>
              </w:rPr>
            </w:pPr>
            <w:r w:rsidRPr="00510442">
              <w:rPr>
                <w:sz w:val="20"/>
                <w:lang w:val="hr-HR"/>
              </w:rPr>
              <w:t>46:23</w:t>
            </w:r>
          </w:p>
        </w:tc>
        <w:tc>
          <w:tcPr>
            <w:tcW w:w="672" w:type="dxa"/>
            <w:shd w:val="clear" w:color="auto" w:fill="auto"/>
          </w:tcPr>
          <w:p w14:paraId="6AA0A4BE" w14:textId="77777777" w:rsidR="00BE41B8" w:rsidRPr="00510442" w:rsidRDefault="00BE41B8" w:rsidP="00C210A6">
            <w:pPr>
              <w:spacing w:line="240" w:lineRule="auto"/>
              <w:ind w:left="-45"/>
              <w:rPr>
                <w:sz w:val="20"/>
                <w:lang w:val="hr-HR"/>
              </w:rPr>
            </w:pPr>
            <w:r w:rsidRPr="00510442">
              <w:rPr>
                <w:sz w:val="20"/>
                <w:lang w:val="hr-HR"/>
              </w:rPr>
              <w:t>27:25</w:t>
            </w:r>
          </w:p>
        </w:tc>
        <w:tc>
          <w:tcPr>
            <w:tcW w:w="686" w:type="dxa"/>
            <w:shd w:val="clear" w:color="auto" w:fill="auto"/>
          </w:tcPr>
          <w:p w14:paraId="2FDD0895" w14:textId="77777777" w:rsidR="00BE41B8" w:rsidRPr="00510442" w:rsidRDefault="00BE41B8" w:rsidP="00C210A6">
            <w:pPr>
              <w:spacing w:line="240" w:lineRule="auto"/>
              <w:ind w:left="-45"/>
              <w:rPr>
                <w:sz w:val="20"/>
                <w:lang w:val="hr-HR"/>
              </w:rPr>
            </w:pPr>
            <w:r w:rsidRPr="00510442">
              <w:rPr>
                <w:sz w:val="20"/>
                <w:lang w:val="hr-HR"/>
              </w:rPr>
              <w:t>20:25</w:t>
            </w:r>
          </w:p>
        </w:tc>
        <w:tc>
          <w:tcPr>
            <w:tcW w:w="560" w:type="dxa"/>
            <w:shd w:val="clear" w:color="auto" w:fill="auto"/>
          </w:tcPr>
          <w:p w14:paraId="4D9F03C3" w14:textId="77777777" w:rsidR="00BE41B8" w:rsidRPr="00510442" w:rsidRDefault="00BE41B8" w:rsidP="00C210A6">
            <w:pPr>
              <w:spacing w:line="240" w:lineRule="auto"/>
              <w:ind w:left="-45"/>
              <w:rPr>
                <w:sz w:val="20"/>
                <w:lang w:val="hr-HR"/>
              </w:rPr>
            </w:pPr>
            <w:r w:rsidRPr="00510442">
              <w:rPr>
                <w:sz w:val="20"/>
                <w:lang w:val="hr-HR"/>
              </w:rPr>
              <w:t>2:25</w:t>
            </w:r>
          </w:p>
        </w:tc>
        <w:tc>
          <w:tcPr>
            <w:tcW w:w="491" w:type="dxa"/>
            <w:shd w:val="clear" w:color="auto" w:fill="auto"/>
          </w:tcPr>
          <w:p w14:paraId="68601C31" w14:textId="77777777" w:rsidR="00BE41B8" w:rsidRPr="00510442" w:rsidRDefault="00BE41B8" w:rsidP="00C210A6">
            <w:pPr>
              <w:spacing w:line="240" w:lineRule="auto"/>
              <w:ind w:left="-45"/>
              <w:rPr>
                <w:sz w:val="20"/>
                <w:lang w:val="hr-HR"/>
              </w:rPr>
            </w:pPr>
            <w:r w:rsidRPr="00510442">
              <w:rPr>
                <w:sz w:val="20"/>
                <w:lang w:val="hr-HR"/>
              </w:rPr>
              <w:t>0:25</w:t>
            </w:r>
          </w:p>
        </w:tc>
      </w:tr>
      <w:tr w:rsidR="00BE41B8" w:rsidRPr="00510442" w14:paraId="094AD428" w14:textId="77777777" w:rsidTr="00C210A6">
        <w:tc>
          <w:tcPr>
            <w:tcW w:w="450" w:type="dxa"/>
            <w:shd w:val="clear" w:color="auto" w:fill="auto"/>
          </w:tcPr>
          <w:p w14:paraId="3D6A482C" w14:textId="77777777" w:rsidR="00BE41B8" w:rsidRPr="00510442" w:rsidRDefault="00BE41B8" w:rsidP="00C210A6">
            <w:pPr>
              <w:spacing w:line="240" w:lineRule="auto"/>
              <w:rPr>
                <w:sz w:val="20"/>
                <w:lang w:val="hr-HR"/>
              </w:rPr>
            </w:pPr>
            <w:r w:rsidRPr="00510442">
              <w:rPr>
                <w:sz w:val="20"/>
                <w:lang w:val="hr-HR"/>
              </w:rPr>
              <w:t>(2)</w:t>
            </w:r>
          </w:p>
        </w:tc>
        <w:tc>
          <w:tcPr>
            <w:tcW w:w="691" w:type="dxa"/>
            <w:shd w:val="clear" w:color="auto" w:fill="auto"/>
          </w:tcPr>
          <w:p w14:paraId="315F9780" w14:textId="77777777" w:rsidR="00BE41B8" w:rsidRPr="00510442" w:rsidRDefault="00BE41B8" w:rsidP="00C210A6">
            <w:pPr>
              <w:spacing w:line="240" w:lineRule="auto"/>
              <w:ind w:left="-45"/>
              <w:rPr>
                <w:sz w:val="20"/>
                <w:lang w:val="hr-HR"/>
              </w:rPr>
            </w:pPr>
            <w:r w:rsidRPr="00510442">
              <w:rPr>
                <w:sz w:val="20"/>
                <w:lang w:val="hr-HR"/>
              </w:rPr>
              <w:t>198:0</w:t>
            </w:r>
          </w:p>
        </w:tc>
        <w:tc>
          <w:tcPr>
            <w:tcW w:w="672" w:type="dxa"/>
            <w:shd w:val="clear" w:color="auto" w:fill="auto"/>
          </w:tcPr>
          <w:p w14:paraId="3B43E955" w14:textId="77777777" w:rsidR="00BE41B8" w:rsidRPr="00510442" w:rsidRDefault="00BE41B8" w:rsidP="00C210A6">
            <w:pPr>
              <w:spacing w:line="240" w:lineRule="auto"/>
              <w:ind w:left="-45"/>
              <w:rPr>
                <w:sz w:val="20"/>
                <w:lang w:val="hr-HR"/>
              </w:rPr>
            </w:pPr>
            <w:r w:rsidRPr="00510442">
              <w:rPr>
                <w:sz w:val="20"/>
                <w:lang w:val="hr-HR"/>
              </w:rPr>
              <w:t>196:0</w:t>
            </w:r>
          </w:p>
        </w:tc>
        <w:tc>
          <w:tcPr>
            <w:tcW w:w="714" w:type="dxa"/>
            <w:shd w:val="clear" w:color="auto" w:fill="auto"/>
          </w:tcPr>
          <w:p w14:paraId="375B47EF" w14:textId="77777777" w:rsidR="00BE41B8" w:rsidRPr="00510442" w:rsidRDefault="00BE41B8" w:rsidP="00C210A6">
            <w:pPr>
              <w:spacing w:line="240" w:lineRule="auto"/>
              <w:ind w:left="-45"/>
              <w:rPr>
                <w:sz w:val="20"/>
                <w:lang w:val="hr-HR"/>
              </w:rPr>
            </w:pPr>
            <w:r w:rsidRPr="00510442">
              <w:rPr>
                <w:sz w:val="20"/>
                <w:lang w:val="hr-HR"/>
              </w:rPr>
              <w:t>192:0</w:t>
            </w:r>
          </w:p>
        </w:tc>
        <w:tc>
          <w:tcPr>
            <w:tcW w:w="722" w:type="dxa"/>
            <w:shd w:val="clear" w:color="auto" w:fill="auto"/>
          </w:tcPr>
          <w:p w14:paraId="43E35E70" w14:textId="77777777" w:rsidR="00BE41B8" w:rsidRPr="00510442" w:rsidRDefault="00BE41B8" w:rsidP="00C210A6">
            <w:pPr>
              <w:spacing w:line="240" w:lineRule="auto"/>
              <w:ind w:left="-45"/>
              <w:rPr>
                <w:sz w:val="20"/>
                <w:lang w:val="hr-HR"/>
              </w:rPr>
            </w:pPr>
            <w:r w:rsidRPr="00510442">
              <w:rPr>
                <w:sz w:val="20"/>
                <w:lang w:val="hr-HR"/>
              </w:rPr>
              <w:t>187:4</w:t>
            </w:r>
          </w:p>
        </w:tc>
        <w:tc>
          <w:tcPr>
            <w:tcW w:w="694" w:type="dxa"/>
            <w:shd w:val="clear" w:color="auto" w:fill="auto"/>
          </w:tcPr>
          <w:p w14:paraId="04AAB486" w14:textId="77777777" w:rsidR="00BE41B8" w:rsidRPr="00510442" w:rsidRDefault="00BE41B8" w:rsidP="00C210A6">
            <w:pPr>
              <w:spacing w:line="240" w:lineRule="auto"/>
              <w:ind w:left="-45"/>
              <w:rPr>
                <w:sz w:val="20"/>
                <w:lang w:val="hr-HR"/>
              </w:rPr>
            </w:pPr>
            <w:r w:rsidRPr="00510442">
              <w:rPr>
                <w:sz w:val="20"/>
                <w:lang w:val="hr-HR"/>
              </w:rPr>
              <w:t>184:5</w:t>
            </w:r>
          </w:p>
        </w:tc>
        <w:tc>
          <w:tcPr>
            <w:tcW w:w="772" w:type="dxa"/>
            <w:shd w:val="clear" w:color="auto" w:fill="auto"/>
          </w:tcPr>
          <w:p w14:paraId="23DC373F" w14:textId="77777777" w:rsidR="00BE41B8" w:rsidRPr="00510442" w:rsidRDefault="00BE41B8" w:rsidP="00C210A6">
            <w:pPr>
              <w:spacing w:line="240" w:lineRule="auto"/>
              <w:ind w:left="-45"/>
              <w:rPr>
                <w:sz w:val="20"/>
                <w:lang w:val="hr-HR"/>
              </w:rPr>
            </w:pPr>
            <w:r w:rsidRPr="00510442">
              <w:rPr>
                <w:sz w:val="20"/>
                <w:lang w:val="hr-HR"/>
              </w:rPr>
              <w:t>164:7</w:t>
            </w:r>
          </w:p>
        </w:tc>
        <w:tc>
          <w:tcPr>
            <w:tcW w:w="782" w:type="dxa"/>
            <w:shd w:val="clear" w:color="auto" w:fill="auto"/>
          </w:tcPr>
          <w:p w14:paraId="52403910" w14:textId="77777777" w:rsidR="00BE41B8" w:rsidRPr="00510442" w:rsidRDefault="00BE41B8" w:rsidP="00C210A6">
            <w:pPr>
              <w:spacing w:line="240" w:lineRule="auto"/>
              <w:ind w:left="-45"/>
              <w:rPr>
                <w:sz w:val="20"/>
                <w:lang w:val="hr-HR"/>
              </w:rPr>
            </w:pPr>
            <w:r w:rsidRPr="00510442">
              <w:rPr>
                <w:sz w:val="20"/>
                <w:lang w:val="hr-HR"/>
              </w:rPr>
              <w:t>152:7</w:t>
            </w:r>
          </w:p>
        </w:tc>
        <w:tc>
          <w:tcPr>
            <w:tcW w:w="798" w:type="dxa"/>
            <w:shd w:val="clear" w:color="auto" w:fill="auto"/>
          </w:tcPr>
          <w:p w14:paraId="04D9F81A" w14:textId="77777777" w:rsidR="00BE41B8" w:rsidRPr="00510442" w:rsidRDefault="00BE41B8" w:rsidP="00C210A6">
            <w:pPr>
              <w:spacing w:line="240" w:lineRule="auto"/>
              <w:ind w:left="-45"/>
              <w:rPr>
                <w:sz w:val="20"/>
                <w:lang w:val="hr-HR"/>
              </w:rPr>
            </w:pPr>
            <w:r w:rsidRPr="00510442">
              <w:rPr>
                <w:sz w:val="20"/>
                <w:lang w:val="hr-HR"/>
              </w:rPr>
              <w:t>119:8</w:t>
            </w:r>
          </w:p>
        </w:tc>
        <w:tc>
          <w:tcPr>
            <w:tcW w:w="654" w:type="dxa"/>
            <w:shd w:val="clear" w:color="auto" w:fill="auto"/>
          </w:tcPr>
          <w:p w14:paraId="390FB664" w14:textId="77777777" w:rsidR="00BE41B8" w:rsidRPr="00510442" w:rsidRDefault="00BE41B8" w:rsidP="00C210A6">
            <w:pPr>
              <w:spacing w:line="240" w:lineRule="auto"/>
              <w:ind w:left="-45"/>
              <w:rPr>
                <w:sz w:val="20"/>
                <w:lang w:val="hr-HR"/>
              </w:rPr>
            </w:pPr>
            <w:r w:rsidRPr="00510442">
              <w:rPr>
                <w:sz w:val="20"/>
                <w:lang w:val="hr-HR"/>
              </w:rPr>
              <w:t>100:8</w:t>
            </w:r>
          </w:p>
        </w:tc>
        <w:tc>
          <w:tcPr>
            <w:tcW w:w="630" w:type="dxa"/>
            <w:shd w:val="clear" w:color="auto" w:fill="auto"/>
          </w:tcPr>
          <w:p w14:paraId="2AD4F5F8" w14:textId="77777777" w:rsidR="00BE41B8" w:rsidRPr="00510442" w:rsidRDefault="00BE41B8" w:rsidP="00C210A6">
            <w:pPr>
              <w:spacing w:line="240" w:lineRule="auto"/>
              <w:ind w:left="-45"/>
              <w:rPr>
                <w:sz w:val="20"/>
                <w:lang w:val="hr-HR"/>
              </w:rPr>
            </w:pPr>
            <w:r w:rsidRPr="00510442">
              <w:rPr>
                <w:sz w:val="20"/>
                <w:lang w:val="hr-HR"/>
              </w:rPr>
              <w:t>76:10</w:t>
            </w:r>
          </w:p>
        </w:tc>
        <w:tc>
          <w:tcPr>
            <w:tcW w:w="644" w:type="dxa"/>
            <w:shd w:val="clear" w:color="auto" w:fill="auto"/>
          </w:tcPr>
          <w:p w14:paraId="46ECE430" w14:textId="77777777" w:rsidR="00BE41B8" w:rsidRPr="00510442" w:rsidRDefault="00BE41B8" w:rsidP="00C210A6">
            <w:pPr>
              <w:spacing w:line="240" w:lineRule="auto"/>
              <w:ind w:left="-45"/>
              <w:rPr>
                <w:sz w:val="20"/>
                <w:lang w:val="hr-HR"/>
              </w:rPr>
            </w:pPr>
            <w:r w:rsidRPr="00510442">
              <w:rPr>
                <w:sz w:val="20"/>
                <w:lang w:val="hr-HR"/>
              </w:rPr>
              <w:t>56:11</w:t>
            </w:r>
          </w:p>
        </w:tc>
        <w:tc>
          <w:tcPr>
            <w:tcW w:w="672" w:type="dxa"/>
            <w:shd w:val="clear" w:color="auto" w:fill="auto"/>
          </w:tcPr>
          <w:p w14:paraId="08FAEF04" w14:textId="77777777" w:rsidR="00BE41B8" w:rsidRPr="00510442" w:rsidRDefault="00BE41B8" w:rsidP="00C210A6">
            <w:pPr>
              <w:spacing w:line="240" w:lineRule="auto"/>
              <w:ind w:left="-45"/>
              <w:rPr>
                <w:sz w:val="20"/>
                <w:lang w:val="hr-HR"/>
              </w:rPr>
            </w:pPr>
            <w:r w:rsidRPr="00510442">
              <w:rPr>
                <w:sz w:val="20"/>
                <w:lang w:val="hr-HR"/>
              </w:rPr>
              <w:t>31:11</w:t>
            </w:r>
          </w:p>
        </w:tc>
        <w:tc>
          <w:tcPr>
            <w:tcW w:w="686" w:type="dxa"/>
            <w:shd w:val="clear" w:color="auto" w:fill="auto"/>
          </w:tcPr>
          <w:p w14:paraId="1DB01D4F" w14:textId="77777777" w:rsidR="00BE41B8" w:rsidRPr="00510442" w:rsidRDefault="00BE41B8" w:rsidP="00C210A6">
            <w:pPr>
              <w:spacing w:line="240" w:lineRule="auto"/>
              <w:ind w:left="-45"/>
              <w:rPr>
                <w:sz w:val="20"/>
                <w:lang w:val="hr-HR"/>
              </w:rPr>
            </w:pPr>
            <w:r w:rsidRPr="00510442">
              <w:rPr>
                <w:sz w:val="20"/>
                <w:lang w:val="hr-HR"/>
              </w:rPr>
              <w:t>13:12</w:t>
            </w:r>
          </w:p>
        </w:tc>
        <w:tc>
          <w:tcPr>
            <w:tcW w:w="560" w:type="dxa"/>
            <w:shd w:val="clear" w:color="auto" w:fill="auto"/>
          </w:tcPr>
          <w:p w14:paraId="086123AA" w14:textId="77777777" w:rsidR="00BE41B8" w:rsidRPr="00510442" w:rsidRDefault="00BE41B8" w:rsidP="00C210A6">
            <w:pPr>
              <w:spacing w:line="240" w:lineRule="auto"/>
              <w:ind w:left="-45"/>
              <w:rPr>
                <w:sz w:val="20"/>
                <w:lang w:val="hr-HR"/>
              </w:rPr>
            </w:pPr>
            <w:r w:rsidRPr="00510442">
              <w:rPr>
                <w:sz w:val="20"/>
                <w:lang w:val="hr-HR"/>
              </w:rPr>
              <w:t>0:12</w:t>
            </w:r>
          </w:p>
        </w:tc>
        <w:tc>
          <w:tcPr>
            <w:tcW w:w="491" w:type="dxa"/>
            <w:shd w:val="clear" w:color="auto" w:fill="auto"/>
          </w:tcPr>
          <w:p w14:paraId="11A1DA92" w14:textId="77777777" w:rsidR="00BE41B8" w:rsidRPr="00510442" w:rsidRDefault="00BE41B8" w:rsidP="00C210A6">
            <w:pPr>
              <w:spacing w:line="240" w:lineRule="auto"/>
              <w:ind w:left="-45"/>
              <w:rPr>
                <w:sz w:val="20"/>
                <w:lang w:val="hr-HR"/>
              </w:rPr>
            </w:pPr>
          </w:p>
        </w:tc>
      </w:tr>
    </w:tbl>
    <w:p w14:paraId="16B9B017" w14:textId="77777777" w:rsidR="00BE41B8" w:rsidRPr="00510442" w:rsidRDefault="00BE41B8" w:rsidP="00BE41B8">
      <w:pPr>
        <w:pStyle w:val="Text"/>
        <w:spacing w:before="0"/>
        <w:jc w:val="left"/>
        <w:rPr>
          <w:rFonts w:eastAsia="MS Mincho"/>
          <w:color w:val="000000"/>
          <w:sz w:val="22"/>
          <w:szCs w:val="22"/>
          <w:lang w:val="hr-HR" w:eastAsia="ja-JP"/>
        </w:rPr>
      </w:pPr>
    </w:p>
    <w:p w14:paraId="6CA5269D" w14:textId="77777777" w:rsidR="00BE41B8" w:rsidRPr="00510442" w:rsidRDefault="00BE41B8" w:rsidP="00BE41B8">
      <w:pPr>
        <w:pStyle w:val="Nottoc-headings"/>
        <w:spacing w:before="0" w:after="0"/>
        <w:ind w:left="0" w:firstLine="0"/>
        <w:rPr>
          <w:rFonts w:ascii="Times New Roman" w:eastAsia="MS Mincho" w:hAnsi="Times New Roman"/>
          <w:b w:val="0"/>
          <w:sz w:val="22"/>
          <w:szCs w:val="22"/>
          <w:lang w:val="hr-HR"/>
        </w:rPr>
      </w:pPr>
      <w:r w:rsidRPr="00510442">
        <w:rPr>
          <w:rFonts w:ascii="Times New Roman" w:eastAsia="MS Mincho" w:hAnsi="Times New Roman"/>
          <w:b w:val="0"/>
          <w:sz w:val="22"/>
          <w:szCs w:val="22"/>
          <w:lang w:val="hr-HR"/>
        </w:rPr>
        <w:t>Nema kontroliranih ispitivanja u pedijatrijskih bolesnika s c-Kit pozitivnim GIST-om. U 7 publikacija zabilježeno je sedamnaest (17) bolesnika s GIST-om (sa ili bez Kit ili PDFGR mutacija). Dob tih bolesnika bila je u rasponu od 8 do 18 godina, a imatinib se primjenjivao kao adjuvantno liječenje i za liječenje metastaza u dozama od 300 do 800 mg na dan. Većina pedijatrijskih bolesnika liječenih zbog GIST-a nije imala podatke koji bi potvrdili c-Kit ili PDGFR mutacije koje su možda dovele do miješanih kliničkih ishoda.</w:t>
      </w:r>
    </w:p>
    <w:p w14:paraId="16C74116" w14:textId="77777777" w:rsidR="00BE41B8" w:rsidRPr="00510442" w:rsidRDefault="00BE41B8" w:rsidP="00BE41B8">
      <w:pPr>
        <w:pStyle w:val="Text"/>
        <w:spacing w:before="0"/>
        <w:rPr>
          <w:rFonts w:eastAsia="MS Mincho"/>
          <w:sz w:val="22"/>
          <w:szCs w:val="22"/>
          <w:lang w:val="hr-HR"/>
        </w:rPr>
      </w:pPr>
    </w:p>
    <w:p w14:paraId="751899C5" w14:textId="77777777" w:rsidR="00BE41B8" w:rsidRPr="00510442" w:rsidRDefault="00BE41B8" w:rsidP="00BE41B8">
      <w:pPr>
        <w:pStyle w:val="Nottoc-headings"/>
        <w:spacing w:before="0" w:after="0"/>
        <w:rPr>
          <w:rFonts w:ascii="Times New Roman" w:eastAsia="MS Mincho" w:hAnsi="Times New Roman"/>
          <w:b w:val="0"/>
          <w:color w:val="000000"/>
          <w:sz w:val="22"/>
          <w:szCs w:val="22"/>
          <w:u w:val="single"/>
          <w:lang w:val="hr-HR" w:eastAsia="ja-JP"/>
        </w:rPr>
      </w:pPr>
      <w:r w:rsidRPr="00510442">
        <w:rPr>
          <w:rFonts w:ascii="Times New Roman" w:eastAsia="MS Mincho" w:hAnsi="Times New Roman"/>
          <w:b w:val="0"/>
          <w:sz w:val="22"/>
          <w:szCs w:val="22"/>
          <w:u w:val="single"/>
          <w:lang w:val="hr-HR"/>
        </w:rPr>
        <w:t>Klinička ispitivanja kod DFSP-a</w:t>
      </w:r>
    </w:p>
    <w:p w14:paraId="4BCFFDEC" w14:textId="00BF14BF" w:rsidR="00BE41B8" w:rsidRPr="00510442" w:rsidRDefault="00BE41B8" w:rsidP="00BE41B8">
      <w:pPr>
        <w:pStyle w:val="Text"/>
        <w:spacing w:before="0"/>
        <w:jc w:val="left"/>
        <w:rPr>
          <w:color w:val="000000"/>
          <w:sz w:val="22"/>
          <w:szCs w:val="22"/>
          <w:lang w:val="hr-HR" w:eastAsia="ja-JP"/>
        </w:rPr>
      </w:pPr>
      <w:r w:rsidRPr="00510442">
        <w:rPr>
          <w:color w:val="000000"/>
          <w:sz w:val="22"/>
          <w:szCs w:val="22"/>
          <w:lang w:val="hr-HR" w:eastAsia="ja-JP"/>
        </w:rPr>
        <w:t xml:space="preserve">Provedeno je jedno otvoreno, multicentrično kliničko ispitivanje faze II (studija B2225) koje je uključivalo 12 bolesnika s DFSP-om liječenih </w:t>
      </w:r>
      <w:r w:rsidR="00B3237D">
        <w:rPr>
          <w:sz w:val="22"/>
          <w:szCs w:val="22"/>
          <w:lang w:val="hr-HR"/>
        </w:rPr>
        <w:t xml:space="preserve">lijekom </w:t>
      </w:r>
      <w:r w:rsidRPr="00510442">
        <w:rPr>
          <w:color w:val="000000"/>
          <w:sz w:val="22"/>
          <w:szCs w:val="22"/>
          <w:lang w:val="hr-HR" w:eastAsia="ja-JP"/>
        </w:rPr>
        <w:t xml:space="preserve">Glivec 800 mg na dan. Dob bolesnika s DFSP-om kretala se od 23 do 75 godina; DFSP je bio metastazirajući, lokalno recidivirajući nakon inicijalnog resekcijskog kirurškog zahvata te nije smatran podobnim za dodatni resekcijski kirurški zahvat u trenutku uključivanja u studiju. Primarni dokaz djelotvornosti temeljio se na objektivnim stopama odgovora. Od 12 uključenih bolesnika, 9 je imalo odgovor, jedan potpuni, a 8 djelomični. </w:t>
      </w:r>
      <w:r w:rsidRPr="00510442">
        <w:rPr>
          <w:color w:val="000000"/>
          <w:sz w:val="22"/>
          <w:szCs w:val="22"/>
          <w:lang w:val="hr-HR"/>
        </w:rPr>
        <w:t>Tri bolesnika s djelomičnim odgovorom su kasnije postigla stanje bez bolesti uz pomoć kirurškog zahvata</w:t>
      </w:r>
      <w:r w:rsidRPr="00510442">
        <w:rPr>
          <w:color w:val="000000"/>
          <w:sz w:val="22"/>
          <w:szCs w:val="22"/>
          <w:lang w:val="hr-HR" w:eastAsia="ja-JP"/>
        </w:rPr>
        <w:t xml:space="preserve">. </w:t>
      </w:r>
      <w:r w:rsidRPr="00510442">
        <w:rPr>
          <w:sz w:val="22"/>
          <w:szCs w:val="22"/>
          <w:lang w:val="hr-HR"/>
        </w:rPr>
        <w:t xml:space="preserve">Medijan </w:t>
      </w:r>
      <w:r w:rsidRPr="00510442">
        <w:rPr>
          <w:color w:val="000000"/>
          <w:sz w:val="22"/>
          <w:szCs w:val="22"/>
          <w:lang w:val="hr-HR" w:eastAsia="ja-JP"/>
        </w:rPr>
        <w:t xml:space="preserve">trajanja terapije u studiji B2225 iznosio je 6,2 mjeseca, s maksimalnim trajanjem od 24,3 mjeseca. U 5 objavljenih prikaza slučajeva zabilježeno je dodatnih 6 bolesnika s DFSP-om liječenih </w:t>
      </w:r>
      <w:r w:rsidR="00B3237D">
        <w:rPr>
          <w:sz w:val="22"/>
          <w:szCs w:val="22"/>
          <w:lang w:val="hr-HR"/>
        </w:rPr>
        <w:t xml:space="preserve">lijekom </w:t>
      </w:r>
      <w:r w:rsidRPr="00510442">
        <w:rPr>
          <w:color w:val="000000"/>
          <w:sz w:val="22"/>
          <w:szCs w:val="22"/>
          <w:lang w:val="hr-HR" w:eastAsia="ja-JP"/>
        </w:rPr>
        <w:t xml:space="preserve">Glivec, s rasponom starosti od 18 mjeseci do 49 godina. Odrasli bolesnici navedeni u objavljenoj literaturi su liječeni ili s 400 mg (4 slučaja) ili s 800 mg (1 slučaj) </w:t>
      </w:r>
      <w:r w:rsidR="004007D1" w:rsidRPr="00512481">
        <w:rPr>
          <w:sz w:val="22"/>
          <w:szCs w:val="22"/>
          <w:lang w:val="hr-HR"/>
        </w:rPr>
        <w:t xml:space="preserve">lijeka </w:t>
      </w:r>
      <w:r w:rsidRPr="00510442">
        <w:rPr>
          <w:color w:val="000000"/>
          <w:sz w:val="22"/>
          <w:szCs w:val="22"/>
          <w:lang w:val="hr-HR" w:eastAsia="ja-JP"/>
        </w:rPr>
        <w:t xml:space="preserve">Glivec na dan. Pet (5) bolesnika je imalo odgovor, 3 potpuni i 2 djelomični. </w:t>
      </w:r>
      <w:r w:rsidRPr="00510442">
        <w:rPr>
          <w:sz w:val="22"/>
          <w:szCs w:val="22"/>
          <w:lang w:val="hr-HR"/>
        </w:rPr>
        <w:t xml:space="preserve">Medijan </w:t>
      </w:r>
      <w:r w:rsidRPr="00510442">
        <w:rPr>
          <w:color w:val="000000"/>
          <w:sz w:val="22"/>
          <w:szCs w:val="22"/>
          <w:lang w:val="hr-HR" w:eastAsia="ja-JP"/>
        </w:rPr>
        <w:t xml:space="preserve">trajanja liječenja u objavljenoj literaturi kretao se između 4 tjedana i više od 20 mjeseci. Translokacija t(17:22)[(q22:q13)], ili njezin genski proizvod, je bila prisutna kod gotovo svih bolesnika koji su odgovorili na liječenje </w:t>
      </w:r>
      <w:r w:rsidR="00B3237D">
        <w:rPr>
          <w:sz w:val="22"/>
          <w:szCs w:val="22"/>
          <w:lang w:val="hr-HR"/>
        </w:rPr>
        <w:t xml:space="preserve">lijekom </w:t>
      </w:r>
      <w:r w:rsidRPr="00510442">
        <w:rPr>
          <w:color w:val="000000"/>
          <w:sz w:val="22"/>
          <w:szCs w:val="22"/>
          <w:lang w:val="hr-HR" w:eastAsia="ja-JP"/>
        </w:rPr>
        <w:t>Glivec.</w:t>
      </w:r>
    </w:p>
    <w:p w14:paraId="054D1B2F" w14:textId="77777777" w:rsidR="00BE41B8" w:rsidRPr="00510442" w:rsidRDefault="00BE41B8" w:rsidP="00BE41B8">
      <w:pPr>
        <w:numPr>
          <w:ilvl w:val="12"/>
          <w:numId w:val="0"/>
        </w:numPr>
        <w:spacing w:line="240" w:lineRule="auto"/>
        <w:ind w:right="-2"/>
        <w:rPr>
          <w:color w:val="000000"/>
          <w:szCs w:val="22"/>
          <w:lang w:val="hr-HR"/>
        </w:rPr>
      </w:pPr>
    </w:p>
    <w:p w14:paraId="7A188262" w14:textId="77777777" w:rsidR="00BE41B8" w:rsidRPr="00510442" w:rsidRDefault="00BE41B8" w:rsidP="00BE41B8">
      <w:pPr>
        <w:numPr>
          <w:ilvl w:val="12"/>
          <w:numId w:val="0"/>
        </w:numPr>
        <w:spacing w:line="240" w:lineRule="auto"/>
        <w:ind w:right="-2"/>
        <w:rPr>
          <w:lang w:val="hr-HR"/>
        </w:rPr>
      </w:pPr>
      <w:r w:rsidRPr="00510442">
        <w:rPr>
          <w:color w:val="000000"/>
          <w:szCs w:val="22"/>
          <w:lang w:val="hr-HR"/>
        </w:rPr>
        <w:t>Nema kontroliranih ispitivanja u pedijatrijskih bolesnika s DFSP-om. U 3 publikacije zabilježeno je pet (5) bolesnika s DFSP-om i preraspodjelom PDGFR gena. Dob tih bolesnika bila je u rasponu od novorođenčadi do 14 godina, a imatinib se primjenjivao u dozi od 50</w:t>
      </w:r>
      <w:r w:rsidRPr="00510442">
        <w:rPr>
          <w:lang w:val="hr-HR"/>
        </w:rPr>
        <w:t> mg na dan ili u dozama u rasponu od 400 do 520 mg/m</w:t>
      </w:r>
      <w:r w:rsidRPr="00510442">
        <w:rPr>
          <w:vertAlign w:val="superscript"/>
          <w:lang w:val="hr-HR"/>
        </w:rPr>
        <w:t>2</w:t>
      </w:r>
      <w:r w:rsidRPr="00510442">
        <w:rPr>
          <w:lang w:val="hr-HR"/>
        </w:rPr>
        <w:t xml:space="preserve"> na dan. Svi su bolesnici postigli djelomičan i/ili potpun odgovor.</w:t>
      </w:r>
    </w:p>
    <w:p w14:paraId="194EDF2B" w14:textId="77777777" w:rsidR="00BE41B8" w:rsidRPr="00510442" w:rsidRDefault="00BE41B8" w:rsidP="00BE41B8">
      <w:pPr>
        <w:numPr>
          <w:ilvl w:val="12"/>
          <w:numId w:val="0"/>
        </w:numPr>
        <w:spacing w:line="240" w:lineRule="auto"/>
        <w:ind w:right="-2"/>
        <w:rPr>
          <w:lang w:val="hr-HR"/>
        </w:rPr>
      </w:pPr>
    </w:p>
    <w:p w14:paraId="01D427F3" w14:textId="77777777" w:rsidR="003A274D" w:rsidRPr="00510442" w:rsidRDefault="003A274D" w:rsidP="001150EE">
      <w:pPr>
        <w:keepNext/>
        <w:tabs>
          <w:tab w:val="clear" w:pos="567"/>
        </w:tabs>
        <w:spacing w:line="240" w:lineRule="auto"/>
        <w:ind w:left="567" w:hanging="567"/>
        <w:outlineLvl w:val="0"/>
        <w:rPr>
          <w:b/>
          <w:szCs w:val="22"/>
          <w:lang w:val="hr-HR"/>
        </w:rPr>
      </w:pPr>
      <w:r w:rsidRPr="00510442">
        <w:rPr>
          <w:b/>
          <w:szCs w:val="22"/>
          <w:lang w:val="hr-HR"/>
        </w:rPr>
        <w:lastRenderedPageBreak/>
        <w:t>5.2</w:t>
      </w:r>
      <w:r w:rsidRPr="00510442">
        <w:rPr>
          <w:b/>
          <w:szCs w:val="22"/>
          <w:lang w:val="hr-HR"/>
        </w:rPr>
        <w:tab/>
        <w:t>Farmakokinetička svojstva</w:t>
      </w:r>
    </w:p>
    <w:p w14:paraId="430D5903" w14:textId="77777777" w:rsidR="003A274D" w:rsidRPr="00510442" w:rsidRDefault="003A274D" w:rsidP="001150EE">
      <w:pPr>
        <w:pStyle w:val="EndnoteText"/>
        <w:keepNext/>
        <w:widowControl w:val="0"/>
        <w:tabs>
          <w:tab w:val="clear" w:pos="567"/>
        </w:tabs>
        <w:rPr>
          <w:color w:val="000000"/>
          <w:szCs w:val="22"/>
          <w:lang w:val="hr-HR"/>
        </w:rPr>
      </w:pPr>
    </w:p>
    <w:p w14:paraId="721CA9B9" w14:textId="3D8B8960" w:rsidR="003A274D" w:rsidRPr="00510442" w:rsidRDefault="003A274D" w:rsidP="001150EE">
      <w:pPr>
        <w:pStyle w:val="EndnoteText"/>
        <w:keepNext/>
        <w:widowControl w:val="0"/>
        <w:tabs>
          <w:tab w:val="clear" w:pos="567"/>
        </w:tabs>
        <w:rPr>
          <w:color w:val="000000"/>
          <w:szCs w:val="22"/>
          <w:u w:val="single"/>
          <w:lang w:val="hr-HR"/>
        </w:rPr>
      </w:pPr>
      <w:r w:rsidRPr="00510442">
        <w:rPr>
          <w:szCs w:val="22"/>
          <w:u w:val="single"/>
          <w:lang w:val="hr-HR"/>
        </w:rPr>
        <w:t xml:space="preserve">Farmakokinetika </w:t>
      </w:r>
      <w:r w:rsidR="004007D1">
        <w:rPr>
          <w:szCs w:val="22"/>
          <w:u w:val="single"/>
          <w:lang w:val="hr-HR"/>
        </w:rPr>
        <w:t xml:space="preserve">lijeka </w:t>
      </w:r>
      <w:r w:rsidRPr="00510442">
        <w:rPr>
          <w:szCs w:val="22"/>
          <w:u w:val="single"/>
          <w:lang w:val="hr-HR"/>
        </w:rPr>
        <w:t>Glivec</w:t>
      </w:r>
    </w:p>
    <w:p w14:paraId="50A802AF" w14:textId="2D22053D" w:rsidR="003A274D" w:rsidRPr="00510442" w:rsidRDefault="003A274D" w:rsidP="003A274D">
      <w:pPr>
        <w:pStyle w:val="EndnoteText"/>
        <w:widowControl w:val="0"/>
        <w:tabs>
          <w:tab w:val="clear" w:pos="567"/>
        </w:tabs>
        <w:rPr>
          <w:color w:val="000000"/>
          <w:szCs w:val="22"/>
          <w:lang w:val="hr-HR"/>
        </w:rPr>
      </w:pPr>
      <w:r w:rsidRPr="00510442">
        <w:rPr>
          <w:szCs w:val="22"/>
          <w:lang w:val="hr-HR"/>
        </w:rPr>
        <w:t xml:space="preserve">Farmakokinetika </w:t>
      </w:r>
      <w:r w:rsidR="004007D1" w:rsidRPr="00512481">
        <w:rPr>
          <w:szCs w:val="22"/>
          <w:lang w:val="hr-HR"/>
        </w:rPr>
        <w:t xml:space="preserve">lijeka </w:t>
      </w:r>
      <w:r w:rsidRPr="00510442">
        <w:rPr>
          <w:szCs w:val="22"/>
          <w:lang w:val="hr-HR"/>
        </w:rPr>
        <w:t xml:space="preserve">Glivec ocijenjena je na rasponu doziranja od 25 do </w:t>
      </w:r>
      <w:r w:rsidRPr="00510442">
        <w:rPr>
          <w:color w:val="000000"/>
          <w:szCs w:val="22"/>
          <w:lang w:val="hr-HR"/>
        </w:rPr>
        <w:t xml:space="preserve">1000 mg. </w:t>
      </w:r>
      <w:r w:rsidRPr="00510442">
        <w:rPr>
          <w:szCs w:val="22"/>
          <w:lang w:val="hr-HR"/>
        </w:rPr>
        <w:t>Farmakokinetički profili u plazmi analizirani su na dan</w:t>
      </w:r>
      <w:r w:rsidRPr="00510442">
        <w:rPr>
          <w:color w:val="000000"/>
          <w:szCs w:val="22"/>
          <w:lang w:val="hr-HR"/>
        </w:rPr>
        <w:t xml:space="preserve"> 1 </w:t>
      </w:r>
      <w:r w:rsidRPr="00510442">
        <w:rPr>
          <w:szCs w:val="22"/>
          <w:lang w:val="hr-HR"/>
        </w:rPr>
        <w:t>te ili na dan</w:t>
      </w:r>
      <w:r w:rsidRPr="00510442">
        <w:rPr>
          <w:color w:val="000000"/>
          <w:szCs w:val="22"/>
          <w:lang w:val="hr-HR"/>
        </w:rPr>
        <w:t xml:space="preserve"> 7 ili na dan 28, </w:t>
      </w:r>
      <w:r w:rsidRPr="00510442">
        <w:rPr>
          <w:szCs w:val="22"/>
          <w:lang w:val="hr-HR"/>
        </w:rPr>
        <w:t>a do toga su vremena koncentracije u plazmi postigle stanje dinamičke ravnoteže</w:t>
      </w:r>
      <w:r w:rsidRPr="00510442">
        <w:rPr>
          <w:color w:val="000000"/>
          <w:szCs w:val="22"/>
          <w:lang w:val="hr-HR"/>
        </w:rPr>
        <w:t>.</w:t>
      </w:r>
    </w:p>
    <w:p w14:paraId="587BE3BE" w14:textId="77777777" w:rsidR="003A274D" w:rsidRPr="00510442" w:rsidRDefault="003A274D" w:rsidP="003A274D">
      <w:pPr>
        <w:pStyle w:val="EndnoteText"/>
        <w:widowControl w:val="0"/>
        <w:tabs>
          <w:tab w:val="clear" w:pos="567"/>
        </w:tabs>
        <w:rPr>
          <w:color w:val="000000"/>
          <w:szCs w:val="22"/>
          <w:lang w:val="hr-HR"/>
        </w:rPr>
      </w:pPr>
    </w:p>
    <w:p w14:paraId="23DCC6A5" w14:textId="77777777" w:rsidR="003A274D" w:rsidRPr="00510442" w:rsidRDefault="003A274D" w:rsidP="001150EE">
      <w:pPr>
        <w:pStyle w:val="EndnoteText"/>
        <w:keepNext/>
        <w:widowControl w:val="0"/>
        <w:tabs>
          <w:tab w:val="clear" w:pos="567"/>
        </w:tabs>
        <w:rPr>
          <w:color w:val="000000"/>
          <w:szCs w:val="22"/>
          <w:lang w:val="hr-HR"/>
        </w:rPr>
      </w:pPr>
      <w:r w:rsidRPr="00510442">
        <w:rPr>
          <w:iCs/>
          <w:szCs w:val="22"/>
          <w:u w:val="single"/>
          <w:lang w:val="hr-HR"/>
        </w:rPr>
        <w:t>Apsorpcija</w:t>
      </w:r>
    </w:p>
    <w:p w14:paraId="67BD5A84" w14:textId="77777777" w:rsidR="003A274D" w:rsidRPr="00510442" w:rsidRDefault="003A274D" w:rsidP="00DB1645">
      <w:pPr>
        <w:pStyle w:val="EndnoteText"/>
        <w:widowControl w:val="0"/>
        <w:tabs>
          <w:tab w:val="clear" w:pos="567"/>
        </w:tabs>
        <w:rPr>
          <w:color w:val="000000"/>
          <w:szCs w:val="22"/>
          <w:lang w:val="hr-HR"/>
        </w:rPr>
      </w:pPr>
      <w:r w:rsidRPr="00510442">
        <w:rPr>
          <w:szCs w:val="22"/>
          <w:lang w:val="hr-HR"/>
        </w:rPr>
        <w:t>Srednja apsolutna bioraspoloživost za</w:t>
      </w:r>
      <w:r w:rsidRPr="00510442">
        <w:rPr>
          <w:color w:val="000000"/>
          <w:szCs w:val="22"/>
          <w:lang w:val="hr-HR"/>
        </w:rPr>
        <w:t xml:space="preserve"> imatinib je 98%. </w:t>
      </w:r>
      <w:r w:rsidRPr="00510442">
        <w:rPr>
          <w:szCs w:val="22"/>
          <w:lang w:val="hr-HR"/>
        </w:rPr>
        <w:t>Između bolesnika postojala je velika varijabilnost u AUC razinama imatiniba u plazmi nakon jedne oralne doze. Kada im je doza dana uz obrok s velikim sadržajem masti, brzina apsorpcije imatiniba se minimalno smanjila (11% smanjenje vrijednosti C</w:t>
      </w:r>
      <w:r w:rsidRPr="00510442">
        <w:rPr>
          <w:szCs w:val="22"/>
          <w:vertAlign w:val="subscript"/>
          <w:lang w:val="hr-HR"/>
        </w:rPr>
        <w:t>max</w:t>
      </w:r>
      <w:r w:rsidRPr="00510442">
        <w:rPr>
          <w:szCs w:val="22"/>
          <w:lang w:val="hr-HR"/>
        </w:rPr>
        <w:t xml:space="preserve"> i produženje t</w:t>
      </w:r>
      <w:r w:rsidRPr="00510442">
        <w:rPr>
          <w:szCs w:val="22"/>
          <w:vertAlign w:val="subscript"/>
          <w:lang w:val="hr-HR"/>
        </w:rPr>
        <w:t>max</w:t>
      </w:r>
      <w:r w:rsidRPr="00510442">
        <w:rPr>
          <w:szCs w:val="22"/>
          <w:lang w:val="hr-HR"/>
        </w:rPr>
        <w:t xml:space="preserve"> za 1,5</w:t>
      </w:r>
      <w:r w:rsidRPr="00510442">
        <w:rPr>
          <w:color w:val="000000"/>
          <w:szCs w:val="22"/>
          <w:lang w:val="hr-HR"/>
        </w:rPr>
        <w:t> </w:t>
      </w:r>
      <w:r w:rsidRPr="00510442">
        <w:rPr>
          <w:szCs w:val="22"/>
          <w:lang w:val="hr-HR"/>
        </w:rPr>
        <w:t>h), uz malo smanjenje AUC vrijednosti (7,4%) u usporedbi kod stanja</w:t>
      </w:r>
      <w:r w:rsidR="00EC6425" w:rsidRPr="00510442">
        <w:rPr>
          <w:szCs w:val="22"/>
          <w:lang w:val="hr-HR"/>
        </w:rPr>
        <w:t xml:space="preserve"> natašte</w:t>
      </w:r>
      <w:r w:rsidRPr="00510442">
        <w:rPr>
          <w:szCs w:val="22"/>
          <w:lang w:val="hr-HR"/>
        </w:rPr>
        <w:t>. Učinak prethodnog gastrointestinalnog kirurškog zahvata na apsorpciju lijeka nije ispitan.</w:t>
      </w:r>
    </w:p>
    <w:p w14:paraId="66466B18" w14:textId="77777777" w:rsidR="003A274D" w:rsidRPr="00510442" w:rsidRDefault="003A274D" w:rsidP="003A274D">
      <w:pPr>
        <w:pStyle w:val="EndnoteText"/>
        <w:widowControl w:val="0"/>
        <w:tabs>
          <w:tab w:val="clear" w:pos="567"/>
        </w:tabs>
        <w:rPr>
          <w:color w:val="000000"/>
          <w:szCs w:val="22"/>
          <w:lang w:val="hr-HR"/>
        </w:rPr>
      </w:pPr>
    </w:p>
    <w:p w14:paraId="36875C33" w14:textId="77777777" w:rsidR="003A274D" w:rsidRPr="00510442" w:rsidRDefault="003A274D" w:rsidP="001150EE">
      <w:pPr>
        <w:pStyle w:val="EndnoteText"/>
        <w:keepNext/>
        <w:widowControl w:val="0"/>
        <w:tabs>
          <w:tab w:val="clear" w:pos="567"/>
        </w:tabs>
        <w:rPr>
          <w:color w:val="000000"/>
          <w:szCs w:val="22"/>
          <w:lang w:val="hr-HR"/>
        </w:rPr>
      </w:pPr>
      <w:r w:rsidRPr="00510442">
        <w:rPr>
          <w:iCs/>
          <w:szCs w:val="22"/>
          <w:u w:val="single"/>
          <w:lang w:val="hr-HR"/>
        </w:rPr>
        <w:t>Distribucija</w:t>
      </w:r>
    </w:p>
    <w:p w14:paraId="01E8DA43" w14:textId="77777777" w:rsidR="003A274D" w:rsidRPr="00510442" w:rsidRDefault="003A274D" w:rsidP="003A274D">
      <w:pPr>
        <w:pStyle w:val="EndnoteText"/>
        <w:widowControl w:val="0"/>
        <w:tabs>
          <w:tab w:val="clear" w:pos="567"/>
        </w:tabs>
        <w:rPr>
          <w:color w:val="000000"/>
          <w:szCs w:val="22"/>
          <w:lang w:val="hr-HR"/>
        </w:rPr>
      </w:pPr>
      <w:r w:rsidRPr="00510442">
        <w:rPr>
          <w:szCs w:val="22"/>
          <w:lang w:val="hr-HR"/>
        </w:rPr>
        <w:t xml:space="preserve">Kod klinički značajnih koncentracija imatiniba vezanje na proteine plazme bilo je oko 95% na temelju </w:t>
      </w:r>
      <w:r w:rsidRPr="00510442">
        <w:rPr>
          <w:i/>
          <w:szCs w:val="22"/>
          <w:lang w:val="hr-HR"/>
        </w:rPr>
        <w:t>in vitro</w:t>
      </w:r>
      <w:r w:rsidRPr="00510442">
        <w:rPr>
          <w:szCs w:val="22"/>
          <w:lang w:val="hr-HR"/>
        </w:rPr>
        <w:t xml:space="preserve"> pokusa, uglavnom na albumin i α-kiseli glikoprotein, uz slabo vezanje na lipoproteine.</w:t>
      </w:r>
    </w:p>
    <w:p w14:paraId="5D09E5A0" w14:textId="77777777" w:rsidR="003A274D" w:rsidRPr="00510442" w:rsidRDefault="003A274D" w:rsidP="003A274D">
      <w:pPr>
        <w:pStyle w:val="EndnoteText"/>
        <w:widowControl w:val="0"/>
        <w:tabs>
          <w:tab w:val="clear" w:pos="567"/>
        </w:tabs>
        <w:rPr>
          <w:color w:val="000000"/>
          <w:szCs w:val="22"/>
          <w:lang w:val="hr-HR"/>
        </w:rPr>
      </w:pPr>
    </w:p>
    <w:p w14:paraId="5FBB0830" w14:textId="77777777" w:rsidR="003A274D" w:rsidRPr="00510442" w:rsidRDefault="003A274D" w:rsidP="001150EE">
      <w:pPr>
        <w:pStyle w:val="EndnoteText"/>
        <w:keepNext/>
        <w:widowControl w:val="0"/>
        <w:tabs>
          <w:tab w:val="clear" w:pos="567"/>
        </w:tabs>
        <w:rPr>
          <w:color w:val="000000"/>
          <w:szCs w:val="22"/>
          <w:u w:val="single"/>
          <w:lang w:val="hr-HR"/>
        </w:rPr>
      </w:pPr>
      <w:r w:rsidRPr="00510442">
        <w:rPr>
          <w:iCs/>
          <w:szCs w:val="22"/>
          <w:u w:val="single"/>
          <w:lang w:val="hr-HR"/>
        </w:rPr>
        <w:t>Biotransformacija</w:t>
      </w:r>
    </w:p>
    <w:p w14:paraId="2535FAD9" w14:textId="77777777" w:rsidR="003A274D" w:rsidRPr="00510442" w:rsidRDefault="003A274D" w:rsidP="003A274D">
      <w:pPr>
        <w:pStyle w:val="EndnoteText"/>
        <w:widowControl w:val="0"/>
        <w:tabs>
          <w:tab w:val="clear" w:pos="567"/>
        </w:tabs>
        <w:rPr>
          <w:color w:val="000000"/>
          <w:szCs w:val="22"/>
          <w:lang w:val="hr-HR"/>
        </w:rPr>
      </w:pPr>
      <w:r w:rsidRPr="00510442">
        <w:rPr>
          <w:szCs w:val="22"/>
          <w:lang w:val="hr-HR"/>
        </w:rPr>
        <w:t xml:space="preserve">Glavni metabolit u cirkulaciji u ljudi je N-demetilirani piperazinski derivat, koji je po </w:t>
      </w:r>
      <w:r w:rsidRPr="00510442">
        <w:rPr>
          <w:i/>
          <w:szCs w:val="22"/>
          <w:lang w:val="hr-HR"/>
        </w:rPr>
        <w:t>in vitro</w:t>
      </w:r>
      <w:r w:rsidRPr="00510442">
        <w:rPr>
          <w:szCs w:val="22"/>
          <w:lang w:val="hr-HR"/>
        </w:rPr>
        <w:t xml:space="preserve"> potentnosti sličan roditeljskoj tvari. Utvrđeno je da AUC za taj metabolit u plazmi iznosi samo 16% AUC-a imatiniba. Vezanje N-demetiliranog metabolita na bjelančevine plazme je slično onom roditeljske tvari</w:t>
      </w:r>
      <w:r w:rsidRPr="00510442">
        <w:rPr>
          <w:color w:val="000000"/>
          <w:szCs w:val="22"/>
          <w:lang w:val="hr-HR"/>
        </w:rPr>
        <w:t>.</w:t>
      </w:r>
    </w:p>
    <w:p w14:paraId="22E50F68" w14:textId="77777777" w:rsidR="003A274D" w:rsidRPr="00510442" w:rsidRDefault="003A274D" w:rsidP="003A274D">
      <w:pPr>
        <w:pStyle w:val="EndnoteText"/>
        <w:widowControl w:val="0"/>
        <w:tabs>
          <w:tab w:val="clear" w:pos="567"/>
        </w:tabs>
        <w:rPr>
          <w:color w:val="000000"/>
          <w:szCs w:val="22"/>
          <w:lang w:val="hr-HR"/>
        </w:rPr>
      </w:pPr>
    </w:p>
    <w:p w14:paraId="488CC194" w14:textId="77777777" w:rsidR="003A274D" w:rsidRPr="00510442" w:rsidRDefault="003A274D" w:rsidP="003A274D">
      <w:pPr>
        <w:pStyle w:val="Text"/>
        <w:widowControl w:val="0"/>
        <w:spacing w:before="0"/>
        <w:jc w:val="left"/>
        <w:rPr>
          <w:color w:val="000000"/>
          <w:sz w:val="22"/>
          <w:szCs w:val="22"/>
          <w:lang w:val="hr-HR"/>
        </w:rPr>
      </w:pPr>
      <w:r w:rsidRPr="00510442">
        <w:rPr>
          <w:sz w:val="22"/>
          <w:szCs w:val="22"/>
          <w:lang w:val="hr-HR"/>
        </w:rPr>
        <w:t xml:space="preserve">Imatinib i N-demetil metabolit zajedno su bili odgovorni za oko 65% cirkulirajuće radioaktivnosti </w:t>
      </w:r>
      <w:r w:rsidRPr="00510442">
        <w:rPr>
          <w:color w:val="000000"/>
          <w:sz w:val="22"/>
          <w:szCs w:val="22"/>
          <w:lang w:val="hr-HR"/>
        </w:rPr>
        <w:t>(AUC</w:t>
      </w:r>
      <w:r w:rsidRPr="00510442">
        <w:rPr>
          <w:color w:val="000000"/>
          <w:sz w:val="22"/>
          <w:szCs w:val="22"/>
          <w:vertAlign w:val="subscript"/>
          <w:lang w:val="hr-HR"/>
        </w:rPr>
        <w:t>(0-48h)</w:t>
      </w:r>
      <w:r w:rsidRPr="00510442">
        <w:rPr>
          <w:color w:val="000000"/>
          <w:sz w:val="22"/>
          <w:szCs w:val="22"/>
          <w:lang w:val="hr-HR"/>
        </w:rPr>
        <w:t xml:space="preserve">). </w:t>
      </w:r>
      <w:r w:rsidRPr="00510442">
        <w:rPr>
          <w:sz w:val="22"/>
          <w:szCs w:val="22"/>
          <w:lang w:val="hr-HR"/>
        </w:rPr>
        <w:t>Preostala se cirkulirajuća radioaktivnost sastojala od određenog broja manje važnih metabolita</w:t>
      </w:r>
      <w:r w:rsidRPr="00510442">
        <w:rPr>
          <w:color w:val="000000"/>
          <w:sz w:val="22"/>
          <w:szCs w:val="22"/>
          <w:lang w:val="hr-HR"/>
        </w:rPr>
        <w:t>.</w:t>
      </w:r>
    </w:p>
    <w:p w14:paraId="5AEB1877" w14:textId="77777777" w:rsidR="003A274D" w:rsidRPr="00510442" w:rsidRDefault="003A274D" w:rsidP="003A274D">
      <w:pPr>
        <w:pStyle w:val="Text"/>
        <w:widowControl w:val="0"/>
        <w:spacing w:before="0"/>
        <w:jc w:val="left"/>
        <w:rPr>
          <w:color w:val="000000"/>
          <w:sz w:val="22"/>
          <w:szCs w:val="22"/>
          <w:lang w:val="hr-HR"/>
        </w:rPr>
      </w:pPr>
    </w:p>
    <w:p w14:paraId="081674EF" w14:textId="77777777" w:rsidR="003A274D" w:rsidRPr="00510442" w:rsidRDefault="003A274D" w:rsidP="003A274D">
      <w:pPr>
        <w:pStyle w:val="Text"/>
        <w:widowControl w:val="0"/>
        <w:spacing w:before="0"/>
        <w:jc w:val="left"/>
        <w:rPr>
          <w:color w:val="000000"/>
          <w:sz w:val="22"/>
          <w:szCs w:val="22"/>
          <w:lang w:val="hr-HR"/>
        </w:rPr>
      </w:pPr>
      <w:r w:rsidRPr="00510442">
        <w:rPr>
          <w:i/>
          <w:sz w:val="22"/>
          <w:szCs w:val="22"/>
          <w:lang w:val="hr-HR"/>
        </w:rPr>
        <w:t>In vitro</w:t>
      </w:r>
      <w:r w:rsidRPr="00510442">
        <w:rPr>
          <w:sz w:val="22"/>
          <w:szCs w:val="22"/>
          <w:lang w:val="hr-HR"/>
        </w:rPr>
        <w:t xml:space="preserve"> rezultati su pokazali da je CYP3A4 bio glavni humani P450 enzim koji katalizira biotransformaciju imatiniba. Od skupine potencijalnih lijekova za istodobnu primjenu (acetaminofen, aciklovir, alopurinol, amfotericin, citarabin, eritromicin, flukonazol, hidroksiureja, norfloksacin, penicilin V) samo su eritromicin</w:t>
      </w:r>
      <w:r w:rsidRPr="00510442">
        <w:rPr>
          <w:color w:val="000000"/>
          <w:sz w:val="22"/>
          <w:szCs w:val="22"/>
          <w:lang w:val="hr-HR"/>
        </w:rPr>
        <w:t xml:space="preserve"> (IC</w:t>
      </w:r>
      <w:r w:rsidRPr="00510442">
        <w:rPr>
          <w:color w:val="000000"/>
          <w:sz w:val="22"/>
          <w:szCs w:val="22"/>
          <w:vertAlign w:val="subscript"/>
          <w:lang w:val="hr-HR"/>
        </w:rPr>
        <w:t>50</w:t>
      </w:r>
      <w:r w:rsidRPr="00510442">
        <w:rPr>
          <w:color w:val="000000"/>
          <w:sz w:val="22"/>
          <w:szCs w:val="22"/>
          <w:lang w:val="hr-HR"/>
        </w:rPr>
        <w:t xml:space="preserve"> 50 µM) </w:t>
      </w:r>
      <w:r w:rsidRPr="00510442">
        <w:rPr>
          <w:sz w:val="22"/>
          <w:szCs w:val="22"/>
          <w:lang w:val="hr-HR"/>
        </w:rPr>
        <w:t xml:space="preserve">i flukonazol </w:t>
      </w:r>
      <w:r w:rsidRPr="00510442">
        <w:rPr>
          <w:color w:val="000000"/>
          <w:sz w:val="22"/>
          <w:szCs w:val="22"/>
          <w:lang w:val="hr-HR"/>
        </w:rPr>
        <w:t>(IC</w:t>
      </w:r>
      <w:r w:rsidRPr="00510442">
        <w:rPr>
          <w:color w:val="000000"/>
          <w:sz w:val="22"/>
          <w:szCs w:val="22"/>
          <w:vertAlign w:val="subscript"/>
          <w:lang w:val="hr-HR"/>
        </w:rPr>
        <w:t>50</w:t>
      </w:r>
      <w:r w:rsidRPr="00510442">
        <w:rPr>
          <w:color w:val="000000"/>
          <w:sz w:val="22"/>
          <w:szCs w:val="22"/>
          <w:lang w:val="hr-HR"/>
        </w:rPr>
        <w:t xml:space="preserve"> 118 µM) </w:t>
      </w:r>
      <w:r w:rsidRPr="00510442">
        <w:rPr>
          <w:sz w:val="22"/>
          <w:szCs w:val="22"/>
          <w:lang w:val="hr-HR"/>
        </w:rPr>
        <w:t>pokazali da inhibiraju metabolizam imatiniba što bi moglo biti klinički značajno</w:t>
      </w:r>
      <w:r w:rsidRPr="00510442">
        <w:rPr>
          <w:color w:val="000000"/>
          <w:sz w:val="22"/>
          <w:szCs w:val="22"/>
          <w:lang w:val="hr-HR"/>
        </w:rPr>
        <w:t>.</w:t>
      </w:r>
    </w:p>
    <w:p w14:paraId="6090B749" w14:textId="77777777" w:rsidR="003A274D" w:rsidRPr="00510442" w:rsidRDefault="003A274D" w:rsidP="003A274D">
      <w:pPr>
        <w:pStyle w:val="Text"/>
        <w:widowControl w:val="0"/>
        <w:spacing w:before="0"/>
        <w:jc w:val="left"/>
        <w:rPr>
          <w:color w:val="000000"/>
          <w:sz w:val="22"/>
          <w:szCs w:val="22"/>
          <w:lang w:val="hr-HR"/>
        </w:rPr>
      </w:pPr>
    </w:p>
    <w:p w14:paraId="2AD449C8" w14:textId="77777777" w:rsidR="003A274D" w:rsidRPr="00510442" w:rsidRDefault="003A274D" w:rsidP="003A274D">
      <w:pPr>
        <w:pStyle w:val="Text"/>
        <w:widowControl w:val="0"/>
        <w:spacing w:before="0"/>
        <w:jc w:val="left"/>
        <w:rPr>
          <w:color w:val="000000"/>
          <w:sz w:val="22"/>
          <w:szCs w:val="22"/>
          <w:lang w:val="hr-HR"/>
        </w:rPr>
      </w:pPr>
      <w:r w:rsidRPr="00510442">
        <w:rPr>
          <w:sz w:val="22"/>
          <w:szCs w:val="22"/>
          <w:lang w:val="hr-HR"/>
        </w:rPr>
        <w:t xml:space="preserve">Pokazalo se da je imatinib </w:t>
      </w:r>
      <w:r w:rsidRPr="00510442">
        <w:rPr>
          <w:i/>
          <w:sz w:val="22"/>
          <w:szCs w:val="22"/>
          <w:lang w:val="hr-HR"/>
        </w:rPr>
        <w:t>in vitro</w:t>
      </w:r>
      <w:r w:rsidRPr="00510442">
        <w:rPr>
          <w:sz w:val="22"/>
          <w:szCs w:val="22"/>
          <w:lang w:val="hr-HR"/>
        </w:rPr>
        <w:t xml:space="preserve"> kompetitivni inhibitor supstrata markera za CYP2C9, CYP2D6 i CYP3A4/5. K</w:t>
      </w:r>
      <w:r w:rsidRPr="00510442">
        <w:rPr>
          <w:sz w:val="22"/>
          <w:szCs w:val="22"/>
          <w:vertAlign w:val="subscript"/>
          <w:lang w:val="hr-HR"/>
        </w:rPr>
        <w:t>i</w:t>
      </w:r>
      <w:r w:rsidRPr="00510442">
        <w:rPr>
          <w:sz w:val="22"/>
          <w:szCs w:val="22"/>
          <w:lang w:val="hr-HR"/>
        </w:rPr>
        <w:t xml:space="preserve"> vrijednosti u jetrenim mikrosomima čovjeka bile su 27, 7,5, odnosno </w:t>
      </w:r>
      <w:r w:rsidRPr="00510442">
        <w:rPr>
          <w:color w:val="000000"/>
          <w:sz w:val="22"/>
          <w:szCs w:val="22"/>
          <w:lang w:val="hr-HR"/>
        </w:rPr>
        <w:t>7,9 </w:t>
      </w:r>
      <w:r w:rsidRPr="00307897">
        <w:rPr>
          <w:color w:val="000000"/>
          <w:sz w:val="22"/>
          <w:szCs w:val="22"/>
          <w:lang w:val="hr-HR"/>
        </w:rPr>
        <w:sym w:font="Symbol" w:char="F06D"/>
      </w:r>
      <w:r w:rsidRPr="00307897">
        <w:rPr>
          <w:color w:val="000000"/>
          <w:sz w:val="22"/>
          <w:szCs w:val="22"/>
          <w:lang w:val="hr-HR"/>
        </w:rPr>
        <w:t xml:space="preserve">mol/l. </w:t>
      </w:r>
      <w:r w:rsidRPr="00307897">
        <w:rPr>
          <w:sz w:val="22"/>
          <w:szCs w:val="22"/>
          <w:lang w:val="hr-HR"/>
        </w:rPr>
        <w:t xml:space="preserve">Maksimalne koncentracije imatiniba u plazmi bolesnika iznose </w:t>
      </w:r>
      <w:r w:rsidRPr="00A00164">
        <w:rPr>
          <w:color w:val="000000"/>
          <w:sz w:val="22"/>
          <w:szCs w:val="22"/>
          <w:lang w:val="hr-HR"/>
        </w:rPr>
        <w:t>2</w:t>
      </w:r>
      <w:r w:rsidRPr="00A00164">
        <w:rPr>
          <w:color w:val="000000"/>
          <w:sz w:val="22"/>
          <w:szCs w:val="22"/>
          <w:lang w:val="hr-HR"/>
        </w:rPr>
        <w:noBreakHyphen/>
        <w:t>4 </w:t>
      </w:r>
      <w:r w:rsidRPr="00307897">
        <w:rPr>
          <w:color w:val="000000"/>
          <w:sz w:val="22"/>
          <w:szCs w:val="22"/>
          <w:lang w:val="hr-HR"/>
        </w:rPr>
        <w:sym w:font="Symbol" w:char="F06D"/>
      </w:r>
      <w:r w:rsidRPr="00307897">
        <w:rPr>
          <w:color w:val="000000"/>
          <w:sz w:val="22"/>
          <w:szCs w:val="22"/>
          <w:lang w:val="hr-HR"/>
        </w:rPr>
        <w:t xml:space="preserve">mol/l </w:t>
      </w:r>
      <w:r w:rsidRPr="00307897">
        <w:rPr>
          <w:sz w:val="22"/>
          <w:szCs w:val="22"/>
          <w:lang w:val="hr-HR"/>
        </w:rPr>
        <w:t>pa je prema t</w:t>
      </w:r>
      <w:r w:rsidRPr="00A00164">
        <w:rPr>
          <w:sz w:val="22"/>
          <w:szCs w:val="22"/>
          <w:lang w:val="hr-HR"/>
        </w:rPr>
        <w:t>ome moguća inhibicija metabolizma istodobno primijenjenih lijekova, koji se odvija posredstvom CYP2D6 i/ili CYP3A4/5. Imatinib nije ometao biotransformaciju 5-fluorouracila, ali je inhibirao metabolizam paklitaksela, što je bila posljedica kompetitivne inh</w:t>
      </w:r>
      <w:r w:rsidRPr="00973BDD">
        <w:rPr>
          <w:sz w:val="22"/>
          <w:szCs w:val="22"/>
          <w:lang w:val="hr-HR"/>
        </w:rPr>
        <w:t>ibicije CYP2C8</w:t>
      </w:r>
      <w:r w:rsidRPr="000B51EB">
        <w:rPr>
          <w:color w:val="000000"/>
          <w:sz w:val="22"/>
          <w:szCs w:val="22"/>
          <w:lang w:val="hr-HR"/>
        </w:rPr>
        <w:t xml:space="preserve"> (K</w:t>
      </w:r>
      <w:r w:rsidRPr="00510442">
        <w:rPr>
          <w:color w:val="000000"/>
          <w:sz w:val="22"/>
          <w:szCs w:val="22"/>
          <w:vertAlign w:val="subscript"/>
          <w:lang w:val="hr-HR"/>
        </w:rPr>
        <w:t>i</w:t>
      </w:r>
      <w:r w:rsidRPr="00510442">
        <w:rPr>
          <w:color w:val="000000"/>
          <w:sz w:val="22"/>
          <w:szCs w:val="22"/>
          <w:lang w:val="hr-HR"/>
        </w:rPr>
        <w:t xml:space="preserve"> = 34,7 µM). </w:t>
      </w:r>
      <w:r w:rsidRPr="00510442">
        <w:rPr>
          <w:sz w:val="22"/>
          <w:szCs w:val="22"/>
          <w:lang w:val="hr-HR"/>
        </w:rPr>
        <w:t>Ta K</w:t>
      </w:r>
      <w:r w:rsidRPr="00510442">
        <w:rPr>
          <w:sz w:val="22"/>
          <w:szCs w:val="22"/>
          <w:vertAlign w:val="subscript"/>
          <w:lang w:val="hr-HR"/>
        </w:rPr>
        <w:t xml:space="preserve">i </w:t>
      </w:r>
      <w:r w:rsidRPr="00510442">
        <w:rPr>
          <w:sz w:val="22"/>
          <w:szCs w:val="22"/>
          <w:lang w:val="hr-HR"/>
        </w:rPr>
        <w:t>vrijednost je daleko viša nego što su očekivane razine imatiniba u plazmi bolesnika, pa se prema tome ne očekuje nikakva interakcija nakon istodobne primjene bilo 5-fluorouracila bilo paklitaksela i imatiniba</w:t>
      </w:r>
      <w:r w:rsidRPr="00510442">
        <w:rPr>
          <w:color w:val="000000"/>
          <w:sz w:val="22"/>
          <w:szCs w:val="22"/>
          <w:lang w:val="hr-HR"/>
        </w:rPr>
        <w:t>.</w:t>
      </w:r>
    </w:p>
    <w:p w14:paraId="2D1F4477" w14:textId="77777777" w:rsidR="003A274D" w:rsidRPr="00510442" w:rsidRDefault="003A274D" w:rsidP="003A274D">
      <w:pPr>
        <w:pStyle w:val="EndnoteText"/>
        <w:widowControl w:val="0"/>
        <w:tabs>
          <w:tab w:val="clear" w:pos="567"/>
        </w:tabs>
        <w:rPr>
          <w:color w:val="000000"/>
          <w:szCs w:val="22"/>
          <w:lang w:val="hr-HR"/>
        </w:rPr>
      </w:pPr>
    </w:p>
    <w:p w14:paraId="239255A9" w14:textId="77777777" w:rsidR="003A274D" w:rsidRPr="00510442" w:rsidRDefault="003A274D" w:rsidP="001150EE">
      <w:pPr>
        <w:pStyle w:val="EndnoteText"/>
        <w:keepNext/>
        <w:widowControl w:val="0"/>
        <w:tabs>
          <w:tab w:val="clear" w:pos="567"/>
        </w:tabs>
        <w:rPr>
          <w:color w:val="000000"/>
          <w:szCs w:val="22"/>
          <w:lang w:val="hr-HR"/>
        </w:rPr>
      </w:pPr>
      <w:r w:rsidRPr="00510442">
        <w:rPr>
          <w:iCs/>
          <w:szCs w:val="22"/>
          <w:u w:val="single"/>
          <w:lang w:val="hr-HR"/>
        </w:rPr>
        <w:t>Eliminacija</w:t>
      </w:r>
    </w:p>
    <w:p w14:paraId="3FECF25C" w14:textId="77777777" w:rsidR="003A274D" w:rsidRPr="00510442" w:rsidRDefault="003A274D" w:rsidP="003A274D">
      <w:pPr>
        <w:pStyle w:val="EndnoteText"/>
        <w:widowControl w:val="0"/>
        <w:tabs>
          <w:tab w:val="clear" w:pos="567"/>
        </w:tabs>
        <w:rPr>
          <w:color w:val="000000"/>
          <w:szCs w:val="22"/>
          <w:lang w:val="hr-HR"/>
        </w:rPr>
      </w:pPr>
      <w:r w:rsidRPr="00510442">
        <w:rPr>
          <w:szCs w:val="22"/>
          <w:lang w:val="hr-HR"/>
        </w:rPr>
        <w:t xml:space="preserve">Na temelju izlučivanja spoja(eva) nakon oralne, </w:t>
      </w:r>
      <w:r w:rsidRPr="00510442">
        <w:rPr>
          <w:szCs w:val="22"/>
          <w:vertAlign w:val="superscript"/>
          <w:lang w:val="hr-HR"/>
        </w:rPr>
        <w:t>14</w:t>
      </w:r>
      <w:r w:rsidRPr="00510442">
        <w:rPr>
          <w:szCs w:val="22"/>
          <w:lang w:val="hr-HR"/>
        </w:rPr>
        <w:t xml:space="preserve">C-označene doze imatiniba, oko 81% doze izlučilo se u roku od </w:t>
      </w:r>
      <w:r w:rsidRPr="00510442">
        <w:rPr>
          <w:color w:val="000000"/>
          <w:szCs w:val="22"/>
          <w:lang w:val="hr-HR"/>
        </w:rPr>
        <w:t xml:space="preserve">7 dana u stolici (68% doze) i mokraći (13% doze). </w:t>
      </w:r>
      <w:r w:rsidRPr="00510442">
        <w:rPr>
          <w:szCs w:val="22"/>
          <w:lang w:val="hr-HR"/>
        </w:rPr>
        <w:t>Na nepromijenjeni imatinib otpadalo je 25% doze (5% mokraća, 20% stolica), dok su ostalo bili metaboliti</w:t>
      </w:r>
      <w:r w:rsidRPr="00510442">
        <w:rPr>
          <w:color w:val="000000"/>
          <w:szCs w:val="22"/>
          <w:lang w:val="hr-HR"/>
        </w:rPr>
        <w:t>.</w:t>
      </w:r>
    </w:p>
    <w:p w14:paraId="001A9595" w14:textId="77777777" w:rsidR="003A274D" w:rsidRPr="00510442" w:rsidRDefault="003A274D" w:rsidP="003A274D">
      <w:pPr>
        <w:pStyle w:val="EndnoteText"/>
        <w:widowControl w:val="0"/>
        <w:tabs>
          <w:tab w:val="clear" w:pos="567"/>
        </w:tabs>
        <w:rPr>
          <w:color w:val="000000"/>
          <w:szCs w:val="22"/>
          <w:lang w:val="hr-HR"/>
        </w:rPr>
      </w:pPr>
    </w:p>
    <w:p w14:paraId="16E926A9" w14:textId="77777777" w:rsidR="003A274D" w:rsidRPr="00510442" w:rsidRDefault="003A274D" w:rsidP="001150EE">
      <w:pPr>
        <w:pStyle w:val="EndnoteText"/>
        <w:keepNext/>
        <w:widowControl w:val="0"/>
        <w:tabs>
          <w:tab w:val="clear" w:pos="567"/>
        </w:tabs>
        <w:rPr>
          <w:color w:val="000000"/>
          <w:szCs w:val="22"/>
          <w:lang w:val="hr-HR"/>
        </w:rPr>
      </w:pPr>
      <w:r w:rsidRPr="00510442">
        <w:rPr>
          <w:szCs w:val="22"/>
          <w:u w:val="single"/>
          <w:lang w:val="hr-HR"/>
        </w:rPr>
        <w:t>Farmakokinetika u plazmi</w:t>
      </w:r>
    </w:p>
    <w:p w14:paraId="097CD759" w14:textId="77777777" w:rsidR="003A274D" w:rsidRPr="00510442" w:rsidRDefault="003A274D" w:rsidP="003A274D">
      <w:pPr>
        <w:pStyle w:val="EndnoteText"/>
        <w:widowControl w:val="0"/>
        <w:tabs>
          <w:tab w:val="clear" w:pos="567"/>
        </w:tabs>
        <w:rPr>
          <w:color w:val="000000"/>
          <w:szCs w:val="22"/>
          <w:lang w:val="hr-HR"/>
        </w:rPr>
      </w:pPr>
      <w:r w:rsidRPr="00510442">
        <w:rPr>
          <w:szCs w:val="22"/>
          <w:lang w:val="hr-HR"/>
        </w:rPr>
        <w:t>Nakon peroralne primjene u zdravih dobrovoljaca, t</w:t>
      </w:r>
      <w:r w:rsidRPr="00510442">
        <w:rPr>
          <w:szCs w:val="22"/>
          <w:vertAlign w:val="subscript"/>
          <w:lang w:val="hr-HR"/>
        </w:rPr>
        <w:t xml:space="preserve">½ </w:t>
      </w:r>
      <w:r w:rsidRPr="00510442">
        <w:rPr>
          <w:szCs w:val="22"/>
          <w:lang w:val="hr-HR"/>
        </w:rPr>
        <w:t>bilo je oko 18</w:t>
      </w:r>
      <w:r w:rsidRPr="00510442">
        <w:rPr>
          <w:color w:val="000000"/>
          <w:szCs w:val="22"/>
          <w:lang w:val="hr-HR"/>
        </w:rPr>
        <w:t> </w:t>
      </w:r>
      <w:r w:rsidRPr="00510442">
        <w:rPr>
          <w:szCs w:val="22"/>
          <w:lang w:val="hr-HR"/>
        </w:rPr>
        <w:t>h, što navodi na zaključak da je doziranje jedanput na dan primjereno. Povećanje srednje AUC vrijednosti uz povećanje doze bilo je linearno i proporcionalno prema dozi u rasponu od 25</w:t>
      </w:r>
      <w:r w:rsidRPr="00510442">
        <w:rPr>
          <w:szCs w:val="22"/>
          <w:lang w:val="hr-HR"/>
        </w:rPr>
        <w:noBreakHyphen/>
        <w:t>1000</w:t>
      </w:r>
      <w:r w:rsidRPr="00510442">
        <w:rPr>
          <w:color w:val="000000"/>
          <w:szCs w:val="22"/>
          <w:lang w:val="hr-HR"/>
        </w:rPr>
        <w:t> </w:t>
      </w:r>
      <w:r w:rsidRPr="00510442">
        <w:rPr>
          <w:szCs w:val="22"/>
          <w:lang w:val="hr-HR"/>
        </w:rPr>
        <w:t>mg imatiniba nakon peroralne primjene. Nije bilo promjene kinetike imatiniba nakon ponovljenog doziranja, a akumulacija je bila 1,5</w:t>
      </w:r>
      <w:r w:rsidRPr="00510442">
        <w:rPr>
          <w:szCs w:val="22"/>
          <w:lang w:val="hr-HR"/>
        </w:rPr>
        <w:noBreakHyphen/>
        <w:t>2,5 puta veća u stanju dinamičke ravnoteže kada je lijek doziran jednom na dan</w:t>
      </w:r>
      <w:r w:rsidRPr="00510442">
        <w:rPr>
          <w:color w:val="000000"/>
          <w:szCs w:val="22"/>
          <w:lang w:val="hr-HR"/>
        </w:rPr>
        <w:t>.</w:t>
      </w:r>
    </w:p>
    <w:p w14:paraId="155E2AC9" w14:textId="77777777" w:rsidR="003A274D" w:rsidRPr="00510442" w:rsidRDefault="003A274D" w:rsidP="003A274D">
      <w:pPr>
        <w:pStyle w:val="EndnoteText"/>
        <w:widowControl w:val="0"/>
        <w:tabs>
          <w:tab w:val="clear" w:pos="567"/>
        </w:tabs>
        <w:rPr>
          <w:color w:val="000000"/>
          <w:szCs w:val="22"/>
          <w:lang w:val="hr-HR"/>
        </w:rPr>
      </w:pPr>
    </w:p>
    <w:p w14:paraId="589C288E" w14:textId="77777777" w:rsidR="003A274D" w:rsidRPr="00510442" w:rsidRDefault="003A274D" w:rsidP="001150EE">
      <w:pPr>
        <w:pStyle w:val="EndnoteText"/>
        <w:keepNext/>
        <w:widowControl w:val="0"/>
        <w:tabs>
          <w:tab w:val="clear" w:pos="567"/>
        </w:tabs>
        <w:rPr>
          <w:color w:val="000000"/>
          <w:szCs w:val="22"/>
          <w:u w:val="single"/>
          <w:lang w:val="hr-HR"/>
        </w:rPr>
      </w:pPr>
      <w:r w:rsidRPr="00510442">
        <w:rPr>
          <w:szCs w:val="22"/>
          <w:u w:val="single"/>
          <w:lang w:val="hr-HR"/>
        </w:rPr>
        <w:lastRenderedPageBreak/>
        <w:t>Farmakokinetika u bolesnika s GIST-om</w:t>
      </w:r>
    </w:p>
    <w:p w14:paraId="79CCC32E" w14:textId="77777777" w:rsidR="003A274D" w:rsidRPr="00510442" w:rsidRDefault="003A274D" w:rsidP="003A274D">
      <w:pPr>
        <w:pStyle w:val="Text"/>
        <w:widowControl w:val="0"/>
        <w:spacing w:before="0"/>
        <w:jc w:val="left"/>
        <w:rPr>
          <w:sz w:val="22"/>
          <w:szCs w:val="22"/>
          <w:lang w:val="hr-HR"/>
        </w:rPr>
      </w:pPr>
      <w:r w:rsidRPr="00510442">
        <w:rPr>
          <w:sz w:val="22"/>
          <w:szCs w:val="22"/>
          <w:lang w:val="hr-HR"/>
        </w:rPr>
        <w:t>U bolesnika s GIST-om izloženost u stanju dinamičke ravnoteže bila je 1,5 puta veća od one koja je zapažena u bolesnika s KML-om uz isto doziranje (400</w:t>
      </w:r>
      <w:r w:rsidRPr="00510442">
        <w:rPr>
          <w:snapToGrid w:val="0"/>
          <w:color w:val="000000"/>
          <w:sz w:val="22"/>
          <w:szCs w:val="22"/>
          <w:lang w:val="hr-HR"/>
        </w:rPr>
        <w:t> </w:t>
      </w:r>
      <w:r w:rsidRPr="00510442">
        <w:rPr>
          <w:sz w:val="22"/>
          <w:szCs w:val="22"/>
          <w:lang w:val="hr-HR"/>
        </w:rPr>
        <w:t>mg na dan). Na temelju preliminarne analize populacijske farmakokinetike u bolesnika s GIST-om, utvrđeno je da tri varijable (albumin, WBC i bilirubin) imaju statistički značajan odnos s farmakokinetikom imatiniba. Smanjene vrijednosti albumina uzrokovale su smanjeni klirens (CL/f); a više WBC razine su dovele do smanjenja CL/f vrijednosti. No, te veze nisu dovoljno izražene da bi opravdale prilagođavanje doze. U toj bi populaciji bolesnika prisutnost metastaza u jetri mogla potencijalno dovesti do jetrene insuficijencije i smanjenog metabolizma.</w:t>
      </w:r>
    </w:p>
    <w:p w14:paraId="3F68A7D5" w14:textId="77777777" w:rsidR="003A274D" w:rsidRPr="00510442" w:rsidRDefault="003A274D" w:rsidP="003A274D">
      <w:pPr>
        <w:pStyle w:val="EndnoteText"/>
        <w:widowControl w:val="0"/>
        <w:tabs>
          <w:tab w:val="clear" w:pos="567"/>
        </w:tabs>
        <w:rPr>
          <w:color w:val="000000"/>
          <w:szCs w:val="22"/>
          <w:lang w:val="hr-HR"/>
        </w:rPr>
      </w:pPr>
    </w:p>
    <w:p w14:paraId="2CFB746A" w14:textId="77777777" w:rsidR="003A274D" w:rsidRPr="00510442" w:rsidRDefault="003A274D" w:rsidP="001150EE">
      <w:pPr>
        <w:pStyle w:val="EndnoteText"/>
        <w:keepNext/>
        <w:widowControl w:val="0"/>
        <w:tabs>
          <w:tab w:val="clear" w:pos="567"/>
        </w:tabs>
        <w:rPr>
          <w:color w:val="000000"/>
          <w:szCs w:val="22"/>
          <w:lang w:val="hr-HR"/>
        </w:rPr>
      </w:pPr>
      <w:r w:rsidRPr="00510442">
        <w:rPr>
          <w:szCs w:val="22"/>
          <w:u w:val="single"/>
          <w:lang w:val="hr-HR"/>
        </w:rPr>
        <w:t>Farmakokinetika populacije</w:t>
      </w:r>
    </w:p>
    <w:p w14:paraId="45ADDEC6" w14:textId="77777777" w:rsidR="003A274D" w:rsidRPr="00510442" w:rsidRDefault="003A274D" w:rsidP="003A274D">
      <w:pPr>
        <w:pStyle w:val="EndnoteText"/>
        <w:widowControl w:val="0"/>
        <w:tabs>
          <w:tab w:val="clear" w:pos="567"/>
        </w:tabs>
        <w:rPr>
          <w:szCs w:val="22"/>
          <w:lang w:val="hr-HR"/>
        </w:rPr>
      </w:pPr>
      <w:r w:rsidRPr="00510442">
        <w:rPr>
          <w:szCs w:val="22"/>
          <w:lang w:val="hr-HR"/>
        </w:rPr>
        <w:t xml:space="preserve">Na temelju analize farmakokinetike populacije u KML bolesnika, učinak dobi na volumen raspodjele bio je malen (povećanje od 12% u bolesnika starih </w:t>
      </w:r>
      <w:r w:rsidRPr="00510442">
        <w:rPr>
          <w:color w:val="000000"/>
          <w:szCs w:val="22"/>
          <w:lang w:val="hr-HR"/>
        </w:rPr>
        <w:t>&gt;65 </w:t>
      </w:r>
      <w:r w:rsidRPr="00510442">
        <w:rPr>
          <w:szCs w:val="22"/>
          <w:lang w:val="hr-HR"/>
        </w:rPr>
        <w:t>godina). Smatra se da ta promjena nije klinički značajna. Učinak tjelesne težine na klirens imatiniba takav je da se za bolesnika koji teži 50</w:t>
      </w:r>
      <w:r w:rsidRPr="00510442">
        <w:rPr>
          <w:color w:val="000000"/>
          <w:szCs w:val="22"/>
          <w:lang w:val="hr-HR"/>
        </w:rPr>
        <w:t> </w:t>
      </w:r>
      <w:r w:rsidRPr="00510442">
        <w:rPr>
          <w:szCs w:val="22"/>
          <w:lang w:val="hr-HR"/>
        </w:rPr>
        <w:t>kg očekuje da će srednji klirens biti 8,5</w:t>
      </w:r>
      <w:r w:rsidRPr="00510442">
        <w:rPr>
          <w:color w:val="000000"/>
          <w:szCs w:val="22"/>
          <w:lang w:val="hr-HR"/>
        </w:rPr>
        <w:t> </w:t>
      </w:r>
      <w:r w:rsidRPr="00510442">
        <w:rPr>
          <w:szCs w:val="22"/>
          <w:lang w:val="hr-HR"/>
        </w:rPr>
        <w:t>l/h, dok će se za bolesnika od 100</w:t>
      </w:r>
      <w:r w:rsidRPr="00510442">
        <w:rPr>
          <w:color w:val="000000"/>
          <w:szCs w:val="22"/>
          <w:lang w:val="hr-HR"/>
        </w:rPr>
        <w:t> </w:t>
      </w:r>
      <w:r w:rsidRPr="00510442">
        <w:rPr>
          <w:szCs w:val="22"/>
          <w:lang w:val="hr-HR"/>
        </w:rPr>
        <w:t>kg klirens povećati na 11,8</w:t>
      </w:r>
      <w:r w:rsidRPr="00510442">
        <w:rPr>
          <w:color w:val="000000"/>
          <w:szCs w:val="22"/>
          <w:lang w:val="hr-HR"/>
        </w:rPr>
        <w:t> </w:t>
      </w:r>
      <w:r w:rsidRPr="00510442">
        <w:rPr>
          <w:szCs w:val="22"/>
          <w:lang w:val="hr-HR"/>
        </w:rPr>
        <w:t>l/h. Za ove se promjene smatra da nisu dovoljne da bi opravdale prilagođavanje doze na temelju kilograma tjelesne težine. Spol nema učinka na kinetiku imatiniba.</w:t>
      </w:r>
    </w:p>
    <w:p w14:paraId="3A482AB8" w14:textId="77777777" w:rsidR="003A274D" w:rsidRPr="00510442" w:rsidRDefault="003A274D" w:rsidP="003A274D">
      <w:pPr>
        <w:pStyle w:val="EndnoteText"/>
        <w:widowControl w:val="0"/>
        <w:tabs>
          <w:tab w:val="clear" w:pos="567"/>
        </w:tabs>
        <w:rPr>
          <w:color w:val="000000"/>
          <w:szCs w:val="22"/>
          <w:lang w:val="hr-HR"/>
        </w:rPr>
      </w:pPr>
    </w:p>
    <w:p w14:paraId="7D9BB80C" w14:textId="77777777" w:rsidR="003A274D" w:rsidRPr="00510442" w:rsidRDefault="003A274D" w:rsidP="001150EE">
      <w:pPr>
        <w:pStyle w:val="EndnoteText"/>
        <w:keepNext/>
        <w:widowControl w:val="0"/>
        <w:tabs>
          <w:tab w:val="clear" w:pos="567"/>
        </w:tabs>
        <w:rPr>
          <w:color w:val="000000"/>
          <w:szCs w:val="22"/>
          <w:u w:val="single"/>
          <w:lang w:val="hr-HR"/>
        </w:rPr>
      </w:pPr>
      <w:r w:rsidRPr="00510442">
        <w:rPr>
          <w:szCs w:val="22"/>
          <w:u w:val="single"/>
          <w:lang w:val="hr-HR"/>
        </w:rPr>
        <w:t>Farmakokinetika u djece</w:t>
      </w:r>
    </w:p>
    <w:p w14:paraId="59F09114" w14:textId="77777777" w:rsidR="003A274D" w:rsidRPr="00510442" w:rsidRDefault="003A274D" w:rsidP="003A274D">
      <w:pPr>
        <w:pStyle w:val="EndnoteText"/>
        <w:widowControl w:val="0"/>
        <w:rPr>
          <w:szCs w:val="22"/>
          <w:lang w:val="hr-HR"/>
        </w:rPr>
      </w:pPr>
      <w:r w:rsidRPr="00510442">
        <w:rPr>
          <w:szCs w:val="22"/>
          <w:lang w:val="hr-HR"/>
        </w:rPr>
        <w:t>Kao i u odraslih bolesnika, imatinib se brzo apsorbirao nakon peroralne primjene u pedijatrijskih bolesnika i u ispitivanjima faze I i faze II. Doziranje u djece od 260 odnosno 340</w:t>
      </w:r>
      <w:r w:rsidRPr="00510442">
        <w:rPr>
          <w:color w:val="000000"/>
          <w:szCs w:val="22"/>
          <w:lang w:val="hr-HR"/>
        </w:rPr>
        <w:t> </w:t>
      </w:r>
      <w:r w:rsidRPr="00510442">
        <w:rPr>
          <w:szCs w:val="22"/>
          <w:lang w:val="hr-HR"/>
        </w:rPr>
        <w:t>mg/m</w:t>
      </w:r>
      <w:r w:rsidRPr="00510442">
        <w:rPr>
          <w:szCs w:val="22"/>
          <w:vertAlign w:val="superscript"/>
          <w:lang w:val="hr-HR"/>
        </w:rPr>
        <w:t>2</w:t>
      </w:r>
      <w:r w:rsidRPr="00510442">
        <w:rPr>
          <w:szCs w:val="22"/>
          <w:lang w:val="hr-HR"/>
        </w:rPr>
        <w:t>/dan postiglo je istu izloženost, kao i doze od 400</w:t>
      </w:r>
      <w:r w:rsidRPr="00510442">
        <w:rPr>
          <w:color w:val="000000"/>
          <w:szCs w:val="22"/>
          <w:lang w:val="hr-HR"/>
        </w:rPr>
        <w:t> </w:t>
      </w:r>
      <w:r w:rsidRPr="00510442">
        <w:rPr>
          <w:szCs w:val="22"/>
          <w:lang w:val="hr-HR"/>
        </w:rPr>
        <w:t>mg i 600</w:t>
      </w:r>
      <w:r w:rsidRPr="00510442">
        <w:rPr>
          <w:color w:val="000000"/>
          <w:szCs w:val="22"/>
          <w:lang w:val="hr-HR"/>
        </w:rPr>
        <w:t> </w:t>
      </w:r>
      <w:r w:rsidRPr="00510442">
        <w:rPr>
          <w:szCs w:val="22"/>
          <w:lang w:val="hr-HR"/>
        </w:rPr>
        <w:t>mg u odraslih bolesnika. Usporedba AUC</w:t>
      </w:r>
      <w:r w:rsidRPr="00510442">
        <w:rPr>
          <w:szCs w:val="22"/>
          <w:vertAlign w:val="subscript"/>
          <w:lang w:val="hr-HR"/>
        </w:rPr>
        <w:t>(0-24)</w:t>
      </w:r>
      <w:r w:rsidRPr="00510442">
        <w:rPr>
          <w:szCs w:val="22"/>
          <w:lang w:val="hr-HR"/>
        </w:rPr>
        <w:t xml:space="preserve"> na dan</w:t>
      </w:r>
      <w:r w:rsidRPr="00510442">
        <w:rPr>
          <w:color w:val="000000"/>
          <w:szCs w:val="22"/>
          <w:lang w:val="hr-HR"/>
        </w:rPr>
        <w:t> </w:t>
      </w:r>
      <w:r w:rsidRPr="00510442">
        <w:rPr>
          <w:szCs w:val="22"/>
          <w:lang w:val="hr-HR"/>
        </w:rPr>
        <w:t>8 i dan</w:t>
      </w:r>
      <w:r w:rsidRPr="00510442">
        <w:rPr>
          <w:color w:val="000000"/>
          <w:szCs w:val="22"/>
          <w:lang w:val="hr-HR"/>
        </w:rPr>
        <w:t> </w:t>
      </w:r>
      <w:r w:rsidRPr="00510442">
        <w:rPr>
          <w:szCs w:val="22"/>
          <w:lang w:val="hr-HR"/>
        </w:rPr>
        <w:t>1 na nivou doze od 340</w:t>
      </w:r>
      <w:r w:rsidRPr="00510442">
        <w:rPr>
          <w:color w:val="000000"/>
          <w:szCs w:val="22"/>
          <w:lang w:val="hr-HR"/>
        </w:rPr>
        <w:t> </w:t>
      </w:r>
      <w:r w:rsidRPr="00510442">
        <w:rPr>
          <w:szCs w:val="22"/>
          <w:lang w:val="hr-HR"/>
        </w:rPr>
        <w:t>mg/m</w:t>
      </w:r>
      <w:r w:rsidRPr="00510442">
        <w:rPr>
          <w:szCs w:val="22"/>
          <w:vertAlign w:val="superscript"/>
          <w:lang w:val="hr-HR"/>
        </w:rPr>
        <w:t>2</w:t>
      </w:r>
      <w:r w:rsidRPr="00510442">
        <w:rPr>
          <w:szCs w:val="22"/>
          <w:lang w:val="hr-HR"/>
        </w:rPr>
        <w:t>/dan otkrila je 1,7 puta veću akumulaciju lijeka nakon ponovljenog doziranja jednom na dan.</w:t>
      </w:r>
    </w:p>
    <w:p w14:paraId="7CFA9BAE" w14:textId="77777777" w:rsidR="003A274D" w:rsidRPr="00510442" w:rsidRDefault="003A274D" w:rsidP="003A274D">
      <w:pPr>
        <w:pStyle w:val="EndnoteText"/>
        <w:widowControl w:val="0"/>
        <w:rPr>
          <w:szCs w:val="22"/>
          <w:lang w:val="hr-HR"/>
        </w:rPr>
      </w:pPr>
    </w:p>
    <w:p w14:paraId="3533663C" w14:textId="77777777" w:rsidR="003A274D" w:rsidRPr="00510442" w:rsidRDefault="003A274D" w:rsidP="003A274D">
      <w:pPr>
        <w:pStyle w:val="EndnoteText"/>
        <w:widowControl w:val="0"/>
        <w:rPr>
          <w:szCs w:val="22"/>
          <w:lang w:val="hr-HR"/>
        </w:rPr>
      </w:pPr>
      <w:r w:rsidRPr="00510442">
        <w:rPr>
          <w:color w:val="000000"/>
          <w:szCs w:val="22"/>
          <w:lang w:val="hr-HR"/>
        </w:rPr>
        <w:t>Na temelju farmakokinetičke analize zbirne populacije pedijatrijskih bolesnika s hematološkim poremećajima (CML, Ph+ALL ili drugi hematološki poremećaji koji se liječe imatinibom), klirens imatiniba povećava se s rastom tjelesne površine (BSA). Nakon korekcije s obzirom na učinak tjelesne površine, ostale demografske odrednice kao što su dob, tjelesna težina i indeks tjelesne mase, nisu imale klinički značajne učinke na izloženost imatinibu. Analizom je potvrđeno da je izloženost imatinibu u pedijatrijskih bolesnika koji su primali 260 mg/m</w:t>
      </w:r>
      <w:r w:rsidRPr="00510442">
        <w:rPr>
          <w:color w:val="000000"/>
          <w:szCs w:val="22"/>
          <w:vertAlign w:val="superscript"/>
          <w:lang w:val="hr-HR"/>
        </w:rPr>
        <w:t>2</w:t>
      </w:r>
      <w:r w:rsidRPr="00510442">
        <w:rPr>
          <w:color w:val="000000"/>
          <w:szCs w:val="22"/>
          <w:lang w:val="hr-HR"/>
        </w:rPr>
        <w:t xml:space="preserve"> jedanput na dan (najviše 400 mg jedanput na dan) ili 340 mg/m</w:t>
      </w:r>
      <w:r w:rsidRPr="00510442">
        <w:rPr>
          <w:color w:val="000000"/>
          <w:szCs w:val="22"/>
          <w:vertAlign w:val="superscript"/>
          <w:lang w:val="hr-HR"/>
        </w:rPr>
        <w:t>2</w:t>
      </w:r>
      <w:r w:rsidRPr="00510442">
        <w:rPr>
          <w:color w:val="000000"/>
          <w:szCs w:val="22"/>
          <w:lang w:val="hr-HR"/>
        </w:rPr>
        <w:t xml:space="preserve"> jedanput na dan (najviše 600 mg jedanput na dan) bila slična onoj u odraslih bolesnika koji su primali imatinib 400 mg ili 600 mg jedanput na dan.</w:t>
      </w:r>
    </w:p>
    <w:p w14:paraId="0FE5E7BD" w14:textId="77777777" w:rsidR="003A274D" w:rsidRPr="00510442" w:rsidRDefault="003A274D" w:rsidP="003A274D">
      <w:pPr>
        <w:pStyle w:val="EndnoteText"/>
        <w:widowControl w:val="0"/>
        <w:tabs>
          <w:tab w:val="clear" w:pos="567"/>
        </w:tabs>
        <w:rPr>
          <w:color w:val="000000"/>
          <w:szCs w:val="22"/>
          <w:lang w:val="hr-HR"/>
        </w:rPr>
      </w:pPr>
    </w:p>
    <w:p w14:paraId="01F7EC45" w14:textId="77777777" w:rsidR="003A274D" w:rsidRPr="00510442" w:rsidRDefault="003A274D" w:rsidP="001150EE">
      <w:pPr>
        <w:pStyle w:val="EndnoteText"/>
        <w:keepNext/>
        <w:widowControl w:val="0"/>
        <w:tabs>
          <w:tab w:val="clear" w:pos="567"/>
        </w:tabs>
        <w:rPr>
          <w:color w:val="000000"/>
          <w:szCs w:val="22"/>
          <w:lang w:val="hr-HR"/>
        </w:rPr>
      </w:pPr>
      <w:r w:rsidRPr="00510442">
        <w:rPr>
          <w:szCs w:val="22"/>
          <w:u w:val="single"/>
          <w:lang w:val="hr-HR"/>
        </w:rPr>
        <w:t>Oštećenje funkcije organa</w:t>
      </w:r>
    </w:p>
    <w:p w14:paraId="1F2FC5CC" w14:textId="77777777" w:rsidR="003A274D" w:rsidRPr="00510442" w:rsidRDefault="003A274D" w:rsidP="003A274D">
      <w:pPr>
        <w:spacing w:line="240" w:lineRule="auto"/>
        <w:rPr>
          <w:szCs w:val="22"/>
          <w:lang w:val="hr-HR"/>
        </w:rPr>
      </w:pPr>
      <w:r w:rsidRPr="00510442">
        <w:rPr>
          <w:szCs w:val="22"/>
          <w:lang w:val="hr-HR"/>
        </w:rPr>
        <w:t>Imatinib i njegovi metaboliti ne izlučuju se u značajnoj mjeri preko bubrega. Izgleda da bolesnici s blagim i umjerenim oštećenjem funkcije bubrega imaju veću izloženost u plazmi od bolesnika s normalnom funkcijom bubrega. Povećanje je otprilike 1,5 do 2 puta veće, a odgovara 1,5 puta većem povećanju α-kiselog glikoproteina u plazmi, za koji se imatinib snažno veže. Klirens slobodnog lijeka za imatinib je vjerojatno sličan između bolesnika s oštećenjem bubrega i onih s normalnom funkcijom bubrega, budući da izlučivanje bubregom predstavlja samo manji metabolički put eliminacije za imatinib (vidjeti dijelove 4.2 i 4.4).</w:t>
      </w:r>
    </w:p>
    <w:p w14:paraId="06C3D578" w14:textId="77777777" w:rsidR="003A274D" w:rsidRPr="00510442" w:rsidRDefault="003A274D" w:rsidP="003A274D">
      <w:pPr>
        <w:spacing w:line="240" w:lineRule="auto"/>
        <w:rPr>
          <w:szCs w:val="22"/>
          <w:lang w:val="hr-HR"/>
        </w:rPr>
      </w:pPr>
    </w:p>
    <w:p w14:paraId="21E1031C" w14:textId="77777777" w:rsidR="003A274D" w:rsidRPr="00510442" w:rsidRDefault="003A274D" w:rsidP="003A274D">
      <w:pPr>
        <w:spacing w:line="240" w:lineRule="auto"/>
        <w:rPr>
          <w:szCs w:val="22"/>
          <w:lang w:val="hr-HR"/>
        </w:rPr>
      </w:pPr>
      <w:r w:rsidRPr="00510442">
        <w:rPr>
          <w:szCs w:val="22"/>
          <w:lang w:val="hr-HR"/>
        </w:rPr>
        <w:t>Iako su rezultati farmakokinetičke analize pokazali da postoji značajna razlika između ispitanika, srednja izloženost imatinibu nije se povećala u bolesnika s različitim stupnjevima poremećaja funkcije jetre, u usporedbi s bolesnicima s normalnom funkcijom jetre (vidjeti dijelove 4.2, 4.4 i 4.8).</w:t>
      </w:r>
    </w:p>
    <w:p w14:paraId="50410A95" w14:textId="77777777" w:rsidR="003A274D" w:rsidRPr="00510442" w:rsidRDefault="003A274D" w:rsidP="003A274D">
      <w:pPr>
        <w:pStyle w:val="EndnoteText"/>
        <w:widowControl w:val="0"/>
        <w:tabs>
          <w:tab w:val="clear" w:pos="567"/>
        </w:tabs>
        <w:rPr>
          <w:color w:val="000000"/>
          <w:szCs w:val="22"/>
          <w:lang w:val="hr-HR"/>
        </w:rPr>
      </w:pPr>
    </w:p>
    <w:p w14:paraId="6A3FE5EB" w14:textId="77777777" w:rsidR="003A274D" w:rsidRPr="00510442" w:rsidRDefault="003A274D" w:rsidP="001150EE">
      <w:pPr>
        <w:keepNext/>
        <w:tabs>
          <w:tab w:val="clear" w:pos="567"/>
        </w:tabs>
        <w:spacing w:line="240" w:lineRule="auto"/>
        <w:ind w:left="567" w:hanging="567"/>
        <w:outlineLvl w:val="0"/>
        <w:rPr>
          <w:szCs w:val="22"/>
          <w:lang w:val="hr-HR"/>
        </w:rPr>
      </w:pPr>
      <w:r w:rsidRPr="00510442">
        <w:rPr>
          <w:b/>
          <w:szCs w:val="22"/>
          <w:lang w:val="hr-HR"/>
        </w:rPr>
        <w:t>5.3</w:t>
      </w:r>
      <w:r w:rsidRPr="00510442">
        <w:rPr>
          <w:b/>
          <w:szCs w:val="22"/>
          <w:lang w:val="hr-HR"/>
        </w:rPr>
        <w:tab/>
        <w:t>Neklinički podaci o sigurnosti primjene</w:t>
      </w:r>
    </w:p>
    <w:p w14:paraId="306468E0" w14:textId="77777777" w:rsidR="003A274D" w:rsidRPr="00510442" w:rsidRDefault="003A274D" w:rsidP="001150EE">
      <w:pPr>
        <w:pStyle w:val="EndnoteText"/>
        <w:keepNext/>
        <w:widowControl w:val="0"/>
        <w:tabs>
          <w:tab w:val="clear" w:pos="567"/>
        </w:tabs>
        <w:rPr>
          <w:color w:val="000000"/>
          <w:szCs w:val="22"/>
          <w:lang w:val="hr-HR"/>
        </w:rPr>
      </w:pPr>
    </w:p>
    <w:p w14:paraId="1718208F" w14:textId="77777777" w:rsidR="003A274D" w:rsidRPr="00510442" w:rsidRDefault="001B77C9" w:rsidP="003A274D">
      <w:pPr>
        <w:spacing w:line="240" w:lineRule="auto"/>
        <w:outlineLvl w:val="0"/>
        <w:rPr>
          <w:szCs w:val="22"/>
          <w:lang w:val="hr-HR"/>
        </w:rPr>
      </w:pPr>
      <w:r w:rsidRPr="00510442">
        <w:rPr>
          <w:szCs w:val="22"/>
          <w:lang w:val="hr-HR"/>
        </w:rPr>
        <w:t xml:space="preserve">Neklinički </w:t>
      </w:r>
      <w:r w:rsidR="003A274D" w:rsidRPr="00510442">
        <w:rPr>
          <w:szCs w:val="22"/>
          <w:lang w:val="hr-HR"/>
        </w:rPr>
        <w:t>profil sigurnosti primjene imatiniba utvrđivan je u štakora, pasa, majmuna i kunića.</w:t>
      </w:r>
    </w:p>
    <w:p w14:paraId="13A5D6DC" w14:textId="77777777" w:rsidR="003A274D" w:rsidRPr="00510442" w:rsidRDefault="003A274D" w:rsidP="003A274D">
      <w:pPr>
        <w:widowControl w:val="0"/>
        <w:tabs>
          <w:tab w:val="clear" w:pos="567"/>
        </w:tabs>
        <w:spacing w:line="240" w:lineRule="auto"/>
        <w:rPr>
          <w:color w:val="000000"/>
          <w:szCs w:val="22"/>
          <w:lang w:val="hr-HR"/>
        </w:rPr>
      </w:pPr>
    </w:p>
    <w:p w14:paraId="5C305F48" w14:textId="77777777" w:rsidR="003A274D" w:rsidRPr="00510442" w:rsidRDefault="003A274D" w:rsidP="003A274D">
      <w:pPr>
        <w:spacing w:line="240" w:lineRule="auto"/>
        <w:rPr>
          <w:szCs w:val="22"/>
          <w:lang w:val="hr-HR"/>
        </w:rPr>
      </w:pPr>
      <w:r w:rsidRPr="00510442">
        <w:rPr>
          <w:szCs w:val="22"/>
          <w:lang w:val="hr-HR"/>
        </w:rPr>
        <w:t>Ispitivanjima toksičnosti višestrukih doza otkrivene su blage do umjerene hematološke promjene u štakora, pasa i majmuna, uz promjene u koštanoj srži u štakora i pasa.</w:t>
      </w:r>
    </w:p>
    <w:p w14:paraId="46C4312F" w14:textId="77777777" w:rsidR="003A274D" w:rsidRPr="00510442" w:rsidRDefault="003A274D" w:rsidP="003A274D">
      <w:pPr>
        <w:pStyle w:val="Text"/>
        <w:widowControl w:val="0"/>
        <w:spacing w:before="0"/>
        <w:jc w:val="left"/>
        <w:outlineLvl w:val="0"/>
        <w:rPr>
          <w:color w:val="000000"/>
          <w:sz w:val="22"/>
          <w:szCs w:val="22"/>
          <w:lang w:val="hr-HR"/>
        </w:rPr>
      </w:pPr>
    </w:p>
    <w:p w14:paraId="6F9FC4B8" w14:textId="77777777" w:rsidR="003A274D" w:rsidRPr="00510442" w:rsidRDefault="003A274D" w:rsidP="003A274D">
      <w:pPr>
        <w:pStyle w:val="Text"/>
        <w:widowControl w:val="0"/>
        <w:spacing w:before="0"/>
        <w:jc w:val="left"/>
        <w:outlineLvl w:val="0"/>
        <w:rPr>
          <w:color w:val="000000"/>
          <w:sz w:val="22"/>
          <w:szCs w:val="22"/>
          <w:lang w:val="hr-HR"/>
        </w:rPr>
      </w:pPr>
      <w:r w:rsidRPr="00510442">
        <w:rPr>
          <w:sz w:val="22"/>
          <w:szCs w:val="22"/>
          <w:lang w:val="hr-HR"/>
        </w:rPr>
        <w:t xml:space="preserve">Jetra je bila ciljni organ u štakora i pasa. U obje su vrste zapažena blaga do umjerena povećanja razine transaminaza, te mala smanjenja razina kolesterola, triglicerida, ukupnih proteina i albumina. U jetri štakora nisu uočene histopatološke promjene. Teška jetrena toksičnost zapažena je u pasa koji su </w:t>
      </w:r>
      <w:r w:rsidRPr="00510442">
        <w:rPr>
          <w:sz w:val="22"/>
          <w:szCs w:val="22"/>
          <w:lang w:val="hr-HR"/>
        </w:rPr>
        <w:lastRenderedPageBreak/>
        <w:t>liječeni 2</w:t>
      </w:r>
      <w:r w:rsidRPr="00510442">
        <w:rPr>
          <w:color w:val="000000"/>
          <w:sz w:val="22"/>
          <w:szCs w:val="22"/>
          <w:lang w:val="hr-HR"/>
        </w:rPr>
        <w:t> </w:t>
      </w:r>
      <w:r w:rsidRPr="00510442">
        <w:rPr>
          <w:sz w:val="22"/>
          <w:szCs w:val="22"/>
          <w:lang w:val="hr-HR"/>
        </w:rPr>
        <w:t>tjedna, uz povišene jetrene enzime, hepatocelularnu nekrozu, nekrozu žučnih vodova te hiperplaziju žučnih vodova.</w:t>
      </w:r>
    </w:p>
    <w:p w14:paraId="5F4AAF38" w14:textId="77777777" w:rsidR="003A274D" w:rsidRPr="00510442" w:rsidRDefault="003A274D" w:rsidP="003A274D">
      <w:pPr>
        <w:pStyle w:val="Text"/>
        <w:widowControl w:val="0"/>
        <w:spacing w:before="0"/>
        <w:jc w:val="left"/>
        <w:outlineLvl w:val="0"/>
        <w:rPr>
          <w:color w:val="000000"/>
          <w:sz w:val="22"/>
          <w:szCs w:val="22"/>
          <w:lang w:val="hr-HR"/>
        </w:rPr>
      </w:pPr>
    </w:p>
    <w:p w14:paraId="4F30D23B" w14:textId="77777777" w:rsidR="003A274D" w:rsidRPr="00510442" w:rsidRDefault="003A274D" w:rsidP="003A274D">
      <w:pPr>
        <w:pStyle w:val="Text"/>
        <w:widowControl w:val="0"/>
        <w:spacing w:before="0"/>
        <w:jc w:val="left"/>
        <w:outlineLvl w:val="0"/>
        <w:rPr>
          <w:sz w:val="22"/>
          <w:szCs w:val="22"/>
          <w:lang w:val="hr-HR"/>
        </w:rPr>
      </w:pPr>
      <w:r w:rsidRPr="00510442">
        <w:rPr>
          <w:sz w:val="22"/>
          <w:szCs w:val="22"/>
          <w:lang w:val="hr-HR"/>
        </w:rPr>
        <w:t>Bubrežna toksičnost je uočena u majmuna koji su liječeni 2</w:t>
      </w:r>
      <w:r w:rsidRPr="00510442">
        <w:rPr>
          <w:color w:val="000000"/>
          <w:sz w:val="22"/>
          <w:szCs w:val="22"/>
          <w:lang w:val="hr-HR"/>
        </w:rPr>
        <w:t> </w:t>
      </w:r>
      <w:r w:rsidRPr="00510442">
        <w:rPr>
          <w:sz w:val="22"/>
          <w:szCs w:val="22"/>
          <w:lang w:val="hr-HR"/>
        </w:rPr>
        <w:t>tjedna, uz fokalnu mineralizaciju i dilataciju bubrežnih kanalića i tubularnu nefrozu. Povišene koncentracije N-ureje u krvi (BUN) i kreatinina zapažene su u nekoliko od tih životinja. U ispitivanju kod štakora koje je trajalo 13</w:t>
      </w:r>
      <w:r w:rsidRPr="00510442">
        <w:rPr>
          <w:color w:val="000000"/>
          <w:sz w:val="22"/>
          <w:szCs w:val="22"/>
          <w:lang w:val="hr-HR"/>
        </w:rPr>
        <w:t> </w:t>
      </w:r>
      <w:r w:rsidRPr="00510442">
        <w:rPr>
          <w:sz w:val="22"/>
          <w:szCs w:val="22"/>
          <w:lang w:val="hr-HR"/>
        </w:rPr>
        <w:t>tjedana zapažena je hiperplazija prijelaznog epitela u bubrežnoj papili te u mokraćnom mjehuru uz doze ≥6</w:t>
      </w:r>
      <w:r w:rsidRPr="00510442">
        <w:rPr>
          <w:color w:val="000000"/>
          <w:sz w:val="22"/>
          <w:szCs w:val="22"/>
          <w:lang w:val="hr-HR"/>
        </w:rPr>
        <w:t> </w:t>
      </w:r>
      <w:r w:rsidRPr="00510442">
        <w:rPr>
          <w:sz w:val="22"/>
          <w:szCs w:val="22"/>
          <w:lang w:val="hr-HR"/>
        </w:rPr>
        <w:t>mg/kg, bez promjena parametara za serum ili mokraću. Povećana stopa oportunističkih infekcija zapažena je kod kroničnog liječenja imatinibom.</w:t>
      </w:r>
    </w:p>
    <w:p w14:paraId="1EFE07F0" w14:textId="77777777" w:rsidR="003A274D" w:rsidRPr="00510442" w:rsidRDefault="003A274D" w:rsidP="003A274D">
      <w:pPr>
        <w:pStyle w:val="Text"/>
        <w:widowControl w:val="0"/>
        <w:spacing w:before="0"/>
        <w:jc w:val="left"/>
        <w:outlineLvl w:val="0"/>
        <w:rPr>
          <w:color w:val="000000"/>
          <w:sz w:val="22"/>
          <w:szCs w:val="22"/>
          <w:lang w:val="hr-HR"/>
        </w:rPr>
      </w:pPr>
    </w:p>
    <w:p w14:paraId="12834840" w14:textId="77777777" w:rsidR="003A274D" w:rsidRPr="00510442" w:rsidRDefault="003A274D" w:rsidP="003A274D">
      <w:pPr>
        <w:pStyle w:val="Text"/>
        <w:widowControl w:val="0"/>
        <w:spacing w:before="0"/>
        <w:jc w:val="left"/>
        <w:outlineLvl w:val="0"/>
        <w:rPr>
          <w:sz w:val="22"/>
          <w:szCs w:val="22"/>
          <w:lang w:val="hr-HR"/>
        </w:rPr>
      </w:pPr>
      <w:r w:rsidRPr="00510442">
        <w:rPr>
          <w:sz w:val="22"/>
          <w:szCs w:val="22"/>
          <w:lang w:val="hr-HR"/>
        </w:rPr>
        <w:t>U 39-tjednom ispitivanju na majmunima, NOAEL (razina kod koje se ne uočava štetan učinak) nije utvrđen pri najnižoj dozi od 15</w:t>
      </w:r>
      <w:r w:rsidRPr="00510442">
        <w:rPr>
          <w:color w:val="000000"/>
          <w:sz w:val="22"/>
          <w:szCs w:val="22"/>
          <w:lang w:val="hr-HR"/>
        </w:rPr>
        <w:t> </w:t>
      </w:r>
      <w:r w:rsidRPr="00510442">
        <w:rPr>
          <w:sz w:val="22"/>
          <w:szCs w:val="22"/>
          <w:lang w:val="hr-HR"/>
        </w:rPr>
        <w:t>mg/kg, koja iznosi približno jednu trećinu maksimalne doze za ljude od 800</w:t>
      </w:r>
      <w:r w:rsidRPr="00510442">
        <w:rPr>
          <w:color w:val="000000"/>
          <w:sz w:val="22"/>
          <w:szCs w:val="22"/>
          <w:lang w:val="hr-HR"/>
        </w:rPr>
        <w:t> </w:t>
      </w:r>
      <w:r w:rsidRPr="00510442">
        <w:rPr>
          <w:sz w:val="22"/>
          <w:szCs w:val="22"/>
          <w:lang w:val="hr-HR"/>
        </w:rPr>
        <w:t>mg temeljeno na veličini površine tijela. Rezultat liječenja u tih životinja bilo je pogoršanje malarijskih infekcija koje se u normalnim okolnostima suprimirane.</w:t>
      </w:r>
    </w:p>
    <w:p w14:paraId="51776C5B" w14:textId="77777777" w:rsidR="003A274D" w:rsidRPr="00510442" w:rsidRDefault="003A274D" w:rsidP="003A274D">
      <w:pPr>
        <w:pStyle w:val="Text"/>
        <w:widowControl w:val="0"/>
        <w:spacing w:before="0"/>
        <w:jc w:val="left"/>
        <w:outlineLvl w:val="0"/>
        <w:rPr>
          <w:sz w:val="22"/>
          <w:szCs w:val="22"/>
          <w:lang w:val="hr-HR"/>
        </w:rPr>
      </w:pPr>
    </w:p>
    <w:p w14:paraId="6D84C63B" w14:textId="77777777" w:rsidR="003A274D" w:rsidRPr="00510442" w:rsidRDefault="003A274D" w:rsidP="003A274D">
      <w:pPr>
        <w:spacing w:line="240" w:lineRule="auto"/>
        <w:rPr>
          <w:szCs w:val="22"/>
          <w:lang w:val="hr-HR"/>
        </w:rPr>
      </w:pPr>
      <w:r w:rsidRPr="00510442">
        <w:rPr>
          <w:szCs w:val="22"/>
          <w:lang w:val="hr-HR"/>
        </w:rPr>
        <w:t xml:space="preserve">Imatinib nije smatran genotoksičnim kada je ispitivan u </w:t>
      </w:r>
      <w:r w:rsidRPr="00510442">
        <w:rPr>
          <w:i/>
          <w:szCs w:val="22"/>
          <w:lang w:val="hr-HR"/>
        </w:rPr>
        <w:t>in vitro</w:t>
      </w:r>
      <w:r w:rsidRPr="00510442">
        <w:rPr>
          <w:szCs w:val="22"/>
          <w:lang w:val="hr-HR"/>
        </w:rPr>
        <w:t xml:space="preserve"> pokusu na bakterijskim stanicama (Ames test), u </w:t>
      </w:r>
      <w:r w:rsidRPr="00510442">
        <w:rPr>
          <w:i/>
          <w:szCs w:val="22"/>
          <w:lang w:val="hr-HR"/>
        </w:rPr>
        <w:t>in vitro</w:t>
      </w:r>
      <w:r w:rsidRPr="00510442">
        <w:rPr>
          <w:szCs w:val="22"/>
          <w:lang w:val="hr-HR"/>
        </w:rPr>
        <w:t xml:space="preserve"> pokusu na stanicama sisavaca (limfom miša) te u </w:t>
      </w:r>
      <w:r w:rsidRPr="00510442">
        <w:rPr>
          <w:i/>
          <w:szCs w:val="22"/>
          <w:lang w:val="hr-HR"/>
        </w:rPr>
        <w:t>in vivo</w:t>
      </w:r>
      <w:r w:rsidRPr="00510442">
        <w:rPr>
          <w:szCs w:val="22"/>
          <w:lang w:val="hr-HR"/>
        </w:rPr>
        <w:t xml:space="preserve"> testu na mikronukleusu štakora. Pozitivni su genotoksični učinci dobiveni za imatinib u </w:t>
      </w:r>
      <w:r w:rsidRPr="00510442">
        <w:rPr>
          <w:i/>
          <w:szCs w:val="22"/>
          <w:lang w:val="hr-HR"/>
        </w:rPr>
        <w:t>in vitro</w:t>
      </w:r>
      <w:r w:rsidRPr="00510442">
        <w:rPr>
          <w:szCs w:val="22"/>
          <w:lang w:val="hr-HR"/>
        </w:rPr>
        <w:t xml:space="preserve"> testu na stanicama sisavca (jajnik kineskog hrčka) na klastogenost (aberacija kromosoma) u prisutnosti metaboličke aktivacije. Dva međuproizvoda proizvodnog procesa, koji su također prisutni u gotovom proizvodu, su u Amesovom testu pozitivna na mutagenezu. Jedan od tih međuproizvoda je također bio pozitivan u pokusu na limfomu miša.</w:t>
      </w:r>
    </w:p>
    <w:p w14:paraId="19B5CA36" w14:textId="77777777" w:rsidR="003A274D" w:rsidRPr="00510442" w:rsidRDefault="003A274D" w:rsidP="003A274D">
      <w:pPr>
        <w:pStyle w:val="Text"/>
        <w:widowControl w:val="0"/>
        <w:spacing w:before="0"/>
        <w:jc w:val="left"/>
        <w:outlineLvl w:val="0"/>
        <w:rPr>
          <w:color w:val="000000"/>
          <w:sz w:val="22"/>
          <w:szCs w:val="22"/>
          <w:lang w:val="hr-HR"/>
        </w:rPr>
      </w:pPr>
    </w:p>
    <w:p w14:paraId="6E1B27FF" w14:textId="77777777" w:rsidR="003A274D" w:rsidRPr="00510442" w:rsidRDefault="003A274D" w:rsidP="003A274D">
      <w:pPr>
        <w:pStyle w:val="Text"/>
        <w:widowControl w:val="0"/>
        <w:spacing w:before="0"/>
        <w:jc w:val="left"/>
        <w:rPr>
          <w:sz w:val="22"/>
          <w:szCs w:val="22"/>
          <w:lang w:val="hr-HR"/>
        </w:rPr>
      </w:pPr>
      <w:r w:rsidRPr="00510442">
        <w:rPr>
          <w:sz w:val="22"/>
          <w:szCs w:val="22"/>
          <w:lang w:val="hr-HR"/>
        </w:rPr>
        <w:t>U ispitivanju fertilnosti, u mužjaka štakora koji su primali dozu tijekom 70</w:t>
      </w:r>
      <w:r w:rsidRPr="00510442">
        <w:rPr>
          <w:color w:val="000000"/>
          <w:sz w:val="22"/>
          <w:szCs w:val="22"/>
          <w:lang w:val="hr-HR"/>
        </w:rPr>
        <w:t> </w:t>
      </w:r>
      <w:r w:rsidRPr="00510442">
        <w:rPr>
          <w:sz w:val="22"/>
          <w:szCs w:val="22"/>
          <w:lang w:val="hr-HR"/>
        </w:rPr>
        <w:t>dana prije parenja, smanjila se težina testisa i epididimisa te postotak pokretljive sperme uz dozu od 60</w:t>
      </w:r>
      <w:r w:rsidRPr="00510442">
        <w:rPr>
          <w:color w:val="000000"/>
          <w:sz w:val="22"/>
          <w:szCs w:val="22"/>
          <w:lang w:val="hr-HR"/>
        </w:rPr>
        <w:t> </w:t>
      </w:r>
      <w:r w:rsidRPr="00510442">
        <w:rPr>
          <w:sz w:val="22"/>
          <w:szCs w:val="22"/>
          <w:lang w:val="hr-HR"/>
        </w:rPr>
        <w:t>mg/kg, što je približno jednako maksimalnoj kliničkoj dozi od 800</w:t>
      </w:r>
      <w:r w:rsidRPr="00510442">
        <w:rPr>
          <w:color w:val="000000"/>
          <w:sz w:val="22"/>
          <w:szCs w:val="22"/>
          <w:lang w:val="hr-HR"/>
        </w:rPr>
        <w:t> </w:t>
      </w:r>
      <w:r w:rsidRPr="00510442">
        <w:rPr>
          <w:sz w:val="22"/>
          <w:szCs w:val="22"/>
          <w:lang w:val="hr-HR"/>
        </w:rPr>
        <w:t>mg/dan, temeljeno na veličini površine tijela. To nije zapaženo pri dozama ≤20</w:t>
      </w:r>
      <w:r w:rsidRPr="00510442">
        <w:rPr>
          <w:color w:val="000000"/>
          <w:sz w:val="22"/>
          <w:szCs w:val="22"/>
          <w:lang w:val="hr-HR"/>
        </w:rPr>
        <w:t> </w:t>
      </w:r>
      <w:r w:rsidRPr="00510442">
        <w:rPr>
          <w:sz w:val="22"/>
          <w:szCs w:val="22"/>
          <w:lang w:val="hr-HR"/>
        </w:rPr>
        <w:t>mg/kg. Malo do umjereno smanjenje spermatogeneze također je zapaženo kod pasa pri oralnoj dozi od ≥30 mg/kg. Kada su ženke štakora dobivale dozu tijekom 14</w:t>
      </w:r>
      <w:r w:rsidRPr="00510442">
        <w:rPr>
          <w:color w:val="000000"/>
          <w:sz w:val="22"/>
          <w:szCs w:val="22"/>
          <w:lang w:val="hr-HR"/>
        </w:rPr>
        <w:t> </w:t>
      </w:r>
      <w:r w:rsidRPr="00510442">
        <w:rPr>
          <w:sz w:val="22"/>
          <w:szCs w:val="22"/>
          <w:lang w:val="hr-HR"/>
        </w:rPr>
        <w:t>dana prije parenja pa sve do 6.</w:t>
      </w:r>
      <w:r w:rsidRPr="00510442">
        <w:rPr>
          <w:color w:val="000000"/>
          <w:sz w:val="22"/>
          <w:szCs w:val="22"/>
          <w:lang w:val="hr-HR"/>
        </w:rPr>
        <w:t> </w:t>
      </w:r>
      <w:r w:rsidRPr="00510442">
        <w:rPr>
          <w:sz w:val="22"/>
          <w:szCs w:val="22"/>
          <w:lang w:val="hr-HR"/>
        </w:rPr>
        <w:t>gestacijskog dana, nije bilo učinka na parenje ili na broj skotnih ženki. Pri dozi od 60</w:t>
      </w:r>
      <w:r w:rsidRPr="00510442">
        <w:rPr>
          <w:color w:val="000000"/>
          <w:sz w:val="22"/>
          <w:szCs w:val="22"/>
          <w:lang w:val="hr-HR"/>
        </w:rPr>
        <w:t> </w:t>
      </w:r>
      <w:r w:rsidRPr="00510442">
        <w:rPr>
          <w:sz w:val="22"/>
          <w:szCs w:val="22"/>
          <w:lang w:val="hr-HR"/>
        </w:rPr>
        <w:t xml:space="preserve">mg/kg, ženke štakora su imale značajan postimplantacijski gubitak fetusa te smanjeni broj živih fetusa. To nije uočeno pri dozama od </w:t>
      </w:r>
      <w:r w:rsidRPr="00510442">
        <w:rPr>
          <w:color w:val="000000"/>
          <w:sz w:val="22"/>
          <w:szCs w:val="22"/>
          <w:lang w:val="hr-HR"/>
        </w:rPr>
        <w:t>≤20 </w:t>
      </w:r>
      <w:r w:rsidRPr="00510442">
        <w:rPr>
          <w:sz w:val="22"/>
          <w:szCs w:val="22"/>
          <w:lang w:val="hr-HR"/>
        </w:rPr>
        <w:t>mg/kg.</w:t>
      </w:r>
    </w:p>
    <w:p w14:paraId="22DA4C30" w14:textId="77777777" w:rsidR="003A274D" w:rsidRPr="00510442" w:rsidRDefault="003A274D" w:rsidP="003A274D">
      <w:pPr>
        <w:pStyle w:val="Text"/>
        <w:widowControl w:val="0"/>
        <w:spacing w:before="0"/>
        <w:jc w:val="left"/>
        <w:rPr>
          <w:color w:val="000000"/>
          <w:sz w:val="22"/>
          <w:szCs w:val="22"/>
          <w:lang w:val="hr-HR"/>
        </w:rPr>
      </w:pPr>
    </w:p>
    <w:p w14:paraId="2BA98C4E" w14:textId="77777777" w:rsidR="003A274D" w:rsidRPr="00510442" w:rsidRDefault="003A274D" w:rsidP="003A274D">
      <w:pPr>
        <w:spacing w:line="240" w:lineRule="auto"/>
        <w:rPr>
          <w:szCs w:val="22"/>
          <w:lang w:val="hr-HR"/>
        </w:rPr>
      </w:pPr>
      <w:r w:rsidRPr="00510442">
        <w:rPr>
          <w:szCs w:val="22"/>
          <w:lang w:val="hr-HR"/>
        </w:rPr>
        <w:t>U ispitivanju prenatalnog i postnatalnog razvoja u štakora, uočen je crveni vaginalni iscjedak u skupini koja je peroralno primala 45</w:t>
      </w:r>
      <w:r w:rsidRPr="00510442">
        <w:rPr>
          <w:color w:val="000000"/>
          <w:szCs w:val="22"/>
          <w:lang w:val="hr-HR"/>
        </w:rPr>
        <w:t> </w:t>
      </w:r>
      <w:r w:rsidRPr="00510442">
        <w:rPr>
          <w:szCs w:val="22"/>
          <w:lang w:val="hr-HR"/>
        </w:rPr>
        <w:t>mg/kg/dan bilo na 14. bilo na 15.</w:t>
      </w:r>
      <w:r w:rsidRPr="00510442">
        <w:rPr>
          <w:color w:val="000000"/>
          <w:szCs w:val="22"/>
          <w:lang w:val="hr-HR"/>
        </w:rPr>
        <w:t> </w:t>
      </w:r>
      <w:r w:rsidRPr="00510442">
        <w:rPr>
          <w:szCs w:val="22"/>
          <w:lang w:val="hr-HR"/>
        </w:rPr>
        <w:t>dan gestacije. Pri istoj dozi povećao se broj mrtvorođenih mladunaca, kao i onih koji su uginuli postpartalno između dana</w:t>
      </w:r>
      <w:r w:rsidRPr="00510442">
        <w:rPr>
          <w:color w:val="000000"/>
          <w:szCs w:val="22"/>
          <w:lang w:val="hr-HR"/>
        </w:rPr>
        <w:t> </w:t>
      </w:r>
      <w:r w:rsidRPr="00510442">
        <w:rPr>
          <w:szCs w:val="22"/>
          <w:lang w:val="hr-HR"/>
        </w:rPr>
        <w:t>0 i 4. U F</w:t>
      </w:r>
      <w:r w:rsidRPr="00510442">
        <w:rPr>
          <w:szCs w:val="22"/>
          <w:vertAlign w:val="subscript"/>
          <w:lang w:val="hr-HR"/>
        </w:rPr>
        <w:t>1</w:t>
      </w:r>
      <w:r w:rsidRPr="00510442">
        <w:rPr>
          <w:szCs w:val="22"/>
          <w:lang w:val="hr-HR"/>
        </w:rPr>
        <w:t xml:space="preserve"> potomstva, pri istoj dozi, smanjile su se srednje tjelesne težine od poroda sve do konačnog žrtvovanja, a broj okota koji su postigli kriterij za prepucijsku separaciju bio je malo smanjen. Nije bilo utjecaja na F</w:t>
      </w:r>
      <w:r w:rsidRPr="00510442">
        <w:rPr>
          <w:szCs w:val="22"/>
          <w:vertAlign w:val="subscript"/>
          <w:lang w:val="hr-HR"/>
        </w:rPr>
        <w:t>1</w:t>
      </w:r>
      <w:r w:rsidRPr="00510442">
        <w:rPr>
          <w:szCs w:val="22"/>
          <w:lang w:val="hr-HR"/>
        </w:rPr>
        <w:t xml:space="preserve"> fertilnost, dok je pri 45</w:t>
      </w:r>
      <w:r w:rsidRPr="00510442">
        <w:rPr>
          <w:color w:val="000000"/>
          <w:szCs w:val="22"/>
          <w:lang w:val="hr-HR"/>
        </w:rPr>
        <w:t> </w:t>
      </w:r>
      <w:r w:rsidRPr="00510442">
        <w:rPr>
          <w:szCs w:val="22"/>
          <w:lang w:val="hr-HR"/>
        </w:rPr>
        <w:t>mg/kg/dan zapažen povećani broj resorpcija i smanjeni broj fetusa sposobnih za život. Razina kod koje se ne uočava učinak (NOEL) i za roditeljske ženke i za F</w:t>
      </w:r>
      <w:r w:rsidRPr="00510442">
        <w:rPr>
          <w:szCs w:val="22"/>
          <w:vertAlign w:val="subscript"/>
          <w:lang w:val="hr-HR"/>
        </w:rPr>
        <w:t>1</w:t>
      </w:r>
      <w:r w:rsidRPr="00510442">
        <w:rPr>
          <w:szCs w:val="22"/>
          <w:lang w:val="hr-HR"/>
        </w:rPr>
        <w:t xml:space="preserve"> generaciju bila je 15</w:t>
      </w:r>
      <w:r w:rsidRPr="00510442">
        <w:rPr>
          <w:color w:val="000000"/>
          <w:szCs w:val="22"/>
          <w:lang w:val="hr-HR"/>
        </w:rPr>
        <w:t> </w:t>
      </w:r>
      <w:r w:rsidRPr="00510442">
        <w:rPr>
          <w:szCs w:val="22"/>
          <w:lang w:val="hr-HR"/>
        </w:rPr>
        <w:t>mg/kg/dan (jedna četvrtina maksimalne doze za ljude od 800</w:t>
      </w:r>
      <w:r w:rsidRPr="00510442">
        <w:rPr>
          <w:color w:val="000000"/>
          <w:szCs w:val="22"/>
          <w:lang w:val="hr-HR"/>
        </w:rPr>
        <w:t> </w:t>
      </w:r>
      <w:r w:rsidRPr="00510442">
        <w:rPr>
          <w:szCs w:val="22"/>
          <w:lang w:val="hr-HR"/>
        </w:rPr>
        <w:t>mg).</w:t>
      </w:r>
    </w:p>
    <w:p w14:paraId="22784F06" w14:textId="77777777" w:rsidR="003A274D" w:rsidRPr="00510442" w:rsidRDefault="003A274D" w:rsidP="003A274D">
      <w:pPr>
        <w:pStyle w:val="Text"/>
        <w:widowControl w:val="0"/>
        <w:spacing w:before="0"/>
        <w:jc w:val="left"/>
        <w:rPr>
          <w:color w:val="000000"/>
          <w:sz w:val="22"/>
          <w:szCs w:val="22"/>
          <w:lang w:val="hr-HR"/>
        </w:rPr>
      </w:pPr>
    </w:p>
    <w:p w14:paraId="7C7C65FA" w14:textId="77777777" w:rsidR="003A274D" w:rsidRPr="00510442" w:rsidRDefault="003A274D" w:rsidP="003A274D">
      <w:pPr>
        <w:spacing w:line="240" w:lineRule="auto"/>
        <w:rPr>
          <w:szCs w:val="22"/>
          <w:lang w:val="hr-HR"/>
        </w:rPr>
      </w:pPr>
      <w:r w:rsidRPr="00510442">
        <w:rPr>
          <w:szCs w:val="22"/>
          <w:lang w:val="hr-HR"/>
        </w:rPr>
        <w:t xml:space="preserve">Imatinib je bio teratogen u štakora kada je primjenjivan tijekom organogeneze u dozama </w:t>
      </w:r>
      <w:r w:rsidRPr="00510442">
        <w:rPr>
          <w:color w:val="000000"/>
          <w:szCs w:val="22"/>
          <w:lang w:val="hr-HR"/>
        </w:rPr>
        <w:t>≥100 mg/kg</w:t>
      </w:r>
      <w:r w:rsidRPr="00510442">
        <w:rPr>
          <w:szCs w:val="22"/>
          <w:lang w:val="hr-HR"/>
        </w:rPr>
        <w:t>, koje su približno jednake maksimalnoj kliničkoj dozi od 800</w:t>
      </w:r>
      <w:r w:rsidRPr="00510442">
        <w:rPr>
          <w:color w:val="000000"/>
          <w:szCs w:val="22"/>
          <w:lang w:val="hr-HR"/>
        </w:rPr>
        <w:t> </w:t>
      </w:r>
      <w:r w:rsidRPr="00510442">
        <w:rPr>
          <w:szCs w:val="22"/>
          <w:lang w:val="hr-HR"/>
        </w:rPr>
        <w:t xml:space="preserve">mg/dan, temeljeno na veličini površine tijela. Teratogeni su učinci uključivali egzencefaliju ili encefalokelu, odsutnost/smanjenje čeonih i odsutnost tjemenih kostiju. Ti učinci nisu uočeni pri dozama od </w:t>
      </w:r>
      <w:r w:rsidRPr="00510442">
        <w:rPr>
          <w:color w:val="000000"/>
          <w:szCs w:val="22"/>
          <w:lang w:val="hr-HR"/>
        </w:rPr>
        <w:t>≤30 </w:t>
      </w:r>
      <w:r w:rsidRPr="00510442">
        <w:rPr>
          <w:szCs w:val="22"/>
          <w:lang w:val="hr-HR"/>
        </w:rPr>
        <w:t>mg/kg.</w:t>
      </w:r>
    </w:p>
    <w:p w14:paraId="4B612EFE" w14:textId="77777777" w:rsidR="008B1CA8" w:rsidRPr="00510442" w:rsidRDefault="008B1CA8" w:rsidP="008B1CA8">
      <w:pPr>
        <w:pStyle w:val="Text"/>
        <w:widowControl w:val="0"/>
        <w:spacing w:before="0"/>
        <w:jc w:val="left"/>
        <w:rPr>
          <w:color w:val="000000"/>
          <w:sz w:val="22"/>
          <w:szCs w:val="22"/>
          <w:lang w:val="hr-HR"/>
        </w:rPr>
      </w:pPr>
    </w:p>
    <w:p w14:paraId="6A5493D2" w14:textId="77777777" w:rsidR="008B1CA8" w:rsidRPr="00510442" w:rsidRDefault="008B1CA8" w:rsidP="008B1CA8">
      <w:pPr>
        <w:pStyle w:val="Text"/>
        <w:widowControl w:val="0"/>
        <w:spacing w:before="0"/>
        <w:jc w:val="left"/>
        <w:rPr>
          <w:color w:val="000000"/>
          <w:sz w:val="22"/>
          <w:szCs w:val="22"/>
          <w:lang w:val="hr-HR"/>
        </w:rPr>
      </w:pPr>
      <w:r w:rsidRPr="00510442">
        <w:rPr>
          <w:color w:val="000000"/>
          <w:sz w:val="22"/>
          <w:szCs w:val="22"/>
          <w:lang w:val="hr-HR"/>
        </w:rPr>
        <w:t>Nisu bili uočeni novi ciljni organi u toksikološkom ispitivanju juvenilnog razvoja u štakora (10 do 70</w:t>
      </w:r>
      <w:r w:rsidR="00200866" w:rsidRPr="00510442">
        <w:rPr>
          <w:color w:val="000000"/>
          <w:sz w:val="22"/>
          <w:szCs w:val="22"/>
          <w:lang w:val="hr-HR"/>
        </w:rPr>
        <w:t> </w:t>
      </w:r>
      <w:r w:rsidRPr="00510442">
        <w:rPr>
          <w:color w:val="000000"/>
          <w:sz w:val="22"/>
          <w:szCs w:val="22"/>
          <w:lang w:val="hr-HR"/>
        </w:rPr>
        <w:t>dana nakon okota) u odnosu na poznate ciljne organe u odraslih štakora. U toksikološkom ispitivanju u juvenilnih životinja, učinci na rast, odgodu vaginalnog otvaranja i odvajanje prepucija uočeni su pri izloženosti koja iznosi otprilike 0,3 do 2 puta prosječne izloženosti u djece pri najvišoj preporučenoj dozi od 340 mg/m</w:t>
      </w:r>
      <w:r w:rsidRPr="00510442">
        <w:rPr>
          <w:color w:val="000000"/>
          <w:sz w:val="22"/>
          <w:szCs w:val="22"/>
          <w:vertAlign w:val="superscript"/>
          <w:lang w:val="hr-HR"/>
        </w:rPr>
        <w:t>2</w:t>
      </w:r>
      <w:r w:rsidRPr="00510442">
        <w:rPr>
          <w:color w:val="000000"/>
          <w:sz w:val="22"/>
          <w:szCs w:val="22"/>
          <w:lang w:val="hr-HR"/>
        </w:rPr>
        <w:t>. K tome, mortalitet je uočen u juvenilnih životinja (oko faze odbijanja) pri izloženosti koja je iznosila otprilike 2 puta prosječne izloženosti u djece pri najvišoj preporučenoj dozi od 340 mg/m</w:t>
      </w:r>
      <w:r w:rsidRPr="00510442">
        <w:rPr>
          <w:color w:val="000000"/>
          <w:sz w:val="22"/>
          <w:szCs w:val="22"/>
          <w:vertAlign w:val="superscript"/>
          <w:lang w:val="hr-HR"/>
        </w:rPr>
        <w:t>2</w:t>
      </w:r>
      <w:r w:rsidRPr="00510442">
        <w:rPr>
          <w:color w:val="000000"/>
          <w:sz w:val="22"/>
          <w:szCs w:val="22"/>
          <w:lang w:val="hr-HR"/>
        </w:rPr>
        <w:t>.</w:t>
      </w:r>
    </w:p>
    <w:p w14:paraId="49B7DF6B" w14:textId="77777777" w:rsidR="003A274D" w:rsidRPr="00510442" w:rsidRDefault="003A274D" w:rsidP="003A274D">
      <w:pPr>
        <w:pStyle w:val="Text"/>
        <w:widowControl w:val="0"/>
        <w:spacing w:before="0"/>
        <w:jc w:val="left"/>
        <w:rPr>
          <w:color w:val="000000"/>
          <w:sz w:val="22"/>
          <w:szCs w:val="22"/>
          <w:lang w:val="hr-HR"/>
        </w:rPr>
      </w:pPr>
    </w:p>
    <w:p w14:paraId="2E02D693" w14:textId="77777777" w:rsidR="003A274D" w:rsidRPr="00510442" w:rsidRDefault="003A274D" w:rsidP="003A274D">
      <w:pPr>
        <w:spacing w:line="240" w:lineRule="auto"/>
        <w:rPr>
          <w:szCs w:val="22"/>
          <w:lang w:val="hr-HR"/>
        </w:rPr>
      </w:pPr>
      <w:r w:rsidRPr="00510442">
        <w:rPr>
          <w:szCs w:val="22"/>
          <w:lang w:val="hr-HR"/>
        </w:rPr>
        <w:t xml:space="preserve">U 2-godišnjoj studiji </w:t>
      </w:r>
      <w:r w:rsidR="00BE4168" w:rsidRPr="00510442">
        <w:rPr>
          <w:szCs w:val="22"/>
          <w:lang w:val="hr-HR"/>
        </w:rPr>
        <w:t xml:space="preserve">kancerogenosti </w:t>
      </w:r>
      <w:r w:rsidRPr="00510442">
        <w:rPr>
          <w:szCs w:val="22"/>
          <w:lang w:val="hr-HR"/>
        </w:rPr>
        <w:t>u štakora primjena imatiniba od 15, 30 i 60</w:t>
      </w:r>
      <w:r w:rsidRPr="00510442">
        <w:rPr>
          <w:color w:val="000000"/>
          <w:szCs w:val="22"/>
          <w:lang w:val="hr-HR"/>
        </w:rPr>
        <w:t> </w:t>
      </w:r>
      <w:r w:rsidRPr="00510442">
        <w:rPr>
          <w:szCs w:val="22"/>
          <w:lang w:val="hr-HR"/>
        </w:rPr>
        <w:t>mg/kg/dan rezultirala je statistički značajnim smanjenjem dužine života mužjaka uz 60</w:t>
      </w:r>
      <w:r w:rsidRPr="00510442">
        <w:rPr>
          <w:color w:val="000000"/>
          <w:szCs w:val="22"/>
          <w:lang w:val="hr-HR"/>
        </w:rPr>
        <w:t> </w:t>
      </w:r>
      <w:r w:rsidRPr="00510442">
        <w:rPr>
          <w:szCs w:val="22"/>
          <w:lang w:val="hr-HR"/>
        </w:rPr>
        <w:t>mg/kg/dan i ženki uz ≥30</w:t>
      </w:r>
      <w:r w:rsidRPr="00510442">
        <w:rPr>
          <w:color w:val="000000"/>
          <w:szCs w:val="22"/>
          <w:lang w:val="hr-HR"/>
        </w:rPr>
        <w:t> </w:t>
      </w:r>
      <w:r w:rsidRPr="00510442">
        <w:rPr>
          <w:szCs w:val="22"/>
          <w:lang w:val="hr-HR"/>
        </w:rPr>
        <w:t xml:space="preserve">mg/kg/dan. Histopatološko ispitivanje mrtvih životinja otkrilo je kardiomiopatiju (kod oba spola), kroničnu </w:t>
      </w:r>
      <w:r w:rsidRPr="00510442">
        <w:rPr>
          <w:szCs w:val="22"/>
          <w:lang w:val="hr-HR"/>
        </w:rPr>
        <w:lastRenderedPageBreak/>
        <w:t>progresivnu nefropatiju (ženke) i papilom prepucijske žlijezde kao glavne uzroke smrti ili razloge za žrtvovanje. Ciljni organi neoplastičkih promjena bili su bubrezi, mokraćni mjehur, uretra, žlijezda prepucija i klitorisa, tanko crijevo, paratireoidne žlijezde, nadbubrežne žlijezde i ne-žljezdani želudac.</w:t>
      </w:r>
    </w:p>
    <w:p w14:paraId="3DEEA2EA" w14:textId="77777777" w:rsidR="003A274D" w:rsidRPr="00510442" w:rsidRDefault="003A274D" w:rsidP="003A274D">
      <w:pPr>
        <w:spacing w:line="240" w:lineRule="auto"/>
        <w:rPr>
          <w:color w:val="000000"/>
          <w:szCs w:val="22"/>
          <w:lang w:val="hr-HR"/>
        </w:rPr>
      </w:pPr>
    </w:p>
    <w:p w14:paraId="06ECB8DD" w14:textId="77777777" w:rsidR="003A274D" w:rsidRPr="00510442" w:rsidRDefault="003A274D" w:rsidP="003A274D">
      <w:pPr>
        <w:spacing w:line="240" w:lineRule="auto"/>
        <w:rPr>
          <w:szCs w:val="22"/>
          <w:lang w:val="hr-HR"/>
        </w:rPr>
      </w:pPr>
      <w:r w:rsidRPr="00510442">
        <w:rPr>
          <w:szCs w:val="22"/>
          <w:lang w:val="hr-HR"/>
        </w:rPr>
        <w:t>Papilom/karcinom žlijezde prepucija/klitorisa su zabilježeni pri dozama od 30</w:t>
      </w:r>
      <w:r w:rsidRPr="00510442">
        <w:rPr>
          <w:bCs/>
          <w:color w:val="000000"/>
          <w:szCs w:val="22"/>
          <w:lang w:val="hr-HR"/>
        </w:rPr>
        <w:t> </w:t>
      </w:r>
      <w:r w:rsidRPr="00510442">
        <w:rPr>
          <w:szCs w:val="22"/>
          <w:lang w:val="hr-HR"/>
        </w:rPr>
        <w:t>mg/kg/dan na više, što odgovara otprilike 0,5, odnosno 0,3</w:t>
      </w:r>
      <w:r w:rsidRPr="00510442">
        <w:rPr>
          <w:bCs/>
          <w:color w:val="000000"/>
          <w:szCs w:val="22"/>
          <w:lang w:val="hr-HR"/>
        </w:rPr>
        <w:t> </w:t>
      </w:r>
      <w:r w:rsidRPr="00510442">
        <w:rPr>
          <w:szCs w:val="22"/>
          <w:lang w:val="hr-HR"/>
        </w:rPr>
        <w:t>puta dnevne izloženosti u ljudi (temeljeno na AUC) kod 400</w:t>
      </w:r>
      <w:r w:rsidRPr="00510442">
        <w:rPr>
          <w:bCs/>
          <w:color w:val="000000"/>
          <w:szCs w:val="22"/>
          <w:lang w:val="hr-HR"/>
        </w:rPr>
        <w:t> </w:t>
      </w:r>
      <w:r w:rsidRPr="00510442">
        <w:rPr>
          <w:szCs w:val="22"/>
          <w:lang w:val="hr-HR"/>
        </w:rPr>
        <w:t>mg/dan, odnosno 800</w:t>
      </w:r>
      <w:r w:rsidRPr="00510442">
        <w:rPr>
          <w:bCs/>
          <w:color w:val="000000"/>
          <w:szCs w:val="22"/>
          <w:lang w:val="hr-HR"/>
        </w:rPr>
        <w:t> </w:t>
      </w:r>
      <w:r w:rsidRPr="00510442">
        <w:rPr>
          <w:szCs w:val="22"/>
          <w:lang w:val="hr-HR"/>
        </w:rPr>
        <w:t>mg/dan te 0,4</w:t>
      </w:r>
      <w:r w:rsidRPr="00510442">
        <w:rPr>
          <w:bCs/>
          <w:color w:val="000000"/>
          <w:szCs w:val="22"/>
          <w:lang w:val="hr-HR"/>
        </w:rPr>
        <w:t> </w:t>
      </w:r>
      <w:r w:rsidRPr="00510442">
        <w:rPr>
          <w:szCs w:val="22"/>
          <w:lang w:val="hr-HR"/>
        </w:rPr>
        <w:t>puta dnevne izloženosti u djece (temeljeno na AUC) kod 340</w:t>
      </w:r>
      <w:r w:rsidRPr="00510442">
        <w:rPr>
          <w:bCs/>
          <w:color w:val="000000"/>
          <w:szCs w:val="22"/>
          <w:lang w:val="hr-HR"/>
        </w:rPr>
        <w:t> </w:t>
      </w:r>
      <w:r w:rsidRPr="00510442">
        <w:rPr>
          <w:szCs w:val="22"/>
          <w:lang w:val="hr-HR"/>
        </w:rPr>
        <w:t>mg/m</w:t>
      </w:r>
      <w:r w:rsidRPr="00510442">
        <w:rPr>
          <w:szCs w:val="22"/>
          <w:vertAlign w:val="superscript"/>
          <w:lang w:val="hr-HR"/>
        </w:rPr>
        <w:t>2</w:t>
      </w:r>
      <w:r w:rsidRPr="00510442">
        <w:rPr>
          <w:szCs w:val="22"/>
          <w:lang w:val="hr-HR"/>
        </w:rPr>
        <w:t>/dan. Razina kod koje se ne uočava učinak (NOEL) iznosila je 15</w:t>
      </w:r>
      <w:r w:rsidRPr="00510442">
        <w:rPr>
          <w:bCs/>
          <w:color w:val="000000"/>
          <w:szCs w:val="22"/>
          <w:lang w:val="hr-HR"/>
        </w:rPr>
        <w:t> </w:t>
      </w:r>
      <w:r w:rsidRPr="00510442">
        <w:rPr>
          <w:szCs w:val="22"/>
          <w:lang w:val="hr-HR"/>
        </w:rPr>
        <w:t>mg/kg/dan.</w:t>
      </w:r>
    </w:p>
    <w:p w14:paraId="427C9F32" w14:textId="77777777" w:rsidR="003A274D" w:rsidRPr="00510442" w:rsidRDefault="003A274D" w:rsidP="003A274D">
      <w:pPr>
        <w:spacing w:line="240" w:lineRule="auto"/>
        <w:rPr>
          <w:szCs w:val="22"/>
          <w:lang w:val="hr-HR"/>
        </w:rPr>
      </w:pPr>
      <w:r w:rsidRPr="00510442">
        <w:rPr>
          <w:szCs w:val="22"/>
          <w:lang w:val="hr-HR"/>
        </w:rPr>
        <w:t>Bubrežni adenom/karcinom, papilom mokraćnog mjehura i uretre, adenokarcinomi tankog crijeva, adenomi paratireoidnih žlijezda, dobroćudni i zloćudni medularni tumori nadbubrežnih žlijezda i papilomi/karcinomi nežljezdanog dijela želuca zabilježeni su uz 60</w:t>
      </w:r>
      <w:r w:rsidRPr="00510442">
        <w:rPr>
          <w:bCs/>
          <w:color w:val="000000"/>
          <w:szCs w:val="22"/>
          <w:lang w:val="hr-HR"/>
        </w:rPr>
        <w:t> </w:t>
      </w:r>
      <w:r w:rsidRPr="00510442">
        <w:rPr>
          <w:szCs w:val="22"/>
          <w:lang w:val="hr-HR"/>
        </w:rPr>
        <w:t>mg/kg/dan, što odgovara otprilike 1,7, odnosno 1</w:t>
      </w:r>
      <w:r w:rsidRPr="00510442">
        <w:rPr>
          <w:bCs/>
          <w:color w:val="000000"/>
          <w:szCs w:val="22"/>
          <w:lang w:val="hr-HR"/>
        </w:rPr>
        <w:t> </w:t>
      </w:r>
      <w:r w:rsidRPr="00510442">
        <w:rPr>
          <w:szCs w:val="22"/>
          <w:lang w:val="hr-HR"/>
        </w:rPr>
        <w:t>puta dnevne izloženosti u ljudi (temeljeno na AUC) kod 400</w:t>
      </w:r>
      <w:r w:rsidRPr="00510442">
        <w:rPr>
          <w:bCs/>
          <w:color w:val="000000"/>
          <w:szCs w:val="22"/>
          <w:lang w:val="hr-HR"/>
        </w:rPr>
        <w:t> </w:t>
      </w:r>
      <w:r w:rsidRPr="00510442">
        <w:rPr>
          <w:szCs w:val="22"/>
          <w:lang w:val="hr-HR"/>
        </w:rPr>
        <w:t>mg/dan, odnosno 800</w:t>
      </w:r>
      <w:r w:rsidRPr="00510442">
        <w:rPr>
          <w:bCs/>
          <w:color w:val="000000"/>
          <w:szCs w:val="22"/>
          <w:lang w:val="hr-HR"/>
        </w:rPr>
        <w:t> </w:t>
      </w:r>
      <w:r w:rsidRPr="00510442">
        <w:rPr>
          <w:szCs w:val="22"/>
          <w:lang w:val="hr-HR"/>
        </w:rPr>
        <w:t>mg/dan te 1,2</w:t>
      </w:r>
      <w:r w:rsidRPr="00510442">
        <w:rPr>
          <w:bCs/>
          <w:color w:val="000000"/>
          <w:szCs w:val="22"/>
          <w:lang w:val="hr-HR"/>
        </w:rPr>
        <w:t> </w:t>
      </w:r>
      <w:r w:rsidRPr="00510442">
        <w:rPr>
          <w:szCs w:val="22"/>
          <w:lang w:val="hr-HR"/>
        </w:rPr>
        <w:t>puta dnevne izloženosti u djece (temeljeno na AUC) kod 340</w:t>
      </w:r>
      <w:r w:rsidRPr="00510442">
        <w:rPr>
          <w:bCs/>
          <w:color w:val="000000"/>
          <w:szCs w:val="22"/>
          <w:lang w:val="hr-HR"/>
        </w:rPr>
        <w:t> </w:t>
      </w:r>
      <w:r w:rsidRPr="00510442">
        <w:rPr>
          <w:szCs w:val="22"/>
          <w:lang w:val="hr-HR"/>
        </w:rPr>
        <w:t>mg/m</w:t>
      </w:r>
      <w:r w:rsidRPr="00510442">
        <w:rPr>
          <w:szCs w:val="22"/>
          <w:vertAlign w:val="superscript"/>
          <w:lang w:val="hr-HR"/>
        </w:rPr>
        <w:t>2</w:t>
      </w:r>
      <w:r w:rsidRPr="00510442">
        <w:rPr>
          <w:szCs w:val="22"/>
          <w:lang w:val="hr-HR"/>
        </w:rPr>
        <w:t>/dan. Razina kod koje se ne uočava učinak (NOEL) iznosila je 30</w:t>
      </w:r>
      <w:r w:rsidRPr="00510442">
        <w:rPr>
          <w:bCs/>
          <w:color w:val="000000"/>
          <w:szCs w:val="22"/>
          <w:lang w:val="hr-HR"/>
        </w:rPr>
        <w:t> </w:t>
      </w:r>
      <w:r w:rsidRPr="00510442">
        <w:rPr>
          <w:szCs w:val="22"/>
          <w:lang w:val="hr-HR"/>
        </w:rPr>
        <w:t>mg/kg/dan.</w:t>
      </w:r>
    </w:p>
    <w:p w14:paraId="41F421BF" w14:textId="77777777" w:rsidR="003A274D" w:rsidRPr="00510442" w:rsidRDefault="003A274D" w:rsidP="003A274D">
      <w:pPr>
        <w:spacing w:line="240" w:lineRule="auto"/>
        <w:rPr>
          <w:bCs/>
          <w:color w:val="000000"/>
          <w:szCs w:val="22"/>
          <w:lang w:val="hr-HR"/>
        </w:rPr>
      </w:pPr>
    </w:p>
    <w:p w14:paraId="4DBF7B65" w14:textId="77777777" w:rsidR="003A274D" w:rsidRPr="00510442" w:rsidRDefault="003A274D" w:rsidP="003A274D">
      <w:pPr>
        <w:spacing w:line="240" w:lineRule="auto"/>
        <w:rPr>
          <w:color w:val="000000"/>
          <w:szCs w:val="22"/>
          <w:lang w:val="hr-HR"/>
        </w:rPr>
      </w:pPr>
      <w:r w:rsidRPr="00510442">
        <w:rPr>
          <w:szCs w:val="22"/>
          <w:lang w:val="hr-HR"/>
        </w:rPr>
        <w:t xml:space="preserve">Iz ovih nalaza studije </w:t>
      </w:r>
      <w:r w:rsidR="00BE4168" w:rsidRPr="00510442">
        <w:rPr>
          <w:szCs w:val="22"/>
          <w:lang w:val="hr-HR"/>
        </w:rPr>
        <w:t xml:space="preserve">kancerogenosti </w:t>
      </w:r>
      <w:r w:rsidRPr="00510442">
        <w:rPr>
          <w:szCs w:val="22"/>
          <w:lang w:val="hr-HR"/>
        </w:rPr>
        <w:t>u štakora još nije razjašnjen mehanizam, kao ni važnost za ljude.</w:t>
      </w:r>
    </w:p>
    <w:p w14:paraId="45EDB7D2" w14:textId="77777777" w:rsidR="003A274D" w:rsidRPr="00510442" w:rsidRDefault="003A274D" w:rsidP="003A274D">
      <w:pPr>
        <w:spacing w:line="240" w:lineRule="auto"/>
        <w:rPr>
          <w:bCs/>
          <w:color w:val="000000"/>
          <w:szCs w:val="22"/>
          <w:lang w:val="hr-HR"/>
        </w:rPr>
      </w:pPr>
    </w:p>
    <w:p w14:paraId="4BB1BCDE" w14:textId="77777777" w:rsidR="003A274D" w:rsidRPr="00510442" w:rsidRDefault="003A274D" w:rsidP="003A274D">
      <w:pPr>
        <w:spacing w:line="240" w:lineRule="auto"/>
        <w:rPr>
          <w:szCs w:val="22"/>
          <w:lang w:val="hr-HR"/>
        </w:rPr>
      </w:pPr>
      <w:r w:rsidRPr="00510442">
        <w:rPr>
          <w:szCs w:val="22"/>
          <w:lang w:val="hr-HR"/>
        </w:rPr>
        <w:t xml:space="preserve">Neneoplastičke lezije koje nisu identificirane u prethodnim </w:t>
      </w:r>
      <w:r w:rsidR="001B77C9" w:rsidRPr="00510442">
        <w:rPr>
          <w:szCs w:val="22"/>
          <w:lang w:val="hr-HR"/>
        </w:rPr>
        <w:t xml:space="preserve">nekliničkim </w:t>
      </w:r>
      <w:r w:rsidRPr="00510442">
        <w:rPr>
          <w:szCs w:val="22"/>
          <w:lang w:val="hr-HR"/>
        </w:rPr>
        <w:t>ispitivanjima javile su se kod kardiovaskularnog sustava, gušterače, endokrinih organa i zuba. Najvažnije promjene uključivale su srčanu hipertrofiju i dilataciju, što je dovelo do znakova srčane insuficijencije u nekih životinja.</w:t>
      </w:r>
    </w:p>
    <w:p w14:paraId="7CA778B8" w14:textId="77777777" w:rsidR="003A274D" w:rsidRPr="00510442" w:rsidRDefault="003A274D" w:rsidP="003A274D">
      <w:pPr>
        <w:spacing w:line="240" w:lineRule="auto"/>
        <w:rPr>
          <w:szCs w:val="22"/>
          <w:lang w:val="hr-HR"/>
        </w:rPr>
      </w:pPr>
    </w:p>
    <w:p w14:paraId="3FCF3683" w14:textId="77777777" w:rsidR="003A274D" w:rsidRPr="00510442" w:rsidRDefault="003A274D" w:rsidP="003A274D">
      <w:pPr>
        <w:spacing w:line="240" w:lineRule="auto"/>
        <w:rPr>
          <w:color w:val="000000"/>
          <w:szCs w:val="22"/>
          <w:lang w:val="hr-HR"/>
        </w:rPr>
      </w:pPr>
      <w:r w:rsidRPr="00510442">
        <w:rPr>
          <w:szCs w:val="22"/>
          <w:lang w:val="hr-HR"/>
        </w:rPr>
        <w:t>Djelatna tvar imatinib predstavlja rizik za okoliš za organizme koji žive u sedimentnom tlu.</w:t>
      </w:r>
    </w:p>
    <w:p w14:paraId="0B6B093F" w14:textId="77777777" w:rsidR="003A274D" w:rsidRPr="00510442" w:rsidRDefault="003A274D" w:rsidP="003A274D">
      <w:pPr>
        <w:pStyle w:val="EndnoteText"/>
        <w:widowControl w:val="0"/>
        <w:tabs>
          <w:tab w:val="clear" w:pos="567"/>
        </w:tabs>
        <w:rPr>
          <w:color w:val="000000"/>
          <w:szCs w:val="22"/>
          <w:lang w:val="hr-HR"/>
        </w:rPr>
      </w:pPr>
    </w:p>
    <w:p w14:paraId="244E7E92" w14:textId="77777777" w:rsidR="003A274D" w:rsidRPr="00510442" w:rsidRDefault="003A274D" w:rsidP="003A274D">
      <w:pPr>
        <w:pStyle w:val="EndnoteText"/>
        <w:widowControl w:val="0"/>
        <w:tabs>
          <w:tab w:val="clear" w:pos="567"/>
        </w:tabs>
        <w:rPr>
          <w:color w:val="000000"/>
          <w:szCs w:val="22"/>
          <w:lang w:val="hr-HR"/>
        </w:rPr>
      </w:pPr>
    </w:p>
    <w:p w14:paraId="725A61DB" w14:textId="77777777" w:rsidR="003A274D" w:rsidRPr="00510442" w:rsidRDefault="003A274D" w:rsidP="001150EE">
      <w:pPr>
        <w:keepNext/>
        <w:tabs>
          <w:tab w:val="clear" w:pos="567"/>
        </w:tabs>
        <w:spacing w:line="240" w:lineRule="auto"/>
        <w:ind w:left="567" w:hanging="567"/>
        <w:rPr>
          <w:b/>
          <w:szCs w:val="22"/>
          <w:lang w:val="hr-HR"/>
        </w:rPr>
      </w:pPr>
      <w:r w:rsidRPr="00510442">
        <w:rPr>
          <w:b/>
          <w:szCs w:val="22"/>
          <w:lang w:val="hr-HR"/>
        </w:rPr>
        <w:t>6.</w:t>
      </w:r>
      <w:r w:rsidRPr="00510442">
        <w:rPr>
          <w:b/>
          <w:szCs w:val="22"/>
          <w:lang w:val="hr-HR"/>
        </w:rPr>
        <w:tab/>
        <w:t>FARMACEUTSKI PODACI</w:t>
      </w:r>
    </w:p>
    <w:p w14:paraId="1068FEF4" w14:textId="77777777" w:rsidR="003A274D" w:rsidRPr="00510442" w:rsidRDefault="003A274D" w:rsidP="001150EE">
      <w:pPr>
        <w:pStyle w:val="EndnoteText"/>
        <w:keepNext/>
        <w:widowControl w:val="0"/>
        <w:tabs>
          <w:tab w:val="clear" w:pos="567"/>
        </w:tabs>
        <w:rPr>
          <w:color w:val="000000"/>
          <w:szCs w:val="22"/>
          <w:lang w:val="hr-HR"/>
        </w:rPr>
      </w:pPr>
    </w:p>
    <w:p w14:paraId="27099BCD" w14:textId="77777777" w:rsidR="003A274D" w:rsidRPr="00510442" w:rsidRDefault="003A274D" w:rsidP="001150EE">
      <w:pPr>
        <w:keepNext/>
        <w:tabs>
          <w:tab w:val="clear" w:pos="567"/>
        </w:tabs>
        <w:spacing w:line="240" w:lineRule="auto"/>
        <w:ind w:left="567" w:hanging="567"/>
        <w:outlineLvl w:val="0"/>
        <w:rPr>
          <w:szCs w:val="22"/>
          <w:lang w:val="hr-HR"/>
        </w:rPr>
      </w:pPr>
      <w:r w:rsidRPr="00510442">
        <w:rPr>
          <w:b/>
          <w:szCs w:val="22"/>
          <w:lang w:val="hr-HR"/>
        </w:rPr>
        <w:t>6.1</w:t>
      </w:r>
      <w:r w:rsidRPr="00510442">
        <w:rPr>
          <w:b/>
          <w:szCs w:val="22"/>
          <w:lang w:val="hr-HR"/>
        </w:rPr>
        <w:tab/>
        <w:t>Popis pomoćnih tvari</w:t>
      </w:r>
    </w:p>
    <w:p w14:paraId="36AAD40D" w14:textId="77777777" w:rsidR="003A274D" w:rsidRPr="00510442" w:rsidRDefault="003A274D" w:rsidP="001150EE">
      <w:pPr>
        <w:keepNext/>
        <w:widowControl w:val="0"/>
        <w:tabs>
          <w:tab w:val="clear" w:pos="567"/>
        </w:tabs>
        <w:spacing w:line="240" w:lineRule="auto"/>
        <w:ind w:left="567" w:hanging="567"/>
        <w:rPr>
          <w:color w:val="000000"/>
          <w:szCs w:val="22"/>
          <w:lang w:val="hr-HR"/>
        </w:rPr>
      </w:pPr>
    </w:p>
    <w:p w14:paraId="5295C2A0" w14:textId="77777777" w:rsidR="003A274D" w:rsidRPr="00510442" w:rsidRDefault="003A274D" w:rsidP="001150EE">
      <w:pPr>
        <w:pStyle w:val="EndnoteText"/>
        <w:keepNext/>
        <w:widowControl w:val="0"/>
        <w:tabs>
          <w:tab w:val="clear" w:pos="567"/>
        </w:tabs>
        <w:rPr>
          <w:color w:val="000000"/>
          <w:szCs w:val="22"/>
          <w:lang w:val="hr-HR"/>
        </w:rPr>
      </w:pPr>
      <w:r w:rsidRPr="00510442">
        <w:rPr>
          <w:color w:val="000000"/>
          <w:szCs w:val="22"/>
          <w:lang w:val="hr-HR"/>
        </w:rPr>
        <w:t>Jezgra tablete:</w:t>
      </w:r>
    </w:p>
    <w:p w14:paraId="56584E0A" w14:textId="77777777" w:rsidR="003A274D" w:rsidRPr="00510442" w:rsidRDefault="003A274D" w:rsidP="001150EE">
      <w:pPr>
        <w:pStyle w:val="EndnoteText"/>
        <w:keepNext/>
        <w:widowControl w:val="0"/>
        <w:tabs>
          <w:tab w:val="clear" w:pos="567"/>
        </w:tabs>
        <w:rPr>
          <w:color w:val="000000"/>
          <w:szCs w:val="22"/>
          <w:lang w:val="hr-HR"/>
        </w:rPr>
      </w:pPr>
      <w:r w:rsidRPr="00510442">
        <w:rPr>
          <w:szCs w:val="22"/>
          <w:lang w:val="hr-HR"/>
        </w:rPr>
        <w:t>celuloza, mikrokristalična</w:t>
      </w:r>
    </w:p>
    <w:p w14:paraId="14B6AE47" w14:textId="77777777" w:rsidR="003A274D" w:rsidRPr="00510442" w:rsidRDefault="003A274D" w:rsidP="001150EE">
      <w:pPr>
        <w:pStyle w:val="EndnoteText"/>
        <w:keepNext/>
        <w:widowControl w:val="0"/>
        <w:tabs>
          <w:tab w:val="clear" w:pos="567"/>
        </w:tabs>
        <w:rPr>
          <w:color w:val="000000"/>
          <w:szCs w:val="22"/>
          <w:lang w:val="hr-HR"/>
        </w:rPr>
      </w:pPr>
      <w:r w:rsidRPr="00510442">
        <w:rPr>
          <w:szCs w:val="22"/>
          <w:lang w:val="hr-HR"/>
        </w:rPr>
        <w:t>krospovidon</w:t>
      </w:r>
    </w:p>
    <w:p w14:paraId="3F4888B3" w14:textId="77777777" w:rsidR="003A274D" w:rsidRPr="00510442" w:rsidRDefault="003A274D" w:rsidP="001150EE">
      <w:pPr>
        <w:pStyle w:val="EndnoteText"/>
        <w:keepNext/>
        <w:widowControl w:val="0"/>
        <w:tabs>
          <w:tab w:val="clear" w:pos="567"/>
        </w:tabs>
        <w:rPr>
          <w:color w:val="000000"/>
          <w:szCs w:val="22"/>
          <w:lang w:val="hr-HR"/>
        </w:rPr>
      </w:pPr>
      <w:r w:rsidRPr="00510442">
        <w:rPr>
          <w:szCs w:val="22"/>
          <w:lang w:val="hr-HR"/>
        </w:rPr>
        <w:t>hipromeloza</w:t>
      </w:r>
    </w:p>
    <w:p w14:paraId="5CB109A0" w14:textId="77777777" w:rsidR="003A274D" w:rsidRPr="00510442" w:rsidRDefault="003A274D" w:rsidP="001150EE">
      <w:pPr>
        <w:pStyle w:val="EndnoteText"/>
        <w:keepNext/>
        <w:widowControl w:val="0"/>
        <w:tabs>
          <w:tab w:val="clear" w:pos="567"/>
        </w:tabs>
        <w:rPr>
          <w:color w:val="000000"/>
          <w:szCs w:val="22"/>
          <w:lang w:val="hr-HR"/>
        </w:rPr>
      </w:pPr>
      <w:r w:rsidRPr="00510442">
        <w:rPr>
          <w:szCs w:val="22"/>
          <w:lang w:val="hr-HR"/>
        </w:rPr>
        <w:t>magnezijev stearat</w:t>
      </w:r>
    </w:p>
    <w:p w14:paraId="0ECB2DB9" w14:textId="77777777" w:rsidR="003A274D" w:rsidRPr="00510442" w:rsidRDefault="003A274D" w:rsidP="00DB1645">
      <w:pPr>
        <w:pStyle w:val="EndnoteText"/>
        <w:widowControl w:val="0"/>
        <w:tabs>
          <w:tab w:val="clear" w:pos="567"/>
        </w:tabs>
        <w:rPr>
          <w:color w:val="000000"/>
          <w:szCs w:val="22"/>
          <w:lang w:val="hr-HR"/>
        </w:rPr>
      </w:pPr>
      <w:r w:rsidRPr="00510442">
        <w:rPr>
          <w:szCs w:val="22"/>
          <w:lang w:val="hr-HR"/>
        </w:rPr>
        <w:t>silicijev dioksid, koloidni, bezvodni</w:t>
      </w:r>
    </w:p>
    <w:p w14:paraId="23A5C995" w14:textId="77777777" w:rsidR="003A274D" w:rsidRPr="00510442" w:rsidRDefault="003A274D" w:rsidP="00DB1645">
      <w:pPr>
        <w:widowControl w:val="0"/>
        <w:tabs>
          <w:tab w:val="clear" w:pos="567"/>
        </w:tabs>
        <w:spacing w:line="240" w:lineRule="auto"/>
        <w:rPr>
          <w:color w:val="000000"/>
          <w:szCs w:val="22"/>
          <w:lang w:val="hr-HR"/>
        </w:rPr>
      </w:pPr>
    </w:p>
    <w:p w14:paraId="2A331586" w14:textId="77777777" w:rsidR="003A274D" w:rsidRPr="00510442" w:rsidRDefault="003A274D" w:rsidP="001150EE">
      <w:pPr>
        <w:pStyle w:val="EndnoteText"/>
        <w:keepNext/>
        <w:widowControl w:val="0"/>
        <w:tabs>
          <w:tab w:val="clear" w:pos="567"/>
        </w:tabs>
        <w:rPr>
          <w:color w:val="000000"/>
          <w:szCs w:val="22"/>
          <w:lang w:val="hr-HR"/>
        </w:rPr>
      </w:pPr>
      <w:r w:rsidRPr="00510442">
        <w:rPr>
          <w:color w:val="000000"/>
          <w:szCs w:val="22"/>
          <w:lang w:val="hr-HR"/>
        </w:rPr>
        <w:t>Ovojnica tablete:</w:t>
      </w:r>
    </w:p>
    <w:p w14:paraId="04CD7898" w14:textId="77777777" w:rsidR="003A274D" w:rsidRPr="00510442" w:rsidRDefault="003A274D" w:rsidP="001150EE">
      <w:pPr>
        <w:pStyle w:val="EndnoteText"/>
        <w:keepNext/>
        <w:widowControl w:val="0"/>
        <w:tabs>
          <w:tab w:val="clear" w:pos="567"/>
        </w:tabs>
        <w:rPr>
          <w:color w:val="000000"/>
          <w:szCs w:val="22"/>
          <w:lang w:val="hr-HR"/>
        </w:rPr>
      </w:pPr>
      <w:r w:rsidRPr="00510442">
        <w:rPr>
          <w:szCs w:val="22"/>
          <w:lang w:val="hr-HR"/>
        </w:rPr>
        <w:t xml:space="preserve">željezov oksid, crveni </w:t>
      </w:r>
      <w:r w:rsidRPr="00510442">
        <w:rPr>
          <w:color w:val="000000"/>
          <w:szCs w:val="22"/>
          <w:lang w:val="hr-HR"/>
        </w:rPr>
        <w:t>(E172)</w:t>
      </w:r>
    </w:p>
    <w:p w14:paraId="59981A90" w14:textId="77777777" w:rsidR="003A274D" w:rsidRPr="00510442" w:rsidRDefault="003A274D" w:rsidP="001150EE">
      <w:pPr>
        <w:pStyle w:val="EndnoteText"/>
        <w:keepNext/>
        <w:widowControl w:val="0"/>
        <w:tabs>
          <w:tab w:val="clear" w:pos="567"/>
        </w:tabs>
        <w:rPr>
          <w:color w:val="000000"/>
          <w:szCs w:val="22"/>
          <w:lang w:val="hr-HR"/>
        </w:rPr>
      </w:pPr>
      <w:r w:rsidRPr="00510442">
        <w:rPr>
          <w:szCs w:val="22"/>
          <w:lang w:val="hr-HR"/>
        </w:rPr>
        <w:t xml:space="preserve">željezov oksid, žuti </w:t>
      </w:r>
      <w:r w:rsidRPr="00510442">
        <w:rPr>
          <w:color w:val="000000"/>
          <w:szCs w:val="22"/>
          <w:lang w:val="hr-HR"/>
        </w:rPr>
        <w:t>(E172)</w:t>
      </w:r>
    </w:p>
    <w:p w14:paraId="3B3FDAC2" w14:textId="77777777" w:rsidR="003A274D" w:rsidRPr="00510442" w:rsidRDefault="003A274D" w:rsidP="001150EE">
      <w:pPr>
        <w:pStyle w:val="EndnoteText"/>
        <w:keepNext/>
        <w:widowControl w:val="0"/>
        <w:tabs>
          <w:tab w:val="clear" w:pos="567"/>
        </w:tabs>
        <w:rPr>
          <w:color w:val="000000"/>
          <w:szCs w:val="22"/>
          <w:lang w:val="hr-HR"/>
        </w:rPr>
      </w:pPr>
      <w:r w:rsidRPr="00510442">
        <w:rPr>
          <w:szCs w:val="22"/>
          <w:lang w:val="hr-HR"/>
        </w:rPr>
        <w:t>makrogol</w:t>
      </w:r>
    </w:p>
    <w:p w14:paraId="1BB81327" w14:textId="77777777" w:rsidR="003A274D" w:rsidRPr="00510442" w:rsidRDefault="003A274D" w:rsidP="001150EE">
      <w:pPr>
        <w:pStyle w:val="EndnoteText"/>
        <w:keepNext/>
        <w:widowControl w:val="0"/>
        <w:tabs>
          <w:tab w:val="clear" w:pos="567"/>
        </w:tabs>
        <w:rPr>
          <w:color w:val="000000"/>
          <w:szCs w:val="22"/>
          <w:lang w:val="hr-HR"/>
        </w:rPr>
      </w:pPr>
      <w:r w:rsidRPr="00510442">
        <w:rPr>
          <w:color w:val="000000"/>
          <w:szCs w:val="22"/>
          <w:lang w:val="hr-HR"/>
        </w:rPr>
        <w:t>talk</w:t>
      </w:r>
    </w:p>
    <w:p w14:paraId="7FC38E5D" w14:textId="77777777" w:rsidR="003A274D" w:rsidRPr="00510442" w:rsidRDefault="003A274D" w:rsidP="00DB1645">
      <w:pPr>
        <w:pStyle w:val="EndnoteText"/>
        <w:widowControl w:val="0"/>
        <w:tabs>
          <w:tab w:val="clear" w:pos="567"/>
        </w:tabs>
        <w:rPr>
          <w:color w:val="000000"/>
          <w:szCs w:val="22"/>
          <w:lang w:val="hr-HR"/>
        </w:rPr>
      </w:pPr>
      <w:r w:rsidRPr="00510442">
        <w:rPr>
          <w:color w:val="000000"/>
          <w:szCs w:val="22"/>
          <w:lang w:val="hr-HR"/>
        </w:rPr>
        <w:t>hipromeloza</w:t>
      </w:r>
    </w:p>
    <w:p w14:paraId="0C3985C4" w14:textId="77777777" w:rsidR="003A274D" w:rsidRPr="00510442" w:rsidRDefault="003A274D" w:rsidP="003A274D">
      <w:pPr>
        <w:widowControl w:val="0"/>
        <w:tabs>
          <w:tab w:val="clear" w:pos="567"/>
        </w:tabs>
        <w:spacing w:line="240" w:lineRule="auto"/>
        <w:rPr>
          <w:color w:val="000000"/>
          <w:szCs w:val="22"/>
          <w:lang w:val="hr-HR"/>
        </w:rPr>
      </w:pPr>
    </w:p>
    <w:p w14:paraId="15CD6CF9" w14:textId="77777777" w:rsidR="003A274D" w:rsidRPr="00510442" w:rsidRDefault="003A274D" w:rsidP="001150EE">
      <w:pPr>
        <w:keepNext/>
        <w:tabs>
          <w:tab w:val="clear" w:pos="567"/>
        </w:tabs>
        <w:spacing w:line="240" w:lineRule="auto"/>
        <w:ind w:left="567" w:hanging="567"/>
        <w:outlineLvl w:val="0"/>
        <w:rPr>
          <w:szCs w:val="22"/>
          <w:lang w:val="hr-HR"/>
        </w:rPr>
      </w:pPr>
      <w:r w:rsidRPr="00510442">
        <w:rPr>
          <w:b/>
          <w:szCs w:val="22"/>
          <w:lang w:val="hr-HR"/>
        </w:rPr>
        <w:t>6.2</w:t>
      </w:r>
      <w:r w:rsidRPr="00510442">
        <w:rPr>
          <w:b/>
          <w:szCs w:val="22"/>
          <w:lang w:val="hr-HR"/>
        </w:rPr>
        <w:tab/>
        <w:t>Inkompatibilnosti</w:t>
      </w:r>
    </w:p>
    <w:p w14:paraId="04DA4BDA" w14:textId="77777777" w:rsidR="003A274D" w:rsidRPr="00510442" w:rsidRDefault="003A274D" w:rsidP="001150EE">
      <w:pPr>
        <w:keepNext/>
        <w:widowControl w:val="0"/>
        <w:tabs>
          <w:tab w:val="clear" w:pos="567"/>
        </w:tabs>
        <w:spacing w:line="240" w:lineRule="auto"/>
        <w:rPr>
          <w:color w:val="000000"/>
          <w:szCs w:val="22"/>
          <w:lang w:val="hr-HR"/>
        </w:rPr>
      </w:pPr>
    </w:p>
    <w:p w14:paraId="459C90EF" w14:textId="77777777" w:rsidR="003A274D" w:rsidRPr="00510442" w:rsidRDefault="003A274D" w:rsidP="003A274D">
      <w:pPr>
        <w:widowControl w:val="0"/>
        <w:tabs>
          <w:tab w:val="clear" w:pos="567"/>
        </w:tabs>
        <w:spacing w:line="240" w:lineRule="auto"/>
        <w:rPr>
          <w:color w:val="000000"/>
          <w:szCs w:val="22"/>
          <w:lang w:val="hr-HR"/>
        </w:rPr>
      </w:pPr>
      <w:r w:rsidRPr="00510442">
        <w:rPr>
          <w:szCs w:val="22"/>
          <w:lang w:val="hr-HR"/>
        </w:rPr>
        <w:t>Nije primjenjivo</w:t>
      </w:r>
      <w:r w:rsidRPr="00510442">
        <w:rPr>
          <w:color w:val="000000"/>
          <w:szCs w:val="22"/>
          <w:lang w:val="hr-HR"/>
        </w:rPr>
        <w:t>.</w:t>
      </w:r>
    </w:p>
    <w:p w14:paraId="2270F725" w14:textId="77777777" w:rsidR="003A274D" w:rsidRPr="00510442" w:rsidRDefault="003A274D" w:rsidP="003A274D">
      <w:pPr>
        <w:pStyle w:val="EndnoteText"/>
        <w:widowControl w:val="0"/>
        <w:tabs>
          <w:tab w:val="clear" w:pos="567"/>
        </w:tabs>
        <w:rPr>
          <w:color w:val="000000"/>
          <w:szCs w:val="22"/>
          <w:lang w:val="hr-HR"/>
        </w:rPr>
      </w:pPr>
    </w:p>
    <w:p w14:paraId="62C60382" w14:textId="77777777" w:rsidR="003A274D" w:rsidRPr="00510442" w:rsidRDefault="003A274D" w:rsidP="001150EE">
      <w:pPr>
        <w:keepNext/>
        <w:tabs>
          <w:tab w:val="clear" w:pos="567"/>
        </w:tabs>
        <w:spacing w:line="240" w:lineRule="auto"/>
        <w:ind w:left="567" w:hanging="567"/>
        <w:outlineLvl w:val="0"/>
        <w:rPr>
          <w:szCs w:val="22"/>
          <w:lang w:val="hr-HR"/>
        </w:rPr>
      </w:pPr>
      <w:r w:rsidRPr="00510442">
        <w:rPr>
          <w:b/>
          <w:szCs w:val="22"/>
          <w:lang w:val="hr-HR"/>
        </w:rPr>
        <w:t>6.3</w:t>
      </w:r>
      <w:r w:rsidRPr="00510442">
        <w:rPr>
          <w:b/>
          <w:szCs w:val="22"/>
          <w:lang w:val="hr-HR"/>
        </w:rPr>
        <w:tab/>
        <w:t>Rok valjanosti</w:t>
      </w:r>
    </w:p>
    <w:p w14:paraId="61816D7D" w14:textId="77777777" w:rsidR="003A274D" w:rsidRPr="00510442" w:rsidRDefault="003A274D" w:rsidP="001150EE">
      <w:pPr>
        <w:keepNext/>
        <w:widowControl w:val="0"/>
        <w:tabs>
          <w:tab w:val="clear" w:pos="567"/>
        </w:tabs>
        <w:spacing w:line="240" w:lineRule="auto"/>
        <w:rPr>
          <w:color w:val="000000"/>
          <w:szCs w:val="22"/>
          <w:lang w:val="hr-HR"/>
        </w:rPr>
      </w:pPr>
    </w:p>
    <w:p w14:paraId="3D523764" w14:textId="77777777" w:rsidR="003A274D" w:rsidRPr="00510442" w:rsidRDefault="003A274D" w:rsidP="00DB1645">
      <w:pPr>
        <w:pStyle w:val="EndnoteText"/>
        <w:widowControl w:val="0"/>
        <w:tabs>
          <w:tab w:val="clear" w:pos="567"/>
        </w:tabs>
        <w:rPr>
          <w:color w:val="000000"/>
          <w:szCs w:val="22"/>
          <w:lang w:val="hr-HR"/>
        </w:rPr>
      </w:pPr>
      <w:r w:rsidRPr="00510442">
        <w:rPr>
          <w:color w:val="000000"/>
          <w:szCs w:val="22"/>
          <w:lang w:val="hr-HR"/>
        </w:rPr>
        <w:t>3 godine</w:t>
      </w:r>
    </w:p>
    <w:p w14:paraId="1623CF26" w14:textId="77777777" w:rsidR="003A274D" w:rsidRPr="00510442" w:rsidRDefault="003A274D" w:rsidP="003A274D">
      <w:pPr>
        <w:pStyle w:val="EndnoteText"/>
        <w:widowControl w:val="0"/>
        <w:tabs>
          <w:tab w:val="clear" w:pos="567"/>
        </w:tabs>
        <w:rPr>
          <w:color w:val="000000"/>
          <w:szCs w:val="22"/>
          <w:lang w:val="hr-HR"/>
        </w:rPr>
      </w:pPr>
    </w:p>
    <w:p w14:paraId="76CE93C8" w14:textId="77777777" w:rsidR="003A274D" w:rsidRPr="00510442" w:rsidRDefault="003A274D" w:rsidP="001150EE">
      <w:pPr>
        <w:keepNext/>
        <w:tabs>
          <w:tab w:val="clear" w:pos="567"/>
        </w:tabs>
        <w:spacing w:line="240" w:lineRule="auto"/>
        <w:ind w:left="567" w:hanging="567"/>
        <w:outlineLvl w:val="0"/>
        <w:rPr>
          <w:szCs w:val="22"/>
          <w:lang w:val="hr-HR"/>
        </w:rPr>
      </w:pPr>
      <w:r w:rsidRPr="00510442">
        <w:rPr>
          <w:b/>
          <w:szCs w:val="22"/>
          <w:lang w:val="hr-HR"/>
        </w:rPr>
        <w:t>6.4</w:t>
      </w:r>
      <w:r w:rsidRPr="00510442">
        <w:rPr>
          <w:b/>
          <w:szCs w:val="22"/>
          <w:lang w:val="hr-HR"/>
        </w:rPr>
        <w:tab/>
        <w:t>Posebne mjere pri čuvanju lijeka</w:t>
      </w:r>
    </w:p>
    <w:p w14:paraId="6E085B96" w14:textId="77777777" w:rsidR="003A274D" w:rsidRPr="00510442" w:rsidRDefault="003A274D" w:rsidP="001150EE">
      <w:pPr>
        <w:keepNext/>
        <w:widowControl w:val="0"/>
        <w:tabs>
          <w:tab w:val="clear" w:pos="567"/>
        </w:tabs>
        <w:spacing w:line="240" w:lineRule="auto"/>
        <w:rPr>
          <w:color w:val="000000"/>
          <w:szCs w:val="22"/>
          <w:lang w:val="hr-HR"/>
        </w:rPr>
      </w:pPr>
    </w:p>
    <w:p w14:paraId="51AE741D" w14:textId="77777777" w:rsidR="003A274D" w:rsidRPr="00307897" w:rsidRDefault="003A274D" w:rsidP="003A274D">
      <w:pPr>
        <w:widowControl w:val="0"/>
        <w:tabs>
          <w:tab w:val="clear" w:pos="567"/>
        </w:tabs>
        <w:spacing w:line="240" w:lineRule="auto"/>
        <w:rPr>
          <w:color w:val="000000"/>
          <w:szCs w:val="22"/>
          <w:lang w:val="hr-HR"/>
        </w:rPr>
      </w:pPr>
      <w:r w:rsidRPr="00510442">
        <w:rPr>
          <w:szCs w:val="22"/>
          <w:lang w:val="hr-HR"/>
        </w:rPr>
        <w:t xml:space="preserve">Ne čuvati na temperaturi iznad </w:t>
      </w:r>
      <w:r w:rsidRPr="00510442">
        <w:rPr>
          <w:color w:val="000000"/>
          <w:szCs w:val="22"/>
          <w:lang w:val="hr-HR"/>
        </w:rPr>
        <w:t>30</w:t>
      </w:r>
      <w:r w:rsidRPr="00307897">
        <w:rPr>
          <w:color w:val="000000"/>
          <w:szCs w:val="22"/>
          <w:lang w:val="hr-HR"/>
        </w:rPr>
        <w:sym w:font="Symbol" w:char="F0B0"/>
      </w:r>
      <w:r w:rsidRPr="00307897">
        <w:rPr>
          <w:color w:val="000000"/>
          <w:szCs w:val="22"/>
          <w:lang w:val="hr-HR"/>
        </w:rPr>
        <w:t>C.</w:t>
      </w:r>
    </w:p>
    <w:p w14:paraId="2CA968A8" w14:textId="77777777" w:rsidR="003A274D" w:rsidRPr="00307897" w:rsidRDefault="003A274D" w:rsidP="003A274D">
      <w:pPr>
        <w:widowControl w:val="0"/>
        <w:tabs>
          <w:tab w:val="clear" w:pos="567"/>
        </w:tabs>
        <w:spacing w:line="240" w:lineRule="auto"/>
        <w:rPr>
          <w:color w:val="000000"/>
          <w:szCs w:val="22"/>
          <w:lang w:val="hr-HR"/>
        </w:rPr>
      </w:pPr>
    </w:p>
    <w:p w14:paraId="7A20D2FD" w14:textId="77777777" w:rsidR="003A274D" w:rsidRPr="00510442" w:rsidRDefault="003A274D" w:rsidP="003A274D">
      <w:pPr>
        <w:widowControl w:val="0"/>
        <w:tabs>
          <w:tab w:val="clear" w:pos="567"/>
        </w:tabs>
        <w:spacing w:line="240" w:lineRule="auto"/>
        <w:rPr>
          <w:color w:val="000000"/>
          <w:szCs w:val="22"/>
          <w:lang w:val="hr-HR"/>
        </w:rPr>
      </w:pPr>
      <w:r w:rsidRPr="00A00164">
        <w:rPr>
          <w:szCs w:val="22"/>
          <w:lang w:val="hr-HR"/>
        </w:rPr>
        <w:t>Čuvati u</w:t>
      </w:r>
      <w:r w:rsidRPr="00973BDD">
        <w:rPr>
          <w:szCs w:val="22"/>
          <w:lang w:val="hr-HR"/>
        </w:rPr>
        <w:t xml:space="preserve"> originalnom pak</w:t>
      </w:r>
      <w:r w:rsidR="00436200" w:rsidRPr="000B51EB">
        <w:rPr>
          <w:szCs w:val="22"/>
          <w:lang w:val="hr-HR"/>
        </w:rPr>
        <w:t>ir</w:t>
      </w:r>
      <w:r w:rsidRPr="00510442">
        <w:rPr>
          <w:szCs w:val="22"/>
          <w:lang w:val="hr-HR"/>
        </w:rPr>
        <w:t>anju radi zaštite od vlage</w:t>
      </w:r>
      <w:r w:rsidRPr="00510442">
        <w:rPr>
          <w:color w:val="000000"/>
          <w:szCs w:val="22"/>
          <w:lang w:val="hr-HR"/>
        </w:rPr>
        <w:t>.</w:t>
      </w:r>
    </w:p>
    <w:p w14:paraId="584B2B92" w14:textId="77777777" w:rsidR="003A274D" w:rsidRPr="00510442" w:rsidRDefault="003A274D" w:rsidP="003A274D">
      <w:pPr>
        <w:widowControl w:val="0"/>
        <w:tabs>
          <w:tab w:val="clear" w:pos="567"/>
        </w:tabs>
        <w:spacing w:line="240" w:lineRule="auto"/>
        <w:rPr>
          <w:color w:val="000000"/>
          <w:szCs w:val="22"/>
          <w:lang w:val="hr-HR"/>
        </w:rPr>
      </w:pPr>
    </w:p>
    <w:p w14:paraId="56D35D06" w14:textId="77777777" w:rsidR="003A274D" w:rsidRPr="00510442" w:rsidRDefault="003A274D" w:rsidP="001150EE">
      <w:pPr>
        <w:keepNext/>
        <w:widowControl w:val="0"/>
        <w:tabs>
          <w:tab w:val="clear" w:pos="567"/>
        </w:tabs>
        <w:spacing w:line="240" w:lineRule="auto"/>
        <w:ind w:left="567" w:hanging="567"/>
        <w:rPr>
          <w:color w:val="000000"/>
          <w:szCs w:val="22"/>
          <w:lang w:val="hr-HR"/>
        </w:rPr>
      </w:pPr>
      <w:r w:rsidRPr="00510442">
        <w:rPr>
          <w:b/>
          <w:color w:val="000000"/>
          <w:szCs w:val="22"/>
          <w:lang w:val="hr-HR"/>
        </w:rPr>
        <w:lastRenderedPageBreak/>
        <w:t>6.5</w:t>
      </w:r>
      <w:r w:rsidRPr="00510442">
        <w:rPr>
          <w:b/>
          <w:color w:val="000000"/>
          <w:szCs w:val="22"/>
          <w:lang w:val="hr-HR"/>
        </w:rPr>
        <w:tab/>
      </w:r>
      <w:r w:rsidRPr="00510442">
        <w:rPr>
          <w:b/>
          <w:szCs w:val="22"/>
          <w:lang w:val="hr-HR"/>
        </w:rPr>
        <w:t>Vrsta i sadržaj spremnika</w:t>
      </w:r>
    </w:p>
    <w:p w14:paraId="05A498FB" w14:textId="77777777" w:rsidR="003A274D" w:rsidRPr="00510442" w:rsidRDefault="003A274D" w:rsidP="001150EE">
      <w:pPr>
        <w:pStyle w:val="EndnoteText"/>
        <w:keepNext/>
        <w:widowControl w:val="0"/>
        <w:tabs>
          <w:tab w:val="clear" w:pos="567"/>
        </w:tabs>
        <w:rPr>
          <w:color w:val="000000"/>
          <w:szCs w:val="22"/>
          <w:lang w:val="hr-HR"/>
        </w:rPr>
      </w:pPr>
    </w:p>
    <w:p w14:paraId="168D9AF2" w14:textId="77777777" w:rsidR="002817B3" w:rsidRPr="008B6103" w:rsidRDefault="002817B3" w:rsidP="002817B3">
      <w:pPr>
        <w:keepNext/>
        <w:widowControl w:val="0"/>
        <w:tabs>
          <w:tab w:val="clear" w:pos="567"/>
        </w:tabs>
        <w:spacing w:line="240" w:lineRule="auto"/>
        <w:rPr>
          <w:color w:val="000000"/>
          <w:szCs w:val="22"/>
          <w:u w:val="single"/>
          <w:lang w:val="hr-HR"/>
        </w:rPr>
      </w:pPr>
      <w:r w:rsidRPr="008B6103">
        <w:rPr>
          <w:color w:val="000000"/>
          <w:szCs w:val="22"/>
          <w:u w:val="single"/>
          <w:lang w:val="hr-HR"/>
        </w:rPr>
        <w:t xml:space="preserve">Glivec 100 mg </w:t>
      </w:r>
      <w:r w:rsidRPr="00A43A81">
        <w:rPr>
          <w:color w:val="000000"/>
          <w:szCs w:val="22"/>
          <w:u w:val="single"/>
          <w:lang w:val="hr-HR"/>
        </w:rPr>
        <w:t>filmom obložene tablete</w:t>
      </w:r>
    </w:p>
    <w:p w14:paraId="517DED83" w14:textId="77777777" w:rsidR="003A274D" w:rsidRPr="00510442" w:rsidRDefault="003A274D" w:rsidP="00DB1645">
      <w:pPr>
        <w:widowControl w:val="0"/>
        <w:tabs>
          <w:tab w:val="clear" w:pos="567"/>
        </w:tabs>
        <w:spacing w:line="240" w:lineRule="auto"/>
        <w:rPr>
          <w:color w:val="000000"/>
          <w:szCs w:val="22"/>
          <w:lang w:val="hr-HR"/>
        </w:rPr>
      </w:pPr>
      <w:r w:rsidRPr="00510442">
        <w:rPr>
          <w:color w:val="000000"/>
          <w:szCs w:val="22"/>
          <w:lang w:val="hr-HR"/>
        </w:rPr>
        <w:t>PVC/</w:t>
      </w:r>
      <w:r w:rsidR="0099188A" w:rsidRPr="00510442">
        <w:rPr>
          <w:color w:val="000000"/>
          <w:szCs w:val="22"/>
          <w:lang w:val="hr-HR"/>
        </w:rPr>
        <w:t>A</w:t>
      </w:r>
      <w:r w:rsidRPr="00510442">
        <w:rPr>
          <w:color w:val="000000"/>
          <w:szCs w:val="22"/>
          <w:lang w:val="hr-HR"/>
        </w:rPr>
        <w:t>l blisteri</w:t>
      </w:r>
    </w:p>
    <w:p w14:paraId="670D8BE3" w14:textId="77777777" w:rsidR="003A274D" w:rsidRPr="00510442" w:rsidRDefault="003A274D" w:rsidP="00DB1645">
      <w:pPr>
        <w:pStyle w:val="EndnoteText"/>
        <w:widowControl w:val="0"/>
        <w:tabs>
          <w:tab w:val="clear" w:pos="567"/>
        </w:tabs>
        <w:rPr>
          <w:color w:val="000000"/>
          <w:szCs w:val="22"/>
          <w:lang w:val="hr-HR"/>
        </w:rPr>
      </w:pPr>
      <w:r w:rsidRPr="00510442">
        <w:rPr>
          <w:color w:val="000000"/>
          <w:szCs w:val="22"/>
          <w:lang w:val="hr-HR"/>
        </w:rPr>
        <w:t>Pak</w:t>
      </w:r>
      <w:r w:rsidR="00436200" w:rsidRPr="00510442">
        <w:rPr>
          <w:color w:val="000000"/>
          <w:szCs w:val="22"/>
          <w:lang w:val="hr-HR"/>
        </w:rPr>
        <w:t>ir</w:t>
      </w:r>
      <w:r w:rsidRPr="00510442">
        <w:rPr>
          <w:color w:val="000000"/>
          <w:szCs w:val="22"/>
          <w:lang w:val="hr-HR"/>
        </w:rPr>
        <w:t xml:space="preserve">anja sadrže 20, 60, 120 </w:t>
      </w:r>
      <w:r w:rsidR="002817B3" w:rsidRPr="00510442">
        <w:rPr>
          <w:color w:val="000000"/>
          <w:szCs w:val="22"/>
          <w:lang w:val="hr-HR"/>
        </w:rPr>
        <w:t xml:space="preserve">ili </w:t>
      </w:r>
      <w:r w:rsidRPr="00510442">
        <w:rPr>
          <w:color w:val="000000"/>
          <w:szCs w:val="22"/>
          <w:lang w:val="hr-HR"/>
        </w:rPr>
        <w:t>180 filmom obloženih tableta</w:t>
      </w:r>
    </w:p>
    <w:p w14:paraId="0DBC6061" w14:textId="77777777" w:rsidR="00C67282" w:rsidRDefault="00C67282" w:rsidP="00C67282">
      <w:pPr>
        <w:pStyle w:val="EndnoteText"/>
        <w:widowControl w:val="0"/>
        <w:tabs>
          <w:tab w:val="clear" w:pos="567"/>
        </w:tabs>
        <w:rPr>
          <w:color w:val="000000"/>
          <w:szCs w:val="22"/>
          <w:lang w:val="hr-HR"/>
        </w:rPr>
      </w:pPr>
    </w:p>
    <w:p w14:paraId="0ECA25B5" w14:textId="77777777" w:rsidR="00C67282" w:rsidRPr="009B357A" w:rsidRDefault="00C67282" w:rsidP="00C67282">
      <w:pPr>
        <w:widowControl w:val="0"/>
        <w:tabs>
          <w:tab w:val="clear" w:pos="567"/>
        </w:tabs>
        <w:spacing w:line="240" w:lineRule="auto"/>
        <w:rPr>
          <w:color w:val="000000"/>
          <w:szCs w:val="22"/>
          <w:lang w:val="hr-HR"/>
        </w:rPr>
      </w:pPr>
      <w:r w:rsidRPr="009B357A">
        <w:rPr>
          <w:color w:val="000000"/>
          <w:szCs w:val="22"/>
          <w:lang w:val="hr-HR"/>
        </w:rPr>
        <w:t>PVDC/Al blisteri</w:t>
      </w:r>
    </w:p>
    <w:p w14:paraId="7C155AA1" w14:textId="77777777" w:rsidR="00C67282" w:rsidRPr="009B357A" w:rsidRDefault="007823C3" w:rsidP="00C67282">
      <w:pPr>
        <w:widowControl w:val="0"/>
        <w:tabs>
          <w:tab w:val="clear" w:pos="567"/>
        </w:tabs>
        <w:spacing w:line="240" w:lineRule="auto"/>
        <w:rPr>
          <w:color w:val="000000"/>
          <w:szCs w:val="22"/>
          <w:lang w:val="hr-HR"/>
        </w:rPr>
      </w:pPr>
      <w:r>
        <w:rPr>
          <w:color w:val="000000"/>
          <w:szCs w:val="22"/>
          <w:lang w:val="hr-HR"/>
        </w:rPr>
        <w:t>Pakiranja sadrže 6</w:t>
      </w:r>
      <w:r w:rsidR="00C67282" w:rsidRPr="009B357A">
        <w:rPr>
          <w:color w:val="000000"/>
          <w:szCs w:val="22"/>
          <w:lang w:val="hr-HR"/>
        </w:rPr>
        <w:t xml:space="preserve">0, </w:t>
      </w:r>
      <w:r w:rsidR="00C67282">
        <w:rPr>
          <w:color w:val="000000"/>
          <w:szCs w:val="22"/>
          <w:lang w:val="hr-HR"/>
        </w:rPr>
        <w:t>120</w:t>
      </w:r>
      <w:r w:rsidR="00C67282" w:rsidRPr="009B357A">
        <w:rPr>
          <w:color w:val="000000"/>
          <w:szCs w:val="22"/>
          <w:lang w:val="hr-HR"/>
        </w:rPr>
        <w:t xml:space="preserve"> ili </w:t>
      </w:r>
      <w:r w:rsidR="00C67282">
        <w:rPr>
          <w:color w:val="000000"/>
          <w:szCs w:val="22"/>
          <w:lang w:val="hr-HR"/>
        </w:rPr>
        <w:t>180</w:t>
      </w:r>
      <w:r w:rsidR="00C67282" w:rsidRPr="009B357A">
        <w:rPr>
          <w:color w:val="000000"/>
          <w:szCs w:val="22"/>
          <w:lang w:val="hr-HR"/>
        </w:rPr>
        <w:t> filmom obloženih tableta</w:t>
      </w:r>
    </w:p>
    <w:p w14:paraId="5A42D670" w14:textId="77777777" w:rsidR="003A274D" w:rsidRPr="00510442" w:rsidRDefault="003A274D" w:rsidP="00DB1645">
      <w:pPr>
        <w:pStyle w:val="EndnoteText"/>
        <w:widowControl w:val="0"/>
        <w:tabs>
          <w:tab w:val="clear" w:pos="567"/>
        </w:tabs>
        <w:rPr>
          <w:color w:val="000000"/>
          <w:szCs w:val="22"/>
          <w:lang w:val="hr-HR"/>
        </w:rPr>
      </w:pPr>
    </w:p>
    <w:p w14:paraId="51295B95" w14:textId="77777777" w:rsidR="002817B3" w:rsidRPr="00EF4190" w:rsidRDefault="002817B3" w:rsidP="002817B3">
      <w:pPr>
        <w:keepNext/>
        <w:widowControl w:val="0"/>
        <w:tabs>
          <w:tab w:val="clear" w:pos="567"/>
        </w:tabs>
        <w:spacing w:line="240" w:lineRule="auto"/>
        <w:rPr>
          <w:color w:val="000000"/>
          <w:szCs w:val="22"/>
          <w:u w:val="single"/>
          <w:lang w:val="hr-HR"/>
        </w:rPr>
      </w:pPr>
      <w:r w:rsidRPr="00EF4190">
        <w:rPr>
          <w:color w:val="000000"/>
          <w:szCs w:val="22"/>
          <w:u w:val="single"/>
          <w:lang w:val="hr-HR"/>
        </w:rPr>
        <w:t xml:space="preserve">Glivec 400 mg </w:t>
      </w:r>
      <w:r w:rsidRPr="00A43A81">
        <w:rPr>
          <w:color w:val="000000"/>
          <w:szCs w:val="22"/>
          <w:u w:val="single"/>
          <w:lang w:val="hr-HR"/>
        </w:rPr>
        <w:t>filmom obložene tablete</w:t>
      </w:r>
    </w:p>
    <w:p w14:paraId="3AAB3540" w14:textId="77777777" w:rsidR="001C198F" w:rsidRPr="00510442" w:rsidRDefault="001C198F" w:rsidP="001C198F">
      <w:pPr>
        <w:widowControl w:val="0"/>
        <w:tabs>
          <w:tab w:val="clear" w:pos="567"/>
        </w:tabs>
        <w:spacing w:line="240" w:lineRule="auto"/>
        <w:rPr>
          <w:color w:val="000000"/>
          <w:szCs w:val="22"/>
          <w:lang w:val="hr-HR"/>
        </w:rPr>
      </w:pPr>
      <w:r w:rsidRPr="00510442">
        <w:rPr>
          <w:color w:val="000000"/>
          <w:szCs w:val="22"/>
          <w:lang w:val="hr-HR"/>
        </w:rPr>
        <w:t>PVDC/Al blisteri</w:t>
      </w:r>
    </w:p>
    <w:p w14:paraId="5526B516" w14:textId="77777777" w:rsidR="001C198F" w:rsidRPr="00510442" w:rsidRDefault="001C198F" w:rsidP="001C198F">
      <w:pPr>
        <w:widowControl w:val="0"/>
        <w:tabs>
          <w:tab w:val="clear" w:pos="567"/>
        </w:tabs>
        <w:spacing w:line="240" w:lineRule="auto"/>
        <w:rPr>
          <w:color w:val="000000"/>
          <w:szCs w:val="22"/>
          <w:lang w:val="hr-HR"/>
        </w:rPr>
      </w:pPr>
      <w:r w:rsidRPr="00510442">
        <w:rPr>
          <w:color w:val="000000"/>
          <w:szCs w:val="22"/>
          <w:lang w:val="hr-HR"/>
        </w:rPr>
        <w:t>Pakiranja sadrže 10, 30 ili 90 filmom obloženih tableta</w:t>
      </w:r>
    </w:p>
    <w:p w14:paraId="48FDE8DB" w14:textId="77777777" w:rsidR="002817B3" w:rsidRPr="00510442" w:rsidRDefault="002817B3" w:rsidP="00DB1645">
      <w:pPr>
        <w:pStyle w:val="EndnoteText"/>
        <w:widowControl w:val="0"/>
        <w:tabs>
          <w:tab w:val="clear" w:pos="567"/>
        </w:tabs>
        <w:rPr>
          <w:color w:val="000000"/>
          <w:szCs w:val="22"/>
          <w:lang w:val="hr-HR"/>
        </w:rPr>
      </w:pPr>
    </w:p>
    <w:p w14:paraId="4FDAE78F" w14:textId="77777777" w:rsidR="003A274D" w:rsidRPr="00510442" w:rsidRDefault="003A274D" w:rsidP="00DB1645">
      <w:pPr>
        <w:pStyle w:val="EndnoteText"/>
        <w:widowControl w:val="0"/>
        <w:tabs>
          <w:tab w:val="clear" w:pos="567"/>
        </w:tabs>
        <w:rPr>
          <w:color w:val="000000"/>
          <w:szCs w:val="22"/>
          <w:lang w:val="hr-HR"/>
        </w:rPr>
      </w:pPr>
      <w:r w:rsidRPr="00510442">
        <w:rPr>
          <w:szCs w:val="22"/>
          <w:lang w:val="hr-HR"/>
        </w:rPr>
        <w:t>Na tržištu se ne moraju nalaziti sve veličine pak</w:t>
      </w:r>
      <w:r w:rsidR="00436200" w:rsidRPr="00510442">
        <w:rPr>
          <w:szCs w:val="22"/>
          <w:lang w:val="hr-HR"/>
        </w:rPr>
        <w:t>ir</w:t>
      </w:r>
      <w:r w:rsidRPr="00510442">
        <w:rPr>
          <w:szCs w:val="22"/>
          <w:lang w:val="hr-HR"/>
        </w:rPr>
        <w:t>anja</w:t>
      </w:r>
      <w:r w:rsidRPr="00510442">
        <w:rPr>
          <w:color w:val="000000"/>
          <w:szCs w:val="22"/>
          <w:lang w:val="hr-HR"/>
        </w:rPr>
        <w:t>.</w:t>
      </w:r>
    </w:p>
    <w:p w14:paraId="1BF2362A" w14:textId="77777777" w:rsidR="003A274D" w:rsidRPr="00510442" w:rsidRDefault="003A274D" w:rsidP="003A274D">
      <w:pPr>
        <w:pStyle w:val="EndnoteText"/>
        <w:widowControl w:val="0"/>
        <w:tabs>
          <w:tab w:val="clear" w:pos="567"/>
        </w:tabs>
        <w:rPr>
          <w:color w:val="000000"/>
          <w:szCs w:val="22"/>
          <w:lang w:val="hr-HR"/>
        </w:rPr>
      </w:pPr>
    </w:p>
    <w:p w14:paraId="36149B3C" w14:textId="77777777" w:rsidR="003A274D" w:rsidRPr="00510442" w:rsidRDefault="003A274D" w:rsidP="001150EE">
      <w:pPr>
        <w:keepNext/>
        <w:widowControl w:val="0"/>
        <w:tabs>
          <w:tab w:val="clear" w:pos="567"/>
        </w:tabs>
        <w:spacing w:line="240" w:lineRule="auto"/>
        <w:ind w:left="567" w:hanging="567"/>
        <w:rPr>
          <w:color w:val="000000"/>
          <w:szCs w:val="22"/>
          <w:lang w:val="hr-HR"/>
        </w:rPr>
      </w:pPr>
      <w:r w:rsidRPr="00510442">
        <w:rPr>
          <w:b/>
          <w:color w:val="000000"/>
          <w:szCs w:val="22"/>
          <w:lang w:val="hr-HR"/>
        </w:rPr>
        <w:t>6.6</w:t>
      </w:r>
      <w:r w:rsidRPr="00510442">
        <w:rPr>
          <w:b/>
          <w:color w:val="000000"/>
          <w:szCs w:val="22"/>
          <w:lang w:val="hr-HR"/>
        </w:rPr>
        <w:tab/>
      </w:r>
      <w:r w:rsidRPr="00510442">
        <w:rPr>
          <w:b/>
          <w:szCs w:val="22"/>
          <w:lang w:val="hr-HR"/>
        </w:rPr>
        <w:t>Posebne mjere za zbrinjavanje</w:t>
      </w:r>
    </w:p>
    <w:p w14:paraId="4F942C8E" w14:textId="77777777" w:rsidR="003A274D" w:rsidRPr="00510442" w:rsidRDefault="003A274D" w:rsidP="001150EE">
      <w:pPr>
        <w:pStyle w:val="EndnoteText"/>
        <w:keepNext/>
        <w:widowControl w:val="0"/>
        <w:tabs>
          <w:tab w:val="clear" w:pos="567"/>
        </w:tabs>
        <w:rPr>
          <w:color w:val="000000"/>
          <w:szCs w:val="22"/>
          <w:lang w:val="hr-HR"/>
        </w:rPr>
      </w:pPr>
    </w:p>
    <w:p w14:paraId="027E22AD" w14:textId="77777777" w:rsidR="003A274D" w:rsidRPr="00510442" w:rsidRDefault="003A274D" w:rsidP="003A274D">
      <w:pPr>
        <w:pStyle w:val="EndnoteText"/>
        <w:widowControl w:val="0"/>
        <w:tabs>
          <w:tab w:val="clear" w:pos="567"/>
        </w:tabs>
        <w:rPr>
          <w:color w:val="000000"/>
          <w:szCs w:val="22"/>
          <w:lang w:val="hr-HR"/>
        </w:rPr>
      </w:pPr>
      <w:r w:rsidRPr="00510442">
        <w:rPr>
          <w:szCs w:val="22"/>
          <w:lang w:val="hr-HR"/>
        </w:rPr>
        <w:t xml:space="preserve">Neiskorišteni lijek ili otpadni materijal </w:t>
      </w:r>
      <w:r w:rsidR="00361930" w:rsidRPr="00510442">
        <w:rPr>
          <w:lang w:val="hr-HR"/>
        </w:rPr>
        <w:t xml:space="preserve">potrebno je </w:t>
      </w:r>
      <w:r w:rsidRPr="00510442">
        <w:rPr>
          <w:szCs w:val="22"/>
          <w:lang w:val="hr-HR"/>
        </w:rPr>
        <w:t xml:space="preserve">zbrinuti sukladno </w:t>
      </w:r>
      <w:r w:rsidR="00361930" w:rsidRPr="00510442">
        <w:rPr>
          <w:lang w:val="hr-HR"/>
        </w:rPr>
        <w:t xml:space="preserve">nacionalnim </w:t>
      </w:r>
      <w:r w:rsidRPr="00510442">
        <w:rPr>
          <w:szCs w:val="22"/>
          <w:lang w:val="hr-HR"/>
        </w:rPr>
        <w:t>propisima</w:t>
      </w:r>
      <w:r w:rsidRPr="00510442">
        <w:rPr>
          <w:color w:val="000000"/>
          <w:szCs w:val="22"/>
          <w:lang w:val="hr-HR"/>
        </w:rPr>
        <w:t>.</w:t>
      </w:r>
    </w:p>
    <w:p w14:paraId="3C04E738" w14:textId="77777777" w:rsidR="003A274D" w:rsidRPr="00510442" w:rsidRDefault="003A274D" w:rsidP="003A274D">
      <w:pPr>
        <w:pStyle w:val="EndnoteText"/>
        <w:widowControl w:val="0"/>
        <w:tabs>
          <w:tab w:val="clear" w:pos="567"/>
        </w:tabs>
        <w:rPr>
          <w:color w:val="000000"/>
          <w:szCs w:val="22"/>
          <w:lang w:val="hr-HR"/>
        </w:rPr>
      </w:pPr>
    </w:p>
    <w:p w14:paraId="232714CF" w14:textId="77777777" w:rsidR="003A274D" w:rsidRPr="00510442" w:rsidRDefault="003A274D" w:rsidP="003A274D">
      <w:pPr>
        <w:pStyle w:val="EndnoteText"/>
        <w:widowControl w:val="0"/>
        <w:tabs>
          <w:tab w:val="clear" w:pos="567"/>
        </w:tabs>
        <w:rPr>
          <w:color w:val="000000"/>
          <w:szCs w:val="22"/>
          <w:lang w:val="hr-HR"/>
        </w:rPr>
      </w:pPr>
    </w:p>
    <w:p w14:paraId="2D55FBED" w14:textId="77777777" w:rsidR="003A274D" w:rsidRPr="00510442" w:rsidRDefault="003A274D" w:rsidP="001150EE">
      <w:pPr>
        <w:keepNext/>
        <w:tabs>
          <w:tab w:val="clear" w:pos="567"/>
        </w:tabs>
        <w:spacing w:line="240" w:lineRule="auto"/>
        <w:ind w:left="567" w:hanging="567"/>
        <w:rPr>
          <w:szCs w:val="22"/>
          <w:lang w:val="hr-HR"/>
        </w:rPr>
      </w:pPr>
      <w:r w:rsidRPr="00510442">
        <w:rPr>
          <w:b/>
          <w:szCs w:val="22"/>
          <w:lang w:val="hr-HR"/>
        </w:rPr>
        <w:t>7.</w:t>
      </w:r>
      <w:r w:rsidRPr="00510442">
        <w:rPr>
          <w:b/>
          <w:szCs w:val="22"/>
          <w:lang w:val="hr-HR"/>
        </w:rPr>
        <w:tab/>
        <w:t>NOSITELJ ODOBRENJA ZA STAVLJANJE LIJEKA U PROMET</w:t>
      </w:r>
    </w:p>
    <w:p w14:paraId="56AE8BD0" w14:textId="77777777" w:rsidR="003A274D" w:rsidRPr="00510442" w:rsidRDefault="003A274D" w:rsidP="001150EE">
      <w:pPr>
        <w:pStyle w:val="EndnoteText"/>
        <w:keepNext/>
        <w:widowControl w:val="0"/>
        <w:tabs>
          <w:tab w:val="clear" w:pos="567"/>
        </w:tabs>
        <w:rPr>
          <w:color w:val="000000"/>
          <w:szCs w:val="22"/>
          <w:lang w:val="hr-HR"/>
        </w:rPr>
      </w:pPr>
    </w:p>
    <w:p w14:paraId="013686CE" w14:textId="77777777" w:rsidR="003A274D" w:rsidRPr="00510442" w:rsidRDefault="003A274D" w:rsidP="001150EE">
      <w:pPr>
        <w:keepNext/>
        <w:widowControl w:val="0"/>
        <w:tabs>
          <w:tab w:val="clear" w:pos="567"/>
        </w:tabs>
        <w:spacing w:line="240" w:lineRule="auto"/>
        <w:rPr>
          <w:color w:val="000000"/>
          <w:szCs w:val="22"/>
          <w:lang w:val="hr-HR"/>
        </w:rPr>
      </w:pPr>
      <w:r w:rsidRPr="00510442">
        <w:rPr>
          <w:color w:val="000000"/>
          <w:szCs w:val="22"/>
          <w:lang w:val="hr-HR"/>
        </w:rPr>
        <w:t>Novartis Europharm Limited</w:t>
      </w:r>
    </w:p>
    <w:p w14:paraId="23DE30F4" w14:textId="77777777" w:rsidR="00E24CAD" w:rsidRPr="00510442" w:rsidRDefault="00E24CAD" w:rsidP="00E24CAD">
      <w:pPr>
        <w:keepNext/>
        <w:widowControl w:val="0"/>
        <w:spacing w:line="240" w:lineRule="auto"/>
        <w:rPr>
          <w:color w:val="000000"/>
          <w:lang w:val="hr-HR"/>
        </w:rPr>
      </w:pPr>
      <w:r w:rsidRPr="00510442">
        <w:rPr>
          <w:color w:val="000000"/>
          <w:lang w:val="hr-HR"/>
        </w:rPr>
        <w:t>Vista Building</w:t>
      </w:r>
    </w:p>
    <w:p w14:paraId="1E08C940" w14:textId="77777777" w:rsidR="00E24CAD" w:rsidRPr="00510442" w:rsidRDefault="00E24CAD" w:rsidP="00E24CAD">
      <w:pPr>
        <w:keepNext/>
        <w:widowControl w:val="0"/>
        <w:spacing w:line="240" w:lineRule="auto"/>
        <w:rPr>
          <w:color w:val="000000"/>
          <w:lang w:val="hr-HR"/>
        </w:rPr>
      </w:pPr>
      <w:r w:rsidRPr="00510442">
        <w:rPr>
          <w:color w:val="000000"/>
          <w:lang w:val="hr-HR"/>
        </w:rPr>
        <w:t>Elm Park, Merrion Road</w:t>
      </w:r>
    </w:p>
    <w:p w14:paraId="521D5B9A" w14:textId="77777777" w:rsidR="00E24CAD" w:rsidRPr="00510442" w:rsidRDefault="00E24CAD" w:rsidP="00E24CAD">
      <w:pPr>
        <w:keepNext/>
        <w:widowControl w:val="0"/>
        <w:spacing w:line="240" w:lineRule="auto"/>
        <w:rPr>
          <w:color w:val="000000"/>
          <w:lang w:val="hr-HR"/>
        </w:rPr>
      </w:pPr>
      <w:r w:rsidRPr="00510442">
        <w:rPr>
          <w:color w:val="000000"/>
          <w:lang w:val="hr-HR"/>
        </w:rPr>
        <w:t>Dublin 4</w:t>
      </w:r>
    </w:p>
    <w:p w14:paraId="4B4FFFBE" w14:textId="77777777" w:rsidR="003A274D" w:rsidRPr="00307897" w:rsidRDefault="00E24CAD" w:rsidP="003A274D">
      <w:pPr>
        <w:widowControl w:val="0"/>
        <w:tabs>
          <w:tab w:val="clear" w:pos="567"/>
        </w:tabs>
        <w:spacing w:line="240" w:lineRule="auto"/>
        <w:rPr>
          <w:color w:val="000000"/>
          <w:szCs w:val="22"/>
          <w:lang w:val="hr-HR"/>
        </w:rPr>
      </w:pPr>
      <w:r w:rsidRPr="00510442">
        <w:rPr>
          <w:color w:val="000000"/>
          <w:lang w:val="hr-HR"/>
        </w:rPr>
        <w:t>Irska</w:t>
      </w:r>
    </w:p>
    <w:p w14:paraId="5713079F" w14:textId="77777777" w:rsidR="003A274D" w:rsidRPr="00307897" w:rsidRDefault="003A274D" w:rsidP="003A274D">
      <w:pPr>
        <w:widowControl w:val="0"/>
        <w:tabs>
          <w:tab w:val="clear" w:pos="567"/>
        </w:tabs>
        <w:spacing w:line="240" w:lineRule="auto"/>
        <w:rPr>
          <w:color w:val="000000"/>
          <w:szCs w:val="22"/>
          <w:lang w:val="hr-HR"/>
        </w:rPr>
      </w:pPr>
    </w:p>
    <w:p w14:paraId="1018324F" w14:textId="77777777" w:rsidR="003A274D" w:rsidRPr="00A00164" w:rsidRDefault="003A274D" w:rsidP="003A274D">
      <w:pPr>
        <w:pStyle w:val="EndnoteText"/>
        <w:widowControl w:val="0"/>
        <w:tabs>
          <w:tab w:val="clear" w:pos="567"/>
        </w:tabs>
        <w:rPr>
          <w:color w:val="000000"/>
          <w:szCs w:val="22"/>
          <w:lang w:val="hr-HR"/>
        </w:rPr>
      </w:pPr>
    </w:p>
    <w:p w14:paraId="0B4EC87C" w14:textId="77777777" w:rsidR="003A274D" w:rsidRPr="00510442" w:rsidRDefault="003A274D" w:rsidP="001150EE">
      <w:pPr>
        <w:keepNext/>
        <w:tabs>
          <w:tab w:val="clear" w:pos="567"/>
        </w:tabs>
        <w:spacing w:line="240" w:lineRule="auto"/>
        <w:ind w:left="567" w:hanging="567"/>
        <w:rPr>
          <w:b/>
          <w:szCs w:val="22"/>
          <w:lang w:val="hr-HR"/>
        </w:rPr>
      </w:pPr>
      <w:r w:rsidRPr="00510442">
        <w:rPr>
          <w:b/>
          <w:szCs w:val="22"/>
          <w:lang w:val="hr-HR"/>
        </w:rPr>
        <w:t>8.</w:t>
      </w:r>
      <w:r w:rsidRPr="00510442">
        <w:rPr>
          <w:b/>
          <w:szCs w:val="22"/>
          <w:lang w:val="hr-HR"/>
        </w:rPr>
        <w:tab/>
        <w:t>BROJ(EVI) ODOBRENJA ZA STAVLJANJE LIJEKA U PROMET</w:t>
      </w:r>
    </w:p>
    <w:p w14:paraId="686DF0F8" w14:textId="77777777" w:rsidR="003A274D" w:rsidRPr="00510442" w:rsidRDefault="003A274D" w:rsidP="001150EE">
      <w:pPr>
        <w:pStyle w:val="EndnoteText"/>
        <w:keepNext/>
        <w:widowControl w:val="0"/>
        <w:tabs>
          <w:tab w:val="clear" w:pos="567"/>
        </w:tabs>
        <w:rPr>
          <w:color w:val="000000"/>
          <w:szCs w:val="22"/>
          <w:lang w:val="hr-HR"/>
        </w:rPr>
      </w:pPr>
    </w:p>
    <w:p w14:paraId="5CC25593" w14:textId="77777777" w:rsidR="00460690" w:rsidRPr="00510442" w:rsidRDefault="00460690" w:rsidP="00460690">
      <w:pPr>
        <w:keepNext/>
        <w:widowControl w:val="0"/>
        <w:tabs>
          <w:tab w:val="clear" w:pos="567"/>
        </w:tabs>
        <w:spacing w:line="240" w:lineRule="auto"/>
        <w:rPr>
          <w:color w:val="000000"/>
          <w:szCs w:val="22"/>
          <w:u w:val="single"/>
          <w:lang w:val="hr-HR"/>
        </w:rPr>
      </w:pPr>
      <w:r w:rsidRPr="00510442">
        <w:rPr>
          <w:color w:val="000000"/>
          <w:szCs w:val="22"/>
          <w:u w:val="single"/>
          <w:lang w:val="hr-HR"/>
        </w:rPr>
        <w:t>Glivec 100 mg filmom obložene tablete</w:t>
      </w:r>
    </w:p>
    <w:p w14:paraId="2659CF6E" w14:textId="77777777" w:rsidR="003A274D" w:rsidRPr="00510442" w:rsidRDefault="003A274D" w:rsidP="00C67282">
      <w:pPr>
        <w:pStyle w:val="EndnoteText"/>
        <w:keepNext/>
        <w:widowControl w:val="0"/>
        <w:tabs>
          <w:tab w:val="clear" w:pos="567"/>
        </w:tabs>
        <w:rPr>
          <w:color w:val="000000"/>
          <w:szCs w:val="22"/>
          <w:lang w:val="hr-HR"/>
        </w:rPr>
      </w:pPr>
      <w:r w:rsidRPr="00510442">
        <w:rPr>
          <w:color w:val="000000"/>
          <w:szCs w:val="22"/>
          <w:lang w:val="hr-HR"/>
        </w:rPr>
        <w:t>EU/1/01/198/007</w:t>
      </w:r>
    </w:p>
    <w:p w14:paraId="5E777F6F" w14:textId="77777777" w:rsidR="003A274D" w:rsidRPr="00510442" w:rsidRDefault="003A274D" w:rsidP="00C67282">
      <w:pPr>
        <w:pStyle w:val="EndnoteText"/>
        <w:keepNext/>
        <w:widowControl w:val="0"/>
        <w:tabs>
          <w:tab w:val="clear" w:pos="567"/>
        </w:tabs>
        <w:rPr>
          <w:color w:val="000000"/>
          <w:szCs w:val="22"/>
          <w:lang w:val="hr-HR"/>
        </w:rPr>
      </w:pPr>
      <w:r w:rsidRPr="00510442">
        <w:rPr>
          <w:color w:val="000000"/>
          <w:szCs w:val="22"/>
          <w:lang w:val="hr-HR"/>
        </w:rPr>
        <w:t>EU/1/01/198/008</w:t>
      </w:r>
    </w:p>
    <w:p w14:paraId="2960A250" w14:textId="77777777" w:rsidR="003A274D" w:rsidRPr="00510442" w:rsidRDefault="003A274D" w:rsidP="00C67282">
      <w:pPr>
        <w:pStyle w:val="EndnoteText"/>
        <w:keepNext/>
        <w:widowControl w:val="0"/>
        <w:tabs>
          <w:tab w:val="clear" w:pos="567"/>
        </w:tabs>
        <w:rPr>
          <w:color w:val="000000"/>
          <w:szCs w:val="22"/>
          <w:lang w:val="hr-HR"/>
        </w:rPr>
      </w:pPr>
      <w:r w:rsidRPr="00510442">
        <w:rPr>
          <w:color w:val="000000"/>
          <w:szCs w:val="22"/>
          <w:lang w:val="hr-HR"/>
        </w:rPr>
        <w:t>EU/1/01/198/011</w:t>
      </w:r>
    </w:p>
    <w:p w14:paraId="7B3F9A7F" w14:textId="77777777" w:rsidR="003A274D" w:rsidRPr="00510442" w:rsidRDefault="003A274D" w:rsidP="00C67282">
      <w:pPr>
        <w:pStyle w:val="EndnoteText"/>
        <w:keepNext/>
        <w:widowControl w:val="0"/>
        <w:tabs>
          <w:tab w:val="clear" w:pos="567"/>
        </w:tabs>
        <w:rPr>
          <w:color w:val="000000"/>
          <w:szCs w:val="22"/>
          <w:lang w:val="hr-HR"/>
        </w:rPr>
      </w:pPr>
      <w:r w:rsidRPr="00510442">
        <w:rPr>
          <w:color w:val="000000"/>
          <w:szCs w:val="22"/>
          <w:lang w:val="hr-HR"/>
        </w:rPr>
        <w:t>EU/1/01/198/012</w:t>
      </w:r>
    </w:p>
    <w:p w14:paraId="5216E642" w14:textId="77777777" w:rsidR="00C67282" w:rsidRPr="00E257AC" w:rsidRDefault="00C67282" w:rsidP="00C67282">
      <w:pPr>
        <w:pStyle w:val="EndnoteText"/>
        <w:keepNext/>
        <w:widowControl w:val="0"/>
        <w:tabs>
          <w:tab w:val="clear" w:pos="567"/>
        </w:tabs>
        <w:rPr>
          <w:color w:val="000000"/>
          <w:szCs w:val="22"/>
          <w:lang w:val="fr-CH"/>
        </w:rPr>
      </w:pPr>
      <w:r w:rsidRPr="00E257AC">
        <w:rPr>
          <w:color w:val="000000"/>
          <w:szCs w:val="22"/>
          <w:lang w:val="fr-CH"/>
        </w:rPr>
        <w:t>EU/1/01/198/01</w:t>
      </w:r>
      <w:r w:rsidR="00602DA1" w:rsidRPr="00E257AC">
        <w:rPr>
          <w:color w:val="000000"/>
          <w:szCs w:val="22"/>
          <w:lang w:val="fr-CH"/>
        </w:rPr>
        <w:t>4</w:t>
      </w:r>
    </w:p>
    <w:p w14:paraId="538C5003" w14:textId="77777777" w:rsidR="00C67282" w:rsidRPr="00E257AC" w:rsidRDefault="00C67282" w:rsidP="007823C3">
      <w:pPr>
        <w:pStyle w:val="EndnoteText"/>
        <w:keepNext/>
        <w:widowControl w:val="0"/>
        <w:tabs>
          <w:tab w:val="clear" w:pos="567"/>
        </w:tabs>
        <w:rPr>
          <w:color w:val="000000"/>
          <w:szCs w:val="22"/>
          <w:lang w:val="fr-CH"/>
        </w:rPr>
      </w:pPr>
      <w:r w:rsidRPr="00E257AC">
        <w:rPr>
          <w:color w:val="000000"/>
          <w:szCs w:val="22"/>
          <w:lang w:val="fr-CH"/>
        </w:rPr>
        <w:t>EU/1/01/198/01</w:t>
      </w:r>
      <w:r w:rsidR="00602DA1" w:rsidRPr="00E257AC">
        <w:rPr>
          <w:color w:val="000000"/>
          <w:szCs w:val="22"/>
          <w:lang w:val="fr-CH"/>
        </w:rPr>
        <w:t>5</w:t>
      </w:r>
    </w:p>
    <w:p w14:paraId="48E65B5B" w14:textId="77777777" w:rsidR="007823C3" w:rsidRPr="00E257AC" w:rsidRDefault="007823C3" w:rsidP="007823C3">
      <w:pPr>
        <w:pStyle w:val="EndnoteText"/>
        <w:widowControl w:val="0"/>
        <w:tabs>
          <w:tab w:val="clear" w:pos="567"/>
        </w:tabs>
        <w:rPr>
          <w:color w:val="000000"/>
          <w:szCs w:val="22"/>
          <w:lang w:val="fr-CH"/>
        </w:rPr>
      </w:pPr>
      <w:r w:rsidRPr="00E257AC">
        <w:rPr>
          <w:color w:val="000000"/>
          <w:szCs w:val="22"/>
          <w:lang w:val="fr-CH"/>
        </w:rPr>
        <w:t>EU/1/01/198/01</w:t>
      </w:r>
      <w:r w:rsidR="00602DA1" w:rsidRPr="00E257AC">
        <w:rPr>
          <w:color w:val="000000"/>
          <w:szCs w:val="22"/>
          <w:lang w:val="fr-CH"/>
        </w:rPr>
        <w:t>6</w:t>
      </w:r>
    </w:p>
    <w:p w14:paraId="484B8AD9" w14:textId="77777777" w:rsidR="003A274D" w:rsidRPr="00510442" w:rsidRDefault="003A274D" w:rsidP="003A274D">
      <w:pPr>
        <w:pStyle w:val="EndnoteText"/>
        <w:widowControl w:val="0"/>
        <w:tabs>
          <w:tab w:val="clear" w:pos="567"/>
        </w:tabs>
        <w:rPr>
          <w:color w:val="000000"/>
          <w:szCs w:val="22"/>
          <w:lang w:val="hr-HR"/>
        </w:rPr>
      </w:pPr>
    </w:p>
    <w:p w14:paraId="151A8A0A" w14:textId="77777777" w:rsidR="00460690" w:rsidRPr="00510442" w:rsidRDefault="00460690" w:rsidP="00460690">
      <w:pPr>
        <w:pStyle w:val="EndnoteText"/>
        <w:keepNext/>
        <w:widowControl w:val="0"/>
        <w:tabs>
          <w:tab w:val="clear" w:pos="567"/>
        </w:tabs>
        <w:rPr>
          <w:color w:val="000000"/>
          <w:szCs w:val="22"/>
          <w:u w:val="single"/>
          <w:lang w:val="hr-HR"/>
        </w:rPr>
      </w:pPr>
      <w:r w:rsidRPr="00510442">
        <w:rPr>
          <w:color w:val="000000"/>
          <w:szCs w:val="22"/>
          <w:u w:val="single"/>
          <w:lang w:val="hr-HR"/>
        </w:rPr>
        <w:t>Glivec 400 mg filmom obložene tablete</w:t>
      </w:r>
    </w:p>
    <w:p w14:paraId="362E67FE" w14:textId="77777777" w:rsidR="00460690" w:rsidRPr="00510442" w:rsidRDefault="00460690" w:rsidP="00460690">
      <w:pPr>
        <w:pStyle w:val="EndnoteText"/>
        <w:keepNext/>
        <w:widowControl w:val="0"/>
        <w:tabs>
          <w:tab w:val="clear" w:pos="567"/>
        </w:tabs>
        <w:rPr>
          <w:color w:val="000000"/>
          <w:szCs w:val="22"/>
          <w:lang w:val="hr-HR"/>
        </w:rPr>
      </w:pPr>
      <w:r w:rsidRPr="00510442">
        <w:rPr>
          <w:color w:val="000000"/>
          <w:szCs w:val="22"/>
          <w:lang w:val="hr-HR"/>
        </w:rPr>
        <w:t>EU/1/01/198/009</w:t>
      </w:r>
    </w:p>
    <w:p w14:paraId="2D584441" w14:textId="77777777" w:rsidR="00460690" w:rsidRPr="00510442" w:rsidRDefault="00460690" w:rsidP="00460690">
      <w:pPr>
        <w:pStyle w:val="EndnoteText"/>
        <w:keepNext/>
        <w:widowControl w:val="0"/>
        <w:tabs>
          <w:tab w:val="clear" w:pos="567"/>
        </w:tabs>
        <w:rPr>
          <w:color w:val="000000"/>
          <w:szCs w:val="22"/>
          <w:lang w:val="hr-HR"/>
        </w:rPr>
      </w:pPr>
      <w:r w:rsidRPr="00510442">
        <w:rPr>
          <w:color w:val="000000"/>
          <w:szCs w:val="22"/>
          <w:lang w:val="hr-HR"/>
        </w:rPr>
        <w:t>EU/1/01/198/010</w:t>
      </w:r>
    </w:p>
    <w:p w14:paraId="2E3F484F" w14:textId="77777777" w:rsidR="00460690" w:rsidRPr="00510442" w:rsidRDefault="00460690" w:rsidP="00460690">
      <w:pPr>
        <w:pStyle w:val="EndnoteText"/>
        <w:widowControl w:val="0"/>
        <w:tabs>
          <w:tab w:val="clear" w:pos="567"/>
        </w:tabs>
        <w:rPr>
          <w:color w:val="000000"/>
          <w:szCs w:val="22"/>
          <w:lang w:val="hr-HR"/>
        </w:rPr>
      </w:pPr>
      <w:r w:rsidRPr="00510442">
        <w:rPr>
          <w:color w:val="000000"/>
          <w:szCs w:val="22"/>
          <w:lang w:val="hr-HR"/>
        </w:rPr>
        <w:t>EU/1/01/198/013</w:t>
      </w:r>
    </w:p>
    <w:p w14:paraId="4CC5B83E" w14:textId="77777777" w:rsidR="003A274D" w:rsidRDefault="003A274D" w:rsidP="003A274D">
      <w:pPr>
        <w:widowControl w:val="0"/>
        <w:tabs>
          <w:tab w:val="clear" w:pos="567"/>
        </w:tabs>
        <w:spacing w:line="240" w:lineRule="auto"/>
        <w:rPr>
          <w:color w:val="000000"/>
          <w:szCs w:val="22"/>
          <w:lang w:val="hr-HR"/>
        </w:rPr>
      </w:pPr>
    </w:p>
    <w:p w14:paraId="583A0F8B" w14:textId="77777777" w:rsidR="001150EE" w:rsidRPr="00307897" w:rsidRDefault="001150EE" w:rsidP="003A274D">
      <w:pPr>
        <w:widowControl w:val="0"/>
        <w:tabs>
          <w:tab w:val="clear" w:pos="567"/>
        </w:tabs>
        <w:spacing w:line="240" w:lineRule="auto"/>
        <w:rPr>
          <w:color w:val="000000"/>
          <w:szCs w:val="22"/>
          <w:lang w:val="hr-HR"/>
        </w:rPr>
      </w:pPr>
    </w:p>
    <w:p w14:paraId="46732C59" w14:textId="77777777" w:rsidR="003A274D" w:rsidRPr="00510442" w:rsidRDefault="003A274D" w:rsidP="001150EE">
      <w:pPr>
        <w:keepNext/>
        <w:tabs>
          <w:tab w:val="clear" w:pos="567"/>
        </w:tabs>
        <w:spacing w:line="240" w:lineRule="auto"/>
        <w:ind w:left="567" w:hanging="567"/>
        <w:rPr>
          <w:b/>
          <w:szCs w:val="22"/>
          <w:lang w:val="hr-HR"/>
        </w:rPr>
      </w:pPr>
      <w:r w:rsidRPr="00510442">
        <w:rPr>
          <w:b/>
          <w:szCs w:val="22"/>
          <w:lang w:val="hr-HR"/>
        </w:rPr>
        <w:t>9.</w:t>
      </w:r>
      <w:r w:rsidRPr="00510442">
        <w:rPr>
          <w:b/>
          <w:szCs w:val="22"/>
          <w:lang w:val="hr-HR"/>
        </w:rPr>
        <w:tab/>
        <w:t>DATUM PRVOG ODOBRENJA/DATUM OBNOVE ODOBRENJA</w:t>
      </w:r>
    </w:p>
    <w:p w14:paraId="4B793EE7" w14:textId="77777777" w:rsidR="003A274D" w:rsidRPr="00510442" w:rsidRDefault="003A274D" w:rsidP="001150EE">
      <w:pPr>
        <w:keepNext/>
        <w:widowControl w:val="0"/>
        <w:spacing w:line="240" w:lineRule="auto"/>
        <w:rPr>
          <w:color w:val="000000"/>
          <w:szCs w:val="22"/>
          <w:lang w:val="hr-HR"/>
        </w:rPr>
      </w:pPr>
    </w:p>
    <w:p w14:paraId="056F0554" w14:textId="77777777" w:rsidR="003A274D" w:rsidRPr="00510442" w:rsidRDefault="003A274D" w:rsidP="001150EE">
      <w:pPr>
        <w:keepNext/>
        <w:widowControl w:val="0"/>
        <w:spacing w:line="240" w:lineRule="auto"/>
        <w:rPr>
          <w:color w:val="000000"/>
          <w:szCs w:val="22"/>
          <w:lang w:val="hr-HR"/>
        </w:rPr>
      </w:pPr>
      <w:r w:rsidRPr="00510442">
        <w:rPr>
          <w:szCs w:val="22"/>
          <w:lang w:val="hr-HR"/>
        </w:rPr>
        <w:t>Datum prvog odobrenja</w:t>
      </w:r>
      <w:r w:rsidRPr="00510442">
        <w:rPr>
          <w:color w:val="000000"/>
          <w:szCs w:val="22"/>
          <w:lang w:val="hr-HR"/>
        </w:rPr>
        <w:t>: 7. studenog 2001.</w:t>
      </w:r>
    </w:p>
    <w:p w14:paraId="0F2C2017" w14:textId="77777777" w:rsidR="003A274D" w:rsidRPr="00510442" w:rsidRDefault="003A274D" w:rsidP="003A274D">
      <w:pPr>
        <w:widowControl w:val="0"/>
        <w:tabs>
          <w:tab w:val="clear" w:pos="567"/>
        </w:tabs>
        <w:spacing w:line="240" w:lineRule="auto"/>
        <w:rPr>
          <w:color w:val="000000"/>
          <w:szCs w:val="22"/>
          <w:lang w:val="hr-HR"/>
        </w:rPr>
      </w:pPr>
      <w:r w:rsidRPr="00510442">
        <w:rPr>
          <w:szCs w:val="22"/>
          <w:lang w:val="hr-HR"/>
        </w:rPr>
        <w:t>Datum posljednje obnove</w:t>
      </w:r>
      <w:r w:rsidR="00254336" w:rsidRPr="00510442">
        <w:rPr>
          <w:szCs w:val="22"/>
          <w:lang w:val="hr-HR"/>
        </w:rPr>
        <w:t xml:space="preserve"> odobrenja</w:t>
      </w:r>
      <w:r w:rsidRPr="00510442">
        <w:rPr>
          <w:color w:val="000000"/>
          <w:szCs w:val="22"/>
          <w:lang w:val="hr-HR"/>
        </w:rPr>
        <w:t>: 7. studenog 2006.</w:t>
      </w:r>
    </w:p>
    <w:p w14:paraId="2AD7CB27" w14:textId="77777777" w:rsidR="003A274D" w:rsidRPr="00510442" w:rsidRDefault="003A274D" w:rsidP="003A274D">
      <w:pPr>
        <w:widowControl w:val="0"/>
        <w:tabs>
          <w:tab w:val="clear" w:pos="567"/>
        </w:tabs>
        <w:spacing w:line="240" w:lineRule="auto"/>
        <w:rPr>
          <w:color w:val="000000"/>
          <w:szCs w:val="22"/>
          <w:lang w:val="hr-HR"/>
        </w:rPr>
      </w:pPr>
    </w:p>
    <w:p w14:paraId="339964DF" w14:textId="77777777" w:rsidR="003A274D" w:rsidRPr="00510442" w:rsidRDefault="003A274D" w:rsidP="003A274D">
      <w:pPr>
        <w:widowControl w:val="0"/>
        <w:tabs>
          <w:tab w:val="clear" w:pos="567"/>
        </w:tabs>
        <w:spacing w:line="240" w:lineRule="auto"/>
        <w:rPr>
          <w:color w:val="000000"/>
          <w:szCs w:val="22"/>
          <w:lang w:val="hr-HR"/>
        </w:rPr>
      </w:pPr>
    </w:p>
    <w:p w14:paraId="1EBF805A" w14:textId="77777777" w:rsidR="003A274D" w:rsidRPr="00510442" w:rsidRDefault="003A274D" w:rsidP="003A274D">
      <w:pPr>
        <w:tabs>
          <w:tab w:val="clear" w:pos="567"/>
        </w:tabs>
        <w:spacing w:line="240" w:lineRule="auto"/>
        <w:ind w:left="567" w:hanging="567"/>
        <w:rPr>
          <w:b/>
          <w:szCs w:val="22"/>
          <w:lang w:val="hr-HR"/>
        </w:rPr>
      </w:pPr>
      <w:r w:rsidRPr="00510442">
        <w:rPr>
          <w:b/>
          <w:szCs w:val="22"/>
          <w:lang w:val="hr-HR"/>
        </w:rPr>
        <w:t>10.</w:t>
      </w:r>
      <w:r w:rsidRPr="00510442">
        <w:rPr>
          <w:b/>
          <w:szCs w:val="22"/>
          <w:lang w:val="hr-HR"/>
        </w:rPr>
        <w:tab/>
        <w:t>DATUM REVIZIJE TEKSTA</w:t>
      </w:r>
    </w:p>
    <w:p w14:paraId="33ABBF28" w14:textId="77777777" w:rsidR="003A274D" w:rsidRPr="00510442" w:rsidRDefault="003A274D" w:rsidP="003A274D">
      <w:pPr>
        <w:widowControl w:val="0"/>
        <w:tabs>
          <w:tab w:val="clear" w:pos="567"/>
        </w:tabs>
        <w:spacing w:line="240" w:lineRule="auto"/>
        <w:ind w:left="567" w:hanging="567"/>
        <w:rPr>
          <w:bCs/>
          <w:color w:val="000000"/>
          <w:szCs w:val="22"/>
          <w:lang w:val="hr-HR"/>
        </w:rPr>
      </w:pPr>
    </w:p>
    <w:p w14:paraId="5ED13FCA" w14:textId="77777777" w:rsidR="003A274D" w:rsidRPr="00510442" w:rsidRDefault="003A274D" w:rsidP="003A274D">
      <w:pPr>
        <w:widowControl w:val="0"/>
        <w:tabs>
          <w:tab w:val="clear" w:pos="567"/>
        </w:tabs>
        <w:spacing w:line="240" w:lineRule="auto"/>
        <w:ind w:left="567" w:hanging="567"/>
        <w:rPr>
          <w:bCs/>
          <w:color w:val="000000"/>
          <w:szCs w:val="22"/>
          <w:lang w:val="hr-HR"/>
        </w:rPr>
      </w:pPr>
    </w:p>
    <w:p w14:paraId="1C89158E" w14:textId="77777777" w:rsidR="003A274D" w:rsidRPr="00510442" w:rsidRDefault="003A274D" w:rsidP="003A274D">
      <w:pPr>
        <w:widowControl w:val="0"/>
        <w:tabs>
          <w:tab w:val="clear" w:pos="567"/>
        </w:tabs>
        <w:spacing w:line="240" w:lineRule="auto"/>
        <w:rPr>
          <w:szCs w:val="22"/>
          <w:lang w:val="hr-HR"/>
        </w:rPr>
      </w:pPr>
      <w:r w:rsidRPr="00510442">
        <w:rPr>
          <w:szCs w:val="22"/>
          <w:lang w:val="hr-HR"/>
        </w:rPr>
        <w:t xml:space="preserve">Detaljnije informacije o ovom lijeku dostupne su na </w:t>
      </w:r>
      <w:r w:rsidR="00254336" w:rsidRPr="00510442">
        <w:rPr>
          <w:lang w:val="hr-HR"/>
        </w:rPr>
        <w:t xml:space="preserve">internetskoj </w:t>
      </w:r>
      <w:r w:rsidRPr="00510442">
        <w:rPr>
          <w:szCs w:val="22"/>
          <w:lang w:val="hr-HR"/>
        </w:rPr>
        <w:t>stranici Europske agencije za lijekove</w:t>
      </w:r>
      <w:r w:rsidRPr="00510442">
        <w:rPr>
          <w:color w:val="0000FF"/>
          <w:szCs w:val="22"/>
          <w:lang w:val="hr-HR"/>
        </w:rPr>
        <w:t xml:space="preserve"> </w:t>
      </w:r>
      <w:hyperlink r:id="rId18" w:history="1">
        <w:r w:rsidR="00254336" w:rsidRPr="00510442">
          <w:rPr>
            <w:rStyle w:val="Hyperlink"/>
            <w:szCs w:val="22"/>
            <w:lang w:val="hr-HR"/>
          </w:rPr>
          <w:t>http://www.ema.europa.eu</w:t>
        </w:r>
      </w:hyperlink>
      <w:r w:rsidRPr="00510442">
        <w:rPr>
          <w:szCs w:val="22"/>
          <w:lang w:val="hr-HR"/>
        </w:rPr>
        <w:t>.</w:t>
      </w:r>
    </w:p>
    <w:p w14:paraId="520CB503" w14:textId="77777777" w:rsidR="003A274D" w:rsidRPr="00510442" w:rsidRDefault="003A274D" w:rsidP="00BB6AC6">
      <w:pPr>
        <w:tabs>
          <w:tab w:val="clear" w:pos="567"/>
        </w:tabs>
        <w:spacing w:line="240" w:lineRule="auto"/>
        <w:rPr>
          <w:color w:val="000000"/>
          <w:szCs w:val="22"/>
          <w:lang w:val="hr-HR"/>
        </w:rPr>
      </w:pPr>
      <w:r w:rsidRPr="00510442">
        <w:rPr>
          <w:b/>
          <w:color w:val="000000"/>
          <w:szCs w:val="22"/>
          <w:lang w:val="hr-HR"/>
        </w:rPr>
        <w:lastRenderedPageBreak/>
        <w:br w:type="page"/>
      </w:r>
    </w:p>
    <w:p w14:paraId="4C89186B" w14:textId="77777777" w:rsidR="003A274D" w:rsidRPr="00510442" w:rsidRDefault="003A274D" w:rsidP="003A274D">
      <w:pPr>
        <w:widowControl w:val="0"/>
        <w:tabs>
          <w:tab w:val="clear" w:pos="567"/>
        </w:tabs>
        <w:spacing w:line="240" w:lineRule="auto"/>
        <w:ind w:left="567" w:hanging="567"/>
        <w:rPr>
          <w:color w:val="000000"/>
          <w:szCs w:val="22"/>
          <w:lang w:val="hr-HR"/>
        </w:rPr>
      </w:pPr>
    </w:p>
    <w:p w14:paraId="427AA307" w14:textId="77777777" w:rsidR="003A274D" w:rsidRPr="00510442" w:rsidRDefault="003A274D" w:rsidP="003A274D">
      <w:pPr>
        <w:widowControl w:val="0"/>
        <w:tabs>
          <w:tab w:val="clear" w:pos="567"/>
        </w:tabs>
        <w:spacing w:line="240" w:lineRule="auto"/>
        <w:ind w:left="567" w:hanging="567"/>
        <w:rPr>
          <w:color w:val="000000"/>
          <w:szCs w:val="22"/>
          <w:lang w:val="hr-HR"/>
        </w:rPr>
      </w:pPr>
    </w:p>
    <w:p w14:paraId="75CD1B6E" w14:textId="77777777" w:rsidR="00633C4F" w:rsidRPr="00510442" w:rsidRDefault="00633C4F" w:rsidP="00422F71">
      <w:pPr>
        <w:widowControl w:val="0"/>
        <w:tabs>
          <w:tab w:val="clear" w:pos="567"/>
        </w:tabs>
        <w:spacing w:line="240" w:lineRule="auto"/>
        <w:ind w:left="567" w:hanging="567"/>
        <w:rPr>
          <w:color w:val="000000"/>
          <w:szCs w:val="22"/>
          <w:lang w:val="hr-HR"/>
        </w:rPr>
      </w:pPr>
    </w:p>
    <w:p w14:paraId="58A24DA2" w14:textId="77777777" w:rsidR="00633C4F" w:rsidRPr="00510442" w:rsidRDefault="00633C4F" w:rsidP="009B5630">
      <w:pPr>
        <w:spacing w:line="240" w:lineRule="auto"/>
        <w:rPr>
          <w:color w:val="000000"/>
          <w:szCs w:val="22"/>
          <w:lang w:val="hr-HR"/>
        </w:rPr>
      </w:pPr>
    </w:p>
    <w:p w14:paraId="658937A9" w14:textId="77777777" w:rsidR="00633C4F" w:rsidRPr="00510442" w:rsidRDefault="00633C4F" w:rsidP="009B5630">
      <w:pPr>
        <w:spacing w:line="240" w:lineRule="auto"/>
        <w:rPr>
          <w:color w:val="000000"/>
          <w:szCs w:val="22"/>
          <w:lang w:val="hr-HR"/>
        </w:rPr>
      </w:pPr>
    </w:p>
    <w:p w14:paraId="5C29393E" w14:textId="77777777" w:rsidR="00633C4F" w:rsidRPr="00510442" w:rsidRDefault="00633C4F" w:rsidP="009B5630">
      <w:pPr>
        <w:spacing w:line="240" w:lineRule="auto"/>
        <w:rPr>
          <w:color w:val="000000"/>
          <w:szCs w:val="22"/>
          <w:lang w:val="hr-HR"/>
        </w:rPr>
      </w:pPr>
    </w:p>
    <w:p w14:paraId="3485DA1D" w14:textId="77777777" w:rsidR="00633C4F" w:rsidRPr="00510442" w:rsidRDefault="00633C4F" w:rsidP="009B5630">
      <w:pPr>
        <w:spacing w:line="240" w:lineRule="auto"/>
        <w:rPr>
          <w:color w:val="000000"/>
          <w:szCs w:val="22"/>
          <w:lang w:val="hr-HR"/>
        </w:rPr>
      </w:pPr>
    </w:p>
    <w:p w14:paraId="0E0D552B" w14:textId="77777777" w:rsidR="00633C4F" w:rsidRPr="00510442" w:rsidRDefault="00633C4F" w:rsidP="009B5630">
      <w:pPr>
        <w:spacing w:line="240" w:lineRule="auto"/>
        <w:rPr>
          <w:color w:val="000000"/>
          <w:szCs w:val="22"/>
          <w:lang w:val="hr-HR"/>
        </w:rPr>
      </w:pPr>
    </w:p>
    <w:p w14:paraId="308902CD" w14:textId="77777777" w:rsidR="00633C4F" w:rsidRPr="00510442" w:rsidRDefault="00633C4F" w:rsidP="009B5630">
      <w:pPr>
        <w:spacing w:line="240" w:lineRule="auto"/>
        <w:rPr>
          <w:color w:val="000000"/>
          <w:szCs w:val="22"/>
          <w:lang w:val="hr-HR"/>
        </w:rPr>
      </w:pPr>
    </w:p>
    <w:p w14:paraId="133D4473" w14:textId="77777777" w:rsidR="00633C4F" w:rsidRPr="00510442" w:rsidRDefault="00633C4F" w:rsidP="009B5630">
      <w:pPr>
        <w:spacing w:line="240" w:lineRule="auto"/>
        <w:rPr>
          <w:color w:val="000000"/>
          <w:szCs w:val="22"/>
          <w:lang w:val="hr-HR"/>
        </w:rPr>
      </w:pPr>
    </w:p>
    <w:p w14:paraId="30779851" w14:textId="77777777" w:rsidR="00633C4F" w:rsidRPr="00510442" w:rsidRDefault="00633C4F" w:rsidP="009B5630">
      <w:pPr>
        <w:spacing w:line="240" w:lineRule="auto"/>
        <w:rPr>
          <w:color w:val="000000"/>
          <w:szCs w:val="22"/>
          <w:lang w:val="hr-HR"/>
        </w:rPr>
      </w:pPr>
    </w:p>
    <w:p w14:paraId="771B192A" w14:textId="77777777" w:rsidR="00633C4F" w:rsidRPr="00510442" w:rsidRDefault="00633C4F" w:rsidP="009B5630">
      <w:pPr>
        <w:spacing w:line="240" w:lineRule="auto"/>
        <w:rPr>
          <w:color w:val="000000"/>
          <w:szCs w:val="22"/>
          <w:lang w:val="hr-HR"/>
        </w:rPr>
      </w:pPr>
    </w:p>
    <w:p w14:paraId="65A153DF" w14:textId="77777777" w:rsidR="00633C4F" w:rsidRPr="00510442" w:rsidRDefault="00633C4F" w:rsidP="009B5630">
      <w:pPr>
        <w:spacing w:line="240" w:lineRule="auto"/>
        <w:rPr>
          <w:color w:val="000000"/>
          <w:szCs w:val="22"/>
          <w:lang w:val="hr-HR"/>
        </w:rPr>
      </w:pPr>
    </w:p>
    <w:p w14:paraId="791B7656" w14:textId="77777777" w:rsidR="00633C4F" w:rsidRPr="00510442" w:rsidRDefault="00633C4F" w:rsidP="009B5630">
      <w:pPr>
        <w:spacing w:line="240" w:lineRule="auto"/>
        <w:rPr>
          <w:color w:val="000000"/>
          <w:szCs w:val="22"/>
          <w:lang w:val="hr-HR"/>
        </w:rPr>
      </w:pPr>
    </w:p>
    <w:p w14:paraId="2D97C9C3" w14:textId="77777777" w:rsidR="00633C4F" w:rsidRPr="00510442" w:rsidRDefault="00633C4F" w:rsidP="009B5630">
      <w:pPr>
        <w:spacing w:line="240" w:lineRule="auto"/>
        <w:rPr>
          <w:color w:val="000000"/>
          <w:szCs w:val="22"/>
          <w:lang w:val="hr-HR"/>
        </w:rPr>
      </w:pPr>
    </w:p>
    <w:p w14:paraId="332415E2" w14:textId="77777777" w:rsidR="00633C4F" w:rsidRPr="00510442" w:rsidRDefault="00633C4F" w:rsidP="009B5630">
      <w:pPr>
        <w:spacing w:line="240" w:lineRule="auto"/>
        <w:rPr>
          <w:color w:val="000000"/>
          <w:szCs w:val="22"/>
          <w:lang w:val="hr-HR"/>
        </w:rPr>
      </w:pPr>
    </w:p>
    <w:p w14:paraId="0A6842FD" w14:textId="77777777" w:rsidR="00633C4F" w:rsidRPr="00510442" w:rsidRDefault="00633C4F" w:rsidP="009B5630">
      <w:pPr>
        <w:spacing w:line="240" w:lineRule="auto"/>
        <w:rPr>
          <w:color w:val="000000"/>
          <w:szCs w:val="22"/>
          <w:lang w:val="hr-HR"/>
        </w:rPr>
      </w:pPr>
    </w:p>
    <w:p w14:paraId="5CDEAD1D" w14:textId="77777777" w:rsidR="00633C4F" w:rsidRPr="00510442" w:rsidRDefault="00633C4F" w:rsidP="009B5630">
      <w:pPr>
        <w:spacing w:line="240" w:lineRule="auto"/>
        <w:rPr>
          <w:color w:val="000000"/>
          <w:szCs w:val="22"/>
          <w:lang w:val="hr-HR"/>
        </w:rPr>
      </w:pPr>
    </w:p>
    <w:p w14:paraId="65A41D21" w14:textId="77777777" w:rsidR="00633C4F" w:rsidRPr="00510442" w:rsidRDefault="00633C4F" w:rsidP="009B5630">
      <w:pPr>
        <w:spacing w:line="240" w:lineRule="auto"/>
        <w:rPr>
          <w:color w:val="000000"/>
          <w:szCs w:val="22"/>
          <w:lang w:val="hr-HR"/>
        </w:rPr>
      </w:pPr>
    </w:p>
    <w:p w14:paraId="63FE74E5" w14:textId="77777777" w:rsidR="00633C4F" w:rsidRPr="00510442" w:rsidRDefault="00633C4F" w:rsidP="009B5630">
      <w:pPr>
        <w:spacing w:line="240" w:lineRule="auto"/>
        <w:rPr>
          <w:color w:val="000000"/>
          <w:szCs w:val="22"/>
          <w:lang w:val="hr-HR"/>
        </w:rPr>
      </w:pPr>
    </w:p>
    <w:p w14:paraId="33D76356" w14:textId="77777777" w:rsidR="00633C4F" w:rsidRPr="00510442" w:rsidRDefault="00633C4F" w:rsidP="009B5630">
      <w:pPr>
        <w:spacing w:line="240" w:lineRule="auto"/>
        <w:rPr>
          <w:color w:val="000000"/>
          <w:szCs w:val="22"/>
          <w:lang w:val="hr-HR"/>
        </w:rPr>
      </w:pPr>
    </w:p>
    <w:p w14:paraId="690AB487" w14:textId="77777777" w:rsidR="00633C4F" w:rsidRPr="00510442" w:rsidRDefault="00633C4F" w:rsidP="009B5630">
      <w:pPr>
        <w:spacing w:line="240" w:lineRule="auto"/>
        <w:rPr>
          <w:color w:val="000000"/>
          <w:szCs w:val="22"/>
          <w:lang w:val="hr-HR"/>
        </w:rPr>
      </w:pPr>
    </w:p>
    <w:p w14:paraId="5ABC9A86" w14:textId="77777777" w:rsidR="00633C4F" w:rsidRPr="00510442" w:rsidRDefault="002B368E" w:rsidP="009B5630">
      <w:pPr>
        <w:spacing w:line="240" w:lineRule="auto"/>
        <w:jc w:val="center"/>
        <w:rPr>
          <w:b/>
          <w:color w:val="000000"/>
          <w:szCs w:val="22"/>
          <w:lang w:val="hr-HR"/>
        </w:rPr>
      </w:pPr>
      <w:r w:rsidRPr="00510442">
        <w:rPr>
          <w:b/>
          <w:szCs w:val="22"/>
          <w:lang w:val="hr-HR"/>
        </w:rPr>
        <w:t xml:space="preserve">PRILOG </w:t>
      </w:r>
      <w:r w:rsidR="00497841" w:rsidRPr="00510442">
        <w:rPr>
          <w:b/>
          <w:szCs w:val="22"/>
          <w:lang w:val="hr-HR"/>
        </w:rPr>
        <w:t>II</w:t>
      </w:r>
      <w:r w:rsidRPr="00510442">
        <w:rPr>
          <w:b/>
          <w:szCs w:val="22"/>
          <w:lang w:val="hr-HR"/>
        </w:rPr>
        <w:t>.</w:t>
      </w:r>
    </w:p>
    <w:p w14:paraId="1080EDB6" w14:textId="77777777" w:rsidR="00633C4F" w:rsidRPr="00510442" w:rsidRDefault="00633C4F" w:rsidP="009B5630">
      <w:pPr>
        <w:tabs>
          <w:tab w:val="clear" w:pos="567"/>
        </w:tabs>
        <w:spacing w:line="240" w:lineRule="auto"/>
        <w:rPr>
          <w:color w:val="000000"/>
          <w:szCs w:val="22"/>
          <w:lang w:val="hr-HR"/>
        </w:rPr>
      </w:pPr>
    </w:p>
    <w:p w14:paraId="3D2C093A" w14:textId="77777777" w:rsidR="00633C4F" w:rsidRPr="00510442" w:rsidRDefault="00633C4F" w:rsidP="009B5630">
      <w:pPr>
        <w:tabs>
          <w:tab w:val="clear" w:pos="567"/>
        </w:tabs>
        <w:suppressAutoHyphens/>
        <w:spacing w:line="240" w:lineRule="auto"/>
        <w:ind w:left="1701" w:right="1410" w:hanging="567"/>
        <w:rPr>
          <w:b/>
          <w:color w:val="000000"/>
          <w:szCs w:val="22"/>
          <w:lang w:val="hr-HR"/>
        </w:rPr>
      </w:pPr>
      <w:r w:rsidRPr="00510442">
        <w:rPr>
          <w:b/>
          <w:color w:val="000000"/>
          <w:szCs w:val="22"/>
          <w:lang w:val="hr-HR"/>
        </w:rPr>
        <w:t>A.</w:t>
      </w:r>
      <w:r w:rsidRPr="00510442">
        <w:rPr>
          <w:b/>
          <w:color w:val="000000"/>
          <w:szCs w:val="22"/>
          <w:lang w:val="hr-HR"/>
        </w:rPr>
        <w:tab/>
      </w:r>
      <w:r w:rsidR="00497841" w:rsidRPr="00510442">
        <w:rPr>
          <w:b/>
          <w:szCs w:val="22"/>
          <w:lang w:val="hr-HR"/>
        </w:rPr>
        <w:t>PROIZVOĐAČ ODGOVORAN ZA PUŠTANJE SERIJE LIJEKA U PROMET</w:t>
      </w:r>
    </w:p>
    <w:p w14:paraId="5D6AD30E" w14:textId="77777777" w:rsidR="00633C4F" w:rsidRPr="00510442" w:rsidRDefault="00633C4F" w:rsidP="009B5630">
      <w:pPr>
        <w:tabs>
          <w:tab w:val="clear" w:pos="567"/>
        </w:tabs>
        <w:spacing w:line="240" w:lineRule="auto"/>
        <w:rPr>
          <w:color w:val="000000"/>
          <w:szCs w:val="22"/>
          <w:lang w:val="hr-HR"/>
        </w:rPr>
      </w:pPr>
    </w:p>
    <w:p w14:paraId="662FA9E2" w14:textId="77777777" w:rsidR="00633C4F" w:rsidRPr="00510442" w:rsidRDefault="00633C4F" w:rsidP="009B5630">
      <w:pPr>
        <w:tabs>
          <w:tab w:val="clear" w:pos="567"/>
        </w:tabs>
        <w:suppressAutoHyphens/>
        <w:spacing w:line="240" w:lineRule="auto"/>
        <w:ind w:left="1701" w:right="1410" w:hanging="567"/>
        <w:rPr>
          <w:b/>
          <w:color w:val="000000"/>
          <w:szCs w:val="22"/>
          <w:lang w:val="hr-HR"/>
        </w:rPr>
      </w:pPr>
      <w:r w:rsidRPr="00510442">
        <w:rPr>
          <w:b/>
          <w:color w:val="000000"/>
          <w:szCs w:val="22"/>
          <w:lang w:val="hr-HR"/>
        </w:rPr>
        <w:t>B.</w:t>
      </w:r>
      <w:r w:rsidRPr="00510442">
        <w:rPr>
          <w:b/>
          <w:color w:val="000000"/>
          <w:szCs w:val="22"/>
          <w:lang w:val="hr-HR"/>
        </w:rPr>
        <w:tab/>
      </w:r>
      <w:r w:rsidR="00497841" w:rsidRPr="00510442">
        <w:rPr>
          <w:b/>
          <w:szCs w:val="22"/>
          <w:lang w:val="hr-HR"/>
        </w:rPr>
        <w:t>UVJETI ILI OGRANIČENJA VEZANI UZ OPSKRBU I PRIMJENU</w:t>
      </w:r>
    </w:p>
    <w:p w14:paraId="4D952F39" w14:textId="77777777" w:rsidR="00625777" w:rsidRPr="00510442" w:rsidRDefault="00625777" w:rsidP="009B5630">
      <w:pPr>
        <w:tabs>
          <w:tab w:val="clear" w:pos="567"/>
        </w:tabs>
        <w:spacing w:line="240" w:lineRule="auto"/>
        <w:rPr>
          <w:color w:val="000000"/>
          <w:szCs w:val="22"/>
          <w:lang w:val="hr-HR"/>
        </w:rPr>
      </w:pPr>
    </w:p>
    <w:p w14:paraId="6F417BAA" w14:textId="77777777" w:rsidR="00625777" w:rsidRPr="00510442" w:rsidRDefault="00625777" w:rsidP="009B5630">
      <w:pPr>
        <w:tabs>
          <w:tab w:val="clear" w:pos="567"/>
        </w:tabs>
        <w:suppressAutoHyphens/>
        <w:spacing w:line="240" w:lineRule="auto"/>
        <w:ind w:left="1701" w:right="1410" w:hanging="567"/>
        <w:rPr>
          <w:b/>
          <w:szCs w:val="22"/>
          <w:lang w:val="hr-HR"/>
        </w:rPr>
      </w:pPr>
      <w:r w:rsidRPr="00510442">
        <w:rPr>
          <w:b/>
          <w:color w:val="000000"/>
          <w:szCs w:val="22"/>
          <w:lang w:val="hr-HR"/>
        </w:rPr>
        <w:t>C.</w:t>
      </w:r>
      <w:r w:rsidRPr="00510442">
        <w:rPr>
          <w:b/>
          <w:color w:val="000000"/>
          <w:szCs w:val="22"/>
          <w:lang w:val="hr-HR"/>
        </w:rPr>
        <w:tab/>
      </w:r>
      <w:r w:rsidR="00497841" w:rsidRPr="00510442">
        <w:rPr>
          <w:b/>
          <w:szCs w:val="22"/>
          <w:lang w:val="hr-HR"/>
        </w:rPr>
        <w:t xml:space="preserve">OSTALI UVJETI I ZAHTJEVI </w:t>
      </w:r>
      <w:r w:rsidR="00B249C4" w:rsidRPr="00510442">
        <w:rPr>
          <w:b/>
          <w:szCs w:val="22"/>
          <w:lang w:val="hr-HR"/>
        </w:rPr>
        <w:t xml:space="preserve">ODOBRENJA </w:t>
      </w:r>
      <w:r w:rsidR="00497841" w:rsidRPr="00510442">
        <w:rPr>
          <w:b/>
          <w:szCs w:val="22"/>
          <w:lang w:val="hr-HR"/>
        </w:rPr>
        <w:t>ZA STAVLJANJE LIJEKA U PROMET</w:t>
      </w:r>
    </w:p>
    <w:p w14:paraId="3E32206B" w14:textId="77777777" w:rsidR="00456FBF" w:rsidRPr="00510442" w:rsidRDefault="00456FBF" w:rsidP="00983E9B">
      <w:pPr>
        <w:tabs>
          <w:tab w:val="clear" w:pos="567"/>
        </w:tabs>
        <w:suppressAutoHyphens/>
        <w:spacing w:line="240" w:lineRule="auto"/>
        <w:ind w:right="1410"/>
        <w:rPr>
          <w:szCs w:val="22"/>
          <w:lang w:val="hr-HR"/>
        </w:rPr>
      </w:pPr>
    </w:p>
    <w:p w14:paraId="241285DC" w14:textId="77777777" w:rsidR="00456FBF" w:rsidRPr="00510442" w:rsidRDefault="00456FBF" w:rsidP="00456FBF">
      <w:pPr>
        <w:suppressLineNumbers/>
        <w:tabs>
          <w:tab w:val="clear" w:pos="567"/>
        </w:tabs>
        <w:ind w:left="1701" w:right="1416" w:hanging="567"/>
        <w:rPr>
          <w:b/>
          <w:szCs w:val="22"/>
          <w:lang w:val="hr-HR"/>
        </w:rPr>
      </w:pPr>
      <w:r w:rsidRPr="00510442">
        <w:rPr>
          <w:b/>
          <w:szCs w:val="22"/>
          <w:lang w:val="hr-HR"/>
        </w:rPr>
        <w:t>D.</w:t>
      </w:r>
      <w:r w:rsidRPr="00510442">
        <w:rPr>
          <w:b/>
          <w:szCs w:val="22"/>
          <w:lang w:val="hr-HR"/>
        </w:rPr>
        <w:tab/>
      </w:r>
      <w:r w:rsidRPr="00510442">
        <w:rPr>
          <w:b/>
          <w:caps/>
          <w:szCs w:val="22"/>
          <w:lang w:val="hr-HR"/>
        </w:rPr>
        <w:t>UVJETI ILI OGRANIČENJA VEZANI UZ SIGURNU I UČINKOVITU PRIMJENU LIJEKA</w:t>
      </w:r>
    </w:p>
    <w:p w14:paraId="75A60C5B" w14:textId="77777777" w:rsidR="00456FBF" w:rsidRPr="00510442" w:rsidRDefault="00456FBF" w:rsidP="00983E9B">
      <w:pPr>
        <w:tabs>
          <w:tab w:val="clear" w:pos="567"/>
        </w:tabs>
        <w:suppressAutoHyphens/>
        <w:spacing w:line="240" w:lineRule="auto"/>
        <w:ind w:right="1410"/>
        <w:rPr>
          <w:color w:val="000000"/>
          <w:szCs w:val="22"/>
          <w:lang w:val="hr-HR"/>
        </w:rPr>
      </w:pPr>
    </w:p>
    <w:p w14:paraId="7E34EB2D" w14:textId="77777777" w:rsidR="00356F51" w:rsidRPr="00510442" w:rsidRDefault="00356F51" w:rsidP="009B5630">
      <w:pPr>
        <w:tabs>
          <w:tab w:val="clear" w:pos="567"/>
        </w:tabs>
        <w:spacing w:line="240" w:lineRule="auto"/>
        <w:rPr>
          <w:color w:val="000000"/>
          <w:szCs w:val="22"/>
          <w:lang w:val="hr-HR"/>
        </w:rPr>
      </w:pPr>
    </w:p>
    <w:p w14:paraId="4F2F21BF" w14:textId="77777777" w:rsidR="00633C4F" w:rsidRPr="00510442" w:rsidRDefault="00633C4F" w:rsidP="009B5630">
      <w:pPr>
        <w:tabs>
          <w:tab w:val="left" w:pos="7513"/>
        </w:tabs>
        <w:spacing w:line="240" w:lineRule="auto"/>
        <w:ind w:left="567" w:hanging="567"/>
        <w:rPr>
          <w:color w:val="000000"/>
          <w:szCs w:val="22"/>
          <w:lang w:val="hr-HR"/>
        </w:rPr>
      </w:pPr>
      <w:r w:rsidRPr="00510442">
        <w:rPr>
          <w:b/>
          <w:color w:val="000000"/>
          <w:szCs w:val="22"/>
          <w:lang w:val="hr-HR"/>
        </w:rPr>
        <w:br w:type="page"/>
      </w:r>
      <w:r w:rsidRPr="00510442">
        <w:rPr>
          <w:b/>
          <w:color w:val="000000"/>
          <w:szCs w:val="22"/>
          <w:lang w:val="hr-HR"/>
        </w:rPr>
        <w:lastRenderedPageBreak/>
        <w:t>A.</w:t>
      </w:r>
      <w:r w:rsidRPr="00510442">
        <w:rPr>
          <w:b/>
          <w:color w:val="000000"/>
          <w:szCs w:val="22"/>
          <w:lang w:val="hr-HR"/>
        </w:rPr>
        <w:tab/>
      </w:r>
      <w:r w:rsidR="00292862" w:rsidRPr="00510442">
        <w:rPr>
          <w:b/>
          <w:szCs w:val="22"/>
          <w:lang w:val="hr-HR"/>
        </w:rPr>
        <w:t>PROIZVOĐAČ ODGOVORAN ZA PUŠTANJE SERIJE LIJEKA U PROMET</w:t>
      </w:r>
    </w:p>
    <w:p w14:paraId="5E2E74BA" w14:textId="77777777" w:rsidR="00633C4F" w:rsidRPr="00510442" w:rsidRDefault="00633C4F" w:rsidP="009B5630">
      <w:pPr>
        <w:tabs>
          <w:tab w:val="left" w:pos="7513"/>
        </w:tabs>
        <w:spacing w:line="240" w:lineRule="auto"/>
        <w:rPr>
          <w:color w:val="000000"/>
          <w:szCs w:val="22"/>
          <w:lang w:val="hr-HR"/>
        </w:rPr>
      </w:pPr>
    </w:p>
    <w:p w14:paraId="3740E354" w14:textId="77777777" w:rsidR="00633C4F" w:rsidRPr="00510442" w:rsidRDefault="00292862" w:rsidP="009B5630">
      <w:pPr>
        <w:tabs>
          <w:tab w:val="left" w:pos="7513"/>
        </w:tabs>
        <w:spacing w:line="240" w:lineRule="auto"/>
        <w:rPr>
          <w:color w:val="000000"/>
          <w:szCs w:val="22"/>
          <w:u w:val="single"/>
          <w:lang w:val="hr-HR"/>
        </w:rPr>
      </w:pPr>
      <w:r w:rsidRPr="00510442">
        <w:rPr>
          <w:szCs w:val="22"/>
          <w:u w:val="single"/>
          <w:lang w:val="hr-HR"/>
        </w:rPr>
        <w:t>Naziv i adresa proizvođača odgovornog za puštanje serije lijeka u promet</w:t>
      </w:r>
    </w:p>
    <w:p w14:paraId="4F5DEC99" w14:textId="77777777" w:rsidR="00633C4F" w:rsidRPr="00510442" w:rsidRDefault="00633C4F" w:rsidP="009B5630">
      <w:pPr>
        <w:tabs>
          <w:tab w:val="left" w:pos="7513"/>
        </w:tabs>
        <w:spacing w:line="240" w:lineRule="auto"/>
        <w:rPr>
          <w:color w:val="000000"/>
          <w:szCs w:val="22"/>
          <w:lang w:val="hr-HR"/>
        </w:rPr>
      </w:pPr>
    </w:p>
    <w:p w14:paraId="614A96AD" w14:textId="77777777" w:rsidR="00943760" w:rsidRPr="00A7084C" w:rsidRDefault="00943760" w:rsidP="00943760">
      <w:pPr>
        <w:widowControl w:val="0"/>
        <w:tabs>
          <w:tab w:val="left" w:pos="7513"/>
        </w:tabs>
        <w:spacing w:line="240" w:lineRule="auto"/>
        <w:rPr>
          <w:szCs w:val="22"/>
          <w:lang w:val="fr-CH"/>
        </w:rPr>
      </w:pPr>
      <w:r w:rsidRPr="00A7084C">
        <w:rPr>
          <w:szCs w:val="22"/>
          <w:lang w:val="fr-CH"/>
        </w:rPr>
        <w:t>Lek d.d, PE PROIZVODNJA LENDAVA</w:t>
      </w:r>
    </w:p>
    <w:p w14:paraId="058356AC" w14:textId="77777777" w:rsidR="00943760" w:rsidRPr="00D1632D" w:rsidRDefault="00943760" w:rsidP="00943760">
      <w:pPr>
        <w:widowControl w:val="0"/>
        <w:tabs>
          <w:tab w:val="left" w:pos="7513"/>
        </w:tabs>
        <w:spacing w:line="240" w:lineRule="auto"/>
        <w:rPr>
          <w:szCs w:val="22"/>
          <w:lang w:val="fr-CH"/>
        </w:rPr>
      </w:pPr>
      <w:r w:rsidRPr="00D1632D">
        <w:rPr>
          <w:szCs w:val="22"/>
          <w:lang w:val="fr-CH"/>
        </w:rPr>
        <w:t>Trimlini 2D</w:t>
      </w:r>
    </w:p>
    <w:p w14:paraId="1AA0C693" w14:textId="77777777" w:rsidR="00943760" w:rsidRPr="00D1632D" w:rsidRDefault="00943760" w:rsidP="00943760">
      <w:pPr>
        <w:widowControl w:val="0"/>
        <w:tabs>
          <w:tab w:val="left" w:pos="7513"/>
        </w:tabs>
        <w:spacing w:line="240" w:lineRule="auto"/>
        <w:rPr>
          <w:szCs w:val="22"/>
          <w:lang w:val="fr-CH"/>
        </w:rPr>
      </w:pPr>
      <w:r w:rsidRPr="00D1632D">
        <w:rPr>
          <w:szCs w:val="22"/>
          <w:lang w:val="fr-CH"/>
        </w:rPr>
        <w:t>Lendava, 9220</w:t>
      </w:r>
    </w:p>
    <w:p w14:paraId="24EEB0D3" w14:textId="77777777" w:rsidR="00943760" w:rsidRPr="00D1632D" w:rsidRDefault="00943760" w:rsidP="00943760">
      <w:pPr>
        <w:widowControl w:val="0"/>
        <w:tabs>
          <w:tab w:val="left" w:pos="7513"/>
        </w:tabs>
        <w:spacing w:line="240" w:lineRule="auto"/>
        <w:rPr>
          <w:szCs w:val="22"/>
          <w:lang w:val="pt-BR"/>
        </w:rPr>
      </w:pPr>
      <w:r w:rsidRPr="00A7084C">
        <w:rPr>
          <w:szCs w:val="22"/>
          <w:lang w:val="fr-CH"/>
        </w:rPr>
        <w:t>Slovenija</w:t>
      </w:r>
    </w:p>
    <w:p w14:paraId="740243B3" w14:textId="77777777" w:rsidR="00943760" w:rsidRPr="00D1632D" w:rsidRDefault="00943760" w:rsidP="00943760">
      <w:pPr>
        <w:widowControl w:val="0"/>
        <w:tabs>
          <w:tab w:val="left" w:pos="7513"/>
        </w:tabs>
        <w:spacing w:line="240" w:lineRule="auto"/>
        <w:rPr>
          <w:szCs w:val="22"/>
          <w:lang w:val="pt-BR"/>
        </w:rPr>
      </w:pPr>
    </w:p>
    <w:p w14:paraId="15EC1AF2" w14:textId="77777777" w:rsidR="00633C4F" w:rsidRPr="00510442" w:rsidRDefault="00633C4F" w:rsidP="009B5630">
      <w:pPr>
        <w:tabs>
          <w:tab w:val="left" w:pos="7513"/>
        </w:tabs>
        <w:spacing w:line="240" w:lineRule="auto"/>
        <w:rPr>
          <w:color w:val="000000"/>
          <w:szCs w:val="22"/>
          <w:lang w:val="hr-HR"/>
        </w:rPr>
      </w:pPr>
      <w:r w:rsidRPr="00510442">
        <w:rPr>
          <w:color w:val="000000"/>
          <w:szCs w:val="22"/>
          <w:lang w:val="hr-HR"/>
        </w:rPr>
        <w:t>Novartis Pharma GmbH</w:t>
      </w:r>
    </w:p>
    <w:p w14:paraId="1DD28591" w14:textId="77777777" w:rsidR="00633C4F" w:rsidRPr="00510442" w:rsidRDefault="00633C4F" w:rsidP="009B5630">
      <w:pPr>
        <w:tabs>
          <w:tab w:val="left" w:pos="7513"/>
        </w:tabs>
        <w:spacing w:line="240" w:lineRule="auto"/>
        <w:rPr>
          <w:color w:val="000000"/>
          <w:szCs w:val="22"/>
          <w:lang w:val="hr-HR"/>
        </w:rPr>
      </w:pPr>
      <w:r w:rsidRPr="00510442">
        <w:rPr>
          <w:color w:val="000000"/>
          <w:szCs w:val="22"/>
          <w:lang w:val="hr-HR"/>
        </w:rPr>
        <w:t>Roonstra</w:t>
      </w:r>
      <w:r w:rsidR="00681006" w:rsidRPr="00510442">
        <w:rPr>
          <w:snapToGrid w:val="0"/>
          <w:color w:val="000000"/>
          <w:szCs w:val="22"/>
          <w:lang w:val="hr-HR"/>
        </w:rPr>
        <w:t>ss</w:t>
      </w:r>
      <w:r w:rsidRPr="00510442">
        <w:rPr>
          <w:color w:val="000000"/>
          <w:szCs w:val="22"/>
          <w:lang w:val="hr-HR"/>
        </w:rPr>
        <w:t>e 25</w:t>
      </w:r>
    </w:p>
    <w:p w14:paraId="305AC260" w14:textId="77777777" w:rsidR="00633C4F" w:rsidRPr="00510442" w:rsidRDefault="00633C4F" w:rsidP="009B5630">
      <w:pPr>
        <w:tabs>
          <w:tab w:val="left" w:pos="7513"/>
        </w:tabs>
        <w:spacing w:line="240" w:lineRule="auto"/>
        <w:rPr>
          <w:color w:val="000000"/>
          <w:szCs w:val="22"/>
          <w:lang w:val="hr-HR"/>
        </w:rPr>
      </w:pPr>
      <w:r w:rsidRPr="00510442">
        <w:rPr>
          <w:color w:val="000000"/>
          <w:szCs w:val="22"/>
          <w:lang w:val="hr-HR"/>
        </w:rPr>
        <w:t xml:space="preserve">D-90429 </w:t>
      </w:r>
      <w:r w:rsidR="00E421E1" w:rsidRPr="00510442">
        <w:rPr>
          <w:szCs w:val="22"/>
          <w:lang w:val="hr-HR"/>
        </w:rPr>
        <w:t>Nürnberg</w:t>
      </w:r>
    </w:p>
    <w:p w14:paraId="24DFA748" w14:textId="77777777" w:rsidR="00633C4F" w:rsidRPr="00510442" w:rsidRDefault="009E1FA1" w:rsidP="009B5630">
      <w:pPr>
        <w:tabs>
          <w:tab w:val="left" w:pos="7513"/>
        </w:tabs>
        <w:spacing w:line="240" w:lineRule="auto"/>
        <w:rPr>
          <w:color w:val="000000"/>
          <w:szCs w:val="22"/>
          <w:lang w:val="hr-HR"/>
        </w:rPr>
      </w:pPr>
      <w:r w:rsidRPr="00510442">
        <w:rPr>
          <w:color w:val="000000"/>
          <w:szCs w:val="22"/>
          <w:lang w:val="hr-HR"/>
        </w:rPr>
        <w:t>Njemačka</w:t>
      </w:r>
    </w:p>
    <w:p w14:paraId="332136CB" w14:textId="481831CD" w:rsidR="00633C4F" w:rsidRDefault="00633C4F" w:rsidP="009B5630">
      <w:pPr>
        <w:tabs>
          <w:tab w:val="left" w:pos="7513"/>
        </w:tabs>
        <w:spacing w:line="240" w:lineRule="auto"/>
        <w:rPr>
          <w:color w:val="000000"/>
          <w:szCs w:val="22"/>
          <w:lang w:val="hr-HR"/>
        </w:rPr>
      </w:pPr>
    </w:p>
    <w:p w14:paraId="2F9F9652" w14:textId="77777777" w:rsidR="00DD3502" w:rsidRPr="00DD3502" w:rsidRDefault="00DD3502" w:rsidP="00DD3502">
      <w:pPr>
        <w:tabs>
          <w:tab w:val="left" w:pos="7513"/>
        </w:tabs>
        <w:spacing w:line="240" w:lineRule="auto"/>
        <w:rPr>
          <w:color w:val="000000"/>
          <w:szCs w:val="22"/>
          <w:lang w:val="hr-HR"/>
        </w:rPr>
      </w:pPr>
      <w:r w:rsidRPr="00DD3502">
        <w:rPr>
          <w:color w:val="000000"/>
          <w:szCs w:val="22"/>
          <w:lang w:val="hr-HR"/>
        </w:rPr>
        <w:t>Sandoz S.R.L.</w:t>
      </w:r>
    </w:p>
    <w:p w14:paraId="18569D36" w14:textId="77777777" w:rsidR="00DD3502" w:rsidRPr="00DD3502" w:rsidRDefault="00DD3502" w:rsidP="00DD3502">
      <w:pPr>
        <w:tabs>
          <w:tab w:val="left" w:pos="7513"/>
        </w:tabs>
        <w:spacing w:line="240" w:lineRule="auto"/>
        <w:rPr>
          <w:color w:val="000000"/>
          <w:szCs w:val="22"/>
          <w:lang w:val="hr-HR"/>
        </w:rPr>
      </w:pPr>
      <w:r w:rsidRPr="00DD3502">
        <w:rPr>
          <w:color w:val="000000"/>
          <w:szCs w:val="22"/>
          <w:lang w:val="hr-HR"/>
        </w:rPr>
        <w:t>Str. Livezeni nr. 7A</w:t>
      </w:r>
    </w:p>
    <w:p w14:paraId="4DD9D6CA" w14:textId="77777777" w:rsidR="00DD3502" w:rsidRPr="00DD3502" w:rsidRDefault="00DD3502" w:rsidP="00DD3502">
      <w:pPr>
        <w:tabs>
          <w:tab w:val="left" w:pos="7513"/>
        </w:tabs>
        <w:spacing w:line="240" w:lineRule="auto"/>
        <w:rPr>
          <w:color w:val="000000"/>
          <w:szCs w:val="22"/>
          <w:lang w:val="hr-HR"/>
        </w:rPr>
      </w:pPr>
      <w:r w:rsidRPr="00DD3502">
        <w:rPr>
          <w:color w:val="000000"/>
          <w:szCs w:val="22"/>
          <w:lang w:val="hr-HR"/>
        </w:rPr>
        <w:t>540472, Targu Mures</w:t>
      </w:r>
    </w:p>
    <w:p w14:paraId="7E1B6A06" w14:textId="707EF38B" w:rsidR="00DD3502" w:rsidRDefault="00DD3502" w:rsidP="00DD3502">
      <w:pPr>
        <w:tabs>
          <w:tab w:val="left" w:pos="7513"/>
        </w:tabs>
        <w:spacing w:line="240" w:lineRule="auto"/>
        <w:rPr>
          <w:color w:val="000000"/>
          <w:szCs w:val="22"/>
          <w:lang w:val="hr-HR"/>
        </w:rPr>
      </w:pPr>
      <w:r w:rsidRPr="00DD3502">
        <w:rPr>
          <w:color w:val="000000"/>
          <w:szCs w:val="22"/>
          <w:lang w:val="hr-HR"/>
        </w:rPr>
        <w:t>Rumunjska</w:t>
      </w:r>
    </w:p>
    <w:p w14:paraId="5151FC9A" w14:textId="77777777" w:rsidR="00302077" w:rsidRDefault="00302077" w:rsidP="00DD3502">
      <w:pPr>
        <w:tabs>
          <w:tab w:val="left" w:pos="7513"/>
        </w:tabs>
        <w:spacing w:line="240" w:lineRule="auto"/>
        <w:rPr>
          <w:color w:val="000000"/>
          <w:szCs w:val="22"/>
          <w:lang w:val="hr-HR"/>
        </w:rPr>
      </w:pPr>
    </w:p>
    <w:p w14:paraId="1C3FE815" w14:textId="77777777" w:rsidR="00943760" w:rsidRDefault="00943760" w:rsidP="009B5630">
      <w:pPr>
        <w:tabs>
          <w:tab w:val="left" w:pos="7513"/>
        </w:tabs>
        <w:spacing w:line="240" w:lineRule="auto"/>
        <w:rPr>
          <w:color w:val="000000"/>
          <w:szCs w:val="22"/>
          <w:lang w:val="hr-HR"/>
        </w:rPr>
      </w:pPr>
      <w:r w:rsidRPr="00A7084C">
        <w:rPr>
          <w:lang w:val="hr-HR"/>
        </w:rPr>
        <w:t>Na tiskanoj uputi o lijeku mora se navesti naziv i adresa proizvođača odgovornog za puštanje navedene serije u promet.</w:t>
      </w:r>
    </w:p>
    <w:p w14:paraId="5AB73B67" w14:textId="77777777" w:rsidR="00943760" w:rsidRPr="00510442" w:rsidRDefault="00943760" w:rsidP="009B5630">
      <w:pPr>
        <w:tabs>
          <w:tab w:val="left" w:pos="7513"/>
        </w:tabs>
        <w:spacing w:line="240" w:lineRule="auto"/>
        <w:rPr>
          <w:color w:val="000000"/>
          <w:szCs w:val="22"/>
          <w:lang w:val="hr-HR"/>
        </w:rPr>
      </w:pPr>
    </w:p>
    <w:p w14:paraId="426ECD16" w14:textId="77777777" w:rsidR="00633C4F" w:rsidRPr="00510442" w:rsidRDefault="00633C4F" w:rsidP="009B5630">
      <w:pPr>
        <w:tabs>
          <w:tab w:val="left" w:pos="7513"/>
        </w:tabs>
        <w:spacing w:line="240" w:lineRule="auto"/>
        <w:rPr>
          <w:color w:val="000000"/>
          <w:szCs w:val="22"/>
          <w:lang w:val="hr-HR"/>
        </w:rPr>
      </w:pPr>
    </w:p>
    <w:p w14:paraId="2FBEA9B2" w14:textId="77777777" w:rsidR="00633C4F" w:rsidRPr="00510442" w:rsidRDefault="00633C4F" w:rsidP="006E43C6">
      <w:pPr>
        <w:keepNext/>
        <w:numPr>
          <w:ilvl w:val="12"/>
          <w:numId w:val="0"/>
        </w:numPr>
        <w:spacing w:line="240" w:lineRule="auto"/>
        <w:rPr>
          <w:color w:val="000000"/>
          <w:szCs w:val="22"/>
          <w:lang w:val="hr-HR"/>
        </w:rPr>
      </w:pPr>
      <w:r w:rsidRPr="00510442">
        <w:rPr>
          <w:b/>
          <w:color w:val="000000"/>
          <w:szCs w:val="22"/>
          <w:lang w:val="hr-HR"/>
        </w:rPr>
        <w:t>B.</w:t>
      </w:r>
      <w:r w:rsidRPr="00510442">
        <w:rPr>
          <w:b/>
          <w:color w:val="000000"/>
          <w:szCs w:val="22"/>
          <w:lang w:val="hr-HR"/>
        </w:rPr>
        <w:tab/>
      </w:r>
      <w:r w:rsidR="00292862" w:rsidRPr="00510442">
        <w:rPr>
          <w:b/>
          <w:szCs w:val="22"/>
          <w:lang w:val="hr-HR"/>
        </w:rPr>
        <w:t>UVJETI ILI OGRANIČENJA VEZANI UZ OPSKRBU I PRIMJENU</w:t>
      </w:r>
    </w:p>
    <w:p w14:paraId="4080F04C" w14:textId="77777777" w:rsidR="001730DC" w:rsidRPr="00510442" w:rsidRDefault="001730DC" w:rsidP="006E43C6">
      <w:pPr>
        <w:keepNext/>
        <w:numPr>
          <w:ilvl w:val="12"/>
          <w:numId w:val="0"/>
        </w:numPr>
        <w:tabs>
          <w:tab w:val="left" w:pos="7513"/>
        </w:tabs>
        <w:spacing w:line="240" w:lineRule="auto"/>
        <w:rPr>
          <w:color w:val="000000"/>
          <w:szCs w:val="22"/>
          <w:lang w:val="hr-HR"/>
        </w:rPr>
      </w:pPr>
    </w:p>
    <w:p w14:paraId="2D8F7D42" w14:textId="77777777" w:rsidR="009B57ED" w:rsidRPr="00510442" w:rsidRDefault="00292862" w:rsidP="009B5630">
      <w:pPr>
        <w:numPr>
          <w:ilvl w:val="12"/>
          <w:numId w:val="0"/>
        </w:numPr>
        <w:tabs>
          <w:tab w:val="left" w:pos="7513"/>
        </w:tabs>
        <w:spacing w:line="240" w:lineRule="auto"/>
        <w:rPr>
          <w:color w:val="000000"/>
          <w:szCs w:val="22"/>
          <w:lang w:val="hr-HR"/>
        </w:rPr>
      </w:pPr>
      <w:r w:rsidRPr="00510442">
        <w:rPr>
          <w:szCs w:val="22"/>
          <w:lang w:val="hr-HR"/>
        </w:rPr>
        <w:t xml:space="preserve">Lijek se izdaje na ograničeni recept (vidjeti </w:t>
      </w:r>
      <w:r w:rsidR="002B368E" w:rsidRPr="00510442">
        <w:rPr>
          <w:szCs w:val="22"/>
          <w:lang w:val="hr-HR"/>
        </w:rPr>
        <w:t xml:space="preserve">Prilog </w:t>
      </w:r>
      <w:r w:rsidRPr="00510442">
        <w:rPr>
          <w:szCs w:val="22"/>
          <w:lang w:val="hr-HR"/>
        </w:rPr>
        <w:t>I</w:t>
      </w:r>
      <w:r w:rsidR="002B368E" w:rsidRPr="00510442">
        <w:rPr>
          <w:szCs w:val="22"/>
          <w:lang w:val="hr-HR"/>
        </w:rPr>
        <w:t>.</w:t>
      </w:r>
      <w:r w:rsidRPr="00510442">
        <w:rPr>
          <w:szCs w:val="22"/>
          <w:lang w:val="hr-HR"/>
        </w:rPr>
        <w:t>: Sažetak opisa svojstava lijeka, dio 4.2).</w:t>
      </w:r>
    </w:p>
    <w:p w14:paraId="74C52B29" w14:textId="77777777" w:rsidR="00625777" w:rsidRPr="00510442" w:rsidRDefault="00625777" w:rsidP="009B5630">
      <w:pPr>
        <w:numPr>
          <w:ilvl w:val="12"/>
          <w:numId w:val="0"/>
        </w:numPr>
        <w:tabs>
          <w:tab w:val="left" w:pos="7513"/>
        </w:tabs>
        <w:spacing w:line="240" w:lineRule="auto"/>
        <w:rPr>
          <w:color w:val="000000"/>
          <w:szCs w:val="22"/>
          <w:lang w:val="hr-HR"/>
        </w:rPr>
      </w:pPr>
    </w:p>
    <w:p w14:paraId="4B15AA19" w14:textId="77777777" w:rsidR="001D623C" w:rsidRPr="00510442" w:rsidRDefault="001D623C" w:rsidP="009B5630">
      <w:pPr>
        <w:numPr>
          <w:ilvl w:val="12"/>
          <w:numId w:val="0"/>
        </w:numPr>
        <w:tabs>
          <w:tab w:val="left" w:pos="7513"/>
        </w:tabs>
        <w:spacing w:line="240" w:lineRule="auto"/>
        <w:rPr>
          <w:color w:val="000000"/>
          <w:szCs w:val="22"/>
          <w:lang w:val="hr-HR"/>
        </w:rPr>
      </w:pPr>
    </w:p>
    <w:p w14:paraId="192B51A2" w14:textId="77777777" w:rsidR="00625777" w:rsidRPr="00510442" w:rsidRDefault="00625777" w:rsidP="006E43C6">
      <w:pPr>
        <w:keepNext/>
        <w:tabs>
          <w:tab w:val="left" w:pos="-720"/>
        </w:tabs>
        <w:suppressAutoHyphens/>
        <w:spacing w:line="240" w:lineRule="auto"/>
        <w:ind w:left="567" w:right="-1" w:hanging="567"/>
        <w:rPr>
          <w:b/>
          <w:color w:val="000000"/>
          <w:szCs w:val="22"/>
          <w:lang w:val="hr-HR"/>
        </w:rPr>
      </w:pPr>
      <w:r w:rsidRPr="00510442">
        <w:rPr>
          <w:b/>
          <w:color w:val="000000"/>
          <w:szCs w:val="22"/>
          <w:lang w:val="hr-HR"/>
        </w:rPr>
        <w:t>C.</w:t>
      </w:r>
      <w:r w:rsidRPr="00510442">
        <w:rPr>
          <w:b/>
          <w:color w:val="000000"/>
          <w:szCs w:val="22"/>
          <w:lang w:val="hr-HR"/>
        </w:rPr>
        <w:tab/>
      </w:r>
      <w:r w:rsidR="00292862" w:rsidRPr="00510442">
        <w:rPr>
          <w:b/>
          <w:szCs w:val="22"/>
          <w:lang w:val="hr-HR"/>
        </w:rPr>
        <w:t>OSTALI UVJETI I ZAHTJEVI ODOBRENJA ZA STAVLJANJE LIJEKA U PROMET</w:t>
      </w:r>
    </w:p>
    <w:p w14:paraId="2DE77172" w14:textId="77777777" w:rsidR="00356F51" w:rsidRPr="00510442" w:rsidRDefault="00356F51" w:rsidP="006E43C6">
      <w:pPr>
        <w:keepNext/>
        <w:spacing w:line="240" w:lineRule="auto"/>
        <w:rPr>
          <w:color w:val="000000"/>
          <w:szCs w:val="22"/>
          <w:lang w:val="hr-HR"/>
        </w:rPr>
      </w:pPr>
    </w:p>
    <w:p w14:paraId="22F7E1BB" w14:textId="77777777" w:rsidR="00456FBF" w:rsidRPr="00510442" w:rsidRDefault="00456FBF" w:rsidP="006E43C6">
      <w:pPr>
        <w:keepNext/>
        <w:numPr>
          <w:ilvl w:val="0"/>
          <w:numId w:val="33"/>
        </w:numPr>
        <w:suppressLineNumbers/>
        <w:ind w:right="-1" w:hanging="720"/>
        <w:rPr>
          <w:b/>
          <w:szCs w:val="22"/>
          <w:lang w:val="hr-HR"/>
        </w:rPr>
      </w:pPr>
      <w:r w:rsidRPr="00510442">
        <w:rPr>
          <w:b/>
          <w:szCs w:val="22"/>
          <w:lang w:val="hr-HR"/>
        </w:rPr>
        <w:t>Periodička izvješća o neškodljivosti</w:t>
      </w:r>
    </w:p>
    <w:p w14:paraId="1A9B8912" w14:textId="77777777" w:rsidR="00997C9B" w:rsidRPr="00510442" w:rsidRDefault="000F119E" w:rsidP="00422F71">
      <w:pPr>
        <w:tabs>
          <w:tab w:val="clear" w:pos="567"/>
        </w:tabs>
        <w:autoSpaceDE w:val="0"/>
        <w:autoSpaceDN w:val="0"/>
        <w:adjustRightInd w:val="0"/>
        <w:spacing w:line="240" w:lineRule="auto"/>
        <w:rPr>
          <w:color w:val="000000"/>
          <w:szCs w:val="22"/>
          <w:lang w:val="hr-HR"/>
        </w:rPr>
      </w:pPr>
      <w:r w:rsidRPr="00510442">
        <w:rPr>
          <w:lang w:val="hr-HR"/>
        </w:rPr>
        <w:t>Zahtjevi za podnošenje periodičkih izvješća o neškodljivosti za ovaj lijek definirani su u referentnom popisu datuma EU (EURD popis) predviđenom člankom 107.c stavkom 7. Direktive 2001/83/EZ i svim sljedećim ažuriranim verzijama objavljenima na europskom internetskom portalu za lijekove.</w:t>
      </w:r>
    </w:p>
    <w:p w14:paraId="5BE62B9D" w14:textId="77777777" w:rsidR="00997C9B" w:rsidRPr="00510442" w:rsidRDefault="00997C9B" w:rsidP="00422F71">
      <w:pPr>
        <w:tabs>
          <w:tab w:val="clear" w:pos="567"/>
        </w:tabs>
        <w:autoSpaceDE w:val="0"/>
        <w:autoSpaceDN w:val="0"/>
        <w:adjustRightInd w:val="0"/>
        <w:spacing w:line="240" w:lineRule="auto"/>
        <w:rPr>
          <w:color w:val="000000"/>
          <w:szCs w:val="22"/>
          <w:lang w:val="hr-HR"/>
        </w:rPr>
      </w:pPr>
    </w:p>
    <w:p w14:paraId="28240918" w14:textId="77777777" w:rsidR="00F42861" w:rsidRPr="00510442" w:rsidRDefault="00F42861" w:rsidP="00422F71">
      <w:pPr>
        <w:tabs>
          <w:tab w:val="clear" w:pos="567"/>
        </w:tabs>
        <w:autoSpaceDE w:val="0"/>
        <w:autoSpaceDN w:val="0"/>
        <w:adjustRightInd w:val="0"/>
        <w:spacing w:line="240" w:lineRule="auto"/>
        <w:rPr>
          <w:color w:val="000000"/>
          <w:szCs w:val="22"/>
          <w:lang w:val="hr-HR"/>
        </w:rPr>
      </w:pPr>
    </w:p>
    <w:p w14:paraId="097D9625" w14:textId="77777777" w:rsidR="00F42861" w:rsidRPr="00510442" w:rsidRDefault="00F42861" w:rsidP="006E43C6">
      <w:pPr>
        <w:keepNext/>
        <w:tabs>
          <w:tab w:val="clear" w:pos="567"/>
        </w:tabs>
        <w:ind w:left="567" w:right="-1" w:hanging="567"/>
        <w:rPr>
          <w:color w:val="000000"/>
          <w:lang w:val="hr-HR"/>
        </w:rPr>
      </w:pPr>
      <w:r w:rsidRPr="00510442">
        <w:rPr>
          <w:b/>
          <w:color w:val="000000"/>
          <w:szCs w:val="22"/>
          <w:lang w:val="hr-HR"/>
        </w:rPr>
        <w:t>D.</w:t>
      </w:r>
      <w:r w:rsidRPr="00510442">
        <w:rPr>
          <w:b/>
          <w:color w:val="000000"/>
          <w:szCs w:val="22"/>
          <w:lang w:val="hr-HR"/>
        </w:rPr>
        <w:tab/>
      </w:r>
      <w:r w:rsidR="003C0900" w:rsidRPr="00510442">
        <w:rPr>
          <w:b/>
          <w:caps/>
          <w:szCs w:val="22"/>
          <w:lang w:val="hr-HR"/>
        </w:rPr>
        <w:t>UVJETI ILI OGRANIČENJA VEZANI UZ SIGURNU I UČINKOVITU PRIMJENU LIJEKA</w:t>
      </w:r>
    </w:p>
    <w:p w14:paraId="31F5B44D" w14:textId="77777777" w:rsidR="00997C9B" w:rsidRPr="00510442" w:rsidRDefault="00997C9B" w:rsidP="006E43C6">
      <w:pPr>
        <w:keepNext/>
        <w:tabs>
          <w:tab w:val="clear" w:pos="567"/>
        </w:tabs>
        <w:autoSpaceDE w:val="0"/>
        <w:autoSpaceDN w:val="0"/>
        <w:adjustRightInd w:val="0"/>
        <w:spacing w:line="240" w:lineRule="auto"/>
        <w:rPr>
          <w:color w:val="000000"/>
          <w:szCs w:val="22"/>
          <w:lang w:val="hr-HR"/>
        </w:rPr>
      </w:pPr>
    </w:p>
    <w:p w14:paraId="3A12C3EB" w14:textId="77777777" w:rsidR="003C0900" w:rsidRPr="00510442" w:rsidRDefault="003C0900" w:rsidP="006E43C6">
      <w:pPr>
        <w:keepNext/>
        <w:numPr>
          <w:ilvl w:val="0"/>
          <w:numId w:val="33"/>
        </w:numPr>
        <w:ind w:right="-1" w:hanging="720"/>
        <w:rPr>
          <w:b/>
          <w:szCs w:val="22"/>
          <w:lang w:val="hr-HR"/>
        </w:rPr>
      </w:pPr>
      <w:r w:rsidRPr="00510442">
        <w:rPr>
          <w:b/>
          <w:iCs/>
          <w:szCs w:val="22"/>
          <w:lang w:val="hr-HR"/>
        </w:rPr>
        <w:t>Plan upravljanja rizikom (RMP)</w:t>
      </w:r>
    </w:p>
    <w:p w14:paraId="7CF2CEF5" w14:textId="77777777" w:rsidR="003C0900" w:rsidRPr="00510442" w:rsidRDefault="00D11E9A" w:rsidP="006E43C6">
      <w:pPr>
        <w:tabs>
          <w:tab w:val="left" w:pos="0"/>
        </w:tabs>
        <w:ind w:right="567"/>
        <w:rPr>
          <w:szCs w:val="22"/>
          <w:lang w:val="hr-HR"/>
        </w:rPr>
      </w:pPr>
      <w:r w:rsidRPr="00510442">
        <w:rPr>
          <w:szCs w:val="22"/>
          <w:lang w:val="hr-HR"/>
        </w:rPr>
        <w:t xml:space="preserve">Nositelj odobrenja obavljat će </w:t>
      </w:r>
      <w:r w:rsidR="000F119E" w:rsidRPr="00510442">
        <w:rPr>
          <w:szCs w:val="22"/>
          <w:lang w:val="hr-HR"/>
        </w:rPr>
        <w:t xml:space="preserve">zadane </w:t>
      </w:r>
      <w:r w:rsidRPr="00510442">
        <w:rPr>
          <w:szCs w:val="22"/>
          <w:lang w:val="hr-HR"/>
        </w:rPr>
        <w:t>farmakovigilancijske aktivnosti i intervencije</w:t>
      </w:r>
      <w:r w:rsidR="00E02C0F" w:rsidRPr="00510442">
        <w:rPr>
          <w:szCs w:val="22"/>
          <w:lang w:val="hr-HR"/>
        </w:rPr>
        <w:t>,</w:t>
      </w:r>
      <w:r w:rsidRPr="00510442">
        <w:rPr>
          <w:szCs w:val="22"/>
          <w:lang w:val="hr-HR"/>
        </w:rPr>
        <w:t xml:space="preserve"> detaljno objašnjene u dogovorenom Planu upravljanja rizikom</w:t>
      </w:r>
      <w:r w:rsidR="000F119E" w:rsidRPr="00510442">
        <w:rPr>
          <w:szCs w:val="22"/>
          <w:lang w:val="hr-HR"/>
        </w:rPr>
        <w:t xml:space="preserve"> (RMP)</w:t>
      </w:r>
      <w:r w:rsidRPr="00510442">
        <w:rPr>
          <w:szCs w:val="22"/>
          <w:lang w:val="hr-HR"/>
        </w:rPr>
        <w:t xml:space="preserve">, koji </w:t>
      </w:r>
      <w:r w:rsidR="000F119E" w:rsidRPr="00510442">
        <w:rPr>
          <w:szCs w:val="22"/>
          <w:lang w:val="hr-HR"/>
        </w:rPr>
        <w:t>se nalazi</w:t>
      </w:r>
      <w:r w:rsidRPr="00510442">
        <w:rPr>
          <w:szCs w:val="22"/>
          <w:lang w:val="hr-HR"/>
        </w:rPr>
        <w:t xml:space="preserve"> u Modulu 1.8.2 Odobrenja za stavljanje lijeka u promet, te svim sljedećim dogovorenim </w:t>
      </w:r>
      <w:r w:rsidR="000F119E" w:rsidRPr="00510442">
        <w:rPr>
          <w:lang w:val="hr-HR"/>
        </w:rPr>
        <w:t>ažuriranim verzijama RMP-a</w:t>
      </w:r>
      <w:r w:rsidRPr="00510442">
        <w:rPr>
          <w:szCs w:val="22"/>
          <w:lang w:val="hr-HR"/>
        </w:rPr>
        <w:t>.</w:t>
      </w:r>
    </w:p>
    <w:p w14:paraId="09FA7CE0" w14:textId="77777777" w:rsidR="003C0900" w:rsidRPr="00510442" w:rsidRDefault="003C0900" w:rsidP="006E43C6">
      <w:pPr>
        <w:ind w:right="-1"/>
        <w:rPr>
          <w:iCs/>
          <w:szCs w:val="22"/>
          <w:lang w:val="hr-HR"/>
        </w:rPr>
      </w:pPr>
    </w:p>
    <w:p w14:paraId="69955831" w14:textId="77777777" w:rsidR="003C0900" w:rsidRPr="00510442" w:rsidRDefault="000F119E" w:rsidP="006E43C6">
      <w:pPr>
        <w:keepNext/>
        <w:ind w:right="-1"/>
        <w:rPr>
          <w:iCs/>
          <w:szCs w:val="22"/>
          <w:lang w:val="hr-HR"/>
        </w:rPr>
      </w:pPr>
      <w:r w:rsidRPr="00510442">
        <w:rPr>
          <w:iCs/>
          <w:szCs w:val="22"/>
          <w:lang w:val="hr-HR"/>
        </w:rPr>
        <w:t xml:space="preserve">Ažurirani </w:t>
      </w:r>
      <w:r w:rsidR="00D11E9A" w:rsidRPr="00510442">
        <w:rPr>
          <w:iCs/>
          <w:szCs w:val="22"/>
          <w:lang w:val="hr-HR"/>
        </w:rPr>
        <w:t>RMP treba dostaviti:</w:t>
      </w:r>
    </w:p>
    <w:p w14:paraId="21654032" w14:textId="77777777" w:rsidR="003C0900" w:rsidRPr="00510442" w:rsidRDefault="00A56F29" w:rsidP="006E43C6">
      <w:pPr>
        <w:keepNext/>
        <w:numPr>
          <w:ilvl w:val="0"/>
          <w:numId w:val="34"/>
        </w:numPr>
        <w:tabs>
          <w:tab w:val="clear" w:pos="720"/>
          <w:tab w:val="num" w:pos="567"/>
        </w:tabs>
        <w:ind w:right="-1" w:hanging="720"/>
        <w:rPr>
          <w:iCs/>
          <w:szCs w:val="22"/>
          <w:lang w:val="hr-HR"/>
        </w:rPr>
      </w:pPr>
      <w:r w:rsidRPr="00510442">
        <w:rPr>
          <w:iCs/>
          <w:szCs w:val="22"/>
          <w:lang w:val="hr-HR"/>
        </w:rPr>
        <w:t>n</w:t>
      </w:r>
      <w:r w:rsidR="00D11E9A" w:rsidRPr="00510442">
        <w:rPr>
          <w:iCs/>
          <w:szCs w:val="22"/>
          <w:lang w:val="hr-HR"/>
        </w:rPr>
        <w:t>a zahtjev Europske agencije za lijekove</w:t>
      </w:r>
      <w:r w:rsidR="003C0900" w:rsidRPr="00510442">
        <w:rPr>
          <w:iCs/>
          <w:szCs w:val="22"/>
          <w:lang w:val="hr-HR"/>
        </w:rPr>
        <w:t>;</w:t>
      </w:r>
    </w:p>
    <w:p w14:paraId="445C8353" w14:textId="77777777" w:rsidR="003C0900" w:rsidRPr="00510442" w:rsidRDefault="00B744FD" w:rsidP="006E43C6">
      <w:pPr>
        <w:numPr>
          <w:ilvl w:val="0"/>
          <w:numId w:val="34"/>
        </w:numPr>
        <w:tabs>
          <w:tab w:val="clear" w:pos="567"/>
          <w:tab w:val="clear" w:pos="720"/>
        </w:tabs>
        <w:ind w:left="567" w:right="-1" w:hanging="567"/>
        <w:rPr>
          <w:iCs/>
          <w:szCs w:val="22"/>
          <w:lang w:val="hr-HR"/>
        </w:rPr>
      </w:pPr>
      <w:r w:rsidRPr="00510442">
        <w:rPr>
          <w:iCs/>
          <w:szCs w:val="22"/>
          <w:lang w:val="hr-HR"/>
        </w:rPr>
        <w:t xml:space="preserve">prilikom </w:t>
      </w:r>
      <w:r w:rsidR="00D11E9A" w:rsidRPr="00510442">
        <w:rPr>
          <w:iCs/>
          <w:szCs w:val="22"/>
          <w:lang w:val="hr-HR"/>
        </w:rPr>
        <w:t>svake izmjene sustava za upravljanje rizi</w:t>
      </w:r>
      <w:r w:rsidR="00A56F29" w:rsidRPr="00510442">
        <w:rPr>
          <w:iCs/>
          <w:szCs w:val="22"/>
          <w:lang w:val="hr-HR"/>
        </w:rPr>
        <w:t>kom</w:t>
      </w:r>
      <w:r w:rsidR="00D11E9A" w:rsidRPr="00510442">
        <w:rPr>
          <w:iCs/>
          <w:szCs w:val="22"/>
          <w:lang w:val="hr-HR"/>
        </w:rPr>
        <w:t xml:space="preserve">, a naročito kada je ta izmjena rezultat primitka novih informacija koje mogu voditi ka značajnim izmjenama omjera korist/rizik, odnosno kada je </w:t>
      </w:r>
      <w:r w:rsidRPr="00510442">
        <w:rPr>
          <w:iCs/>
          <w:szCs w:val="22"/>
          <w:lang w:val="hr-HR"/>
        </w:rPr>
        <w:t>izmjena</w:t>
      </w:r>
      <w:r w:rsidR="00D11E9A" w:rsidRPr="00510442">
        <w:rPr>
          <w:iCs/>
          <w:szCs w:val="22"/>
          <w:lang w:val="hr-HR"/>
        </w:rPr>
        <w:t xml:space="preserve"> rezultat ostvarenja nekog važnog cilja (u smislu farmakovigilancije ili </w:t>
      </w:r>
      <w:r w:rsidRPr="00510442">
        <w:rPr>
          <w:lang w:val="hr-HR"/>
        </w:rPr>
        <w:t xml:space="preserve">minimizacije </w:t>
      </w:r>
      <w:r w:rsidR="00D11E9A" w:rsidRPr="00510442">
        <w:rPr>
          <w:iCs/>
          <w:szCs w:val="22"/>
          <w:lang w:val="hr-HR"/>
        </w:rPr>
        <w:t>rizika).</w:t>
      </w:r>
    </w:p>
    <w:p w14:paraId="2C26D3BB" w14:textId="77777777" w:rsidR="002671C1" w:rsidRPr="00510442" w:rsidRDefault="002671C1" w:rsidP="006E43C6">
      <w:pPr>
        <w:spacing w:line="240" w:lineRule="auto"/>
        <w:ind w:right="567"/>
        <w:rPr>
          <w:color w:val="000000"/>
          <w:szCs w:val="22"/>
          <w:lang w:val="hr-HR"/>
        </w:rPr>
      </w:pPr>
    </w:p>
    <w:p w14:paraId="689578D5" w14:textId="77777777" w:rsidR="002671C1" w:rsidRPr="00510442" w:rsidRDefault="00C10A8F" w:rsidP="006E43C6">
      <w:pPr>
        <w:keepNext/>
        <w:numPr>
          <w:ilvl w:val="0"/>
          <w:numId w:val="33"/>
        </w:numPr>
        <w:tabs>
          <w:tab w:val="clear" w:pos="567"/>
          <w:tab w:val="clear" w:pos="720"/>
        </w:tabs>
        <w:ind w:left="567" w:hanging="567"/>
        <w:rPr>
          <w:b/>
          <w:bCs/>
          <w:lang w:val="hr-HR"/>
        </w:rPr>
      </w:pPr>
      <w:r w:rsidRPr="00510442">
        <w:rPr>
          <w:b/>
          <w:szCs w:val="22"/>
          <w:lang w:val="hr-HR"/>
        </w:rPr>
        <w:lastRenderedPageBreak/>
        <w:t>Obveza</w:t>
      </w:r>
      <w:r w:rsidR="00816CB5" w:rsidRPr="00510442">
        <w:rPr>
          <w:b/>
          <w:szCs w:val="22"/>
          <w:lang w:val="hr-HR"/>
        </w:rPr>
        <w:t xml:space="preserve"> provođenja mjera nakon davanja odobrenja</w:t>
      </w:r>
    </w:p>
    <w:p w14:paraId="494983A8" w14:textId="77777777" w:rsidR="002671C1" w:rsidRPr="00510442" w:rsidRDefault="002671C1" w:rsidP="006E43C6">
      <w:pPr>
        <w:pStyle w:val="NormalAgency"/>
        <w:keepNext/>
        <w:rPr>
          <w:rFonts w:ascii="Times New Roman" w:hAnsi="Times New Roman"/>
          <w:bCs/>
          <w:iCs/>
          <w:sz w:val="22"/>
          <w:szCs w:val="22"/>
          <w:lang w:val="hr-HR"/>
        </w:rPr>
      </w:pPr>
    </w:p>
    <w:p w14:paraId="244C9CAC" w14:textId="77777777" w:rsidR="002671C1" w:rsidRPr="00510442" w:rsidRDefault="00816CB5" w:rsidP="006E43C6">
      <w:pPr>
        <w:keepNext/>
        <w:rPr>
          <w:lang w:val="hr-HR"/>
        </w:rPr>
      </w:pPr>
      <w:r w:rsidRPr="00510442">
        <w:rPr>
          <w:lang w:val="hr-HR"/>
        </w:rPr>
        <w:t xml:space="preserve">Nositelj odobrenja </w:t>
      </w:r>
      <w:r w:rsidR="00A56F29" w:rsidRPr="00510442">
        <w:rPr>
          <w:lang w:val="hr-HR"/>
        </w:rPr>
        <w:t>dužan je</w:t>
      </w:r>
      <w:r w:rsidRPr="00510442">
        <w:rPr>
          <w:lang w:val="hr-HR"/>
        </w:rPr>
        <w:t xml:space="preserve">, unutar navedenog vremenskog </w:t>
      </w:r>
      <w:r w:rsidR="00A56F29" w:rsidRPr="00510442">
        <w:rPr>
          <w:lang w:val="hr-HR"/>
        </w:rPr>
        <w:t>roka</w:t>
      </w:r>
      <w:r w:rsidRPr="00510442">
        <w:rPr>
          <w:lang w:val="hr-HR"/>
        </w:rPr>
        <w:t>, provesti niže navedene mjere</w:t>
      </w:r>
      <w:r w:rsidR="002671C1" w:rsidRPr="00510442">
        <w:rPr>
          <w:lang w:val="hr-HR"/>
        </w:rPr>
        <w:t>:</w:t>
      </w:r>
    </w:p>
    <w:p w14:paraId="2A2347C1" w14:textId="77777777" w:rsidR="002671C1" w:rsidRPr="00510442" w:rsidRDefault="002671C1" w:rsidP="006E43C6">
      <w:pPr>
        <w:keepNext/>
        <w:rPr>
          <w:lang w:val="hr-HR"/>
        </w:rPr>
      </w:pPr>
    </w:p>
    <w:tbl>
      <w:tblPr>
        <w:tblW w:w="4900" w:type="pct"/>
        <w:tblCellMar>
          <w:left w:w="0" w:type="dxa"/>
          <w:right w:w="0" w:type="dxa"/>
        </w:tblCellMar>
        <w:tblLook w:val="04A0" w:firstRow="1" w:lastRow="0" w:firstColumn="1" w:lastColumn="0" w:noHBand="0" w:noVBand="1"/>
      </w:tblPr>
      <w:tblGrid>
        <w:gridCol w:w="7425"/>
        <w:gridCol w:w="1455"/>
      </w:tblGrid>
      <w:tr w:rsidR="002671C1" w:rsidRPr="00510442" w14:paraId="3FB874DA" w14:textId="77777777" w:rsidTr="006E43C6">
        <w:trPr>
          <w:cantSplit/>
        </w:trPr>
        <w:tc>
          <w:tcPr>
            <w:tcW w:w="418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68485B7" w14:textId="77777777" w:rsidR="002671C1" w:rsidRPr="00510442" w:rsidRDefault="00816CB5" w:rsidP="006E43C6">
            <w:pPr>
              <w:keepNext/>
              <w:ind w:right="-1"/>
              <w:rPr>
                <w:rFonts w:eastAsia="Calibri"/>
                <w:b/>
                <w:bCs/>
                <w:szCs w:val="22"/>
                <w:lang w:val="hr-HR"/>
              </w:rPr>
            </w:pPr>
            <w:r w:rsidRPr="00510442">
              <w:rPr>
                <w:b/>
                <w:bCs/>
                <w:lang w:val="hr-HR"/>
              </w:rPr>
              <w:t>Opis</w:t>
            </w:r>
          </w:p>
        </w:tc>
        <w:tc>
          <w:tcPr>
            <w:tcW w:w="81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50A85B6" w14:textId="77777777" w:rsidR="002671C1" w:rsidRPr="00510442" w:rsidRDefault="00816CB5" w:rsidP="006E43C6">
            <w:pPr>
              <w:keepNext/>
              <w:ind w:right="-1"/>
              <w:rPr>
                <w:rFonts w:eastAsia="Calibri"/>
                <w:b/>
                <w:bCs/>
                <w:szCs w:val="22"/>
                <w:lang w:val="hr-HR"/>
              </w:rPr>
            </w:pPr>
            <w:r w:rsidRPr="00510442">
              <w:rPr>
                <w:b/>
                <w:bCs/>
                <w:lang w:val="hr-HR"/>
              </w:rPr>
              <w:t>Do datuma</w:t>
            </w:r>
          </w:p>
        </w:tc>
      </w:tr>
      <w:tr w:rsidR="002671C1" w:rsidRPr="00510442" w14:paraId="6E7622ED" w14:textId="77777777" w:rsidTr="006E43C6">
        <w:trPr>
          <w:cantSplit/>
        </w:trPr>
        <w:tc>
          <w:tcPr>
            <w:tcW w:w="4181"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267B1F4" w14:textId="77777777" w:rsidR="002671C1" w:rsidRPr="00510442" w:rsidRDefault="00B46AB0" w:rsidP="006E43C6">
            <w:pPr>
              <w:keepNext/>
              <w:ind w:right="-1"/>
              <w:rPr>
                <w:rFonts w:eastAsia="Calibri"/>
                <w:szCs w:val="22"/>
                <w:lang w:val="hr-HR"/>
              </w:rPr>
            </w:pPr>
            <w:r w:rsidRPr="00510442">
              <w:rPr>
                <w:lang w:val="hr-HR"/>
              </w:rPr>
              <w:t xml:space="preserve">Provesti registar promatranja prikupljanjem podataka o </w:t>
            </w:r>
            <w:r w:rsidR="006C4037" w:rsidRPr="00510442">
              <w:rPr>
                <w:lang w:val="hr-HR"/>
              </w:rPr>
              <w:t xml:space="preserve">djelotvornosti </w:t>
            </w:r>
            <w:r w:rsidR="003218D7" w:rsidRPr="00510442">
              <w:rPr>
                <w:lang w:val="hr-HR"/>
              </w:rPr>
              <w:t>i</w:t>
            </w:r>
            <w:r w:rsidRPr="00510442">
              <w:rPr>
                <w:lang w:val="hr-HR"/>
              </w:rPr>
              <w:t xml:space="preserve"> sigurnosti u novodijagnosticiranih pedijatrijskih </w:t>
            </w:r>
            <w:r w:rsidR="003218D7" w:rsidRPr="00510442">
              <w:rPr>
                <w:lang w:val="hr-HR"/>
              </w:rPr>
              <w:t>Ph+ akutna</w:t>
            </w:r>
            <w:r w:rsidR="002671C1" w:rsidRPr="00510442">
              <w:rPr>
                <w:lang w:val="hr-HR"/>
              </w:rPr>
              <w:t xml:space="preserve"> </w:t>
            </w:r>
            <w:r w:rsidR="003218D7" w:rsidRPr="00510442">
              <w:rPr>
                <w:lang w:val="hr-HR"/>
              </w:rPr>
              <w:t>limfoblastična</w:t>
            </w:r>
            <w:r w:rsidR="002671C1" w:rsidRPr="00510442">
              <w:rPr>
                <w:lang w:val="hr-HR"/>
              </w:rPr>
              <w:t xml:space="preserve"> </w:t>
            </w:r>
            <w:r w:rsidR="003218D7" w:rsidRPr="00510442">
              <w:rPr>
                <w:lang w:val="hr-HR"/>
              </w:rPr>
              <w:t>l</w:t>
            </w:r>
            <w:r w:rsidR="002671C1" w:rsidRPr="00510442">
              <w:rPr>
                <w:lang w:val="hr-HR"/>
              </w:rPr>
              <w:t>eukemi</w:t>
            </w:r>
            <w:r w:rsidR="003218D7" w:rsidRPr="00510442">
              <w:rPr>
                <w:lang w:val="hr-HR"/>
              </w:rPr>
              <w:t>j</w:t>
            </w:r>
            <w:r w:rsidR="002671C1" w:rsidRPr="00510442">
              <w:rPr>
                <w:lang w:val="hr-HR"/>
              </w:rPr>
              <w:t xml:space="preserve">a (ALL) </w:t>
            </w:r>
            <w:r w:rsidR="003218D7" w:rsidRPr="00510442">
              <w:rPr>
                <w:lang w:val="hr-HR"/>
              </w:rPr>
              <w:t>bolesnika liječenih kemoterapijom</w:t>
            </w:r>
            <w:r w:rsidR="002671C1" w:rsidRPr="00510442">
              <w:rPr>
                <w:lang w:val="hr-HR"/>
              </w:rPr>
              <w:t xml:space="preserve"> + imatinib ± HSCT. </w:t>
            </w:r>
            <w:r w:rsidR="003218D7" w:rsidRPr="00510442">
              <w:rPr>
                <w:lang w:val="hr-HR"/>
              </w:rPr>
              <w:t>Predaja izvješća završnog ispitivanja</w:t>
            </w:r>
            <w:r w:rsidR="002671C1" w:rsidRPr="00510442">
              <w:rPr>
                <w:lang w:val="hr-HR"/>
              </w:rPr>
              <w:t>.</w:t>
            </w:r>
          </w:p>
        </w:tc>
        <w:tc>
          <w:tcPr>
            <w:tcW w:w="819" w:type="pct"/>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7F22A08C" w14:textId="7EEBE2E0" w:rsidR="002671C1" w:rsidRPr="00510442" w:rsidRDefault="00E53D3E" w:rsidP="00E53D3E">
            <w:pPr>
              <w:keepNext/>
              <w:ind w:right="-1"/>
              <w:rPr>
                <w:rFonts w:eastAsia="Calibri"/>
                <w:szCs w:val="22"/>
                <w:lang w:val="hr-HR"/>
              </w:rPr>
            </w:pPr>
            <w:r>
              <w:rPr>
                <w:lang w:val="hr-HR"/>
              </w:rPr>
              <w:t>2</w:t>
            </w:r>
            <w:r w:rsidR="000C6C34" w:rsidRPr="00510442">
              <w:rPr>
                <w:lang w:val="hr-HR"/>
              </w:rPr>
              <w:t>3/06/202</w:t>
            </w:r>
            <w:r w:rsidR="00B822DB">
              <w:rPr>
                <w:lang w:val="hr-HR"/>
              </w:rPr>
              <w:t>3</w:t>
            </w:r>
            <w:r w:rsidR="00CF79CC" w:rsidRPr="00510442">
              <w:rPr>
                <w:lang w:val="hr-HR"/>
              </w:rPr>
              <w:t>.</w:t>
            </w:r>
          </w:p>
        </w:tc>
      </w:tr>
    </w:tbl>
    <w:p w14:paraId="4526D8E8" w14:textId="77777777" w:rsidR="00F1218D" w:rsidRPr="00510442" w:rsidRDefault="00F1218D" w:rsidP="0091773C">
      <w:pPr>
        <w:spacing w:line="240" w:lineRule="auto"/>
        <w:rPr>
          <w:color w:val="000000"/>
          <w:szCs w:val="22"/>
          <w:lang w:val="hr-HR"/>
        </w:rPr>
      </w:pPr>
    </w:p>
    <w:p w14:paraId="7E5C0B07" w14:textId="77777777" w:rsidR="00BB30F2" w:rsidRPr="00510442" w:rsidRDefault="00356F51" w:rsidP="00422F71">
      <w:pPr>
        <w:widowControl w:val="0"/>
        <w:tabs>
          <w:tab w:val="clear" w:pos="567"/>
        </w:tabs>
        <w:spacing w:line="240" w:lineRule="auto"/>
        <w:ind w:right="566"/>
        <w:rPr>
          <w:color w:val="000000"/>
          <w:szCs w:val="22"/>
          <w:lang w:val="hr-HR"/>
        </w:rPr>
      </w:pPr>
      <w:r w:rsidRPr="00510442">
        <w:rPr>
          <w:color w:val="000000"/>
          <w:szCs w:val="22"/>
          <w:lang w:val="hr-HR"/>
        </w:rPr>
        <w:br w:type="page"/>
      </w:r>
    </w:p>
    <w:p w14:paraId="2C200813" w14:textId="77777777" w:rsidR="00BB30F2" w:rsidRPr="00510442" w:rsidRDefault="00BB30F2" w:rsidP="00422F71">
      <w:pPr>
        <w:widowControl w:val="0"/>
        <w:tabs>
          <w:tab w:val="clear" w:pos="567"/>
        </w:tabs>
        <w:spacing w:line="240" w:lineRule="auto"/>
        <w:rPr>
          <w:color w:val="000000"/>
          <w:szCs w:val="22"/>
          <w:lang w:val="hr-HR"/>
        </w:rPr>
      </w:pPr>
    </w:p>
    <w:p w14:paraId="63E2968B" w14:textId="77777777" w:rsidR="00BB30F2" w:rsidRPr="00510442" w:rsidRDefault="00BB30F2" w:rsidP="00422F71">
      <w:pPr>
        <w:widowControl w:val="0"/>
        <w:tabs>
          <w:tab w:val="clear" w:pos="567"/>
        </w:tabs>
        <w:spacing w:line="240" w:lineRule="auto"/>
        <w:rPr>
          <w:color w:val="000000"/>
          <w:szCs w:val="22"/>
          <w:lang w:val="hr-HR"/>
        </w:rPr>
      </w:pPr>
    </w:p>
    <w:p w14:paraId="06B643F1" w14:textId="77777777" w:rsidR="00BB30F2" w:rsidRPr="00510442" w:rsidRDefault="00BB30F2" w:rsidP="00A74D02">
      <w:pPr>
        <w:widowControl w:val="0"/>
        <w:tabs>
          <w:tab w:val="clear" w:pos="567"/>
        </w:tabs>
        <w:spacing w:line="240" w:lineRule="auto"/>
        <w:rPr>
          <w:color w:val="000000"/>
          <w:szCs w:val="22"/>
          <w:lang w:val="hr-HR"/>
        </w:rPr>
      </w:pPr>
    </w:p>
    <w:p w14:paraId="1959282E" w14:textId="77777777" w:rsidR="00BB30F2" w:rsidRPr="00510442" w:rsidRDefault="00BB30F2" w:rsidP="007F1BD0">
      <w:pPr>
        <w:widowControl w:val="0"/>
        <w:tabs>
          <w:tab w:val="clear" w:pos="567"/>
        </w:tabs>
        <w:spacing w:line="240" w:lineRule="auto"/>
        <w:rPr>
          <w:color w:val="000000"/>
          <w:szCs w:val="22"/>
          <w:lang w:val="hr-HR"/>
        </w:rPr>
      </w:pPr>
    </w:p>
    <w:p w14:paraId="0C6725F6" w14:textId="77777777" w:rsidR="00BB30F2" w:rsidRPr="00510442" w:rsidRDefault="00BB30F2" w:rsidP="007F1BD0">
      <w:pPr>
        <w:widowControl w:val="0"/>
        <w:tabs>
          <w:tab w:val="clear" w:pos="567"/>
        </w:tabs>
        <w:spacing w:line="240" w:lineRule="auto"/>
        <w:rPr>
          <w:color w:val="000000"/>
          <w:szCs w:val="22"/>
          <w:lang w:val="hr-HR"/>
        </w:rPr>
      </w:pPr>
    </w:p>
    <w:p w14:paraId="6C27F926" w14:textId="77777777" w:rsidR="00BB30F2" w:rsidRPr="00510442" w:rsidRDefault="00BB30F2" w:rsidP="00E368A2">
      <w:pPr>
        <w:widowControl w:val="0"/>
        <w:tabs>
          <w:tab w:val="clear" w:pos="567"/>
        </w:tabs>
        <w:spacing w:line="240" w:lineRule="auto"/>
        <w:rPr>
          <w:color w:val="000000"/>
          <w:szCs w:val="22"/>
          <w:lang w:val="hr-HR"/>
        </w:rPr>
      </w:pPr>
    </w:p>
    <w:p w14:paraId="548E1C24" w14:textId="77777777" w:rsidR="00BB30F2" w:rsidRPr="00510442" w:rsidRDefault="00BB30F2" w:rsidP="00E368A2">
      <w:pPr>
        <w:widowControl w:val="0"/>
        <w:tabs>
          <w:tab w:val="clear" w:pos="567"/>
        </w:tabs>
        <w:spacing w:line="240" w:lineRule="auto"/>
        <w:rPr>
          <w:color w:val="000000"/>
          <w:szCs w:val="22"/>
          <w:lang w:val="hr-HR"/>
        </w:rPr>
      </w:pPr>
    </w:p>
    <w:p w14:paraId="6ADA7C4C" w14:textId="77777777" w:rsidR="00BB30F2" w:rsidRPr="00510442" w:rsidRDefault="00BB30F2" w:rsidP="00E368A2">
      <w:pPr>
        <w:widowControl w:val="0"/>
        <w:tabs>
          <w:tab w:val="clear" w:pos="567"/>
        </w:tabs>
        <w:spacing w:line="240" w:lineRule="auto"/>
        <w:rPr>
          <w:color w:val="000000"/>
          <w:szCs w:val="22"/>
          <w:lang w:val="hr-HR"/>
        </w:rPr>
      </w:pPr>
    </w:p>
    <w:p w14:paraId="5ADF6D0A" w14:textId="77777777" w:rsidR="00BB30F2" w:rsidRPr="00510442" w:rsidRDefault="00BB30F2" w:rsidP="00954FF7">
      <w:pPr>
        <w:widowControl w:val="0"/>
        <w:tabs>
          <w:tab w:val="clear" w:pos="567"/>
        </w:tabs>
        <w:spacing w:line="240" w:lineRule="auto"/>
        <w:rPr>
          <w:color w:val="000000"/>
          <w:szCs w:val="22"/>
          <w:lang w:val="hr-HR"/>
        </w:rPr>
      </w:pPr>
    </w:p>
    <w:p w14:paraId="4866F52B" w14:textId="77777777" w:rsidR="00BB30F2" w:rsidRPr="00510442" w:rsidRDefault="00BB30F2" w:rsidP="0038669B">
      <w:pPr>
        <w:widowControl w:val="0"/>
        <w:tabs>
          <w:tab w:val="clear" w:pos="567"/>
        </w:tabs>
        <w:spacing w:line="240" w:lineRule="auto"/>
        <w:rPr>
          <w:color w:val="000000"/>
          <w:szCs w:val="22"/>
          <w:lang w:val="hr-HR"/>
        </w:rPr>
      </w:pPr>
    </w:p>
    <w:p w14:paraId="30D858F9" w14:textId="77777777" w:rsidR="00BB30F2" w:rsidRPr="00510442" w:rsidRDefault="00BB30F2" w:rsidP="00236E0E">
      <w:pPr>
        <w:widowControl w:val="0"/>
        <w:tabs>
          <w:tab w:val="clear" w:pos="567"/>
        </w:tabs>
        <w:spacing w:line="240" w:lineRule="auto"/>
        <w:rPr>
          <w:color w:val="000000"/>
          <w:szCs w:val="22"/>
          <w:lang w:val="hr-HR"/>
        </w:rPr>
      </w:pPr>
    </w:p>
    <w:p w14:paraId="76DA26F0" w14:textId="77777777" w:rsidR="00BB30F2" w:rsidRPr="00510442" w:rsidRDefault="00BB30F2" w:rsidP="003C0A50">
      <w:pPr>
        <w:widowControl w:val="0"/>
        <w:tabs>
          <w:tab w:val="clear" w:pos="567"/>
        </w:tabs>
        <w:spacing w:line="240" w:lineRule="auto"/>
        <w:rPr>
          <w:color w:val="000000"/>
          <w:szCs w:val="22"/>
          <w:lang w:val="hr-HR"/>
        </w:rPr>
      </w:pPr>
    </w:p>
    <w:p w14:paraId="2A14C744" w14:textId="77777777" w:rsidR="00BB30F2" w:rsidRPr="00510442" w:rsidRDefault="00BB30F2" w:rsidP="003C0A50">
      <w:pPr>
        <w:widowControl w:val="0"/>
        <w:tabs>
          <w:tab w:val="clear" w:pos="567"/>
        </w:tabs>
        <w:spacing w:line="240" w:lineRule="auto"/>
        <w:rPr>
          <w:color w:val="000000"/>
          <w:szCs w:val="22"/>
          <w:lang w:val="hr-HR"/>
        </w:rPr>
      </w:pPr>
    </w:p>
    <w:p w14:paraId="7A2D3BC3" w14:textId="77777777" w:rsidR="00BB30F2" w:rsidRPr="00510442" w:rsidRDefault="00BB30F2" w:rsidP="003C0A50">
      <w:pPr>
        <w:widowControl w:val="0"/>
        <w:tabs>
          <w:tab w:val="clear" w:pos="567"/>
        </w:tabs>
        <w:spacing w:line="240" w:lineRule="auto"/>
        <w:rPr>
          <w:color w:val="000000"/>
          <w:szCs w:val="22"/>
          <w:lang w:val="hr-HR"/>
        </w:rPr>
      </w:pPr>
    </w:p>
    <w:p w14:paraId="345AB3A8" w14:textId="77777777" w:rsidR="00BB30F2" w:rsidRPr="00510442" w:rsidRDefault="00BB30F2" w:rsidP="003B190A">
      <w:pPr>
        <w:widowControl w:val="0"/>
        <w:tabs>
          <w:tab w:val="clear" w:pos="567"/>
        </w:tabs>
        <w:spacing w:line="240" w:lineRule="auto"/>
        <w:rPr>
          <w:color w:val="000000"/>
          <w:szCs w:val="22"/>
          <w:lang w:val="hr-HR"/>
        </w:rPr>
      </w:pPr>
    </w:p>
    <w:p w14:paraId="16AB0BC6" w14:textId="77777777" w:rsidR="00BB30F2" w:rsidRPr="00510442" w:rsidRDefault="00BB30F2" w:rsidP="004D775F">
      <w:pPr>
        <w:widowControl w:val="0"/>
        <w:tabs>
          <w:tab w:val="clear" w:pos="567"/>
        </w:tabs>
        <w:spacing w:line="240" w:lineRule="auto"/>
        <w:rPr>
          <w:color w:val="000000"/>
          <w:szCs w:val="22"/>
          <w:lang w:val="hr-HR"/>
        </w:rPr>
      </w:pPr>
    </w:p>
    <w:p w14:paraId="3AEF794E" w14:textId="77777777" w:rsidR="00BB30F2" w:rsidRPr="00510442" w:rsidRDefault="00BB30F2" w:rsidP="004D775F">
      <w:pPr>
        <w:widowControl w:val="0"/>
        <w:tabs>
          <w:tab w:val="clear" w:pos="567"/>
        </w:tabs>
        <w:spacing w:line="240" w:lineRule="auto"/>
        <w:rPr>
          <w:color w:val="000000"/>
          <w:szCs w:val="22"/>
          <w:lang w:val="hr-HR"/>
        </w:rPr>
      </w:pPr>
    </w:p>
    <w:p w14:paraId="100D7F07" w14:textId="77777777" w:rsidR="00BB30F2" w:rsidRPr="00510442" w:rsidRDefault="00BB30F2" w:rsidP="00457295">
      <w:pPr>
        <w:widowControl w:val="0"/>
        <w:tabs>
          <w:tab w:val="clear" w:pos="567"/>
        </w:tabs>
        <w:spacing w:line="240" w:lineRule="auto"/>
        <w:rPr>
          <w:color w:val="000000"/>
          <w:szCs w:val="22"/>
          <w:lang w:val="hr-HR"/>
        </w:rPr>
      </w:pPr>
    </w:p>
    <w:p w14:paraId="70CEF347" w14:textId="77777777" w:rsidR="00BB30F2" w:rsidRPr="00510442" w:rsidRDefault="00BB30F2" w:rsidP="00E74D30">
      <w:pPr>
        <w:widowControl w:val="0"/>
        <w:tabs>
          <w:tab w:val="clear" w:pos="567"/>
        </w:tabs>
        <w:spacing w:line="240" w:lineRule="auto"/>
        <w:rPr>
          <w:color w:val="000000"/>
          <w:szCs w:val="22"/>
          <w:lang w:val="hr-HR"/>
        </w:rPr>
      </w:pPr>
    </w:p>
    <w:p w14:paraId="4E57CC6D" w14:textId="77777777" w:rsidR="00BB30F2" w:rsidRPr="00510442" w:rsidRDefault="00BB30F2" w:rsidP="00E74D30">
      <w:pPr>
        <w:widowControl w:val="0"/>
        <w:tabs>
          <w:tab w:val="clear" w:pos="567"/>
        </w:tabs>
        <w:spacing w:line="240" w:lineRule="auto"/>
        <w:rPr>
          <w:color w:val="000000"/>
          <w:szCs w:val="22"/>
          <w:lang w:val="hr-HR"/>
        </w:rPr>
      </w:pPr>
    </w:p>
    <w:p w14:paraId="194A3F27" w14:textId="77777777" w:rsidR="00BB30F2" w:rsidRPr="00510442" w:rsidRDefault="00BB30F2" w:rsidP="00E74D30">
      <w:pPr>
        <w:widowControl w:val="0"/>
        <w:tabs>
          <w:tab w:val="clear" w:pos="567"/>
        </w:tabs>
        <w:spacing w:line="240" w:lineRule="auto"/>
        <w:rPr>
          <w:color w:val="000000"/>
          <w:szCs w:val="22"/>
          <w:lang w:val="hr-HR"/>
        </w:rPr>
      </w:pPr>
    </w:p>
    <w:p w14:paraId="50656E91" w14:textId="77777777" w:rsidR="00BB30F2" w:rsidRDefault="00BB30F2" w:rsidP="009F6FC2">
      <w:pPr>
        <w:widowControl w:val="0"/>
        <w:tabs>
          <w:tab w:val="clear" w:pos="567"/>
        </w:tabs>
        <w:spacing w:line="240" w:lineRule="auto"/>
        <w:rPr>
          <w:color w:val="000000"/>
          <w:szCs w:val="22"/>
          <w:lang w:val="hr-HR"/>
        </w:rPr>
      </w:pPr>
    </w:p>
    <w:p w14:paraId="5E4FA1BE" w14:textId="77777777" w:rsidR="006E43C6" w:rsidRPr="00510442" w:rsidRDefault="006E43C6" w:rsidP="009F6FC2">
      <w:pPr>
        <w:widowControl w:val="0"/>
        <w:tabs>
          <w:tab w:val="clear" w:pos="567"/>
        </w:tabs>
        <w:spacing w:line="240" w:lineRule="auto"/>
        <w:rPr>
          <w:color w:val="000000"/>
          <w:szCs w:val="22"/>
          <w:lang w:val="hr-HR"/>
        </w:rPr>
      </w:pPr>
    </w:p>
    <w:p w14:paraId="2FFCD389" w14:textId="77777777" w:rsidR="00BA7BD2" w:rsidRPr="00510442" w:rsidRDefault="00067CEC" w:rsidP="009F6FC2">
      <w:pPr>
        <w:tabs>
          <w:tab w:val="clear" w:pos="567"/>
        </w:tabs>
        <w:spacing w:line="240" w:lineRule="auto"/>
        <w:jc w:val="center"/>
        <w:outlineLvl w:val="0"/>
        <w:rPr>
          <w:b/>
          <w:szCs w:val="22"/>
          <w:lang w:val="hr-HR"/>
        </w:rPr>
      </w:pPr>
      <w:r w:rsidRPr="00510442">
        <w:rPr>
          <w:b/>
          <w:szCs w:val="22"/>
          <w:lang w:val="hr-HR"/>
        </w:rPr>
        <w:t xml:space="preserve">PRILOG </w:t>
      </w:r>
      <w:r w:rsidR="00BA7BD2" w:rsidRPr="00510442">
        <w:rPr>
          <w:b/>
          <w:szCs w:val="22"/>
          <w:lang w:val="hr-HR"/>
        </w:rPr>
        <w:t>III</w:t>
      </w:r>
      <w:r w:rsidRPr="00510442">
        <w:rPr>
          <w:b/>
          <w:szCs w:val="22"/>
          <w:lang w:val="hr-HR"/>
        </w:rPr>
        <w:t>.</w:t>
      </w:r>
    </w:p>
    <w:p w14:paraId="114BFCA0" w14:textId="77777777" w:rsidR="00BA7BD2" w:rsidRPr="00510442" w:rsidRDefault="00BA7BD2" w:rsidP="009F6FC2">
      <w:pPr>
        <w:tabs>
          <w:tab w:val="clear" w:pos="567"/>
        </w:tabs>
        <w:spacing w:line="240" w:lineRule="auto"/>
        <w:jc w:val="center"/>
        <w:rPr>
          <w:szCs w:val="22"/>
          <w:lang w:val="hr-HR"/>
        </w:rPr>
      </w:pPr>
    </w:p>
    <w:p w14:paraId="2B272F0A" w14:textId="77777777" w:rsidR="00BA7BD2" w:rsidRPr="00510442" w:rsidRDefault="00BA7BD2" w:rsidP="009F6FC2">
      <w:pPr>
        <w:tabs>
          <w:tab w:val="clear" w:pos="567"/>
        </w:tabs>
        <w:spacing w:line="240" w:lineRule="auto"/>
        <w:jc w:val="center"/>
        <w:outlineLvl w:val="0"/>
        <w:rPr>
          <w:b/>
          <w:szCs w:val="22"/>
          <w:lang w:val="hr-HR"/>
        </w:rPr>
      </w:pPr>
      <w:r w:rsidRPr="00510442">
        <w:rPr>
          <w:b/>
          <w:szCs w:val="22"/>
          <w:lang w:val="hr-HR"/>
        </w:rPr>
        <w:t>OZNAČ</w:t>
      </w:r>
      <w:r w:rsidR="00067CEC" w:rsidRPr="00510442">
        <w:rPr>
          <w:b/>
          <w:szCs w:val="22"/>
          <w:lang w:val="hr-HR"/>
        </w:rPr>
        <w:t>I</w:t>
      </w:r>
      <w:r w:rsidRPr="00510442">
        <w:rPr>
          <w:b/>
          <w:szCs w:val="22"/>
          <w:lang w:val="hr-HR"/>
        </w:rPr>
        <w:t>VANJE I UPUTA O LIJEKU</w:t>
      </w:r>
    </w:p>
    <w:p w14:paraId="19444CDB" w14:textId="77777777" w:rsidR="00633C4F" w:rsidRPr="00510442" w:rsidRDefault="00BB30F2" w:rsidP="00EB15D1">
      <w:pPr>
        <w:pStyle w:val="EndnoteText"/>
        <w:widowControl w:val="0"/>
        <w:tabs>
          <w:tab w:val="clear" w:pos="567"/>
        </w:tabs>
        <w:rPr>
          <w:color w:val="000000"/>
          <w:szCs w:val="22"/>
          <w:lang w:val="hr-HR"/>
        </w:rPr>
      </w:pPr>
      <w:r w:rsidRPr="00510442">
        <w:rPr>
          <w:color w:val="000000"/>
          <w:szCs w:val="22"/>
          <w:lang w:val="hr-HR"/>
        </w:rPr>
        <w:br w:type="page"/>
      </w:r>
    </w:p>
    <w:p w14:paraId="6C452634" w14:textId="77777777" w:rsidR="00633C4F" w:rsidRPr="00510442" w:rsidRDefault="00633C4F" w:rsidP="00EB15D1">
      <w:pPr>
        <w:widowControl w:val="0"/>
        <w:tabs>
          <w:tab w:val="clear" w:pos="567"/>
        </w:tabs>
        <w:spacing w:line="240" w:lineRule="auto"/>
        <w:rPr>
          <w:color w:val="000000"/>
          <w:szCs w:val="22"/>
          <w:lang w:val="hr-HR"/>
        </w:rPr>
      </w:pPr>
    </w:p>
    <w:p w14:paraId="33D77F05" w14:textId="77777777" w:rsidR="00633C4F" w:rsidRPr="00510442" w:rsidRDefault="00633C4F" w:rsidP="00EB15D1">
      <w:pPr>
        <w:widowControl w:val="0"/>
        <w:tabs>
          <w:tab w:val="clear" w:pos="567"/>
        </w:tabs>
        <w:spacing w:line="240" w:lineRule="auto"/>
        <w:rPr>
          <w:color w:val="000000"/>
          <w:szCs w:val="22"/>
          <w:lang w:val="hr-HR"/>
        </w:rPr>
      </w:pPr>
    </w:p>
    <w:p w14:paraId="6D30AC78" w14:textId="77777777" w:rsidR="00633C4F" w:rsidRPr="00510442" w:rsidRDefault="00633C4F" w:rsidP="00A742FC">
      <w:pPr>
        <w:widowControl w:val="0"/>
        <w:tabs>
          <w:tab w:val="clear" w:pos="567"/>
        </w:tabs>
        <w:spacing w:line="240" w:lineRule="auto"/>
        <w:rPr>
          <w:color w:val="000000"/>
          <w:szCs w:val="22"/>
          <w:lang w:val="hr-HR"/>
        </w:rPr>
      </w:pPr>
    </w:p>
    <w:p w14:paraId="7F5566A2" w14:textId="77777777" w:rsidR="00633C4F" w:rsidRPr="00510442" w:rsidRDefault="00633C4F" w:rsidP="00A742FC">
      <w:pPr>
        <w:widowControl w:val="0"/>
        <w:tabs>
          <w:tab w:val="clear" w:pos="567"/>
        </w:tabs>
        <w:spacing w:line="240" w:lineRule="auto"/>
        <w:rPr>
          <w:color w:val="000000"/>
          <w:szCs w:val="22"/>
          <w:lang w:val="hr-HR"/>
        </w:rPr>
      </w:pPr>
    </w:p>
    <w:p w14:paraId="0A4F5C8D" w14:textId="77777777" w:rsidR="00633C4F" w:rsidRPr="00510442" w:rsidRDefault="00633C4F" w:rsidP="00D57A17">
      <w:pPr>
        <w:widowControl w:val="0"/>
        <w:tabs>
          <w:tab w:val="clear" w:pos="567"/>
        </w:tabs>
        <w:spacing w:line="240" w:lineRule="auto"/>
        <w:rPr>
          <w:color w:val="000000"/>
          <w:szCs w:val="22"/>
          <w:lang w:val="hr-HR"/>
        </w:rPr>
      </w:pPr>
    </w:p>
    <w:p w14:paraId="219E3EE7" w14:textId="77777777" w:rsidR="00633C4F" w:rsidRPr="00510442" w:rsidRDefault="00633C4F" w:rsidP="00D57A17">
      <w:pPr>
        <w:widowControl w:val="0"/>
        <w:tabs>
          <w:tab w:val="clear" w:pos="567"/>
        </w:tabs>
        <w:spacing w:line="240" w:lineRule="auto"/>
        <w:rPr>
          <w:color w:val="000000"/>
          <w:szCs w:val="22"/>
          <w:lang w:val="hr-HR"/>
        </w:rPr>
      </w:pPr>
    </w:p>
    <w:p w14:paraId="4EDFE7CD" w14:textId="77777777" w:rsidR="00633C4F" w:rsidRPr="00510442" w:rsidRDefault="00633C4F" w:rsidP="00D57A17">
      <w:pPr>
        <w:widowControl w:val="0"/>
        <w:tabs>
          <w:tab w:val="clear" w:pos="567"/>
        </w:tabs>
        <w:spacing w:line="240" w:lineRule="auto"/>
        <w:rPr>
          <w:color w:val="000000"/>
          <w:szCs w:val="22"/>
          <w:lang w:val="hr-HR"/>
        </w:rPr>
      </w:pPr>
    </w:p>
    <w:p w14:paraId="7ECC930A" w14:textId="77777777" w:rsidR="00633C4F" w:rsidRPr="00510442" w:rsidRDefault="00633C4F" w:rsidP="00D57A17">
      <w:pPr>
        <w:widowControl w:val="0"/>
        <w:tabs>
          <w:tab w:val="clear" w:pos="567"/>
        </w:tabs>
        <w:spacing w:line="240" w:lineRule="auto"/>
        <w:rPr>
          <w:color w:val="000000"/>
          <w:szCs w:val="22"/>
          <w:lang w:val="hr-HR"/>
        </w:rPr>
      </w:pPr>
    </w:p>
    <w:p w14:paraId="0931D23C" w14:textId="77777777" w:rsidR="00633C4F" w:rsidRPr="00510442" w:rsidRDefault="00633C4F" w:rsidP="00FA16F5">
      <w:pPr>
        <w:widowControl w:val="0"/>
        <w:tabs>
          <w:tab w:val="clear" w:pos="567"/>
        </w:tabs>
        <w:spacing w:line="240" w:lineRule="auto"/>
        <w:rPr>
          <w:color w:val="000000"/>
          <w:szCs w:val="22"/>
          <w:lang w:val="hr-HR"/>
        </w:rPr>
      </w:pPr>
    </w:p>
    <w:p w14:paraId="575AF4FA" w14:textId="77777777" w:rsidR="00633C4F" w:rsidRPr="00510442" w:rsidRDefault="00633C4F" w:rsidP="00C51EC7">
      <w:pPr>
        <w:widowControl w:val="0"/>
        <w:tabs>
          <w:tab w:val="clear" w:pos="567"/>
        </w:tabs>
        <w:spacing w:line="240" w:lineRule="auto"/>
        <w:rPr>
          <w:color w:val="000000"/>
          <w:szCs w:val="22"/>
          <w:lang w:val="hr-HR"/>
        </w:rPr>
      </w:pPr>
    </w:p>
    <w:p w14:paraId="577508F7" w14:textId="77777777" w:rsidR="00633C4F" w:rsidRPr="00510442" w:rsidRDefault="00633C4F" w:rsidP="00CB66CC">
      <w:pPr>
        <w:widowControl w:val="0"/>
        <w:tabs>
          <w:tab w:val="clear" w:pos="567"/>
        </w:tabs>
        <w:spacing w:line="240" w:lineRule="auto"/>
        <w:rPr>
          <w:color w:val="000000"/>
          <w:szCs w:val="22"/>
          <w:lang w:val="hr-HR"/>
        </w:rPr>
      </w:pPr>
    </w:p>
    <w:p w14:paraId="3FE5C605" w14:textId="77777777" w:rsidR="00633C4F" w:rsidRPr="00510442" w:rsidRDefault="00633C4F" w:rsidP="00B602CC">
      <w:pPr>
        <w:widowControl w:val="0"/>
        <w:tabs>
          <w:tab w:val="clear" w:pos="567"/>
        </w:tabs>
        <w:spacing w:line="240" w:lineRule="auto"/>
        <w:rPr>
          <w:color w:val="000000"/>
          <w:szCs w:val="22"/>
          <w:lang w:val="hr-HR"/>
        </w:rPr>
      </w:pPr>
    </w:p>
    <w:p w14:paraId="6CEA82EF" w14:textId="77777777" w:rsidR="00633C4F" w:rsidRPr="00510442" w:rsidRDefault="00633C4F" w:rsidP="00112AD1">
      <w:pPr>
        <w:widowControl w:val="0"/>
        <w:tabs>
          <w:tab w:val="clear" w:pos="567"/>
        </w:tabs>
        <w:spacing w:line="240" w:lineRule="auto"/>
        <w:rPr>
          <w:color w:val="000000"/>
          <w:szCs w:val="22"/>
          <w:lang w:val="hr-HR"/>
        </w:rPr>
      </w:pPr>
    </w:p>
    <w:p w14:paraId="7BADF1D9" w14:textId="77777777" w:rsidR="00633C4F" w:rsidRPr="00510442" w:rsidRDefault="00633C4F" w:rsidP="00AC2C24">
      <w:pPr>
        <w:widowControl w:val="0"/>
        <w:tabs>
          <w:tab w:val="clear" w:pos="567"/>
        </w:tabs>
        <w:spacing w:line="240" w:lineRule="auto"/>
        <w:rPr>
          <w:color w:val="000000"/>
          <w:szCs w:val="22"/>
          <w:lang w:val="hr-HR"/>
        </w:rPr>
      </w:pPr>
    </w:p>
    <w:p w14:paraId="5B2408BE" w14:textId="77777777" w:rsidR="00633C4F" w:rsidRPr="00510442" w:rsidRDefault="00633C4F" w:rsidP="00C1291A">
      <w:pPr>
        <w:widowControl w:val="0"/>
        <w:tabs>
          <w:tab w:val="clear" w:pos="567"/>
        </w:tabs>
        <w:spacing w:line="240" w:lineRule="auto"/>
        <w:rPr>
          <w:color w:val="000000"/>
          <w:szCs w:val="22"/>
          <w:lang w:val="hr-HR"/>
        </w:rPr>
      </w:pPr>
    </w:p>
    <w:p w14:paraId="1070450E" w14:textId="77777777" w:rsidR="00633C4F" w:rsidRPr="00510442" w:rsidRDefault="00633C4F" w:rsidP="0091773C">
      <w:pPr>
        <w:widowControl w:val="0"/>
        <w:tabs>
          <w:tab w:val="clear" w:pos="567"/>
        </w:tabs>
        <w:spacing w:line="240" w:lineRule="auto"/>
        <w:rPr>
          <w:color w:val="000000"/>
          <w:szCs w:val="22"/>
          <w:lang w:val="hr-HR"/>
        </w:rPr>
      </w:pPr>
    </w:p>
    <w:p w14:paraId="3E15F05E" w14:textId="77777777" w:rsidR="00633C4F" w:rsidRPr="00510442" w:rsidRDefault="00633C4F" w:rsidP="0091773C">
      <w:pPr>
        <w:widowControl w:val="0"/>
        <w:tabs>
          <w:tab w:val="clear" w:pos="567"/>
        </w:tabs>
        <w:spacing w:line="240" w:lineRule="auto"/>
        <w:rPr>
          <w:color w:val="000000"/>
          <w:szCs w:val="22"/>
          <w:lang w:val="hr-HR"/>
        </w:rPr>
      </w:pPr>
    </w:p>
    <w:p w14:paraId="6AB32E85" w14:textId="77777777" w:rsidR="00633C4F" w:rsidRPr="00510442" w:rsidRDefault="00633C4F" w:rsidP="0091773C">
      <w:pPr>
        <w:widowControl w:val="0"/>
        <w:tabs>
          <w:tab w:val="clear" w:pos="567"/>
        </w:tabs>
        <w:spacing w:line="240" w:lineRule="auto"/>
        <w:rPr>
          <w:color w:val="000000"/>
          <w:szCs w:val="22"/>
          <w:lang w:val="hr-HR"/>
        </w:rPr>
      </w:pPr>
    </w:p>
    <w:p w14:paraId="770CA57D" w14:textId="77777777" w:rsidR="00633C4F" w:rsidRPr="00510442" w:rsidRDefault="00633C4F" w:rsidP="0091773C">
      <w:pPr>
        <w:widowControl w:val="0"/>
        <w:tabs>
          <w:tab w:val="clear" w:pos="567"/>
        </w:tabs>
        <w:spacing w:line="240" w:lineRule="auto"/>
        <w:rPr>
          <w:color w:val="000000"/>
          <w:szCs w:val="22"/>
          <w:lang w:val="hr-HR"/>
        </w:rPr>
      </w:pPr>
    </w:p>
    <w:p w14:paraId="3B35B24F" w14:textId="77777777" w:rsidR="00633C4F" w:rsidRPr="00510442" w:rsidRDefault="00633C4F" w:rsidP="0091773C">
      <w:pPr>
        <w:widowControl w:val="0"/>
        <w:tabs>
          <w:tab w:val="clear" w:pos="567"/>
        </w:tabs>
        <w:spacing w:line="240" w:lineRule="auto"/>
        <w:rPr>
          <w:color w:val="000000"/>
          <w:szCs w:val="22"/>
          <w:lang w:val="hr-HR"/>
        </w:rPr>
      </w:pPr>
    </w:p>
    <w:p w14:paraId="16064AF5" w14:textId="77777777" w:rsidR="00633C4F" w:rsidRPr="00510442" w:rsidRDefault="00633C4F" w:rsidP="0091773C">
      <w:pPr>
        <w:widowControl w:val="0"/>
        <w:tabs>
          <w:tab w:val="clear" w:pos="567"/>
        </w:tabs>
        <w:spacing w:line="240" w:lineRule="auto"/>
        <w:rPr>
          <w:color w:val="000000"/>
          <w:szCs w:val="22"/>
          <w:lang w:val="hr-HR"/>
        </w:rPr>
      </w:pPr>
    </w:p>
    <w:p w14:paraId="0A764CB5" w14:textId="77777777" w:rsidR="00633C4F" w:rsidRDefault="00633C4F" w:rsidP="0091773C">
      <w:pPr>
        <w:widowControl w:val="0"/>
        <w:tabs>
          <w:tab w:val="clear" w:pos="567"/>
        </w:tabs>
        <w:spacing w:line="240" w:lineRule="auto"/>
        <w:rPr>
          <w:color w:val="000000"/>
          <w:szCs w:val="22"/>
          <w:lang w:val="hr-HR"/>
        </w:rPr>
      </w:pPr>
    </w:p>
    <w:p w14:paraId="77697BF7" w14:textId="77777777" w:rsidR="006E43C6" w:rsidRPr="00510442" w:rsidRDefault="006E43C6" w:rsidP="0091773C">
      <w:pPr>
        <w:widowControl w:val="0"/>
        <w:tabs>
          <w:tab w:val="clear" w:pos="567"/>
        </w:tabs>
        <w:spacing w:line="240" w:lineRule="auto"/>
        <w:rPr>
          <w:color w:val="000000"/>
          <w:szCs w:val="22"/>
          <w:lang w:val="hr-HR"/>
        </w:rPr>
      </w:pPr>
    </w:p>
    <w:p w14:paraId="24C5A61F" w14:textId="77777777" w:rsidR="00BA7BD2" w:rsidRPr="00510442" w:rsidRDefault="00BA7BD2" w:rsidP="0091773C">
      <w:pPr>
        <w:tabs>
          <w:tab w:val="clear" w:pos="567"/>
        </w:tabs>
        <w:spacing w:line="240" w:lineRule="auto"/>
        <w:jc w:val="center"/>
        <w:outlineLvl w:val="0"/>
        <w:rPr>
          <w:szCs w:val="22"/>
          <w:lang w:val="hr-HR"/>
        </w:rPr>
      </w:pPr>
      <w:r w:rsidRPr="00510442">
        <w:rPr>
          <w:b/>
          <w:szCs w:val="22"/>
          <w:lang w:val="hr-HR"/>
        </w:rPr>
        <w:t>A. OZNAČ</w:t>
      </w:r>
      <w:r w:rsidR="00067CEC" w:rsidRPr="00510442">
        <w:rPr>
          <w:b/>
          <w:szCs w:val="22"/>
          <w:lang w:val="hr-HR"/>
        </w:rPr>
        <w:t>I</w:t>
      </w:r>
      <w:r w:rsidRPr="00510442">
        <w:rPr>
          <w:b/>
          <w:szCs w:val="22"/>
          <w:lang w:val="hr-HR"/>
        </w:rPr>
        <w:t>VANJE</w:t>
      </w:r>
    </w:p>
    <w:p w14:paraId="4D82C29C" w14:textId="77777777" w:rsidR="00633C4F" w:rsidRPr="00510442" w:rsidRDefault="00633C4F" w:rsidP="0091773C">
      <w:pPr>
        <w:tabs>
          <w:tab w:val="clear" w:pos="567"/>
        </w:tabs>
        <w:spacing w:line="240" w:lineRule="auto"/>
        <w:rPr>
          <w:color w:val="000000"/>
          <w:szCs w:val="22"/>
          <w:lang w:val="hr-HR"/>
        </w:rPr>
      </w:pPr>
      <w:r w:rsidRPr="00510442">
        <w:rPr>
          <w:color w:val="000000"/>
          <w:szCs w:val="22"/>
          <w:lang w:val="hr-HR"/>
        </w:rPr>
        <w:br w:type="page"/>
      </w:r>
    </w:p>
    <w:p w14:paraId="454DB467" w14:textId="77777777" w:rsidR="006E43C6" w:rsidRPr="006E43C6" w:rsidRDefault="006E43C6" w:rsidP="006E43C6">
      <w:pPr>
        <w:tabs>
          <w:tab w:val="clear" w:pos="567"/>
        </w:tabs>
        <w:spacing w:line="240" w:lineRule="auto"/>
        <w:rPr>
          <w:szCs w:val="22"/>
          <w:lang w:val="hr-HR"/>
        </w:rPr>
      </w:pPr>
    </w:p>
    <w:p w14:paraId="510EAB02" w14:textId="77777777" w:rsidR="003A274D" w:rsidRPr="00510442" w:rsidRDefault="003A274D" w:rsidP="003A274D">
      <w:pPr>
        <w:pBdr>
          <w:top w:val="single" w:sz="4" w:space="1" w:color="auto"/>
          <w:left w:val="single" w:sz="4" w:space="4" w:color="auto"/>
          <w:bottom w:val="single" w:sz="4" w:space="1" w:color="auto"/>
          <w:right w:val="single" w:sz="4" w:space="4" w:color="auto"/>
        </w:pBdr>
        <w:tabs>
          <w:tab w:val="clear" w:pos="567"/>
        </w:tabs>
        <w:spacing w:line="240" w:lineRule="auto"/>
        <w:rPr>
          <w:b/>
          <w:color w:val="000000"/>
          <w:szCs w:val="22"/>
          <w:lang w:val="hr-HR"/>
        </w:rPr>
      </w:pPr>
      <w:r w:rsidRPr="00510442">
        <w:rPr>
          <w:b/>
          <w:szCs w:val="22"/>
          <w:lang w:val="hr-HR"/>
        </w:rPr>
        <w:t xml:space="preserve">PODACI KOJI SE MORAJU NALAZITI NA VANJSKOM </w:t>
      </w:r>
      <w:r w:rsidR="006B3A0B" w:rsidRPr="00510442">
        <w:rPr>
          <w:b/>
          <w:szCs w:val="22"/>
          <w:lang w:val="hr-HR"/>
        </w:rPr>
        <w:t>PAKIRANJU</w:t>
      </w:r>
    </w:p>
    <w:p w14:paraId="3AC35287" w14:textId="77777777" w:rsidR="003A274D" w:rsidRPr="00510442" w:rsidRDefault="003A274D" w:rsidP="003A274D">
      <w:pPr>
        <w:pBdr>
          <w:top w:val="single" w:sz="4" w:space="1" w:color="auto"/>
          <w:left w:val="single" w:sz="4" w:space="4" w:color="auto"/>
          <w:bottom w:val="single" w:sz="4" w:space="1" w:color="auto"/>
          <w:right w:val="single" w:sz="4" w:space="4" w:color="auto"/>
        </w:pBdr>
        <w:tabs>
          <w:tab w:val="clear" w:pos="567"/>
        </w:tabs>
        <w:spacing w:line="240" w:lineRule="auto"/>
        <w:rPr>
          <w:color w:val="000000"/>
          <w:szCs w:val="22"/>
          <w:lang w:val="hr-HR"/>
        </w:rPr>
      </w:pPr>
    </w:p>
    <w:p w14:paraId="7241E6F9" w14:textId="77777777" w:rsidR="003A274D" w:rsidRPr="00510442" w:rsidRDefault="003A274D" w:rsidP="003A274D">
      <w:pPr>
        <w:pBdr>
          <w:top w:val="single" w:sz="4" w:space="1" w:color="auto"/>
          <w:left w:val="single" w:sz="4" w:space="4" w:color="auto"/>
          <w:bottom w:val="single" w:sz="4" w:space="1" w:color="auto"/>
          <w:right w:val="single" w:sz="4" w:space="4" w:color="auto"/>
        </w:pBdr>
        <w:spacing w:line="240" w:lineRule="auto"/>
        <w:rPr>
          <w:b/>
          <w:color w:val="000000"/>
          <w:szCs w:val="22"/>
          <w:lang w:val="hr-HR"/>
        </w:rPr>
      </w:pPr>
      <w:r w:rsidRPr="00510442">
        <w:rPr>
          <w:b/>
          <w:color w:val="000000"/>
          <w:szCs w:val="22"/>
          <w:lang w:val="hr-HR"/>
        </w:rPr>
        <w:t>KARTONSKA KUTIJA</w:t>
      </w:r>
    </w:p>
    <w:p w14:paraId="6546C7CE" w14:textId="77777777" w:rsidR="003A274D" w:rsidRPr="00510442" w:rsidRDefault="003A274D" w:rsidP="003A274D">
      <w:pPr>
        <w:tabs>
          <w:tab w:val="clear" w:pos="567"/>
        </w:tabs>
        <w:spacing w:line="240" w:lineRule="auto"/>
        <w:rPr>
          <w:color w:val="000000"/>
          <w:szCs w:val="22"/>
          <w:lang w:val="hr-HR"/>
        </w:rPr>
      </w:pPr>
    </w:p>
    <w:p w14:paraId="676C12A9" w14:textId="77777777" w:rsidR="003A274D" w:rsidRPr="00510442" w:rsidRDefault="003A274D" w:rsidP="003A274D">
      <w:pPr>
        <w:tabs>
          <w:tab w:val="clear" w:pos="567"/>
        </w:tabs>
        <w:spacing w:line="240" w:lineRule="auto"/>
        <w:rPr>
          <w:color w:val="000000"/>
          <w:szCs w:val="22"/>
          <w:lang w:val="hr-HR"/>
        </w:rPr>
      </w:pPr>
    </w:p>
    <w:p w14:paraId="3814BBA8" w14:textId="77777777" w:rsidR="003A274D" w:rsidRPr="00510442" w:rsidRDefault="003A274D" w:rsidP="003A274D">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hr-HR"/>
        </w:rPr>
      </w:pPr>
      <w:r w:rsidRPr="00510442">
        <w:rPr>
          <w:b/>
          <w:color w:val="000000"/>
          <w:szCs w:val="22"/>
          <w:lang w:val="hr-HR"/>
        </w:rPr>
        <w:t>1.</w:t>
      </w:r>
      <w:r w:rsidRPr="00510442">
        <w:rPr>
          <w:b/>
          <w:color w:val="000000"/>
          <w:szCs w:val="22"/>
          <w:lang w:val="hr-HR"/>
        </w:rPr>
        <w:tab/>
      </w:r>
      <w:r w:rsidRPr="00510442">
        <w:rPr>
          <w:b/>
          <w:szCs w:val="22"/>
          <w:lang w:val="hr-HR"/>
        </w:rPr>
        <w:t>NAZIV LIJEKA</w:t>
      </w:r>
    </w:p>
    <w:p w14:paraId="0E6FE2D8" w14:textId="77777777" w:rsidR="003A274D" w:rsidRPr="00510442" w:rsidRDefault="003A274D" w:rsidP="003A274D">
      <w:pPr>
        <w:widowControl w:val="0"/>
        <w:tabs>
          <w:tab w:val="clear" w:pos="567"/>
        </w:tabs>
        <w:spacing w:line="240" w:lineRule="auto"/>
        <w:rPr>
          <w:color w:val="000000"/>
          <w:szCs w:val="22"/>
          <w:lang w:val="hr-HR"/>
        </w:rPr>
      </w:pPr>
    </w:p>
    <w:p w14:paraId="755E1E88" w14:textId="77777777" w:rsidR="003A274D" w:rsidRPr="00510442" w:rsidRDefault="003A274D" w:rsidP="00DB1645">
      <w:pPr>
        <w:widowControl w:val="0"/>
        <w:tabs>
          <w:tab w:val="clear" w:pos="567"/>
        </w:tabs>
        <w:spacing w:line="240" w:lineRule="auto"/>
        <w:rPr>
          <w:color w:val="000000"/>
          <w:szCs w:val="22"/>
          <w:lang w:val="hr-HR"/>
        </w:rPr>
      </w:pPr>
      <w:r w:rsidRPr="00510442">
        <w:rPr>
          <w:color w:val="000000"/>
          <w:szCs w:val="22"/>
          <w:lang w:val="hr-HR"/>
        </w:rPr>
        <w:t>Glivec 100 mg tvrde kapsule</w:t>
      </w:r>
    </w:p>
    <w:p w14:paraId="36C62BBC" w14:textId="77777777" w:rsidR="003A274D" w:rsidRPr="00510442" w:rsidRDefault="003A274D" w:rsidP="003A274D">
      <w:pPr>
        <w:widowControl w:val="0"/>
        <w:tabs>
          <w:tab w:val="clear" w:pos="567"/>
        </w:tabs>
        <w:spacing w:line="240" w:lineRule="auto"/>
        <w:rPr>
          <w:color w:val="000000"/>
          <w:szCs w:val="22"/>
          <w:lang w:val="hr-HR"/>
        </w:rPr>
      </w:pPr>
      <w:r w:rsidRPr="00510442">
        <w:rPr>
          <w:color w:val="000000"/>
          <w:szCs w:val="22"/>
          <w:lang w:val="hr-HR"/>
        </w:rPr>
        <w:t>imatinib</w:t>
      </w:r>
    </w:p>
    <w:p w14:paraId="6B88AD87" w14:textId="77777777" w:rsidR="003A274D" w:rsidRPr="00510442" w:rsidRDefault="003A274D" w:rsidP="003A274D">
      <w:pPr>
        <w:tabs>
          <w:tab w:val="clear" w:pos="567"/>
        </w:tabs>
        <w:spacing w:line="240" w:lineRule="auto"/>
        <w:rPr>
          <w:color w:val="000000"/>
          <w:szCs w:val="22"/>
          <w:lang w:val="hr-HR"/>
        </w:rPr>
      </w:pPr>
    </w:p>
    <w:p w14:paraId="7575F2E6" w14:textId="77777777" w:rsidR="003A274D" w:rsidRPr="00510442" w:rsidRDefault="003A274D" w:rsidP="003A274D">
      <w:pPr>
        <w:tabs>
          <w:tab w:val="clear" w:pos="567"/>
        </w:tabs>
        <w:spacing w:line="240" w:lineRule="auto"/>
        <w:rPr>
          <w:color w:val="000000"/>
          <w:szCs w:val="22"/>
          <w:lang w:val="hr-HR"/>
        </w:rPr>
      </w:pPr>
    </w:p>
    <w:p w14:paraId="48F46042" w14:textId="77777777" w:rsidR="003A274D" w:rsidRPr="00510442" w:rsidRDefault="003A274D" w:rsidP="003A274D">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hr-HR"/>
        </w:rPr>
      </w:pPr>
      <w:r w:rsidRPr="00510442">
        <w:rPr>
          <w:b/>
          <w:color w:val="000000"/>
          <w:szCs w:val="22"/>
          <w:lang w:val="hr-HR"/>
        </w:rPr>
        <w:t>2.</w:t>
      </w:r>
      <w:r w:rsidRPr="00510442">
        <w:rPr>
          <w:b/>
          <w:color w:val="000000"/>
          <w:szCs w:val="22"/>
          <w:lang w:val="hr-HR"/>
        </w:rPr>
        <w:tab/>
      </w:r>
      <w:r w:rsidR="006B3A0B" w:rsidRPr="00510442">
        <w:rPr>
          <w:b/>
          <w:color w:val="000000"/>
          <w:szCs w:val="22"/>
          <w:lang w:val="hr-HR"/>
        </w:rPr>
        <w:t>NAVOĐENJE</w:t>
      </w:r>
      <w:r w:rsidRPr="00510442">
        <w:rPr>
          <w:b/>
          <w:szCs w:val="22"/>
          <w:lang w:val="hr-HR"/>
        </w:rPr>
        <w:t xml:space="preserve"> DJELATN</w:t>
      </w:r>
      <w:r w:rsidR="006B3A0B" w:rsidRPr="00510442">
        <w:rPr>
          <w:b/>
          <w:szCs w:val="22"/>
          <w:lang w:val="hr-HR"/>
        </w:rPr>
        <w:t>E</w:t>
      </w:r>
      <w:r w:rsidR="005C43A6" w:rsidRPr="00510442">
        <w:rPr>
          <w:b/>
          <w:szCs w:val="22"/>
          <w:lang w:val="hr-HR"/>
        </w:rPr>
        <w:t>(</w:t>
      </w:r>
      <w:r w:rsidRPr="00510442">
        <w:rPr>
          <w:b/>
          <w:szCs w:val="22"/>
          <w:lang w:val="hr-HR"/>
        </w:rPr>
        <w:t>IH</w:t>
      </w:r>
      <w:r w:rsidR="005C43A6" w:rsidRPr="00510442">
        <w:rPr>
          <w:b/>
          <w:szCs w:val="22"/>
          <w:lang w:val="hr-HR"/>
        </w:rPr>
        <w:t>)</w:t>
      </w:r>
      <w:r w:rsidRPr="00510442">
        <w:rPr>
          <w:b/>
          <w:szCs w:val="22"/>
          <w:lang w:val="hr-HR"/>
        </w:rPr>
        <w:t xml:space="preserve"> TVARI</w:t>
      </w:r>
    </w:p>
    <w:p w14:paraId="621DA3CF" w14:textId="77777777" w:rsidR="003A274D" w:rsidRPr="00510442" w:rsidRDefault="003A274D" w:rsidP="003A274D">
      <w:pPr>
        <w:tabs>
          <w:tab w:val="clear" w:pos="567"/>
        </w:tabs>
        <w:spacing w:line="240" w:lineRule="auto"/>
        <w:rPr>
          <w:color w:val="000000"/>
          <w:szCs w:val="22"/>
          <w:lang w:val="hr-HR"/>
        </w:rPr>
      </w:pPr>
    </w:p>
    <w:p w14:paraId="26222241" w14:textId="77777777" w:rsidR="003A274D" w:rsidRPr="00510442" w:rsidRDefault="003A274D" w:rsidP="00DB1645">
      <w:pPr>
        <w:pStyle w:val="Text"/>
        <w:widowControl w:val="0"/>
        <w:spacing w:before="0"/>
        <w:jc w:val="left"/>
        <w:rPr>
          <w:color w:val="000000"/>
          <w:sz w:val="22"/>
          <w:szCs w:val="22"/>
          <w:lang w:val="hr-HR"/>
        </w:rPr>
      </w:pPr>
      <w:r w:rsidRPr="00510442">
        <w:rPr>
          <w:color w:val="000000"/>
          <w:sz w:val="22"/>
          <w:szCs w:val="22"/>
          <w:lang w:val="hr-HR"/>
        </w:rPr>
        <w:t>Svaka kapsula sadrži 100 mg imatiniba (</w:t>
      </w:r>
      <w:r w:rsidRPr="00510442">
        <w:rPr>
          <w:bCs/>
          <w:sz w:val="22"/>
          <w:szCs w:val="22"/>
          <w:lang w:val="hr-HR"/>
        </w:rPr>
        <w:t>u obliku imatinibmesilata</w:t>
      </w:r>
      <w:r w:rsidRPr="00510442">
        <w:rPr>
          <w:color w:val="000000"/>
          <w:sz w:val="22"/>
          <w:szCs w:val="22"/>
          <w:lang w:val="hr-HR"/>
        </w:rPr>
        <w:t>).</w:t>
      </w:r>
    </w:p>
    <w:p w14:paraId="0688DA3A" w14:textId="77777777" w:rsidR="003A274D" w:rsidRPr="00510442" w:rsidRDefault="003A274D" w:rsidP="003A274D">
      <w:pPr>
        <w:tabs>
          <w:tab w:val="clear" w:pos="567"/>
        </w:tabs>
        <w:spacing w:line="240" w:lineRule="auto"/>
        <w:rPr>
          <w:color w:val="000000"/>
          <w:szCs w:val="22"/>
          <w:lang w:val="hr-HR"/>
        </w:rPr>
      </w:pPr>
    </w:p>
    <w:p w14:paraId="4B28A8E7" w14:textId="77777777" w:rsidR="003A274D" w:rsidRPr="00510442" w:rsidRDefault="003A274D" w:rsidP="003A274D">
      <w:pPr>
        <w:tabs>
          <w:tab w:val="clear" w:pos="567"/>
        </w:tabs>
        <w:spacing w:line="240" w:lineRule="auto"/>
        <w:rPr>
          <w:color w:val="000000"/>
          <w:szCs w:val="22"/>
          <w:lang w:val="hr-HR"/>
        </w:rPr>
      </w:pPr>
    </w:p>
    <w:p w14:paraId="71E48AD8" w14:textId="77777777" w:rsidR="003A274D" w:rsidRPr="00510442" w:rsidRDefault="003A274D" w:rsidP="003A274D">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hr-HR"/>
        </w:rPr>
      </w:pPr>
      <w:r w:rsidRPr="00510442">
        <w:rPr>
          <w:b/>
          <w:color w:val="000000"/>
          <w:szCs w:val="22"/>
          <w:lang w:val="hr-HR"/>
        </w:rPr>
        <w:t>3.</w:t>
      </w:r>
      <w:r w:rsidRPr="00510442">
        <w:rPr>
          <w:b/>
          <w:color w:val="000000"/>
          <w:szCs w:val="22"/>
          <w:lang w:val="hr-HR"/>
        </w:rPr>
        <w:tab/>
      </w:r>
      <w:r w:rsidRPr="00510442">
        <w:rPr>
          <w:b/>
          <w:szCs w:val="22"/>
          <w:lang w:val="hr-HR"/>
        </w:rPr>
        <w:t>POPIS POMOĆNIH TVARI</w:t>
      </w:r>
    </w:p>
    <w:p w14:paraId="67AF7402" w14:textId="77777777" w:rsidR="003A274D" w:rsidRPr="00510442" w:rsidRDefault="003A274D" w:rsidP="003A274D">
      <w:pPr>
        <w:tabs>
          <w:tab w:val="clear" w:pos="567"/>
        </w:tabs>
        <w:spacing w:line="240" w:lineRule="auto"/>
        <w:rPr>
          <w:color w:val="000000"/>
          <w:szCs w:val="22"/>
          <w:lang w:val="hr-HR"/>
        </w:rPr>
      </w:pPr>
    </w:p>
    <w:p w14:paraId="51024E29" w14:textId="77777777" w:rsidR="003A274D" w:rsidRPr="00510442" w:rsidRDefault="003A274D" w:rsidP="003A274D">
      <w:pPr>
        <w:tabs>
          <w:tab w:val="clear" w:pos="567"/>
        </w:tabs>
        <w:spacing w:line="240" w:lineRule="auto"/>
        <w:rPr>
          <w:color w:val="000000"/>
          <w:szCs w:val="22"/>
          <w:lang w:val="hr-HR"/>
        </w:rPr>
      </w:pPr>
    </w:p>
    <w:p w14:paraId="607D6823" w14:textId="77777777" w:rsidR="003A274D" w:rsidRPr="00510442" w:rsidRDefault="003A274D" w:rsidP="003A274D">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hr-HR"/>
        </w:rPr>
      </w:pPr>
      <w:r w:rsidRPr="00510442">
        <w:rPr>
          <w:b/>
          <w:color w:val="000000"/>
          <w:szCs w:val="22"/>
          <w:lang w:val="hr-HR"/>
        </w:rPr>
        <w:t>4.</w:t>
      </w:r>
      <w:r w:rsidRPr="00510442">
        <w:rPr>
          <w:b/>
          <w:color w:val="000000"/>
          <w:szCs w:val="22"/>
          <w:lang w:val="hr-HR"/>
        </w:rPr>
        <w:tab/>
      </w:r>
      <w:r w:rsidRPr="00510442">
        <w:rPr>
          <w:b/>
          <w:szCs w:val="22"/>
          <w:lang w:val="hr-HR"/>
        </w:rPr>
        <w:t>FARMACEUTSKI OBLIK I SADRŽAJ</w:t>
      </w:r>
    </w:p>
    <w:p w14:paraId="46110079" w14:textId="77777777" w:rsidR="003A274D" w:rsidRPr="00510442" w:rsidRDefault="003A274D" w:rsidP="003A274D">
      <w:pPr>
        <w:tabs>
          <w:tab w:val="clear" w:pos="567"/>
        </w:tabs>
        <w:spacing w:line="240" w:lineRule="auto"/>
        <w:rPr>
          <w:color w:val="000000"/>
          <w:szCs w:val="22"/>
          <w:lang w:val="hr-HR"/>
        </w:rPr>
      </w:pPr>
    </w:p>
    <w:p w14:paraId="154C022B" w14:textId="77777777" w:rsidR="003A274D" w:rsidRPr="00510442" w:rsidRDefault="003A274D" w:rsidP="00004FA1">
      <w:pPr>
        <w:pStyle w:val="EndnoteText"/>
        <w:widowControl w:val="0"/>
        <w:rPr>
          <w:color w:val="000000"/>
          <w:szCs w:val="22"/>
          <w:lang w:val="hr-HR"/>
        </w:rPr>
      </w:pPr>
      <w:r w:rsidRPr="00510442">
        <w:rPr>
          <w:color w:val="000000"/>
          <w:szCs w:val="22"/>
          <w:lang w:val="hr-HR"/>
        </w:rPr>
        <w:t>24 tvrdih kapsula</w:t>
      </w:r>
    </w:p>
    <w:p w14:paraId="1FFBE7CA" w14:textId="77777777" w:rsidR="003A274D" w:rsidRPr="00510442" w:rsidRDefault="003A274D" w:rsidP="00004FA1">
      <w:pPr>
        <w:tabs>
          <w:tab w:val="clear" w:pos="567"/>
        </w:tabs>
        <w:spacing w:line="240" w:lineRule="auto"/>
        <w:rPr>
          <w:color w:val="000000"/>
          <w:szCs w:val="22"/>
          <w:shd w:val="clear" w:color="auto" w:fill="D9D9D9"/>
          <w:lang w:val="hr-HR"/>
        </w:rPr>
      </w:pPr>
      <w:r w:rsidRPr="00510442">
        <w:rPr>
          <w:color w:val="000000"/>
          <w:szCs w:val="22"/>
          <w:shd w:val="clear" w:color="auto" w:fill="D9D9D9"/>
          <w:lang w:val="hr-HR"/>
        </w:rPr>
        <w:t>48 tvrdih kapsula</w:t>
      </w:r>
    </w:p>
    <w:p w14:paraId="1DF804C1" w14:textId="77777777" w:rsidR="003A274D" w:rsidRPr="00510442" w:rsidRDefault="003A274D" w:rsidP="00004FA1">
      <w:pPr>
        <w:tabs>
          <w:tab w:val="clear" w:pos="567"/>
        </w:tabs>
        <w:spacing w:line="240" w:lineRule="auto"/>
        <w:rPr>
          <w:color w:val="000000"/>
          <w:szCs w:val="22"/>
          <w:shd w:val="clear" w:color="auto" w:fill="D9D9D9"/>
          <w:lang w:val="hr-HR"/>
        </w:rPr>
      </w:pPr>
      <w:r w:rsidRPr="00510442">
        <w:rPr>
          <w:color w:val="000000"/>
          <w:szCs w:val="22"/>
          <w:shd w:val="clear" w:color="auto" w:fill="D9D9D9"/>
          <w:lang w:val="hr-HR"/>
        </w:rPr>
        <w:t>96 tvrdih kapsula</w:t>
      </w:r>
    </w:p>
    <w:p w14:paraId="4EDB27D2" w14:textId="77777777" w:rsidR="003A274D" w:rsidRPr="00510442" w:rsidRDefault="003A274D" w:rsidP="00004FA1">
      <w:pPr>
        <w:tabs>
          <w:tab w:val="clear" w:pos="567"/>
        </w:tabs>
        <w:spacing w:line="240" w:lineRule="auto"/>
        <w:rPr>
          <w:color w:val="000000"/>
          <w:szCs w:val="22"/>
          <w:shd w:val="clear" w:color="auto" w:fill="D9D9D9"/>
          <w:lang w:val="hr-HR"/>
        </w:rPr>
      </w:pPr>
      <w:r w:rsidRPr="00510442">
        <w:rPr>
          <w:color w:val="000000"/>
          <w:szCs w:val="22"/>
          <w:shd w:val="clear" w:color="auto" w:fill="D9D9D9"/>
          <w:lang w:val="hr-HR"/>
        </w:rPr>
        <w:t>120 tvrdih kapsula</w:t>
      </w:r>
    </w:p>
    <w:p w14:paraId="4893769C" w14:textId="77777777" w:rsidR="003A274D" w:rsidRPr="00510442" w:rsidRDefault="003A274D" w:rsidP="00004FA1">
      <w:pPr>
        <w:tabs>
          <w:tab w:val="clear" w:pos="567"/>
        </w:tabs>
        <w:spacing w:line="240" w:lineRule="auto"/>
        <w:rPr>
          <w:color w:val="000000"/>
          <w:szCs w:val="22"/>
          <w:shd w:val="clear" w:color="auto" w:fill="D9D9D9"/>
          <w:lang w:val="hr-HR"/>
        </w:rPr>
      </w:pPr>
      <w:r w:rsidRPr="00510442">
        <w:rPr>
          <w:color w:val="000000"/>
          <w:szCs w:val="22"/>
          <w:shd w:val="clear" w:color="auto" w:fill="D9D9D9"/>
          <w:lang w:val="hr-HR"/>
        </w:rPr>
        <w:t>180 tvrdih kapsula</w:t>
      </w:r>
    </w:p>
    <w:p w14:paraId="5C3A17E9" w14:textId="77777777" w:rsidR="003A274D" w:rsidRPr="00510442" w:rsidRDefault="003A274D" w:rsidP="003A274D">
      <w:pPr>
        <w:tabs>
          <w:tab w:val="clear" w:pos="567"/>
        </w:tabs>
        <w:spacing w:line="240" w:lineRule="auto"/>
        <w:rPr>
          <w:color w:val="000000"/>
          <w:szCs w:val="22"/>
          <w:lang w:val="hr-HR"/>
        </w:rPr>
      </w:pPr>
    </w:p>
    <w:p w14:paraId="3BB42C4C" w14:textId="77777777" w:rsidR="003A274D" w:rsidRPr="00510442" w:rsidRDefault="003A274D" w:rsidP="003A274D">
      <w:pPr>
        <w:tabs>
          <w:tab w:val="clear" w:pos="567"/>
        </w:tabs>
        <w:spacing w:line="240" w:lineRule="auto"/>
        <w:rPr>
          <w:color w:val="000000"/>
          <w:szCs w:val="22"/>
          <w:lang w:val="hr-HR"/>
        </w:rPr>
      </w:pPr>
    </w:p>
    <w:p w14:paraId="0A14339C" w14:textId="77777777" w:rsidR="003A274D" w:rsidRPr="00510442" w:rsidRDefault="003A274D" w:rsidP="003A274D">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hr-HR"/>
        </w:rPr>
      </w:pPr>
      <w:r w:rsidRPr="00510442">
        <w:rPr>
          <w:b/>
          <w:color w:val="000000"/>
          <w:szCs w:val="22"/>
          <w:lang w:val="hr-HR"/>
        </w:rPr>
        <w:t>5.</w:t>
      </w:r>
      <w:r w:rsidRPr="00510442">
        <w:rPr>
          <w:b/>
          <w:color w:val="000000"/>
          <w:szCs w:val="22"/>
          <w:lang w:val="hr-HR"/>
        </w:rPr>
        <w:tab/>
      </w:r>
      <w:r w:rsidRPr="00510442">
        <w:rPr>
          <w:b/>
          <w:szCs w:val="22"/>
          <w:lang w:val="hr-HR"/>
        </w:rPr>
        <w:t>NAČIN I PUT(EVI) PRIMJENE LIJEKA</w:t>
      </w:r>
    </w:p>
    <w:p w14:paraId="440C8C89" w14:textId="77777777" w:rsidR="003A274D" w:rsidRPr="00510442" w:rsidRDefault="003A274D" w:rsidP="003A274D">
      <w:pPr>
        <w:tabs>
          <w:tab w:val="clear" w:pos="567"/>
        </w:tabs>
        <w:spacing w:line="240" w:lineRule="auto"/>
        <w:rPr>
          <w:color w:val="000000"/>
          <w:szCs w:val="22"/>
          <w:lang w:val="hr-HR"/>
        </w:rPr>
      </w:pPr>
    </w:p>
    <w:p w14:paraId="30784BB2" w14:textId="77777777" w:rsidR="003A274D" w:rsidRPr="00510442" w:rsidRDefault="000D0343" w:rsidP="003A274D">
      <w:pPr>
        <w:pStyle w:val="EndnoteText"/>
        <w:widowControl w:val="0"/>
        <w:tabs>
          <w:tab w:val="clear" w:pos="567"/>
        </w:tabs>
        <w:rPr>
          <w:color w:val="000000"/>
          <w:szCs w:val="22"/>
          <w:lang w:val="hr-HR"/>
        </w:rPr>
      </w:pPr>
      <w:r w:rsidRPr="00510442">
        <w:rPr>
          <w:color w:val="000000"/>
          <w:szCs w:val="22"/>
          <w:lang w:val="hr-HR"/>
        </w:rPr>
        <w:t>Primjena k</w:t>
      </w:r>
      <w:r w:rsidR="003A274D" w:rsidRPr="00510442">
        <w:rPr>
          <w:color w:val="000000"/>
          <w:szCs w:val="22"/>
          <w:lang w:val="hr-HR"/>
        </w:rPr>
        <w:t xml:space="preserve">roz usta. </w:t>
      </w:r>
      <w:r w:rsidR="003A274D" w:rsidRPr="00510442">
        <w:rPr>
          <w:szCs w:val="22"/>
          <w:lang w:val="hr-HR"/>
        </w:rPr>
        <w:t xml:space="preserve">Prije uporabe pročitajte </w:t>
      </w:r>
      <w:r w:rsidR="001E7036" w:rsidRPr="00510442">
        <w:rPr>
          <w:szCs w:val="22"/>
          <w:lang w:val="hr-HR"/>
        </w:rPr>
        <w:t>u</w:t>
      </w:r>
      <w:r w:rsidR="003A274D" w:rsidRPr="00510442">
        <w:rPr>
          <w:szCs w:val="22"/>
          <w:lang w:val="hr-HR"/>
        </w:rPr>
        <w:t>putu o lijeku</w:t>
      </w:r>
      <w:r w:rsidR="003A274D" w:rsidRPr="00510442">
        <w:rPr>
          <w:color w:val="000000"/>
          <w:szCs w:val="22"/>
          <w:lang w:val="hr-HR"/>
        </w:rPr>
        <w:t>.</w:t>
      </w:r>
    </w:p>
    <w:p w14:paraId="11FCC309" w14:textId="77777777" w:rsidR="003A274D" w:rsidRPr="00510442" w:rsidRDefault="003A274D" w:rsidP="003A274D">
      <w:pPr>
        <w:tabs>
          <w:tab w:val="clear" w:pos="567"/>
        </w:tabs>
        <w:spacing w:line="240" w:lineRule="auto"/>
        <w:rPr>
          <w:color w:val="000000"/>
          <w:szCs w:val="22"/>
          <w:lang w:val="hr-HR"/>
        </w:rPr>
      </w:pPr>
    </w:p>
    <w:p w14:paraId="28D2DBCE" w14:textId="77777777" w:rsidR="003A274D" w:rsidRPr="00510442" w:rsidRDefault="003A274D" w:rsidP="003A274D">
      <w:pPr>
        <w:tabs>
          <w:tab w:val="clear" w:pos="567"/>
        </w:tabs>
        <w:spacing w:line="240" w:lineRule="auto"/>
        <w:rPr>
          <w:color w:val="000000"/>
          <w:szCs w:val="22"/>
          <w:lang w:val="hr-HR"/>
        </w:rPr>
      </w:pPr>
    </w:p>
    <w:p w14:paraId="3C4735C5" w14:textId="77777777" w:rsidR="003A274D" w:rsidRPr="00510442" w:rsidRDefault="003A274D" w:rsidP="003A274D">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hr-HR"/>
        </w:rPr>
      </w:pPr>
      <w:r w:rsidRPr="00510442">
        <w:rPr>
          <w:b/>
          <w:color w:val="000000"/>
          <w:szCs w:val="22"/>
          <w:lang w:val="hr-HR"/>
        </w:rPr>
        <w:t>6.</w:t>
      </w:r>
      <w:r w:rsidRPr="00510442">
        <w:rPr>
          <w:b/>
          <w:color w:val="000000"/>
          <w:szCs w:val="22"/>
          <w:lang w:val="hr-HR"/>
        </w:rPr>
        <w:tab/>
      </w:r>
      <w:r w:rsidRPr="00510442">
        <w:rPr>
          <w:b/>
          <w:szCs w:val="22"/>
          <w:lang w:val="hr-HR"/>
        </w:rPr>
        <w:t>POSEBNO UPOZORENJE</w:t>
      </w:r>
      <w:r w:rsidR="006B3A0B" w:rsidRPr="00510442">
        <w:rPr>
          <w:b/>
          <w:szCs w:val="22"/>
          <w:lang w:val="hr-HR"/>
        </w:rPr>
        <w:t xml:space="preserve"> O ČUVANJU LIJEKA</w:t>
      </w:r>
      <w:r w:rsidRPr="00510442">
        <w:rPr>
          <w:b/>
          <w:szCs w:val="22"/>
          <w:lang w:val="hr-HR"/>
        </w:rPr>
        <w:t xml:space="preserve"> IZVAN POGLEDA I DOHVATA DJECE</w:t>
      </w:r>
    </w:p>
    <w:p w14:paraId="12E6886E" w14:textId="77777777" w:rsidR="003A274D" w:rsidRPr="00510442" w:rsidRDefault="003A274D" w:rsidP="003A274D">
      <w:pPr>
        <w:tabs>
          <w:tab w:val="clear" w:pos="567"/>
        </w:tabs>
        <w:spacing w:line="240" w:lineRule="auto"/>
        <w:rPr>
          <w:color w:val="000000"/>
          <w:szCs w:val="22"/>
          <w:lang w:val="hr-HR"/>
        </w:rPr>
      </w:pPr>
    </w:p>
    <w:p w14:paraId="310CB0D7" w14:textId="77777777" w:rsidR="003A274D" w:rsidRPr="00510442" w:rsidRDefault="003A274D" w:rsidP="003A274D">
      <w:pPr>
        <w:widowControl w:val="0"/>
        <w:tabs>
          <w:tab w:val="clear" w:pos="567"/>
        </w:tabs>
        <w:spacing w:line="240" w:lineRule="auto"/>
        <w:rPr>
          <w:color w:val="000000"/>
          <w:szCs w:val="22"/>
          <w:lang w:val="hr-HR"/>
        </w:rPr>
      </w:pPr>
      <w:r w:rsidRPr="00510442">
        <w:rPr>
          <w:szCs w:val="22"/>
          <w:lang w:val="hr-HR"/>
        </w:rPr>
        <w:t>Čuvati izvan pogleda i dohvata djece.</w:t>
      </w:r>
    </w:p>
    <w:p w14:paraId="4EE8E984" w14:textId="77777777" w:rsidR="003A274D" w:rsidRPr="00510442" w:rsidRDefault="003A274D" w:rsidP="003A274D">
      <w:pPr>
        <w:tabs>
          <w:tab w:val="clear" w:pos="567"/>
        </w:tabs>
        <w:spacing w:line="240" w:lineRule="auto"/>
        <w:rPr>
          <w:color w:val="000000"/>
          <w:szCs w:val="22"/>
          <w:lang w:val="hr-HR"/>
        </w:rPr>
      </w:pPr>
    </w:p>
    <w:p w14:paraId="58535CBF" w14:textId="77777777" w:rsidR="003A274D" w:rsidRPr="00510442" w:rsidRDefault="003A274D" w:rsidP="003A274D">
      <w:pPr>
        <w:tabs>
          <w:tab w:val="clear" w:pos="567"/>
        </w:tabs>
        <w:spacing w:line="240" w:lineRule="auto"/>
        <w:rPr>
          <w:color w:val="000000"/>
          <w:szCs w:val="22"/>
          <w:lang w:val="hr-HR"/>
        </w:rPr>
      </w:pPr>
    </w:p>
    <w:p w14:paraId="1119E587" w14:textId="77777777" w:rsidR="003A274D" w:rsidRPr="00510442" w:rsidRDefault="003A274D" w:rsidP="003A274D">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hr-HR"/>
        </w:rPr>
      </w:pPr>
      <w:r w:rsidRPr="00510442">
        <w:rPr>
          <w:b/>
          <w:color w:val="000000"/>
          <w:szCs w:val="22"/>
          <w:lang w:val="hr-HR"/>
        </w:rPr>
        <w:t>7.</w:t>
      </w:r>
      <w:r w:rsidRPr="00510442">
        <w:rPr>
          <w:b/>
          <w:color w:val="000000"/>
          <w:szCs w:val="22"/>
          <w:lang w:val="hr-HR"/>
        </w:rPr>
        <w:tab/>
      </w:r>
      <w:r w:rsidRPr="00510442">
        <w:rPr>
          <w:b/>
          <w:szCs w:val="22"/>
          <w:lang w:val="hr-HR"/>
        </w:rPr>
        <w:t>DRUGO(A) POSEBNO(A) UPOZORENJE(A), AKO JE POTREBNO</w:t>
      </w:r>
    </w:p>
    <w:p w14:paraId="2987333A" w14:textId="77777777" w:rsidR="003A274D" w:rsidRPr="00510442" w:rsidRDefault="003A274D" w:rsidP="003A274D">
      <w:pPr>
        <w:tabs>
          <w:tab w:val="clear" w:pos="567"/>
        </w:tabs>
        <w:spacing w:line="240" w:lineRule="auto"/>
        <w:rPr>
          <w:color w:val="000000"/>
          <w:szCs w:val="22"/>
          <w:lang w:val="hr-HR"/>
        </w:rPr>
      </w:pPr>
    </w:p>
    <w:p w14:paraId="42C500FA" w14:textId="77777777" w:rsidR="003A274D" w:rsidRPr="00510442" w:rsidRDefault="003A274D" w:rsidP="003A274D">
      <w:pPr>
        <w:pStyle w:val="EndnoteText"/>
        <w:widowControl w:val="0"/>
        <w:tabs>
          <w:tab w:val="clear" w:pos="567"/>
        </w:tabs>
        <w:rPr>
          <w:color w:val="000000"/>
          <w:szCs w:val="22"/>
          <w:lang w:val="hr-HR"/>
        </w:rPr>
      </w:pPr>
      <w:r w:rsidRPr="00510442">
        <w:rPr>
          <w:szCs w:val="22"/>
          <w:lang w:val="hr-HR"/>
        </w:rPr>
        <w:t>Primjenjivati isključivo prema uputama liječnika</w:t>
      </w:r>
      <w:r w:rsidRPr="00510442">
        <w:rPr>
          <w:color w:val="000000"/>
          <w:szCs w:val="22"/>
          <w:lang w:val="hr-HR"/>
        </w:rPr>
        <w:t>.</w:t>
      </w:r>
    </w:p>
    <w:p w14:paraId="1AC3468C" w14:textId="77777777" w:rsidR="003A274D" w:rsidRPr="00510442" w:rsidRDefault="003A274D" w:rsidP="003A274D">
      <w:pPr>
        <w:tabs>
          <w:tab w:val="clear" w:pos="567"/>
        </w:tabs>
        <w:spacing w:line="240" w:lineRule="auto"/>
        <w:rPr>
          <w:color w:val="000000"/>
          <w:szCs w:val="22"/>
          <w:lang w:val="hr-HR"/>
        </w:rPr>
      </w:pPr>
    </w:p>
    <w:p w14:paraId="50762686" w14:textId="77777777" w:rsidR="003A274D" w:rsidRPr="00510442" w:rsidRDefault="003A274D" w:rsidP="003A274D">
      <w:pPr>
        <w:tabs>
          <w:tab w:val="clear" w:pos="567"/>
        </w:tabs>
        <w:spacing w:line="240" w:lineRule="auto"/>
        <w:rPr>
          <w:color w:val="000000"/>
          <w:szCs w:val="22"/>
          <w:lang w:val="hr-HR"/>
        </w:rPr>
      </w:pPr>
    </w:p>
    <w:p w14:paraId="5FB0CF53" w14:textId="77777777" w:rsidR="003A274D" w:rsidRPr="00510442" w:rsidRDefault="003A274D" w:rsidP="003A274D">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hr-HR"/>
        </w:rPr>
      </w:pPr>
      <w:r w:rsidRPr="00510442">
        <w:rPr>
          <w:b/>
          <w:color w:val="000000"/>
          <w:szCs w:val="22"/>
          <w:lang w:val="hr-HR"/>
        </w:rPr>
        <w:t>8.</w:t>
      </w:r>
      <w:r w:rsidRPr="00510442">
        <w:rPr>
          <w:b/>
          <w:color w:val="000000"/>
          <w:szCs w:val="22"/>
          <w:lang w:val="hr-HR"/>
        </w:rPr>
        <w:tab/>
      </w:r>
      <w:r w:rsidRPr="00510442">
        <w:rPr>
          <w:b/>
          <w:szCs w:val="22"/>
          <w:lang w:val="hr-HR"/>
        </w:rPr>
        <w:t>ROK VALJANOSTI</w:t>
      </w:r>
    </w:p>
    <w:p w14:paraId="1D0E8B88" w14:textId="77777777" w:rsidR="003A274D" w:rsidRPr="00510442" w:rsidRDefault="003A274D" w:rsidP="003A274D">
      <w:pPr>
        <w:tabs>
          <w:tab w:val="clear" w:pos="567"/>
        </w:tabs>
        <w:spacing w:line="240" w:lineRule="auto"/>
        <w:rPr>
          <w:color w:val="000000"/>
          <w:szCs w:val="22"/>
          <w:lang w:val="hr-HR"/>
        </w:rPr>
      </w:pPr>
    </w:p>
    <w:p w14:paraId="520B94DB" w14:textId="77777777" w:rsidR="003A274D" w:rsidRPr="00510442" w:rsidRDefault="003A274D" w:rsidP="003A274D">
      <w:pPr>
        <w:pStyle w:val="EndnoteText"/>
        <w:widowControl w:val="0"/>
        <w:tabs>
          <w:tab w:val="clear" w:pos="567"/>
        </w:tabs>
        <w:rPr>
          <w:color w:val="000000"/>
          <w:szCs w:val="22"/>
          <w:lang w:val="hr-HR"/>
        </w:rPr>
      </w:pPr>
      <w:r w:rsidRPr="00510442">
        <w:rPr>
          <w:szCs w:val="22"/>
          <w:lang w:val="hr-HR"/>
        </w:rPr>
        <w:t>Rok valjanosti</w:t>
      </w:r>
    </w:p>
    <w:p w14:paraId="215A7518" w14:textId="77777777" w:rsidR="003A274D" w:rsidRPr="00510442" w:rsidRDefault="003A274D" w:rsidP="003A274D">
      <w:pPr>
        <w:tabs>
          <w:tab w:val="clear" w:pos="567"/>
        </w:tabs>
        <w:spacing w:line="240" w:lineRule="auto"/>
        <w:rPr>
          <w:color w:val="000000"/>
          <w:szCs w:val="22"/>
          <w:lang w:val="hr-HR"/>
        </w:rPr>
      </w:pPr>
    </w:p>
    <w:p w14:paraId="264AE3E6" w14:textId="77777777" w:rsidR="003A274D" w:rsidRPr="00510442" w:rsidRDefault="003A274D" w:rsidP="003A274D">
      <w:pPr>
        <w:tabs>
          <w:tab w:val="clear" w:pos="567"/>
        </w:tabs>
        <w:spacing w:line="240" w:lineRule="auto"/>
        <w:rPr>
          <w:color w:val="000000"/>
          <w:szCs w:val="22"/>
          <w:lang w:val="hr-HR"/>
        </w:rPr>
      </w:pPr>
    </w:p>
    <w:p w14:paraId="2215C1A7" w14:textId="77777777" w:rsidR="003A274D" w:rsidRPr="00510442" w:rsidRDefault="003A274D" w:rsidP="003A274D">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color w:val="000000"/>
          <w:szCs w:val="22"/>
          <w:lang w:val="hr-HR"/>
        </w:rPr>
      </w:pPr>
      <w:r w:rsidRPr="00510442">
        <w:rPr>
          <w:b/>
          <w:color w:val="000000"/>
          <w:szCs w:val="22"/>
          <w:lang w:val="hr-HR"/>
        </w:rPr>
        <w:t>9.</w:t>
      </w:r>
      <w:r w:rsidRPr="00510442">
        <w:rPr>
          <w:b/>
          <w:color w:val="000000"/>
          <w:szCs w:val="22"/>
          <w:lang w:val="hr-HR"/>
        </w:rPr>
        <w:tab/>
      </w:r>
      <w:r w:rsidRPr="00510442">
        <w:rPr>
          <w:b/>
          <w:szCs w:val="22"/>
          <w:lang w:val="hr-HR"/>
        </w:rPr>
        <w:t>POSEBNE MJERE ČUVANJA</w:t>
      </w:r>
    </w:p>
    <w:p w14:paraId="37B2E801" w14:textId="77777777" w:rsidR="003A274D" w:rsidRPr="00510442" w:rsidRDefault="003A274D" w:rsidP="003A274D">
      <w:pPr>
        <w:tabs>
          <w:tab w:val="clear" w:pos="567"/>
        </w:tabs>
        <w:spacing w:line="240" w:lineRule="auto"/>
        <w:rPr>
          <w:color w:val="000000"/>
          <w:szCs w:val="22"/>
          <w:lang w:val="hr-HR"/>
        </w:rPr>
      </w:pPr>
    </w:p>
    <w:p w14:paraId="657B3B03" w14:textId="77777777" w:rsidR="003A274D" w:rsidRPr="000B51EB" w:rsidRDefault="003A274D" w:rsidP="003A274D">
      <w:pPr>
        <w:pStyle w:val="Text"/>
        <w:widowControl w:val="0"/>
        <w:spacing w:before="0"/>
        <w:jc w:val="left"/>
        <w:rPr>
          <w:color w:val="000000"/>
          <w:sz w:val="22"/>
          <w:szCs w:val="22"/>
          <w:lang w:val="hr-HR"/>
        </w:rPr>
      </w:pPr>
      <w:r w:rsidRPr="00510442">
        <w:rPr>
          <w:sz w:val="22"/>
          <w:szCs w:val="22"/>
          <w:lang w:val="hr-HR"/>
        </w:rPr>
        <w:t xml:space="preserve">Ne čuvati na temperaturi iznad </w:t>
      </w:r>
      <w:r w:rsidRPr="00510442">
        <w:rPr>
          <w:color w:val="000000"/>
          <w:sz w:val="22"/>
          <w:szCs w:val="22"/>
          <w:lang w:val="hr-HR"/>
        </w:rPr>
        <w:t>30</w:t>
      </w:r>
      <w:r w:rsidRPr="00307897">
        <w:rPr>
          <w:color w:val="000000"/>
          <w:sz w:val="22"/>
          <w:szCs w:val="22"/>
          <w:lang w:val="hr-HR"/>
        </w:rPr>
        <w:sym w:font="Symbol" w:char="F0B0"/>
      </w:r>
      <w:r w:rsidRPr="00307897">
        <w:rPr>
          <w:color w:val="000000"/>
          <w:sz w:val="22"/>
          <w:szCs w:val="22"/>
          <w:lang w:val="hr-HR"/>
        </w:rPr>
        <w:t xml:space="preserve">C. </w:t>
      </w:r>
      <w:r w:rsidRPr="00307897">
        <w:rPr>
          <w:sz w:val="22"/>
          <w:szCs w:val="22"/>
          <w:lang w:val="hr-HR"/>
        </w:rPr>
        <w:t>Čuvati u originalnom pak</w:t>
      </w:r>
      <w:r w:rsidR="00436200" w:rsidRPr="00A00164">
        <w:rPr>
          <w:sz w:val="22"/>
          <w:szCs w:val="22"/>
          <w:lang w:val="hr-HR"/>
        </w:rPr>
        <w:t>ir</w:t>
      </w:r>
      <w:r w:rsidRPr="00973BDD">
        <w:rPr>
          <w:sz w:val="22"/>
          <w:szCs w:val="22"/>
          <w:lang w:val="hr-HR"/>
        </w:rPr>
        <w:t>anju radi zaštite od vlage</w:t>
      </w:r>
      <w:r w:rsidRPr="000B51EB">
        <w:rPr>
          <w:color w:val="000000"/>
          <w:sz w:val="22"/>
          <w:szCs w:val="22"/>
          <w:lang w:val="hr-HR"/>
        </w:rPr>
        <w:t>.</w:t>
      </w:r>
    </w:p>
    <w:p w14:paraId="4393DB53" w14:textId="77777777" w:rsidR="003A274D" w:rsidRPr="000B51EB" w:rsidRDefault="003A274D" w:rsidP="003A274D">
      <w:pPr>
        <w:tabs>
          <w:tab w:val="clear" w:pos="567"/>
        </w:tabs>
        <w:spacing w:line="240" w:lineRule="auto"/>
        <w:rPr>
          <w:color w:val="000000"/>
          <w:szCs w:val="22"/>
          <w:lang w:val="hr-HR"/>
        </w:rPr>
      </w:pPr>
    </w:p>
    <w:p w14:paraId="1A51D4F3" w14:textId="77777777" w:rsidR="003A274D" w:rsidRPr="00510442" w:rsidRDefault="003A274D" w:rsidP="003A274D">
      <w:pPr>
        <w:tabs>
          <w:tab w:val="clear" w:pos="567"/>
        </w:tabs>
        <w:spacing w:line="240" w:lineRule="auto"/>
        <w:rPr>
          <w:color w:val="000000"/>
          <w:szCs w:val="22"/>
          <w:lang w:val="hr-HR"/>
        </w:rPr>
      </w:pPr>
    </w:p>
    <w:p w14:paraId="506320EE" w14:textId="77777777" w:rsidR="003A274D" w:rsidRPr="00510442" w:rsidRDefault="003A274D" w:rsidP="003A274D">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hr-HR"/>
        </w:rPr>
      </w:pPr>
      <w:r w:rsidRPr="00510442">
        <w:rPr>
          <w:b/>
          <w:color w:val="000000"/>
          <w:szCs w:val="22"/>
          <w:lang w:val="hr-HR"/>
        </w:rPr>
        <w:lastRenderedPageBreak/>
        <w:t>10.</w:t>
      </w:r>
      <w:r w:rsidRPr="00510442">
        <w:rPr>
          <w:b/>
          <w:color w:val="000000"/>
          <w:szCs w:val="22"/>
          <w:lang w:val="hr-HR"/>
        </w:rPr>
        <w:tab/>
      </w:r>
      <w:r w:rsidRPr="00510442">
        <w:rPr>
          <w:b/>
          <w:caps/>
          <w:szCs w:val="22"/>
          <w:lang w:val="hr-HR"/>
        </w:rPr>
        <w:t xml:space="preserve">posebne mjere za zbrinjavanje neiskorištenog lijeka ili OTPADNIH MATERIJALA KOJI POTJEČU OD lijeka, </w:t>
      </w:r>
      <w:r w:rsidR="006B3A0B" w:rsidRPr="00510442">
        <w:rPr>
          <w:b/>
          <w:caps/>
          <w:szCs w:val="22"/>
          <w:lang w:val="hr-HR"/>
        </w:rPr>
        <w:t xml:space="preserve">AKO </w:t>
      </w:r>
      <w:r w:rsidRPr="00510442">
        <w:rPr>
          <w:b/>
          <w:caps/>
          <w:szCs w:val="22"/>
          <w:lang w:val="hr-HR"/>
        </w:rPr>
        <w:t>je potrebno</w:t>
      </w:r>
    </w:p>
    <w:p w14:paraId="05F31C36" w14:textId="77777777" w:rsidR="003A274D" w:rsidRPr="00510442" w:rsidRDefault="003A274D" w:rsidP="003A274D">
      <w:pPr>
        <w:tabs>
          <w:tab w:val="clear" w:pos="567"/>
        </w:tabs>
        <w:spacing w:line="240" w:lineRule="auto"/>
        <w:rPr>
          <w:color w:val="000000"/>
          <w:szCs w:val="22"/>
          <w:lang w:val="hr-HR"/>
        </w:rPr>
      </w:pPr>
    </w:p>
    <w:p w14:paraId="5A8DFD9C" w14:textId="77777777" w:rsidR="003A274D" w:rsidRPr="00510442" w:rsidRDefault="003A274D" w:rsidP="003A274D">
      <w:pPr>
        <w:tabs>
          <w:tab w:val="clear" w:pos="567"/>
        </w:tabs>
        <w:spacing w:line="240" w:lineRule="auto"/>
        <w:rPr>
          <w:color w:val="000000"/>
          <w:szCs w:val="22"/>
          <w:lang w:val="hr-HR"/>
        </w:rPr>
      </w:pPr>
    </w:p>
    <w:p w14:paraId="14473A24" w14:textId="77777777" w:rsidR="003A274D" w:rsidRPr="00510442" w:rsidRDefault="003A274D" w:rsidP="003A274D">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hr-HR"/>
        </w:rPr>
      </w:pPr>
      <w:r w:rsidRPr="00510442">
        <w:rPr>
          <w:b/>
          <w:color w:val="000000"/>
          <w:szCs w:val="22"/>
          <w:lang w:val="hr-HR"/>
        </w:rPr>
        <w:t>11.</w:t>
      </w:r>
      <w:r w:rsidRPr="00510442">
        <w:rPr>
          <w:b/>
          <w:color w:val="000000"/>
          <w:szCs w:val="22"/>
          <w:lang w:val="hr-HR"/>
        </w:rPr>
        <w:tab/>
      </w:r>
      <w:r w:rsidR="001E7036" w:rsidRPr="00510442">
        <w:rPr>
          <w:b/>
          <w:caps/>
          <w:szCs w:val="22"/>
          <w:lang w:val="hr-HR"/>
        </w:rPr>
        <w:t xml:space="preserve">NAZIV </w:t>
      </w:r>
      <w:r w:rsidRPr="00510442">
        <w:rPr>
          <w:b/>
          <w:caps/>
          <w:szCs w:val="22"/>
          <w:lang w:val="hr-HR"/>
        </w:rPr>
        <w:t>i adresa nositelja odobrenja za stavljanje lijeka u promet</w:t>
      </w:r>
    </w:p>
    <w:p w14:paraId="0B8E4335" w14:textId="77777777" w:rsidR="003A274D" w:rsidRPr="00510442" w:rsidRDefault="003A274D" w:rsidP="003A274D">
      <w:pPr>
        <w:tabs>
          <w:tab w:val="clear" w:pos="567"/>
        </w:tabs>
        <w:spacing w:line="240" w:lineRule="auto"/>
        <w:rPr>
          <w:color w:val="000000"/>
          <w:szCs w:val="22"/>
          <w:lang w:val="hr-HR"/>
        </w:rPr>
      </w:pPr>
    </w:p>
    <w:p w14:paraId="6BB510B5" w14:textId="77777777" w:rsidR="003A274D" w:rsidRPr="00510442" w:rsidRDefault="003A274D" w:rsidP="003A274D">
      <w:pPr>
        <w:pStyle w:val="EndnoteText"/>
        <w:widowControl w:val="0"/>
        <w:tabs>
          <w:tab w:val="clear" w:pos="567"/>
        </w:tabs>
        <w:rPr>
          <w:color w:val="000000"/>
          <w:szCs w:val="22"/>
          <w:lang w:val="hr-HR"/>
        </w:rPr>
      </w:pPr>
      <w:r w:rsidRPr="00510442">
        <w:rPr>
          <w:color w:val="000000"/>
          <w:szCs w:val="22"/>
          <w:lang w:val="hr-HR"/>
        </w:rPr>
        <w:t>Novartis Europharm Limited</w:t>
      </w:r>
    </w:p>
    <w:p w14:paraId="1C4EE266" w14:textId="77777777" w:rsidR="00E24CAD" w:rsidRPr="00510442" w:rsidRDefault="00E24CAD" w:rsidP="00E24CAD">
      <w:pPr>
        <w:keepNext/>
        <w:widowControl w:val="0"/>
        <w:spacing w:line="240" w:lineRule="auto"/>
        <w:rPr>
          <w:color w:val="000000"/>
          <w:lang w:val="hr-HR"/>
        </w:rPr>
      </w:pPr>
      <w:r w:rsidRPr="00510442">
        <w:rPr>
          <w:color w:val="000000"/>
          <w:lang w:val="hr-HR"/>
        </w:rPr>
        <w:t>Vista Building</w:t>
      </w:r>
    </w:p>
    <w:p w14:paraId="1950133C" w14:textId="77777777" w:rsidR="00E24CAD" w:rsidRPr="00510442" w:rsidRDefault="00E24CAD" w:rsidP="00E24CAD">
      <w:pPr>
        <w:keepNext/>
        <w:widowControl w:val="0"/>
        <w:spacing w:line="240" w:lineRule="auto"/>
        <w:rPr>
          <w:color w:val="000000"/>
          <w:lang w:val="hr-HR"/>
        </w:rPr>
      </w:pPr>
      <w:r w:rsidRPr="00510442">
        <w:rPr>
          <w:color w:val="000000"/>
          <w:lang w:val="hr-HR"/>
        </w:rPr>
        <w:t>Elm Park, Merrion Road</w:t>
      </w:r>
    </w:p>
    <w:p w14:paraId="2FFEB6C5" w14:textId="77777777" w:rsidR="00E24CAD" w:rsidRPr="00510442" w:rsidRDefault="00E24CAD" w:rsidP="00E24CAD">
      <w:pPr>
        <w:keepNext/>
        <w:widowControl w:val="0"/>
        <w:spacing w:line="240" w:lineRule="auto"/>
        <w:rPr>
          <w:color w:val="000000"/>
          <w:lang w:val="hr-HR"/>
        </w:rPr>
      </w:pPr>
      <w:r w:rsidRPr="00510442">
        <w:rPr>
          <w:color w:val="000000"/>
          <w:lang w:val="hr-HR"/>
        </w:rPr>
        <w:t>Dublin 4</w:t>
      </w:r>
    </w:p>
    <w:p w14:paraId="59B67277" w14:textId="77777777" w:rsidR="003A274D" w:rsidRPr="00307897" w:rsidRDefault="00E24CAD" w:rsidP="003A274D">
      <w:pPr>
        <w:widowControl w:val="0"/>
        <w:spacing w:line="240" w:lineRule="auto"/>
        <w:rPr>
          <w:color w:val="000000"/>
          <w:szCs w:val="22"/>
          <w:lang w:val="hr-HR"/>
        </w:rPr>
      </w:pPr>
      <w:r w:rsidRPr="00510442">
        <w:rPr>
          <w:color w:val="000000"/>
          <w:lang w:val="hr-HR"/>
        </w:rPr>
        <w:t>Irska</w:t>
      </w:r>
    </w:p>
    <w:p w14:paraId="47522356" w14:textId="77777777" w:rsidR="003A274D" w:rsidRPr="00307897" w:rsidRDefault="003A274D" w:rsidP="003A274D">
      <w:pPr>
        <w:tabs>
          <w:tab w:val="clear" w:pos="567"/>
        </w:tabs>
        <w:spacing w:line="240" w:lineRule="auto"/>
        <w:rPr>
          <w:color w:val="000000"/>
          <w:szCs w:val="22"/>
          <w:lang w:val="hr-HR"/>
        </w:rPr>
      </w:pPr>
    </w:p>
    <w:p w14:paraId="3522677F" w14:textId="77777777" w:rsidR="003A274D" w:rsidRPr="00A00164" w:rsidRDefault="003A274D" w:rsidP="003A274D">
      <w:pPr>
        <w:tabs>
          <w:tab w:val="clear" w:pos="567"/>
        </w:tabs>
        <w:spacing w:line="240" w:lineRule="auto"/>
        <w:rPr>
          <w:color w:val="000000"/>
          <w:szCs w:val="22"/>
          <w:lang w:val="hr-HR"/>
        </w:rPr>
      </w:pPr>
    </w:p>
    <w:p w14:paraId="03E93108" w14:textId="77777777" w:rsidR="003A274D" w:rsidRPr="00510442" w:rsidRDefault="003A274D" w:rsidP="003A274D">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hr-HR"/>
        </w:rPr>
      </w:pPr>
      <w:r w:rsidRPr="00973BDD">
        <w:rPr>
          <w:b/>
          <w:color w:val="000000"/>
          <w:szCs w:val="22"/>
          <w:lang w:val="hr-HR"/>
        </w:rPr>
        <w:t>12.</w:t>
      </w:r>
      <w:r w:rsidRPr="00973BDD">
        <w:rPr>
          <w:b/>
          <w:color w:val="000000"/>
          <w:szCs w:val="22"/>
          <w:lang w:val="hr-HR"/>
        </w:rPr>
        <w:tab/>
      </w:r>
      <w:r w:rsidRPr="000B51EB">
        <w:rPr>
          <w:b/>
          <w:caps/>
          <w:szCs w:val="22"/>
          <w:lang w:val="hr-HR"/>
        </w:rPr>
        <w:t>BROJ</w:t>
      </w:r>
      <w:r w:rsidRPr="00510442">
        <w:rPr>
          <w:b/>
          <w:caps/>
          <w:szCs w:val="22"/>
          <w:lang w:val="hr-HR"/>
        </w:rPr>
        <w:t>(EVI) odobrenjA za stavljanje lijeka u promet</w:t>
      </w:r>
    </w:p>
    <w:p w14:paraId="240AB4BC" w14:textId="77777777" w:rsidR="003A274D" w:rsidRPr="00510442" w:rsidRDefault="003A274D" w:rsidP="003A274D">
      <w:pPr>
        <w:tabs>
          <w:tab w:val="clear" w:pos="567"/>
        </w:tabs>
        <w:spacing w:line="240" w:lineRule="auto"/>
        <w:rPr>
          <w:color w:val="000000"/>
          <w:szCs w:val="22"/>
          <w:lang w:val="hr-HR"/>
        </w:rPr>
      </w:pPr>
    </w:p>
    <w:p w14:paraId="49C445F2" w14:textId="77777777" w:rsidR="003A274D" w:rsidRPr="00510442" w:rsidRDefault="003A274D" w:rsidP="00B3731B">
      <w:pPr>
        <w:pStyle w:val="EndnoteText"/>
        <w:widowControl w:val="0"/>
        <w:tabs>
          <w:tab w:val="clear" w:pos="567"/>
          <w:tab w:val="left" w:pos="2268"/>
        </w:tabs>
        <w:rPr>
          <w:color w:val="000000"/>
          <w:szCs w:val="22"/>
          <w:shd w:val="clear" w:color="auto" w:fill="D9D9D9"/>
          <w:lang w:val="hr-HR"/>
        </w:rPr>
      </w:pPr>
      <w:r w:rsidRPr="00510442">
        <w:rPr>
          <w:color w:val="000000"/>
          <w:szCs w:val="22"/>
          <w:lang w:val="hr-HR"/>
        </w:rPr>
        <w:t>EU/1/01/198/002</w:t>
      </w:r>
      <w:r w:rsidRPr="00510442">
        <w:rPr>
          <w:color w:val="000000"/>
          <w:szCs w:val="22"/>
          <w:lang w:val="hr-HR"/>
        </w:rPr>
        <w:tab/>
      </w:r>
      <w:r w:rsidRPr="00510442">
        <w:rPr>
          <w:color w:val="000000"/>
          <w:szCs w:val="22"/>
          <w:shd w:val="clear" w:color="auto" w:fill="D9D9D9"/>
          <w:lang w:val="hr-HR"/>
        </w:rPr>
        <w:t>24 kapsula</w:t>
      </w:r>
    </w:p>
    <w:p w14:paraId="09BC30DB" w14:textId="77777777" w:rsidR="003A274D" w:rsidRPr="00510442" w:rsidRDefault="003A274D" w:rsidP="00B3731B">
      <w:pPr>
        <w:tabs>
          <w:tab w:val="clear" w:pos="567"/>
          <w:tab w:val="left" w:pos="2268"/>
        </w:tabs>
        <w:spacing w:line="240" w:lineRule="auto"/>
        <w:rPr>
          <w:color w:val="000000"/>
          <w:szCs w:val="22"/>
          <w:shd w:val="clear" w:color="auto" w:fill="D9D9D9"/>
          <w:lang w:val="hr-HR"/>
        </w:rPr>
      </w:pPr>
      <w:r w:rsidRPr="00510442">
        <w:rPr>
          <w:color w:val="000000"/>
          <w:szCs w:val="22"/>
          <w:shd w:val="clear" w:color="auto" w:fill="D9D9D9"/>
          <w:lang w:val="hr-HR"/>
        </w:rPr>
        <w:t>EU/1/01/198/003</w:t>
      </w:r>
      <w:r w:rsidRPr="00510442">
        <w:rPr>
          <w:color w:val="000000"/>
          <w:szCs w:val="22"/>
          <w:shd w:val="clear" w:color="auto" w:fill="D9D9D9"/>
          <w:lang w:val="hr-HR"/>
        </w:rPr>
        <w:tab/>
        <w:t>48 kapsula</w:t>
      </w:r>
    </w:p>
    <w:p w14:paraId="13AAF02B" w14:textId="77777777" w:rsidR="003A274D" w:rsidRPr="00510442" w:rsidRDefault="003A274D" w:rsidP="00B3731B">
      <w:pPr>
        <w:tabs>
          <w:tab w:val="clear" w:pos="567"/>
          <w:tab w:val="left" w:pos="2268"/>
        </w:tabs>
        <w:spacing w:line="240" w:lineRule="auto"/>
        <w:rPr>
          <w:color w:val="000000"/>
          <w:szCs w:val="22"/>
          <w:shd w:val="clear" w:color="auto" w:fill="D9D9D9"/>
          <w:lang w:val="hr-HR"/>
        </w:rPr>
      </w:pPr>
      <w:r w:rsidRPr="00510442">
        <w:rPr>
          <w:color w:val="000000"/>
          <w:szCs w:val="22"/>
          <w:shd w:val="clear" w:color="auto" w:fill="D9D9D9"/>
          <w:lang w:val="hr-HR"/>
        </w:rPr>
        <w:t>EU/1/01/198/004</w:t>
      </w:r>
      <w:r w:rsidRPr="00510442">
        <w:rPr>
          <w:color w:val="000000"/>
          <w:szCs w:val="22"/>
          <w:shd w:val="clear" w:color="auto" w:fill="D9D9D9"/>
          <w:lang w:val="hr-HR"/>
        </w:rPr>
        <w:tab/>
        <w:t>96 kapsula</w:t>
      </w:r>
    </w:p>
    <w:p w14:paraId="1FCC545A" w14:textId="77777777" w:rsidR="003A274D" w:rsidRPr="00510442" w:rsidRDefault="003A274D" w:rsidP="00B3731B">
      <w:pPr>
        <w:tabs>
          <w:tab w:val="clear" w:pos="567"/>
          <w:tab w:val="left" w:pos="2268"/>
        </w:tabs>
        <w:spacing w:line="240" w:lineRule="auto"/>
        <w:rPr>
          <w:color w:val="000000"/>
          <w:szCs w:val="22"/>
          <w:shd w:val="clear" w:color="auto" w:fill="D9D9D9"/>
          <w:lang w:val="hr-HR"/>
        </w:rPr>
      </w:pPr>
      <w:r w:rsidRPr="00510442">
        <w:rPr>
          <w:color w:val="000000"/>
          <w:szCs w:val="22"/>
          <w:shd w:val="clear" w:color="auto" w:fill="D9D9D9"/>
          <w:lang w:val="hr-HR"/>
        </w:rPr>
        <w:t>EU/1/01/198/005</w:t>
      </w:r>
      <w:r w:rsidRPr="00510442">
        <w:rPr>
          <w:color w:val="000000"/>
          <w:szCs w:val="22"/>
          <w:shd w:val="clear" w:color="auto" w:fill="D9D9D9"/>
          <w:lang w:val="hr-HR"/>
        </w:rPr>
        <w:tab/>
        <w:t>120 kapsula</w:t>
      </w:r>
    </w:p>
    <w:p w14:paraId="7CCCB30B" w14:textId="77777777" w:rsidR="003A274D" w:rsidRPr="00510442" w:rsidRDefault="003A274D" w:rsidP="00B3731B">
      <w:pPr>
        <w:widowControl w:val="0"/>
        <w:tabs>
          <w:tab w:val="clear" w:pos="567"/>
          <w:tab w:val="left" w:pos="2268"/>
        </w:tabs>
        <w:spacing w:line="240" w:lineRule="auto"/>
        <w:rPr>
          <w:color w:val="000000"/>
          <w:szCs w:val="22"/>
          <w:shd w:val="clear" w:color="auto" w:fill="D9D9D9"/>
          <w:lang w:val="hr-HR"/>
        </w:rPr>
      </w:pPr>
      <w:r w:rsidRPr="00510442">
        <w:rPr>
          <w:color w:val="000000"/>
          <w:szCs w:val="22"/>
          <w:shd w:val="clear" w:color="auto" w:fill="D9D9D9"/>
          <w:lang w:val="hr-HR"/>
        </w:rPr>
        <w:t>EU/1/01/198/006</w:t>
      </w:r>
      <w:r w:rsidRPr="00510442">
        <w:rPr>
          <w:color w:val="000000"/>
          <w:szCs w:val="22"/>
          <w:shd w:val="clear" w:color="auto" w:fill="D9D9D9"/>
          <w:lang w:val="hr-HR"/>
        </w:rPr>
        <w:tab/>
        <w:t>180 kapsula</w:t>
      </w:r>
    </w:p>
    <w:p w14:paraId="53FDAF98" w14:textId="77777777" w:rsidR="003A274D" w:rsidRPr="00510442" w:rsidRDefault="003A274D" w:rsidP="003A274D">
      <w:pPr>
        <w:tabs>
          <w:tab w:val="clear" w:pos="567"/>
        </w:tabs>
        <w:spacing w:line="240" w:lineRule="auto"/>
        <w:rPr>
          <w:color w:val="000000"/>
          <w:szCs w:val="22"/>
          <w:lang w:val="hr-HR"/>
        </w:rPr>
      </w:pPr>
    </w:p>
    <w:p w14:paraId="46464B23" w14:textId="77777777" w:rsidR="003A274D" w:rsidRPr="00510442" w:rsidRDefault="003A274D" w:rsidP="003A274D">
      <w:pPr>
        <w:tabs>
          <w:tab w:val="clear" w:pos="567"/>
        </w:tabs>
        <w:spacing w:line="240" w:lineRule="auto"/>
        <w:rPr>
          <w:color w:val="000000"/>
          <w:szCs w:val="22"/>
          <w:lang w:val="hr-HR"/>
        </w:rPr>
      </w:pPr>
    </w:p>
    <w:p w14:paraId="11BD4D4B" w14:textId="77777777" w:rsidR="003A274D" w:rsidRPr="00510442" w:rsidRDefault="003A274D" w:rsidP="003A274D">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hr-HR"/>
        </w:rPr>
      </w:pPr>
      <w:r w:rsidRPr="00510442">
        <w:rPr>
          <w:b/>
          <w:color w:val="000000"/>
          <w:szCs w:val="22"/>
          <w:lang w:val="hr-HR"/>
        </w:rPr>
        <w:t>13.</w:t>
      </w:r>
      <w:r w:rsidRPr="00510442">
        <w:rPr>
          <w:b/>
          <w:color w:val="000000"/>
          <w:szCs w:val="22"/>
          <w:lang w:val="hr-HR"/>
        </w:rPr>
        <w:tab/>
      </w:r>
      <w:r w:rsidRPr="00510442">
        <w:rPr>
          <w:b/>
          <w:caps/>
          <w:szCs w:val="22"/>
          <w:lang w:val="hr-HR"/>
        </w:rPr>
        <w:t>broj serije</w:t>
      </w:r>
    </w:p>
    <w:p w14:paraId="264AE5FA" w14:textId="77777777" w:rsidR="003A274D" w:rsidRPr="00510442" w:rsidRDefault="003A274D" w:rsidP="003A274D">
      <w:pPr>
        <w:tabs>
          <w:tab w:val="clear" w:pos="567"/>
        </w:tabs>
        <w:spacing w:line="240" w:lineRule="auto"/>
        <w:rPr>
          <w:color w:val="000000"/>
          <w:szCs w:val="22"/>
          <w:lang w:val="hr-HR"/>
        </w:rPr>
      </w:pPr>
    </w:p>
    <w:p w14:paraId="22657659" w14:textId="77777777" w:rsidR="003A274D" w:rsidRPr="00510442" w:rsidRDefault="003A274D" w:rsidP="003A274D">
      <w:pPr>
        <w:widowControl w:val="0"/>
        <w:tabs>
          <w:tab w:val="clear" w:pos="567"/>
        </w:tabs>
        <w:spacing w:line="240" w:lineRule="auto"/>
        <w:rPr>
          <w:color w:val="000000"/>
          <w:szCs w:val="22"/>
          <w:lang w:val="hr-HR"/>
        </w:rPr>
      </w:pPr>
      <w:r w:rsidRPr="00510442">
        <w:rPr>
          <w:color w:val="000000"/>
          <w:szCs w:val="22"/>
          <w:lang w:val="hr-HR"/>
        </w:rPr>
        <w:t>Serija</w:t>
      </w:r>
    </w:p>
    <w:p w14:paraId="2979F599" w14:textId="77777777" w:rsidR="003A274D" w:rsidRPr="00510442" w:rsidRDefault="003A274D" w:rsidP="003A274D">
      <w:pPr>
        <w:tabs>
          <w:tab w:val="clear" w:pos="567"/>
        </w:tabs>
        <w:spacing w:line="240" w:lineRule="auto"/>
        <w:rPr>
          <w:color w:val="000000"/>
          <w:szCs w:val="22"/>
          <w:lang w:val="hr-HR"/>
        </w:rPr>
      </w:pPr>
    </w:p>
    <w:p w14:paraId="46CFAA13" w14:textId="77777777" w:rsidR="003A274D" w:rsidRPr="00510442" w:rsidRDefault="003A274D" w:rsidP="003A274D">
      <w:pPr>
        <w:tabs>
          <w:tab w:val="clear" w:pos="567"/>
        </w:tabs>
        <w:spacing w:line="240" w:lineRule="auto"/>
        <w:rPr>
          <w:color w:val="000000"/>
          <w:szCs w:val="22"/>
          <w:lang w:val="hr-HR"/>
        </w:rPr>
      </w:pPr>
    </w:p>
    <w:p w14:paraId="27BC7D49" w14:textId="77777777" w:rsidR="003A274D" w:rsidRPr="00510442" w:rsidRDefault="003A274D" w:rsidP="003A274D">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hr-HR"/>
        </w:rPr>
      </w:pPr>
      <w:r w:rsidRPr="00510442">
        <w:rPr>
          <w:b/>
          <w:color w:val="000000"/>
          <w:szCs w:val="22"/>
          <w:lang w:val="hr-HR"/>
        </w:rPr>
        <w:t>14.</w:t>
      </w:r>
      <w:r w:rsidRPr="00510442">
        <w:rPr>
          <w:b/>
          <w:color w:val="000000"/>
          <w:szCs w:val="22"/>
          <w:lang w:val="hr-HR"/>
        </w:rPr>
        <w:tab/>
      </w:r>
      <w:r w:rsidRPr="00510442">
        <w:rPr>
          <w:b/>
          <w:szCs w:val="22"/>
          <w:lang w:val="hr-HR"/>
        </w:rPr>
        <w:t xml:space="preserve">NAČIN </w:t>
      </w:r>
      <w:r w:rsidR="006B3A0B" w:rsidRPr="00510442">
        <w:rPr>
          <w:b/>
          <w:szCs w:val="22"/>
          <w:lang w:val="hr-HR"/>
        </w:rPr>
        <w:t xml:space="preserve">IZDAVANJA </w:t>
      </w:r>
      <w:r w:rsidRPr="00510442">
        <w:rPr>
          <w:b/>
          <w:szCs w:val="22"/>
          <w:lang w:val="hr-HR"/>
        </w:rPr>
        <w:t>LIJEKA</w:t>
      </w:r>
    </w:p>
    <w:p w14:paraId="051F1FF5" w14:textId="77777777" w:rsidR="003A274D" w:rsidRPr="00510442" w:rsidRDefault="003A274D" w:rsidP="003A274D">
      <w:pPr>
        <w:tabs>
          <w:tab w:val="clear" w:pos="567"/>
        </w:tabs>
        <w:spacing w:line="240" w:lineRule="auto"/>
        <w:rPr>
          <w:color w:val="000000"/>
          <w:szCs w:val="22"/>
          <w:lang w:val="hr-HR"/>
        </w:rPr>
      </w:pPr>
    </w:p>
    <w:p w14:paraId="1619A398" w14:textId="77777777" w:rsidR="003A274D" w:rsidRPr="00510442" w:rsidRDefault="003A274D" w:rsidP="003A274D">
      <w:pPr>
        <w:tabs>
          <w:tab w:val="clear" w:pos="567"/>
        </w:tabs>
        <w:spacing w:line="240" w:lineRule="auto"/>
        <w:rPr>
          <w:color w:val="000000"/>
          <w:szCs w:val="22"/>
          <w:lang w:val="hr-HR"/>
        </w:rPr>
      </w:pPr>
    </w:p>
    <w:p w14:paraId="70A5AA6C" w14:textId="77777777" w:rsidR="003A274D" w:rsidRPr="00510442" w:rsidRDefault="003A274D" w:rsidP="003A274D">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hr-HR"/>
        </w:rPr>
      </w:pPr>
      <w:r w:rsidRPr="00510442">
        <w:rPr>
          <w:b/>
          <w:color w:val="000000"/>
          <w:szCs w:val="22"/>
          <w:lang w:val="hr-HR"/>
        </w:rPr>
        <w:t>15.</w:t>
      </w:r>
      <w:r w:rsidRPr="00510442">
        <w:rPr>
          <w:b/>
          <w:color w:val="000000"/>
          <w:szCs w:val="22"/>
          <w:lang w:val="hr-HR"/>
        </w:rPr>
        <w:tab/>
      </w:r>
      <w:r w:rsidRPr="00510442">
        <w:rPr>
          <w:b/>
          <w:szCs w:val="22"/>
          <w:lang w:val="hr-HR"/>
        </w:rPr>
        <w:t>UPUTE ZA UPORABU</w:t>
      </w:r>
    </w:p>
    <w:p w14:paraId="1E87F7E2" w14:textId="77777777" w:rsidR="003A274D" w:rsidRPr="00510442" w:rsidRDefault="003A274D" w:rsidP="003A274D">
      <w:pPr>
        <w:tabs>
          <w:tab w:val="clear" w:pos="567"/>
        </w:tabs>
        <w:spacing w:line="240" w:lineRule="auto"/>
        <w:rPr>
          <w:color w:val="000000"/>
          <w:szCs w:val="22"/>
          <w:lang w:val="hr-HR"/>
        </w:rPr>
      </w:pPr>
    </w:p>
    <w:p w14:paraId="613D5C4F" w14:textId="77777777" w:rsidR="003A274D" w:rsidRPr="00510442" w:rsidRDefault="003A274D" w:rsidP="003A274D">
      <w:pPr>
        <w:tabs>
          <w:tab w:val="clear" w:pos="567"/>
        </w:tabs>
        <w:spacing w:line="240" w:lineRule="auto"/>
        <w:rPr>
          <w:color w:val="000000"/>
          <w:szCs w:val="22"/>
          <w:lang w:val="hr-HR"/>
        </w:rPr>
      </w:pPr>
    </w:p>
    <w:p w14:paraId="0A0B4048" w14:textId="77777777" w:rsidR="003A274D" w:rsidRPr="00510442" w:rsidRDefault="003A274D" w:rsidP="003A274D">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hr-HR"/>
        </w:rPr>
      </w:pPr>
      <w:r w:rsidRPr="00510442">
        <w:rPr>
          <w:b/>
          <w:color w:val="000000"/>
          <w:szCs w:val="22"/>
          <w:lang w:val="hr-HR"/>
        </w:rPr>
        <w:t>16.</w:t>
      </w:r>
      <w:r w:rsidRPr="00510442">
        <w:rPr>
          <w:b/>
          <w:color w:val="000000"/>
          <w:szCs w:val="22"/>
          <w:lang w:val="hr-HR"/>
        </w:rPr>
        <w:tab/>
      </w:r>
      <w:r w:rsidRPr="00510442">
        <w:rPr>
          <w:b/>
          <w:szCs w:val="22"/>
          <w:lang w:val="hr-HR"/>
        </w:rPr>
        <w:t>PODACI NA BRAILLEOVOM PISMU</w:t>
      </w:r>
    </w:p>
    <w:p w14:paraId="6CADCE1D" w14:textId="77777777" w:rsidR="003A274D" w:rsidRPr="00510442" w:rsidRDefault="003A274D" w:rsidP="003A274D">
      <w:pPr>
        <w:tabs>
          <w:tab w:val="clear" w:pos="567"/>
        </w:tabs>
        <w:spacing w:line="240" w:lineRule="auto"/>
        <w:rPr>
          <w:color w:val="000000"/>
          <w:szCs w:val="22"/>
          <w:u w:val="single"/>
          <w:lang w:val="hr-HR"/>
        </w:rPr>
      </w:pPr>
    </w:p>
    <w:p w14:paraId="62C92512" w14:textId="77777777" w:rsidR="003A274D" w:rsidRPr="00510442" w:rsidRDefault="003A274D" w:rsidP="00DB028B">
      <w:pPr>
        <w:tabs>
          <w:tab w:val="clear" w:pos="567"/>
        </w:tabs>
        <w:spacing w:line="240" w:lineRule="auto"/>
        <w:rPr>
          <w:color w:val="000000"/>
          <w:szCs w:val="22"/>
          <w:lang w:val="hr-HR"/>
        </w:rPr>
      </w:pPr>
      <w:r w:rsidRPr="00510442">
        <w:rPr>
          <w:color w:val="000000"/>
          <w:szCs w:val="22"/>
          <w:lang w:val="hr-HR"/>
        </w:rPr>
        <w:t>Glivec 100 mg</w:t>
      </w:r>
    </w:p>
    <w:p w14:paraId="59A00B2A" w14:textId="77777777" w:rsidR="003A274D" w:rsidRPr="00510442" w:rsidRDefault="003A274D" w:rsidP="003A274D">
      <w:pPr>
        <w:tabs>
          <w:tab w:val="clear" w:pos="567"/>
        </w:tabs>
        <w:spacing w:line="240" w:lineRule="auto"/>
        <w:rPr>
          <w:color w:val="000000"/>
          <w:szCs w:val="22"/>
          <w:lang w:val="hr-HR"/>
        </w:rPr>
      </w:pPr>
    </w:p>
    <w:p w14:paraId="6BD92C1D" w14:textId="77777777" w:rsidR="001E7036" w:rsidRPr="00510442" w:rsidRDefault="001E7036" w:rsidP="001E7036">
      <w:pPr>
        <w:widowControl w:val="0"/>
        <w:tabs>
          <w:tab w:val="clear" w:pos="567"/>
        </w:tabs>
        <w:spacing w:line="240" w:lineRule="auto"/>
        <w:rPr>
          <w:szCs w:val="22"/>
          <w:shd w:val="clear" w:color="auto" w:fill="CCCCCC"/>
          <w:lang w:val="hr-HR"/>
        </w:rPr>
      </w:pPr>
    </w:p>
    <w:p w14:paraId="057E36EB" w14:textId="77777777" w:rsidR="001E7036" w:rsidRPr="00510442" w:rsidRDefault="001E7036" w:rsidP="001E7036">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3"/>
        <w:outlineLvl w:val="0"/>
        <w:rPr>
          <w:i/>
          <w:lang w:val="hr-HR"/>
        </w:rPr>
      </w:pPr>
      <w:r w:rsidRPr="00510442">
        <w:rPr>
          <w:b/>
          <w:lang w:val="hr-HR"/>
        </w:rPr>
        <w:t>17.</w:t>
      </w:r>
      <w:r w:rsidRPr="00510442">
        <w:rPr>
          <w:b/>
          <w:lang w:val="hr-HR"/>
        </w:rPr>
        <w:tab/>
        <w:t>JEDINSTVENI IDENTIFIKATOR – 2D BARKOD</w:t>
      </w:r>
    </w:p>
    <w:p w14:paraId="560D9BE1" w14:textId="77777777" w:rsidR="001E7036" w:rsidRPr="00510442" w:rsidRDefault="001E7036" w:rsidP="001E7036">
      <w:pPr>
        <w:widowControl w:val="0"/>
        <w:tabs>
          <w:tab w:val="clear" w:pos="567"/>
        </w:tabs>
        <w:spacing w:line="240" w:lineRule="auto"/>
        <w:rPr>
          <w:lang w:val="hr-HR"/>
        </w:rPr>
      </w:pPr>
    </w:p>
    <w:p w14:paraId="6321DDA7" w14:textId="77777777" w:rsidR="001E7036" w:rsidRPr="00510442" w:rsidRDefault="001E7036" w:rsidP="001E7036">
      <w:pPr>
        <w:widowControl w:val="0"/>
        <w:tabs>
          <w:tab w:val="clear" w:pos="567"/>
        </w:tabs>
        <w:spacing w:line="240" w:lineRule="auto"/>
        <w:rPr>
          <w:szCs w:val="22"/>
          <w:lang w:val="hr-HR"/>
        </w:rPr>
      </w:pPr>
      <w:r w:rsidRPr="00510442">
        <w:rPr>
          <w:shd w:val="pct15" w:color="auto" w:fill="auto"/>
          <w:lang w:val="hr-HR"/>
        </w:rPr>
        <w:t>Sadrži 2D barkod s jedinstvenim identifikatorom.</w:t>
      </w:r>
    </w:p>
    <w:p w14:paraId="2541447C" w14:textId="77777777" w:rsidR="001E7036" w:rsidRPr="00510442" w:rsidRDefault="001E7036" w:rsidP="001E7036">
      <w:pPr>
        <w:widowControl w:val="0"/>
        <w:tabs>
          <w:tab w:val="clear" w:pos="567"/>
        </w:tabs>
        <w:spacing w:line="240" w:lineRule="auto"/>
        <w:rPr>
          <w:lang w:val="hr-HR"/>
        </w:rPr>
      </w:pPr>
    </w:p>
    <w:p w14:paraId="53ED0357" w14:textId="77777777" w:rsidR="001E7036" w:rsidRPr="00510442" w:rsidRDefault="001E7036" w:rsidP="001E7036">
      <w:pPr>
        <w:widowControl w:val="0"/>
        <w:tabs>
          <w:tab w:val="clear" w:pos="567"/>
        </w:tabs>
        <w:spacing w:line="240" w:lineRule="auto"/>
        <w:rPr>
          <w:lang w:val="hr-HR"/>
        </w:rPr>
      </w:pPr>
    </w:p>
    <w:p w14:paraId="46A60695" w14:textId="77777777" w:rsidR="001E7036" w:rsidRPr="00510442" w:rsidRDefault="001E7036" w:rsidP="001E7036">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3"/>
        <w:outlineLvl w:val="0"/>
        <w:rPr>
          <w:i/>
          <w:lang w:val="hr-HR"/>
        </w:rPr>
      </w:pPr>
      <w:r w:rsidRPr="00510442">
        <w:rPr>
          <w:b/>
          <w:lang w:val="hr-HR"/>
        </w:rPr>
        <w:t>18.</w:t>
      </w:r>
      <w:r w:rsidRPr="00510442">
        <w:rPr>
          <w:b/>
          <w:lang w:val="hr-HR"/>
        </w:rPr>
        <w:tab/>
        <w:t>JEDINSTVENI IDENTIFIKATOR – PODACI ČITLJIVI LJUDSKIM OKOM</w:t>
      </w:r>
    </w:p>
    <w:p w14:paraId="6A576422" w14:textId="77777777" w:rsidR="001E7036" w:rsidRPr="00510442" w:rsidRDefault="001E7036" w:rsidP="001E7036">
      <w:pPr>
        <w:widowControl w:val="0"/>
        <w:tabs>
          <w:tab w:val="clear" w:pos="567"/>
        </w:tabs>
        <w:spacing w:line="240" w:lineRule="auto"/>
        <w:rPr>
          <w:lang w:val="hr-HR"/>
        </w:rPr>
      </w:pPr>
    </w:p>
    <w:p w14:paraId="35A95CAC" w14:textId="77777777" w:rsidR="001E7036" w:rsidRPr="00510442" w:rsidRDefault="001E7036" w:rsidP="001E7036">
      <w:pPr>
        <w:widowControl w:val="0"/>
        <w:tabs>
          <w:tab w:val="clear" w:pos="567"/>
        </w:tabs>
        <w:rPr>
          <w:szCs w:val="22"/>
          <w:lang w:val="hr-HR"/>
        </w:rPr>
      </w:pPr>
      <w:r w:rsidRPr="00510442">
        <w:rPr>
          <w:lang w:val="hr-HR"/>
        </w:rPr>
        <w:t>PC:</w:t>
      </w:r>
    </w:p>
    <w:p w14:paraId="3D54F0AD" w14:textId="77777777" w:rsidR="001E7036" w:rsidRPr="00510442" w:rsidRDefault="001E7036" w:rsidP="001E7036">
      <w:pPr>
        <w:widowControl w:val="0"/>
        <w:tabs>
          <w:tab w:val="clear" w:pos="567"/>
        </w:tabs>
        <w:rPr>
          <w:szCs w:val="22"/>
          <w:lang w:val="hr-HR"/>
        </w:rPr>
      </w:pPr>
      <w:r w:rsidRPr="00510442">
        <w:rPr>
          <w:lang w:val="hr-HR"/>
        </w:rPr>
        <w:t>SN:</w:t>
      </w:r>
    </w:p>
    <w:p w14:paraId="7EA1ED8B" w14:textId="77777777" w:rsidR="001E7036" w:rsidRPr="00510442" w:rsidRDefault="001E7036" w:rsidP="001E7036">
      <w:pPr>
        <w:widowControl w:val="0"/>
        <w:tabs>
          <w:tab w:val="clear" w:pos="567"/>
        </w:tabs>
        <w:rPr>
          <w:szCs w:val="22"/>
          <w:lang w:val="hr-HR"/>
        </w:rPr>
      </w:pPr>
      <w:r w:rsidRPr="00510442">
        <w:rPr>
          <w:lang w:val="hr-HR"/>
        </w:rPr>
        <w:t>NN:</w:t>
      </w:r>
    </w:p>
    <w:p w14:paraId="2522DF64" w14:textId="77777777" w:rsidR="003A274D" w:rsidRPr="00510442" w:rsidRDefault="003A274D" w:rsidP="003A274D">
      <w:pPr>
        <w:tabs>
          <w:tab w:val="clear" w:pos="567"/>
        </w:tabs>
        <w:spacing w:line="240" w:lineRule="auto"/>
        <w:rPr>
          <w:color w:val="000000"/>
          <w:szCs w:val="22"/>
          <w:lang w:val="hr-HR"/>
        </w:rPr>
      </w:pPr>
    </w:p>
    <w:p w14:paraId="45E0B666" w14:textId="77777777" w:rsidR="003A274D" w:rsidRPr="00510442" w:rsidRDefault="003A274D" w:rsidP="003A274D">
      <w:pPr>
        <w:tabs>
          <w:tab w:val="clear" w:pos="567"/>
        </w:tabs>
        <w:spacing w:line="240" w:lineRule="auto"/>
        <w:rPr>
          <w:color w:val="000000"/>
          <w:szCs w:val="22"/>
          <w:lang w:val="hr-HR"/>
        </w:rPr>
      </w:pPr>
      <w:r w:rsidRPr="00510442">
        <w:rPr>
          <w:color w:val="000000"/>
          <w:szCs w:val="22"/>
          <w:lang w:val="hr-HR"/>
        </w:rPr>
        <w:br w:type="page"/>
      </w:r>
    </w:p>
    <w:p w14:paraId="58C2544D" w14:textId="77777777" w:rsidR="006E43C6" w:rsidRPr="006E43C6" w:rsidRDefault="006E43C6" w:rsidP="006E43C6">
      <w:pPr>
        <w:tabs>
          <w:tab w:val="clear" w:pos="567"/>
        </w:tabs>
        <w:spacing w:line="240" w:lineRule="auto"/>
        <w:rPr>
          <w:szCs w:val="22"/>
          <w:lang w:val="hr-HR"/>
        </w:rPr>
      </w:pPr>
    </w:p>
    <w:p w14:paraId="3228E15E" w14:textId="77777777" w:rsidR="003A274D" w:rsidRPr="00510442" w:rsidRDefault="003A274D" w:rsidP="003A274D">
      <w:pPr>
        <w:pBdr>
          <w:top w:val="single" w:sz="4" w:space="1" w:color="auto"/>
          <w:left w:val="single" w:sz="4" w:space="4" w:color="auto"/>
          <w:bottom w:val="single" w:sz="4" w:space="1" w:color="auto"/>
          <w:right w:val="single" w:sz="4" w:space="4" w:color="auto"/>
        </w:pBdr>
        <w:tabs>
          <w:tab w:val="clear" w:pos="567"/>
        </w:tabs>
        <w:spacing w:line="240" w:lineRule="auto"/>
        <w:rPr>
          <w:b/>
          <w:color w:val="000000"/>
          <w:szCs w:val="22"/>
          <w:lang w:val="hr-HR"/>
        </w:rPr>
      </w:pPr>
      <w:r w:rsidRPr="00510442">
        <w:rPr>
          <w:b/>
          <w:szCs w:val="22"/>
          <w:lang w:val="hr-HR"/>
        </w:rPr>
        <w:t>PODACI KOJE</w:t>
      </w:r>
      <w:r w:rsidRPr="00510442">
        <w:rPr>
          <w:b/>
          <w:caps/>
          <w:szCs w:val="22"/>
          <w:lang w:val="hr-HR"/>
        </w:rPr>
        <w:t xml:space="preserve"> mora najmanje sadržavati blister</w:t>
      </w:r>
      <w:r w:rsidRPr="00510442">
        <w:rPr>
          <w:szCs w:val="22"/>
          <w:lang w:val="hr-HR"/>
        </w:rPr>
        <w:t xml:space="preserve"> </w:t>
      </w:r>
      <w:r w:rsidRPr="00510442">
        <w:rPr>
          <w:b/>
          <w:szCs w:val="22"/>
          <w:lang w:val="hr-HR"/>
        </w:rPr>
        <w:t>ILI</w:t>
      </w:r>
      <w:r w:rsidRPr="00510442">
        <w:rPr>
          <w:szCs w:val="22"/>
          <w:lang w:val="hr-HR"/>
        </w:rPr>
        <w:t xml:space="preserve"> </w:t>
      </w:r>
      <w:r w:rsidRPr="00510442">
        <w:rPr>
          <w:b/>
          <w:szCs w:val="22"/>
          <w:lang w:val="hr-HR"/>
        </w:rPr>
        <w:t>STRIP</w:t>
      </w:r>
    </w:p>
    <w:p w14:paraId="655AB35B" w14:textId="77777777" w:rsidR="003A274D" w:rsidRPr="00510442" w:rsidRDefault="003A274D" w:rsidP="003A274D">
      <w:pPr>
        <w:pBdr>
          <w:top w:val="single" w:sz="4" w:space="1" w:color="auto"/>
          <w:left w:val="single" w:sz="4" w:space="4" w:color="auto"/>
          <w:bottom w:val="single" w:sz="4" w:space="1" w:color="auto"/>
          <w:right w:val="single" w:sz="4" w:space="4" w:color="auto"/>
        </w:pBdr>
        <w:tabs>
          <w:tab w:val="clear" w:pos="567"/>
        </w:tabs>
        <w:spacing w:line="240" w:lineRule="auto"/>
        <w:rPr>
          <w:color w:val="000000"/>
          <w:szCs w:val="22"/>
          <w:lang w:val="hr-HR"/>
        </w:rPr>
      </w:pPr>
    </w:p>
    <w:p w14:paraId="639F8C96" w14:textId="77777777" w:rsidR="003A274D" w:rsidRPr="00510442" w:rsidRDefault="003A274D" w:rsidP="003A274D">
      <w:pPr>
        <w:pBdr>
          <w:top w:val="single" w:sz="4" w:space="1" w:color="auto"/>
          <w:left w:val="single" w:sz="4" w:space="4" w:color="auto"/>
          <w:bottom w:val="single" w:sz="4" w:space="1" w:color="auto"/>
          <w:right w:val="single" w:sz="4" w:space="4" w:color="auto"/>
        </w:pBdr>
        <w:tabs>
          <w:tab w:val="clear" w:pos="567"/>
        </w:tabs>
        <w:spacing w:line="240" w:lineRule="auto"/>
        <w:rPr>
          <w:b/>
          <w:color w:val="000000"/>
          <w:szCs w:val="22"/>
          <w:lang w:val="hr-HR"/>
        </w:rPr>
      </w:pPr>
      <w:r w:rsidRPr="00510442">
        <w:rPr>
          <w:b/>
          <w:color w:val="000000"/>
          <w:szCs w:val="22"/>
          <w:lang w:val="hr-HR"/>
        </w:rPr>
        <w:t>BLISTERI</w:t>
      </w:r>
    </w:p>
    <w:p w14:paraId="7AE15139" w14:textId="77777777" w:rsidR="003A274D" w:rsidRPr="00510442" w:rsidRDefault="003A274D" w:rsidP="003A274D">
      <w:pPr>
        <w:tabs>
          <w:tab w:val="clear" w:pos="567"/>
        </w:tabs>
        <w:spacing w:line="240" w:lineRule="auto"/>
        <w:rPr>
          <w:color w:val="000000"/>
          <w:szCs w:val="22"/>
          <w:lang w:val="hr-HR"/>
        </w:rPr>
      </w:pPr>
    </w:p>
    <w:p w14:paraId="30F5E5C7" w14:textId="77777777" w:rsidR="003A274D" w:rsidRPr="00510442" w:rsidRDefault="003A274D" w:rsidP="003A274D">
      <w:pPr>
        <w:tabs>
          <w:tab w:val="clear" w:pos="567"/>
        </w:tabs>
        <w:spacing w:line="240" w:lineRule="auto"/>
        <w:rPr>
          <w:color w:val="000000"/>
          <w:szCs w:val="22"/>
          <w:lang w:val="hr-HR"/>
        </w:rPr>
      </w:pPr>
    </w:p>
    <w:p w14:paraId="647CD6B0" w14:textId="77777777" w:rsidR="003A274D" w:rsidRPr="00510442" w:rsidRDefault="003A274D" w:rsidP="003A274D">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hr-HR"/>
        </w:rPr>
      </w:pPr>
      <w:r w:rsidRPr="00510442">
        <w:rPr>
          <w:b/>
          <w:color w:val="000000"/>
          <w:szCs w:val="22"/>
          <w:lang w:val="hr-HR"/>
        </w:rPr>
        <w:t>1.</w:t>
      </w:r>
      <w:r w:rsidRPr="00510442">
        <w:rPr>
          <w:b/>
          <w:color w:val="000000"/>
          <w:szCs w:val="22"/>
          <w:lang w:val="hr-HR"/>
        </w:rPr>
        <w:tab/>
      </w:r>
      <w:r w:rsidRPr="00510442">
        <w:rPr>
          <w:b/>
          <w:szCs w:val="22"/>
          <w:lang w:val="hr-HR"/>
        </w:rPr>
        <w:t>NAZIV LIJEKA</w:t>
      </w:r>
    </w:p>
    <w:p w14:paraId="2444FE26" w14:textId="77777777" w:rsidR="003A274D" w:rsidRPr="00510442" w:rsidRDefault="003A274D" w:rsidP="003A274D">
      <w:pPr>
        <w:tabs>
          <w:tab w:val="clear" w:pos="567"/>
        </w:tabs>
        <w:spacing w:line="240" w:lineRule="auto"/>
        <w:ind w:left="567" w:hanging="567"/>
        <w:rPr>
          <w:color w:val="000000"/>
          <w:szCs w:val="22"/>
          <w:lang w:val="hr-HR"/>
        </w:rPr>
      </w:pPr>
    </w:p>
    <w:p w14:paraId="05D6B3FA" w14:textId="77777777" w:rsidR="003A274D" w:rsidRPr="00510442" w:rsidRDefault="003A274D" w:rsidP="00DB028B">
      <w:pPr>
        <w:widowControl w:val="0"/>
        <w:tabs>
          <w:tab w:val="clear" w:pos="567"/>
        </w:tabs>
        <w:spacing w:line="240" w:lineRule="auto"/>
        <w:rPr>
          <w:color w:val="000000"/>
          <w:szCs w:val="22"/>
          <w:lang w:val="hr-HR"/>
        </w:rPr>
      </w:pPr>
      <w:r w:rsidRPr="00510442">
        <w:rPr>
          <w:color w:val="000000"/>
          <w:szCs w:val="22"/>
          <w:lang w:val="hr-HR"/>
        </w:rPr>
        <w:t>Glivec 100 mg tvrde kapsule</w:t>
      </w:r>
    </w:p>
    <w:p w14:paraId="18C32BD4" w14:textId="77777777" w:rsidR="003A274D" w:rsidRPr="00510442" w:rsidRDefault="003A274D" w:rsidP="003A274D">
      <w:pPr>
        <w:widowControl w:val="0"/>
        <w:tabs>
          <w:tab w:val="clear" w:pos="567"/>
        </w:tabs>
        <w:spacing w:line="240" w:lineRule="auto"/>
        <w:rPr>
          <w:color w:val="000000"/>
          <w:szCs w:val="22"/>
          <w:lang w:val="hr-HR"/>
        </w:rPr>
      </w:pPr>
      <w:r w:rsidRPr="00510442">
        <w:rPr>
          <w:color w:val="000000"/>
          <w:szCs w:val="22"/>
          <w:lang w:val="hr-HR"/>
        </w:rPr>
        <w:t>imatinib</w:t>
      </w:r>
    </w:p>
    <w:p w14:paraId="12752BBA" w14:textId="77777777" w:rsidR="003A274D" w:rsidRPr="00510442" w:rsidRDefault="003A274D" w:rsidP="003A274D">
      <w:pPr>
        <w:tabs>
          <w:tab w:val="clear" w:pos="567"/>
        </w:tabs>
        <w:spacing w:line="240" w:lineRule="auto"/>
        <w:rPr>
          <w:color w:val="000000"/>
          <w:szCs w:val="22"/>
          <w:lang w:val="hr-HR"/>
        </w:rPr>
      </w:pPr>
    </w:p>
    <w:p w14:paraId="341B2B87" w14:textId="77777777" w:rsidR="003A274D" w:rsidRPr="00510442" w:rsidRDefault="003A274D" w:rsidP="003A274D">
      <w:pPr>
        <w:tabs>
          <w:tab w:val="clear" w:pos="567"/>
        </w:tabs>
        <w:spacing w:line="240" w:lineRule="auto"/>
        <w:rPr>
          <w:color w:val="000000"/>
          <w:szCs w:val="22"/>
          <w:lang w:val="hr-HR"/>
        </w:rPr>
      </w:pPr>
    </w:p>
    <w:p w14:paraId="1161B349" w14:textId="77777777" w:rsidR="003A274D" w:rsidRPr="00510442" w:rsidRDefault="003A274D" w:rsidP="003A274D">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hr-HR"/>
        </w:rPr>
      </w:pPr>
      <w:r w:rsidRPr="00510442">
        <w:rPr>
          <w:b/>
          <w:color w:val="000000"/>
          <w:szCs w:val="22"/>
          <w:lang w:val="hr-HR"/>
        </w:rPr>
        <w:t>2.</w:t>
      </w:r>
      <w:r w:rsidRPr="00510442">
        <w:rPr>
          <w:b/>
          <w:color w:val="000000"/>
          <w:szCs w:val="22"/>
          <w:lang w:val="hr-HR"/>
        </w:rPr>
        <w:tab/>
      </w:r>
      <w:r w:rsidR="001E7036" w:rsidRPr="00510442">
        <w:rPr>
          <w:b/>
          <w:caps/>
          <w:szCs w:val="22"/>
          <w:lang w:val="hr-HR"/>
        </w:rPr>
        <w:t xml:space="preserve">NAZIV </w:t>
      </w:r>
      <w:r w:rsidRPr="00510442">
        <w:rPr>
          <w:b/>
          <w:caps/>
          <w:szCs w:val="22"/>
          <w:lang w:val="hr-HR"/>
        </w:rPr>
        <w:t>nositelja odobrenja za stavljanje lijeka u promet</w:t>
      </w:r>
    </w:p>
    <w:p w14:paraId="6C27B7CE" w14:textId="77777777" w:rsidR="003A274D" w:rsidRPr="00510442" w:rsidRDefault="003A274D" w:rsidP="003A274D">
      <w:pPr>
        <w:tabs>
          <w:tab w:val="clear" w:pos="567"/>
        </w:tabs>
        <w:spacing w:line="240" w:lineRule="auto"/>
        <w:rPr>
          <w:color w:val="000000"/>
          <w:szCs w:val="22"/>
          <w:lang w:val="hr-HR"/>
        </w:rPr>
      </w:pPr>
    </w:p>
    <w:p w14:paraId="4AC35432" w14:textId="77777777" w:rsidR="003A274D" w:rsidRPr="00510442" w:rsidRDefault="003A274D" w:rsidP="003A274D">
      <w:pPr>
        <w:widowControl w:val="0"/>
        <w:tabs>
          <w:tab w:val="clear" w:pos="567"/>
        </w:tabs>
        <w:spacing w:line="240" w:lineRule="auto"/>
        <w:rPr>
          <w:color w:val="000000"/>
          <w:szCs w:val="22"/>
          <w:lang w:val="hr-HR"/>
        </w:rPr>
      </w:pPr>
      <w:r w:rsidRPr="00510442">
        <w:rPr>
          <w:color w:val="000000"/>
          <w:szCs w:val="22"/>
          <w:lang w:val="hr-HR"/>
        </w:rPr>
        <w:t>Novartis Europharm Limited</w:t>
      </w:r>
    </w:p>
    <w:p w14:paraId="4281CD78" w14:textId="77777777" w:rsidR="003A274D" w:rsidRPr="00510442" w:rsidRDefault="003A274D" w:rsidP="003A274D">
      <w:pPr>
        <w:tabs>
          <w:tab w:val="clear" w:pos="567"/>
        </w:tabs>
        <w:spacing w:line="240" w:lineRule="auto"/>
        <w:rPr>
          <w:color w:val="000000"/>
          <w:szCs w:val="22"/>
          <w:lang w:val="hr-HR"/>
        </w:rPr>
      </w:pPr>
    </w:p>
    <w:p w14:paraId="08B43D21" w14:textId="77777777" w:rsidR="003A274D" w:rsidRPr="00510442" w:rsidRDefault="003A274D" w:rsidP="003A274D">
      <w:pPr>
        <w:tabs>
          <w:tab w:val="clear" w:pos="567"/>
        </w:tabs>
        <w:spacing w:line="240" w:lineRule="auto"/>
        <w:rPr>
          <w:color w:val="000000"/>
          <w:szCs w:val="22"/>
          <w:lang w:val="hr-HR"/>
        </w:rPr>
      </w:pPr>
    </w:p>
    <w:p w14:paraId="0599C7E0" w14:textId="77777777" w:rsidR="003A274D" w:rsidRPr="00510442" w:rsidRDefault="003A274D" w:rsidP="003A274D">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hr-HR"/>
        </w:rPr>
      </w:pPr>
      <w:r w:rsidRPr="00510442">
        <w:rPr>
          <w:b/>
          <w:color w:val="000000"/>
          <w:szCs w:val="22"/>
          <w:lang w:val="hr-HR"/>
        </w:rPr>
        <w:t>3.</w:t>
      </w:r>
      <w:r w:rsidRPr="00510442">
        <w:rPr>
          <w:b/>
          <w:color w:val="000000"/>
          <w:szCs w:val="22"/>
          <w:lang w:val="hr-HR"/>
        </w:rPr>
        <w:tab/>
      </w:r>
      <w:r w:rsidRPr="00510442">
        <w:rPr>
          <w:b/>
          <w:szCs w:val="22"/>
          <w:lang w:val="hr-HR"/>
        </w:rPr>
        <w:t>ROK VALJANOSTI</w:t>
      </w:r>
    </w:p>
    <w:p w14:paraId="77958848" w14:textId="77777777" w:rsidR="003A274D" w:rsidRPr="00510442" w:rsidRDefault="003A274D" w:rsidP="003A274D">
      <w:pPr>
        <w:tabs>
          <w:tab w:val="clear" w:pos="567"/>
        </w:tabs>
        <w:spacing w:line="240" w:lineRule="auto"/>
        <w:rPr>
          <w:color w:val="000000"/>
          <w:szCs w:val="22"/>
          <w:lang w:val="hr-HR"/>
        </w:rPr>
      </w:pPr>
    </w:p>
    <w:p w14:paraId="3E9A1CEE" w14:textId="77777777" w:rsidR="003A274D" w:rsidRPr="00510442" w:rsidRDefault="003A274D" w:rsidP="003A274D">
      <w:pPr>
        <w:pStyle w:val="EndnoteText"/>
        <w:widowControl w:val="0"/>
        <w:tabs>
          <w:tab w:val="clear" w:pos="567"/>
        </w:tabs>
        <w:rPr>
          <w:color w:val="000000"/>
          <w:szCs w:val="22"/>
          <w:lang w:val="hr-HR"/>
        </w:rPr>
      </w:pPr>
      <w:r w:rsidRPr="00510442">
        <w:rPr>
          <w:bCs/>
          <w:szCs w:val="22"/>
          <w:lang w:val="hr-HR"/>
        </w:rPr>
        <w:t>EXP</w:t>
      </w:r>
    </w:p>
    <w:p w14:paraId="3954AA28" w14:textId="77777777" w:rsidR="003A274D" w:rsidRPr="00510442" w:rsidRDefault="003A274D" w:rsidP="003A274D">
      <w:pPr>
        <w:tabs>
          <w:tab w:val="clear" w:pos="567"/>
        </w:tabs>
        <w:spacing w:line="240" w:lineRule="auto"/>
        <w:rPr>
          <w:color w:val="000000"/>
          <w:szCs w:val="22"/>
          <w:lang w:val="hr-HR"/>
        </w:rPr>
      </w:pPr>
    </w:p>
    <w:p w14:paraId="00109641" w14:textId="77777777" w:rsidR="003A274D" w:rsidRPr="00510442" w:rsidRDefault="003A274D" w:rsidP="003A274D">
      <w:pPr>
        <w:tabs>
          <w:tab w:val="clear" w:pos="567"/>
        </w:tabs>
        <w:spacing w:line="240" w:lineRule="auto"/>
        <w:rPr>
          <w:color w:val="000000"/>
          <w:szCs w:val="22"/>
          <w:lang w:val="hr-HR"/>
        </w:rPr>
      </w:pPr>
    </w:p>
    <w:p w14:paraId="1760E74D" w14:textId="77777777" w:rsidR="003A274D" w:rsidRPr="00510442" w:rsidRDefault="003A274D" w:rsidP="003A274D">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hr-HR"/>
        </w:rPr>
      </w:pPr>
      <w:r w:rsidRPr="00510442">
        <w:rPr>
          <w:b/>
          <w:color w:val="000000"/>
          <w:szCs w:val="22"/>
          <w:lang w:val="hr-HR"/>
        </w:rPr>
        <w:t>4.</w:t>
      </w:r>
      <w:r w:rsidRPr="00510442">
        <w:rPr>
          <w:b/>
          <w:color w:val="000000"/>
          <w:szCs w:val="22"/>
          <w:lang w:val="hr-HR"/>
        </w:rPr>
        <w:tab/>
      </w:r>
      <w:r w:rsidRPr="00510442">
        <w:rPr>
          <w:b/>
          <w:szCs w:val="22"/>
          <w:lang w:val="hr-HR"/>
        </w:rPr>
        <w:t>BROJ SERIJE</w:t>
      </w:r>
    </w:p>
    <w:p w14:paraId="7B96247A" w14:textId="77777777" w:rsidR="003A274D" w:rsidRPr="00510442" w:rsidRDefault="003A274D" w:rsidP="003A274D">
      <w:pPr>
        <w:tabs>
          <w:tab w:val="clear" w:pos="567"/>
        </w:tabs>
        <w:spacing w:line="240" w:lineRule="auto"/>
        <w:rPr>
          <w:color w:val="000000"/>
          <w:szCs w:val="22"/>
          <w:lang w:val="hr-HR"/>
        </w:rPr>
      </w:pPr>
    </w:p>
    <w:p w14:paraId="4A0249F5" w14:textId="77777777" w:rsidR="003A274D" w:rsidRPr="00510442" w:rsidRDefault="003A274D" w:rsidP="003A274D">
      <w:pPr>
        <w:widowControl w:val="0"/>
        <w:tabs>
          <w:tab w:val="clear" w:pos="567"/>
        </w:tabs>
        <w:spacing w:line="240" w:lineRule="auto"/>
        <w:rPr>
          <w:color w:val="000000"/>
          <w:szCs w:val="22"/>
          <w:lang w:val="hr-HR"/>
        </w:rPr>
      </w:pPr>
      <w:r w:rsidRPr="00510442">
        <w:rPr>
          <w:bCs/>
          <w:szCs w:val="22"/>
          <w:lang w:val="hr-HR"/>
        </w:rPr>
        <w:t>Lot</w:t>
      </w:r>
    </w:p>
    <w:p w14:paraId="54DC2A86" w14:textId="77777777" w:rsidR="003A274D" w:rsidRPr="00510442" w:rsidRDefault="003A274D" w:rsidP="003A274D">
      <w:pPr>
        <w:widowControl w:val="0"/>
        <w:tabs>
          <w:tab w:val="clear" w:pos="567"/>
        </w:tabs>
        <w:spacing w:line="240" w:lineRule="auto"/>
        <w:rPr>
          <w:color w:val="000000"/>
          <w:szCs w:val="22"/>
          <w:lang w:val="hr-HR"/>
        </w:rPr>
      </w:pPr>
    </w:p>
    <w:p w14:paraId="1D582D73" w14:textId="77777777" w:rsidR="003A274D" w:rsidRPr="00510442" w:rsidRDefault="003A274D" w:rsidP="003A274D">
      <w:pPr>
        <w:widowControl w:val="0"/>
        <w:tabs>
          <w:tab w:val="clear" w:pos="567"/>
        </w:tabs>
        <w:spacing w:line="240" w:lineRule="auto"/>
        <w:rPr>
          <w:color w:val="000000"/>
          <w:szCs w:val="22"/>
          <w:lang w:val="hr-HR"/>
        </w:rPr>
      </w:pPr>
    </w:p>
    <w:p w14:paraId="5AD4554A" w14:textId="77777777" w:rsidR="003A274D" w:rsidRPr="00510442" w:rsidRDefault="003A274D" w:rsidP="003A274D">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hr-HR"/>
        </w:rPr>
      </w:pPr>
      <w:r w:rsidRPr="00510442">
        <w:rPr>
          <w:b/>
          <w:color w:val="000000"/>
          <w:szCs w:val="22"/>
          <w:lang w:val="hr-HR"/>
        </w:rPr>
        <w:t>5.</w:t>
      </w:r>
      <w:r w:rsidRPr="00510442">
        <w:rPr>
          <w:b/>
          <w:color w:val="000000"/>
          <w:szCs w:val="22"/>
          <w:lang w:val="hr-HR"/>
        </w:rPr>
        <w:tab/>
      </w:r>
      <w:r w:rsidRPr="00510442">
        <w:rPr>
          <w:b/>
          <w:szCs w:val="22"/>
          <w:lang w:val="hr-HR"/>
        </w:rPr>
        <w:t>DRUGO</w:t>
      </w:r>
    </w:p>
    <w:p w14:paraId="1ED8E0C9" w14:textId="77777777" w:rsidR="003A274D" w:rsidRPr="00510442" w:rsidRDefault="003A274D" w:rsidP="003A274D">
      <w:pPr>
        <w:widowControl w:val="0"/>
        <w:tabs>
          <w:tab w:val="clear" w:pos="567"/>
        </w:tabs>
        <w:spacing w:line="240" w:lineRule="auto"/>
        <w:rPr>
          <w:color w:val="000000"/>
          <w:szCs w:val="22"/>
          <w:lang w:val="hr-HR"/>
        </w:rPr>
      </w:pPr>
    </w:p>
    <w:p w14:paraId="01343DE3" w14:textId="77777777" w:rsidR="003A274D" w:rsidRPr="00510442" w:rsidRDefault="003A274D" w:rsidP="003A274D">
      <w:pPr>
        <w:tabs>
          <w:tab w:val="clear" w:pos="567"/>
        </w:tabs>
        <w:spacing w:line="240" w:lineRule="auto"/>
        <w:rPr>
          <w:color w:val="000000"/>
          <w:szCs w:val="22"/>
          <w:lang w:val="hr-HR"/>
        </w:rPr>
      </w:pPr>
      <w:r w:rsidRPr="00510442">
        <w:rPr>
          <w:b/>
          <w:color w:val="000000"/>
          <w:szCs w:val="22"/>
          <w:lang w:val="hr-HR"/>
        </w:rPr>
        <w:br w:type="page"/>
      </w:r>
    </w:p>
    <w:p w14:paraId="4C36F027" w14:textId="77777777" w:rsidR="006E43C6" w:rsidRPr="006E43C6" w:rsidRDefault="006E43C6" w:rsidP="006E43C6">
      <w:pPr>
        <w:tabs>
          <w:tab w:val="clear" w:pos="567"/>
        </w:tabs>
        <w:spacing w:line="240" w:lineRule="auto"/>
        <w:rPr>
          <w:szCs w:val="22"/>
          <w:lang w:val="hr-HR"/>
        </w:rPr>
      </w:pPr>
    </w:p>
    <w:p w14:paraId="72A7D4F8" w14:textId="77777777" w:rsidR="003A274D" w:rsidRPr="006E43C6" w:rsidRDefault="003A274D" w:rsidP="003A274D">
      <w:pPr>
        <w:pBdr>
          <w:top w:val="single" w:sz="4" w:space="1" w:color="auto"/>
          <w:left w:val="single" w:sz="4" w:space="4" w:color="auto"/>
          <w:bottom w:val="single" w:sz="4" w:space="1" w:color="auto"/>
          <w:right w:val="single" w:sz="4" w:space="4" w:color="auto"/>
        </w:pBdr>
        <w:tabs>
          <w:tab w:val="clear" w:pos="567"/>
        </w:tabs>
        <w:spacing w:line="240" w:lineRule="auto"/>
        <w:rPr>
          <w:b/>
          <w:color w:val="000000"/>
          <w:szCs w:val="22"/>
          <w:lang w:val="hr-HR"/>
        </w:rPr>
      </w:pPr>
      <w:r w:rsidRPr="006E43C6">
        <w:rPr>
          <w:b/>
          <w:szCs w:val="22"/>
          <w:lang w:val="hr-HR"/>
        </w:rPr>
        <w:t xml:space="preserve">PODACI KOJI SE MORAJU NALAZITI NA VANJSKOM </w:t>
      </w:r>
      <w:r w:rsidR="006B3A0B" w:rsidRPr="006E43C6">
        <w:rPr>
          <w:b/>
          <w:szCs w:val="22"/>
          <w:lang w:val="hr-HR"/>
        </w:rPr>
        <w:t>PAKIRANJU</w:t>
      </w:r>
    </w:p>
    <w:p w14:paraId="2BA21A5E" w14:textId="77777777" w:rsidR="003A274D" w:rsidRPr="00510442" w:rsidRDefault="003A274D" w:rsidP="003A274D">
      <w:pPr>
        <w:pBdr>
          <w:top w:val="single" w:sz="4" w:space="1" w:color="auto"/>
          <w:left w:val="single" w:sz="4" w:space="4" w:color="auto"/>
          <w:bottom w:val="single" w:sz="4" w:space="1" w:color="auto"/>
          <w:right w:val="single" w:sz="4" w:space="4" w:color="auto"/>
        </w:pBdr>
        <w:tabs>
          <w:tab w:val="clear" w:pos="567"/>
        </w:tabs>
        <w:spacing w:line="240" w:lineRule="auto"/>
        <w:rPr>
          <w:color w:val="000000"/>
          <w:szCs w:val="22"/>
          <w:lang w:val="hr-HR"/>
        </w:rPr>
      </w:pPr>
    </w:p>
    <w:p w14:paraId="04DA4DC3" w14:textId="77777777" w:rsidR="003A274D" w:rsidRPr="00510442" w:rsidRDefault="003A274D" w:rsidP="003A274D">
      <w:pPr>
        <w:pBdr>
          <w:top w:val="single" w:sz="4" w:space="1" w:color="auto"/>
          <w:left w:val="single" w:sz="4" w:space="4" w:color="auto"/>
          <w:bottom w:val="single" w:sz="4" w:space="1" w:color="auto"/>
          <w:right w:val="single" w:sz="4" w:space="4" w:color="auto"/>
        </w:pBdr>
        <w:spacing w:line="240" w:lineRule="auto"/>
        <w:rPr>
          <w:b/>
          <w:color w:val="000000"/>
          <w:szCs w:val="22"/>
          <w:lang w:val="hr-HR"/>
        </w:rPr>
      </w:pPr>
      <w:r w:rsidRPr="00510442">
        <w:rPr>
          <w:b/>
          <w:color w:val="000000"/>
          <w:szCs w:val="22"/>
          <w:lang w:val="hr-HR"/>
        </w:rPr>
        <w:t>KARTONSKA KUTIJA</w:t>
      </w:r>
    </w:p>
    <w:p w14:paraId="45E5DB80" w14:textId="77777777" w:rsidR="003A274D" w:rsidRPr="00510442" w:rsidRDefault="003A274D" w:rsidP="003A274D">
      <w:pPr>
        <w:tabs>
          <w:tab w:val="clear" w:pos="567"/>
        </w:tabs>
        <w:spacing w:line="240" w:lineRule="auto"/>
        <w:rPr>
          <w:color w:val="000000"/>
          <w:szCs w:val="22"/>
          <w:lang w:val="hr-HR"/>
        </w:rPr>
      </w:pPr>
    </w:p>
    <w:p w14:paraId="1E22970B" w14:textId="77777777" w:rsidR="003A274D" w:rsidRPr="00510442" w:rsidRDefault="003A274D" w:rsidP="003A274D">
      <w:pPr>
        <w:tabs>
          <w:tab w:val="clear" w:pos="567"/>
        </w:tabs>
        <w:spacing w:line="240" w:lineRule="auto"/>
        <w:rPr>
          <w:color w:val="000000"/>
          <w:szCs w:val="22"/>
          <w:lang w:val="hr-HR"/>
        </w:rPr>
      </w:pPr>
    </w:p>
    <w:p w14:paraId="300936CC" w14:textId="77777777" w:rsidR="003A274D" w:rsidRPr="00510442" w:rsidRDefault="003A274D" w:rsidP="003A274D">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hr-HR"/>
        </w:rPr>
      </w:pPr>
      <w:r w:rsidRPr="00510442">
        <w:rPr>
          <w:b/>
          <w:color w:val="000000"/>
          <w:szCs w:val="22"/>
          <w:lang w:val="hr-HR"/>
        </w:rPr>
        <w:t>1.</w:t>
      </w:r>
      <w:r w:rsidRPr="00510442">
        <w:rPr>
          <w:b/>
          <w:color w:val="000000"/>
          <w:szCs w:val="22"/>
          <w:lang w:val="hr-HR"/>
        </w:rPr>
        <w:tab/>
      </w:r>
      <w:r w:rsidRPr="00510442">
        <w:rPr>
          <w:b/>
          <w:szCs w:val="22"/>
          <w:lang w:val="hr-HR"/>
        </w:rPr>
        <w:t>NAZIV LIJEKA</w:t>
      </w:r>
    </w:p>
    <w:p w14:paraId="6C87F39E" w14:textId="77777777" w:rsidR="003A274D" w:rsidRPr="00510442" w:rsidRDefault="003A274D" w:rsidP="003A274D">
      <w:pPr>
        <w:widowControl w:val="0"/>
        <w:tabs>
          <w:tab w:val="clear" w:pos="567"/>
        </w:tabs>
        <w:spacing w:line="240" w:lineRule="auto"/>
        <w:rPr>
          <w:color w:val="000000"/>
          <w:szCs w:val="22"/>
          <w:lang w:val="hr-HR"/>
        </w:rPr>
      </w:pPr>
    </w:p>
    <w:p w14:paraId="3699E77D" w14:textId="77777777" w:rsidR="003A274D" w:rsidRPr="00510442" w:rsidRDefault="003A274D" w:rsidP="00DB028B">
      <w:pPr>
        <w:widowControl w:val="0"/>
        <w:spacing w:line="240" w:lineRule="auto"/>
        <w:rPr>
          <w:color w:val="000000"/>
          <w:szCs w:val="22"/>
          <w:lang w:val="hr-HR"/>
        </w:rPr>
      </w:pPr>
      <w:r w:rsidRPr="00510442">
        <w:rPr>
          <w:color w:val="000000"/>
          <w:szCs w:val="22"/>
          <w:lang w:val="hr-HR"/>
        </w:rPr>
        <w:t>Glivec 100 mg filmom obložene tablete</w:t>
      </w:r>
    </w:p>
    <w:p w14:paraId="49528040" w14:textId="77777777" w:rsidR="003A274D" w:rsidRPr="00510442" w:rsidRDefault="003A274D" w:rsidP="003A274D">
      <w:pPr>
        <w:widowControl w:val="0"/>
        <w:tabs>
          <w:tab w:val="clear" w:pos="567"/>
        </w:tabs>
        <w:spacing w:line="240" w:lineRule="auto"/>
        <w:rPr>
          <w:color w:val="000000"/>
          <w:szCs w:val="22"/>
          <w:lang w:val="hr-HR"/>
        </w:rPr>
      </w:pPr>
      <w:r w:rsidRPr="00510442">
        <w:rPr>
          <w:color w:val="000000"/>
          <w:szCs w:val="22"/>
          <w:lang w:val="hr-HR"/>
        </w:rPr>
        <w:t>imatinib</w:t>
      </w:r>
    </w:p>
    <w:p w14:paraId="7D0EE8EB" w14:textId="77777777" w:rsidR="003A274D" w:rsidRPr="00510442" w:rsidRDefault="003A274D" w:rsidP="003A274D">
      <w:pPr>
        <w:tabs>
          <w:tab w:val="clear" w:pos="567"/>
        </w:tabs>
        <w:spacing w:line="240" w:lineRule="auto"/>
        <w:rPr>
          <w:color w:val="000000"/>
          <w:szCs w:val="22"/>
          <w:lang w:val="hr-HR"/>
        </w:rPr>
      </w:pPr>
    </w:p>
    <w:p w14:paraId="400A7F20" w14:textId="77777777" w:rsidR="003A274D" w:rsidRPr="00510442" w:rsidRDefault="003A274D" w:rsidP="003A274D">
      <w:pPr>
        <w:tabs>
          <w:tab w:val="clear" w:pos="567"/>
        </w:tabs>
        <w:spacing w:line="240" w:lineRule="auto"/>
        <w:rPr>
          <w:color w:val="000000"/>
          <w:szCs w:val="22"/>
          <w:lang w:val="hr-HR"/>
        </w:rPr>
      </w:pPr>
    </w:p>
    <w:p w14:paraId="6DBBBCEC" w14:textId="77777777" w:rsidR="003A274D" w:rsidRPr="00510442" w:rsidRDefault="003A274D" w:rsidP="003A274D">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hr-HR"/>
        </w:rPr>
      </w:pPr>
      <w:r w:rsidRPr="00510442">
        <w:rPr>
          <w:b/>
          <w:color w:val="000000"/>
          <w:szCs w:val="22"/>
          <w:lang w:val="hr-HR"/>
        </w:rPr>
        <w:t>2.</w:t>
      </w:r>
      <w:r w:rsidRPr="00510442">
        <w:rPr>
          <w:b/>
          <w:color w:val="000000"/>
          <w:szCs w:val="22"/>
          <w:lang w:val="hr-HR"/>
        </w:rPr>
        <w:tab/>
      </w:r>
      <w:r w:rsidR="006B3A0B" w:rsidRPr="00510442">
        <w:rPr>
          <w:b/>
          <w:color w:val="000000"/>
          <w:szCs w:val="22"/>
          <w:lang w:val="hr-HR"/>
        </w:rPr>
        <w:t>NAVOĐENJE</w:t>
      </w:r>
      <w:r w:rsidRPr="00510442">
        <w:rPr>
          <w:b/>
          <w:szCs w:val="22"/>
          <w:lang w:val="hr-HR"/>
        </w:rPr>
        <w:t xml:space="preserve"> DJELATN</w:t>
      </w:r>
      <w:r w:rsidR="006B3A0B" w:rsidRPr="00510442">
        <w:rPr>
          <w:b/>
          <w:szCs w:val="22"/>
          <w:lang w:val="hr-HR"/>
        </w:rPr>
        <w:t>E</w:t>
      </w:r>
      <w:r w:rsidR="005C43A6" w:rsidRPr="00510442">
        <w:rPr>
          <w:b/>
          <w:szCs w:val="22"/>
          <w:lang w:val="hr-HR"/>
        </w:rPr>
        <w:t>(</w:t>
      </w:r>
      <w:r w:rsidRPr="00510442">
        <w:rPr>
          <w:b/>
          <w:szCs w:val="22"/>
          <w:lang w:val="hr-HR"/>
        </w:rPr>
        <w:t>IH</w:t>
      </w:r>
      <w:r w:rsidR="005C43A6" w:rsidRPr="00510442">
        <w:rPr>
          <w:b/>
          <w:szCs w:val="22"/>
          <w:lang w:val="hr-HR"/>
        </w:rPr>
        <w:t>)</w:t>
      </w:r>
      <w:r w:rsidRPr="00510442">
        <w:rPr>
          <w:b/>
          <w:szCs w:val="22"/>
          <w:lang w:val="hr-HR"/>
        </w:rPr>
        <w:t xml:space="preserve"> TVARI</w:t>
      </w:r>
    </w:p>
    <w:p w14:paraId="564BA2D1" w14:textId="77777777" w:rsidR="003A274D" w:rsidRPr="00510442" w:rsidRDefault="003A274D" w:rsidP="003A274D">
      <w:pPr>
        <w:tabs>
          <w:tab w:val="clear" w:pos="567"/>
        </w:tabs>
        <w:spacing w:line="240" w:lineRule="auto"/>
        <w:rPr>
          <w:color w:val="000000"/>
          <w:szCs w:val="22"/>
          <w:lang w:val="hr-HR"/>
        </w:rPr>
      </w:pPr>
    </w:p>
    <w:p w14:paraId="2EB21A26" w14:textId="77777777" w:rsidR="003A274D" w:rsidRPr="00510442" w:rsidRDefault="003A274D" w:rsidP="00DB028B">
      <w:pPr>
        <w:widowControl w:val="0"/>
        <w:spacing w:line="240" w:lineRule="auto"/>
        <w:rPr>
          <w:color w:val="000000"/>
          <w:szCs w:val="22"/>
          <w:lang w:val="hr-HR"/>
        </w:rPr>
      </w:pPr>
      <w:r w:rsidRPr="00510442">
        <w:rPr>
          <w:color w:val="000000"/>
          <w:szCs w:val="22"/>
          <w:lang w:val="hr-HR"/>
        </w:rPr>
        <w:t xml:space="preserve">Svaka </w:t>
      </w:r>
      <w:r w:rsidRPr="00510442">
        <w:rPr>
          <w:bCs/>
          <w:szCs w:val="22"/>
          <w:lang w:val="hr-HR"/>
        </w:rPr>
        <w:t>filmom obložena tableta</w:t>
      </w:r>
      <w:r w:rsidRPr="00510442">
        <w:rPr>
          <w:color w:val="000000"/>
          <w:szCs w:val="22"/>
          <w:lang w:val="hr-HR"/>
        </w:rPr>
        <w:t xml:space="preserve"> sadrži 100 mg imatiniba (</w:t>
      </w:r>
      <w:r w:rsidRPr="00510442">
        <w:rPr>
          <w:bCs/>
          <w:szCs w:val="22"/>
          <w:lang w:val="hr-HR"/>
        </w:rPr>
        <w:t>u obliku imatinibmesilata</w:t>
      </w:r>
      <w:r w:rsidRPr="00510442">
        <w:rPr>
          <w:color w:val="000000"/>
          <w:szCs w:val="22"/>
          <w:lang w:val="hr-HR"/>
        </w:rPr>
        <w:t>).</w:t>
      </w:r>
    </w:p>
    <w:p w14:paraId="01A1DEB4" w14:textId="77777777" w:rsidR="003A274D" w:rsidRPr="00510442" w:rsidRDefault="003A274D" w:rsidP="003A274D">
      <w:pPr>
        <w:tabs>
          <w:tab w:val="clear" w:pos="567"/>
        </w:tabs>
        <w:spacing w:line="240" w:lineRule="auto"/>
        <w:rPr>
          <w:color w:val="000000"/>
          <w:szCs w:val="22"/>
          <w:lang w:val="hr-HR"/>
        </w:rPr>
      </w:pPr>
    </w:p>
    <w:p w14:paraId="39E94A07" w14:textId="77777777" w:rsidR="003A274D" w:rsidRPr="00510442" w:rsidRDefault="003A274D" w:rsidP="003A274D">
      <w:pPr>
        <w:tabs>
          <w:tab w:val="clear" w:pos="567"/>
        </w:tabs>
        <w:spacing w:line="240" w:lineRule="auto"/>
        <w:rPr>
          <w:color w:val="000000"/>
          <w:szCs w:val="22"/>
          <w:lang w:val="hr-HR"/>
        </w:rPr>
      </w:pPr>
    </w:p>
    <w:p w14:paraId="45C9AF95" w14:textId="77777777" w:rsidR="003A274D" w:rsidRPr="00510442" w:rsidRDefault="003A274D" w:rsidP="003A274D">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hr-HR"/>
        </w:rPr>
      </w:pPr>
      <w:r w:rsidRPr="00510442">
        <w:rPr>
          <w:b/>
          <w:color w:val="000000"/>
          <w:szCs w:val="22"/>
          <w:lang w:val="hr-HR"/>
        </w:rPr>
        <w:t>3.</w:t>
      </w:r>
      <w:r w:rsidRPr="00510442">
        <w:rPr>
          <w:b/>
          <w:color w:val="000000"/>
          <w:szCs w:val="22"/>
          <w:lang w:val="hr-HR"/>
        </w:rPr>
        <w:tab/>
      </w:r>
      <w:r w:rsidRPr="00510442">
        <w:rPr>
          <w:b/>
          <w:szCs w:val="22"/>
          <w:lang w:val="hr-HR"/>
        </w:rPr>
        <w:t>POPIS POMOĆNIH TVARI</w:t>
      </w:r>
    </w:p>
    <w:p w14:paraId="6561BF8B" w14:textId="77777777" w:rsidR="003A274D" w:rsidRPr="00510442" w:rsidRDefault="003A274D" w:rsidP="003A274D">
      <w:pPr>
        <w:tabs>
          <w:tab w:val="clear" w:pos="567"/>
        </w:tabs>
        <w:spacing w:line="240" w:lineRule="auto"/>
        <w:rPr>
          <w:color w:val="000000"/>
          <w:szCs w:val="22"/>
          <w:lang w:val="hr-HR"/>
        </w:rPr>
      </w:pPr>
    </w:p>
    <w:p w14:paraId="71FE1E38" w14:textId="77777777" w:rsidR="003A274D" w:rsidRPr="00510442" w:rsidRDefault="003A274D" w:rsidP="003A274D">
      <w:pPr>
        <w:tabs>
          <w:tab w:val="clear" w:pos="567"/>
        </w:tabs>
        <w:spacing w:line="240" w:lineRule="auto"/>
        <w:rPr>
          <w:color w:val="000000"/>
          <w:szCs w:val="22"/>
          <w:lang w:val="hr-HR"/>
        </w:rPr>
      </w:pPr>
    </w:p>
    <w:p w14:paraId="3CDA4BAC" w14:textId="77777777" w:rsidR="003A274D" w:rsidRPr="00510442" w:rsidRDefault="003A274D" w:rsidP="003A274D">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hr-HR"/>
        </w:rPr>
      </w:pPr>
      <w:r w:rsidRPr="00510442">
        <w:rPr>
          <w:b/>
          <w:color w:val="000000"/>
          <w:szCs w:val="22"/>
          <w:lang w:val="hr-HR"/>
        </w:rPr>
        <w:t>4.</w:t>
      </w:r>
      <w:r w:rsidRPr="00510442">
        <w:rPr>
          <w:b/>
          <w:color w:val="000000"/>
          <w:szCs w:val="22"/>
          <w:lang w:val="hr-HR"/>
        </w:rPr>
        <w:tab/>
      </w:r>
      <w:r w:rsidRPr="00510442">
        <w:rPr>
          <w:b/>
          <w:szCs w:val="22"/>
          <w:lang w:val="hr-HR"/>
        </w:rPr>
        <w:t>FARMACEUTSKI OBLIK I SADRŽAJ</w:t>
      </w:r>
    </w:p>
    <w:p w14:paraId="1D95CCBE" w14:textId="77777777" w:rsidR="003A274D" w:rsidRPr="00510442" w:rsidRDefault="003A274D" w:rsidP="003A274D">
      <w:pPr>
        <w:tabs>
          <w:tab w:val="clear" w:pos="567"/>
        </w:tabs>
        <w:spacing w:line="240" w:lineRule="auto"/>
        <w:rPr>
          <w:color w:val="000000"/>
          <w:szCs w:val="22"/>
          <w:lang w:val="hr-HR"/>
        </w:rPr>
      </w:pPr>
    </w:p>
    <w:p w14:paraId="16DC64E6" w14:textId="77777777" w:rsidR="003A274D" w:rsidRPr="00510442" w:rsidRDefault="003A274D" w:rsidP="00DB028B">
      <w:pPr>
        <w:pStyle w:val="EndnoteText"/>
        <w:widowControl w:val="0"/>
        <w:rPr>
          <w:color w:val="000000"/>
          <w:szCs w:val="22"/>
          <w:lang w:val="hr-HR"/>
        </w:rPr>
      </w:pPr>
      <w:r w:rsidRPr="007823C3">
        <w:rPr>
          <w:color w:val="000000"/>
          <w:szCs w:val="22"/>
          <w:lang w:val="hr-HR"/>
        </w:rPr>
        <w:t>20 filmom obloženih tableta</w:t>
      </w:r>
    </w:p>
    <w:p w14:paraId="20179729" w14:textId="77777777" w:rsidR="003A274D" w:rsidRPr="00510442" w:rsidRDefault="003A274D" w:rsidP="00DB028B">
      <w:pPr>
        <w:widowControl w:val="0"/>
        <w:spacing w:line="240" w:lineRule="auto"/>
        <w:rPr>
          <w:color w:val="000000"/>
          <w:szCs w:val="22"/>
          <w:shd w:val="clear" w:color="auto" w:fill="D9D9D9"/>
          <w:lang w:val="hr-HR"/>
        </w:rPr>
      </w:pPr>
      <w:r w:rsidRPr="00510442">
        <w:rPr>
          <w:color w:val="000000"/>
          <w:szCs w:val="22"/>
          <w:shd w:val="clear" w:color="auto" w:fill="D9D9D9"/>
          <w:lang w:val="hr-HR"/>
        </w:rPr>
        <w:t>60 filmom obloženih tableta</w:t>
      </w:r>
    </w:p>
    <w:p w14:paraId="440EBDEF" w14:textId="77777777" w:rsidR="003A274D" w:rsidRPr="00510442" w:rsidRDefault="003A274D" w:rsidP="00DB028B">
      <w:pPr>
        <w:widowControl w:val="0"/>
        <w:spacing w:line="240" w:lineRule="auto"/>
        <w:rPr>
          <w:color w:val="000000"/>
          <w:szCs w:val="22"/>
          <w:shd w:val="clear" w:color="auto" w:fill="D9D9D9"/>
          <w:lang w:val="hr-HR"/>
        </w:rPr>
      </w:pPr>
      <w:r w:rsidRPr="00510442">
        <w:rPr>
          <w:color w:val="000000"/>
          <w:szCs w:val="22"/>
          <w:shd w:val="clear" w:color="auto" w:fill="D9D9D9"/>
          <w:lang w:val="hr-HR"/>
        </w:rPr>
        <w:t>120 filmom obloženih tableta</w:t>
      </w:r>
    </w:p>
    <w:p w14:paraId="049962F4" w14:textId="77777777" w:rsidR="003A274D" w:rsidRPr="00510442" w:rsidRDefault="003A274D" w:rsidP="00DB028B">
      <w:pPr>
        <w:widowControl w:val="0"/>
        <w:spacing w:line="240" w:lineRule="auto"/>
        <w:rPr>
          <w:color w:val="000000"/>
          <w:szCs w:val="22"/>
          <w:shd w:val="clear" w:color="auto" w:fill="D9D9D9"/>
          <w:lang w:val="hr-HR"/>
        </w:rPr>
      </w:pPr>
      <w:r w:rsidRPr="00510442">
        <w:rPr>
          <w:color w:val="000000"/>
          <w:szCs w:val="22"/>
          <w:shd w:val="clear" w:color="auto" w:fill="D9D9D9"/>
          <w:lang w:val="hr-HR"/>
        </w:rPr>
        <w:t>180 filmom obloženih tableta</w:t>
      </w:r>
    </w:p>
    <w:p w14:paraId="0B75D80D" w14:textId="77777777" w:rsidR="003A274D" w:rsidRPr="00510442" w:rsidRDefault="003A274D" w:rsidP="003A274D">
      <w:pPr>
        <w:tabs>
          <w:tab w:val="clear" w:pos="567"/>
        </w:tabs>
        <w:spacing w:line="240" w:lineRule="auto"/>
        <w:rPr>
          <w:color w:val="000000"/>
          <w:szCs w:val="22"/>
          <w:lang w:val="hr-HR"/>
        </w:rPr>
      </w:pPr>
    </w:p>
    <w:p w14:paraId="42EE210C" w14:textId="77777777" w:rsidR="003A274D" w:rsidRPr="00510442" w:rsidRDefault="003A274D" w:rsidP="003A274D">
      <w:pPr>
        <w:tabs>
          <w:tab w:val="clear" w:pos="567"/>
        </w:tabs>
        <w:spacing w:line="240" w:lineRule="auto"/>
        <w:rPr>
          <w:color w:val="000000"/>
          <w:szCs w:val="22"/>
          <w:lang w:val="hr-HR"/>
        </w:rPr>
      </w:pPr>
    </w:p>
    <w:p w14:paraId="44769749" w14:textId="77777777" w:rsidR="003A274D" w:rsidRPr="00510442" w:rsidRDefault="003A274D" w:rsidP="003A274D">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hr-HR"/>
        </w:rPr>
      </w:pPr>
      <w:r w:rsidRPr="00510442">
        <w:rPr>
          <w:b/>
          <w:color w:val="000000"/>
          <w:szCs w:val="22"/>
          <w:lang w:val="hr-HR"/>
        </w:rPr>
        <w:t>5.</w:t>
      </w:r>
      <w:r w:rsidRPr="00510442">
        <w:rPr>
          <w:b/>
          <w:color w:val="000000"/>
          <w:szCs w:val="22"/>
          <w:lang w:val="hr-HR"/>
        </w:rPr>
        <w:tab/>
      </w:r>
      <w:r w:rsidRPr="00510442">
        <w:rPr>
          <w:b/>
          <w:szCs w:val="22"/>
          <w:lang w:val="hr-HR"/>
        </w:rPr>
        <w:t>NAČIN I PUT(EVI) PRIMJENE LIJEKA</w:t>
      </w:r>
    </w:p>
    <w:p w14:paraId="1496A1C4" w14:textId="77777777" w:rsidR="003A274D" w:rsidRPr="00510442" w:rsidRDefault="003A274D" w:rsidP="003A274D">
      <w:pPr>
        <w:tabs>
          <w:tab w:val="clear" w:pos="567"/>
        </w:tabs>
        <w:spacing w:line="240" w:lineRule="auto"/>
        <w:rPr>
          <w:color w:val="000000"/>
          <w:szCs w:val="22"/>
          <w:lang w:val="hr-HR"/>
        </w:rPr>
      </w:pPr>
    </w:p>
    <w:p w14:paraId="71C8924C" w14:textId="77777777" w:rsidR="003A274D" w:rsidRPr="00510442" w:rsidRDefault="000D0343" w:rsidP="003A274D">
      <w:pPr>
        <w:pStyle w:val="EndnoteText"/>
        <w:widowControl w:val="0"/>
        <w:tabs>
          <w:tab w:val="clear" w:pos="567"/>
        </w:tabs>
        <w:rPr>
          <w:color w:val="000000"/>
          <w:szCs w:val="22"/>
          <w:lang w:val="hr-HR"/>
        </w:rPr>
      </w:pPr>
      <w:r w:rsidRPr="00510442">
        <w:rPr>
          <w:color w:val="000000"/>
          <w:szCs w:val="22"/>
          <w:lang w:val="hr-HR"/>
        </w:rPr>
        <w:t>Primjena k</w:t>
      </w:r>
      <w:r w:rsidR="003A274D" w:rsidRPr="00510442">
        <w:rPr>
          <w:color w:val="000000"/>
          <w:szCs w:val="22"/>
          <w:lang w:val="hr-HR"/>
        </w:rPr>
        <w:t xml:space="preserve">roz usta. </w:t>
      </w:r>
      <w:r w:rsidR="003A274D" w:rsidRPr="00510442">
        <w:rPr>
          <w:szCs w:val="22"/>
          <w:lang w:val="hr-HR"/>
        </w:rPr>
        <w:t xml:space="preserve">Prije uporabe pročitajte </w:t>
      </w:r>
      <w:r w:rsidR="001E7036" w:rsidRPr="00510442">
        <w:rPr>
          <w:szCs w:val="22"/>
          <w:lang w:val="hr-HR"/>
        </w:rPr>
        <w:t>u</w:t>
      </w:r>
      <w:r w:rsidR="003A274D" w:rsidRPr="00510442">
        <w:rPr>
          <w:szCs w:val="22"/>
          <w:lang w:val="hr-HR"/>
        </w:rPr>
        <w:t>putu o lijeku</w:t>
      </w:r>
      <w:r w:rsidR="003A274D" w:rsidRPr="00510442">
        <w:rPr>
          <w:color w:val="000000"/>
          <w:szCs w:val="22"/>
          <w:lang w:val="hr-HR"/>
        </w:rPr>
        <w:t>.</w:t>
      </w:r>
    </w:p>
    <w:p w14:paraId="36A1735B" w14:textId="77777777" w:rsidR="003A274D" w:rsidRPr="00510442" w:rsidRDefault="003A274D" w:rsidP="003A274D">
      <w:pPr>
        <w:tabs>
          <w:tab w:val="clear" w:pos="567"/>
        </w:tabs>
        <w:spacing w:line="240" w:lineRule="auto"/>
        <w:rPr>
          <w:color w:val="000000"/>
          <w:szCs w:val="22"/>
          <w:lang w:val="hr-HR"/>
        </w:rPr>
      </w:pPr>
    </w:p>
    <w:p w14:paraId="6AD34CBD" w14:textId="77777777" w:rsidR="003A274D" w:rsidRPr="00510442" w:rsidRDefault="003A274D" w:rsidP="003A274D">
      <w:pPr>
        <w:tabs>
          <w:tab w:val="clear" w:pos="567"/>
        </w:tabs>
        <w:spacing w:line="240" w:lineRule="auto"/>
        <w:rPr>
          <w:color w:val="000000"/>
          <w:szCs w:val="22"/>
          <w:lang w:val="hr-HR"/>
        </w:rPr>
      </w:pPr>
    </w:p>
    <w:p w14:paraId="4733D0F7" w14:textId="77777777" w:rsidR="003A274D" w:rsidRPr="00510442" w:rsidRDefault="003A274D" w:rsidP="003A274D">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hr-HR"/>
        </w:rPr>
      </w:pPr>
      <w:r w:rsidRPr="00510442">
        <w:rPr>
          <w:b/>
          <w:color w:val="000000"/>
          <w:szCs w:val="22"/>
          <w:lang w:val="hr-HR"/>
        </w:rPr>
        <w:t>6.</w:t>
      </w:r>
      <w:r w:rsidRPr="00510442">
        <w:rPr>
          <w:b/>
          <w:color w:val="000000"/>
          <w:szCs w:val="22"/>
          <w:lang w:val="hr-HR"/>
        </w:rPr>
        <w:tab/>
      </w:r>
      <w:r w:rsidRPr="00510442">
        <w:rPr>
          <w:b/>
          <w:szCs w:val="22"/>
          <w:lang w:val="hr-HR"/>
        </w:rPr>
        <w:t>POSEBNO UPOZORENJE</w:t>
      </w:r>
      <w:r w:rsidR="006B3A0B" w:rsidRPr="00510442">
        <w:rPr>
          <w:b/>
          <w:szCs w:val="22"/>
          <w:lang w:val="hr-HR"/>
        </w:rPr>
        <w:t xml:space="preserve"> O ČUVANJU LIJEKA</w:t>
      </w:r>
      <w:r w:rsidRPr="00510442">
        <w:rPr>
          <w:b/>
          <w:szCs w:val="22"/>
          <w:lang w:val="hr-HR"/>
        </w:rPr>
        <w:t xml:space="preserve"> IZVAN POGLEDA I DOHVATA DJECE</w:t>
      </w:r>
    </w:p>
    <w:p w14:paraId="29E4798F" w14:textId="77777777" w:rsidR="003A274D" w:rsidRPr="00510442" w:rsidRDefault="003A274D" w:rsidP="003A274D">
      <w:pPr>
        <w:tabs>
          <w:tab w:val="clear" w:pos="567"/>
        </w:tabs>
        <w:spacing w:line="240" w:lineRule="auto"/>
        <w:rPr>
          <w:color w:val="000000"/>
          <w:szCs w:val="22"/>
          <w:lang w:val="hr-HR"/>
        </w:rPr>
      </w:pPr>
    </w:p>
    <w:p w14:paraId="3D183705" w14:textId="77777777" w:rsidR="003A274D" w:rsidRPr="00510442" w:rsidRDefault="003A274D" w:rsidP="003A274D">
      <w:pPr>
        <w:widowControl w:val="0"/>
        <w:tabs>
          <w:tab w:val="clear" w:pos="567"/>
        </w:tabs>
        <w:spacing w:line="240" w:lineRule="auto"/>
        <w:rPr>
          <w:color w:val="000000"/>
          <w:szCs w:val="22"/>
          <w:lang w:val="hr-HR"/>
        </w:rPr>
      </w:pPr>
      <w:r w:rsidRPr="00510442">
        <w:rPr>
          <w:szCs w:val="22"/>
          <w:lang w:val="hr-HR"/>
        </w:rPr>
        <w:t>Čuvati izvan pogleda i dohvata djece.</w:t>
      </w:r>
    </w:p>
    <w:p w14:paraId="65038D03" w14:textId="77777777" w:rsidR="003A274D" w:rsidRPr="00510442" w:rsidRDefault="003A274D" w:rsidP="003A274D">
      <w:pPr>
        <w:tabs>
          <w:tab w:val="clear" w:pos="567"/>
        </w:tabs>
        <w:spacing w:line="240" w:lineRule="auto"/>
        <w:rPr>
          <w:color w:val="000000"/>
          <w:szCs w:val="22"/>
          <w:lang w:val="hr-HR"/>
        </w:rPr>
      </w:pPr>
    </w:p>
    <w:p w14:paraId="54458FE5" w14:textId="77777777" w:rsidR="003A274D" w:rsidRPr="00510442" w:rsidRDefault="003A274D" w:rsidP="003A274D">
      <w:pPr>
        <w:tabs>
          <w:tab w:val="clear" w:pos="567"/>
        </w:tabs>
        <w:spacing w:line="240" w:lineRule="auto"/>
        <w:rPr>
          <w:color w:val="000000"/>
          <w:szCs w:val="22"/>
          <w:lang w:val="hr-HR"/>
        </w:rPr>
      </w:pPr>
    </w:p>
    <w:p w14:paraId="0BAE1BF0" w14:textId="77777777" w:rsidR="003A274D" w:rsidRPr="00510442" w:rsidRDefault="003A274D" w:rsidP="003A274D">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hr-HR"/>
        </w:rPr>
      </w:pPr>
      <w:r w:rsidRPr="00510442">
        <w:rPr>
          <w:b/>
          <w:color w:val="000000"/>
          <w:szCs w:val="22"/>
          <w:lang w:val="hr-HR"/>
        </w:rPr>
        <w:t>7.</w:t>
      </w:r>
      <w:r w:rsidRPr="00510442">
        <w:rPr>
          <w:b/>
          <w:color w:val="000000"/>
          <w:szCs w:val="22"/>
          <w:lang w:val="hr-HR"/>
        </w:rPr>
        <w:tab/>
      </w:r>
      <w:r w:rsidRPr="00510442">
        <w:rPr>
          <w:b/>
          <w:szCs w:val="22"/>
          <w:lang w:val="hr-HR"/>
        </w:rPr>
        <w:t>DRUGO(A) POSEBNO(A) UPOZORENJE(A), AKO JE POTREBNO</w:t>
      </w:r>
    </w:p>
    <w:p w14:paraId="31726E33" w14:textId="77777777" w:rsidR="003A274D" w:rsidRPr="00510442" w:rsidRDefault="003A274D" w:rsidP="003A274D">
      <w:pPr>
        <w:tabs>
          <w:tab w:val="clear" w:pos="567"/>
        </w:tabs>
        <w:spacing w:line="240" w:lineRule="auto"/>
        <w:rPr>
          <w:color w:val="000000"/>
          <w:szCs w:val="22"/>
          <w:lang w:val="hr-HR"/>
        </w:rPr>
      </w:pPr>
    </w:p>
    <w:p w14:paraId="0DFA7438" w14:textId="77777777" w:rsidR="003A274D" w:rsidRPr="00510442" w:rsidRDefault="003A274D" w:rsidP="003A274D">
      <w:pPr>
        <w:pStyle w:val="EndnoteText"/>
        <w:widowControl w:val="0"/>
        <w:tabs>
          <w:tab w:val="clear" w:pos="567"/>
        </w:tabs>
        <w:rPr>
          <w:color w:val="000000"/>
          <w:szCs w:val="22"/>
          <w:lang w:val="hr-HR"/>
        </w:rPr>
      </w:pPr>
      <w:r w:rsidRPr="00510442">
        <w:rPr>
          <w:szCs w:val="22"/>
          <w:lang w:val="hr-HR"/>
        </w:rPr>
        <w:t>Primjenjivati isključivo prema uputama liječnika</w:t>
      </w:r>
      <w:r w:rsidRPr="00510442">
        <w:rPr>
          <w:color w:val="000000"/>
          <w:szCs w:val="22"/>
          <w:lang w:val="hr-HR"/>
        </w:rPr>
        <w:t>.</w:t>
      </w:r>
    </w:p>
    <w:p w14:paraId="5C494C14" w14:textId="77777777" w:rsidR="003A274D" w:rsidRPr="00510442" w:rsidRDefault="003A274D" w:rsidP="003A274D">
      <w:pPr>
        <w:tabs>
          <w:tab w:val="clear" w:pos="567"/>
        </w:tabs>
        <w:spacing w:line="240" w:lineRule="auto"/>
        <w:rPr>
          <w:color w:val="000000"/>
          <w:szCs w:val="22"/>
          <w:lang w:val="hr-HR"/>
        </w:rPr>
      </w:pPr>
    </w:p>
    <w:p w14:paraId="02F87CE7" w14:textId="77777777" w:rsidR="003A274D" w:rsidRPr="00510442" w:rsidRDefault="003A274D" w:rsidP="003A274D">
      <w:pPr>
        <w:tabs>
          <w:tab w:val="clear" w:pos="567"/>
        </w:tabs>
        <w:spacing w:line="240" w:lineRule="auto"/>
        <w:rPr>
          <w:color w:val="000000"/>
          <w:szCs w:val="22"/>
          <w:lang w:val="hr-HR"/>
        </w:rPr>
      </w:pPr>
    </w:p>
    <w:p w14:paraId="11DC5109" w14:textId="77777777" w:rsidR="003A274D" w:rsidRPr="00510442" w:rsidRDefault="003A274D" w:rsidP="003A274D">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hr-HR"/>
        </w:rPr>
      </w:pPr>
      <w:r w:rsidRPr="00510442">
        <w:rPr>
          <w:b/>
          <w:color w:val="000000"/>
          <w:szCs w:val="22"/>
          <w:lang w:val="hr-HR"/>
        </w:rPr>
        <w:t>8.</w:t>
      </w:r>
      <w:r w:rsidRPr="00510442">
        <w:rPr>
          <w:b/>
          <w:color w:val="000000"/>
          <w:szCs w:val="22"/>
          <w:lang w:val="hr-HR"/>
        </w:rPr>
        <w:tab/>
      </w:r>
      <w:r w:rsidRPr="00510442">
        <w:rPr>
          <w:b/>
          <w:szCs w:val="22"/>
          <w:lang w:val="hr-HR"/>
        </w:rPr>
        <w:t>ROK VALJANOSTI</w:t>
      </w:r>
    </w:p>
    <w:p w14:paraId="4C1D72B4" w14:textId="77777777" w:rsidR="003A274D" w:rsidRPr="00510442" w:rsidRDefault="003A274D" w:rsidP="003A274D">
      <w:pPr>
        <w:tabs>
          <w:tab w:val="clear" w:pos="567"/>
        </w:tabs>
        <w:spacing w:line="240" w:lineRule="auto"/>
        <w:rPr>
          <w:color w:val="000000"/>
          <w:szCs w:val="22"/>
          <w:lang w:val="hr-HR"/>
        </w:rPr>
      </w:pPr>
    </w:p>
    <w:p w14:paraId="20C64938" w14:textId="77777777" w:rsidR="003A274D" w:rsidRPr="00510442" w:rsidRDefault="003A274D" w:rsidP="003A274D">
      <w:pPr>
        <w:pStyle w:val="EndnoteText"/>
        <w:widowControl w:val="0"/>
        <w:tabs>
          <w:tab w:val="clear" w:pos="567"/>
        </w:tabs>
        <w:rPr>
          <w:color w:val="000000"/>
          <w:szCs w:val="22"/>
          <w:lang w:val="hr-HR"/>
        </w:rPr>
      </w:pPr>
      <w:r w:rsidRPr="00510442">
        <w:rPr>
          <w:szCs w:val="22"/>
          <w:lang w:val="hr-HR"/>
        </w:rPr>
        <w:t>Rok valjanosti</w:t>
      </w:r>
    </w:p>
    <w:p w14:paraId="71F3BD69" w14:textId="77777777" w:rsidR="003A274D" w:rsidRPr="00510442" w:rsidRDefault="003A274D" w:rsidP="003A274D">
      <w:pPr>
        <w:tabs>
          <w:tab w:val="clear" w:pos="567"/>
        </w:tabs>
        <w:spacing w:line="240" w:lineRule="auto"/>
        <w:rPr>
          <w:color w:val="000000"/>
          <w:szCs w:val="22"/>
          <w:lang w:val="hr-HR"/>
        </w:rPr>
      </w:pPr>
    </w:p>
    <w:p w14:paraId="2EB65DB5" w14:textId="77777777" w:rsidR="003A274D" w:rsidRPr="00510442" w:rsidRDefault="003A274D" w:rsidP="003A274D">
      <w:pPr>
        <w:tabs>
          <w:tab w:val="clear" w:pos="567"/>
        </w:tabs>
        <w:spacing w:line="240" w:lineRule="auto"/>
        <w:rPr>
          <w:color w:val="000000"/>
          <w:szCs w:val="22"/>
          <w:lang w:val="hr-HR"/>
        </w:rPr>
      </w:pPr>
    </w:p>
    <w:p w14:paraId="2535A646" w14:textId="77777777" w:rsidR="003A274D" w:rsidRPr="00510442" w:rsidRDefault="003A274D" w:rsidP="003A274D">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color w:val="000000"/>
          <w:szCs w:val="22"/>
          <w:lang w:val="hr-HR"/>
        </w:rPr>
      </w:pPr>
      <w:r w:rsidRPr="00510442">
        <w:rPr>
          <w:b/>
          <w:color w:val="000000"/>
          <w:szCs w:val="22"/>
          <w:lang w:val="hr-HR"/>
        </w:rPr>
        <w:t>9.</w:t>
      </w:r>
      <w:r w:rsidRPr="00510442">
        <w:rPr>
          <w:b/>
          <w:color w:val="000000"/>
          <w:szCs w:val="22"/>
          <w:lang w:val="hr-HR"/>
        </w:rPr>
        <w:tab/>
      </w:r>
      <w:r w:rsidRPr="00510442">
        <w:rPr>
          <w:b/>
          <w:szCs w:val="22"/>
          <w:lang w:val="hr-HR"/>
        </w:rPr>
        <w:t>POSEBNE MJERE ČUVANJA</w:t>
      </w:r>
    </w:p>
    <w:p w14:paraId="163883C7" w14:textId="77777777" w:rsidR="003A274D" w:rsidRPr="00510442" w:rsidRDefault="003A274D" w:rsidP="003A274D">
      <w:pPr>
        <w:tabs>
          <w:tab w:val="clear" w:pos="567"/>
        </w:tabs>
        <w:spacing w:line="240" w:lineRule="auto"/>
        <w:rPr>
          <w:color w:val="000000"/>
          <w:szCs w:val="22"/>
          <w:lang w:val="hr-HR"/>
        </w:rPr>
      </w:pPr>
    </w:p>
    <w:p w14:paraId="1124338D" w14:textId="77777777" w:rsidR="003A274D" w:rsidRPr="000B51EB" w:rsidRDefault="003A274D" w:rsidP="003A274D">
      <w:pPr>
        <w:pStyle w:val="Text"/>
        <w:widowControl w:val="0"/>
        <w:spacing w:before="0"/>
        <w:jc w:val="left"/>
        <w:rPr>
          <w:color w:val="000000"/>
          <w:sz w:val="22"/>
          <w:szCs w:val="22"/>
          <w:lang w:val="hr-HR"/>
        </w:rPr>
      </w:pPr>
      <w:r w:rsidRPr="00510442">
        <w:rPr>
          <w:sz w:val="22"/>
          <w:szCs w:val="22"/>
          <w:lang w:val="hr-HR"/>
        </w:rPr>
        <w:t xml:space="preserve">Ne čuvati na temperaturi iznad </w:t>
      </w:r>
      <w:r w:rsidRPr="00510442">
        <w:rPr>
          <w:color w:val="000000"/>
          <w:sz w:val="22"/>
          <w:szCs w:val="22"/>
          <w:lang w:val="hr-HR"/>
        </w:rPr>
        <w:t>30</w:t>
      </w:r>
      <w:r w:rsidRPr="00307897">
        <w:rPr>
          <w:color w:val="000000"/>
          <w:sz w:val="22"/>
          <w:szCs w:val="22"/>
          <w:lang w:val="hr-HR"/>
        </w:rPr>
        <w:sym w:font="Symbol" w:char="F0B0"/>
      </w:r>
      <w:r w:rsidRPr="00307897">
        <w:rPr>
          <w:color w:val="000000"/>
          <w:sz w:val="22"/>
          <w:szCs w:val="22"/>
          <w:lang w:val="hr-HR"/>
        </w:rPr>
        <w:t xml:space="preserve">C. </w:t>
      </w:r>
      <w:r w:rsidRPr="00307897">
        <w:rPr>
          <w:sz w:val="22"/>
          <w:szCs w:val="22"/>
          <w:lang w:val="hr-HR"/>
        </w:rPr>
        <w:t>Čuvati u originalnom pak</w:t>
      </w:r>
      <w:r w:rsidR="00436200" w:rsidRPr="00A00164">
        <w:rPr>
          <w:sz w:val="22"/>
          <w:szCs w:val="22"/>
          <w:lang w:val="hr-HR"/>
        </w:rPr>
        <w:t>ir</w:t>
      </w:r>
      <w:r w:rsidRPr="00973BDD">
        <w:rPr>
          <w:sz w:val="22"/>
          <w:szCs w:val="22"/>
          <w:lang w:val="hr-HR"/>
        </w:rPr>
        <w:t>anju radi zaštite od vlage</w:t>
      </w:r>
      <w:r w:rsidRPr="000B51EB">
        <w:rPr>
          <w:color w:val="000000"/>
          <w:sz w:val="22"/>
          <w:szCs w:val="22"/>
          <w:lang w:val="hr-HR"/>
        </w:rPr>
        <w:t>.</w:t>
      </w:r>
    </w:p>
    <w:p w14:paraId="34DA5BED" w14:textId="77777777" w:rsidR="003A274D" w:rsidRPr="00510442" w:rsidRDefault="003A274D" w:rsidP="003A274D">
      <w:pPr>
        <w:tabs>
          <w:tab w:val="clear" w:pos="567"/>
        </w:tabs>
        <w:spacing w:line="240" w:lineRule="auto"/>
        <w:rPr>
          <w:color w:val="000000"/>
          <w:szCs w:val="22"/>
          <w:lang w:val="hr-HR"/>
        </w:rPr>
      </w:pPr>
    </w:p>
    <w:p w14:paraId="38055350" w14:textId="77777777" w:rsidR="003A274D" w:rsidRPr="00510442" w:rsidRDefault="003A274D" w:rsidP="003A274D">
      <w:pPr>
        <w:tabs>
          <w:tab w:val="clear" w:pos="567"/>
        </w:tabs>
        <w:spacing w:line="240" w:lineRule="auto"/>
        <w:rPr>
          <w:color w:val="000000"/>
          <w:szCs w:val="22"/>
          <w:lang w:val="hr-HR"/>
        </w:rPr>
      </w:pPr>
    </w:p>
    <w:p w14:paraId="3F59F117" w14:textId="77777777" w:rsidR="003A274D" w:rsidRPr="00510442" w:rsidRDefault="003A274D" w:rsidP="003A274D">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hr-HR"/>
        </w:rPr>
      </w:pPr>
      <w:r w:rsidRPr="00510442">
        <w:rPr>
          <w:b/>
          <w:color w:val="000000"/>
          <w:szCs w:val="22"/>
          <w:lang w:val="hr-HR"/>
        </w:rPr>
        <w:lastRenderedPageBreak/>
        <w:t>10.</w:t>
      </w:r>
      <w:r w:rsidRPr="00510442">
        <w:rPr>
          <w:b/>
          <w:color w:val="000000"/>
          <w:szCs w:val="22"/>
          <w:lang w:val="hr-HR"/>
        </w:rPr>
        <w:tab/>
      </w:r>
      <w:r w:rsidRPr="00510442">
        <w:rPr>
          <w:b/>
          <w:caps/>
          <w:szCs w:val="22"/>
          <w:lang w:val="hr-HR"/>
        </w:rPr>
        <w:t xml:space="preserve">posebne mjere za zbrinjavanje neiskorištenog lijeka ili OTPADNIH MATERIJALA KOJI POTJEČU OD lijeka, </w:t>
      </w:r>
      <w:r w:rsidR="006B3A0B" w:rsidRPr="00510442">
        <w:rPr>
          <w:b/>
          <w:caps/>
          <w:szCs w:val="22"/>
          <w:lang w:val="hr-HR"/>
        </w:rPr>
        <w:t xml:space="preserve">AKO </w:t>
      </w:r>
      <w:r w:rsidRPr="00510442">
        <w:rPr>
          <w:b/>
          <w:caps/>
          <w:szCs w:val="22"/>
          <w:lang w:val="hr-HR"/>
        </w:rPr>
        <w:t>je potrebno</w:t>
      </w:r>
    </w:p>
    <w:p w14:paraId="7882CEB4" w14:textId="77777777" w:rsidR="003A274D" w:rsidRPr="00510442" w:rsidRDefault="003A274D" w:rsidP="003A274D">
      <w:pPr>
        <w:tabs>
          <w:tab w:val="clear" w:pos="567"/>
        </w:tabs>
        <w:spacing w:line="240" w:lineRule="auto"/>
        <w:rPr>
          <w:color w:val="000000"/>
          <w:szCs w:val="22"/>
          <w:lang w:val="hr-HR"/>
        </w:rPr>
      </w:pPr>
    </w:p>
    <w:p w14:paraId="4D40B6F1" w14:textId="77777777" w:rsidR="003A274D" w:rsidRPr="00510442" w:rsidRDefault="003A274D" w:rsidP="003A274D">
      <w:pPr>
        <w:tabs>
          <w:tab w:val="clear" w:pos="567"/>
        </w:tabs>
        <w:spacing w:line="240" w:lineRule="auto"/>
        <w:rPr>
          <w:color w:val="000000"/>
          <w:szCs w:val="22"/>
          <w:lang w:val="hr-HR"/>
        </w:rPr>
      </w:pPr>
    </w:p>
    <w:p w14:paraId="46B71697" w14:textId="77777777" w:rsidR="003A274D" w:rsidRPr="00510442" w:rsidRDefault="003A274D" w:rsidP="003A274D">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hr-HR"/>
        </w:rPr>
      </w:pPr>
      <w:r w:rsidRPr="00510442">
        <w:rPr>
          <w:b/>
          <w:color w:val="000000"/>
          <w:szCs w:val="22"/>
          <w:lang w:val="hr-HR"/>
        </w:rPr>
        <w:t>11.</w:t>
      </w:r>
      <w:r w:rsidRPr="00510442">
        <w:rPr>
          <w:b/>
          <w:color w:val="000000"/>
          <w:szCs w:val="22"/>
          <w:lang w:val="hr-HR"/>
        </w:rPr>
        <w:tab/>
      </w:r>
      <w:r w:rsidR="001E7036" w:rsidRPr="00510442">
        <w:rPr>
          <w:b/>
          <w:caps/>
          <w:szCs w:val="22"/>
          <w:lang w:val="hr-HR"/>
        </w:rPr>
        <w:t xml:space="preserve">NAZIV </w:t>
      </w:r>
      <w:r w:rsidRPr="00510442">
        <w:rPr>
          <w:b/>
          <w:caps/>
          <w:szCs w:val="22"/>
          <w:lang w:val="hr-HR"/>
        </w:rPr>
        <w:t>i adresa nositelja odobrenja za stavljanje lijeka u promet</w:t>
      </w:r>
    </w:p>
    <w:p w14:paraId="78EA6CED" w14:textId="77777777" w:rsidR="003A274D" w:rsidRPr="00510442" w:rsidRDefault="003A274D" w:rsidP="003A274D">
      <w:pPr>
        <w:tabs>
          <w:tab w:val="clear" w:pos="567"/>
        </w:tabs>
        <w:spacing w:line="240" w:lineRule="auto"/>
        <w:rPr>
          <w:color w:val="000000"/>
          <w:szCs w:val="22"/>
          <w:lang w:val="hr-HR"/>
        </w:rPr>
      </w:pPr>
    </w:p>
    <w:p w14:paraId="5461CAA4" w14:textId="77777777" w:rsidR="003A274D" w:rsidRPr="00510442" w:rsidRDefault="003A274D" w:rsidP="003A274D">
      <w:pPr>
        <w:pStyle w:val="EndnoteText"/>
        <w:widowControl w:val="0"/>
        <w:tabs>
          <w:tab w:val="clear" w:pos="567"/>
        </w:tabs>
        <w:rPr>
          <w:color w:val="000000"/>
          <w:szCs w:val="22"/>
          <w:lang w:val="hr-HR"/>
        </w:rPr>
      </w:pPr>
      <w:r w:rsidRPr="00510442">
        <w:rPr>
          <w:color w:val="000000"/>
          <w:szCs w:val="22"/>
          <w:lang w:val="hr-HR"/>
        </w:rPr>
        <w:t>Novartis Europharm Limited</w:t>
      </w:r>
    </w:p>
    <w:p w14:paraId="46A7C9DF" w14:textId="77777777" w:rsidR="00E24CAD" w:rsidRPr="00510442" w:rsidRDefault="00E24CAD" w:rsidP="00E24CAD">
      <w:pPr>
        <w:keepNext/>
        <w:widowControl w:val="0"/>
        <w:spacing w:line="240" w:lineRule="auto"/>
        <w:rPr>
          <w:color w:val="000000"/>
          <w:lang w:val="hr-HR"/>
        </w:rPr>
      </w:pPr>
      <w:r w:rsidRPr="00510442">
        <w:rPr>
          <w:color w:val="000000"/>
          <w:lang w:val="hr-HR"/>
        </w:rPr>
        <w:t>Vista Building</w:t>
      </w:r>
    </w:p>
    <w:p w14:paraId="2DF8571D" w14:textId="77777777" w:rsidR="00E24CAD" w:rsidRPr="00510442" w:rsidRDefault="00E24CAD" w:rsidP="00E24CAD">
      <w:pPr>
        <w:keepNext/>
        <w:widowControl w:val="0"/>
        <w:spacing w:line="240" w:lineRule="auto"/>
        <w:rPr>
          <w:color w:val="000000"/>
          <w:lang w:val="hr-HR"/>
        </w:rPr>
      </w:pPr>
      <w:r w:rsidRPr="00510442">
        <w:rPr>
          <w:color w:val="000000"/>
          <w:lang w:val="hr-HR"/>
        </w:rPr>
        <w:t>Elm Park, Merrion Road</w:t>
      </w:r>
    </w:p>
    <w:p w14:paraId="2B32CAFA" w14:textId="77777777" w:rsidR="00E24CAD" w:rsidRPr="00510442" w:rsidRDefault="00E24CAD" w:rsidP="00E24CAD">
      <w:pPr>
        <w:keepNext/>
        <w:widowControl w:val="0"/>
        <w:spacing w:line="240" w:lineRule="auto"/>
        <w:rPr>
          <w:color w:val="000000"/>
          <w:lang w:val="hr-HR"/>
        </w:rPr>
      </w:pPr>
      <w:r w:rsidRPr="00510442">
        <w:rPr>
          <w:color w:val="000000"/>
          <w:lang w:val="hr-HR"/>
        </w:rPr>
        <w:t>Dublin 4</w:t>
      </w:r>
    </w:p>
    <w:p w14:paraId="56A1B1AF" w14:textId="77777777" w:rsidR="003A274D" w:rsidRPr="00307897" w:rsidRDefault="00E24CAD" w:rsidP="003A274D">
      <w:pPr>
        <w:widowControl w:val="0"/>
        <w:spacing w:line="240" w:lineRule="auto"/>
        <w:rPr>
          <w:color w:val="000000"/>
          <w:szCs w:val="22"/>
          <w:lang w:val="hr-HR"/>
        </w:rPr>
      </w:pPr>
      <w:r w:rsidRPr="00510442">
        <w:rPr>
          <w:color w:val="000000"/>
          <w:lang w:val="hr-HR"/>
        </w:rPr>
        <w:t>Irska</w:t>
      </w:r>
    </w:p>
    <w:p w14:paraId="142A70C0" w14:textId="77777777" w:rsidR="003A274D" w:rsidRPr="00307897" w:rsidRDefault="003A274D" w:rsidP="003A274D">
      <w:pPr>
        <w:tabs>
          <w:tab w:val="clear" w:pos="567"/>
        </w:tabs>
        <w:spacing w:line="240" w:lineRule="auto"/>
        <w:rPr>
          <w:color w:val="000000"/>
          <w:szCs w:val="22"/>
          <w:lang w:val="hr-HR"/>
        </w:rPr>
      </w:pPr>
    </w:p>
    <w:p w14:paraId="3B3437FD" w14:textId="77777777" w:rsidR="003A274D" w:rsidRPr="00A00164" w:rsidRDefault="003A274D" w:rsidP="003A274D">
      <w:pPr>
        <w:tabs>
          <w:tab w:val="clear" w:pos="567"/>
        </w:tabs>
        <w:spacing w:line="240" w:lineRule="auto"/>
        <w:rPr>
          <w:color w:val="000000"/>
          <w:szCs w:val="22"/>
          <w:lang w:val="hr-HR"/>
        </w:rPr>
      </w:pPr>
    </w:p>
    <w:p w14:paraId="5D54AE43" w14:textId="77777777" w:rsidR="003A274D" w:rsidRPr="00510442" w:rsidRDefault="003A274D" w:rsidP="003A274D">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hr-HR"/>
        </w:rPr>
      </w:pPr>
      <w:r w:rsidRPr="00973BDD">
        <w:rPr>
          <w:b/>
          <w:color w:val="000000"/>
          <w:szCs w:val="22"/>
          <w:lang w:val="hr-HR"/>
        </w:rPr>
        <w:t>12.</w:t>
      </w:r>
      <w:r w:rsidRPr="00973BDD">
        <w:rPr>
          <w:b/>
          <w:color w:val="000000"/>
          <w:szCs w:val="22"/>
          <w:lang w:val="hr-HR"/>
        </w:rPr>
        <w:tab/>
      </w:r>
      <w:r w:rsidRPr="000B51EB">
        <w:rPr>
          <w:b/>
          <w:caps/>
          <w:szCs w:val="22"/>
          <w:lang w:val="hr-HR"/>
        </w:rPr>
        <w:t>BROJ(EVI) odobrenjA za stavljanje lijeka u promet</w:t>
      </w:r>
    </w:p>
    <w:p w14:paraId="14AE39E0" w14:textId="77777777" w:rsidR="003A274D" w:rsidRPr="00510442" w:rsidRDefault="003A274D" w:rsidP="003A274D">
      <w:pPr>
        <w:tabs>
          <w:tab w:val="clear" w:pos="567"/>
        </w:tabs>
        <w:spacing w:line="240" w:lineRule="auto"/>
        <w:rPr>
          <w:color w:val="000000"/>
          <w:szCs w:val="22"/>
          <w:lang w:val="hr-HR"/>
        </w:rPr>
      </w:pPr>
    </w:p>
    <w:p w14:paraId="7AEF11AD" w14:textId="77777777" w:rsidR="003A274D" w:rsidRPr="00510442" w:rsidRDefault="003A274D" w:rsidP="00DB028B">
      <w:pPr>
        <w:pStyle w:val="EndnoteText"/>
        <w:widowControl w:val="0"/>
        <w:tabs>
          <w:tab w:val="clear" w:pos="567"/>
          <w:tab w:val="left" w:pos="2268"/>
        </w:tabs>
        <w:rPr>
          <w:color w:val="000000"/>
          <w:szCs w:val="22"/>
          <w:shd w:val="clear" w:color="auto" w:fill="D9D9D9"/>
          <w:lang w:val="hr-HR"/>
        </w:rPr>
      </w:pPr>
      <w:r w:rsidRPr="00510442">
        <w:rPr>
          <w:color w:val="000000"/>
          <w:szCs w:val="22"/>
          <w:lang w:val="hr-HR"/>
        </w:rPr>
        <w:t>EU/1/01/198/007</w:t>
      </w:r>
      <w:r w:rsidRPr="00510442">
        <w:rPr>
          <w:color w:val="000000"/>
          <w:szCs w:val="22"/>
          <w:lang w:val="hr-HR"/>
        </w:rPr>
        <w:tab/>
      </w:r>
      <w:r w:rsidRPr="00510442">
        <w:rPr>
          <w:color w:val="000000"/>
          <w:szCs w:val="22"/>
          <w:shd w:val="clear" w:color="auto" w:fill="D9D9D9"/>
          <w:lang w:val="hr-HR"/>
        </w:rPr>
        <w:t>20 tableta</w:t>
      </w:r>
      <w:r w:rsidR="00C67282" w:rsidRPr="00A05EE3">
        <w:rPr>
          <w:color w:val="000000"/>
          <w:szCs w:val="22"/>
          <w:shd w:val="pct15" w:color="auto" w:fill="auto"/>
          <w:lang w:val="hr-HR"/>
        </w:rPr>
        <w:t xml:space="preserve"> (PVC/Al blisteri)</w:t>
      </w:r>
    </w:p>
    <w:p w14:paraId="408608BE" w14:textId="77777777" w:rsidR="003A274D" w:rsidRPr="00510442" w:rsidRDefault="003A274D" w:rsidP="00DB028B">
      <w:pPr>
        <w:widowControl w:val="0"/>
        <w:tabs>
          <w:tab w:val="clear" w:pos="567"/>
          <w:tab w:val="left" w:pos="2268"/>
        </w:tabs>
        <w:spacing w:line="240" w:lineRule="auto"/>
        <w:rPr>
          <w:color w:val="000000"/>
          <w:szCs w:val="22"/>
          <w:shd w:val="clear" w:color="auto" w:fill="D9D9D9"/>
          <w:lang w:val="hr-HR"/>
        </w:rPr>
      </w:pPr>
      <w:r w:rsidRPr="00510442">
        <w:rPr>
          <w:color w:val="000000"/>
          <w:szCs w:val="22"/>
          <w:shd w:val="clear" w:color="auto" w:fill="D9D9D9"/>
          <w:lang w:val="hr-HR"/>
        </w:rPr>
        <w:t>EU/1/01/198/008</w:t>
      </w:r>
      <w:r w:rsidRPr="00510442">
        <w:rPr>
          <w:color w:val="000000"/>
          <w:szCs w:val="22"/>
          <w:shd w:val="clear" w:color="auto" w:fill="D9D9D9"/>
          <w:lang w:val="hr-HR"/>
        </w:rPr>
        <w:tab/>
        <w:t>60 tableta</w:t>
      </w:r>
      <w:r w:rsidR="00C67282" w:rsidRPr="00A05EE3">
        <w:rPr>
          <w:color w:val="000000"/>
          <w:szCs w:val="22"/>
          <w:shd w:val="pct15" w:color="auto" w:fill="auto"/>
          <w:lang w:val="hr-HR"/>
        </w:rPr>
        <w:t xml:space="preserve"> (PVC/Al blisteri)</w:t>
      </w:r>
    </w:p>
    <w:p w14:paraId="710A3444" w14:textId="77777777" w:rsidR="003A274D" w:rsidRPr="00510442" w:rsidRDefault="003A274D" w:rsidP="00DB028B">
      <w:pPr>
        <w:widowControl w:val="0"/>
        <w:tabs>
          <w:tab w:val="clear" w:pos="567"/>
          <w:tab w:val="left" w:pos="2268"/>
        </w:tabs>
        <w:spacing w:line="240" w:lineRule="auto"/>
        <w:rPr>
          <w:color w:val="000000"/>
          <w:szCs w:val="22"/>
          <w:shd w:val="clear" w:color="auto" w:fill="D9D9D9"/>
          <w:lang w:val="hr-HR"/>
        </w:rPr>
      </w:pPr>
      <w:r w:rsidRPr="00510442">
        <w:rPr>
          <w:color w:val="000000"/>
          <w:szCs w:val="22"/>
          <w:shd w:val="clear" w:color="auto" w:fill="D9D9D9"/>
          <w:lang w:val="hr-HR"/>
        </w:rPr>
        <w:t>EU/1/01/198/011</w:t>
      </w:r>
      <w:r w:rsidRPr="00510442">
        <w:rPr>
          <w:color w:val="000000"/>
          <w:szCs w:val="22"/>
          <w:shd w:val="clear" w:color="auto" w:fill="D9D9D9"/>
          <w:lang w:val="hr-HR"/>
        </w:rPr>
        <w:tab/>
        <w:t>120 tableta</w:t>
      </w:r>
      <w:r w:rsidR="00C67282" w:rsidRPr="00A05EE3">
        <w:rPr>
          <w:color w:val="000000"/>
          <w:szCs w:val="22"/>
          <w:shd w:val="pct15" w:color="auto" w:fill="auto"/>
          <w:lang w:val="hr-HR"/>
        </w:rPr>
        <w:t xml:space="preserve"> (PVC/Al blisteri)</w:t>
      </w:r>
    </w:p>
    <w:p w14:paraId="2F840D57" w14:textId="77777777" w:rsidR="003A274D" w:rsidRPr="00510442" w:rsidRDefault="003A274D" w:rsidP="00DB028B">
      <w:pPr>
        <w:widowControl w:val="0"/>
        <w:tabs>
          <w:tab w:val="clear" w:pos="567"/>
          <w:tab w:val="left" w:pos="2268"/>
        </w:tabs>
        <w:spacing w:line="240" w:lineRule="auto"/>
        <w:rPr>
          <w:color w:val="000000"/>
          <w:szCs w:val="22"/>
          <w:shd w:val="clear" w:color="auto" w:fill="D9D9D9"/>
          <w:lang w:val="hr-HR"/>
        </w:rPr>
      </w:pPr>
      <w:r w:rsidRPr="00510442">
        <w:rPr>
          <w:color w:val="000000"/>
          <w:szCs w:val="22"/>
          <w:shd w:val="clear" w:color="auto" w:fill="D9D9D9"/>
          <w:lang w:val="hr-HR"/>
        </w:rPr>
        <w:t>EU/1/01/198/012</w:t>
      </w:r>
      <w:r w:rsidRPr="00510442">
        <w:rPr>
          <w:color w:val="000000"/>
          <w:szCs w:val="22"/>
          <w:shd w:val="clear" w:color="auto" w:fill="D9D9D9"/>
          <w:lang w:val="hr-HR"/>
        </w:rPr>
        <w:tab/>
        <w:t>180 tableta</w:t>
      </w:r>
      <w:r w:rsidR="00C67282" w:rsidRPr="00A05EE3">
        <w:rPr>
          <w:color w:val="000000"/>
          <w:szCs w:val="22"/>
          <w:shd w:val="pct15" w:color="auto" w:fill="auto"/>
          <w:lang w:val="hr-HR"/>
        </w:rPr>
        <w:t xml:space="preserve"> (PVC/Al blisteri)</w:t>
      </w:r>
    </w:p>
    <w:p w14:paraId="78008729" w14:textId="77777777" w:rsidR="00C67282" w:rsidRPr="00A05EE3" w:rsidRDefault="00C67282" w:rsidP="00C67282">
      <w:pPr>
        <w:tabs>
          <w:tab w:val="clear" w:pos="567"/>
        </w:tabs>
        <w:spacing w:line="240" w:lineRule="auto"/>
        <w:ind w:left="2268" w:hanging="2268"/>
        <w:rPr>
          <w:color w:val="000000"/>
          <w:szCs w:val="22"/>
          <w:shd w:val="pct15" w:color="auto" w:fill="auto"/>
          <w:lang w:val="hr-HR"/>
        </w:rPr>
      </w:pPr>
      <w:r w:rsidRPr="00A05EE3">
        <w:rPr>
          <w:color w:val="000000"/>
          <w:szCs w:val="22"/>
          <w:shd w:val="pct15" w:color="auto" w:fill="auto"/>
          <w:lang w:val="hr-HR"/>
        </w:rPr>
        <w:t>EU/1/01/198/01</w:t>
      </w:r>
      <w:r w:rsidR="00602DA1">
        <w:rPr>
          <w:color w:val="000000"/>
          <w:szCs w:val="22"/>
          <w:shd w:val="pct15" w:color="auto" w:fill="auto"/>
          <w:lang w:val="hr-HR"/>
        </w:rPr>
        <w:t>4</w:t>
      </w:r>
      <w:r w:rsidRPr="00A05EE3">
        <w:rPr>
          <w:color w:val="000000"/>
          <w:szCs w:val="22"/>
          <w:shd w:val="pct15" w:color="auto" w:fill="auto"/>
          <w:lang w:val="hr-HR"/>
        </w:rPr>
        <w:tab/>
      </w:r>
      <w:r w:rsidR="00602DA1">
        <w:rPr>
          <w:color w:val="000000"/>
          <w:szCs w:val="22"/>
          <w:shd w:val="pct15" w:color="auto" w:fill="auto"/>
          <w:lang w:val="hr-HR"/>
        </w:rPr>
        <w:t>6</w:t>
      </w:r>
      <w:r w:rsidRPr="00A05EE3">
        <w:rPr>
          <w:color w:val="000000"/>
          <w:szCs w:val="22"/>
          <w:shd w:val="pct15" w:color="auto" w:fill="auto"/>
          <w:lang w:val="hr-HR"/>
        </w:rPr>
        <w:t>0 tableta (PVDC/Al blisteri)</w:t>
      </w:r>
    </w:p>
    <w:p w14:paraId="474E37D0" w14:textId="77777777" w:rsidR="00C67282" w:rsidRPr="00A05EE3" w:rsidRDefault="00C67282" w:rsidP="00C67282">
      <w:pPr>
        <w:tabs>
          <w:tab w:val="clear" w:pos="567"/>
        </w:tabs>
        <w:spacing w:line="240" w:lineRule="auto"/>
        <w:ind w:left="2268" w:hanging="2268"/>
        <w:rPr>
          <w:color w:val="000000"/>
          <w:szCs w:val="22"/>
          <w:shd w:val="pct15" w:color="auto" w:fill="auto"/>
          <w:lang w:val="hr-HR"/>
        </w:rPr>
      </w:pPr>
      <w:r w:rsidRPr="00A05EE3">
        <w:rPr>
          <w:color w:val="000000"/>
          <w:szCs w:val="22"/>
          <w:shd w:val="pct15" w:color="auto" w:fill="auto"/>
          <w:lang w:val="hr-HR"/>
        </w:rPr>
        <w:t>EU/1/01/198/01</w:t>
      </w:r>
      <w:r w:rsidR="00602DA1">
        <w:rPr>
          <w:color w:val="000000"/>
          <w:szCs w:val="22"/>
          <w:shd w:val="pct15" w:color="auto" w:fill="auto"/>
          <w:lang w:val="hr-HR"/>
        </w:rPr>
        <w:t>5</w:t>
      </w:r>
      <w:r w:rsidRPr="00A05EE3">
        <w:rPr>
          <w:color w:val="000000"/>
          <w:szCs w:val="22"/>
          <w:shd w:val="pct15" w:color="auto" w:fill="auto"/>
          <w:lang w:val="hr-HR"/>
        </w:rPr>
        <w:tab/>
        <w:t>1</w:t>
      </w:r>
      <w:r w:rsidR="00602DA1">
        <w:rPr>
          <w:color w:val="000000"/>
          <w:szCs w:val="22"/>
          <w:shd w:val="pct15" w:color="auto" w:fill="auto"/>
          <w:lang w:val="hr-HR"/>
        </w:rPr>
        <w:t>2</w:t>
      </w:r>
      <w:r w:rsidRPr="00A05EE3">
        <w:rPr>
          <w:color w:val="000000"/>
          <w:szCs w:val="22"/>
          <w:shd w:val="pct15" w:color="auto" w:fill="auto"/>
          <w:lang w:val="hr-HR"/>
        </w:rPr>
        <w:t>0 tableta (PVDC/Al blisteri)</w:t>
      </w:r>
    </w:p>
    <w:p w14:paraId="1EC01396" w14:textId="77777777" w:rsidR="007823C3" w:rsidRPr="00510442" w:rsidRDefault="007823C3" w:rsidP="007823C3">
      <w:pPr>
        <w:widowControl w:val="0"/>
        <w:tabs>
          <w:tab w:val="clear" w:pos="567"/>
          <w:tab w:val="left" w:pos="2268"/>
        </w:tabs>
        <w:spacing w:line="240" w:lineRule="auto"/>
        <w:rPr>
          <w:color w:val="000000"/>
          <w:szCs w:val="22"/>
          <w:shd w:val="clear" w:color="auto" w:fill="D9D9D9"/>
          <w:lang w:val="hr-HR"/>
        </w:rPr>
      </w:pPr>
      <w:r w:rsidRPr="00510442">
        <w:rPr>
          <w:color w:val="000000"/>
          <w:szCs w:val="22"/>
          <w:shd w:val="clear" w:color="auto" w:fill="D9D9D9"/>
          <w:lang w:val="hr-HR"/>
        </w:rPr>
        <w:t>EU/1/01/198/0</w:t>
      </w:r>
      <w:r w:rsidR="00C8617C">
        <w:rPr>
          <w:color w:val="000000"/>
          <w:szCs w:val="22"/>
          <w:shd w:val="clear" w:color="auto" w:fill="D9D9D9"/>
          <w:lang w:val="hr-HR"/>
        </w:rPr>
        <w:t>1</w:t>
      </w:r>
      <w:r w:rsidR="00602DA1">
        <w:rPr>
          <w:color w:val="000000"/>
          <w:szCs w:val="22"/>
          <w:shd w:val="clear" w:color="auto" w:fill="D9D9D9"/>
          <w:lang w:val="hr-HR"/>
        </w:rPr>
        <w:t>6</w:t>
      </w:r>
      <w:r w:rsidRPr="00510442">
        <w:rPr>
          <w:color w:val="000000"/>
          <w:szCs w:val="22"/>
          <w:shd w:val="clear" w:color="auto" w:fill="D9D9D9"/>
          <w:lang w:val="hr-HR"/>
        </w:rPr>
        <w:tab/>
      </w:r>
      <w:r w:rsidR="00602DA1">
        <w:rPr>
          <w:color w:val="000000"/>
          <w:szCs w:val="22"/>
          <w:shd w:val="clear" w:color="auto" w:fill="D9D9D9"/>
          <w:lang w:val="hr-HR"/>
        </w:rPr>
        <w:t>18</w:t>
      </w:r>
      <w:r w:rsidRPr="00510442">
        <w:rPr>
          <w:color w:val="000000"/>
          <w:szCs w:val="22"/>
          <w:shd w:val="clear" w:color="auto" w:fill="D9D9D9"/>
          <w:lang w:val="hr-HR"/>
        </w:rPr>
        <w:t>0 tableta</w:t>
      </w:r>
      <w:r w:rsidRPr="00A05EE3">
        <w:rPr>
          <w:color w:val="000000"/>
          <w:szCs w:val="22"/>
          <w:shd w:val="pct15" w:color="auto" w:fill="auto"/>
          <w:lang w:val="hr-HR"/>
        </w:rPr>
        <w:t xml:space="preserve"> (PV</w:t>
      </w:r>
      <w:r>
        <w:rPr>
          <w:color w:val="000000"/>
          <w:szCs w:val="22"/>
          <w:shd w:val="pct15" w:color="auto" w:fill="auto"/>
          <w:lang w:val="hr-HR"/>
        </w:rPr>
        <w:t>D</w:t>
      </w:r>
      <w:r w:rsidRPr="00A05EE3">
        <w:rPr>
          <w:color w:val="000000"/>
          <w:szCs w:val="22"/>
          <w:shd w:val="pct15" w:color="auto" w:fill="auto"/>
          <w:lang w:val="hr-HR"/>
        </w:rPr>
        <w:t>C/Al blisteri)</w:t>
      </w:r>
    </w:p>
    <w:p w14:paraId="49BC1FFB" w14:textId="77777777" w:rsidR="003A274D" w:rsidRPr="00510442" w:rsidRDefault="003A274D" w:rsidP="003A274D">
      <w:pPr>
        <w:tabs>
          <w:tab w:val="clear" w:pos="567"/>
        </w:tabs>
        <w:spacing w:line="240" w:lineRule="auto"/>
        <w:rPr>
          <w:color w:val="000000"/>
          <w:szCs w:val="22"/>
          <w:lang w:val="hr-HR"/>
        </w:rPr>
      </w:pPr>
    </w:p>
    <w:p w14:paraId="5123CCC1" w14:textId="77777777" w:rsidR="003A274D" w:rsidRPr="00510442" w:rsidRDefault="003A274D" w:rsidP="003A274D">
      <w:pPr>
        <w:tabs>
          <w:tab w:val="clear" w:pos="567"/>
        </w:tabs>
        <w:spacing w:line="240" w:lineRule="auto"/>
        <w:rPr>
          <w:color w:val="000000"/>
          <w:szCs w:val="22"/>
          <w:lang w:val="hr-HR"/>
        </w:rPr>
      </w:pPr>
    </w:p>
    <w:p w14:paraId="6572E985" w14:textId="77777777" w:rsidR="003A274D" w:rsidRPr="00510442" w:rsidRDefault="003A274D" w:rsidP="003A274D">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hr-HR"/>
        </w:rPr>
      </w:pPr>
      <w:r w:rsidRPr="00510442">
        <w:rPr>
          <w:b/>
          <w:color w:val="000000"/>
          <w:szCs w:val="22"/>
          <w:lang w:val="hr-HR"/>
        </w:rPr>
        <w:t>13.</w:t>
      </w:r>
      <w:r w:rsidRPr="00510442">
        <w:rPr>
          <w:b/>
          <w:color w:val="000000"/>
          <w:szCs w:val="22"/>
          <w:lang w:val="hr-HR"/>
        </w:rPr>
        <w:tab/>
      </w:r>
      <w:r w:rsidRPr="00510442">
        <w:rPr>
          <w:b/>
          <w:caps/>
          <w:szCs w:val="22"/>
          <w:lang w:val="hr-HR"/>
        </w:rPr>
        <w:t>broj serije</w:t>
      </w:r>
    </w:p>
    <w:p w14:paraId="04757241" w14:textId="77777777" w:rsidR="003A274D" w:rsidRPr="00510442" w:rsidRDefault="003A274D" w:rsidP="003A274D">
      <w:pPr>
        <w:tabs>
          <w:tab w:val="clear" w:pos="567"/>
        </w:tabs>
        <w:spacing w:line="240" w:lineRule="auto"/>
        <w:rPr>
          <w:color w:val="000000"/>
          <w:szCs w:val="22"/>
          <w:lang w:val="hr-HR"/>
        </w:rPr>
      </w:pPr>
    </w:p>
    <w:p w14:paraId="28ACE069" w14:textId="77777777" w:rsidR="003A274D" w:rsidRPr="00510442" w:rsidRDefault="003A274D" w:rsidP="003A274D">
      <w:pPr>
        <w:widowControl w:val="0"/>
        <w:tabs>
          <w:tab w:val="clear" w:pos="567"/>
        </w:tabs>
        <w:spacing w:line="240" w:lineRule="auto"/>
        <w:rPr>
          <w:color w:val="000000"/>
          <w:szCs w:val="22"/>
          <w:lang w:val="hr-HR"/>
        </w:rPr>
      </w:pPr>
      <w:r w:rsidRPr="00510442">
        <w:rPr>
          <w:color w:val="000000"/>
          <w:szCs w:val="22"/>
          <w:lang w:val="hr-HR"/>
        </w:rPr>
        <w:t>Serija</w:t>
      </w:r>
    </w:p>
    <w:p w14:paraId="0B29E9D9" w14:textId="77777777" w:rsidR="003A274D" w:rsidRPr="00510442" w:rsidRDefault="003A274D" w:rsidP="003A274D">
      <w:pPr>
        <w:tabs>
          <w:tab w:val="clear" w:pos="567"/>
        </w:tabs>
        <w:spacing w:line="240" w:lineRule="auto"/>
        <w:rPr>
          <w:color w:val="000000"/>
          <w:szCs w:val="22"/>
          <w:lang w:val="hr-HR"/>
        </w:rPr>
      </w:pPr>
    </w:p>
    <w:p w14:paraId="61FCEB2B" w14:textId="77777777" w:rsidR="003A274D" w:rsidRPr="00510442" w:rsidRDefault="003A274D" w:rsidP="003A274D">
      <w:pPr>
        <w:tabs>
          <w:tab w:val="clear" w:pos="567"/>
        </w:tabs>
        <w:spacing w:line="240" w:lineRule="auto"/>
        <w:rPr>
          <w:color w:val="000000"/>
          <w:szCs w:val="22"/>
          <w:lang w:val="hr-HR"/>
        </w:rPr>
      </w:pPr>
    </w:p>
    <w:p w14:paraId="3ED6B972" w14:textId="77777777" w:rsidR="003A274D" w:rsidRPr="00510442" w:rsidRDefault="003A274D" w:rsidP="003A274D">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hr-HR"/>
        </w:rPr>
      </w:pPr>
      <w:r w:rsidRPr="00510442">
        <w:rPr>
          <w:b/>
          <w:color w:val="000000"/>
          <w:szCs w:val="22"/>
          <w:lang w:val="hr-HR"/>
        </w:rPr>
        <w:t>14.</w:t>
      </w:r>
      <w:r w:rsidRPr="00510442">
        <w:rPr>
          <w:b/>
          <w:color w:val="000000"/>
          <w:szCs w:val="22"/>
          <w:lang w:val="hr-HR"/>
        </w:rPr>
        <w:tab/>
      </w:r>
      <w:r w:rsidRPr="00510442">
        <w:rPr>
          <w:b/>
          <w:szCs w:val="22"/>
          <w:lang w:val="hr-HR"/>
        </w:rPr>
        <w:t xml:space="preserve">NAČIN </w:t>
      </w:r>
      <w:r w:rsidR="006B3A0B" w:rsidRPr="00510442">
        <w:rPr>
          <w:b/>
          <w:szCs w:val="22"/>
          <w:lang w:val="hr-HR"/>
        </w:rPr>
        <w:t xml:space="preserve">IZDAVANJA </w:t>
      </w:r>
      <w:r w:rsidRPr="00510442">
        <w:rPr>
          <w:b/>
          <w:szCs w:val="22"/>
          <w:lang w:val="hr-HR"/>
        </w:rPr>
        <w:t>LIJEKA</w:t>
      </w:r>
    </w:p>
    <w:p w14:paraId="4E9528AC" w14:textId="77777777" w:rsidR="003A274D" w:rsidRPr="00510442" w:rsidRDefault="003A274D" w:rsidP="003A274D">
      <w:pPr>
        <w:tabs>
          <w:tab w:val="clear" w:pos="567"/>
        </w:tabs>
        <w:spacing w:line="240" w:lineRule="auto"/>
        <w:rPr>
          <w:color w:val="000000"/>
          <w:szCs w:val="22"/>
          <w:lang w:val="hr-HR"/>
        </w:rPr>
      </w:pPr>
    </w:p>
    <w:p w14:paraId="4B463BA8" w14:textId="77777777" w:rsidR="003A274D" w:rsidRPr="00510442" w:rsidRDefault="003A274D" w:rsidP="003A274D">
      <w:pPr>
        <w:tabs>
          <w:tab w:val="clear" w:pos="567"/>
        </w:tabs>
        <w:spacing w:line="240" w:lineRule="auto"/>
        <w:rPr>
          <w:color w:val="000000"/>
          <w:szCs w:val="22"/>
          <w:lang w:val="hr-HR"/>
        </w:rPr>
      </w:pPr>
    </w:p>
    <w:p w14:paraId="606B6875" w14:textId="77777777" w:rsidR="003A274D" w:rsidRPr="00510442" w:rsidRDefault="003A274D" w:rsidP="003A274D">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hr-HR"/>
        </w:rPr>
      </w:pPr>
      <w:r w:rsidRPr="00510442">
        <w:rPr>
          <w:b/>
          <w:color w:val="000000"/>
          <w:szCs w:val="22"/>
          <w:lang w:val="hr-HR"/>
        </w:rPr>
        <w:t>15.</w:t>
      </w:r>
      <w:r w:rsidRPr="00510442">
        <w:rPr>
          <w:b/>
          <w:color w:val="000000"/>
          <w:szCs w:val="22"/>
          <w:lang w:val="hr-HR"/>
        </w:rPr>
        <w:tab/>
      </w:r>
      <w:r w:rsidRPr="00510442">
        <w:rPr>
          <w:b/>
          <w:szCs w:val="22"/>
          <w:lang w:val="hr-HR"/>
        </w:rPr>
        <w:t>UPUTE ZA UPORABU</w:t>
      </w:r>
    </w:p>
    <w:p w14:paraId="139334D6" w14:textId="77777777" w:rsidR="003A274D" w:rsidRPr="00510442" w:rsidRDefault="003A274D" w:rsidP="003A274D">
      <w:pPr>
        <w:tabs>
          <w:tab w:val="clear" w:pos="567"/>
        </w:tabs>
        <w:spacing w:line="240" w:lineRule="auto"/>
        <w:rPr>
          <w:color w:val="000000"/>
          <w:szCs w:val="22"/>
          <w:lang w:val="hr-HR"/>
        </w:rPr>
      </w:pPr>
    </w:p>
    <w:p w14:paraId="115EB18A" w14:textId="77777777" w:rsidR="003A274D" w:rsidRPr="00510442" w:rsidRDefault="003A274D" w:rsidP="003A274D">
      <w:pPr>
        <w:tabs>
          <w:tab w:val="clear" w:pos="567"/>
        </w:tabs>
        <w:spacing w:line="240" w:lineRule="auto"/>
        <w:rPr>
          <w:color w:val="000000"/>
          <w:szCs w:val="22"/>
          <w:lang w:val="hr-HR"/>
        </w:rPr>
      </w:pPr>
    </w:p>
    <w:p w14:paraId="78CDACA8" w14:textId="77777777" w:rsidR="003A274D" w:rsidRPr="00510442" w:rsidRDefault="003A274D" w:rsidP="003A274D">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hr-HR"/>
        </w:rPr>
      </w:pPr>
      <w:r w:rsidRPr="00510442">
        <w:rPr>
          <w:b/>
          <w:color w:val="000000"/>
          <w:szCs w:val="22"/>
          <w:lang w:val="hr-HR"/>
        </w:rPr>
        <w:t>16.</w:t>
      </w:r>
      <w:r w:rsidRPr="00510442">
        <w:rPr>
          <w:b/>
          <w:color w:val="000000"/>
          <w:szCs w:val="22"/>
          <w:lang w:val="hr-HR"/>
        </w:rPr>
        <w:tab/>
      </w:r>
      <w:r w:rsidRPr="00510442">
        <w:rPr>
          <w:b/>
          <w:szCs w:val="22"/>
          <w:lang w:val="hr-HR"/>
        </w:rPr>
        <w:t>PODACI NA BRAILLEOVOM PISMU</w:t>
      </w:r>
    </w:p>
    <w:p w14:paraId="0565ABB6" w14:textId="77777777" w:rsidR="003A274D" w:rsidRPr="00510442" w:rsidRDefault="003A274D" w:rsidP="003A274D">
      <w:pPr>
        <w:tabs>
          <w:tab w:val="clear" w:pos="567"/>
        </w:tabs>
        <w:spacing w:line="240" w:lineRule="auto"/>
        <w:rPr>
          <w:color w:val="000000"/>
          <w:szCs w:val="22"/>
          <w:u w:val="single"/>
          <w:lang w:val="hr-HR"/>
        </w:rPr>
      </w:pPr>
    </w:p>
    <w:p w14:paraId="28791034" w14:textId="77777777" w:rsidR="003A274D" w:rsidRPr="00510442" w:rsidRDefault="003A274D" w:rsidP="00DB028B">
      <w:pPr>
        <w:widowControl w:val="0"/>
        <w:spacing w:line="240" w:lineRule="auto"/>
        <w:rPr>
          <w:color w:val="000000"/>
          <w:szCs w:val="22"/>
          <w:lang w:val="hr-HR"/>
        </w:rPr>
      </w:pPr>
      <w:r w:rsidRPr="00510442">
        <w:rPr>
          <w:color w:val="000000"/>
          <w:szCs w:val="22"/>
          <w:lang w:val="hr-HR"/>
        </w:rPr>
        <w:t>Glivec 100 mg</w:t>
      </w:r>
    </w:p>
    <w:p w14:paraId="476F5F60" w14:textId="77777777" w:rsidR="003A274D" w:rsidRPr="00510442" w:rsidRDefault="003A274D" w:rsidP="003A274D">
      <w:pPr>
        <w:tabs>
          <w:tab w:val="clear" w:pos="567"/>
        </w:tabs>
        <w:spacing w:line="240" w:lineRule="auto"/>
        <w:rPr>
          <w:color w:val="000000"/>
          <w:szCs w:val="22"/>
          <w:lang w:val="hr-HR"/>
        </w:rPr>
      </w:pPr>
    </w:p>
    <w:p w14:paraId="16AAC077" w14:textId="77777777" w:rsidR="001E7036" w:rsidRPr="00510442" w:rsidRDefault="001E7036" w:rsidP="001E7036">
      <w:pPr>
        <w:widowControl w:val="0"/>
        <w:tabs>
          <w:tab w:val="clear" w:pos="567"/>
        </w:tabs>
        <w:spacing w:line="240" w:lineRule="auto"/>
        <w:rPr>
          <w:szCs w:val="22"/>
          <w:shd w:val="clear" w:color="auto" w:fill="CCCCCC"/>
          <w:lang w:val="hr-HR"/>
        </w:rPr>
      </w:pPr>
    </w:p>
    <w:p w14:paraId="2FA65FDC" w14:textId="77777777" w:rsidR="001E7036" w:rsidRPr="00510442" w:rsidRDefault="001E7036" w:rsidP="001E7036">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3"/>
        <w:outlineLvl w:val="0"/>
        <w:rPr>
          <w:i/>
          <w:lang w:val="hr-HR"/>
        </w:rPr>
      </w:pPr>
      <w:r w:rsidRPr="00510442">
        <w:rPr>
          <w:b/>
          <w:lang w:val="hr-HR"/>
        </w:rPr>
        <w:t>17.</w:t>
      </w:r>
      <w:r w:rsidRPr="00510442">
        <w:rPr>
          <w:b/>
          <w:lang w:val="hr-HR"/>
        </w:rPr>
        <w:tab/>
        <w:t>JEDINSTVENI IDENTIFIKATOR – 2D BARKOD</w:t>
      </w:r>
    </w:p>
    <w:p w14:paraId="1CB85177" w14:textId="77777777" w:rsidR="001E7036" w:rsidRPr="00510442" w:rsidRDefault="001E7036" w:rsidP="001E7036">
      <w:pPr>
        <w:widowControl w:val="0"/>
        <w:tabs>
          <w:tab w:val="clear" w:pos="567"/>
        </w:tabs>
        <w:spacing w:line="240" w:lineRule="auto"/>
        <w:rPr>
          <w:lang w:val="hr-HR"/>
        </w:rPr>
      </w:pPr>
    </w:p>
    <w:p w14:paraId="661A1433" w14:textId="77777777" w:rsidR="001E7036" w:rsidRPr="00510442" w:rsidRDefault="001E7036" w:rsidP="001E7036">
      <w:pPr>
        <w:widowControl w:val="0"/>
        <w:tabs>
          <w:tab w:val="clear" w:pos="567"/>
        </w:tabs>
        <w:spacing w:line="240" w:lineRule="auto"/>
        <w:rPr>
          <w:szCs w:val="22"/>
          <w:lang w:val="hr-HR"/>
        </w:rPr>
      </w:pPr>
      <w:r w:rsidRPr="00510442">
        <w:rPr>
          <w:shd w:val="pct15" w:color="auto" w:fill="auto"/>
          <w:lang w:val="hr-HR"/>
        </w:rPr>
        <w:t>Sadrži 2D barkod s jedinstvenim identifikatorom.</w:t>
      </w:r>
    </w:p>
    <w:p w14:paraId="1185DDCB" w14:textId="77777777" w:rsidR="001E7036" w:rsidRPr="00510442" w:rsidRDefault="001E7036" w:rsidP="001E7036">
      <w:pPr>
        <w:widowControl w:val="0"/>
        <w:tabs>
          <w:tab w:val="clear" w:pos="567"/>
        </w:tabs>
        <w:spacing w:line="240" w:lineRule="auto"/>
        <w:rPr>
          <w:lang w:val="hr-HR"/>
        </w:rPr>
      </w:pPr>
    </w:p>
    <w:p w14:paraId="579A727C" w14:textId="77777777" w:rsidR="001E7036" w:rsidRPr="00510442" w:rsidRDefault="001E7036" w:rsidP="001E7036">
      <w:pPr>
        <w:widowControl w:val="0"/>
        <w:tabs>
          <w:tab w:val="clear" w:pos="567"/>
        </w:tabs>
        <w:spacing w:line="240" w:lineRule="auto"/>
        <w:rPr>
          <w:lang w:val="hr-HR"/>
        </w:rPr>
      </w:pPr>
    </w:p>
    <w:p w14:paraId="5B26F2A9" w14:textId="77777777" w:rsidR="001E7036" w:rsidRPr="00510442" w:rsidRDefault="001E7036" w:rsidP="001E7036">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3"/>
        <w:outlineLvl w:val="0"/>
        <w:rPr>
          <w:i/>
          <w:lang w:val="hr-HR"/>
        </w:rPr>
      </w:pPr>
      <w:r w:rsidRPr="00510442">
        <w:rPr>
          <w:b/>
          <w:lang w:val="hr-HR"/>
        </w:rPr>
        <w:t>18.</w:t>
      </w:r>
      <w:r w:rsidRPr="00510442">
        <w:rPr>
          <w:b/>
          <w:lang w:val="hr-HR"/>
        </w:rPr>
        <w:tab/>
        <w:t>JEDINSTVENI IDENTIFIKATOR – PODACI ČITLJIVI LJUDSKIM OKOM</w:t>
      </w:r>
    </w:p>
    <w:p w14:paraId="003821A7" w14:textId="77777777" w:rsidR="001E7036" w:rsidRPr="00510442" w:rsidRDefault="001E7036" w:rsidP="001E7036">
      <w:pPr>
        <w:widowControl w:val="0"/>
        <w:tabs>
          <w:tab w:val="clear" w:pos="567"/>
        </w:tabs>
        <w:spacing w:line="240" w:lineRule="auto"/>
        <w:rPr>
          <w:lang w:val="hr-HR"/>
        </w:rPr>
      </w:pPr>
    </w:p>
    <w:p w14:paraId="046FB87F" w14:textId="77777777" w:rsidR="001E7036" w:rsidRPr="00510442" w:rsidRDefault="001E7036" w:rsidP="001E7036">
      <w:pPr>
        <w:widowControl w:val="0"/>
        <w:tabs>
          <w:tab w:val="clear" w:pos="567"/>
        </w:tabs>
        <w:rPr>
          <w:szCs w:val="22"/>
          <w:lang w:val="hr-HR"/>
        </w:rPr>
      </w:pPr>
      <w:r w:rsidRPr="00510442">
        <w:rPr>
          <w:lang w:val="hr-HR"/>
        </w:rPr>
        <w:t>PC:</w:t>
      </w:r>
    </w:p>
    <w:p w14:paraId="4D0595C9" w14:textId="77777777" w:rsidR="001E7036" w:rsidRPr="00510442" w:rsidRDefault="001E7036" w:rsidP="001E7036">
      <w:pPr>
        <w:widowControl w:val="0"/>
        <w:tabs>
          <w:tab w:val="clear" w:pos="567"/>
        </w:tabs>
        <w:rPr>
          <w:szCs w:val="22"/>
          <w:lang w:val="hr-HR"/>
        </w:rPr>
      </w:pPr>
      <w:r w:rsidRPr="00510442">
        <w:rPr>
          <w:lang w:val="hr-HR"/>
        </w:rPr>
        <w:t>SN:</w:t>
      </w:r>
    </w:p>
    <w:p w14:paraId="6A502A54" w14:textId="77777777" w:rsidR="001E7036" w:rsidRPr="00510442" w:rsidRDefault="001E7036" w:rsidP="001E7036">
      <w:pPr>
        <w:widowControl w:val="0"/>
        <w:tabs>
          <w:tab w:val="clear" w:pos="567"/>
        </w:tabs>
        <w:rPr>
          <w:szCs w:val="22"/>
          <w:lang w:val="hr-HR"/>
        </w:rPr>
      </w:pPr>
      <w:r w:rsidRPr="00510442">
        <w:rPr>
          <w:lang w:val="hr-HR"/>
        </w:rPr>
        <w:t>NN:</w:t>
      </w:r>
    </w:p>
    <w:p w14:paraId="2074B834" w14:textId="77777777" w:rsidR="003A274D" w:rsidRPr="00510442" w:rsidRDefault="003A274D" w:rsidP="003A274D">
      <w:pPr>
        <w:tabs>
          <w:tab w:val="clear" w:pos="567"/>
        </w:tabs>
        <w:spacing w:line="240" w:lineRule="auto"/>
        <w:rPr>
          <w:color w:val="000000"/>
          <w:szCs w:val="22"/>
          <w:lang w:val="hr-HR"/>
        </w:rPr>
      </w:pPr>
    </w:p>
    <w:p w14:paraId="38CB54A5" w14:textId="77777777" w:rsidR="003A274D" w:rsidRPr="00510442" w:rsidRDefault="003A274D" w:rsidP="003A274D">
      <w:pPr>
        <w:tabs>
          <w:tab w:val="clear" w:pos="567"/>
        </w:tabs>
        <w:spacing w:line="240" w:lineRule="auto"/>
        <w:rPr>
          <w:color w:val="000000"/>
          <w:szCs w:val="22"/>
          <w:lang w:val="hr-HR"/>
        </w:rPr>
      </w:pPr>
      <w:r w:rsidRPr="00510442">
        <w:rPr>
          <w:color w:val="000000"/>
          <w:szCs w:val="22"/>
          <w:lang w:val="hr-HR"/>
        </w:rPr>
        <w:br w:type="page"/>
      </w:r>
    </w:p>
    <w:p w14:paraId="6B7B08CB" w14:textId="77777777" w:rsidR="006E43C6" w:rsidRPr="006E43C6" w:rsidRDefault="006E43C6" w:rsidP="006E43C6">
      <w:pPr>
        <w:tabs>
          <w:tab w:val="clear" w:pos="567"/>
        </w:tabs>
        <w:spacing w:line="240" w:lineRule="auto"/>
        <w:rPr>
          <w:szCs w:val="22"/>
          <w:lang w:val="hr-HR"/>
        </w:rPr>
      </w:pPr>
    </w:p>
    <w:p w14:paraId="6A0D3F31" w14:textId="77777777" w:rsidR="003A274D" w:rsidRPr="00510442" w:rsidRDefault="003A274D" w:rsidP="003A274D">
      <w:pPr>
        <w:pBdr>
          <w:top w:val="single" w:sz="4" w:space="1" w:color="auto"/>
          <w:left w:val="single" w:sz="4" w:space="4" w:color="auto"/>
          <w:bottom w:val="single" w:sz="4" w:space="1" w:color="auto"/>
          <w:right w:val="single" w:sz="4" w:space="4" w:color="auto"/>
        </w:pBdr>
        <w:tabs>
          <w:tab w:val="clear" w:pos="567"/>
        </w:tabs>
        <w:spacing w:line="240" w:lineRule="auto"/>
        <w:rPr>
          <w:b/>
          <w:color w:val="000000"/>
          <w:szCs w:val="22"/>
          <w:lang w:val="hr-HR"/>
        </w:rPr>
      </w:pPr>
      <w:r w:rsidRPr="00510442">
        <w:rPr>
          <w:b/>
          <w:szCs w:val="22"/>
          <w:lang w:val="hr-HR"/>
        </w:rPr>
        <w:t>PODACI KOJE</w:t>
      </w:r>
      <w:r w:rsidRPr="00510442">
        <w:rPr>
          <w:b/>
          <w:caps/>
          <w:szCs w:val="22"/>
          <w:lang w:val="hr-HR"/>
        </w:rPr>
        <w:t xml:space="preserve"> mora najmanje sadržavati blister</w:t>
      </w:r>
      <w:r w:rsidRPr="00510442">
        <w:rPr>
          <w:szCs w:val="22"/>
          <w:lang w:val="hr-HR"/>
        </w:rPr>
        <w:t xml:space="preserve"> </w:t>
      </w:r>
      <w:r w:rsidRPr="00510442">
        <w:rPr>
          <w:b/>
          <w:szCs w:val="22"/>
          <w:lang w:val="hr-HR"/>
        </w:rPr>
        <w:t>ILI</w:t>
      </w:r>
      <w:r w:rsidRPr="00510442">
        <w:rPr>
          <w:szCs w:val="22"/>
          <w:lang w:val="hr-HR"/>
        </w:rPr>
        <w:t xml:space="preserve"> </w:t>
      </w:r>
      <w:r w:rsidRPr="00510442">
        <w:rPr>
          <w:b/>
          <w:szCs w:val="22"/>
          <w:lang w:val="hr-HR"/>
        </w:rPr>
        <w:t>STRIP</w:t>
      </w:r>
    </w:p>
    <w:p w14:paraId="193E26ED" w14:textId="77777777" w:rsidR="003A274D" w:rsidRPr="00510442" w:rsidRDefault="003A274D" w:rsidP="003A274D">
      <w:pPr>
        <w:pBdr>
          <w:top w:val="single" w:sz="4" w:space="1" w:color="auto"/>
          <w:left w:val="single" w:sz="4" w:space="4" w:color="auto"/>
          <w:bottom w:val="single" w:sz="4" w:space="1" w:color="auto"/>
          <w:right w:val="single" w:sz="4" w:space="4" w:color="auto"/>
        </w:pBdr>
        <w:tabs>
          <w:tab w:val="clear" w:pos="567"/>
        </w:tabs>
        <w:spacing w:line="240" w:lineRule="auto"/>
        <w:rPr>
          <w:color w:val="000000"/>
          <w:szCs w:val="22"/>
          <w:lang w:val="hr-HR"/>
        </w:rPr>
      </w:pPr>
    </w:p>
    <w:p w14:paraId="006809B3" w14:textId="77777777" w:rsidR="003A274D" w:rsidRPr="00510442" w:rsidRDefault="003A274D" w:rsidP="003A274D">
      <w:pPr>
        <w:pBdr>
          <w:top w:val="single" w:sz="4" w:space="1" w:color="auto"/>
          <w:left w:val="single" w:sz="4" w:space="4" w:color="auto"/>
          <w:bottom w:val="single" w:sz="4" w:space="1" w:color="auto"/>
          <w:right w:val="single" w:sz="4" w:space="4" w:color="auto"/>
        </w:pBdr>
        <w:tabs>
          <w:tab w:val="clear" w:pos="567"/>
        </w:tabs>
        <w:spacing w:line="240" w:lineRule="auto"/>
        <w:rPr>
          <w:b/>
          <w:color w:val="000000"/>
          <w:szCs w:val="22"/>
          <w:lang w:val="hr-HR"/>
        </w:rPr>
      </w:pPr>
      <w:r w:rsidRPr="00510442">
        <w:rPr>
          <w:b/>
          <w:color w:val="000000"/>
          <w:szCs w:val="22"/>
          <w:lang w:val="hr-HR"/>
        </w:rPr>
        <w:t>BLISTERI</w:t>
      </w:r>
    </w:p>
    <w:p w14:paraId="3248C2F6" w14:textId="77777777" w:rsidR="003A274D" w:rsidRPr="00510442" w:rsidRDefault="003A274D" w:rsidP="003A274D">
      <w:pPr>
        <w:tabs>
          <w:tab w:val="clear" w:pos="567"/>
        </w:tabs>
        <w:spacing w:line="240" w:lineRule="auto"/>
        <w:rPr>
          <w:color w:val="000000"/>
          <w:szCs w:val="22"/>
          <w:lang w:val="hr-HR"/>
        </w:rPr>
      </w:pPr>
    </w:p>
    <w:p w14:paraId="2C6C3448" w14:textId="77777777" w:rsidR="003A274D" w:rsidRPr="00510442" w:rsidRDefault="003A274D" w:rsidP="003A274D">
      <w:pPr>
        <w:tabs>
          <w:tab w:val="clear" w:pos="567"/>
        </w:tabs>
        <w:spacing w:line="240" w:lineRule="auto"/>
        <w:rPr>
          <w:color w:val="000000"/>
          <w:szCs w:val="22"/>
          <w:lang w:val="hr-HR"/>
        </w:rPr>
      </w:pPr>
    </w:p>
    <w:p w14:paraId="4E1E7902" w14:textId="77777777" w:rsidR="003A274D" w:rsidRPr="00510442" w:rsidRDefault="003A274D" w:rsidP="003A274D">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hr-HR"/>
        </w:rPr>
      </w:pPr>
      <w:r w:rsidRPr="00510442">
        <w:rPr>
          <w:b/>
          <w:color w:val="000000"/>
          <w:szCs w:val="22"/>
          <w:lang w:val="hr-HR"/>
        </w:rPr>
        <w:t>1.</w:t>
      </w:r>
      <w:r w:rsidRPr="00510442">
        <w:rPr>
          <w:b/>
          <w:color w:val="000000"/>
          <w:szCs w:val="22"/>
          <w:lang w:val="hr-HR"/>
        </w:rPr>
        <w:tab/>
      </w:r>
      <w:r w:rsidRPr="00510442">
        <w:rPr>
          <w:b/>
          <w:szCs w:val="22"/>
          <w:lang w:val="hr-HR"/>
        </w:rPr>
        <w:t>NAZIV LIJEKA</w:t>
      </w:r>
    </w:p>
    <w:p w14:paraId="02152D2E" w14:textId="77777777" w:rsidR="003A274D" w:rsidRPr="00510442" w:rsidRDefault="003A274D" w:rsidP="003A274D">
      <w:pPr>
        <w:tabs>
          <w:tab w:val="clear" w:pos="567"/>
        </w:tabs>
        <w:spacing w:line="240" w:lineRule="auto"/>
        <w:ind w:left="567" w:hanging="567"/>
        <w:rPr>
          <w:color w:val="000000"/>
          <w:szCs w:val="22"/>
          <w:lang w:val="hr-HR"/>
        </w:rPr>
      </w:pPr>
    </w:p>
    <w:p w14:paraId="0172DCF6" w14:textId="77777777" w:rsidR="003A274D" w:rsidRPr="00510442" w:rsidRDefault="003A274D" w:rsidP="00DB028B">
      <w:pPr>
        <w:widowControl w:val="0"/>
        <w:spacing w:line="240" w:lineRule="auto"/>
        <w:rPr>
          <w:color w:val="000000"/>
          <w:szCs w:val="22"/>
          <w:lang w:val="hr-HR"/>
        </w:rPr>
      </w:pPr>
      <w:r w:rsidRPr="00510442">
        <w:rPr>
          <w:color w:val="000000"/>
          <w:szCs w:val="22"/>
          <w:lang w:val="hr-HR"/>
        </w:rPr>
        <w:t>Glivec 100 mg tablete</w:t>
      </w:r>
    </w:p>
    <w:p w14:paraId="2E937308" w14:textId="77777777" w:rsidR="003A274D" w:rsidRPr="00510442" w:rsidRDefault="003A274D" w:rsidP="003A274D">
      <w:pPr>
        <w:widowControl w:val="0"/>
        <w:tabs>
          <w:tab w:val="clear" w:pos="567"/>
        </w:tabs>
        <w:spacing w:line="240" w:lineRule="auto"/>
        <w:rPr>
          <w:color w:val="000000"/>
          <w:szCs w:val="22"/>
          <w:lang w:val="hr-HR"/>
        </w:rPr>
      </w:pPr>
      <w:r w:rsidRPr="00510442">
        <w:rPr>
          <w:color w:val="000000"/>
          <w:szCs w:val="22"/>
          <w:lang w:val="hr-HR"/>
        </w:rPr>
        <w:t>imatinib</w:t>
      </w:r>
    </w:p>
    <w:p w14:paraId="69B0C414" w14:textId="77777777" w:rsidR="003A274D" w:rsidRPr="00510442" w:rsidRDefault="003A274D" w:rsidP="003A274D">
      <w:pPr>
        <w:tabs>
          <w:tab w:val="clear" w:pos="567"/>
        </w:tabs>
        <w:spacing w:line="240" w:lineRule="auto"/>
        <w:rPr>
          <w:color w:val="000000"/>
          <w:szCs w:val="22"/>
          <w:lang w:val="hr-HR"/>
        </w:rPr>
      </w:pPr>
    </w:p>
    <w:p w14:paraId="3D5F1995" w14:textId="77777777" w:rsidR="003A274D" w:rsidRPr="00510442" w:rsidRDefault="003A274D" w:rsidP="003A274D">
      <w:pPr>
        <w:tabs>
          <w:tab w:val="clear" w:pos="567"/>
        </w:tabs>
        <w:spacing w:line="240" w:lineRule="auto"/>
        <w:rPr>
          <w:color w:val="000000"/>
          <w:szCs w:val="22"/>
          <w:lang w:val="hr-HR"/>
        </w:rPr>
      </w:pPr>
    </w:p>
    <w:p w14:paraId="046530EA" w14:textId="77777777" w:rsidR="003A274D" w:rsidRPr="00510442" w:rsidRDefault="003A274D" w:rsidP="003A274D">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hr-HR"/>
        </w:rPr>
      </w:pPr>
      <w:r w:rsidRPr="00510442">
        <w:rPr>
          <w:b/>
          <w:color w:val="000000"/>
          <w:szCs w:val="22"/>
          <w:lang w:val="hr-HR"/>
        </w:rPr>
        <w:t>2.</w:t>
      </w:r>
      <w:r w:rsidRPr="00510442">
        <w:rPr>
          <w:b/>
          <w:color w:val="000000"/>
          <w:szCs w:val="22"/>
          <w:lang w:val="hr-HR"/>
        </w:rPr>
        <w:tab/>
      </w:r>
      <w:r w:rsidR="005C43A6" w:rsidRPr="00510442">
        <w:rPr>
          <w:b/>
          <w:caps/>
          <w:szCs w:val="22"/>
          <w:lang w:val="hr-HR"/>
        </w:rPr>
        <w:t xml:space="preserve">NAZIV </w:t>
      </w:r>
      <w:r w:rsidRPr="00510442">
        <w:rPr>
          <w:b/>
          <w:caps/>
          <w:szCs w:val="22"/>
          <w:lang w:val="hr-HR"/>
        </w:rPr>
        <w:t>nositelja odobrenja za stavljanje lijeka u promet</w:t>
      </w:r>
    </w:p>
    <w:p w14:paraId="391234EF" w14:textId="77777777" w:rsidR="003A274D" w:rsidRPr="00510442" w:rsidRDefault="003A274D" w:rsidP="003A274D">
      <w:pPr>
        <w:tabs>
          <w:tab w:val="clear" w:pos="567"/>
        </w:tabs>
        <w:spacing w:line="240" w:lineRule="auto"/>
        <w:rPr>
          <w:color w:val="000000"/>
          <w:szCs w:val="22"/>
          <w:lang w:val="hr-HR"/>
        </w:rPr>
      </w:pPr>
    </w:p>
    <w:p w14:paraId="0A8589F2" w14:textId="77777777" w:rsidR="003A274D" w:rsidRPr="00510442" w:rsidRDefault="003A274D" w:rsidP="003A274D">
      <w:pPr>
        <w:widowControl w:val="0"/>
        <w:tabs>
          <w:tab w:val="clear" w:pos="567"/>
        </w:tabs>
        <w:spacing w:line="240" w:lineRule="auto"/>
        <w:rPr>
          <w:color w:val="000000"/>
          <w:szCs w:val="22"/>
          <w:lang w:val="hr-HR"/>
        </w:rPr>
      </w:pPr>
      <w:r w:rsidRPr="00510442">
        <w:rPr>
          <w:color w:val="000000"/>
          <w:szCs w:val="22"/>
          <w:lang w:val="hr-HR"/>
        </w:rPr>
        <w:t>Novartis Europharm Limited</w:t>
      </w:r>
    </w:p>
    <w:p w14:paraId="4009C994" w14:textId="77777777" w:rsidR="003A274D" w:rsidRPr="00510442" w:rsidRDefault="003A274D" w:rsidP="003A274D">
      <w:pPr>
        <w:tabs>
          <w:tab w:val="clear" w:pos="567"/>
        </w:tabs>
        <w:spacing w:line="240" w:lineRule="auto"/>
        <w:rPr>
          <w:color w:val="000000"/>
          <w:szCs w:val="22"/>
          <w:lang w:val="hr-HR"/>
        </w:rPr>
      </w:pPr>
    </w:p>
    <w:p w14:paraId="5287033D" w14:textId="77777777" w:rsidR="003A274D" w:rsidRPr="00510442" w:rsidRDefault="003A274D" w:rsidP="003A274D">
      <w:pPr>
        <w:tabs>
          <w:tab w:val="clear" w:pos="567"/>
        </w:tabs>
        <w:spacing w:line="240" w:lineRule="auto"/>
        <w:rPr>
          <w:color w:val="000000"/>
          <w:szCs w:val="22"/>
          <w:lang w:val="hr-HR"/>
        </w:rPr>
      </w:pPr>
    </w:p>
    <w:p w14:paraId="20941826" w14:textId="77777777" w:rsidR="003A274D" w:rsidRPr="00510442" w:rsidRDefault="003A274D" w:rsidP="003A274D">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hr-HR"/>
        </w:rPr>
      </w:pPr>
      <w:r w:rsidRPr="00510442">
        <w:rPr>
          <w:b/>
          <w:color w:val="000000"/>
          <w:szCs w:val="22"/>
          <w:lang w:val="hr-HR"/>
        </w:rPr>
        <w:t>3.</w:t>
      </w:r>
      <w:r w:rsidRPr="00510442">
        <w:rPr>
          <w:b/>
          <w:color w:val="000000"/>
          <w:szCs w:val="22"/>
          <w:lang w:val="hr-HR"/>
        </w:rPr>
        <w:tab/>
      </w:r>
      <w:r w:rsidRPr="00510442">
        <w:rPr>
          <w:b/>
          <w:szCs w:val="22"/>
          <w:lang w:val="hr-HR"/>
        </w:rPr>
        <w:t>ROK VALJANOSTI</w:t>
      </w:r>
    </w:p>
    <w:p w14:paraId="6C6F2D3D" w14:textId="77777777" w:rsidR="003A274D" w:rsidRPr="00510442" w:rsidRDefault="003A274D" w:rsidP="003A274D">
      <w:pPr>
        <w:tabs>
          <w:tab w:val="clear" w:pos="567"/>
        </w:tabs>
        <w:spacing w:line="240" w:lineRule="auto"/>
        <w:rPr>
          <w:color w:val="000000"/>
          <w:szCs w:val="22"/>
          <w:lang w:val="hr-HR"/>
        </w:rPr>
      </w:pPr>
    </w:p>
    <w:p w14:paraId="00276949" w14:textId="77777777" w:rsidR="003A274D" w:rsidRPr="00510442" w:rsidRDefault="003A274D" w:rsidP="003A274D">
      <w:pPr>
        <w:pStyle w:val="EndnoteText"/>
        <w:widowControl w:val="0"/>
        <w:tabs>
          <w:tab w:val="clear" w:pos="567"/>
        </w:tabs>
        <w:rPr>
          <w:color w:val="000000"/>
          <w:szCs w:val="22"/>
          <w:lang w:val="hr-HR"/>
        </w:rPr>
      </w:pPr>
      <w:r w:rsidRPr="00510442">
        <w:rPr>
          <w:bCs/>
          <w:szCs w:val="22"/>
          <w:lang w:val="hr-HR"/>
        </w:rPr>
        <w:t>EXP</w:t>
      </w:r>
    </w:p>
    <w:p w14:paraId="02FECD32" w14:textId="77777777" w:rsidR="003A274D" w:rsidRPr="00510442" w:rsidRDefault="003A274D" w:rsidP="003A274D">
      <w:pPr>
        <w:tabs>
          <w:tab w:val="clear" w:pos="567"/>
        </w:tabs>
        <w:spacing w:line="240" w:lineRule="auto"/>
        <w:rPr>
          <w:color w:val="000000"/>
          <w:szCs w:val="22"/>
          <w:lang w:val="hr-HR"/>
        </w:rPr>
      </w:pPr>
    </w:p>
    <w:p w14:paraId="0412A912" w14:textId="77777777" w:rsidR="003A274D" w:rsidRPr="00510442" w:rsidRDefault="003A274D" w:rsidP="003A274D">
      <w:pPr>
        <w:tabs>
          <w:tab w:val="clear" w:pos="567"/>
        </w:tabs>
        <w:spacing w:line="240" w:lineRule="auto"/>
        <w:rPr>
          <w:color w:val="000000"/>
          <w:szCs w:val="22"/>
          <w:lang w:val="hr-HR"/>
        </w:rPr>
      </w:pPr>
    </w:p>
    <w:p w14:paraId="5AECD857" w14:textId="77777777" w:rsidR="003A274D" w:rsidRPr="00510442" w:rsidRDefault="003A274D" w:rsidP="003A274D">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hr-HR"/>
        </w:rPr>
      </w:pPr>
      <w:r w:rsidRPr="00510442">
        <w:rPr>
          <w:b/>
          <w:color w:val="000000"/>
          <w:szCs w:val="22"/>
          <w:lang w:val="hr-HR"/>
        </w:rPr>
        <w:t>4.</w:t>
      </w:r>
      <w:r w:rsidRPr="00510442">
        <w:rPr>
          <w:b/>
          <w:color w:val="000000"/>
          <w:szCs w:val="22"/>
          <w:lang w:val="hr-HR"/>
        </w:rPr>
        <w:tab/>
      </w:r>
      <w:r w:rsidRPr="00510442">
        <w:rPr>
          <w:b/>
          <w:szCs w:val="22"/>
          <w:lang w:val="hr-HR"/>
        </w:rPr>
        <w:t>BROJ SERIJE</w:t>
      </w:r>
    </w:p>
    <w:p w14:paraId="4B346021" w14:textId="77777777" w:rsidR="003A274D" w:rsidRPr="00510442" w:rsidRDefault="003A274D" w:rsidP="003A274D">
      <w:pPr>
        <w:tabs>
          <w:tab w:val="clear" w:pos="567"/>
        </w:tabs>
        <w:spacing w:line="240" w:lineRule="auto"/>
        <w:rPr>
          <w:color w:val="000000"/>
          <w:szCs w:val="22"/>
          <w:lang w:val="hr-HR"/>
        </w:rPr>
      </w:pPr>
    </w:p>
    <w:p w14:paraId="33589DF7" w14:textId="77777777" w:rsidR="003A274D" w:rsidRPr="00510442" w:rsidRDefault="003A274D" w:rsidP="003A274D">
      <w:pPr>
        <w:widowControl w:val="0"/>
        <w:tabs>
          <w:tab w:val="clear" w:pos="567"/>
        </w:tabs>
        <w:spacing w:line="240" w:lineRule="auto"/>
        <w:rPr>
          <w:color w:val="000000"/>
          <w:szCs w:val="22"/>
          <w:lang w:val="hr-HR"/>
        </w:rPr>
      </w:pPr>
      <w:r w:rsidRPr="00510442">
        <w:rPr>
          <w:bCs/>
          <w:szCs w:val="22"/>
          <w:lang w:val="hr-HR"/>
        </w:rPr>
        <w:t>Lot</w:t>
      </w:r>
    </w:p>
    <w:p w14:paraId="69B0ED9C" w14:textId="77777777" w:rsidR="003A274D" w:rsidRPr="00510442" w:rsidRDefault="003A274D" w:rsidP="003A274D">
      <w:pPr>
        <w:widowControl w:val="0"/>
        <w:tabs>
          <w:tab w:val="clear" w:pos="567"/>
        </w:tabs>
        <w:spacing w:line="240" w:lineRule="auto"/>
        <w:rPr>
          <w:color w:val="000000"/>
          <w:szCs w:val="22"/>
          <w:lang w:val="hr-HR"/>
        </w:rPr>
      </w:pPr>
    </w:p>
    <w:p w14:paraId="4398748E" w14:textId="77777777" w:rsidR="003A274D" w:rsidRPr="00510442" w:rsidRDefault="003A274D" w:rsidP="003A274D">
      <w:pPr>
        <w:widowControl w:val="0"/>
        <w:tabs>
          <w:tab w:val="clear" w:pos="567"/>
        </w:tabs>
        <w:spacing w:line="240" w:lineRule="auto"/>
        <w:rPr>
          <w:color w:val="000000"/>
          <w:szCs w:val="22"/>
          <w:lang w:val="hr-HR"/>
        </w:rPr>
      </w:pPr>
    </w:p>
    <w:p w14:paraId="4ABC413B" w14:textId="77777777" w:rsidR="003A274D" w:rsidRPr="00510442" w:rsidRDefault="003A274D" w:rsidP="003A274D">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hr-HR"/>
        </w:rPr>
      </w:pPr>
      <w:r w:rsidRPr="00510442">
        <w:rPr>
          <w:b/>
          <w:color w:val="000000"/>
          <w:szCs w:val="22"/>
          <w:lang w:val="hr-HR"/>
        </w:rPr>
        <w:t>5.</w:t>
      </w:r>
      <w:r w:rsidRPr="00510442">
        <w:rPr>
          <w:b/>
          <w:color w:val="000000"/>
          <w:szCs w:val="22"/>
          <w:lang w:val="hr-HR"/>
        </w:rPr>
        <w:tab/>
      </w:r>
      <w:r w:rsidRPr="00510442">
        <w:rPr>
          <w:b/>
          <w:szCs w:val="22"/>
          <w:lang w:val="hr-HR"/>
        </w:rPr>
        <w:t>DRUGO</w:t>
      </w:r>
    </w:p>
    <w:p w14:paraId="331F3F83" w14:textId="77777777" w:rsidR="003A274D" w:rsidRPr="00510442" w:rsidRDefault="003A274D" w:rsidP="003A274D">
      <w:pPr>
        <w:widowControl w:val="0"/>
        <w:tabs>
          <w:tab w:val="clear" w:pos="567"/>
        </w:tabs>
        <w:spacing w:line="240" w:lineRule="auto"/>
        <w:rPr>
          <w:color w:val="000000"/>
          <w:szCs w:val="22"/>
          <w:lang w:val="hr-HR"/>
        </w:rPr>
      </w:pPr>
    </w:p>
    <w:p w14:paraId="50D45E94" w14:textId="77777777" w:rsidR="003A274D" w:rsidRPr="00510442" w:rsidRDefault="003A274D" w:rsidP="003A274D">
      <w:pPr>
        <w:tabs>
          <w:tab w:val="clear" w:pos="567"/>
        </w:tabs>
        <w:spacing w:line="240" w:lineRule="auto"/>
        <w:rPr>
          <w:color w:val="000000"/>
          <w:szCs w:val="22"/>
          <w:lang w:val="hr-HR"/>
        </w:rPr>
      </w:pPr>
      <w:r w:rsidRPr="00510442">
        <w:rPr>
          <w:b/>
          <w:color w:val="000000"/>
          <w:szCs w:val="22"/>
          <w:lang w:val="hr-HR"/>
        </w:rPr>
        <w:br w:type="page"/>
      </w:r>
    </w:p>
    <w:p w14:paraId="7E3D335F" w14:textId="77777777" w:rsidR="006E43C6" w:rsidRPr="006E43C6" w:rsidRDefault="006E43C6" w:rsidP="006E43C6">
      <w:pPr>
        <w:tabs>
          <w:tab w:val="clear" w:pos="567"/>
        </w:tabs>
        <w:spacing w:line="240" w:lineRule="auto"/>
        <w:rPr>
          <w:szCs w:val="22"/>
          <w:lang w:val="hr-HR"/>
        </w:rPr>
      </w:pPr>
    </w:p>
    <w:p w14:paraId="0CE8BB07" w14:textId="77777777" w:rsidR="003A274D" w:rsidRPr="00510442" w:rsidRDefault="003A274D" w:rsidP="003A274D">
      <w:pPr>
        <w:pBdr>
          <w:top w:val="single" w:sz="4" w:space="1" w:color="auto"/>
          <w:left w:val="single" w:sz="4" w:space="4" w:color="auto"/>
          <w:bottom w:val="single" w:sz="4" w:space="1" w:color="auto"/>
          <w:right w:val="single" w:sz="4" w:space="4" w:color="auto"/>
        </w:pBdr>
        <w:tabs>
          <w:tab w:val="clear" w:pos="567"/>
        </w:tabs>
        <w:spacing w:line="240" w:lineRule="auto"/>
        <w:rPr>
          <w:b/>
          <w:color w:val="000000"/>
          <w:szCs w:val="22"/>
          <w:lang w:val="hr-HR"/>
        </w:rPr>
      </w:pPr>
      <w:r w:rsidRPr="00510442">
        <w:rPr>
          <w:b/>
          <w:szCs w:val="22"/>
          <w:lang w:val="hr-HR"/>
        </w:rPr>
        <w:t xml:space="preserve">PODACI KOJI SE MORAJU NALAZITI NA VANJSKOM </w:t>
      </w:r>
      <w:r w:rsidR="007F566C" w:rsidRPr="00510442">
        <w:rPr>
          <w:b/>
          <w:szCs w:val="22"/>
          <w:lang w:val="hr-HR"/>
        </w:rPr>
        <w:t>PAKIRANJU</w:t>
      </w:r>
    </w:p>
    <w:p w14:paraId="575BA43A" w14:textId="77777777" w:rsidR="003A274D" w:rsidRPr="00510442" w:rsidRDefault="003A274D" w:rsidP="003A274D">
      <w:pPr>
        <w:pBdr>
          <w:top w:val="single" w:sz="4" w:space="1" w:color="auto"/>
          <w:left w:val="single" w:sz="4" w:space="4" w:color="auto"/>
          <w:bottom w:val="single" w:sz="4" w:space="1" w:color="auto"/>
          <w:right w:val="single" w:sz="4" w:space="4" w:color="auto"/>
        </w:pBdr>
        <w:tabs>
          <w:tab w:val="clear" w:pos="567"/>
        </w:tabs>
        <w:spacing w:line="240" w:lineRule="auto"/>
        <w:rPr>
          <w:color w:val="000000"/>
          <w:szCs w:val="22"/>
          <w:lang w:val="hr-HR"/>
        </w:rPr>
      </w:pPr>
    </w:p>
    <w:p w14:paraId="71B8371C" w14:textId="77777777" w:rsidR="003A274D" w:rsidRPr="00510442" w:rsidRDefault="003A274D" w:rsidP="003A274D">
      <w:pPr>
        <w:pBdr>
          <w:top w:val="single" w:sz="4" w:space="1" w:color="auto"/>
          <w:left w:val="single" w:sz="4" w:space="4" w:color="auto"/>
          <w:bottom w:val="single" w:sz="4" w:space="1" w:color="auto"/>
          <w:right w:val="single" w:sz="4" w:space="4" w:color="auto"/>
        </w:pBdr>
        <w:spacing w:line="240" w:lineRule="auto"/>
        <w:rPr>
          <w:b/>
          <w:color w:val="000000"/>
          <w:szCs w:val="22"/>
          <w:lang w:val="hr-HR"/>
        </w:rPr>
      </w:pPr>
      <w:r w:rsidRPr="00510442">
        <w:rPr>
          <w:b/>
          <w:color w:val="000000"/>
          <w:szCs w:val="22"/>
          <w:lang w:val="hr-HR"/>
        </w:rPr>
        <w:t>KARTONSKA KUTIJA</w:t>
      </w:r>
    </w:p>
    <w:p w14:paraId="4327188B" w14:textId="77777777" w:rsidR="003A274D" w:rsidRPr="00510442" w:rsidRDefault="003A274D" w:rsidP="003A274D">
      <w:pPr>
        <w:tabs>
          <w:tab w:val="clear" w:pos="567"/>
        </w:tabs>
        <w:spacing w:line="240" w:lineRule="auto"/>
        <w:rPr>
          <w:color w:val="000000"/>
          <w:szCs w:val="22"/>
          <w:lang w:val="hr-HR"/>
        </w:rPr>
      </w:pPr>
    </w:p>
    <w:p w14:paraId="4DE57193" w14:textId="77777777" w:rsidR="003A274D" w:rsidRPr="00510442" w:rsidRDefault="003A274D" w:rsidP="003A274D">
      <w:pPr>
        <w:tabs>
          <w:tab w:val="clear" w:pos="567"/>
        </w:tabs>
        <w:spacing w:line="240" w:lineRule="auto"/>
        <w:rPr>
          <w:color w:val="000000"/>
          <w:szCs w:val="22"/>
          <w:lang w:val="hr-HR"/>
        </w:rPr>
      </w:pPr>
    </w:p>
    <w:p w14:paraId="7642EF83" w14:textId="77777777" w:rsidR="003A274D" w:rsidRPr="00510442" w:rsidRDefault="003A274D" w:rsidP="003A274D">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hr-HR"/>
        </w:rPr>
      </w:pPr>
      <w:r w:rsidRPr="00510442">
        <w:rPr>
          <w:b/>
          <w:color w:val="000000"/>
          <w:szCs w:val="22"/>
          <w:lang w:val="hr-HR"/>
        </w:rPr>
        <w:t>1.</w:t>
      </w:r>
      <w:r w:rsidRPr="00510442">
        <w:rPr>
          <w:b/>
          <w:color w:val="000000"/>
          <w:szCs w:val="22"/>
          <w:lang w:val="hr-HR"/>
        </w:rPr>
        <w:tab/>
      </w:r>
      <w:r w:rsidRPr="00510442">
        <w:rPr>
          <w:b/>
          <w:szCs w:val="22"/>
          <w:lang w:val="hr-HR"/>
        </w:rPr>
        <w:t>NAZIV LIJEKA</w:t>
      </w:r>
    </w:p>
    <w:p w14:paraId="00EB7000" w14:textId="77777777" w:rsidR="003A274D" w:rsidRPr="00510442" w:rsidRDefault="003A274D" w:rsidP="003A274D">
      <w:pPr>
        <w:widowControl w:val="0"/>
        <w:tabs>
          <w:tab w:val="clear" w:pos="567"/>
        </w:tabs>
        <w:spacing w:line="240" w:lineRule="auto"/>
        <w:rPr>
          <w:color w:val="000000"/>
          <w:szCs w:val="22"/>
          <w:lang w:val="hr-HR"/>
        </w:rPr>
      </w:pPr>
    </w:p>
    <w:p w14:paraId="633469C5" w14:textId="77777777" w:rsidR="003A274D" w:rsidRPr="00510442" w:rsidRDefault="003A274D" w:rsidP="00DB028B">
      <w:pPr>
        <w:widowControl w:val="0"/>
        <w:spacing w:line="240" w:lineRule="auto"/>
        <w:rPr>
          <w:color w:val="000000"/>
          <w:szCs w:val="22"/>
          <w:lang w:val="hr-HR"/>
        </w:rPr>
      </w:pPr>
      <w:r w:rsidRPr="00510442">
        <w:rPr>
          <w:color w:val="000000"/>
          <w:szCs w:val="22"/>
          <w:lang w:val="hr-HR"/>
        </w:rPr>
        <w:t>Glivec 400 mg filmom obložene tablete</w:t>
      </w:r>
    </w:p>
    <w:p w14:paraId="6CCA8621" w14:textId="77777777" w:rsidR="003A274D" w:rsidRPr="00510442" w:rsidRDefault="003A274D" w:rsidP="003A274D">
      <w:pPr>
        <w:widowControl w:val="0"/>
        <w:tabs>
          <w:tab w:val="clear" w:pos="567"/>
        </w:tabs>
        <w:spacing w:line="240" w:lineRule="auto"/>
        <w:rPr>
          <w:color w:val="000000"/>
          <w:szCs w:val="22"/>
          <w:lang w:val="hr-HR"/>
        </w:rPr>
      </w:pPr>
      <w:r w:rsidRPr="00510442">
        <w:rPr>
          <w:color w:val="000000"/>
          <w:szCs w:val="22"/>
          <w:lang w:val="hr-HR"/>
        </w:rPr>
        <w:t>imatinib</w:t>
      </w:r>
    </w:p>
    <w:p w14:paraId="308883F2" w14:textId="77777777" w:rsidR="003A274D" w:rsidRPr="00510442" w:rsidRDefault="003A274D" w:rsidP="003A274D">
      <w:pPr>
        <w:tabs>
          <w:tab w:val="clear" w:pos="567"/>
        </w:tabs>
        <w:spacing w:line="240" w:lineRule="auto"/>
        <w:rPr>
          <w:color w:val="000000"/>
          <w:szCs w:val="22"/>
          <w:lang w:val="hr-HR"/>
        </w:rPr>
      </w:pPr>
    </w:p>
    <w:p w14:paraId="003A9A62" w14:textId="77777777" w:rsidR="003A274D" w:rsidRPr="00510442" w:rsidRDefault="003A274D" w:rsidP="003A274D">
      <w:pPr>
        <w:tabs>
          <w:tab w:val="clear" w:pos="567"/>
        </w:tabs>
        <w:spacing w:line="240" w:lineRule="auto"/>
        <w:rPr>
          <w:color w:val="000000"/>
          <w:szCs w:val="22"/>
          <w:lang w:val="hr-HR"/>
        </w:rPr>
      </w:pPr>
    </w:p>
    <w:p w14:paraId="63414F4E" w14:textId="77777777" w:rsidR="003A274D" w:rsidRPr="00510442" w:rsidRDefault="003A274D" w:rsidP="003A274D">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hr-HR"/>
        </w:rPr>
      </w:pPr>
      <w:r w:rsidRPr="00510442">
        <w:rPr>
          <w:b/>
          <w:color w:val="000000"/>
          <w:szCs w:val="22"/>
          <w:lang w:val="hr-HR"/>
        </w:rPr>
        <w:t>2.</w:t>
      </w:r>
      <w:r w:rsidRPr="00510442">
        <w:rPr>
          <w:b/>
          <w:color w:val="000000"/>
          <w:szCs w:val="22"/>
          <w:lang w:val="hr-HR"/>
        </w:rPr>
        <w:tab/>
      </w:r>
      <w:r w:rsidR="007F566C" w:rsidRPr="00510442">
        <w:rPr>
          <w:b/>
          <w:color w:val="000000"/>
          <w:szCs w:val="22"/>
          <w:lang w:val="hr-HR"/>
        </w:rPr>
        <w:t>NAVOĐENJE</w:t>
      </w:r>
      <w:r w:rsidRPr="00510442">
        <w:rPr>
          <w:b/>
          <w:szCs w:val="22"/>
          <w:lang w:val="hr-HR"/>
        </w:rPr>
        <w:t xml:space="preserve"> DJELATN</w:t>
      </w:r>
      <w:r w:rsidR="007F566C" w:rsidRPr="00510442">
        <w:rPr>
          <w:b/>
          <w:szCs w:val="22"/>
          <w:lang w:val="hr-HR"/>
        </w:rPr>
        <w:t>E</w:t>
      </w:r>
      <w:r w:rsidR="005C43A6" w:rsidRPr="00510442">
        <w:rPr>
          <w:b/>
          <w:szCs w:val="22"/>
          <w:lang w:val="hr-HR"/>
        </w:rPr>
        <w:t>(</w:t>
      </w:r>
      <w:r w:rsidRPr="00510442">
        <w:rPr>
          <w:b/>
          <w:szCs w:val="22"/>
          <w:lang w:val="hr-HR"/>
        </w:rPr>
        <w:t>IH</w:t>
      </w:r>
      <w:r w:rsidR="005C43A6" w:rsidRPr="00510442">
        <w:rPr>
          <w:b/>
          <w:szCs w:val="22"/>
          <w:lang w:val="hr-HR"/>
        </w:rPr>
        <w:t>)</w:t>
      </w:r>
      <w:r w:rsidRPr="00510442">
        <w:rPr>
          <w:b/>
          <w:szCs w:val="22"/>
          <w:lang w:val="hr-HR"/>
        </w:rPr>
        <w:t xml:space="preserve"> TVARI</w:t>
      </w:r>
    </w:p>
    <w:p w14:paraId="5B8C5BE5" w14:textId="77777777" w:rsidR="003A274D" w:rsidRPr="00510442" w:rsidRDefault="003A274D" w:rsidP="003A274D">
      <w:pPr>
        <w:tabs>
          <w:tab w:val="clear" w:pos="567"/>
        </w:tabs>
        <w:spacing w:line="240" w:lineRule="auto"/>
        <w:rPr>
          <w:color w:val="000000"/>
          <w:szCs w:val="22"/>
          <w:lang w:val="hr-HR"/>
        </w:rPr>
      </w:pPr>
    </w:p>
    <w:p w14:paraId="32AE5262" w14:textId="77777777" w:rsidR="003A274D" w:rsidRPr="00510442" w:rsidRDefault="003A274D" w:rsidP="00DB028B">
      <w:pPr>
        <w:widowControl w:val="0"/>
        <w:spacing w:line="240" w:lineRule="auto"/>
        <w:rPr>
          <w:color w:val="000000"/>
          <w:szCs w:val="22"/>
          <w:lang w:val="hr-HR"/>
        </w:rPr>
      </w:pPr>
      <w:r w:rsidRPr="00510442">
        <w:rPr>
          <w:color w:val="000000"/>
          <w:szCs w:val="22"/>
          <w:lang w:val="hr-HR"/>
        </w:rPr>
        <w:t xml:space="preserve">Svaka </w:t>
      </w:r>
      <w:r w:rsidRPr="00510442">
        <w:rPr>
          <w:bCs/>
          <w:szCs w:val="22"/>
          <w:lang w:val="hr-HR"/>
        </w:rPr>
        <w:t>filmom obložena tableta</w:t>
      </w:r>
      <w:r w:rsidRPr="00510442">
        <w:rPr>
          <w:color w:val="000000"/>
          <w:szCs w:val="22"/>
          <w:lang w:val="hr-HR"/>
        </w:rPr>
        <w:t xml:space="preserve"> sadrži 400 mg imatiniba (</w:t>
      </w:r>
      <w:r w:rsidRPr="00510442">
        <w:rPr>
          <w:bCs/>
          <w:szCs w:val="22"/>
          <w:lang w:val="hr-HR"/>
        </w:rPr>
        <w:t>u obliku imatinibmesilata</w:t>
      </w:r>
      <w:r w:rsidRPr="00510442">
        <w:rPr>
          <w:color w:val="000000"/>
          <w:szCs w:val="22"/>
          <w:lang w:val="hr-HR"/>
        </w:rPr>
        <w:t>).</w:t>
      </w:r>
    </w:p>
    <w:p w14:paraId="649B4C8C" w14:textId="77777777" w:rsidR="003A274D" w:rsidRPr="00510442" w:rsidRDefault="003A274D" w:rsidP="003A274D">
      <w:pPr>
        <w:tabs>
          <w:tab w:val="clear" w:pos="567"/>
        </w:tabs>
        <w:spacing w:line="240" w:lineRule="auto"/>
        <w:rPr>
          <w:color w:val="000000"/>
          <w:szCs w:val="22"/>
          <w:lang w:val="hr-HR"/>
        </w:rPr>
      </w:pPr>
    </w:p>
    <w:p w14:paraId="34D4739F" w14:textId="77777777" w:rsidR="003A274D" w:rsidRPr="00510442" w:rsidRDefault="003A274D" w:rsidP="003A274D">
      <w:pPr>
        <w:tabs>
          <w:tab w:val="clear" w:pos="567"/>
        </w:tabs>
        <w:spacing w:line="240" w:lineRule="auto"/>
        <w:rPr>
          <w:color w:val="000000"/>
          <w:szCs w:val="22"/>
          <w:lang w:val="hr-HR"/>
        </w:rPr>
      </w:pPr>
    </w:p>
    <w:p w14:paraId="55646FA8" w14:textId="77777777" w:rsidR="003A274D" w:rsidRPr="00510442" w:rsidRDefault="003A274D" w:rsidP="003A274D">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hr-HR"/>
        </w:rPr>
      </w:pPr>
      <w:r w:rsidRPr="00510442">
        <w:rPr>
          <w:b/>
          <w:color w:val="000000"/>
          <w:szCs w:val="22"/>
          <w:lang w:val="hr-HR"/>
        </w:rPr>
        <w:t>3.</w:t>
      </w:r>
      <w:r w:rsidRPr="00510442">
        <w:rPr>
          <w:b/>
          <w:color w:val="000000"/>
          <w:szCs w:val="22"/>
          <w:lang w:val="hr-HR"/>
        </w:rPr>
        <w:tab/>
      </w:r>
      <w:r w:rsidRPr="00510442">
        <w:rPr>
          <w:b/>
          <w:szCs w:val="22"/>
          <w:lang w:val="hr-HR"/>
        </w:rPr>
        <w:t>POPIS POMOĆNIH TVARI</w:t>
      </w:r>
    </w:p>
    <w:p w14:paraId="091C5228" w14:textId="77777777" w:rsidR="003A274D" w:rsidRPr="00510442" w:rsidRDefault="003A274D" w:rsidP="003A274D">
      <w:pPr>
        <w:tabs>
          <w:tab w:val="clear" w:pos="567"/>
        </w:tabs>
        <w:spacing w:line="240" w:lineRule="auto"/>
        <w:rPr>
          <w:color w:val="000000"/>
          <w:szCs w:val="22"/>
          <w:lang w:val="hr-HR"/>
        </w:rPr>
      </w:pPr>
    </w:p>
    <w:p w14:paraId="1E887F02" w14:textId="77777777" w:rsidR="003A274D" w:rsidRPr="00510442" w:rsidRDefault="003A274D" w:rsidP="003A274D">
      <w:pPr>
        <w:tabs>
          <w:tab w:val="clear" w:pos="567"/>
        </w:tabs>
        <w:spacing w:line="240" w:lineRule="auto"/>
        <w:rPr>
          <w:color w:val="000000"/>
          <w:szCs w:val="22"/>
          <w:lang w:val="hr-HR"/>
        </w:rPr>
      </w:pPr>
    </w:p>
    <w:p w14:paraId="757D2539" w14:textId="77777777" w:rsidR="003A274D" w:rsidRPr="00510442" w:rsidRDefault="003A274D" w:rsidP="003A274D">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hr-HR"/>
        </w:rPr>
      </w:pPr>
      <w:r w:rsidRPr="00510442">
        <w:rPr>
          <w:b/>
          <w:color w:val="000000"/>
          <w:szCs w:val="22"/>
          <w:lang w:val="hr-HR"/>
        </w:rPr>
        <w:t>4.</w:t>
      </w:r>
      <w:r w:rsidRPr="00510442">
        <w:rPr>
          <w:b/>
          <w:color w:val="000000"/>
          <w:szCs w:val="22"/>
          <w:lang w:val="hr-HR"/>
        </w:rPr>
        <w:tab/>
      </w:r>
      <w:r w:rsidRPr="00510442">
        <w:rPr>
          <w:b/>
          <w:szCs w:val="22"/>
          <w:lang w:val="hr-HR"/>
        </w:rPr>
        <w:t>FARMACEUTSKI OBLIK I SADRŽAJ</w:t>
      </w:r>
    </w:p>
    <w:p w14:paraId="5D09F012" w14:textId="77777777" w:rsidR="003A274D" w:rsidRPr="00510442" w:rsidRDefault="003A274D" w:rsidP="003A274D">
      <w:pPr>
        <w:tabs>
          <w:tab w:val="clear" w:pos="567"/>
        </w:tabs>
        <w:spacing w:line="240" w:lineRule="auto"/>
        <w:rPr>
          <w:color w:val="000000"/>
          <w:szCs w:val="22"/>
          <w:lang w:val="hr-HR"/>
        </w:rPr>
      </w:pPr>
    </w:p>
    <w:p w14:paraId="614BBFD3" w14:textId="77777777" w:rsidR="003A274D" w:rsidRPr="00510442" w:rsidRDefault="003A274D" w:rsidP="00DB028B">
      <w:pPr>
        <w:pStyle w:val="EndnoteText"/>
        <w:widowControl w:val="0"/>
        <w:rPr>
          <w:color w:val="000000"/>
          <w:szCs w:val="22"/>
          <w:lang w:val="hr-HR"/>
        </w:rPr>
      </w:pPr>
      <w:r w:rsidRPr="00510442">
        <w:rPr>
          <w:color w:val="000000"/>
          <w:szCs w:val="22"/>
          <w:lang w:val="hr-HR"/>
        </w:rPr>
        <w:t>10 filmom obloženih tableta</w:t>
      </w:r>
    </w:p>
    <w:p w14:paraId="320AE0F6" w14:textId="77777777" w:rsidR="003A274D" w:rsidRPr="00510442" w:rsidRDefault="003A274D" w:rsidP="00DB028B">
      <w:pPr>
        <w:pStyle w:val="EndnoteText"/>
        <w:widowControl w:val="0"/>
        <w:rPr>
          <w:color w:val="000000"/>
          <w:szCs w:val="22"/>
          <w:shd w:val="clear" w:color="auto" w:fill="D9D9D9"/>
          <w:lang w:val="hr-HR"/>
        </w:rPr>
      </w:pPr>
      <w:r w:rsidRPr="00510442">
        <w:rPr>
          <w:color w:val="000000"/>
          <w:szCs w:val="22"/>
          <w:shd w:val="clear" w:color="auto" w:fill="D9D9D9"/>
          <w:lang w:val="hr-HR"/>
        </w:rPr>
        <w:t>30 filmom obloženih tableta</w:t>
      </w:r>
    </w:p>
    <w:p w14:paraId="66651901" w14:textId="77777777" w:rsidR="003A274D" w:rsidRPr="00510442" w:rsidRDefault="003A274D" w:rsidP="00DB028B">
      <w:pPr>
        <w:pStyle w:val="EndnoteText"/>
        <w:widowControl w:val="0"/>
        <w:rPr>
          <w:color w:val="000000"/>
          <w:szCs w:val="22"/>
          <w:shd w:val="clear" w:color="auto" w:fill="D9D9D9"/>
          <w:lang w:val="hr-HR"/>
        </w:rPr>
      </w:pPr>
      <w:r w:rsidRPr="00510442">
        <w:rPr>
          <w:color w:val="000000"/>
          <w:szCs w:val="22"/>
          <w:shd w:val="clear" w:color="auto" w:fill="D9D9D9"/>
          <w:lang w:val="hr-HR"/>
        </w:rPr>
        <w:t>90 filmom obloženih tableta</w:t>
      </w:r>
    </w:p>
    <w:p w14:paraId="4F7D1AD2" w14:textId="77777777" w:rsidR="003A274D" w:rsidRPr="00510442" w:rsidRDefault="003A274D" w:rsidP="003A274D">
      <w:pPr>
        <w:tabs>
          <w:tab w:val="clear" w:pos="567"/>
        </w:tabs>
        <w:spacing w:line="240" w:lineRule="auto"/>
        <w:rPr>
          <w:color w:val="000000"/>
          <w:szCs w:val="22"/>
          <w:lang w:val="hr-HR"/>
        </w:rPr>
      </w:pPr>
    </w:p>
    <w:p w14:paraId="0D7AD3DE" w14:textId="77777777" w:rsidR="003A274D" w:rsidRPr="00510442" w:rsidRDefault="003A274D" w:rsidP="003A274D">
      <w:pPr>
        <w:tabs>
          <w:tab w:val="clear" w:pos="567"/>
        </w:tabs>
        <w:spacing w:line="240" w:lineRule="auto"/>
        <w:rPr>
          <w:color w:val="000000"/>
          <w:szCs w:val="22"/>
          <w:lang w:val="hr-HR"/>
        </w:rPr>
      </w:pPr>
    </w:p>
    <w:p w14:paraId="3C1E9C81" w14:textId="77777777" w:rsidR="003A274D" w:rsidRPr="00510442" w:rsidRDefault="003A274D" w:rsidP="003A274D">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hr-HR"/>
        </w:rPr>
      </w:pPr>
      <w:r w:rsidRPr="00510442">
        <w:rPr>
          <w:b/>
          <w:color w:val="000000"/>
          <w:szCs w:val="22"/>
          <w:lang w:val="hr-HR"/>
        </w:rPr>
        <w:t>5.</w:t>
      </w:r>
      <w:r w:rsidRPr="00510442">
        <w:rPr>
          <w:b/>
          <w:color w:val="000000"/>
          <w:szCs w:val="22"/>
          <w:lang w:val="hr-HR"/>
        </w:rPr>
        <w:tab/>
      </w:r>
      <w:r w:rsidRPr="00510442">
        <w:rPr>
          <w:b/>
          <w:szCs w:val="22"/>
          <w:lang w:val="hr-HR"/>
        </w:rPr>
        <w:t>NAČIN I PUT(EVI) PRIMJENE LIJEKA</w:t>
      </w:r>
    </w:p>
    <w:p w14:paraId="7D66C4D2" w14:textId="77777777" w:rsidR="003A274D" w:rsidRPr="00510442" w:rsidRDefault="003A274D" w:rsidP="003A274D">
      <w:pPr>
        <w:tabs>
          <w:tab w:val="clear" w:pos="567"/>
        </w:tabs>
        <w:spacing w:line="240" w:lineRule="auto"/>
        <w:rPr>
          <w:color w:val="000000"/>
          <w:szCs w:val="22"/>
          <w:lang w:val="hr-HR"/>
        </w:rPr>
      </w:pPr>
    </w:p>
    <w:p w14:paraId="6A99A2D3" w14:textId="77777777" w:rsidR="003A274D" w:rsidRPr="00510442" w:rsidRDefault="000D0343" w:rsidP="003A274D">
      <w:pPr>
        <w:pStyle w:val="EndnoteText"/>
        <w:widowControl w:val="0"/>
        <w:tabs>
          <w:tab w:val="clear" w:pos="567"/>
        </w:tabs>
        <w:rPr>
          <w:color w:val="000000"/>
          <w:szCs w:val="22"/>
          <w:lang w:val="hr-HR"/>
        </w:rPr>
      </w:pPr>
      <w:r w:rsidRPr="00510442">
        <w:rPr>
          <w:color w:val="000000"/>
          <w:szCs w:val="22"/>
          <w:lang w:val="hr-HR"/>
        </w:rPr>
        <w:t>Primjena k</w:t>
      </w:r>
      <w:r w:rsidR="003A274D" w:rsidRPr="00510442">
        <w:rPr>
          <w:color w:val="000000"/>
          <w:szCs w:val="22"/>
          <w:lang w:val="hr-HR"/>
        </w:rPr>
        <w:t xml:space="preserve">roz usta. </w:t>
      </w:r>
      <w:r w:rsidR="003A274D" w:rsidRPr="00510442">
        <w:rPr>
          <w:szCs w:val="22"/>
          <w:lang w:val="hr-HR"/>
        </w:rPr>
        <w:t xml:space="preserve">Prije uporabe pročitajte </w:t>
      </w:r>
      <w:r w:rsidR="005C43A6" w:rsidRPr="00510442">
        <w:rPr>
          <w:szCs w:val="22"/>
          <w:lang w:val="hr-HR"/>
        </w:rPr>
        <w:t>u</w:t>
      </w:r>
      <w:r w:rsidR="003A274D" w:rsidRPr="00510442">
        <w:rPr>
          <w:szCs w:val="22"/>
          <w:lang w:val="hr-HR"/>
        </w:rPr>
        <w:t>putu o lijeku</w:t>
      </w:r>
      <w:r w:rsidR="003A274D" w:rsidRPr="00510442">
        <w:rPr>
          <w:color w:val="000000"/>
          <w:szCs w:val="22"/>
          <w:lang w:val="hr-HR"/>
        </w:rPr>
        <w:t>.</w:t>
      </w:r>
    </w:p>
    <w:p w14:paraId="23086048" w14:textId="77777777" w:rsidR="003A274D" w:rsidRPr="00510442" w:rsidRDefault="003A274D" w:rsidP="003A274D">
      <w:pPr>
        <w:tabs>
          <w:tab w:val="clear" w:pos="567"/>
        </w:tabs>
        <w:spacing w:line="240" w:lineRule="auto"/>
        <w:rPr>
          <w:color w:val="000000"/>
          <w:szCs w:val="22"/>
          <w:lang w:val="hr-HR"/>
        </w:rPr>
      </w:pPr>
    </w:p>
    <w:p w14:paraId="136265A7" w14:textId="77777777" w:rsidR="003A274D" w:rsidRPr="00510442" w:rsidRDefault="003A274D" w:rsidP="003A274D">
      <w:pPr>
        <w:tabs>
          <w:tab w:val="clear" w:pos="567"/>
        </w:tabs>
        <w:spacing w:line="240" w:lineRule="auto"/>
        <w:rPr>
          <w:color w:val="000000"/>
          <w:szCs w:val="22"/>
          <w:lang w:val="hr-HR"/>
        </w:rPr>
      </w:pPr>
    </w:p>
    <w:p w14:paraId="40E273B0" w14:textId="77777777" w:rsidR="003A274D" w:rsidRPr="00510442" w:rsidRDefault="003A274D" w:rsidP="003A274D">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hr-HR"/>
        </w:rPr>
      </w:pPr>
      <w:r w:rsidRPr="00510442">
        <w:rPr>
          <w:b/>
          <w:color w:val="000000"/>
          <w:szCs w:val="22"/>
          <w:lang w:val="hr-HR"/>
        </w:rPr>
        <w:t>6.</w:t>
      </w:r>
      <w:r w:rsidRPr="00510442">
        <w:rPr>
          <w:b/>
          <w:color w:val="000000"/>
          <w:szCs w:val="22"/>
          <w:lang w:val="hr-HR"/>
        </w:rPr>
        <w:tab/>
      </w:r>
      <w:r w:rsidRPr="00510442">
        <w:rPr>
          <w:b/>
          <w:szCs w:val="22"/>
          <w:lang w:val="hr-HR"/>
        </w:rPr>
        <w:t>POSEBNO UPOZORENJE</w:t>
      </w:r>
      <w:r w:rsidR="007F566C" w:rsidRPr="00510442">
        <w:rPr>
          <w:b/>
          <w:szCs w:val="22"/>
          <w:lang w:val="hr-HR"/>
        </w:rPr>
        <w:t xml:space="preserve"> O ČUVANJU LIJEKA</w:t>
      </w:r>
      <w:r w:rsidRPr="00510442">
        <w:rPr>
          <w:b/>
          <w:szCs w:val="22"/>
          <w:lang w:val="hr-HR"/>
        </w:rPr>
        <w:t xml:space="preserve"> IZVAN POGLEDA I DOHVATA DJECE</w:t>
      </w:r>
    </w:p>
    <w:p w14:paraId="4A7CED5F" w14:textId="77777777" w:rsidR="003A274D" w:rsidRPr="00510442" w:rsidRDefault="003A274D" w:rsidP="003A274D">
      <w:pPr>
        <w:tabs>
          <w:tab w:val="clear" w:pos="567"/>
        </w:tabs>
        <w:spacing w:line="240" w:lineRule="auto"/>
        <w:rPr>
          <w:color w:val="000000"/>
          <w:szCs w:val="22"/>
          <w:lang w:val="hr-HR"/>
        </w:rPr>
      </w:pPr>
    </w:p>
    <w:p w14:paraId="35AB2576" w14:textId="77777777" w:rsidR="003A274D" w:rsidRPr="00510442" w:rsidRDefault="003A274D" w:rsidP="003A274D">
      <w:pPr>
        <w:widowControl w:val="0"/>
        <w:tabs>
          <w:tab w:val="clear" w:pos="567"/>
        </w:tabs>
        <w:spacing w:line="240" w:lineRule="auto"/>
        <w:rPr>
          <w:color w:val="000000"/>
          <w:szCs w:val="22"/>
          <w:lang w:val="hr-HR"/>
        </w:rPr>
      </w:pPr>
      <w:r w:rsidRPr="00510442">
        <w:rPr>
          <w:szCs w:val="22"/>
          <w:lang w:val="hr-HR"/>
        </w:rPr>
        <w:t>Čuvati izvan pogleda i dohvata djece.</w:t>
      </w:r>
    </w:p>
    <w:p w14:paraId="01C8F271" w14:textId="77777777" w:rsidR="003A274D" w:rsidRPr="00510442" w:rsidRDefault="003A274D" w:rsidP="003A274D">
      <w:pPr>
        <w:tabs>
          <w:tab w:val="clear" w:pos="567"/>
        </w:tabs>
        <w:spacing w:line="240" w:lineRule="auto"/>
        <w:rPr>
          <w:color w:val="000000"/>
          <w:szCs w:val="22"/>
          <w:lang w:val="hr-HR"/>
        </w:rPr>
      </w:pPr>
    </w:p>
    <w:p w14:paraId="150992F9" w14:textId="77777777" w:rsidR="003A274D" w:rsidRPr="00510442" w:rsidRDefault="003A274D" w:rsidP="003A274D">
      <w:pPr>
        <w:tabs>
          <w:tab w:val="clear" w:pos="567"/>
        </w:tabs>
        <w:spacing w:line="240" w:lineRule="auto"/>
        <w:rPr>
          <w:color w:val="000000"/>
          <w:szCs w:val="22"/>
          <w:lang w:val="hr-HR"/>
        </w:rPr>
      </w:pPr>
    </w:p>
    <w:p w14:paraId="2B581D99" w14:textId="77777777" w:rsidR="003A274D" w:rsidRPr="00510442" w:rsidRDefault="003A274D" w:rsidP="003A274D">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hr-HR"/>
        </w:rPr>
      </w:pPr>
      <w:r w:rsidRPr="00510442">
        <w:rPr>
          <w:b/>
          <w:color w:val="000000"/>
          <w:szCs w:val="22"/>
          <w:lang w:val="hr-HR"/>
        </w:rPr>
        <w:t>7.</w:t>
      </w:r>
      <w:r w:rsidRPr="00510442">
        <w:rPr>
          <w:b/>
          <w:color w:val="000000"/>
          <w:szCs w:val="22"/>
          <w:lang w:val="hr-HR"/>
        </w:rPr>
        <w:tab/>
      </w:r>
      <w:r w:rsidRPr="00510442">
        <w:rPr>
          <w:b/>
          <w:szCs w:val="22"/>
          <w:lang w:val="hr-HR"/>
        </w:rPr>
        <w:t>DRUGO(A) POSEBNO(A) UPOZORENJE(A), AKO JE POTREBNO</w:t>
      </w:r>
    </w:p>
    <w:p w14:paraId="6E743778" w14:textId="77777777" w:rsidR="003A274D" w:rsidRPr="00510442" w:rsidRDefault="003A274D" w:rsidP="003A274D">
      <w:pPr>
        <w:tabs>
          <w:tab w:val="clear" w:pos="567"/>
        </w:tabs>
        <w:spacing w:line="240" w:lineRule="auto"/>
        <w:rPr>
          <w:color w:val="000000"/>
          <w:szCs w:val="22"/>
          <w:lang w:val="hr-HR"/>
        </w:rPr>
      </w:pPr>
    </w:p>
    <w:p w14:paraId="7B80DBF8" w14:textId="77777777" w:rsidR="003A274D" w:rsidRPr="00510442" w:rsidRDefault="003A274D" w:rsidP="003A274D">
      <w:pPr>
        <w:pStyle w:val="EndnoteText"/>
        <w:widowControl w:val="0"/>
        <w:tabs>
          <w:tab w:val="clear" w:pos="567"/>
        </w:tabs>
        <w:rPr>
          <w:color w:val="000000"/>
          <w:szCs w:val="22"/>
          <w:lang w:val="hr-HR"/>
        </w:rPr>
      </w:pPr>
      <w:r w:rsidRPr="00510442">
        <w:rPr>
          <w:szCs w:val="22"/>
          <w:lang w:val="hr-HR"/>
        </w:rPr>
        <w:t>Primjenjivati isključivo prema uputama liječnika</w:t>
      </w:r>
      <w:r w:rsidRPr="00510442">
        <w:rPr>
          <w:color w:val="000000"/>
          <w:szCs w:val="22"/>
          <w:lang w:val="hr-HR"/>
        </w:rPr>
        <w:t>.</w:t>
      </w:r>
    </w:p>
    <w:p w14:paraId="1983B028" w14:textId="77777777" w:rsidR="003A274D" w:rsidRPr="00510442" w:rsidRDefault="003A274D" w:rsidP="003A274D">
      <w:pPr>
        <w:tabs>
          <w:tab w:val="clear" w:pos="567"/>
        </w:tabs>
        <w:spacing w:line="240" w:lineRule="auto"/>
        <w:rPr>
          <w:color w:val="000000"/>
          <w:szCs w:val="22"/>
          <w:lang w:val="hr-HR"/>
        </w:rPr>
      </w:pPr>
    </w:p>
    <w:p w14:paraId="6C09BA22" w14:textId="77777777" w:rsidR="003A274D" w:rsidRPr="00510442" w:rsidRDefault="003A274D" w:rsidP="003A274D">
      <w:pPr>
        <w:tabs>
          <w:tab w:val="clear" w:pos="567"/>
        </w:tabs>
        <w:spacing w:line="240" w:lineRule="auto"/>
        <w:rPr>
          <w:color w:val="000000"/>
          <w:szCs w:val="22"/>
          <w:lang w:val="hr-HR"/>
        </w:rPr>
      </w:pPr>
    </w:p>
    <w:p w14:paraId="4C368EC1" w14:textId="77777777" w:rsidR="003A274D" w:rsidRPr="00510442" w:rsidRDefault="003A274D" w:rsidP="003A274D">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hr-HR"/>
        </w:rPr>
      </w:pPr>
      <w:r w:rsidRPr="00510442">
        <w:rPr>
          <w:b/>
          <w:color w:val="000000"/>
          <w:szCs w:val="22"/>
          <w:lang w:val="hr-HR"/>
        </w:rPr>
        <w:t>8.</w:t>
      </w:r>
      <w:r w:rsidRPr="00510442">
        <w:rPr>
          <w:b/>
          <w:color w:val="000000"/>
          <w:szCs w:val="22"/>
          <w:lang w:val="hr-HR"/>
        </w:rPr>
        <w:tab/>
      </w:r>
      <w:r w:rsidRPr="00510442">
        <w:rPr>
          <w:b/>
          <w:szCs w:val="22"/>
          <w:lang w:val="hr-HR"/>
        </w:rPr>
        <w:t>ROK VALJANOSTI</w:t>
      </w:r>
    </w:p>
    <w:p w14:paraId="640F6B3C" w14:textId="77777777" w:rsidR="003A274D" w:rsidRPr="00510442" w:rsidRDefault="003A274D" w:rsidP="003A274D">
      <w:pPr>
        <w:tabs>
          <w:tab w:val="clear" w:pos="567"/>
        </w:tabs>
        <w:spacing w:line="240" w:lineRule="auto"/>
        <w:rPr>
          <w:color w:val="000000"/>
          <w:szCs w:val="22"/>
          <w:lang w:val="hr-HR"/>
        </w:rPr>
      </w:pPr>
    </w:p>
    <w:p w14:paraId="3E91D6EE" w14:textId="77777777" w:rsidR="003A274D" w:rsidRPr="00510442" w:rsidRDefault="003A274D" w:rsidP="003A274D">
      <w:pPr>
        <w:pStyle w:val="EndnoteText"/>
        <w:widowControl w:val="0"/>
        <w:tabs>
          <w:tab w:val="clear" w:pos="567"/>
        </w:tabs>
        <w:rPr>
          <w:color w:val="000000"/>
          <w:szCs w:val="22"/>
          <w:lang w:val="hr-HR"/>
        </w:rPr>
      </w:pPr>
      <w:r w:rsidRPr="00510442">
        <w:rPr>
          <w:szCs w:val="22"/>
          <w:lang w:val="hr-HR"/>
        </w:rPr>
        <w:t>Rok valjanosti</w:t>
      </w:r>
    </w:p>
    <w:p w14:paraId="7BEF4525" w14:textId="77777777" w:rsidR="003A274D" w:rsidRPr="00510442" w:rsidRDefault="003A274D" w:rsidP="003A274D">
      <w:pPr>
        <w:tabs>
          <w:tab w:val="clear" w:pos="567"/>
        </w:tabs>
        <w:spacing w:line="240" w:lineRule="auto"/>
        <w:rPr>
          <w:color w:val="000000"/>
          <w:szCs w:val="22"/>
          <w:lang w:val="hr-HR"/>
        </w:rPr>
      </w:pPr>
    </w:p>
    <w:p w14:paraId="253C90BB" w14:textId="77777777" w:rsidR="003A274D" w:rsidRPr="00510442" w:rsidRDefault="003A274D" w:rsidP="003A274D">
      <w:pPr>
        <w:tabs>
          <w:tab w:val="clear" w:pos="567"/>
        </w:tabs>
        <w:spacing w:line="240" w:lineRule="auto"/>
        <w:rPr>
          <w:color w:val="000000"/>
          <w:szCs w:val="22"/>
          <w:lang w:val="hr-HR"/>
        </w:rPr>
      </w:pPr>
    </w:p>
    <w:p w14:paraId="1F892C2E" w14:textId="77777777" w:rsidR="003A274D" w:rsidRPr="00510442" w:rsidRDefault="003A274D" w:rsidP="003A274D">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color w:val="000000"/>
          <w:szCs w:val="22"/>
          <w:lang w:val="hr-HR"/>
        </w:rPr>
      </w:pPr>
      <w:r w:rsidRPr="00510442">
        <w:rPr>
          <w:b/>
          <w:color w:val="000000"/>
          <w:szCs w:val="22"/>
          <w:lang w:val="hr-HR"/>
        </w:rPr>
        <w:t>9.</w:t>
      </w:r>
      <w:r w:rsidRPr="00510442">
        <w:rPr>
          <w:b/>
          <w:color w:val="000000"/>
          <w:szCs w:val="22"/>
          <w:lang w:val="hr-HR"/>
        </w:rPr>
        <w:tab/>
      </w:r>
      <w:r w:rsidRPr="00510442">
        <w:rPr>
          <w:b/>
          <w:szCs w:val="22"/>
          <w:lang w:val="hr-HR"/>
        </w:rPr>
        <w:t>POSEBNE MJERE ČUVANJA</w:t>
      </w:r>
    </w:p>
    <w:p w14:paraId="6C7096CF" w14:textId="77777777" w:rsidR="003A274D" w:rsidRPr="00510442" w:rsidRDefault="003A274D" w:rsidP="003A274D">
      <w:pPr>
        <w:tabs>
          <w:tab w:val="clear" w:pos="567"/>
        </w:tabs>
        <w:spacing w:line="240" w:lineRule="auto"/>
        <w:rPr>
          <w:color w:val="000000"/>
          <w:szCs w:val="22"/>
          <w:lang w:val="hr-HR"/>
        </w:rPr>
      </w:pPr>
    </w:p>
    <w:p w14:paraId="36566295" w14:textId="77777777" w:rsidR="003A274D" w:rsidRPr="000B51EB" w:rsidRDefault="003A274D" w:rsidP="003A274D">
      <w:pPr>
        <w:pStyle w:val="Text"/>
        <w:widowControl w:val="0"/>
        <w:spacing w:before="0"/>
        <w:jc w:val="left"/>
        <w:rPr>
          <w:color w:val="000000"/>
          <w:sz w:val="22"/>
          <w:szCs w:val="22"/>
          <w:lang w:val="hr-HR"/>
        </w:rPr>
      </w:pPr>
      <w:r w:rsidRPr="00510442">
        <w:rPr>
          <w:sz w:val="22"/>
          <w:szCs w:val="22"/>
          <w:lang w:val="hr-HR"/>
        </w:rPr>
        <w:t xml:space="preserve">Ne čuvati na temperaturi iznad </w:t>
      </w:r>
      <w:r w:rsidRPr="00510442">
        <w:rPr>
          <w:color w:val="000000"/>
          <w:sz w:val="22"/>
          <w:szCs w:val="22"/>
          <w:lang w:val="hr-HR"/>
        </w:rPr>
        <w:t>30</w:t>
      </w:r>
      <w:r w:rsidRPr="00307897">
        <w:rPr>
          <w:color w:val="000000"/>
          <w:sz w:val="22"/>
          <w:szCs w:val="22"/>
          <w:lang w:val="hr-HR"/>
        </w:rPr>
        <w:sym w:font="Symbol" w:char="F0B0"/>
      </w:r>
      <w:r w:rsidRPr="00307897">
        <w:rPr>
          <w:color w:val="000000"/>
          <w:sz w:val="22"/>
          <w:szCs w:val="22"/>
          <w:lang w:val="hr-HR"/>
        </w:rPr>
        <w:t xml:space="preserve">C. </w:t>
      </w:r>
      <w:r w:rsidRPr="00307897">
        <w:rPr>
          <w:sz w:val="22"/>
          <w:szCs w:val="22"/>
          <w:lang w:val="hr-HR"/>
        </w:rPr>
        <w:t>Čuvati u originalnom pak</w:t>
      </w:r>
      <w:r w:rsidR="00436200" w:rsidRPr="00A00164">
        <w:rPr>
          <w:sz w:val="22"/>
          <w:szCs w:val="22"/>
          <w:lang w:val="hr-HR"/>
        </w:rPr>
        <w:t>ir</w:t>
      </w:r>
      <w:r w:rsidRPr="00973BDD">
        <w:rPr>
          <w:sz w:val="22"/>
          <w:szCs w:val="22"/>
          <w:lang w:val="hr-HR"/>
        </w:rPr>
        <w:t>anju radi zaštite od vlage</w:t>
      </w:r>
      <w:r w:rsidRPr="000B51EB">
        <w:rPr>
          <w:color w:val="000000"/>
          <w:sz w:val="22"/>
          <w:szCs w:val="22"/>
          <w:lang w:val="hr-HR"/>
        </w:rPr>
        <w:t>.</w:t>
      </w:r>
    </w:p>
    <w:p w14:paraId="2B10D0D0" w14:textId="77777777" w:rsidR="003A274D" w:rsidRPr="00510442" w:rsidRDefault="003A274D" w:rsidP="003A274D">
      <w:pPr>
        <w:tabs>
          <w:tab w:val="clear" w:pos="567"/>
        </w:tabs>
        <w:spacing w:line="240" w:lineRule="auto"/>
        <w:rPr>
          <w:color w:val="000000"/>
          <w:szCs w:val="22"/>
          <w:lang w:val="hr-HR"/>
        </w:rPr>
      </w:pPr>
    </w:p>
    <w:p w14:paraId="3F277781" w14:textId="77777777" w:rsidR="003A274D" w:rsidRPr="00510442" w:rsidRDefault="003A274D" w:rsidP="003A274D">
      <w:pPr>
        <w:tabs>
          <w:tab w:val="clear" w:pos="567"/>
        </w:tabs>
        <w:spacing w:line="240" w:lineRule="auto"/>
        <w:rPr>
          <w:color w:val="000000"/>
          <w:szCs w:val="22"/>
          <w:lang w:val="hr-HR"/>
        </w:rPr>
      </w:pPr>
    </w:p>
    <w:p w14:paraId="682075B0" w14:textId="77777777" w:rsidR="003A274D" w:rsidRPr="00510442" w:rsidRDefault="003A274D" w:rsidP="003A274D">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hr-HR"/>
        </w:rPr>
      </w:pPr>
      <w:r w:rsidRPr="00510442">
        <w:rPr>
          <w:b/>
          <w:color w:val="000000"/>
          <w:szCs w:val="22"/>
          <w:lang w:val="hr-HR"/>
        </w:rPr>
        <w:lastRenderedPageBreak/>
        <w:t>10.</w:t>
      </w:r>
      <w:r w:rsidRPr="00510442">
        <w:rPr>
          <w:b/>
          <w:color w:val="000000"/>
          <w:szCs w:val="22"/>
          <w:lang w:val="hr-HR"/>
        </w:rPr>
        <w:tab/>
      </w:r>
      <w:r w:rsidRPr="00510442">
        <w:rPr>
          <w:b/>
          <w:caps/>
          <w:szCs w:val="22"/>
          <w:lang w:val="hr-HR"/>
        </w:rPr>
        <w:t xml:space="preserve">posebne mjere za zbrinjavanje neiskorištenog lijeka ili OTPADNIH MATERIJALA KOJI POTJEČU OD lijeka, </w:t>
      </w:r>
      <w:r w:rsidR="007F566C" w:rsidRPr="00510442">
        <w:rPr>
          <w:b/>
          <w:caps/>
          <w:szCs w:val="22"/>
          <w:lang w:val="hr-HR"/>
        </w:rPr>
        <w:t xml:space="preserve">AKO </w:t>
      </w:r>
      <w:r w:rsidRPr="00510442">
        <w:rPr>
          <w:b/>
          <w:caps/>
          <w:szCs w:val="22"/>
          <w:lang w:val="hr-HR"/>
        </w:rPr>
        <w:t>je potrebno</w:t>
      </w:r>
    </w:p>
    <w:p w14:paraId="404FDB5F" w14:textId="77777777" w:rsidR="003A274D" w:rsidRPr="00510442" w:rsidRDefault="003A274D" w:rsidP="003A274D">
      <w:pPr>
        <w:tabs>
          <w:tab w:val="clear" w:pos="567"/>
        </w:tabs>
        <w:spacing w:line="240" w:lineRule="auto"/>
        <w:rPr>
          <w:color w:val="000000"/>
          <w:szCs w:val="22"/>
          <w:lang w:val="hr-HR"/>
        </w:rPr>
      </w:pPr>
    </w:p>
    <w:p w14:paraId="529F9DB5" w14:textId="77777777" w:rsidR="003A274D" w:rsidRPr="00510442" w:rsidRDefault="003A274D" w:rsidP="003A274D">
      <w:pPr>
        <w:tabs>
          <w:tab w:val="clear" w:pos="567"/>
        </w:tabs>
        <w:spacing w:line="240" w:lineRule="auto"/>
        <w:rPr>
          <w:color w:val="000000"/>
          <w:szCs w:val="22"/>
          <w:lang w:val="hr-HR"/>
        </w:rPr>
      </w:pPr>
    </w:p>
    <w:p w14:paraId="50720C8F" w14:textId="77777777" w:rsidR="003A274D" w:rsidRPr="00510442" w:rsidRDefault="003A274D" w:rsidP="003A274D">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hr-HR"/>
        </w:rPr>
      </w:pPr>
      <w:r w:rsidRPr="00510442">
        <w:rPr>
          <w:b/>
          <w:color w:val="000000"/>
          <w:szCs w:val="22"/>
          <w:lang w:val="hr-HR"/>
        </w:rPr>
        <w:t>11.</w:t>
      </w:r>
      <w:r w:rsidRPr="00510442">
        <w:rPr>
          <w:b/>
          <w:color w:val="000000"/>
          <w:szCs w:val="22"/>
          <w:lang w:val="hr-HR"/>
        </w:rPr>
        <w:tab/>
      </w:r>
      <w:r w:rsidR="005C43A6" w:rsidRPr="00510442">
        <w:rPr>
          <w:b/>
          <w:caps/>
          <w:szCs w:val="22"/>
          <w:lang w:val="hr-HR"/>
        </w:rPr>
        <w:t xml:space="preserve">NAZIV </w:t>
      </w:r>
      <w:r w:rsidRPr="00510442">
        <w:rPr>
          <w:b/>
          <w:caps/>
          <w:szCs w:val="22"/>
          <w:lang w:val="hr-HR"/>
        </w:rPr>
        <w:t>i adresa nositelja odobrenja za stavljanje lijeka u promet</w:t>
      </w:r>
    </w:p>
    <w:p w14:paraId="4258A1B1" w14:textId="77777777" w:rsidR="003A274D" w:rsidRPr="00510442" w:rsidRDefault="003A274D" w:rsidP="003A274D">
      <w:pPr>
        <w:tabs>
          <w:tab w:val="clear" w:pos="567"/>
        </w:tabs>
        <w:spacing w:line="240" w:lineRule="auto"/>
        <w:rPr>
          <w:color w:val="000000"/>
          <w:szCs w:val="22"/>
          <w:lang w:val="hr-HR"/>
        </w:rPr>
      </w:pPr>
    </w:p>
    <w:p w14:paraId="5D3FD1AD" w14:textId="77777777" w:rsidR="003A274D" w:rsidRPr="00510442" w:rsidRDefault="003A274D" w:rsidP="003A274D">
      <w:pPr>
        <w:pStyle w:val="EndnoteText"/>
        <w:widowControl w:val="0"/>
        <w:tabs>
          <w:tab w:val="clear" w:pos="567"/>
        </w:tabs>
        <w:rPr>
          <w:color w:val="000000"/>
          <w:szCs w:val="22"/>
          <w:lang w:val="hr-HR"/>
        </w:rPr>
      </w:pPr>
      <w:r w:rsidRPr="00510442">
        <w:rPr>
          <w:color w:val="000000"/>
          <w:szCs w:val="22"/>
          <w:lang w:val="hr-HR"/>
        </w:rPr>
        <w:t>Novartis Europharm Limited</w:t>
      </w:r>
    </w:p>
    <w:p w14:paraId="745BB389" w14:textId="77777777" w:rsidR="00E24CAD" w:rsidRPr="00510442" w:rsidRDefault="00E24CAD" w:rsidP="00E24CAD">
      <w:pPr>
        <w:keepNext/>
        <w:widowControl w:val="0"/>
        <w:spacing w:line="240" w:lineRule="auto"/>
        <w:rPr>
          <w:color w:val="000000"/>
          <w:lang w:val="hr-HR"/>
        </w:rPr>
      </w:pPr>
      <w:r w:rsidRPr="00510442">
        <w:rPr>
          <w:color w:val="000000"/>
          <w:lang w:val="hr-HR"/>
        </w:rPr>
        <w:t>Vista Building</w:t>
      </w:r>
    </w:p>
    <w:p w14:paraId="7D0378DD" w14:textId="77777777" w:rsidR="00E24CAD" w:rsidRPr="00510442" w:rsidRDefault="00E24CAD" w:rsidP="00E24CAD">
      <w:pPr>
        <w:keepNext/>
        <w:widowControl w:val="0"/>
        <w:spacing w:line="240" w:lineRule="auto"/>
        <w:rPr>
          <w:color w:val="000000"/>
          <w:lang w:val="hr-HR"/>
        </w:rPr>
      </w:pPr>
      <w:r w:rsidRPr="00510442">
        <w:rPr>
          <w:color w:val="000000"/>
          <w:lang w:val="hr-HR"/>
        </w:rPr>
        <w:t>Elm Park, Merrion Road</w:t>
      </w:r>
    </w:p>
    <w:p w14:paraId="0940BE49" w14:textId="77777777" w:rsidR="00E24CAD" w:rsidRPr="00510442" w:rsidRDefault="00E24CAD" w:rsidP="00E24CAD">
      <w:pPr>
        <w:keepNext/>
        <w:widowControl w:val="0"/>
        <w:spacing w:line="240" w:lineRule="auto"/>
        <w:rPr>
          <w:color w:val="000000"/>
          <w:lang w:val="hr-HR"/>
        </w:rPr>
      </w:pPr>
      <w:r w:rsidRPr="00510442">
        <w:rPr>
          <w:color w:val="000000"/>
          <w:lang w:val="hr-HR"/>
        </w:rPr>
        <w:t>Dublin 4</w:t>
      </w:r>
    </w:p>
    <w:p w14:paraId="13D09DB6" w14:textId="77777777" w:rsidR="003A274D" w:rsidRPr="00307897" w:rsidRDefault="00E24CAD" w:rsidP="003A274D">
      <w:pPr>
        <w:widowControl w:val="0"/>
        <w:spacing w:line="240" w:lineRule="auto"/>
        <w:rPr>
          <w:color w:val="000000"/>
          <w:szCs w:val="22"/>
          <w:lang w:val="hr-HR"/>
        </w:rPr>
      </w:pPr>
      <w:r w:rsidRPr="00510442">
        <w:rPr>
          <w:color w:val="000000"/>
          <w:lang w:val="hr-HR"/>
        </w:rPr>
        <w:t>Irska</w:t>
      </w:r>
    </w:p>
    <w:p w14:paraId="453F0285" w14:textId="77777777" w:rsidR="003A274D" w:rsidRPr="00307897" w:rsidRDefault="003A274D" w:rsidP="003A274D">
      <w:pPr>
        <w:tabs>
          <w:tab w:val="clear" w:pos="567"/>
        </w:tabs>
        <w:spacing w:line="240" w:lineRule="auto"/>
        <w:rPr>
          <w:color w:val="000000"/>
          <w:szCs w:val="22"/>
          <w:lang w:val="hr-HR"/>
        </w:rPr>
      </w:pPr>
    </w:p>
    <w:p w14:paraId="1D507306" w14:textId="77777777" w:rsidR="003A274D" w:rsidRPr="00A00164" w:rsidRDefault="003A274D" w:rsidP="003A274D">
      <w:pPr>
        <w:tabs>
          <w:tab w:val="clear" w:pos="567"/>
        </w:tabs>
        <w:spacing w:line="240" w:lineRule="auto"/>
        <w:rPr>
          <w:color w:val="000000"/>
          <w:szCs w:val="22"/>
          <w:lang w:val="hr-HR"/>
        </w:rPr>
      </w:pPr>
    </w:p>
    <w:p w14:paraId="32596454" w14:textId="77777777" w:rsidR="003A274D" w:rsidRPr="00510442" w:rsidRDefault="003A274D" w:rsidP="003A274D">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hr-HR"/>
        </w:rPr>
      </w:pPr>
      <w:r w:rsidRPr="00973BDD">
        <w:rPr>
          <w:b/>
          <w:color w:val="000000"/>
          <w:szCs w:val="22"/>
          <w:lang w:val="hr-HR"/>
        </w:rPr>
        <w:t>12.</w:t>
      </w:r>
      <w:r w:rsidRPr="00973BDD">
        <w:rPr>
          <w:b/>
          <w:color w:val="000000"/>
          <w:szCs w:val="22"/>
          <w:lang w:val="hr-HR"/>
        </w:rPr>
        <w:tab/>
      </w:r>
      <w:r w:rsidRPr="000B51EB">
        <w:rPr>
          <w:b/>
          <w:caps/>
          <w:szCs w:val="22"/>
          <w:lang w:val="hr-HR"/>
        </w:rPr>
        <w:t xml:space="preserve">BROJ(EVI) odobrenjA za </w:t>
      </w:r>
      <w:r w:rsidRPr="00510442">
        <w:rPr>
          <w:b/>
          <w:caps/>
          <w:szCs w:val="22"/>
          <w:lang w:val="hr-HR"/>
        </w:rPr>
        <w:t>stavljanje lijeka u promet</w:t>
      </w:r>
    </w:p>
    <w:p w14:paraId="2A6AB85E" w14:textId="77777777" w:rsidR="003A274D" w:rsidRPr="00510442" w:rsidRDefault="003A274D" w:rsidP="003A274D">
      <w:pPr>
        <w:tabs>
          <w:tab w:val="clear" w:pos="567"/>
        </w:tabs>
        <w:spacing w:line="240" w:lineRule="auto"/>
        <w:rPr>
          <w:color w:val="000000"/>
          <w:szCs w:val="22"/>
          <w:lang w:val="hr-HR"/>
        </w:rPr>
      </w:pPr>
    </w:p>
    <w:p w14:paraId="5B2FBD6C" w14:textId="77777777" w:rsidR="003A274D" w:rsidRPr="00510442" w:rsidRDefault="003A274D" w:rsidP="00DB028B">
      <w:pPr>
        <w:pStyle w:val="EndnoteText"/>
        <w:widowControl w:val="0"/>
        <w:tabs>
          <w:tab w:val="clear" w:pos="567"/>
          <w:tab w:val="left" w:pos="2268"/>
        </w:tabs>
        <w:rPr>
          <w:color w:val="000000"/>
          <w:szCs w:val="22"/>
          <w:shd w:val="clear" w:color="auto" w:fill="D9D9D9"/>
          <w:lang w:val="hr-HR"/>
        </w:rPr>
      </w:pPr>
      <w:r w:rsidRPr="00510442">
        <w:rPr>
          <w:color w:val="000000"/>
          <w:szCs w:val="22"/>
          <w:lang w:val="hr-HR"/>
        </w:rPr>
        <w:t>EU/1/01/198/009</w:t>
      </w:r>
      <w:r w:rsidRPr="00510442">
        <w:rPr>
          <w:color w:val="000000"/>
          <w:szCs w:val="22"/>
          <w:lang w:val="hr-HR"/>
        </w:rPr>
        <w:tab/>
      </w:r>
      <w:r w:rsidRPr="00510442">
        <w:rPr>
          <w:color w:val="000000"/>
          <w:szCs w:val="22"/>
          <w:shd w:val="clear" w:color="auto" w:fill="D9D9D9"/>
          <w:lang w:val="hr-HR"/>
        </w:rPr>
        <w:t>10 tableta</w:t>
      </w:r>
    </w:p>
    <w:p w14:paraId="5182B8D1" w14:textId="77777777" w:rsidR="003A274D" w:rsidRPr="00510442" w:rsidRDefault="003A274D" w:rsidP="00DB028B">
      <w:pPr>
        <w:pStyle w:val="EndnoteText"/>
        <w:widowControl w:val="0"/>
        <w:tabs>
          <w:tab w:val="clear" w:pos="567"/>
          <w:tab w:val="left" w:pos="2268"/>
        </w:tabs>
        <w:rPr>
          <w:color w:val="000000"/>
          <w:szCs w:val="22"/>
          <w:shd w:val="clear" w:color="auto" w:fill="D9D9D9"/>
          <w:lang w:val="hr-HR"/>
        </w:rPr>
      </w:pPr>
      <w:r w:rsidRPr="00510442">
        <w:rPr>
          <w:color w:val="000000"/>
          <w:szCs w:val="22"/>
          <w:shd w:val="clear" w:color="auto" w:fill="D9D9D9"/>
          <w:lang w:val="hr-HR"/>
        </w:rPr>
        <w:t>EU/1/01/198/010</w:t>
      </w:r>
      <w:r w:rsidRPr="00510442">
        <w:rPr>
          <w:color w:val="000000"/>
          <w:szCs w:val="22"/>
          <w:shd w:val="clear" w:color="auto" w:fill="D9D9D9"/>
          <w:lang w:val="hr-HR"/>
        </w:rPr>
        <w:tab/>
        <w:t>30 tableta</w:t>
      </w:r>
    </w:p>
    <w:p w14:paraId="1EF908F0" w14:textId="77777777" w:rsidR="003A274D" w:rsidRPr="00510442" w:rsidRDefault="003A274D" w:rsidP="00DB028B">
      <w:pPr>
        <w:pStyle w:val="EndnoteText"/>
        <w:widowControl w:val="0"/>
        <w:tabs>
          <w:tab w:val="clear" w:pos="567"/>
          <w:tab w:val="left" w:pos="2268"/>
        </w:tabs>
        <w:rPr>
          <w:color w:val="000000"/>
          <w:szCs w:val="22"/>
          <w:shd w:val="clear" w:color="auto" w:fill="D9D9D9"/>
          <w:lang w:val="hr-HR"/>
        </w:rPr>
      </w:pPr>
      <w:r w:rsidRPr="00510442">
        <w:rPr>
          <w:color w:val="000000"/>
          <w:szCs w:val="22"/>
          <w:shd w:val="clear" w:color="auto" w:fill="D9D9D9"/>
          <w:lang w:val="hr-HR"/>
        </w:rPr>
        <w:t>EU/1/01/198/013</w:t>
      </w:r>
      <w:r w:rsidRPr="00510442">
        <w:rPr>
          <w:color w:val="000000"/>
          <w:szCs w:val="22"/>
          <w:shd w:val="clear" w:color="auto" w:fill="D9D9D9"/>
          <w:lang w:val="hr-HR"/>
        </w:rPr>
        <w:tab/>
        <w:t>90 tableta</w:t>
      </w:r>
    </w:p>
    <w:p w14:paraId="52D89EF3" w14:textId="77777777" w:rsidR="003A274D" w:rsidRPr="00510442" w:rsidRDefault="003A274D" w:rsidP="003A274D">
      <w:pPr>
        <w:tabs>
          <w:tab w:val="clear" w:pos="567"/>
        </w:tabs>
        <w:spacing w:line="240" w:lineRule="auto"/>
        <w:rPr>
          <w:color w:val="000000"/>
          <w:szCs w:val="22"/>
          <w:lang w:val="hr-HR"/>
        </w:rPr>
      </w:pPr>
    </w:p>
    <w:p w14:paraId="5B56C038" w14:textId="77777777" w:rsidR="003A274D" w:rsidRPr="00510442" w:rsidRDefault="003A274D" w:rsidP="003A274D">
      <w:pPr>
        <w:tabs>
          <w:tab w:val="clear" w:pos="567"/>
        </w:tabs>
        <w:spacing w:line="240" w:lineRule="auto"/>
        <w:rPr>
          <w:color w:val="000000"/>
          <w:szCs w:val="22"/>
          <w:lang w:val="hr-HR"/>
        </w:rPr>
      </w:pPr>
    </w:p>
    <w:p w14:paraId="2A190C6C" w14:textId="77777777" w:rsidR="003A274D" w:rsidRPr="00510442" w:rsidRDefault="003A274D" w:rsidP="003A274D">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hr-HR"/>
        </w:rPr>
      </w:pPr>
      <w:r w:rsidRPr="00510442">
        <w:rPr>
          <w:b/>
          <w:color w:val="000000"/>
          <w:szCs w:val="22"/>
          <w:lang w:val="hr-HR"/>
        </w:rPr>
        <w:t>13.</w:t>
      </w:r>
      <w:r w:rsidRPr="00510442">
        <w:rPr>
          <w:b/>
          <w:color w:val="000000"/>
          <w:szCs w:val="22"/>
          <w:lang w:val="hr-HR"/>
        </w:rPr>
        <w:tab/>
      </w:r>
      <w:r w:rsidRPr="00510442">
        <w:rPr>
          <w:b/>
          <w:caps/>
          <w:szCs w:val="22"/>
          <w:lang w:val="hr-HR"/>
        </w:rPr>
        <w:t>broj serije</w:t>
      </w:r>
    </w:p>
    <w:p w14:paraId="1DFE4A2D" w14:textId="77777777" w:rsidR="003A274D" w:rsidRPr="00510442" w:rsidRDefault="003A274D" w:rsidP="003A274D">
      <w:pPr>
        <w:tabs>
          <w:tab w:val="clear" w:pos="567"/>
        </w:tabs>
        <w:spacing w:line="240" w:lineRule="auto"/>
        <w:rPr>
          <w:color w:val="000000"/>
          <w:szCs w:val="22"/>
          <w:lang w:val="hr-HR"/>
        </w:rPr>
      </w:pPr>
    </w:p>
    <w:p w14:paraId="3F706A01" w14:textId="77777777" w:rsidR="003A274D" w:rsidRPr="00510442" w:rsidRDefault="003A274D" w:rsidP="003A274D">
      <w:pPr>
        <w:widowControl w:val="0"/>
        <w:tabs>
          <w:tab w:val="clear" w:pos="567"/>
        </w:tabs>
        <w:spacing w:line="240" w:lineRule="auto"/>
        <w:rPr>
          <w:color w:val="000000"/>
          <w:szCs w:val="22"/>
          <w:lang w:val="hr-HR"/>
        </w:rPr>
      </w:pPr>
      <w:r w:rsidRPr="00510442">
        <w:rPr>
          <w:color w:val="000000"/>
          <w:szCs w:val="22"/>
          <w:lang w:val="hr-HR"/>
        </w:rPr>
        <w:t>Serija</w:t>
      </w:r>
    </w:p>
    <w:p w14:paraId="569F710B" w14:textId="77777777" w:rsidR="003A274D" w:rsidRPr="00510442" w:rsidRDefault="003A274D" w:rsidP="003A274D">
      <w:pPr>
        <w:tabs>
          <w:tab w:val="clear" w:pos="567"/>
        </w:tabs>
        <w:spacing w:line="240" w:lineRule="auto"/>
        <w:rPr>
          <w:color w:val="000000"/>
          <w:szCs w:val="22"/>
          <w:lang w:val="hr-HR"/>
        </w:rPr>
      </w:pPr>
    </w:p>
    <w:p w14:paraId="3DC0942E" w14:textId="77777777" w:rsidR="003A274D" w:rsidRPr="00510442" w:rsidRDefault="003A274D" w:rsidP="003A274D">
      <w:pPr>
        <w:tabs>
          <w:tab w:val="clear" w:pos="567"/>
        </w:tabs>
        <w:spacing w:line="240" w:lineRule="auto"/>
        <w:rPr>
          <w:color w:val="000000"/>
          <w:szCs w:val="22"/>
          <w:lang w:val="hr-HR"/>
        </w:rPr>
      </w:pPr>
    </w:p>
    <w:p w14:paraId="200172BE" w14:textId="77777777" w:rsidR="003A274D" w:rsidRPr="00510442" w:rsidRDefault="003A274D" w:rsidP="003A274D">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hr-HR"/>
        </w:rPr>
      </w:pPr>
      <w:r w:rsidRPr="00510442">
        <w:rPr>
          <w:b/>
          <w:color w:val="000000"/>
          <w:szCs w:val="22"/>
          <w:lang w:val="hr-HR"/>
        </w:rPr>
        <w:t>14.</w:t>
      </w:r>
      <w:r w:rsidRPr="00510442">
        <w:rPr>
          <w:b/>
          <w:color w:val="000000"/>
          <w:szCs w:val="22"/>
          <w:lang w:val="hr-HR"/>
        </w:rPr>
        <w:tab/>
      </w:r>
      <w:r w:rsidRPr="00510442">
        <w:rPr>
          <w:b/>
          <w:szCs w:val="22"/>
          <w:lang w:val="hr-HR"/>
        </w:rPr>
        <w:t xml:space="preserve">NAČIN </w:t>
      </w:r>
      <w:r w:rsidR="007F566C" w:rsidRPr="00510442">
        <w:rPr>
          <w:b/>
          <w:szCs w:val="22"/>
          <w:lang w:val="hr-HR"/>
        </w:rPr>
        <w:t xml:space="preserve">IZDAVANJA </w:t>
      </w:r>
      <w:r w:rsidRPr="00510442">
        <w:rPr>
          <w:b/>
          <w:szCs w:val="22"/>
          <w:lang w:val="hr-HR"/>
        </w:rPr>
        <w:t>LIJEKA</w:t>
      </w:r>
    </w:p>
    <w:p w14:paraId="729BA82E" w14:textId="77777777" w:rsidR="003A274D" w:rsidRPr="00510442" w:rsidRDefault="003A274D" w:rsidP="003A274D">
      <w:pPr>
        <w:tabs>
          <w:tab w:val="clear" w:pos="567"/>
        </w:tabs>
        <w:spacing w:line="240" w:lineRule="auto"/>
        <w:rPr>
          <w:color w:val="000000"/>
          <w:szCs w:val="22"/>
          <w:lang w:val="hr-HR"/>
        </w:rPr>
      </w:pPr>
    </w:p>
    <w:p w14:paraId="588FDFA6" w14:textId="77777777" w:rsidR="003A274D" w:rsidRPr="00510442" w:rsidRDefault="003A274D" w:rsidP="003A274D">
      <w:pPr>
        <w:tabs>
          <w:tab w:val="clear" w:pos="567"/>
        </w:tabs>
        <w:spacing w:line="240" w:lineRule="auto"/>
        <w:rPr>
          <w:color w:val="000000"/>
          <w:szCs w:val="22"/>
          <w:lang w:val="hr-HR"/>
        </w:rPr>
      </w:pPr>
    </w:p>
    <w:p w14:paraId="2283D5B9" w14:textId="77777777" w:rsidR="003A274D" w:rsidRPr="00510442" w:rsidRDefault="003A274D" w:rsidP="003A274D">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hr-HR"/>
        </w:rPr>
      </w:pPr>
      <w:r w:rsidRPr="00510442">
        <w:rPr>
          <w:b/>
          <w:color w:val="000000"/>
          <w:szCs w:val="22"/>
          <w:lang w:val="hr-HR"/>
        </w:rPr>
        <w:t>15.</w:t>
      </w:r>
      <w:r w:rsidRPr="00510442">
        <w:rPr>
          <w:b/>
          <w:color w:val="000000"/>
          <w:szCs w:val="22"/>
          <w:lang w:val="hr-HR"/>
        </w:rPr>
        <w:tab/>
      </w:r>
      <w:r w:rsidRPr="00510442">
        <w:rPr>
          <w:b/>
          <w:szCs w:val="22"/>
          <w:lang w:val="hr-HR"/>
        </w:rPr>
        <w:t>UPUTE ZA UPORABU</w:t>
      </w:r>
    </w:p>
    <w:p w14:paraId="36AADBB2" w14:textId="77777777" w:rsidR="003A274D" w:rsidRPr="00510442" w:rsidRDefault="003A274D" w:rsidP="003A274D">
      <w:pPr>
        <w:tabs>
          <w:tab w:val="clear" w:pos="567"/>
        </w:tabs>
        <w:spacing w:line="240" w:lineRule="auto"/>
        <w:rPr>
          <w:color w:val="000000"/>
          <w:szCs w:val="22"/>
          <w:lang w:val="hr-HR"/>
        </w:rPr>
      </w:pPr>
    </w:p>
    <w:p w14:paraId="53BB0C10" w14:textId="77777777" w:rsidR="003A274D" w:rsidRPr="00510442" w:rsidRDefault="003A274D" w:rsidP="003A274D">
      <w:pPr>
        <w:tabs>
          <w:tab w:val="clear" w:pos="567"/>
        </w:tabs>
        <w:spacing w:line="240" w:lineRule="auto"/>
        <w:rPr>
          <w:color w:val="000000"/>
          <w:szCs w:val="22"/>
          <w:lang w:val="hr-HR"/>
        </w:rPr>
      </w:pPr>
    </w:p>
    <w:p w14:paraId="49CA97D4" w14:textId="77777777" w:rsidR="003A274D" w:rsidRPr="00510442" w:rsidRDefault="003A274D" w:rsidP="003A274D">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hr-HR"/>
        </w:rPr>
      </w:pPr>
      <w:r w:rsidRPr="00510442">
        <w:rPr>
          <w:b/>
          <w:color w:val="000000"/>
          <w:szCs w:val="22"/>
          <w:lang w:val="hr-HR"/>
        </w:rPr>
        <w:t>16.</w:t>
      </w:r>
      <w:r w:rsidRPr="00510442">
        <w:rPr>
          <w:b/>
          <w:color w:val="000000"/>
          <w:szCs w:val="22"/>
          <w:lang w:val="hr-HR"/>
        </w:rPr>
        <w:tab/>
      </w:r>
      <w:r w:rsidRPr="00510442">
        <w:rPr>
          <w:b/>
          <w:szCs w:val="22"/>
          <w:lang w:val="hr-HR"/>
        </w:rPr>
        <w:t>PODACI NA BRAILLEOVOM PISMU</w:t>
      </w:r>
    </w:p>
    <w:p w14:paraId="7C2F8DEF" w14:textId="77777777" w:rsidR="003A274D" w:rsidRPr="00510442" w:rsidRDefault="003A274D" w:rsidP="003A274D">
      <w:pPr>
        <w:tabs>
          <w:tab w:val="clear" w:pos="567"/>
        </w:tabs>
        <w:spacing w:line="240" w:lineRule="auto"/>
        <w:rPr>
          <w:color w:val="000000"/>
          <w:szCs w:val="22"/>
          <w:u w:val="single"/>
          <w:lang w:val="hr-HR"/>
        </w:rPr>
      </w:pPr>
    </w:p>
    <w:p w14:paraId="4764F592" w14:textId="77777777" w:rsidR="003A274D" w:rsidRPr="00510442" w:rsidRDefault="003A274D" w:rsidP="00DB028B">
      <w:pPr>
        <w:widowControl w:val="0"/>
        <w:spacing w:line="240" w:lineRule="auto"/>
        <w:rPr>
          <w:color w:val="000000"/>
          <w:szCs w:val="22"/>
          <w:lang w:val="hr-HR"/>
        </w:rPr>
      </w:pPr>
      <w:r w:rsidRPr="00510442">
        <w:rPr>
          <w:color w:val="000000"/>
          <w:szCs w:val="22"/>
          <w:lang w:val="hr-HR"/>
        </w:rPr>
        <w:t>Glivec 400 mg</w:t>
      </w:r>
    </w:p>
    <w:p w14:paraId="072DC3AD" w14:textId="77777777" w:rsidR="003A274D" w:rsidRPr="00510442" w:rsidRDefault="003A274D" w:rsidP="003A274D">
      <w:pPr>
        <w:tabs>
          <w:tab w:val="clear" w:pos="567"/>
        </w:tabs>
        <w:spacing w:line="240" w:lineRule="auto"/>
        <w:rPr>
          <w:color w:val="000000"/>
          <w:szCs w:val="22"/>
          <w:lang w:val="hr-HR"/>
        </w:rPr>
      </w:pPr>
    </w:p>
    <w:p w14:paraId="01B86AF7" w14:textId="77777777" w:rsidR="005C43A6" w:rsidRPr="00510442" w:rsidRDefault="005C43A6" w:rsidP="005C43A6">
      <w:pPr>
        <w:widowControl w:val="0"/>
        <w:tabs>
          <w:tab w:val="clear" w:pos="567"/>
        </w:tabs>
        <w:spacing w:line="240" w:lineRule="auto"/>
        <w:rPr>
          <w:szCs w:val="22"/>
          <w:shd w:val="clear" w:color="auto" w:fill="CCCCCC"/>
          <w:lang w:val="hr-HR"/>
        </w:rPr>
      </w:pPr>
    </w:p>
    <w:p w14:paraId="1AEC322A" w14:textId="77777777" w:rsidR="005C43A6" w:rsidRPr="00510442" w:rsidRDefault="005C43A6" w:rsidP="005C43A6">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3"/>
        <w:outlineLvl w:val="0"/>
        <w:rPr>
          <w:i/>
          <w:lang w:val="hr-HR"/>
        </w:rPr>
      </w:pPr>
      <w:r w:rsidRPr="00510442">
        <w:rPr>
          <w:b/>
          <w:lang w:val="hr-HR"/>
        </w:rPr>
        <w:t>17.</w:t>
      </w:r>
      <w:r w:rsidRPr="00510442">
        <w:rPr>
          <w:b/>
          <w:lang w:val="hr-HR"/>
        </w:rPr>
        <w:tab/>
        <w:t>JEDINSTVENI IDENTIFIKATOR – 2D BARKOD</w:t>
      </w:r>
    </w:p>
    <w:p w14:paraId="724D4415" w14:textId="77777777" w:rsidR="005C43A6" w:rsidRPr="00510442" w:rsidRDefault="005C43A6" w:rsidP="005C43A6">
      <w:pPr>
        <w:widowControl w:val="0"/>
        <w:tabs>
          <w:tab w:val="clear" w:pos="567"/>
        </w:tabs>
        <w:spacing w:line="240" w:lineRule="auto"/>
        <w:rPr>
          <w:lang w:val="hr-HR"/>
        </w:rPr>
      </w:pPr>
    </w:p>
    <w:p w14:paraId="1939CDC5" w14:textId="77777777" w:rsidR="005C43A6" w:rsidRPr="00510442" w:rsidRDefault="005C43A6" w:rsidP="005C43A6">
      <w:pPr>
        <w:widowControl w:val="0"/>
        <w:tabs>
          <w:tab w:val="clear" w:pos="567"/>
        </w:tabs>
        <w:spacing w:line="240" w:lineRule="auto"/>
        <w:rPr>
          <w:szCs w:val="22"/>
          <w:lang w:val="hr-HR"/>
        </w:rPr>
      </w:pPr>
      <w:r w:rsidRPr="00510442">
        <w:rPr>
          <w:shd w:val="pct15" w:color="auto" w:fill="auto"/>
          <w:lang w:val="hr-HR"/>
        </w:rPr>
        <w:t>Sadrži 2D barkod s jedinstvenim identifikatorom.</w:t>
      </w:r>
    </w:p>
    <w:p w14:paraId="5997C705" w14:textId="77777777" w:rsidR="005C43A6" w:rsidRPr="00510442" w:rsidRDefault="005C43A6" w:rsidP="005C43A6">
      <w:pPr>
        <w:widowControl w:val="0"/>
        <w:tabs>
          <w:tab w:val="clear" w:pos="567"/>
        </w:tabs>
        <w:spacing w:line="240" w:lineRule="auto"/>
        <w:rPr>
          <w:lang w:val="hr-HR"/>
        </w:rPr>
      </w:pPr>
    </w:p>
    <w:p w14:paraId="2EBAFD75" w14:textId="77777777" w:rsidR="005C43A6" w:rsidRPr="00510442" w:rsidRDefault="005C43A6" w:rsidP="005C43A6">
      <w:pPr>
        <w:widowControl w:val="0"/>
        <w:tabs>
          <w:tab w:val="clear" w:pos="567"/>
        </w:tabs>
        <w:spacing w:line="240" w:lineRule="auto"/>
        <w:rPr>
          <w:lang w:val="hr-HR"/>
        </w:rPr>
      </w:pPr>
    </w:p>
    <w:p w14:paraId="569A47E5" w14:textId="77777777" w:rsidR="005C43A6" w:rsidRPr="00510442" w:rsidRDefault="005C43A6" w:rsidP="005C43A6">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3"/>
        <w:outlineLvl w:val="0"/>
        <w:rPr>
          <w:i/>
          <w:lang w:val="hr-HR"/>
        </w:rPr>
      </w:pPr>
      <w:r w:rsidRPr="00510442">
        <w:rPr>
          <w:b/>
          <w:lang w:val="hr-HR"/>
        </w:rPr>
        <w:t>18.</w:t>
      </w:r>
      <w:r w:rsidRPr="00510442">
        <w:rPr>
          <w:b/>
          <w:lang w:val="hr-HR"/>
        </w:rPr>
        <w:tab/>
        <w:t>JEDINSTVENI IDENTIFIKATOR – PODACI ČITLJIVI LJUDSKIM OKOM</w:t>
      </w:r>
    </w:p>
    <w:p w14:paraId="77C50696" w14:textId="77777777" w:rsidR="005C43A6" w:rsidRPr="00510442" w:rsidRDefault="005C43A6" w:rsidP="005C43A6">
      <w:pPr>
        <w:widowControl w:val="0"/>
        <w:tabs>
          <w:tab w:val="clear" w:pos="567"/>
        </w:tabs>
        <w:spacing w:line="240" w:lineRule="auto"/>
        <w:rPr>
          <w:lang w:val="hr-HR"/>
        </w:rPr>
      </w:pPr>
    </w:p>
    <w:p w14:paraId="5C9AA5FF" w14:textId="77777777" w:rsidR="005C43A6" w:rsidRPr="00510442" w:rsidRDefault="005C43A6" w:rsidP="005C43A6">
      <w:pPr>
        <w:widowControl w:val="0"/>
        <w:tabs>
          <w:tab w:val="clear" w:pos="567"/>
        </w:tabs>
        <w:rPr>
          <w:szCs w:val="22"/>
          <w:lang w:val="hr-HR"/>
        </w:rPr>
      </w:pPr>
      <w:r w:rsidRPr="00510442">
        <w:rPr>
          <w:lang w:val="hr-HR"/>
        </w:rPr>
        <w:t>PC:</w:t>
      </w:r>
    </w:p>
    <w:p w14:paraId="33DF0B11" w14:textId="77777777" w:rsidR="005C43A6" w:rsidRPr="00510442" w:rsidRDefault="005C43A6" w:rsidP="005C43A6">
      <w:pPr>
        <w:widowControl w:val="0"/>
        <w:tabs>
          <w:tab w:val="clear" w:pos="567"/>
        </w:tabs>
        <w:rPr>
          <w:szCs w:val="22"/>
          <w:lang w:val="hr-HR"/>
        </w:rPr>
      </w:pPr>
      <w:r w:rsidRPr="00510442">
        <w:rPr>
          <w:lang w:val="hr-HR"/>
        </w:rPr>
        <w:t>SN:</w:t>
      </w:r>
    </w:p>
    <w:p w14:paraId="0EB86671" w14:textId="77777777" w:rsidR="005C43A6" w:rsidRPr="00510442" w:rsidRDefault="005C43A6" w:rsidP="005C43A6">
      <w:pPr>
        <w:widowControl w:val="0"/>
        <w:tabs>
          <w:tab w:val="clear" w:pos="567"/>
        </w:tabs>
        <w:rPr>
          <w:szCs w:val="22"/>
          <w:lang w:val="hr-HR"/>
        </w:rPr>
      </w:pPr>
      <w:r w:rsidRPr="00510442">
        <w:rPr>
          <w:lang w:val="hr-HR"/>
        </w:rPr>
        <w:t>NN:</w:t>
      </w:r>
    </w:p>
    <w:p w14:paraId="533EB9AB" w14:textId="77777777" w:rsidR="003A274D" w:rsidRPr="00510442" w:rsidRDefault="003A274D" w:rsidP="003A274D">
      <w:pPr>
        <w:tabs>
          <w:tab w:val="clear" w:pos="567"/>
        </w:tabs>
        <w:spacing w:line="240" w:lineRule="auto"/>
        <w:rPr>
          <w:color w:val="000000"/>
          <w:szCs w:val="22"/>
          <w:lang w:val="hr-HR"/>
        </w:rPr>
      </w:pPr>
    </w:p>
    <w:p w14:paraId="2865ACF0" w14:textId="77777777" w:rsidR="003A274D" w:rsidRPr="00510442" w:rsidRDefault="003A274D" w:rsidP="003A274D">
      <w:pPr>
        <w:tabs>
          <w:tab w:val="clear" w:pos="567"/>
        </w:tabs>
        <w:spacing w:line="240" w:lineRule="auto"/>
        <w:rPr>
          <w:color w:val="000000"/>
          <w:szCs w:val="22"/>
          <w:lang w:val="hr-HR"/>
        </w:rPr>
      </w:pPr>
      <w:r w:rsidRPr="00510442">
        <w:rPr>
          <w:color w:val="000000"/>
          <w:szCs w:val="22"/>
          <w:lang w:val="hr-HR"/>
        </w:rPr>
        <w:br w:type="page"/>
      </w:r>
    </w:p>
    <w:p w14:paraId="5FA84887" w14:textId="77777777" w:rsidR="006E43C6" w:rsidRPr="006E43C6" w:rsidRDefault="006E43C6" w:rsidP="006E43C6">
      <w:pPr>
        <w:tabs>
          <w:tab w:val="clear" w:pos="567"/>
        </w:tabs>
        <w:spacing w:line="240" w:lineRule="auto"/>
        <w:rPr>
          <w:szCs w:val="22"/>
          <w:lang w:val="hr-HR"/>
        </w:rPr>
      </w:pPr>
    </w:p>
    <w:p w14:paraId="55F35EF9" w14:textId="77777777" w:rsidR="003A274D" w:rsidRPr="00510442" w:rsidRDefault="003A274D" w:rsidP="003A274D">
      <w:pPr>
        <w:pBdr>
          <w:top w:val="single" w:sz="4" w:space="1" w:color="auto"/>
          <w:left w:val="single" w:sz="4" w:space="4" w:color="auto"/>
          <w:bottom w:val="single" w:sz="4" w:space="1" w:color="auto"/>
          <w:right w:val="single" w:sz="4" w:space="4" w:color="auto"/>
        </w:pBdr>
        <w:tabs>
          <w:tab w:val="clear" w:pos="567"/>
        </w:tabs>
        <w:spacing w:line="240" w:lineRule="auto"/>
        <w:rPr>
          <w:b/>
          <w:color w:val="000000"/>
          <w:szCs w:val="22"/>
          <w:lang w:val="hr-HR"/>
        </w:rPr>
      </w:pPr>
      <w:r w:rsidRPr="00510442">
        <w:rPr>
          <w:b/>
          <w:szCs w:val="22"/>
          <w:lang w:val="hr-HR"/>
        </w:rPr>
        <w:t>PODACI KOJE</w:t>
      </w:r>
      <w:r w:rsidRPr="00510442">
        <w:rPr>
          <w:b/>
          <w:caps/>
          <w:szCs w:val="22"/>
          <w:lang w:val="hr-HR"/>
        </w:rPr>
        <w:t xml:space="preserve"> mora najmanje sadržavati blister</w:t>
      </w:r>
      <w:r w:rsidRPr="00510442">
        <w:rPr>
          <w:szCs w:val="22"/>
          <w:lang w:val="hr-HR"/>
        </w:rPr>
        <w:t xml:space="preserve"> </w:t>
      </w:r>
      <w:r w:rsidRPr="00510442">
        <w:rPr>
          <w:b/>
          <w:szCs w:val="22"/>
          <w:lang w:val="hr-HR"/>
        </w:rPr>
        <w:t>ILI</w:t>
      </w:r>
      <w:r w:rsidRPr="00510442">
        <w:rPr>
          <w:szCs w:val="22"/>
          <w:lang w:val="hr-HR"/>
        </w:rPr>
        <w:t xml:space="preserve"> </w:t>
      </w:r>
      <w:r w:rsidRPr="00510442">
        <w:rPr>
          <w:b/>
          <w:szCs w:val="22"/>
          <w:lang w:val="hr-HR"/>
        </w:rPr>
        <w:t>STRIP</w:t>
      </w:r>
    </w:p>
    <w:p w14:paraId="748F60ED" w14:textId="77777777" w:rsidR="003A274D" w:rsidRPr="00510442" w:rsidRDefault="003A274D" w:rsidP="003A274D">
      <w:pPr>
        <w:pBdr>
          <w:top w:val="single" w:sz="4" w:space="1" w:color="auto"/>
          <w:left w:val="single" w:sz="4" w:space="4" w:color="auto"/>
          <w:bottom w:val="single" w:sz="4" w:space="1" w:color="auto"/>
          <w:right w:val="single" w:sz="4" w:space="4" w:color="auto"/>
        </w:pBdr>
        <w:tabs>
          <w:tab w:val="clear" w:pos="567"/>
        </w:tabs>
        <w:spacing w:line="240" w:lineRule="auto"/>
        <w:rPr>
          <w:color w:val="000000"/>
          <w:szCs w:val="22"/>
          <w:lang w:val="hr-HR"/>
        </w:rPr>
      </w:pPr>
    </w:p>
    <w:p w14:paraId="3B866892" w14:textId="77777777" w:rsidR="003A274D" w:rsidRPr="00510442" w:rsidRDefault="003A274D" w:rsidP="003A274D">
      <w:pPr>
        <w:pBdr>
          <w:top w:val="single" w:sz="4" w:space="1" w:color="auto"/>
          <w:left w:val="single" w:sz="4" w:space="4" w:color="auto"/>
          <w:bottom w:val="single" w:sz="4" w:space="1" w:color="auto"/>
          <w:right w:val="single" w:sz="4" w:space="4" w:color="auto"/>
        </w:pBdr>
        <w:tabs>
          <w:tab w:val="clear" w:pos="567"/>
        </w:tabs>
        <w:spacing w:line="240" w:lineRule="auto"/>
        <w:rPr>
          <w:b/>
          <w:color w:val="000000"/>
          <w:szCs w:val="22"/>
          <w:lang w:val="hr-HR"/>
        </w:rPr>
      </w:pPr>
      <w:r w:rsidRPr="00510442">
        <w:rPr>
          <w:b/>
          <w:color w:val="000000"/>
          <w:szCs w:val="22"/>
          <w:lang w:val="hr-HR"/>
        </w:rPr>
        <w:t>BLISTERI</w:t>
      </w:r>
    </w:p>
    <w:p w14:paraId="2E668846" w14:textId="77777777" w:rsidR="003A274D" w:rsidRPr="00510442" w:rsidRDefault="003A274D" w:rsidP="003A274D">
      <w:pPr>
        <w:tabs>
          <w:tab w:val="clear" w:pos="567"/>
        </w:tabs>
        <w:spacing w:line="240" w:lineRule="auto"/>
        <w:rPr>
          <w:color w:val="000000"/>
          <w:szCs w:val="22"/>
          <w:lang w:val="hr-HR"/>
        </w:rPr>
      </w:pPr>
    </w:p>
    <w:p w14:paraId="2E86BA1A" w14:textId="77777777" w:rsidR="003A274D" w:rsidRPr="00510442" w:rsidRDefault="003A274D" w:rsidP="003A274D">
      <w:pPr>
        <w:tabs>
          <w:tab w:val="clear" w:pos="567"/>
        </w:tabs>
        <w:spacing w:line="240" w:lineRule="auto"/>
        <w:rPr>
          <w:color w:val="000000"/>
          <w:szCs w:val="22"/>
          <w:lang w:val="hr-HR"/>
        </w:rPr>
      </w:pPr>
    </w:p>
    <w:p w14:paraId="019E34AA" w14:textId="77777777" w:rsidR="003A274D" w:rsidRPr="00510442" w:rsidRDefault="003A274D" w:rsidP="003A274D">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hr-HR"/>
        </w:rPr>
      </w:pPr>
      <w:r w:rsidRPr="00510442">
        <w:rPr>
          <w:b/>
          <w:color w:val="000000"/>
          <w:szCs w:val="22"/>
          <w:lang w:val="hr-HR"/>
        </w:rPr>
        <w:t>1.</w:t>
      </w:r>
      <w:r w:rsidRPr="00510442">
        <w:rPr>
          <w:b/>
          <w:color w:val="000000"/>
          <w:szCs w:val="22"/>
          <w:lang w:val="hr-HR"/>
        </w:rPr>
        <w:tab/>
      </w:r>
      <w:r w:rsidRPr="00510442">
        <w:rPr>
          <w:b/>
          <w:szCs w:val="22"/>
          <w:lang w:val="hr-HR"/>
        </w:rPr>
        <w:t>NAZIV LIJEKA</w:t>
      </w:r>
    </w:p>
    <w:p w14:paraId="2D572098" w14:textId="77777777" w:rsidR="003A274D" w:rsidRPr="00510442" w:rsidRDefault="003A274D" w:rsidP="003A274D">
      <w:pPr>
        <w:tabs>
          <w:tab w:val="clear" w:pos="567"/>
        </w:tabs>
        <w:spacing w:line="240" w:lineRule="auto"/>
        <w:ind w:left="567" w:hanging="567"/>
        <w:rPr>
          <w:color w:val="000000"/>
          <w:szCs w:val="22"/>
          <w:lang w:val="hr-HR"/>
        </w:rPr>
      </w:pPr>
    </w:p>
    <w:p w14:paraId="028A41F6" w14:textId="77777777" w:rsidR="003A274D" w:rsidRPr="00510442" w:rsidRDefault="003A274D" w:rsidP="00DB028B">
      <w:pPr>
        <w:widowControl w:val="0"/>
        <w:spacing w:line="240" w:lineRule="auto"/>
        <w:rPr>
          <w:color w:val="000000"/>
          <w:szCs w:val="22"/>
          <w:lang w:val="hr-HR"/>
        </w:rPr>
      </w:pPr>
      <w:r w:rsidRPr="00510442">
        <w:rPr>
          <w:color w:val="000000"/>
          <w:szCs w:val="22"/>
          <w:lang w:val="hr-HR"/>
        </w:rPr>
        <w:t>Glivec 400 mg tablete</w:t>
      </w:r>
    </w:p>
    <w:p w14:paraId="0D113813" w14:textId="77777777" w:rsidR="003A274D" w:rsidRPr="00510442" w:rsidRDefault="003A274D" w:rsidP="003A274D">
      <w:pPr>
        <w:widowControl w:val="0"/>
        <w:tabs>
          <w:tab w:val="clear" w:pos="567"/>
        </w:tabs>
        <w:spacing w:line="240" w:lineRule="auto"/>
        <w:rPr>
          <w:color w:val="000000"/>
          <w:szCs w:val="22"/>
          <w:lang w:val="hr-HR"/>
        </w:rPr>
      </w:pPr>
      <w:r w:rsidRPr="00510442">
        <w:rPr>
          <w:color w:val="000000"/>
          <w:szCs w:val="22"/>
          <w:lang w:val="hr-HR"/>
        </w:rPr>
        <w:t>imatinib</w:t>
      </w:r>
    </w:p>
    <w:p w14:paraId="68A0E77D" w14:textId="77777777" w:rsidR="003A274D" w:rsidRPr="00510442" w:rsidRDefault="003A274D" w:rsidP="003A274D">
      <w:pPr>
        <w:tabs>
          <w:tab w:val="clear" w:pos="567"/>
        </w:tabs>
        <w:spacing w:line="240" w:lineRule="auto"/>
        <w:rPr>
          <w:color w:val="000000"/>
          <w:szCs w:val="22"/>
          <w:lang w:val="hr-HR"/>
        </w:rPr>
      </w:pPr>
    </w:p>
    <w:p w14:paraId="7FDD9088" w14:textId="77777777" w:rsidR="003A274D" w:rsidRPr="00510442" w:rsidRDefault="003A274D" w:rsidP="003A274D">
      <w:pPr>
        <w:tabs>
          <w:tab w:val="clear" w:pos="567"/>
        </w:tabs>
        <w:spacing w:line="240" w:lineRule="auto"/>
        <w:rPr>
          <w:color w:val="000000"/>
          <w:szCs w:val="22"/>
          <w:lang w:val="hr-HR"/>
        </w:rPr>
      </w:pPr>
    </w:p>
    <w:p w14:paraId="71FEC0D1" w14:textId="77777777" w:rsidR="003A274D" w:rsidRPr="00510442" w:rsidRDefault="003A274D" w:rsidP="003A274D">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hr-HR"/>
        </w:rPr>
      </w:pPr>
      <w:r w:rsidRPr="00510442">
        <w:rPr>
          <w:b/>
          <w:color w:val="000000"/>
          <w:szCs w:val="22"/>
          <w:lang w:val="hr-HR"/>
        </w:rPr>
        <w:t>2.</w:t>
      </w:r>
      <w:r w:rsidRPr="00510442">
        <w:rPr>
          <w:b/>
          <w:color w:val="000000"/>
          <w:szCs w:val="22"/>
          <w:lang w:val="hr-HR"/>
        </w:rPr>
        <w:tab/>
      </w:r>
      <w:r w:rsidR="00FD43BB" w:rsidRPr="00510442">
        <w:rPr>
          <w:b/>
          <w:caps/>
          <w:szCs w:val="22"/>
          <w:lang w:val="hr-HR"/>
        </w:rPr>
        <w:t xml:space="preserve">NAZIV </w:t>
      </w:r>
      <w:r w:rsidRPr="00510442">
        <w:rPr>
          <w:b/>
          <w:caps/>
          <w:szCs w:val="22"/>
          <w:lang w:val="hr-HR"/>
        </w:rPr>
        <w:t>nositelja odobrenja za stavljanje lijeka u promet</w:t>
      </w:r>
    </w:p>
    <w:p w14:paraId="5538053D" w14:textId="77777777" w:rsidR="003A274D" w:rsidRPr="00510442" w:rsidRDefault="003A274D" w:rsidP="003A274D">
      <w:pPr>
        <w:tabs>
          <w:tab w:val="clear" w:pos="567"/>
        </w:tabs>
        <w:spacing w:line="240" w:lineRule="auto"/>
        <w:rPr>
          <w:color w:val="000000"/>
          <w:szCs w:val="22"/>
          <w:lang w:val="hr-HR"/>
        </w:rPr>
      </w:pPr>
    </w:p>
    <w:p w14:paraId="612DE3FA" w14:textId="77777777" w:rsidR="003A274D" w:rsidRPr="00510442" w:rsidRDefault="003A274D" w:rsidP="003A274D">
      <w:pPr>
        <w:widowControl w:val="0"/>
        <w:tabs>
          <w:tab w:val="clear" w:pos="567"/>
        </w:tabs>
        <w:spacing w:line="240" w:lineRule="auto"/>
        <w:rPr>
          <w:color w:val="000000"/>
          <w:szCs w:val="22"/>
          <w:lang w:val="hr-HR"/>
        </w:rPr>
      </w:pPr>
      <w:r w:rsidRPr="00510442">
        <w:rPr>
          <w:color w:val="000000"/>
          <w:szCs w:val="22"/>
          <w:lang w:val="hr-HR"/>
        </w:rPr>
        <w:t>Novartis Europharm Limited</w:t>
      </w:r>
    </w:p>
    <w:p w14:paraId="388FE076" w14:textId="77777777" w:rsidR="003A274D" w:rsidRPr="00510442" w:rsidRDefault="003A274D" w:rsidP="003A274D">
      <w:pPr>
        <w:tabs>
          <w:tab w:val="clear" w:pos="567"/>
        </w:tabs>
        <w:spacing w:line="240" w:lineRule="auto"/>
        <w:rPr>
          <w:color w:val="000000"/>
          <w:szCs w:val="22"/>
          <w:lang w:val="hr-HR"/>
        </w:rPr>
      </w:pPr>
    </w:p>
    <w:p w14:paraId="02A2E543" w14:textId="77777777" w:rsidR="003A274D" w:rsidRPr="00510442" w:rsidRDefault="003A274D" w:rsidP="003A274D">
      <w:pPr>
        <w:tabs>
          <w:tab w:val="clear" w:pos="567"/>
        </w:tabs>
        <w:spacing w:line="240" w:lineRule="auto"/>
        <w:rPr>
          <w:color w:val="000000"/>
          <w:szCs w:val="22"/>
          <w:lang w:val="hr-HR"/>
        </w:rPr>
      </w:pPr>
    </w:p>
    <w:p w14:paraId="3E41FF60" w14:textId="77777777" w:rsidR="003A274D" w:rsidRPr="00510442" w:rsidRDefault="003A274D" w:rsidP="003A274D">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hr-HR"/>
        </w:rPr>
      </w:pPr>
      <w:r w:rsidRPr="00510442">
        <w:rPr>
          <w:b/>
          <w:color w:val="000000"/>
          <w:szCs w:val="22"/>
          <w:lang w:val="hr-HR"/>
        </w:rPr>
        <w:t>3.</w:t>
      </w:r>
      <w:r w:rsidRPr="00510442">
        <w:rPr>
          <w:b/>
          <w:color w:val="000000"/>
          <w:szCs w:val="22"/>
          <w:lang w:val="hr-HR"/>
        </w:rPr>
        <w:tab/>
      </w:r>
      <w:r w:rsidRPr="00510442">
        <w:rPr>
          <w:b/>
          <w:szCs w:val="22"/>
          <w:lang w:val="hr-HR"/>
        </w:rPr>
        <w:t>ROK VALJANOSTI</w:t>
      </w:r>
    </w:p>
    <w:p w14:paraId="04EEDD06" w14:textId="77777777" w:rsidR="003A274D" w:rsidRPr="00510442" w:rsidRDefault="003A274D" w:rsidP="003A274D">
      <w:pPr>
        <w:tabs>
          <w:tab w:val="clear" w:pos="567"/>
        </w:tabs>
        <w:spacing w:line="240" w:lineRule="auto"/>
        <w:rPr>
          <w:color w:val="000000"/>
          <w:szCs w:val="22"/>
          <w:lang w:val="hr-HR"/>
        </w:rPr>
      </w:pPr>
    </w:p>
    <w:p w14:paraId="5AA1DCCF" w14:textId="77777777" w:rsidR="003A274D" w:rsidRPr="00510442" w:rsidRDefault="003A274D" w:rsidP="003A274D">
      <w:pPr>
        <w:pStyle w:val="EndnoteText"/>
        <w:widowControl w:val="0"/>
        <w:tabs>
          <w:tab w:val="clear" w:pos="567"/>
        </w:tabs>
        <w:rPr>
          <w:color w:val="000000"/>
          <w:szCs w:val="22"/>
          <w:lang w:val="hr-HR"/>
        </w:rPr>
      </w:pPr>
      <w:r w:rsidRPr="00510442">
        <w:rPr>
          <w:bCs/>
          <w:szCs w:val="22"/>
          <w:lang w:val="hr-HR"/>
        </w:rPr>
        <w:t>EXP</w:t>
      </w:r>
    </w:p>
    <w:p w14:paraId="0EA0E2CB" w14:textId="77777777" w:rsidR="003A274D" w:rsidRPr="00510442" w:rsidRDefault="003A274D" w:rsidP="003A274D">
      <w:pPr>
        <w:tabs>
          <w:tab w:val="clear" w:pos="567"/>
        </w:tabs>
        <w:spacing w:line="240" w:lineRule="auto"/>
        <w:rPr>
          <w:color w:val="000000"/>
          <w:szCs w:val="22"/>
          <w:lang w:val="hr-HR"/>
        </w:rPr>
      </w:pPr>
    </w:p>
    <w:p w14:paraId="4D29474F" w14:textId="77777777" w:rsidR="003A274D" w:rsidRPr="00510442" w:rsidRDefault="003A274D" w:rsidP="003A274D">
      <w:pPr>
        <w:tabs>
          <w:tab w:val="clear" w:pos="567"/>
        </w:tabs>
        <w:spacing w:line="240" w:lineRule="auto"/>
        <w:rPr>
          <w:color w:val="000000"/>
          <w:szCs w:val="22"/>
          <w:lang w:val="hr-HR"/>
        </w:rPr>
      </w:pPr>
    </w:p>
    <w:p w14:paraId="43A17911" w14:textId="77777777" w:rsidR="003A274D" w:rsidRPr="00510442" w:rsidRDefault="003A274D" w:rsidP="003A274D">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hr-HR"/>
        </w:rPr>
      </w:pPr>
      <w:r w:rsidRPr="00510442">
        <w:rPr>
          <w:b/>
          <w:color w:val="000000"/>
          <w:szCs w:val="22"/>
          <w:lang w:val="hr-HR"/>
        </w:rPr>
        <w:t>4.</w:t>
      </w:r>
      <w:r w:rsidRPr="00510442">
        <w:rPr>
          <w:b/>
          <w:color w:val="000000"/>
          <w:szCs w:val="22"/>
          <w:lang w:val="hr-HR"/>
        </w:rPr>
        <w:tab/>
      </w:r>
      <w:r w:rsidRPr="00510442">
        <w:rPr>
          <w:b/>
          <w:szCs w:val="22"/>
          <w:lang w:val="hr-HR"/>
        </w:rPr>
        <w:t>BROJ SERIJE</w:t>
      </w:r>
    </w:p>
    <w:p w14:paraId="24AE5313" w14:textId="77777777" w:rsidR="003A274D" w:rsidRPr="00510442" w:rsidRDefault="003A274D" w:rsidP="003A274D">
      <w:pPr>
        <w:tabs>
          <w:tab w:val="clear" w:pos="567"/>
        </w:tabs>
        <w:spacing w:line="240" w:lineRule="auto"/>
        <w:rPr>
          <w:color w:val="000000"/>
          <w:szCs w:val="22"/>
          <w:lang w:val="hr-HR"/>
        </w:rPr>
      </w:pPr>
    </w:p>
    <w:p w14:paraId="4EB5C7D5" w14:textId="77777777" w:rsidR="003A274D" w:rsidRPr="00510442" w:rsidRDefault="003A274D" w:rsidP="003A274D">
      <w:pPr>
        <w:widowControl w:val="0"/>
        <w:tabs>
          <w:tab w:val="clear" w:pos="567"/>
        </w:tabs>
        <w:spacing w:line="240" w:lineRule="auto"/>
        <w:rPr>
          <w:color w:val="000000"/>
          <w:szCs w:val="22"/>
          <w:lang w:val="hr-HR"/>
        </w:rPr>
      </w:pPr>
      <w:r w:rsidRPr="00510442">
        <w:rPr>
          <w:bCs/>
          <w:szCs w:val="22"/>
          <w:lang w:val="hr-HR"/>
        </w:rPr>
        <w:t>Lot</w:t>
      </w:r>
    </w:p>
    <w:p w14:paraId="2EC01E9B" w14:textId="77777777" w:rsidR="003A274D" w:rsidRPr="00510442" w:rsidRDefault="003A274D" w:rsidP="003A274D">
      <w:pPr>
        <w:widowControl w:val="0"/>
        <w:tabs>
          <w:tab w:val="clear" w:pos="567"/>
        </w:tabs>
        <w:spacing w:line="240" w:lineRule="auto"/>
        <w:rPr>
          <w:color w:val="000000"/>
          <w:szCs w:val="22"/>
          <w:lang w:val="hr-HR"/>
        </w:rPr>
      </w:pPr>
    </w:p>
    <w:p w14:paraId="1B62ED30" w14:textId="77777777" w:rsidR="003A274D" w:rsidRPr="00510442" w:rsidRDefault="003A274D" w:rsidP="003A274D">
      <w:pPr>
        <w:widowControl w:val="0"/>
        <w:tabs>
          <w:tab w:val="clear" w:pos="567"/>
        </w:tabs>
        <w:spacing w:line="240" w:lineRule="auto"/>
        <w:rPr>
          <w:color w:val="000000"/>
          <w:szCs w:val="22"/>
          <w:lang w:val="hr-HR"/>
        </w:rPr>
      </w:pPr>
    </w:p>
    <w:p w14:paraId="3D320BDA" w14:textId="77777777" w:rsidR="003A274D" w:rsidRPr="00510442" w:rsidRDefault="003A274D" w:rsidP="003A274D">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hr-HR"/>
        </w:rPr>
      </w:pPr>
      <w:r w:rsidRPr="00510442">
        <w:rPr>
          <w:b/>
          <w:color w:val="000000"/>
          <w:szCs w:val="22"/>
          <w:lang w:val="hr-HR"/>
        </w:rPr>
        <w:t>5.</w:t>
      </w:r>
      <w:r w:rsidRPr="00510442">
        <w:rPr>
          <w:b/>
          <w:color w:val="000000"/>
          <w:szCs w:val="22"/>
          <w:lang w:val="hr-HR"/>
        </w:rPr>
        <w:tab/>
      </w:r>
      <w:r w:rsidRPr="00510442">
        <w:rPr>
          <w:b/>
          <w:szCs w:val="22"/>
          <w:lang w:val="hr-HR"/>
        </w:rPr>
        <w:t>DRUGO</w:t>
      </w:r>
    </w:p>
    <w:p w14:paraId="43FD73A0" w14:textId="77777777" w:rsidR="003A274D" w:rsidRPr="00510442" w:rsidRDefault="003A274D" w:rsidP="003A274D">
      <w:pPr>
        <w:widowControl w:val="0"/>
        <w:tabs>
          <w:tab w:val="clear" w:pos="567"/>
        </w:tabs>
        <w:spacing w:line="240" w:lineRule="auto"/>
        <w:rPr>
          <w:color w:val="000000"/>
          <w:szCs w:val="22"/>
          <w:lang w:val="hr-HR"/>
        </w:rPr>
      </w:pPr>
    </w:p>
    <w:p w14:paraId="6D499B43" w14:textId="77777777" w:rsidR="003A274D" w:rsidRPr="00510442" w:rsidRDefault="003A274D" w:rsidP="003A274D">
      <w:pPr>
        <w:tabs>
          <w:tab w:val="clear" w:pos="567"/>
        </w:tabs>
        <w:spacing w:line="240" w:lineRule="auto"/>
        <w:rPr>
          <w:color w:val="000000"/>
          <w:szCs w:val="22"/>
          <w:lang w:val="hr-HR"/>
        </w:rPr>
      </w:pPr>
      <w:r w:rsidRPr="00510442">
        <w:rPr>
          <w:b/>
          <w:color w:val="000000"/>
          <w:szCs w:val="22"/>
          <w:lang w:val="hr-HR"/>
        </w:rPr>
        <w:br w:type="page"/>
      </w:r>
    </w:p>
    <w:p w14:paraId="3BD646E3" w14:textId="77777777" w:rsidR="003A274D" w:rsidRPr="00510442" w:rsidRDefault="003A274D" w:rsidP="003A274D">
      <w:pPr>
        <w:tabs>
          <w:tab w:val="clear" w:pos="567"/>
        </w:tabs>
        <w:spacing w:line="240" w:lineRule="auto"/>
        <w:rPr>
          <w:color w:val="000000"/>
          <w:szCs w:val="22"/>
          <w:lang w:val="hr-HR"/>
        </w:rPr>
      </w:pPr>
    </w:p>
    <w:p w14:paraId="266A3B86" w14:textId="77777777" w:rsidR="003A274D" w:rsidRPr="00510442" w:rsidRDefault="003A274D" w:rsidP="003A274D">
      <w:pPr>
        <w:tabs>
          <w:tab w:val="clear" w:pos="567"/>
        </w:tabs>
        <w:spacing w:line="240" w:lineRule="auto"/>
        <w:rPr>
          <w:color w:val="000000"/>
          <w:szCs w:val="22"/>
          <w:lang w:val="hr-HR"/>
        </w:rPr>
      </w:pPr>
    </w:p>
    <w:p w14:paraId="547A3AFA" w14:textId="77777777" w:rsidR="00BB30F2" w:rsidRPr="00510442" w:rsidRDefault="00BB30F2" w:rsidP="00E74D30">
      <w:pPr>
        <w:tabs>
          <w:tab w:val="clear" w:pos="567"/>
        </w:tabs>
        <w:spacing w:line="240" w:lineRule="auto"/>
        <w:rPr>
          <w:color w:val="000000"/>
          <w:szCs w:val="22"/>
          <w:lang w:val="hr-HR"/>
        </w:rPr>
      </w:pPr>
    </w:p>
    <w:p w14:paraId="7035649B" w14:textId="77777777" w:rsidR="00BB30F2" w:rsidRPr="00510442" w:rsidRDefault="00BB30F2" w:rsidP="00E74D30">
      <w:pPr>
        <w:widowControl w:val="0"/>
        <w:tabs>
          <w:tab w:val="clear" w:pos="567"/>
        </w:tabs>
        <w:spacing w:line="240" w:lineRule="auto"/>
        <w:rPr>
          <w:color w:val="000000"/>
          <w:szCs w:val="22"/>
          <w:lang w:val="hr-HR"/>
        </w:rPr>
      </w:pPr>
    </w:p>
    <w:p w14:paraId="4B617BB4" w14:textId="77777777" w:rsidR="00BB30F2" w:rsidRPr="00510442" w:rsidRDefault="00BB30F2" w:rsidP="00E74D30">
      <w:pPr>
        <w:widowControl w:val="0"/>
        <w:tabs>
          <w:tab w:val="clear" w:pos="567"/>
        </w:tabs>
        <w:spacing w:line="240" w:lineRule="auto"/>
        <w:rPr>
          <w:color w:val="000000"/>
          <w:szCs w:val="22"/>
          <w:lang w:val="hr-HR"/>
        </w:rPr>
      </w:pPr>
    </w:p>
    <w:p w14:paraId="75D389B8" w14:textId="77777777" w:rsidR="00BB30F2" w:rsidRPr="00510442" w:rsidRDefault="00BB30F2" w:rsidP="009F6FC2">
      <w:pPr>
        <w:widowControl w:val="0"/>
        <w:tabs>
          <w:tab w:val="clear" w:pos="567"/>
        </w:tabs>
        <w:spacing w:line="240" w:lineRule="auto"/>
        <w:rPr>
          <w:color w:val="000000"/>
          <w:szCs w:val="22"/>
          <w:lang w:val="hr-HR"/>
        </w:rPr>
      </w:pPr>
    </w:p>
    <w:p w14:paraId="4F57562C" w14:textId="77777777" w:rsidR="00BB30F2" w:rsidRPr="00510442" w:rsidRDefault="00BB30F2" w:rsidP="009F6FC2">
      <w:pPr>
        <w:widowControl w:val="0"/>
        <w:tabs>
          <w:tab w:val="clear" w:pos="567"/>
        </w:tabs>
        <w:spacing w:line="240" w:lineRule="auto"/>
        <w:rPr>
          <w:color w:val="000000"/>
          <w:szCs w:val="22"/>
          <w:lang w:val="hr-HR"/>
        </w:rPr>
      </w:pPr>
    </w:p>
    <w:p w14:paraId="6491B96A" w14:textId="77777777" w:rsidR="00BB30F2" w:rsidRPr="00510442" w:rsidRDefault="00BB30F2" w:rsidP="009F6FC2">
      <w:pPr>
        <w:widowControl w:val="0"/>
        <w:tabs>
          <w:tab w:val="clear" w:pos="567"/>
        </w:tabs>
        <w:spacing w:line="240" w:lineRule="auto"/>
        <w:rPr>
          <w:color w:val="000000"/>
          <w:szCs w:val="22"/>
          <w:lang w:val="hr-HR"/>
        </w:rPr>
      </w:pPr>
    </w:p>
    <w:p w14:paraId="4582F2C5" w14:textId="77777777" w:rsidR="00BB30F2" w:rsidRPr="00510442" w:rsidRDefault="00BB30F2" w:rsidP="009F6FC2">
      <w:pPr>
        <w:widowControl w:val="0"/>
        <w:tabs>
          <w:tab w:val="clear" w:pos="567"/>
        </w:tabs>
        <w:spacing w:line="240" w:lineRule="auto"/>
        <w:rPr>
          <w:color w:val="000000"/>
          <w:szCs w:val="22"/>
          <w:lang w:val="hr-HR"/>
        </w:rPr>
      </w:pPr>
    </w:p>
    <w:p w14:paraId="4BA8528C" w14:textId="77777777" w:rsidR="00BB30F2" w:rsidRPr="00510442" w:rsidRDefault="00BB30F2" w:rsidP="00EB15D1">
      <w:pPr>
        <w:widowControl w:val="0"/>
        <w:tabs>
          <w:tab w:val="clear" w:pos="567"/>
        </w:tabs>
        <w:spacing w:line="240" w:lineRule="auto"/>
        <w:rPr>
          <w:color w:val="000000"/>
          <w:szCs w:val="22"/>
          <w:lang w:val="hr-HR"/>
        </w:rPr>
      </w:pPr>
    </w:p>
    <w:p w14:paraId="13739CAE" w14:textId="77777777" w:rsidR="00BB30F2" w:rsidRPr="00510442" w:rsidRDefault="00BB30F2" w:rsidP="00EB15D1">
      <w:pPr>
        <w:widowControl w:val="0"/>
        <w:tabs>
          <w:tab w:val="clear" w:pos="567"/>
        </w:tabs>
        <w:spacing w:line="240" w:lineRule="auto"/>
        <w:rPr>
          <w:color w:val="000000"/>
          <w:szCs w:val="22"/>
          <w:lang w:val="hr-HR"/>
        </w:rPr>
      </w:pPr>
    </w:p>
    <w:p w14:paraId="554E6E31" w14:textId="77777777" w:rsidR="00BB30F2" w:rsidRPr="00510442" w:rsidRDefault="00BB30F2" w:rsidP="00A742FC">
      <w:pPr>
        <w:widowControl w:val="0"/>
        <w:tabs>
          <w:tab w:val="clear" w:pos="567"/>
        </w:tabs>
        <w:spacing w:line="240" w:lineRule="auto"/>
        <w:rPr>
          <w:color w:val="000000"/>
          <w:szCs w:val="22"/>
          <w:lang w:val="hr-HR"/>
        </w:rPr>
      </w:pPr>
    </w:p>
    <w:p w14:paraId="3CE6235F" w14:textId="77777777" w:rsidR="00BB30F2" w:rsidRPr="00510442" w:rsidRDefault="00BB30F2" w:rsidP="00A742FC">
      <w:pPr>
        <w:widowControl w:val="0"/>
        <w:tabs>
          <w:tab w:val="clear" w:pos="567"/>
        </w:tabs>
        <w:spacing w:line="240" w:lineRule="auto"/>
        <w:rPr>
          <w:color w:val="000000"/>
          <w:szCs w:val="22"/>
          <w:lang w:val="hr-HR"/>
        </w:rPr>
      </w:pPr>
    </w:p>
    <w:p w14:paraId="63E7B79F" w14:textId="77777777" w:rsidR="00BB30F2" w:rsidRPr="00510442" w:rsidRDefault="00BB30F2" w:rsidP="00D57A17">
      <w:pPr>
        <w:widowControl w:val="0"/>
        <w:tabs>
          <w:tab w:val="clear" w:pos="567"/>
        </w:tabs>
        <w:spacing w:line="240" w:lineRule="auto"/>
        <w:rPr>
          <w:color w:val="000000"/>
          <w:szCs w:val="22"/>
          <w:lang w:val="hr-HR"/>
        </w:rPr>
      </w:pPr>
    </w:p>
    <w:p w14:paraId="4B7C2CDF" w14:textId="77777777" w:rsidR="00BB30F2" w:rsidRPr="00510442" w:rsidRDefault="00BB30F2" w:rsidP="00D57A17">
      <w:pPr>
        <w:widowControl w:val="0"/>
        <w:tabs>
          <w:tab w:val="clear" w:pos="567"/>
        </w:tabs>
        <w:spacing w:line="240" w:lineRule="auto"/>
        <w:rPr>
          <w:color w:val="000000"/>
          <w:szCs w:val="22"/>
          <w:lang w:val="hr-HR"/>
        </w:rPr>
      </w:pPr>
    </w:p>
    <w:p w14:paraId="75D2463E" w14:textId="77777777" w:rsidR="00BB30F2" w:rsidRPr="00510442" w:rsidRDefault="00BB30F2" w:rsidP="00D57A17">
      <w:pPr>
        <w:widowControl w:val="0"/>
        <w:tabs>
          <w:tab w:val="clear" w:pos="567"/>
        </w:tabs>
        <w:spacing w:line="240" w:lineRule="auto"/>
        <w:rPr>
          <w:color w:val="000000"/>
          <w:szCs w:val="22"/>
          <w:lang w:val="hr-HR"/>
        </w:rPr>
      </w:pPr>
    </w:p>
    <w:p w14:paraId="1EDDB38F" w14:textId="77777777" w:rsidR="00BB30F2" w:rsidRPr="00510442" w:rsidRDefault="00BB30F2" w:rsidP="00CB66CC">
      <w:pPr>
        <w:widowControl w:val="0"/>
        <w:tabs>
          <w:tab w:val="clear" w:pos="567"/>
        </w:tabs>
        <w:spacing w:line="240" w:lineRule="auto"/>
        <w:rPr>
          <w:color w:val="000000"/>
          <w:szCs w:val="22"/>
          <w:lang w:val="hr-HR"/>
        </w:rPr>
      </w:pPr>
    </w:p>
    <w:p w14:paraId="3A3E3251" w14:textId="77777777" w:rsidR="00BB30F2" w:rsidRPr="00510442" w:rsidRDefault="00BB30F2" w:rsidP="00CB66CC">
      <w:pPr>
        <w:widowControl w:val="0"/>
        <w:tabs>
          <w:tab w:val="clear" w:pos="567"/>
        </w:tabs>
        <w:spacing w:line="240" w:lineRule="auto"/>
        <w:rPr>
          <w:color w:val="000000"/>
          <w:szCs w:val="22"/>
          <w:lang w:val="hr-HR"/>
        </w:rPr>
      </w:pPr>
    </w:p>
    <w:p w14:paraId="7F1D1E32" w14:textId="77777777" w:rsidR="00BB30F2" w:rsidRPr="00510442" w:rsidRDefault="00BB30F2" w:rsidP="00B602CC">
      <w:pPr>
        <w:widowControl w:val="0"/>
        <w:tabs>
          <w:tab w:val="clear" w:pos="567"/>
        </w:tabs>
        <w:spacing w:line="240" w:lineRule="auto"/>
        <w:rPr>
          <w:color w:val="000000"/>
          <w:szCs w:val="22"/>
          <w:lang w:val="hr-HR"/>
        </w:rPr>
      </w:pPr>
    </w:p>
    <w:p w14:paraId="1B1C5D07" w14:textId="77777777" w:rsidR="00BB30F2" w:rsidRPr="00510442" w:rsidRDefault="00BB30F2" w:rsidP="00112AD1">
      <w:pPr>
        <w:widowControl w:val="0"/>
        <w:tabs>
          <w:tab w:val="clear" w:pos="567"/>
        </w:tabs>
        <w:spacing w:line="240" w:lineRule="auto"/>
        <w:rPr>
          <w:color w:val="000000"/>
          <w:szCs w:val="22"/>
          <w:lang w:val="hr-HR"/>
        </w:rPr>
      </w:pPr>
    </w:p>
    <w:p w14:paraId="2A298892" w14:textId="77777777" w:rsidR="00BB30F2" w:rsidRPr="00510442" w:rsidRDefault="00BB30F2" w:rsidP="00AC2C24">
      <w:pPr>
        <w:widowControl w:val="0"/>
        <w:tabs>
          <w:tab w:val="clear" w:pos="567"/>
        </w:tabs>
        <w:spacing w:line="240" w:lineRule="auto"/>
        <w:rPr>
          <w:color w:val="000000"/>
          <w:szCs w:val="22"/>
          <w:lang w:val="hr-HR"/>
        </w:rPr>
      </w:pPr>
    </w:p>
    <w:p w14:paraId="16691744" w14:textId="77777777" w:rsidR="00BB30F2" w:rsidRDefault="00BB30F2" w:rsidP="00C1291A">
      <w:pPr>
        <w:widowControl w:val="0"/>
        <w:tabs>
          <w:tab w:val="clear" w:pos="567"/>
        </w:tabs>
        <w:spacing w:line="240" w:lineRule="auto"/>
        <w:rPr>
          <w:color w:val="000000"/>
          <w:szCs w:val="22"/>
          <w:lang w:val="hr-HR"/>
        </w:rPr>
      </w:pPr>
    </w:p>
    <w:p w14:paraId="58AE5774" w14:textId="77777777" w:rsidR="006E43C6" w:rsidRPr="00510442" w:rsidRDefault="006E43C6" w:rsidP="00C1291A">
      <w:pPr>
        <w:widowControl w:val="0"/>
        <w:tabs>
          <w:tab w:val="clear" w:pos="567"/>
        </w:tabs>
        <w:spacing w:line="240" w:lineRule="auto"/>
        <w:rPr>
          <w:color w:val="000000"/>
          <w:szCs w:val="22"/>
          <w:lang w:val="hr-HR"/>
        </w:rPr>
      </w:pPr>
    </w:p>
    <w:p w14:paraId="335DEF7B" w14:textId="77777777" w:rsidR="00BB30F2" w:rsidRPr="00510442" w:rsidRDefault="007109D6" w:rsidP="0091773C">
      <w:pPr>
        <w:widowControl w:val="0"/>
        <w:tabs>
          <w:tab w:val="clear" w:pos="567"/>
        </w:tabs>
        <w:spacing w:line="240" w:lineRule="auto"/>
        <w:jc w:val="center"/>
        <w:rPr>
          <w:color w:val="000000"/>
          <w:szCs w:val="22"/>
          <w:lang w:val="hr-HR"/>
        </w:rPr>
      </w:pPr>
      <w:r w:rsidRPr="00510442">
        <w:rPr>
          <w:b/>
          <w:szCs w:val="22"/>
          <w:lang w:val="hr-HR"/>
        </w:rPr>
        <w:t>B. UPUTA O LIJEKU</w:t>
      </w:r>
    </w:p>
    <w:p w14:paraId="0AAD7935" w14:textId="77777777" w:rsidR="00146472" w:rsidRPr="00510442" w:rsidRDefault="00146472" w:rsidP="00146472">
      <w:pPr>
        <w:widowControl w:val="0"/>
        <w:tabs>
          <w:tab w:val="clear" w:pos="567"/>
        </w:tabs>
        <w:spacing w:line="240" w:lineRule="auto"/>
        <w:jc w:val="center"/>
        <w:rPr>
          <w:b/>
          <w:color w:val="000000"/>
          <w:szCs w:val="22"/>
          <w:lang w:val="hr-HR"/>
        </w:rPr>
      </w:pPr>
      <w:r w:rsidRPr="00510442">
        <w:rPr>
          <w:szCs w:val="22"/>
          <w:lang w:val="hr-HR"/>
        </w:rPr>
        <w:br w:type="page"/>
      </w:r>
      <w:r w:rsidRPr="00510442">
        <w:rPr>
          <w:b/>
          <w:szCs w:val="22"/>
          <w:lang w:val="hr-HR"/>
        </w:rPr>
        <w:lastRenderedPageBreak/>
        <w:t>Uputa o lijeku: Informacij</w:t>
      </w:r>
      <w:r w:rsidR="00092B98" w:rsidRPr="00510442">
        <w:rPr>
          <w:b/>
          <w:szCs w:val="22"/>
          <w:lang w:val="hr-HR"/>
        </w:rPr>
        <w:t>e</w:t>
      </w:r>
      <w:r w:rsidRPr="00510442">
        <w:rPr>
          <w:b/>
          <w:szCs w:val="22"/>
          <w:lang w:val="hr-HR"/>
        </w:rPr>
        <w:t xml:space="preserve"> za </w:t>
      </w:r>
      <w:r w:rsidR="00092B98" w:rsidRPr="00510442">
        <w:rPr>
          <w:b/>
          <w:szCs w:val="22"/>
          <w:lang w:val="hr-HR"/>
        </w:rPr>
        <w:t>korisnika</w:t>
      </w:r>
    </w:p>
    <w:p w14:paraId="3C0F9DC7" w14:textId="77777777" w:rsidR="00146472" w:rsidRPr="00510442" w:rsidRDefault="00146472" w:rsidP="00146472">
      <w:pPr>
        <w:widowControl w:val="0"/>
        <w:tabs>
          <w:tab w:val="clear" w:pos="567"/>
        </w:tabs>
        <w:spacing w:line="240" w:lineRule="auto"/>
        <w:jc w:val="center"/>
        <w:rPr>
          <w:color w:val="000000"/>
          <w:szCs w:val="22"/>
          <w:lang w:val="hr-HR"/>
        </w:rPr>
      </w:pPr>
    </w:p>
    <w:p w14:paraId="3E24A59F" w14:textId="77777777" w:rsidR="00146472" w:rsidRPr="00510442" w:rsidRDefault="00146472" w:rsidP="00DB028B">
      <w:pPr>
        <w:widowControl w:val="0"/>
        <w:tabs>
          <w:tab w:val="clear" w:pos="567"/>
        </w:tabs>
        <w:spacing w:line="240" w:lineRule="auto"/>
        <w:jc w:val="center"/>
        <w:rPr>
          <w:b/>
          <w:color w:val="000000"/>
          <w:szCs w:val="22"/>
          <w:lang w:val="hr-HR"/>
        </w:rPr>
      </w:pPr>
      <w:r w:rsidRPr="00510442">
        <w:rPr>
          <w:b/>
          <w:color w:val="000000"/>
          <w:szCs w:val="22"/>
          <w:lang w:val="hr-HR"/>
        </w:rPr>
        <w:t>Glivec 100 mg tvrde kapsule</w:t>
      </w:r>
    </w:p>
    <w:p w14:paraId="1EF2A5CC" w14:textId="77777777" w:rsidR="00146472" w:rsidRPr="00510442" w:rsidRDefault="00146472" w:rsidP="00146472">
      <w:pPr>
        <w:widowControl w:val="0"/>
        <w:tabs>
          <w:tab w:val="clear" w:pos="567"/>
        </w:tabs>
        <w:spacing w:line="240" w:lineRule="auto"/>
        <w:jc w:val="center"/>
        <w:rPr>
          <w:color w:val="000000"/>
          <w:szCs w:val="22"/>
          <w:lang w:val="hr-HR"/>
        </w:rPr>
      </w:pPr>
      <w:r w:rsidRPr="00510442">
        <w:rPr>
          <w:color w:val="000000"/>
          <w:szCs w:val="22"/>
          <w:lang w:val="hr-HR"/>
        </w:rPr>
        <w:t>imatinib</w:t>
      </w:r>
    </w:p>
    <w:p w14:paraId="5DCF3F33" w14:textId="77777777" w:rsidR="00146472" w:rsidRPr="00510442" w:rsidRDefault="00146472" w:rsidP="00146472">
      <w:pPr>
        <w:widowControl w:val="0"/>
        <w:tabs>
          <w:tab w:val="clear" w:pos="567"/>
        </w:tabs>
        <w:spacing w:line="240" w:lineRule="auto"/>
        <w:jc w:val="center"/>
        <w:rPr>
          <w:color w:val="000000"/>
          <w:szCs w:val="22"/>
          <w:lang w:val="hr-HR"/>
        </w:rPr>
      </w:pPr>
    </w:p>
    <w:p w14:paraId="72B87B4A" w14:textId="77777777" w:rsidR="00A84314" w:rsidRPr="00510442" w:rsidRDefault="00C712C6" w:rsidP="00A84314">
      <w:pPr>
        <w:numPr>
          <w:ilvl w:val="12"/>
          <w:numId w:val="0"/>
        </w:numPr>
        <w:tabs>
          <w:tab w:val="clear" w:pos="567"/>
        </w:tabs>
        <w:spacing w:line="240" w:lineRule="auto"/>
        <w:rPr>
          <w:snapToGrid w:val="0"/>
          <w:szCs w:val="22"/>
          <w:lang w:val="hr-HR"/>
        </w:rPr>
      </w:pPr>
      <w:r w:rsidRPr="00510442">
        <w:rPr>
          <w:noProof/>
          <w:snapToGrid w:val="0"/>
          <w:lang w:eastAsia="en-GB"/>
        </w:rPr>
        <w:drawing>
          <wp:inline distT="0" distB="0" distL="0" distR="0" wp14:anchorId="5B2D8A3C" wp14:editId="7D1CFF8D">
            <wp:extent cx="198755" cy="174625"/>
            <wp:effectExtent l="0" t="0" r="0" b="0"/>
            <wp:docPr id="8" name="Picture 1" descr="C:\Users\horemansk\AppData\Local\Microsoft\Windows\Temporary Internet Files\Content.Word\BT_1000x858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remansk\AppData\Local\Microsoft\Windows\Temporary Internet Files\Content.Word\BT_1000x858px.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8755" cy="174625"/>
                    </a:xfrm>
                    <a:prstGeom prst="rect">
                      <a:avLst/>
                    </a:prstGeom>
                    <a:noFill/>
                    <a:ln>
                      <a:noFill/>
                    </a:ln>
                  </pic:spPr>
                </pic:pic>
              </a:graphicData>
            </a:graphic>
          </wp:inline>
        </w:drawing>
      </w:r>
      <w:r w:rsidR="00A84314" w:rsidRPr="00510442">
        <w:rPr>
          <w:snapToGrid w:val="0"/>
          <w:szCs w:val="22"/>
          <w:lang w:val="hr-HR"/>
        </w:rPr>
        <w:t>Ovaj je lijek pod dodatnim praćenjem. Time se omogućuje brzo otkrivanje novih sigurnosnih informacija. Prijavom svih sumnji na nuspojavu i Vi možete pomoći. Za postupak prijavljivanja nuspojava, pogledajte dio 4.</w:t>
      </w:r>
    </w:p>
    <w:p w14:paraId="2A5EB813" w14:textId="77777777" w:rsidR="00146472" w:rsidRPr="00510442" w:rsidRDefault="00146472" w:rsidP="00A91C07">
      <w:pPr>
        <w:widowControl w:val="0"/>
        <w:tabs>
          <w:tab w:val="clear" w:pos="567"/>
        </w:tabs>
        <w:spacing w:line="240" w:lineRule="auto"/>
        <w:rPr>
          <w:color w:val="000000"/>
          <w:szCs w:val="22"/>
          <w:lang w:val="hr-HR"/>
        </w:rPr>
      </w:pPr>
    </w:p>
    <w:p w14:paraId="0EC883DA" w14:textId="77777777" w:rsidR="00146472" w:rsidRPr="00510442" w:rsidRDefault="00146472" w:rsidP="00146472">
      <w:pPr>
        <w:tabs>
          <w:tab w:val="clear" w:pos="567"/>
        </w:tabs>
        <w:autoSpaceDE w:val="0"/>
        <w:autoSpaceDN w:val="0"/>
        <w:adjustRightInd w:val="0"/>
        <w:spacing w:line="240" w:lineRule="auto"/>
        <w:rPr>
          <w:color w:val="000000"/>
          <w:szCs w:val="22"/>
          <w:lang w:val="hr-HR"/>
        </w:rPr>
      </w:pPr>
      <w:r w:rsidRPr="00510442">
        <w:rPr>
          <w:b/>
          <w:szCs w:val="22"/>
          <w:lang w:val="hr-HR"/>
        </w:rPr>
        <w:t>Pažljivo pročitajte cijelu uputu prije nego počnete uzimati ovaj lijek jer sadrži Vama važne podatke</w:t>
      </w:r>
      <w:r w:rsidRPr="00510442">
        <w:rPr>
          <w:b/>
          <w:color w:val="000000"/>
          <w:szCs w:val="22"/>
          <w:lang w:val="hr-HR"/>
        </w:rPr>
        <w:t>.</w:t>
      </w:r>
    </w:p>
    <w:p w14:paraId="3D76F898" w14:textId="77777777" w:rsidR="00146472" w:rsidRPr="00510442" w:rsidRDefault="00146472" w:rsidP="00146472">
      <w:pPr>
        <w:widowControl w:val="0"/>
        <w:numPr>
          <w:ilvl w:val="0"/>
          <w:numId w:val="1"/>
        </w:numPr>
        <w:tabs>
          <w:tab w:val="clear" w:pos="567"/>
        </w:tabs>
        <w:spacing w:line="240" w:lineRule="auto"/>
        <w:ind w:left="567" w:right="-2" w:hanging="567"/>
        <w:rPr>
          <w:color w:val="000000"/>
          <w:szCs w:val="22"/>
          <w:lang w:val="hr-HR"/>
        </w:rPr>
      </w:pPr>
      <w:r w:rsidRPr="00510442">
        <w:rPr>
          <w:szCs w:val="22"/>
          <w:lang w:val="hr-HR"/>
        </w:rPr>
        <w:t>Sačuvajte ovu uputu. Možda ćete je trebati ponovno pročitati</w:t>
      </w:r>
      <w:r w:rsidRPr="00510442">
        <w:rPr>
          <w:color w:val="000000"/>
          <w:szCs w:val="22"/>
          <w:lang w:val="hr-HR"/>
        </w:rPr>
        <w:t>.</w:t>
      </w:r>
    </w:p>
    <w:p w14:paraId="182BB41E" w14:textId="77777777" w:rsidR="00146472" w:rsidRPr="00510442" w:rsidRDefault="00146472" w:rsidP="00146472">
      <w:pPr>
        <w:widowControl w:val="0"/>
        <w:numPr>
          <w:ilvl w:val="0"/>
          <w:numId w:val="1"/>
        </w:numPr>
        <w:tabs>
          <w:tab w:val="clear" w:pos="567"/>
        </w:tabs>
        <w:spacing w:line="240" w:lineRule="auto"/>
        <w:ind w:left="567" w:right="-2" w:hanging="567"/>
        <w:rPr>
          <w:color w:val="000000"/>
          <w:szCs w:val="22"/>
          <w:lang w:val="hr-HR"/>
        </w:rPr>
      </w:pPr>
      <w:r w:rsidRPr="00510442">
        <w:rPr>
          <w:szCs w:val="22"/>
          <w:lang w:val="hr-HR"/>
        </w:rPr>
        <w:t>Ako imate dodatnih pitanja, obratite se liječniku, ljekarniku ili medicinskoj sestri</w:t>
      </w:r>
      <w:r w:rsidRPr="00510442">
        <w:rPr>
          <w:color w:val="000000"/>
          <w:szCs w:val="22"/>
          <w:lang w:val="hr-HR"/>
        </w:rPr>
        <w:t>.</w:t>
      </w:r>
    </w:p>
    <w:p w14:paraId="5FA98EA8" w14:textId="77777777" w:rsidR="00146472" w:rsidRPr="00510442" w:rsidRDefault="00146472" w:rsidP="00146472">
      <w:pPr>
        <w:widowControl w:val="0"/>
        <w:numPr>
          <w:ilvl w:val="0"/>
          <w:numId w:val="1"/>
        </w:numPr>
        <w:tabs>
          <w:tab w:val="clear" w:pos="567"/>
        </w:tabs>
        <w:spacing w:line="240" w:lineRule="auto"/>
        <w:ind w:left="567" w:right="-2" w:hanging="567"/>
        <w:rPr>
          <w:color w:val="000000"/>
          <w:szCs w:val="22"/>
          <w:lang w:val="hr-HR"/>
        </w:rPr>
      </w:pPr>
      <w:r w:rsidRPr="00510442">
        <w:rPr>
          <w:szCs w:val="22"/>
          <w:lang w:val="hr-HR"/>
        </w:rPr>
        <w:t>Ovaj je lijek propisan samo Vama. Nemojte ga davati drugima. Može im naškoditi, čak i ako su njihovi znakovi bolesti jednaki Vašima</w:t>
      </w:r>
      <w:r w:rsidRPr="00510442">
        <w:rPr>
          <w:color w:val="000000"/>
          <w:szCs w:val="22"/>
          <w:lang w:val="hr-HR"/>
        </w:rPr>
        <w:t>.</w:t>
      </w:r>
    </w:p>
    <w:p w14:paraId="06D29FDF" w14:textId="77777777" w:rsidR="00146472" w:rsidRPr="00510442" w:rsidRDefault="00146472" w:rsidP="00146472">
      <w:pPr>
        <w:widowControl w:val="0"/>
        <w:numPr>
          <w:ilvl w:val="0"/>
          <w:numId w:val="1"/>
        </w:numPr>
        <w:tabs>
          <w:tab w:val="clear" w:pos="567"/>
        </w:tabs>
        <w:spacing w:line="240" w:lineRule="auto"/>
        <w:ind w:left="567" w:right="-2" w:hanging="567"/>
        <w:rPr>
          <w:color w:val="000000"/>
          <w:szCs w:val="22"/>
          <w:lang w:val="hr-HR"/>
        </w:rPr>
      </w:pPr>
      <w:r w:rsidRPr="00510442">
        <w:rPr>
          <w:color w:val="000000"/>
          <w:szCs w:val="22"/>
          <w:lang w:val="hr-HR"/>
        </w:rPr>
        <w:t>Ako primijetite bilo koju nuspojavu, potrebno je obavijestiti liječnika</w:t>
      </w:r>
      <w:r w:rsidRPr="00510442">
        <w:rPr>
          <w:szCs w:val="22"/>
          <w:lang w:val="hr-HR"/>
        </w:rPr>
        <w:t xml:space="preserve">, </w:t>
      </w:r>
      <w:r w:rsidRPr="00510442">
        <w:rPr>
          <w:color w:val="000000"/>
          <w:szCs w:val="22"/>
          <w:lang w:val="hr-HR"/>
        </w:rPr>
        <w:t>ljekarnika ili medicinsku sestru. To uključuje i svaku moguću nuspojavu koja nije navedena u ovoj uputi.</w:t>
      </w:r>
      <w:r w:rsidR="009F29A1" w:rsidRPr="00510442">
        <w:rPr>
          <w:color w:val="000000"/>
          <w:szCs w:val="22"/>
          <w:lang w:val="hr-HR"/>
        </w:rPr>
        <w:t xml:space="preserve"> Pogledajte dio 4.</w:t>
      </w:r>
    </w:p>
    <w:p w14:paraId="594BE382" w14:textId="77777777" w:rsidR="00146472" w:rsidRPr="00510442" w:rsidRDefault="00146472" w:rsidP="00146472">
      <w:pPr>
        <w:widowControl w:val="0"/>
        <w:numPr>
          <w:ilvl w:val="12"/>
          <w:numId w:val="0"/>
        </w:numPr>
        <w:tabs>
          <w:tab w:val="clear" w:pos="567"/>
        </w:tabs>
        <w:spacing w:line="240" w:lineRule="auto"/>
        <w:ind w:right="-2"/>
        <w:rPr>
          <w:color w:val="000000"/>
          <w:szCs w:val="22"/>
          <w:lang w:val="hr-HR"/>
        </w:rPr>
      </w:pPr>
    </w:p>
    <w:p w14:paraId="4F63E697" w14:textId="77777777" w:rsidR="00146472" w:rsidRPr="00510442" w:rsidRDefault="00146472" w:rsidP="00146472">
      <w:pPr>
        <w:widowControl w:val="0"/>
        <w:numPr>
          <w:ilvl w:val="12"/>
          <w:numId w:val="0"/>
        </w:numPr>
        <w:tabs>
          <w:tab w:val="clear" w:pos="567"/>
        </w:tabs>
        <w:spacing w:line="240" w:lineRule="auto"/>
        <w:ind w:right="-2"/>
        <w:rPr>
          <w:color w:val="000000"/>
          <w:szCs w:val="22"/>
          <w:lang w:val="hr-HR"/>
        </w:rPr>
      </w:pPr>
    </w:p>
    <w:p w14:paraId="46920C11" w14:textId="77777777" w:rsidR="00146472" w:rsidRPr="00510442" w:rsidRDefault="00146472" w:rsidP="00146472">
      <w:pPr>
        <w:widowControl w:val="0"/>
        <w:numPr>
          <w:ilvl w:val="12"/>
          <w:numId w:val="0"/>
        </w:numPr>
        <w:tabs>
          <w:tab w:val="clear" w:pos="567"/>
        </w:tabs>
        <w:spacing w:line="240" w:lineRule="auto"/>
        <w:ind w:right="-2"/>
        <w:rPr>
          <w:color w:val="000000"/>
          <w:szCs w:val="22"/>
          <w:lang w:val="hr-HR"/>
        </w:rPr>
      </w:pPr>
      <w:r w:rsidRPr="00510442">
        <w:rPr>
          <w:b/>
          <w:szCs w:val="22"/>
          <w:lang w:val="hr-HR"/>
        </w:rPr>
        <w:t>Što se nalazi u ovoj uputi</w:t>
      </w:r>
    </w:p>
    <w:p w14:paraId="6BE5C084" w14:textId="77777777" w:rsidR="00146472" w:rsidRPr="00510442" w:rsidRDefault="00146472" w:rsidP="00146472">
      <w:pPr>
        <w:widowControl w:val="0"/>
        <w:numPr>
          <w:ilvl w:val="12"/>
          <w:numId w:val="0"/>
        </w:numPr>
        <w:tabs>
          <w:tab w:val="clear" w:pos="567"/>
        </w:tabs>
        <w:spacing w:line="240" w:lineRule="auto"/>
        <w:ind w:left="567" w:right="-29" w:hanging="567"/>
        <w:rPr>
          <w:color w:val="000000"/>
          <w:szCs w:val="22"/>
          <w:lang w:val="hr-HR"/>
        </w:rPr>
      </w:pPr>
      <w:r w:rsidRPr="00510442">
        <w:rPr>
          <w:color w:val="000000"/>
          <w:szCs w:val="22"/>
          <w:lang w:val="hr-HR"/>
        </w:rPr>
        <w:t>1.</w:t>
      </w:r>
      <w:r w:rsidRPr="00510442">
        <w:rPr>
          <w:color w:val="000000"/>
          <w:szCs w:val="22"/>
          <w:lang w:val="hr-HR"/>
        </w:rPr>
        <w:tab/>
        <w:t xml:space="preserve">Što je Glivec </w:t>
      </w:r>
      <w:r w:rsidRPr="00510442">
        <w:rPr>
          <w:szCs w:val="22"/>
          <w:lang w:val="hr-HR"/>
        </w:rPr>
        <w:t>i za što se koristi</w:t>
      </w:r>
    </w:p>
    <w:p w14:paraId="681767B6" w14:textId="77777777" w:rsidR="00146472" w:rsidRPr="00510442" w:rsidRDefault="00146472" w:rsidP="00146472">
      <w:pPr>
        <w:widowControl w:val="0"/>
        <w:numPr>
          <w:ilvl w:val="12"/>
          <w:numId w:val="0"/>
        </w:numPr>
        <w:tabs>
          <w:tab w:val="clear" w:pos="567"/>
        </w:tabs>
        <w:spacing w:line="240" w:lineRule="auto"/>
        <w:ind w:left="567" w:right="-29" w:hanging="567"/>
        <w:rPr>
          <w:color w:val="000000"/>
          <w:szCs w:val="22"/>
          <w:lang w:val="hr-HR"/>
        </w:rPr>
      </w:pPr>
      <w:r w:rsidRPr="00510442">
        <w:rPr>
          <w:color w:val="000000"/>
          <w:szCs w:val="22"/>
          <w:lang w:val="hr-HR"/>
        </w:rPr>
        <w:t>2.</w:t>
      </w:r>
      <w:r w:rsidRPr="00510442">
        <w:rPr>
          <w:color w:val="000000"/>
          <w:szCs w:val="22"/>
          <w:lang w:val="hr-HR"/>
        </w:rPr>
        <w:tab/>
      </w:r>
      <w:r w:rsidRPr="00510442">
        <w:rPr>
          <w:szCs w:val="22"/>
          <w:lang w:val="hr-HR"/>
        </w:rPr>
        <w:t>Što morate znati prije nego počnete uzimati</w:t>
      </w:r>
      <w:r w:rsidRPr="00510442">
        <w:rPr>
          <w:color w:val="000000"/>
          <w:szCs w:val="22"/>
          <w:lang w:val="hr-HR"/>
        </w:rPr>
        <w:t xml:space="preserve"> Glivec</w:t>
      </w:r>
    </w:p>
    <w:p w14:paraId="64F29059" w14:textId="77777777" w:rsidR="00146472" w:rsidRPr="00510442" w:rsidRDefault="00146472" w:rsidP="00146472">
      <w:pPr>
        <w:widowControl w:val="0"/>
        <w:numPr>
          <w:ilvl w:val="12"/>
          <w:numId w:val="0"/>
        </w:numPr>
        <w:tabs>
          <w:tab w:val="clear" w:pos="567"/>
        </w:tabs>
        <w:spacing w:line="240" w:lineRule="auto"/>
        <w:ind w:left="567" w:right="-29" w:hanging="567"/>
        <w:rPr>
          <w:color w:val="000000"/>
          <w:szCs w:val="22"/>
          <w:lang w:val="hr-HR"/>
        </w:rPr>
      </w:pPr>
      <w:r w:rsidRPr="00510442">
        <w:rPr>
          <w:color w:val="000000"/>
          <w:szCs w:val="22"/>
          <w:lang w:val="hr-HR"/>
        </w:rPr>
        <w:t>3.</w:t>
      </w:r>
      <w:r w:rsidRPr="00510442">
        <w:rPr>
          <w:color w:val="000000"/>
          <w:szCs w:val="22"/>
          <w:lang w:val="hr-HR"/>
        </w:rPr>
        <w:tab/>
      </w:r>
      <w:r w:rsidRPr="00510442">
        <w:rPr>
          <w:szCs w:val="22"/>
          <w:lang w:val="hr-HR"/>
        </w:rPr>
        <w:t>Kako uzimati</w:t>
      </w:r>
      <w:r w:rsidRPr="00510442">
        <w:rPr>
          <w:color w:val="000000"/>
          <w:szCs w:val="22"/>
          <w:lang w:val="hr-HR"/>
        </w:rPr>
        <w:t xml:space="preserve"> Glivec</w:t>
      </w:r>
    </w:p>
    <w:p w14:paraId="4898A15D" w14:textId="77777777" w:rsidR="00146472" w:rsidRPr="00510442" w:rsidRDefault="00146472" w:rsidP="00146472">
      <w:pPr>
        <w:widowControl w:val="0"/>
        <w:numPr>
          <w:ilvl w:val="12"/>
          <w:numId w:val="0"/>
        </w:numPr>
        <w:tabs>
          <w:tab w:val="clear" w:pos="567"/>
        </w:tabs>
        <w:spacing w:line="240" w:lineRule="auto"/>
        <w:ind w:left="567" w:right="-29" w:hanging="567"/>
        <w:rPr>
          <w:color w:val="000000"/>
          <w:szCs w:val="22"/>
          <w:lang w:val="hr-HR"/>
        </w:rPr>
      </w:pPr>
      <w:r w:rsidRPr="00510442">
        <w:rPr>
          <w:color w:val="000000"/>
          <w:szCs w:val="22"/>
          <w:lang w:val="hr-HR"/>
        </w:rPr>
        <w:t>4.</w:t>
      </w:r>
      <w:r w:rsidRPr="00510442">
        <w:rPr>
          <w:color w:val="000000"/>
          <w:szCs w:val="22"/>
          <w:lang w:val="hr-HR"/>
        </w:rPr>
        <w:tab/>
      </w:r>
      <w:r w:rsidRPr="00510442">
        <w:rPr>
          <w:szCs w:val="22"/>
          <w:lang w:val="hr-HR"/>
        </w:rPr>
        <w:t>Moguće nuspojave</w:t>
      </w:r>
    </w:p>
    <w:p w14:paraId="2273505E" w14:textId="77777777" w:rsidR="00146472" w:rsidRPr="00510442" w:rsidRDefault="00146472" w:rsidP="00146472">
      <w:pPr>
        <w:widowControl w:val="0"/>
        <w:tabs>
          <w:tab w:val="clear" w:pos="567"/>
        </w:tabs>
        <w:spacing w:line="240" w:lineRule="auto"/>
        <w:ind w:left="567" w:right="-29" w:hanging="567"/>
        <w:rPr>
          <w:color w:val="000000"/>
          <w:szCs w:val="22"/>
          <w:lang w:val="hr-HR"/>
        </w:rPr>
      </w:pPr>
      <w:r w:rsidRPr="00510442">
        <w:rPr>
          <w:color w:val="000000"/>
          <w:szCs w:val="22"/>
          <w:lang w:val="hr-HR"/>
        </w:rPr>
        <w:t>5.</w:t>
      </w:r>
      <w:r w:rsidRPr="00510442">
        <w:rPr>
          <w:color w:val="000000"/>
          <w:szCs w:val="22"/>
          <w:lang w:val="hr-HR"/>
        </w:rPr>
        <w:tab/>
      </w:r>
      <w:r w:rsidRPr="00510442">
        <w:rPr>
          <w:szCs w:val="22"/>
          <w:lang w:val="hr-HR"/>
        </w:rPr>
        <w:t xml:space="preserve">Kako čuvati </w:t>
      </w:r>
      <w:r w:rsidRPr="00510442">
        <w:rPr>
          <w:color w:val="000000"/>
          <w:szCs w:val="22"/>
          <w:lang w:val="hr-HR"/>
        </w:rPr>
        <w:t>Glivec</w:t>
      </w:r>
    </w:p>
    <w:p w14:paraId="3CDEE8FC" w14:textId="77777777" w:rsidR="00146472" w:rsidRPr="00510442" w:rsidRDefault="00146472" w:rsidP="00146472">
      <w:pPr>
        <w:widowControl w:val="0"/>
        <w:tabs>
          <w:tab w:val="clear" w:pos="567"/>
        </w:tabs>
        <w:spacing w:line="240" w:lineRule="auto"/>
        <w:ind w:left="567" w:right="-29" w:hanging="567"/>
        <w:rPr>
          <w:color w:val="000000"/>
          <w:szCs w:val="22"/>
          <w:lang w:val="hr-HR"/>
        </w:rPr>
      </w:pPr>
      <w:r w:rsidRPr="00510442">
        <w:rPr>
          <w:color w:val="000000"/>
          <w:szCs w:val="22"/>
          <w:lang w:val="hr-HR"/>
        </w:rPr>
        <w:t>6.</w:t>
      </w:r>
      <w:r w:rsidRPr="00510442">
        <w:rPr>
          <w:color w:val="000000"/>
          <w:szCs w:val="22"/>
          <w:lang w:val="hr-HR"/>
        </w:rPr>
        <w:tab/>
      </w:r>
      <w:r w:rsidRPr="00510442">
        <w:rPr>
          <w:szCs w:val="22"/>
          <w:lang w:val="hr-HR"/>
        </w:rPr>
        <w:t xml:space="preserve">Sadržaj </w:t>
      </w:r>
      <w:r w:rsidR="009F29A1" w:rsidRPr="00510442">
        <w:rPr>
          <w:szCs w:val="22"/>
          <w:lang w:val="hr-HR"/>
        </w:rPr>
        <w:t xml:space="preserve">pakiranja </w:t>
      </w:r>
      <w:r w:rsidRPr="00510442">
        <w:rPr>
          <w:szCs w:val="22"/>
          <w:lang w:val="hr-HR"/>
        </w:rPr>
        <w:t>i druge informacije</w:t>
      </w:r>
    </w:p>
    <w:p w14:paraId="4E9CE649" w14:textId="77777777" w:rsidR="00146472" w:rsidRPr="00510442" w:rsidRDefault="00146472" w:rsidP="00146472">
      <w:pPr>
        <w:widowControl w:val="0"/>
        <w:tabs>
          <w:tab w:val="clear" w:pos="567"/>
        </w:tabs>
        <w:spacing w:line="240" w:lineRule="auto"/>
        <w:ind w:right="-29"/>
        <w:rPr>
          <w:color w:val="000000"/>
          <w:szCs w:val="22"/>
          <w:lang w:val="hr-HR"/>
        </w:rPr>
      </w:pPr>
    </w:p>
    <w:p w14:paraId="743B5715" w14:textId="77777777" w:rsidR="00146472" w:rsidRPr="00510442" w:rsidRDefault="00146472" w:rsidP="00146472">
      <w:pPr>
        <w:widowControl w:val="0"/>
        <w:tabs>
          <w:tab w:val="clear" w:pos="567"/>
        </w:tabs>
        <w:spacing w:line="240" w:lineRule="auto"/>
        <w:ind w:right="-29"/>
        <w:rPr>
          <w:color w:val="000000"/>
          <w:szCs w:val="22"/>
          <w:lang w:val="hr-HR"/>
        </w:rPr>
      </w:pPr>
    </w:p>
    <w:p w14:paraId="2388B54B" w14:textId="77777777" w:rsidR="00146472" w:rsidRPr="00510442" w:rsidRDefault="00146472" w:rsidP="00FB4E6C">
      <w:pPr>
        <w:keepNext/>
        <w:widowControl w:val="0"/>
        <w:numPr>
          <w:ilvl w:val="12"/>
          <w:numId w:val="0"/>
        </w:numPr>
        <w:tabs>
          <w:tab w:val="clear" w:pos="567"/>
        </w:tabs>
        <w:spacing w:line="240" w:lineRule="auto"/>
        <w:ind w:left="567" w:right="-2" w:hanging="567"/>
        <w:rPr>
          <w:color w:val="000000"/>
          <w:szCs w:val="22"/>
          <w:lang w:val="hr-HR"/>
        </w:rPr>
      </w:pPr>
      <w:r w:rsidRPr="00510442">
        <w:rPr>
          <w:b/>
          <w:color w:val="000000"/>
          <w:szCs w:val="22"/>
          <w:lang w:val="hr-HR"/>
        </w:rPr>
        <w:t>1.</w:t>
      </w:r>
      <w:r w:rsidRPr="00510442">
        <w:rPr>
          <w:b/>
          <w:color w:val="000000"/>
          <w:szCs w:val="22"/>
          <w:lang w:val="hr-HR"/>
        </w:rPr>
        <w:tab/>
        <w:t xml:space="preserve">Što je Glivec </w:t>
      </w:r>
      <w:r w:rsidRPr="00510442">
        <w:rPr>
          <w:b/>
          <w:szCs w:val="22"/>
          <w:lang w:val="hr-HR"/>
        </w:rPr>
        <w:t>i za što se koristi</w:t>
      </w:r>
    </w:p>
    <w:p w14:paraId="4E9FD10B" w14:textId="77777777" w:rsidR="00146472" w:rsidRPr="00510442" w:rsidRDefault="00146472" w:rsidP="00FB4E6C">
      <w:pPr>
        <w:pStyle w:val="EndnoteText"/>
        <w:keepNext/>
        <w:widowControl w:val="0"/>
        <w:numPr>
          <w:ilvl w:val="12"/>
          <w:numId w:val="0"/>
        </w:numPr>
        <w:tabs>
          <w:tab w:val="clear" w:pos="567"/>
        </w:tabs>
        <w:rPr>
          <w:color w:val="000000"/>
          <w:szCs w:val="22"/>
          <w:lang w:val="hr-HR"/>
        </w:rPr>
      </w:pPr>
    </w:p>
    <w:p w14:paraId="642361D2" w14:textId="77777777" w:rsidR="00146472" w:rsidRPr="00510442" w:rsidRDefault="00146472" w:rsidP="00146472">
      <w:pPr>
        <w:tabs>
          <w:tab w:val="right" w:pos="2964"/>
        </w:tabs>
        <w:spacing w:line="240" w:lineRule="auto"/>
        <w:rPr>
          <w:szCs w:val="22"/>
          <w:lang w:val="hr-HR"/>
        </w:rPr>
      </w:pPr>
      <w:r w:rsidRPr="00510442">
        <w:rPr>
          <w:szCs w:val="22"/>
          <w:lang w:val="hr-HR"/>
        </w:rPr>
        <w:t>Glivec je lijek koji sadrži djelatnu tvar zvanu imatinib. Ovaj lijek djeluje tako da inhibira rast abnormalnih stanica kod niže navedenih bolesti. One obuhvaćaju i neke vrste raka.</w:t>
      </w:r>
    </w:p>
    <w:p w14:paraId="3C6C926D" w14:textId="77777777" w:rsidR="00146472" w:rsidRPr="00510442" w:rsidRDefault="00146472" w:rsidP="00146472">
      <w:pPr>
        <w:pStyle w:val="Text"/>
        <w:widowControl w:val="0"/>
        <w:spacing w:before="0"/>
        <w:jc w:val="left"/>
        <w:rPr>
          <w:color w:val="000000"/>
          <w:sz w:val="22"/>
          <w:szCs w:val="22"/>
          <w:lang w:val="hr-HR"/>
        </w:rPr>
      </w:pPr>
    </w:p>
    <w:p w14:paraId="2C3A30F9" w14:textId="77777777" w:rsidR="00146472" w:rsidRPr="00510442" w:rsidRDefault="00146472" w:rsidP="00FB4E6C">
      <w:pPr>
        <w:keepNext/>
        <w:tabs>
          <w:tab w:val="right" w:pos="2964"/>
        </w:tabs>
        <w:spacing w:line="240" w:lineRule="auto"/>
        <w:rPr>
          <w:b/>
          <w:szCs w:val="22"/>
          <w:lang w:val="hr-HR"/>
        </w:rPr>
      </w:pPr>
      <w:r w:rsidRPr="00510442">
        <w:rPr>
          <w:b/>
          <w:szCs w:val="22"/>
          <w:lang w:val="hr-HR"/>
        </w:rPr>
        <w:t>Glivec se kod odraslih osoba i djece koristi za liječenje:</w:t>
      </w:r>
    </w:p>
    <w:p w14:paraId="4F757DF9" w14:textId="77777777" w:rsidR="00146472" w:rsidRPr="00510442" w:rsidRDefault="00146472" w:rsidP="00FB4E6C">
      <w:pPr>
        <w:pStyle w:val="Text"/>
        <w:keepNext/>
        <w:widowControl w:val="0"/>
        <w:spacing w:before="0"/>
        <w:jc w:val="left"/>
        <w:rPr>
          <w:color w:val="000000"/>
          <w:sz w:val="22"/>
          <w:szCs w:val="22"/>
          <w:lang w:val="hr-HR"/>
        </w:rPr>
      </w:pPr>
    </w:p>
    <w:p w14:paraId="696E982A" w14:textId="77777777" w:rsidR="00146472" w:rsidRPr="00510442" w:rsidRDefault="00146472" w:rsidP="00146472">
      <w:pPr>
        <w:pStyle w:val="Text"/>
        <w:widowControl w:val="0"/>
        <w:numPr>
          <w:ilvl w:val="0"/>
          <w:numId w:val="14"/>
        </w:numPr>
        <w:spacing w:before="0"/>
        <w:ind w:left="567" w:hanging="567"/>
        <w:jc w:val="left"/>
        <w:rPr>
          <w:color w:val="000000"/>
          <w:sz w:val="22"/>
          <w:szCs w:val="22"/>
          <w:lang w:val="hr-HR"/>
        </w:rPr>
      </w:pPr>
      <w:r w:rsidRPr="00510442">
        <w:rPr>
          <w:b/>
          <w:sz w:val="22"/>
          <w:szCs w:val="22"/>
          <w:lang w:val="hr-HR"/>
        </w:rPr>
        <w:t>Kronične mijeloične leukemije (KML).</w:t>
      </w:r>
      <w:r w:rsidRPr="00510442">
        <w:rPr>
          <w:sz w:val="22"/>
          <w:szCs w:val="22"/>
          <w:lang w:val="hr-HR"/>
        </w:rPr>
        <w:t xml:space="preserve"> Leukemija je rak bijelih krvnih stanica. Te bijele krvne stanice obično pomažu tijelu u borbi protiv infekcije. Kronična mijeloična leukemija je oblik leukemije u kojem određene abnormalne bijele krvne stanice (zvane mijeloidne stanice) počinju nekontrolirano rasti.</w:t>
      </w:r>
    </w:p>
    <w:p w14:paraId="52D073E0" w14:textId="77777777" w:rsidR="00146472" w:rsidRPr="00510442" w:rsidRDefault="00146472" w:rsidP="00146472">
      <w:pPr>
        <w:pStyle w:val="Text"/>
        <w:widowControl w:val="0"/>
        <w:numPr>
          <w:ilvl w:val="0"/>
          <w:numId w:val="14"/>
        </w:numPr>
        <w:spacing w:before="0"/>
        <w:ind w:left="567" w:hanging="567"/>
        <w:jc w:val="left"/>
        <w:rPr>
          <w:color w:val="000000"/>
          <w:sz w:val="22"/>
          <w:szCs w:val="22"/>
          <w:lang w:val="hr-HR"/>
        </w:rPr>
      </w:pPr>
      <w:r w:rsidRPr="00510442">
        <w:rPr>
          <w:b/>
          <w:sz w:val="22"/>
          <w:szCs w:val="22"/>
          <w:lang w:val="hr-HR"/>
        </w:rPr>
        <w:t xml:space="preserve">Akutne limfoblastične leukemije s pozitivnim Philadelphia kromosomom (Ph-pozitivni </w:t>
      </w:r>
      <w:smartTag w:uri="urn:schemas-microsoft-com:office:smarttags" w:element="stockticker">
        <w:r w:rsidRPr="00510442">
          <w:rPr>
            <w:b/>
            <w:sz w:val="22"/>
            <w:szCs w:val="22"/>
            <w:lang w:val="hr-HR"/>
          </w:rPr>
          <w:t>ALL</w:t>
        </w:r>
      </w:smartTag>
      <w:r w:rsidRPr="00510442">
        <w:rPr>
          <w:b/>
          <w:sz w:val="22"/>
          <w:szCs w:val="22"/>
          <w:lang w:val="hr-HR"/>
        </w:rPr>
        <w:t>)</w:t>
      </w:r>
      <w:r w:rsidRPr="00510442">
        <w:rPr>
          <w:sz w:val="22"/>
          <w:szCs w:val="22"/>
          <w:lang w:val="hr-HR"/>
        </w:rPr>
        <w:t>. Leukemija je rak bijelih krvnih stanica. Te bijele krvne stanice obično pomažu tijelu u borbi protiv infekcije. Akutna limfoblastična leukemija je oblik leukemije u kojem određene abnormalne bijele krvne stanice (zvane limfoblasti) počinju nekontrolirano rasti. Glivec inhibira rast ovih stanica.</w:t>
      </w:r>
    </w:p>
    <w:p w14:paraId="21FA3271" w14:textId="77777777" w:rsidR="00146472" w:rsidRPr="00510442" w:rsidRDefault="00146472" w:rsidP="00146472">
      <w:pPr>
        <w:pStyle w:val="Text"/>
        <w:widowControl w:val="0"/>
        <w:spacing w:before="0"/>
        <w:jc w:val="left"/>
        <w:rPr>
          <w:color w:val="000000"/>
          <w:sz w:val="22"/>
          <w:szCs w:val="22"/>
          <w:lang w:val="hr-HR"/>
        </w:rPr>
      </w:pPr>
    </w:p>
    <w:p w14:paraId="166DD944" w14:textId="77777777" w:rsidR="00146472" w:rsidRPr="00510442" w:rsidRDefault="00146472" w:rsidP="00FB4E6C">
      <w:pPr>
        <w:keepNext/>
        <w:tabs>
          <w:tab w:val="right" w:pos="2964"/>
        </w:tabs>
        <w:spacing w:line="240" w:lineRule="auto"/>
        <w:rPr>
          <w:b/>
          <w:szCs w:val="22"/>
          <w:lang w:val="hr-HR"/>
        </w:rPr>
      </w:pPr>
      <w:r w:rsidRPr="00510442">
        <w:rPr>
          <w:b/>
          <w:szCs w:val="22"/>
          <w:lang w:val="hr-HR"/>
        </w:rPr>
        <w:t>Glivec se kod odraslih osoba također koristi za liječenje:</w:t>
      </w:r>
    </w:p>
    <w:p w14:paraId="0F34D2BC" w14:textId="77777777" w:rsidR="00146472" w:rsidRPr="00510442" w:rsidRDefault="00146472" w:rsidP="00FB4E6C">
      <w:pPr>
        <w:keepNext/>
        <w:tabs>
          <w:tab w:val="clear" w:pos="567"/>
        </w:tabs>
        <w:spacing w:line="240" w:lineRule="auto"/>
        <w:rPr>
          <w:szCs w:val="22"/>
          <w:lang w:val="hr-HR"/>
        </w:rPr>
      </w:pPr>
    </w:p>
    <w:p w14:paraId="78851F48" w14:textId="77777777" w:rsidR="00146472" w:rsidRPr="00510442" w:rsidRDefault="00146472" w:rsidP="00146472">
      <w:pPr>
        <w:numPr>
          <w:ilvl w:val="0"/>
          <w:numId w:val="14"/>
        </w:numPr>
        <w:tabs>
          <w:tab w:val="clear" w:pos="567"/>
        </w:tabs>
        <w:spacing w:line="240" w:lineRule="auto"/>
        <w:ind w:left="567" w:hanging="567"/>
        <w:rPr>
          <w:szCs w:val="22"/>
          <w:lang w:val="hr-HR"/>
        </w:rPr>
      </w:pPr>
      <w:r w:rsidRPr="00510442">
        <w:rPr>
          <w:b/>
          <w:szCs w:val="22"/>
          <w:lang w:val="hr-HR"/>
        </w:rPr>
        <w:t xml:space="preserve">Mijelodisplastičnih/mijeloproliferativnih bolesti (MDS/MPD). </w:t>
      </w:r>
      <w:r w:rsidRPr="00510442">
        <w:rPr>
          <w:szCs w:val="22"/>
          <w:lang w:val="hr-HR"/>
        </w:rPr>
        <w:t>One čine skupinu bolesti krvi u kojima određene krvne stanice počinju nekontrolirano rasti. Glivec inhibira rast ovih stanica u određenoj podvrsti ovih bolesti.</w:t>
      </w:r>
    </w:p>
    <w:p w14:paraId="260DF4B6" w14:textId="77777777" w:rsidR="00146472" w:rsidRPr="00510442" w:rsidRDefault="00146472" w:rsidP="00146472">
      <w:pPr>
        <w:pStyle w:val="Listlevel1"/>
        <w:numPr>
          <w:ilvl w:val="0"/>
          <w:numId w:val="14"/>
        </w:numPr>
        <w:spacing w:before="0" w:after="0"/>
        <w:ind w:left="567" w:hanging="567"/>
        <w:rPr>
          <w:color w:val="000000"/>
          <w:sz w:val="22"/>
          <w:szCs w:val="22"/>
          <w:lang w:val="hr-HR"/>
        </w:rPr>
      </w:pPr>
      <w:r w:rsidRPr="00510442">
        <w:rPr>
          <w:b/>
          <w:sz w:val="22"/>
          <w:szCs w:val="22"/>
          <w:lang w:val="hr-HR"/>
        </w:rPr>
        <w:t>Hipereozinofilnog sindroma (HES) i/ili kronične eozinofilne leukemije (KEL).</w:t>
      </w:r>
      <w:r w:rsidRPr="00510442">
        <w:rPr>
          <w:sz w:val="22"/>
          <w:szCs w:val="22"/>
          <w:lang w:val="hr-HR"/>
        </w:rPr>
        <w:t xml:space="preserve"> To su bolesti krvi u kojima određene krvne stanice (zvane eozinofili) počinju nekontrolirano rasti. Glivec inhibira rast ovih stanica u određenoj podvrsti ovih bolesti.</w:t>
      </w:r>
    </w:p>
    <w:p w14:paraId="00719ECC" w14:textId="77777777" w:rsidR="00146472" w:rsidRPr="00510442" w:rsidRDefault="00146472" w:rsidP="00146472">
      <w:pPr>
        <w:pStyle w:val="Text"/>
        <w:widowControl w:val="0"/>
        <w:numPr>
          <w:ilvl w:val="0"/>
          <w:numId w:val="14"/>
        </w:numPr>
        <w:spacing w:before="0"/>
        <w:ind w:left="567" w:hanging="567"/>
        <w:jc w:val="left"/>
        <w:rPr>
          <w:color w:val="000000"/>
          <w:sz w:val="22"/>
          <w:szCs w:val="22"/>
          <w:lang w:val="hr-HR"/>
        </w:rPr>
      </w:pPr>
      <w:r w:rsidRPr="00510442">
        <w:rPr>
          <w:b/>
          <w:sz w:val="22"/>
          <w:szCs w:val="22"/>
          <w:lang w:val="hr-HR"/>
        </w:rPr>
        <w:t>Gastrointestinalnih stromalnih tumora (GIST).</w:t>
      </w:r>
      <w:r w:rsidRPr="00510442">
        <w:rPr>
          <w:sz w:val="22"/>
          <w:szCs w:val="22"/>
          <w:lang w:val="hr-HR"/>
        </w:rPr>
        <w:t xml:space="preserve"> GIST je rak želuca i crijeva. Nastaje zbog nekontroliranog rasta stanica potpornog tkiva tih organa</w:t>
      </w:r>
      <w:r w:rsidRPr="00510442">
        <w:rPr>
          <w:color w:val="000000"/>
          <w:sz w:val="22"/>
          <w:szCs w:val="22"/>
          <w:lang w:val="hr-HR"/>
        </w:rPr>
        <w:t>.</w:t>
      </w:r>
    </w:p>
    <w:p w14:paraId="21E59FD3" w14:textId="77777777" w:rsidR="00146472" w:rsidRPr="00510442" w:rsidRDefault="00146472" w:rsidP="00FB4E6C">
      <w:pPr>
        <w:pStyle w:val="Text"/>
        <w:keepNext/>
        <w:keepLines/>
        <w:widowControl w:val="0"/>
        <w:numPr>
          <w:ilvl w:val="0"/>
          <w:numId w:val="14"/>
        </w:numPr>
        <w:spacing w:before="0"/>
        <w:ind w:left="567" w:hanging="567"/>
        <w:jc w:val="left"/>
        <w:rPr>
          <w:color w:val="000000"/>
          <w:sz w:val="22"/>
          <w:szCs w:val="22"/>
          <w:lang w:val="hr-HR"/>
        </w:rPr>
      </w:pPr>
      <w:r w:rsidRPr="00510442">
        <w:rPr>
          <w:b/>
          <w:sz w:val="22"/>
          <w:szCs w:val="22"/>
          <w:lang w:val="hr-HR"/>
        </w:rPr>
        <w:lastRenderedPageBreak/>
        <w:t>Dermatofibrosarkoma protuberans (DFSP).</w:t>
      </w:r>
      <w:r w:rsidRPr="00510442">
        <w:rPr>
          <w:sz w:val="22"/>
          <w:szCs w:val="22"/>
          <w:lang w:val="hr-HR"/>
        </w:rPr>
        <w:t xml:space="preserve"> DFSP je rak tkiva ispod kože u kojem neke stanice počinju nekontrolirano rasti. Glivec inhibira rast ovih stanica</w:t>
      </w:r>
      <w:r w:rsidRPr="00510442">
        <w:rPr>
          <w:color w:val="000000"/>
          <w:sz w:val="22"/>
          <w:szCs w:val="22"/>
          <w:lang w:val="hr-HR"/>
        </w:rPr>
        <w:t>.</w:t>
      </w:r>
    </w:p>
    <w:p w14:paraId="01311F79" w14:textId="77777777" w:rsidR="00146472" w:rsidRPr="00510442" w:rsidRDefault="00146472" w:rsidP="00146472">
      <w:pPr>
        <w:pStyle w:val="Text"/>
        <w:widowControl w:val="0"/>
        <w:spacing w:before="0"/>
        <w:jc w:val="left"/>
        <w:rPr>
          <w:color w:val="000000"/>
          <w:sz w:val="22"/>
          <w:szCs w:val="22"/>
          <w:lang w:val="hr-HR"/>
        </w:rPr>
      </w:pPr>
      <w:r w:rsidRPr="00510442">
        <w:rPr>
          <w:sz w:val="22"/>
          <w:szCs w:val="22"/>
          <w:lang w:val="hr-HR"/>
        </w:rPr>
        <w:t>U ostatku ove upute o lijeku koristiti ćemo kratice prilikom spominjanja ovih bolesti</w:t>
      </w:r>
      <w:r w:rsidRPr="00510442">
        <w:rPr>
          <w:color w:val="000000"/>
          <w:sz w:val="22"/>
          <w:szCs w:val="22"/>
          <w:lang w:val="hr-HR"/>
        </w:rPr>
        <w:t>.</w:t>
      </w:r>
    </w:p>
    <w:p w14:paraId="54911E50" w14:textId="77777777" w:rsidR="00146472" w:rsidRPr="00510442" w:rsidRDefault="00146472" w:rsidP="00146472">
      <w:pPr>
        <w:pStyle w:val="Text"/>
        <w:widowControl w:val="0"/>
        <w:spacing w:before="0"/>
        <w:jc w:val="left"/>
        <w:rPr>
          <w:color w:val="000000"/>
          <w:sz w:val="22"/>
          <w:szCs w:val="22"/>
          <w:lang w:val="hr-HR"/>
        </w:rPr>
      </w:pPr>
    </w:p>
    <w:p w14:paraId="5E44D1D8" w14:textId="77777777" w:rsidR="00146472" w:rsidRPr="00510442" w:rsidRDefault="00146472" w:rsidP="00146472">
      <w:pPr>
        <w:pStyle w:val="Text"/>
        <w:widowControl w:val="0"/>
        <w:spacing w:before="0"/>
        <w:jc w:val="left"/>
        <w:rPr>
          <w:color w:val="000000"/>
          <w:sz w:val="22"/>
          <w:szCs w:val="22"/>
          <w:lang w:val="hr-HR"/>
        </w:rPr>
      </w:pPr>
      <w:r w:rsidRPr="00510442">
        <w:rPr>
          <w:sz w:val="22"/>
          <w:szCs w:val="22"/>
          <w:lang w:val="hr-HR"/>
        </w:rPr>
        <w:t>Ako imate bilo kakvih pitanja o tome na koji način djeluje Glivec, ili zašto je taj lijek Vama propisan, obratite se svom liječniku</w:t>
      </w:r>
      <w:r w:rsidRPr="00510442">
        <w:rPr>
          <w:color w:val="000000"/>
          <w:sz w:val="22"/>
          <w:szCs w:val="22"/>
          <w:lang w:val="hr-HR"/>
        </w:rPr>
        <w:t>.</w:t>
      </w:r>
    </w:p>
    <w:p w14:paraId="113332F3" w14:textId="77777777" w:rsidR="00146472" w:rsidRPr="00510442" w:rsidRDefault="00146472" w:rsidP="00146472">
      <w:pPr>
        <w:pStyle w:val="EndnoteText"/>
        <w:widowControl w:val="0"/>
        <w:numPr>
          <w:ilvl w:val="12"/>
          <w:numId w:val="0"/>
        </w:numPr>
        <w:tabs>
          <w:tab w:val="clear" w:pos="567"/>
        </w:tabs>
        <w:rPr>
          <w:color w:val="000000"/>
          <w:szCs w:val="22"/>
          <w:lang w:val="hr-HR"/>
        </w:rPr>
      </w:pPr>
    </w:p>
    <w:p w14:paraId="743641D5" w14:textId="77777777" w:rsidR="00146472" w:rsidRPr="00510442" w:rsidRDefault="00146472" w:rsidP="00146472">
      <w:pPr>
        <w:pStyle w:val="EndnoteText"/>
        <w:widowControl w:val="0"/>
        <w:numPr>
          <w:ilvl w:val="12"/>
          <w:numId w:val="0"/>
        </w:numPr>
        <w:tabs>
          <w:tab w:val="clear" w:pos="567"/>
        </w:tabs>
        <w:rPr>
          <w:color w:val="000000"/>
          <w:szCs w:val="22"/>
          <w:lang w:val="hr-HR"/>
        </w:rPr>
      </w:pPr>
    </w:p>
    <w:p w14:paraId="60887300" w14:textId="77777777" w:rsidR="00146472" w:rsidRPr="00307897" w:rsidRDefault="00146472" w:rsidP="00FB4E6C">
      <w:pPr>
        <w:keepNext/>
        <w:widowControl w:val="0"/>
        <w:numPr>
          <w:ilvl w:val="12"/>
          <w:numId w:val="0"/>
        </w:numPr>
        <w:tabs>
          <w:tab w:val="clear" w:pos="567"/>
        </w:tabs>
        <w:spacing w:line="240" w:lineRule="auto"/>
        <w:ind w:left="567" w:right="-2" w:hanging="567"/>
        <w:rPr>
          <w:b/>
          <w:color w:val="000000"/>
          <w:szCs w:val="22"/>
          <w:lang w:val="hr-HR"/>
        </w:rPr>
      </w:pPr>
      <w:r w:rsidRPr="00510442">
        <w:rPr>
          <w:b/>
          <w:color w:val="000000"/>
          <w:szCs w:val="22"/>
          <w:lang w:val="hr-HR"/>
        </w:rPr>
        <w:t>2.</w:t>
      </w:r>
      <w:r w:rsidRPr="00510442">
        <w:rPr>
          <w:b/>
          <w:color w:val="000000"/>
          <w:szCs w:val="22"/>
          <w:lang w:val="hr-HR"/>
        </w:rPr>
        <w:tab/>
      </w:r>
      <w:r w:rsidR="00DC65B2" w:rsidRPr="00510442">
        <w:rPr>
          <w:b/>
          <w:lang w:val="hr-HR"/>
        </w:rPr>
        <w:t>Što morate znati p</w:t>
      </w:r>
      <w:r w:rsidRPr="00307897">
        <w:rPr>
          <w:b/>
          <w:color w:val="000000"/>
          <w:szCs w:val="22"/>
          <w:lang w:val="hr-HR"/>
        </w:rPr>
        <w:t>rije nego počnete uzimati Glivec</w:t>
      </w:r>
    </w:p>
    <w:p w14:paraId="6DB0B31E" w14:textId="77777777" w:rsidR="00146472" w:rsidRPr="00307897" w:rsidRDefault="00146472" w:rsidP="00FB4E6C">
      <w:pPr>
        <w:keepNext/>
        <w:widowControl w:val="0"/>
        <w:numPr>
          <w:ilvl w:val="12"/>
          <w:numId w:val="0"/>
        </w:numPr>
        <w:tabs>
          <w:tab w:val="clear" w:pos="567"/>
        </w:tabs>
        <w:spacing w:line="240" w:lineRule="auto"/>
        <w:ind w:left="567" w:right="-2" w:hanging="567"/>
        <w:rPr>
          <w:color w:val="000000"/>
          <w:szCs w:val="22"/>
          <w:lang w:val="hr-HR"/>
        </w:rPr>
      </w:pPr>
    </w:p>
    <w:p w14:paraId="2ED48A39" w14:textId="77777777" w:rsidR="00146472" w:rsidRPr="00973BDD" w:rsidRDefault="00146472" w:rsidP="00146472">
      <w:pPr>
        <w:pStyle w:val="Text"/>
        <w:widowControl w:val="0"/>
        <w:spacing w:before="0"/>
        <w:jc w:val="left"/>
        <w:rPr>
          <w:color w:val="000000"/>
          <w:sz w:val="22"/>
          <w:szCs w:val="22"/>
          <w:lang w:val="hr-HR"/>
        </w:rPr>
      </w:pPr>
      <w:r w:rsidRPr="00A00164">
        <w:rPr>
          <w:sz w:val="22"/>
          <w:szCs w:val="22"/>
          <w:lang w:val="hr-HR"/>
        </w:rPr>
        <w:t>Glivec Vam može propisati jedino liječnik koji ima iskustva s lijekovima za liječenje raka krvi ili čvrstih tumora</w:t>
      </w:r>
      <w:r w:rsidRPr="00973BDD">
        <w:rPr>
          <w:color w:val="000000"/>
          <w:sz w:val="22"/>
          <w:szCs w:val="22"/>
          <w:lang w:val="hr-HR"/>
        </w:rPr>
        <w:t>.</w:t>
      </w:r>
    </w:p>
    <w:p w14:paraId="2AC77E28" w14:textId="77777777" w:rsidR="00146472" w:rsidRPr="000B51EB" w:rsidRDefault="00146472" w:rsidP="00146472">
      <w:pPr>
        <w:widowControl w:val="0"/>
        <w:numPr>
          <w:ilvl w:val="12"/>
          <w:numId w:val="0"/>
        </w:numPr>
        <w:tabs>
          <w:tab w:val="clear" w:pos="567"/>
        </w:tabs>
        <w:spacing w:line="240" w:lineRule="auto"/>
        <w:ind w:right="-2"/>
        <w:rPr>
          <w:color w:val="000000"/>
          <w:szCs w:val="22"/>
          <w:lang w:val="hr-HR"/>
        </w:rPr>
      </w:pPr>
    </w:p>
    <w:p w14:paraId="423F8904" w14:textId="77777777" w:rsidR="00146472" w:rsidRPr="00510442" w:rsidRDefault="00146472" w:rsidP="00146472">
      <w:pPr>
        <w:widowControl w:val="0"/>
        <w:numPr>
          <w:ilvl w:val="12"/>
          <w:numId w:val="0"/>
        </w:numPr>
        <w:tabs>
          <w:tab w:val="clear" w:pos="567"/>
        </w:tabs>
        <w:spacing w:line="240" w:lineRule="auto"/>
        <w:ind w:right="-2"/>
        <w:rPr>
          <w:color w:val="000000"/>
          <w:szCs w:val="22"/>
          <w:lang w:val="hr-HR"/>
        </w:rPr>
      </w:pPr>
      <w:r w:rsidRPr="00510442">
        <w:rPr>
          <w:bCs/>
          <w:szCs w:val="22"/>
          <w:lang w:val="hr-HR"/>
        </w:rPr>
        <w:t>Pažljivo slijedite sve upute dobivene od liječnika, čak i onda ako se razlikuju od općih informacija sadržanih u ovoj uputi</w:t>
      </w:r>
      <w:r w:rsidRPr="00510442">
        <w:rPr>
          <w:color w:val="000000"/>
          <w:szCs w:val="22"/>
          <w:lang w:val="hr-HR"/>
        </w:rPr>
        <w:t>.</w:t>
      </w:r>
    </w:p>
    <w:p w14:paraId="1A78390B" w14:textId="77777777" w:rsidR="00146472" w:rsidRPr="00510442" w:rsidRDefault="00146472" w:rsidP="00146472">
      <w:pPr>
        <w:widowControl w:val="0"/>
        <w:numPr>
          <w:ilvl w:val="12"/>
          <w:numId w:val="0"/>
        </w:numPr>
        <w:tabs>
          <w:tab w:val="clear" w:pos="567"/>
        </w:tabs>
        <w:spacing w:line="240" w:lineRule="auto"/>
        <w:ind w:right="-2"/>
        <w:rPr>
          <w:color w:val="000000"/>
          <w:szCs w:val="22"/>
          <w:lang w:val="hr-HR"/>
        </w:rPr>
      </w:pPr>
    </w:p>
    <w:p w14:paraId="113125A1" w14:textId="77777777" w:rsidR="00146472" w:rsidRPr="00510442" w:rsidRDefault="00146472" w:rsidP="00FB4E6C">
      <w:pPr>
        <w:keepNext/>
        <w:widowControl w:val="0"/>
        <w:numPr>
          <w:ilvl w:val="12"/>
          <w:numId w:val="0"/>
        </w:numPr>
        <w:tabs>
          <w:tab w:val="clear" w:pos="567"/>
        </w:tabs>
        <w:spacing w:line="240" w:lineRule="auto"/>
        <w:rPr>
          <w:color w:val="000000"/>
          <w:szCs w:val="22"/>
          <w:lang w:val="hr-HR"/>
        </w:rPr>
      </w:pPr>
      <w:r w:rsidRPr="00510442">
        <w:rPr>
          <w:b/>
          <w:szCs w:val="22"/>
          <w:lang w:val="hr-HR"/>
        </w:rPr>
        <w:t>Nemojte uzimati</w:t>
      </w:r>
      <w:r w:rsidRPr="00510442">
        <w:rPr>
          <w:b/>
          <w:color w:val="000000"/>
          <w:szCs w:val="22"/>
          <w:lang w:val="hr-HR"/>
        </w:rPr>
        <w:t xml:space="preserve"> Glivec:</w:t>
      </w:r>
    </w:p>
    <w:p w14:paraId="257D41AB" w14:textId="77777777" w:rsidR="00146472" w:rsidRPr="00510442" w:rsidRDefault="00146472" w:rsidP="00FB4E6C">
      <w:pPr>
        <w:keepNext/>
        <w:widowControl w:val="0"/>
        <w:numPr>
          <w:ilvl w:val="12"/>
          <w:numId w:val="0"/>
        </w:numPr>
        <w:tabs>
          <w:tab w:val="clear" w:pos="567"/>
        </w:tabs>
        <w:spacing w:line="240" w:lineRule="auto"/>
        <w:ind w:left="567" w:right="-2" w:hanging="567"/>
        <w:rPr>
          <w:szCs w:val="22"/>
          <w:lang w:val="hr-HR"/>
        </w:rPr>
      </w:pPr>
      <w:r w:rsidRPr="00510442">
        <w:rPr>
          <w:szCs w:val="22"/>
          <w:lang w:val="hr-HR"/>
        </w:rPr>
        <w:t>-</w:t>
      </w:r>
      <w:r w:rsidRPr="00510442">
        <w:rPr>
          <w:szCs w:val="22"/>
          <w:lang w:val="hr-HR"/>
        </w:rPr>
        <w:tab/>
        <w:t>ako ste alergični na imatinib ili neki drugi sastojak ovog lijeka (naveden u dijelu</w:t>
      </w:r>
      <w:r w:rsidRPr="00510442">
        <w:rPr>
          <w:color w:val="000000"/>
          <w:szCs w:val="22"/>
          <w:lang w:val="hr-HR"/>
        </w:rPr>
        <w:t> </w:t>
      </w:r>
      <w:r w:rsidRPr="00510442">
        <w:rPr>
          <w:szCs w:val="22"/>
          <w:lang w:val="hr-HR"/>
        </w:rPr>
        <w:t>6.).</w:t>
      </w:r>
    </w:p>
    <w:p w14:paraId="514D0F18" w14:textId="3C5DEB40" w:rsidR="00146472" w:rsidRPr="00510442" w:rsidRDefault="00146472" w:rsidP="00146472">
      <w:pPr>
        <w:widowControl w:val="0"/>
        <w:numPr>
          <w:ilvl w:val="12"/>
          <w:numId w:val="0"/>
        </w:numPr>
        <w:tabs>
          <w:tab w:val="clear" w:pos="567"/>
        </w:tabs>
        <w:spacing w:line="240" w:lineRule="auto"/>
        <w:ind w:left="567" w:right="-2" w:hanging="567"/>
        <w:rPr>
          <w:color w:val="000000"/>
          <w:szCs w:val="22"/>
          <w:lang w:val="hr-HR"/>
        </w:rPr>
      </w:pPr>
      <w:r w:rsidRPr="00510442">
        <w:rPr>
          <w:szCs w:val="22"/>
          <w:lang w:val="hr-HR"/>
        </w:rPr>
        <w:t xml:space="preserve">Ako se to odnosi na Vas, </w:t>
      </w:r>
      <w:r w:rsidRPr="00510442">
        <w:rPr>
          <w:b/>
          <w:szCs w:val="22"/>
          <w:lang w:val="hr-HR"/>
        </w:rPr>
        <w:t xml:space="preserve">obavijestite svog liječnika bez uzimanja </w:t>
      </w:r>
      <w:r w:rsidR="004007D1" w:rsidRPr="004007D1">
        <w:rPr>
          <w:b/>
          <w:szCs w:val="22"/>
          <w:lang w:val="hr-HR"/>
        </w:rPr>
        <w:t xml:space="preserve">lijeka </w:t>
      </w:r>
      <w:r w:rsidRPr="00510442">
        <w:rPr>
          <w:b/>
          <w:szCs w:val="22"/>
          <w:lang w:val="hr-HR"/>
        </w:rPr>
        <w:t>Glivec</w:t>
      </w:r>
      <w:r w:rsidRPr="00510442">
        <w:rPr>
          <w:szCs w:val="22"/>
          <w:lang w:val="hr-HR"/>
        </w:rPr>
        <w:t>.</w:t>
      </w:r>
    </w:p>
    <w:p w14:paraId="1448DA9F" w14:textId="77777777" w:rsidR="00146472" w:rsidRPr="00510442" w:rsidRDefault="00146472" w:rsidP="00146472">
      <w:pPr>
        <w:widowControl w:val="0"/>
        <w:numPr>
          <w:ilvl w:val="12"/>
          <w:numId w:val="0"/>
        </w:numPr>
        <w:tabs>
          <w:tab w:val="clear" w:pos="567"/>
        </w:tabs>
        <w:spacing w:line="240" w:lineRule="auto"/>
        <w:ind w:left="567" w:right="-2" w:hanging="567"/>
        <w:rPr>
          <w:color w:val="000000"/>
          <w:szCs w:val="22"/>
          <w:lang w:val="hr-HR"/>
        </w:rPr>
      </w:pPr>
    </w:p>
    <w:p w14:paraId="49F7C381" w14:textId="77777777" w:rsidR="00146472" w:rsidRPr="00510442" w:rsidRDefault="00146472" w:rsidP="00146472">
      <w:pPr>
        <w:widowControl w:val="0"/>
        <w:numPr>
          <w:ilvl w:val="12"/>
          <w:numId w:val="0"/>
        </w:numPr>
        <w:tabs>
          <w:tab w:val="clear" w:pos="567"/>
        </w:tabs>
        <w:spacing w:line="240" w:lineRule="auto"/>
        <w:ind w:left="567" w:right="-2" w:hanging="567"/>
        <w:rPr>
          <w:color w:val="000000"/>
          <w:szCs w:val="22"/>
          <w:lang w:val="hr-HR"/>
        </w:rPr>
      </w:pPr>
      <w:r w:rsidRPr="00510442">
        <w:rPr>
          <w:szCs w:val="22"/>
          <w:lang w:val="hr-HR"/>
        </w:rPr>
        <w:t>Ako mislite da bi mogli biti alergični, ali niste sigurni, posavjetujte se sa svojim liječnikom.</w:t>
      </w:r>
    </w:p>
    <w:p w14:paraId="4113F91D" w14:textId="77777777" w:rsidR="00146472" w:rsidRPr="00510442" w:rsidRDefault="00146472" w:rsidP="00146472">
      <w:pPr>
        <w:widowControl w:val="0"/>
        <w:numPr>
          <w:ilvl w:val="12"/>
          <w:numId w:val="0"/>
        </w:numPr>
        <w:tabs>
          <w:tab w:val="clear" w:pos="567"/>
        </w:tabs>
        <w:spacing w:line="240" w:lineRule="auto"/>
        <w:ind w:right="-2"/>
        <w:rPr>
          <w:color w:val="000000"/>
          <w:szCs w:val="22"/>
          <w:lang w:val="hr-HR"/>
        </w:rPr>
      </w:pPr>
    </w:p>
    <w:p w14:paraId="3648B1CA" w14:textId="77777777" w:rsidR="00146472" w:rsidRPr="00510442" w:rsidRDefault="00146472" w:rsidP="00FB4E6C">
      <w:pPr>
        <w:keepNext/>
        <w:widowControl w:val="0"/>
        <w:numPr>
          <w:ilvl w:val="12"/>
          <w:numId w:val="0"/>
        </w:numPr>
        <w:tabs>
          <w:tab w:val="clear" w:pos="567"/>
        </w:tabs>
        <w:spacing w:line="240" w:lineRule="auto"/>
        <w:ind w:right="-2"/>
        <w:rPr>
          <w:b/>
          <w:szCs w:val="22"/>
          <w:lang w:val="hr-HR"/>
        </w:rPr>
      </w:pPr>
      <w:r w:rsidRPr="00510442">
        <w:rPr>
          <w:b/>
          <w:szCs w:val="22"/>
          <w:lang w:val="hr-HR"/>
        </w:rPr>
        <w:t>Upozorenja i mjere opreza</w:t>
      </w:r>
    </w:p>
    <w:p w14:paraId="1DD96D93" w14:textId="77777777" w:rsidR="00146472" w:rsidRPr="00510442" w:rsidRDefault="00146472" w:rsidP="00FB4E6C">
      <w:pPr>
        <w:keepNext/>
        <w:widowControl w:val="0"/>
        <w:numPr>
          <w:ilvl w:val="12"/>
          <w:numId w:val="0"/>
        </w:numPr>
        <w:tabs>
          <w:tab w:val="clear" w:pos="567"/>
        </w:tabs>
        <w:spacing w:line="240" w:lineRule="auto"/>
        <w:ind w:right="-2"/>
        <w:rPr>
          <w:szCs w:val="22"/>
          <w:lang w:val="hr-HR"/>
        </w:rPr>
      </w:pPr>
      <w:r w:rsidRPr="00510442">
        <w:rPr>
          <w:szCs w:val="22"/>
          <w:lang w:val="hr-HR"/>
        </w:rPr>
        <w:t>Obratite se svom liječniku prije nego uzmete Glivec:</w:t>
      </w:r>
    </w:p>
    <w:p w14:paraId="394D560D" w14:textId="77777777" w:rsidR="00146472" w:rsidRPr="00510442" w:rsidRDefault="00146472" w:rsidP="00FB4E6C">
      <w:pPr>
        <w:widowControl w:val="0"/>
        <w:numPr>
          <w:ilvl w:val="12"/>
          <w:numId w:val="0"/>
        </w:numPr>
        <w:spacing w:line="240" w:lineRule="auto"/>
        <w:ind w:left="567" w:hanging="567"/>
        <w:rPr>
          <w:color w:val="000000"/>
          <w:szCs w:val="22"/>
          <w:lang w:val="hr-HR"/>
        </w:rPr>
      </w:pPr>
      <w:r w:rsidRPr="00510442">
        <w:rPr>
          <w:color w:val="000000"/>
          <w:szCs w:val="22"/>
          <w:lang w:val="hr-HR"/>
        </w:rPr>
        <w:t>-</w:t>
      </w:r>
      <w:r w:rsidRPr="00510442">
        <w:rPr>
          <w:color w:val="000000"/>
          <w:szCs w:val="22"/>
          <w:lang w:val="hr-HR"/>
        </w:rPr>
        <w:tab/>
      </w:r>
      <w:r w:rsidRPr="00510442">
        <w:rPr>
          <w:szCs w:val="22"/>
          <w:lang w:val="hr-HR"/>
        </w:rPr>
        <w:t>ako imate, ili ste ikada imali, problema s jetrom, bubrezima ili srcem.</w:t>
      </w:r>
    </w:p>
    <w:p w14:paraId="66EB0CA8" w14:textId="77777777" w:rsidR="00146472" w:rsidRPr="00510442" w:rsidRDefault="00146472" w:rsidP="00FB4E6C">
      <w:pPr>
        <w:widowControl w:val="0"/>
        <w:numPr>
          <w:ilvl w:val="12"/>
          <w:numId w:val="0"/>
        </w:numPr>
        <w:spacing w:line="240" w:lineRule="auto"/>
        <w:ind w:left="567" w:hanging="567"/>
        <w:rPr>
          <w:color w:val="000000"/>
          <w:szCs w:val="22"/>
          <w:lang w:val="hr-HR"/>
        </w:rPr>
      </w:pPr>
      <w:r w:rsidRPr="00510442">
        <w:rPr>
          <w:color w:val="000000"/>
          <w:szCs w:val="22"/>
          <w:lang w:val="hr-HR"/>
        </w:rPr>
        <w:t>-</w:t>
      </w:r>
      <w:r w:rsidRPr="00510442">
        <w:rPr>
          <w:color w:val="000000"/>
          <w:szCs w:val="22"/>
          <w:lang w:val="hr-HR"/>
        </w:rPr>
        <w:tab/>
      </w:r>
      <w:r w:rsidRPr="00510442">
        <w:rPr>
          <w:szCs w:val="22"/>
          <w:lang w:val="hr-HR"/>
        </w:rPr>
        <w:t>ako uzimate lijek levotiroksin, jer Vam je uklonjena štitnjača.</w:t>
      </w:r>
    </w:p>
    <w:p w14:paraId="6251845D" w14:textId="77777777" w:rsidR="00D83953" w:rsidRPr="00510442" w:rsidRDefault="00D83953" w:rsidP="00FB4E6C">
      <w:pPr>
        <w:widowControl w:val="0"/>
        <w:numPr>
          <w:ilvl w:val="12"/>
          <w:numId w:val="0"/>
        </w:numPr>
        <w:spacing w:line="240" w:lineRule="auto"/>
        <w:ind w:left="567" w:hanging="567"/>
        <w:rPr>
          <w:color w:val="000000"/>
          <w:szCs w:val="22"/>
          <w:lang w:val="hr-HR"/>
        </w:rPr>
      </w:pPr>
      <w:r w:rsidRPr="00510442">
        <w:rPr>
          <w:color w:val="000000"/>
          <w:spacing w:val="-2"/>
          <w:lang w:val="hr-HR"/>
        </w:rPr>
        <w:t>-</w:t>
      </w:r>
      <w:r w:rsidRPr="00510442">
        <w:rPr>
          <w:color w:val="000000"/>
          <w:spacing w:val="-2"/>
          <w:lang w:val="hr-HR"/>
        </w:rPr>
        <w:tab/>
        <w:t>ako ste ikada imali ili možda sada imate infekciju virusom hepatitisa B. To je potrebno jer Glivec može uzrokovati ponovnu aktivaciju hepatitisa B što u nekim slučajevima može rezultirati smrtnim ishodom. Prije početka liječenja liječnik će pažljvo pregledati bolesnike radi utvrđivanja eventualnih znakova te infekcije.</w:t>
      </w:r>
    </w:p>
    <w:p w14:paraId="6C4FBCDF" w14:textId="7A16CD8A" w:rsidR="00030F93" w:rsidRPr="00510442" w:rsidRDefault="00030F93" w:rsidP="00FB4E6C">
      <w:pPr>
        <w:keepNext/>
        <w:keepLines/>
        <w:widowControl w:val="0"/>
        <w:numPr>
          <w:ilvl w:val="12"/>
          <w:numId w:val="0"/>
        </w:numPr>
        <w:spacing w:line="240" w:lineRule="auto"/>
        <w:ind w:left="567" w:hanging="567"/>
        <w:rPr>
          <w:color w:val="000000"/>
          <w:spacing w:val="-2"/>
          <w:lang w:val="hr-HR"/>
        </w:rPr>
      </w:pPr>
      <w:r w:rsidRPr="00510442">
        <w:rPr>
          <w:color w:val="000000"/>
          <w:spacing w:val="-2"/>
          <w:lang w:val="hr-HR"/>
        </w:rPr>
        <w:t>-</w:t>
      </w:r>
      <w:r w:rsidRPr="00510442">
        <w:rPr>
          <w:color w:val="000000"/>
          <w:spacing w:val="-2"/>
          <w:lang w:val="hr-HR"/>
        </w:rPr>
        <w:tab/>
        <w:t xml:space="preserve">ako </w:t>
      </w:r>
      <w:r w:rsidRPr="00760469">
        <w:rPr>
          <w:color w:val="000000"/>
          <w:spacing w:val="-2"/>
          <w:lang w:val="hr-HR"/>
        </w:rPr>
        <w:t xml:space="preserve">dobijete </w:t>
      </w:r>
      <w:r w:rsidR="00D33A31" w:rsidRPr="00760469">
        <w:rPr>
          <w:color w:val="000000"/>
          <w:spacing w:val="-2"/>
          <w:lang w:val="hr-HR"/>
        </w:rPr>
        <w:t>modrice</w:t>
      </w:r>
      <w:r w:rsidRPr="00760469">
        <w:rPr>
          <w:color w:val="000000"/>
          <w:spacing w:val="-2"/>
          <w:lang w:val="hr-HR"/>
        </w:rPr>
        <w:t xml:space="preserve">, krvarenje, vrućicu, </w:t>
      </w:r>
      <w:r w:rsidR="00D33A31" w:rsidRPr="00760469">
        <w:rPr>
          <w:color w:val="000000"/>
          <w:spacing w:val="-2"/>
          <w:lang w:val="hr-HR"/>
        </w:rPr>
        <w:t xml:space="preserve">umor </w:t>
      </w:r>
      <w:r w:rsidRPr="00760469">
        <w:rPr>
          <w:color w:val="000000"/>
          <w:spacing w:val="-2"/>
          <w:lang w:val="hr-HR"/>
        </w:rPr>
        <w:t xml:space="preserve">i </w:t>
      </w:r>
      <w:r w:rsidR="00D33A31" w:rsidRPr="00760469">
        <w:rPr>
          <w:color w:val="000000"/>
          <w:spacing w:val="-2"/>
          <w:lang w:val="hr-HR"/>
        </w:rPr>
        <w:t>smetenost</w:t>
      </w:r>
      <w:r w:rsidRPr="00760469">
        <w:rPr>
          <w:color w:val="000000"/>
          <w:spacing w:val="-2"/>
          <w:lang w:val="hr-HR"/>
        </w:rPr>
        <w:t xml:space="preserve"> prilikom uzimanja </w:t>
      </w:r>
      <w:r w:rsidR="004007D1" w:rsidRPr="00512481">
        <w:rPr>
          <w:szCs w:val="22"/>
          <w:lang w:val="hr-HR"/>
        </w:rPr>
        <w:t xml:space="preserve">lijeka </w:t>
      </w:r>
      <w:r w:rsidRPr="00760469">
        <w:rPr>
          <w:color w:val="000000"/>
          <w:spacing w:val="-2"/>
          <w:lang w:val="hr-HR"/>
        </w:rPr>
        <w:t>Glivec, kontaktirajte liječnika. To može biti znak oštećenja krvnih žila znan kao trombotič</w:t>
      </w:r>
      <w:r w:rsidR="00B31026" w:rsidRPr="00760469">
        <w:rPr>
          <w:color w:val="000000"/>
          <w:spacing w:val="-2"/>
          <w:lang w:val="hr-HR"/>
        </w:rPr>
        <w:t>n</w:t>
      </w:r>
      <w:r w:rsidRPr="00760469">
        <w:rPr>
          <w:color w:val="000000"/>
          <w:spacing w:val="-2"/>
          <w:lang w:val="hr-HR"/>
        </w:rPr>
        <w:t>a mikroangiopatija (TMA).</w:t>
      </w:r>
    </w:p>
    <w:p w14:paraId="4A0DB617" w14:textId="57D8186C" w:rsidR="00146472" w:rsidRPr="00A00164" w:rsidRDefault="00146472" w:rsidP="00146472">
      <w:pPr>
        <w:pStyle w:val="Text"/>
        <w:widowControl w:val="0"/>
        <w:spacing w:before="0"/>
        <w:jc w:val="left"/>
        <w:rPr>
          <w:b/>
          <w:color w:val="000000"/>
          <w:sz w:val="22"/>
          <w:szCs w:val="22"/>
          <w:lang w:val="hr-HR"/>
        </w:rPr>
      </w:pPr>
      <w:r w:rsidRPr="00307897">
        <w:rPr>
          <w:sz w:val="22"/>
          <w:szCs w:val="22"/>
          <w:lang w:val="hr-HR"/>
        </w:rPr>
        <w:t xml:space="preserve">Ako se bilo što od navedenog odnosi na Vas, </w:t>
      </w:r>
      <w:r w:rsidRPr="00307897">
        <w:rPr>
          <w:b/>
          <w:sz w:val="22"/>
          <w:szCs w:val="22"/>
          <w:lang w:val="hr-HR"/>
        </w:rPr>
        <w:t xml:space="preserve">obavijestite svog liječnika prije uzimanja </w:t>
      </w:r>
      <w:r w:rsidR="004007D1" w:rsidRPr="004007D1">
        <w:rPr>
          <w:b/>
          <w:sz w:val="22"/>
          <w:szCs w:val="22"/>
          <w:lang w:val="hr-HR"/>
        </w:rPr>
        <w:t xml:space="preserve">lijeka </w:t>
      </w:r>
      <w:r w:rsidRPr="00307897">
        <w:rPr>
          <w:b/>
          <w:sz w:val="22"/>
          <w:szCs w:val="22"/>
          <w:lang w:val="hr-HR"/>
        </w:rPr>
        <w:t>Glivec.</w:t>
      </w:r>
    </w:p>
    <w:p w14:paraId="0B0F6C99" w14:textId="77777777" w:rsidR="00462257" w:rsidRPr="00973BDD" w:rsidRDefault="00462257" w:rsidP="00462257">
      <w:pPr>
        <w:pStyle w:val="Text"/>
        <w:widowControl w:val="0"/>
        <w:spacing w:before="0"/>
        <w:jc w:val="left"/>
        <w:rPr>
          <w:sz w:val="22"/>
          <w:szCs w:val="22"/>
          <w:lang w:val="hr-HR"/>
        </w:rPr>
      </w:pPr>
    </w:p>
    <w:p w14:paraId="69C5CDB2" w14:textId="182DD9A7" w:rsidR="00462257" w:rsidRPr="00510442" w:rsidRDefault="00462257" w:rsidP="00462257">
      <w:pPr>
        <w:pStyle w:val="Text"/>
        <w:widowControl w:val="0"/>
        <w:spacing w:before="0"/>
        <w:jc w:val="left"/>
        <w:rPr>
          <w:sz w:val="22"/>
          <w:szCs w:val="22"/>
          <w:lang w:val="hr-HR"/>
        </w:rPr>
      </w:pPr>
      <w:r w:rsidRPr="000B51EB">
        <w:rPr>
          <w:sz w:val="22"/>
          <w:szCs w:val="22"/>
          <w:lang w:val="hr-HR"/>
        </w:rPr>
        <w:t>Možete postati</w:t>
      </w:r>
      <w:r w:rsidRPr="00510442">
        <w:rPr>
          <w:sz w:val="22"/>
          <w:szCs w:val="22"/>
          <w:lang w:val="hr-HR"/>
        </w:rPr>
        <w:t xml:space="preserve"> osjetljiviji na sunce tijekom uzimanja </w:t>
      </w:r>
      <w:r w:rsidR="004007D1" w:rsidRPr="00512481">
        <w:rPr>
          <w:sz w:val="22"/>
          <w:szCs w:val="22"/>
          <w:lang w:val="hr-HR"/>
        </w:rPr>
        <w:t xml:space="preserve">lijeka </w:t>
      </w:r>
      <w:r w:rsidRPr="00510442">
        <w:rPr>
          <w:sz w:val="22"/>
          <w:szCs w:val="22"/>
          <w:lang w:val="hr-HR"/>
        </w:rPr>
        <w:t>Glivec.</w:t>
      </w:r>
      <w:r w:rsidR="00F07532" w:rsidRPr="00510442">
        <w:rPr>
          <w:sz w:val="22"/>
          <w:szCs w:val="22"/>
          <w:lang w:val="hr-HR"/>
        </w:rPr>
        <w:t xml:space="preserve"> </w:t>
      </w:r>
      <w:r w:rsidRPr="00510442">
        <w:rPr>
          <w:sz w:val="22"/>
          <w:szCs w:val="22"/>
          <w:lang w:val="hr-HR"/>
        </w:rPr>
        <w:t>Važno je pokriti područja kože izložena suncu i koristiti sredstvo za zaštitu od sunca s visokim zaštitnim faktorom (SPF). Ove mjere opreza također vrijede i za djecu.</w:t>
      </w:r>
    </w:p>
    <w:p w14:paraId="647114A2" w14:textId="77777777" w:rsidR="00146472" w:rsidRPr="00510442" w:rsidRDefault="00146472" w:rsidP="00146472">
      <w:pPr>
        <w:pStyle w:val="Text"/>
        <w:widowControl w:val="0"/>
        <w:spacing w:before="0"/>
        <w:jc w:val="left"/>
        <w:rPr>
          <w:color w:val="000000"/>
          <w:sz w:val="22"/>
          <w:szCs w:val="22"/>
          <w:lang w:val="hr-HR"/>
        </w:rPr>
      </w:pPr>
    </w:p>
    <w:p w14:paraId="61316510" w14:textId="32039D28" w:rsidR="00146472" w:rsidRPr="00510442" w:rsidRDefault="00146472" w:rsidP="00146472">
      <w:pPr>
        <w:pStyle w:val="Text"/>
        <w:widowControl w:val="0"/>
        <w:spacing w:before="0"/>
        <w:jc w:val="left"/>
        <w:rPr>
          <w:color w:val="000000"/>
          <w:sz w:val="22"/>
          <w:szCs w:val="22"/>
          <w:lang w:val="hr-HR"/>
        </w:rPr>
      </w:pPr>
      <w:r w:rsidRPr="00510442">
        <w:rPr>
          <w:b/>
          <w:sz w:val="22"/>
          <w:szCs w:val="22"/>
          <w:lang w:val="hr-HR"/>
        </w:rPr>
        <w:t xml:space="preserve">Tijekom liječenja </w:t>
      </w:r>
      <w:r w:rsidR="00B3237D" w:rsidRPr="00B3237D">
        <w:rPr>
          <w:b/>
          <w:sz w:val="22"/>
          <w:szCs w:val="22"/>
          <w:lang w:val="hr-HR"/>
        </w:rPr>
        <w:t xml:space="preserve">lijekom </w:t>
      </w:r>
      <w:r w:rsidRPr="00510442">
        <w:rPr>
          <w:b/>
          <w:sz w:val="22"/>
          <w:szCs w:val="22"/>
          <w:lang w:val="hr-HR"/>
        </w:rPr>
        <w:t>Glivec</w:t>
      </w:r>
      <w:r w:rsidRPr="00510442">
        <w:rPr>
          <w:sz w:val="22"/>
          <w:szCs w:val="22"/>
          <w:lang w:val="hr-HR"/>
        </w:rPr>
        <w:t xml:space="preserve"> </w:t>
      </w:r>
      <w:r w:rsidRPr="00510442">
        <w:rPr>
          <w:b/>
          <w:sz w:val="22"/>
          <w:szCs w:val="22"/>
          <w:lang w:val="hr-HR"/>
        </w:rPr>
        <w:t>odmah obavijestite svog liječnika</w:t>
      </w:r>
      <w:r w:rsidRPr="00510442">
        <w:rPr>
          <w:sz w:val="22"/>
          <w:szCs w:val="22"/>
          <w:lang w:val="hr-HR"/>
        </w:rPr>
        <w:t xml:space="preserve"> ako vrlo brzo dobivate na težini. Glivec može izazvati zadržavanje vode u tijelu (teška retencija tekućine)</w:t>
      </w:r>
      <w:r w:rsidRPr="00510442">
        <w:rPr>
          <w:color w:val="000000"/>
          <w:sz w:val="22"/>
          <w:szCs w:val="22"/>
          <w:lang w:val="hr-HR"/>
        </w:rPr>
        <w:t>.</w:t>
      </w:r>
    </w:p>
    <w:p w14:paraId="3EFF0B54" w14:textId="77777777" w:rsidR="00146472" w:rsidRPr="00510442" w:rsidRDefault="00146472" w:rsidP="00146472">
      <w:pPr>
        <w:pStyle w:val="Text"/>
        <w:widowControl w:val="0"/>
        <w:spacing w:before="0"/>
        <w:jc w:val="left"/>
        <w:rPr>
          <w:color w:val="000000"/>
          <w:sz w:val="22"/>
          <w:szCs w:val="22"/>
          <w:lang w:val="hr-HR"/>
        </w:rPr>
      </w:pPr>
    </w:p>
    <w:p w14:paraId="59625A4C" w14:textId="77777777" w:rsidR="00146472" w:rsidRPr="00510442" w:rsidRDefault="00146472" w:rsidP="00146472">
      <w:pPr>
        <w:pStyle w:val="Text"/>
        <w:widowControl w:val="0"/>
        <w:spacing w:before="0"/>
        <w:jc w:val="left"/>
        <w:rPr>
          <w:color w:val="000000"/>
          <w:sz w:val="22"/>
          <w:szCs w:val="22"/>
          <w:lang w:val="hr-HR"/>
        </w:rPr>
      </w:pPr>
      <w:r w:rsidRPr="00510442">
        <w:rPr>
          <w:sz w:val="22"/>
          <w:szCs w:val="22"/>
          <w:lang w:val="hr-HR"/>
        </w:rPr>
        <w:t>Dok uzimate Glivec, liječnik će redovito pratiti da li lijek djeluje. Također ćete redovito provoditi krvne pretrage i mjeriti tjelesnu težinu.</w:t>
      </w:r>
    </w:p>
    <w:p w14:paraId="2D2F0C13" w14:textId="77777777" w:rsidR="00146472" w:rsidRPr="00510442" w:rsidRDefault="00146472" w:rsidP="00146472">
      <w:pPr>
        <w:pStyle w:val="EndnoteText"/>
        <w:widowControl w:val="0"/>
        <w:numPr>
          <w:ilvl w:val="12"/>
          <w:numId w:val="0"/>
        </w:numPr>
        <w:tabs>
          <w:tab w:val="clear" w:pos="567"/>
        </w:tabs>
        <w:rPr>
          <w:color w:val="000000"/>
          <w:szCs w:val="22"/>
          <w:lang w:val="hr-HR"/>
        </w:rPr>
      </w:pPr>
    </w:p>
    <w:p w14:paraId="00EEEF0D" w14:textId="77777777" w:rsidR="00146472" w:rsidRPr="00510442" w:rsidRDefault="00146472" w:rsidP="00FB4E6C">
      <w:pPr>
        <w:pStyle w:val="EndnoteText"/>
        <w:keepNext/>
        <w:widowControl w:val="0"/>
        <w:numPr>
          <w:ilvl w:val="12"/>
          <w:numId w:val="0"/>
        </w:numPr>
        <w:tabs>
          <w:tab w:val="clear" w:pos="567"/>
        </w:tabs>
        <w:rPr>
          <w:b/>
          <w:szCs w:val="22"/>
          <w:lang w:val="hr-HR"/>
        </w:rPr>
      </w:pPr>
      <w:r w:rsidRPr="00510442">
        <w:rPr>
          <w:b/>
          <w:szCs w:val="22"/>
          <w:lang w:val="hr-HR"/>
        </w:rPr>
        <w:t>Djeca i adolescenti</w:t>
      </w:r>
    </w:p>
    <w:p w14:paraId="69557766" w14:textId="77777777" w:rsidR="00146472" w:rsidRPr="00510442" w:rsidRDefault="00146472" w:rsidP="00146472">
      <w:pPr>
        <w:pStyle w:val="EndnoteText"/>
        <w:widowControl w:val="0"/>
        <w:numPr>
          <w:ilvl w:val="12"/>
          <w:numId w:val="0"/>
        </w:numPr>
        <w:tabs>
          <w:tab w:val="clear" w:pos="567"/>
        </w:tabs>
        <w:rPr>
          <w:color w:val="000000"/>
          <w:szCs w:val="22"/>
          <w:lang w:val="hr-HR"/>
        </w:rPr>
      </w:pPr>
      <w:r w:rsidRPr="00510442">
        <w:rPr>
          <w:szCs w:val="22"/>
          <w:lang w:val="hr-HR"/>
        </w:rPr>
        <w:t>Glivec se kod djece također koristi za liječenje KML-a. Ne postoji iskustvo kod djece s KML-om mlađe od 2</w:t>
      </w:r>
      <w:r w:rsidRPr="00510442">
        <w:rPr>
          <w:color w:val="000000"/>
          <w:szCs w:val="22"/>
          <w:lang w:val="hr-HR"/>
        </w:rPr>
        <w:t> </w:t>
      </w:r>
      <w:r w:rsidRPr="00510442">
        <w:rPr>
          <w:szCs w:val="22"/>
          <w:lang w:val="hr-HR"/>
        </w:rPr>
        <w:t>godine. Postoji ograničeno iskustvo kod djece s Ph-pozitivnim ALL-om te vrlo ograničeno iskustvo kod djece s MDS/MPD-om, DFSP-om, GIST-om i HES/KEL-om.</w:t>
      </w:r>
    </w:p>
    <w:p w14:paraId="0ED26E4F" w14:textId="77777777" w:rsidR="00146472" w:rsidRPr="00510442" w:rsidRDefault="00146472" w:rsidP="00146472">
      <w:pPr>
        <w:pStyle w:val="EndnoteText"/>
        <w:widowControl w:val="0"/>
        <w:numPr>
          <w:ilvl w:val="12"/>
          <w:numId w:val="0"/>
        </w:numPr>
        <w:tabs>
          <w:tab w:val="clear" w:pos="567"/>
        </w:tabs>
        <w:rPr>
          <w:color w:val="000000"/>
          <w:szCs w:val="22"/>
          <w:lang w:val="hr-HR"/>
        </w:rPr>
      </w:pPr>
    </w:p>
    <w:p w14:paraId="39DE7B01" w14:textId="77777777" w:rsidR="00146472" w:rsidRPr="00510442" w:rsidRDefault="00146472" w:rsidP="00146472">
      <w:pPr>
        <w:pStyle w:val="EndnoteText"/>
        <w:widowControl w:val="0"/>
        <w:numPr>
          <w:ilvl w:val="12"/>
          <w:numId w:val="0"/>
        </w:numPr>
        <w:tabs>
          <w:tab w:val="clear" w:pos="567"/>
        </w:tabs>
        <w:rPr>
          <w:color w:val="000000"/>
          <w:szCs w:val="22"/>
          <w:lang w:val="hr-HR"/>
        </w:rPr>
      </w:pPr>
      <w:r w:rsidRPr="00510442">
        <w:rPr>
          <w:bCs/>
          <w:szCs w:val="22"/>
          <w:lang w:val="hr-HR"/>
        </w:rPr>
        <w:t>Kod neke djece i adolescenata koji uzimaju Glivec rast može biti sporiji od normalnog. Liječnik će pratiti rast prilikom redovitih pregleda.</w:t>
      </w:r>
    </w:p>
    <w:p w14:paraId="2721B8F2" w14:textId="77777777" w:rsidR="00146472" w:rsidRPr="00510442" w:rsidRDefault="00146472" w:rsidP="00146472">
      <w:pPr>
        <w:pStyle w:val="EndnoteText"/>
        <w:widowControl w:val="0"/>
        <w:numPr>
          <w:ilvl w:val="12"/>
          <w:numId w:val="0"/>
        </w:numPr>
        <w:tabs>
          <w:tab w:val="clear" w:pos="567"/>
        </w:tabs>
        <w:rPr>
          <w:color w:val="000000"/>
          <w:szCs w:val="22"/>
          <w:lang w:val="hr-HR"/>
        </w:rPr>
      </w:pPr>
    </w:p>
    <w:p w14:paraId="53C0DEC0" w14:textId="77777777" w:rsidR="00146472" w:rsidRPr="00510442" w:rsidRDefault="00146472" w:rsidP="00FB4E6C">
      <w:pPr>
        <w:keepNext/>
        <w:widowControl w:val="0"/>
        <w:numPr>
          <w:ilvl w:val="12"/>
          <w:numId w:val="0"/>
        </w:numPr>
        <w:tabs>
          <w:tab w:val="clear" w:pos="567"/>
        </w:tabs>
        <w:spacing w:line="240" w:lineRule="auto"/>
        <w:ind w:right="-2"/>
        <w:rPr>
          <w:b/>
          <w:szCs w:val="22"/>
          <w:lang w:val="hr-HR"/>
        </w:rPr>
      </w:pPr>
      <w:r w:rsidRPr="00510442">
        <w:rPr>
          <w:b/>
          <w:szCs w:val="22"/>
          <w:lang w:val="hr-HR"/>
        </w:rPr>
        <w:t>Drugi lijekovi i Glivec</w:t>
      </w:r>
    </w:p>
    <w:p w14:paraId="292E467D" w14:textId="3851853E" w:rsidR="00146472" w:rsidRPr="00510442" w:rsidRDefault="00146472" w:rsidP="00146472">
      <w:pPr>
        <w:widowControl w:val="0"/>
        <w:numPr>
          <w:ilvl w:val="12"/>
          <w:numId w:val="0"/>
        </w:numPr>
        <w:tabs>
          <w:tab w:val="clear" w:pos="567"/>
        </w:tabs>
        <w:spacing w:line="240" w:lineRule="auto"/>
        <w:ind w:right="-2"/>
        <w:rPr>
          <w:szCs w:val="22"/>
          <w:lang w:val="hr-HR"/>
        </w:rPr>
      </w:pPr>
      <w:r w:rsidRPr="00510442">
        <w:rPr>
          <w:szCs w:val="22"/>
          <w:lang w:val="hr-HR"/>
        </w:rPr>
        <w:t>Obavijestite svog liječnika ili ljekarnika ako uzimate</w:t>
      </w:r>
      <w:r w:rsidR="00DC65B2" w:rsidRPr="00510442">
        <w:rPr>
          <w:szCs w:val="22"/>
          <w:lang w:val="hr-HR"/>
        </w:rPr>
        <w:t>,</w:t>
      </w:r>
      <w:r w:rsidRPr="00510442">
        <w:rPr>
          <w:szCs w:val="22"/>
          <w:lang w:val="hr-HR"/>
        </w:rPr>
        <w:t xml:space="preserve"> nedavno </w:t>
      </w:r>
      <w:r w:rsidR="00DC65B2" w:rsidRPr="00510442">
        <w:rPr>
          <w:szCs w:val="22"/>
          <w:lang w:val="hr-HR"/>
        </w:rPr>
        <w:t xml:space="preserve">ste </w:t>
      </w:r>
      <w:r w:rsidRPr="00510442">
        <w:rPr>
          <w:szCs w:val="22"/>
          <w:lang w:val="hr-HR"/>
        </w:rPr>
        <w:t xml:space="preserve">uzeli ili biste mogli uzeti bilo koje druge lijekove, uključujući lijekove dobivene bez recepta (poput paracetamola) i biljne pripravke </w:t>
      </w:r>
      <w:r w:rsidRPr="00510442">
        <w:rPr>
          <w:szCs w:val="22"/>
          <w:lang w:val="hr-HR"/>
        </w:rPr>
        <w:lastRenderedPageBreak/>
        <w:t xml:space="preserve">(poput gospine trave). Neki lijekovi mogu utjecati na djelovanje </w:t>
      </w:r>
      <w:r w:rsidR="004007D1" w:rsidRPr="00512481">
        <w:rPr>
          <w:szCs w:val="22"/>
          <w:lang w:val="hr-HR"/>
        </w:rPr>
        <w:t xml:space="preserve">lijeka </w:t>
      </w:r>
      <w:r w:rsidRPr="00510442">
        <w:rPr>
          <w:szCs w:val="22"/>
          <w:lang w:val="hr-HR"/>
        </w:rPr>
        <w:t xml:space="preserve">Glivec kada se uzimaju zajedno. Oni mogu povećati ili smanjiti učinak </w:t>
      </w:r>
      <w:r w:rsidR="004007D1" w:rsidRPr="00512481">
        <w:rPr>
          <w:szCs w:val="22"/>
          <w:lang w:val="hr-HR"/>
        </w:rPr>
        <w:t xml:space="preserve">lijeka </w:t>
      </w:r>
      <w:r w:rsidRPr="00510442">
        <w:rPr>
          <w:szCs w:val="22"/>
          <w:lang w:val="hr-HR"/>
        </w:rPr>
        <w:t xml:space="preserve">Glivec bilo povećanjem nuspojava ili smanjenjem učinka </w:t>
      </w:r>
      <w:r w:rsidR="004007D1" w:rsidRPr="00512481">
        <w:rPr>
          <w:szCs w:val="22"/>
          <w:lang w:val="hr-HR"/>
        </w:rPr>
        <w:t xml:space="preserve">lijeka </w:t>
      </w:r>
      <w:r w:rsidRPr="00510442">
        <w:rPr>
          <w:szCs w:val="22"/>
          <w:lang w:val="hr-HR"/>
        </w:rPr>
        <w:t>Glivec. Glivec može to isto napraviti nekim drugim lijekovima.</w:t>
      </w:r>
    </w:p>
    <w:p w14:paraId="6F5301F9" w14:textId="77777777" w:rsidR="00146472" w:rsidRPr="00510442" w:rsidRDefault="00146472" w:rsidP="00146472">
      <w:pPr>
        <w:widowControl w:val="0"/>
        <w:numPr>
          <w:ilvl w:val="12"/>
          <w:numId w:val="0"/>
        </w:numPr>
        <w:tabs>
          <w:tab w:val="clear" w:pos="567"/>
        </w:tabs>
        <w:spacing w:line="240" w:lineRule="auto"/>
        <w:ind w:right="-2"/>
        <w:rPr>
          <w:szCs w:val="22"/>
          <w:lang w:val="hr-HR"/>
        </w:rPr>
      </w:pPr>
    </w:p>
    <w:p w14:paraId="5E7FA21E" w14:textId="77777777" w:rsidR="00146472" w:rsidRPr="00510442" w:rsidRDefault="00146472" w:rsidP="00146472">
      <w:pPr>
        <w:widowControl w:val="0"/>
        <w:numPr>
          <w:ilvl w:val="12"/>
          <w:numId w:val="0"/>
        </w:numPr>
        <w:tabs>
          <w:tab w:val="clear" w:pos="567"/>
        </w:tabs>
        <w:spacing w:line="240" w:lineRule="auto"/>
        <w:ind w:right="-2"/>
        <w:rPr>
          <w:color w:val="000000"/>
          <w:szCs w:val="22"/>
          <w:lang w:val="hr-HR"/>
        </w:rPr>
      </w:pPr>
      <w:r w:rsidRPr="00510442">
        <w:rPr>
          <w:szCs w:val="22"/>
          <w:lang w:val="hr-HR"/>
        </w:rPr>
        <w:t>Obavijestite svog liječnika ako koristite lijekove koji sprječavaju stvaranje krvnih ugrušaka.</w:t>
      </w:r>
    </w:p>
    <w:p w14:paraId="617B520E" w14:textId="77777777" w:rsidR="00146472" w:rsidRPr="00510442" w:rsidRDefault="00146472" w:rsidP="00146472">
      <w:pPr>
        <w:pStyle w:val="EndnoteText"/>
        <w:widowControl w:val="0"/>
        <w:numPr>
          <w:ilvl w:val="12"/>
          <w:numId w:val="0"/>
        </w:numPr>
        <w:tabs>
          <w:tab w:val="clear" w:pos="567"/>
        </w:tabs>
        <w:rPr>
          <w:color w:val="000000"/>
          <w:szCs w:val="22"/>
          <w:lang w:val="hr-HR"/>
        </w:rPr>
      </w:pPr>
    </w:p>
    <w:p w14:paraId="5307D846" w14:textId="77777777" w:rsidR="00146472" w:rsidRPr="00510442" w:rsidRDefault="00146472" w:rsidP="00FB4E6C">
      <w:pPr>
        <w:pStyle w:val="EndnoteText"/>
        <w:keepNext/>
        <w:widowControl w:val="0"/>
        <w:numPr>
          <w:ilvl w:val="12"/>
          <w:numId w:val="0"/>
        </w:numPr>
        <w:tabs>
          <w:tab w:val="clear" w:pos="567"/>
        </w:tabs>
        <w:rPr>
          <w:b/>
          <w:szCs w:val="22"/>
          <w:lang w:val="hr-HR"/>
        </w:rPr>
      </w:pPr>
      <w:r w:rsidRPr="00510442">
        <w:rPr>
          <w:b/>
          <w:szCs w:val="22"/>
          <w:lang w:val="hr-HR"/>
        </w:rPr>
        <w:t>Trudnoća, dojenje i plodnost</w:t>
      </w:r>
    </w:p>
    <w:p w14:paraId="6F00D290" w14:textId="77777777" w:rsidR="00146472" w:rsidRPr="00510442" w:rsidRDefault="00146472" w:rsidP="00146472">
      <w:pPr>
        <w:widowControl w:val="0"/>
        <w:numPr>
          <w:ilvl w:val="0"/>
          <w:numId w:val="15"/>
        </w:numPr>
        <w:tabs>
          <w:tab w:val="clear" w:pos="567"/>
        </w:tabs>
        <w:spacing w:line="240" w:lineRule="auto"/>
        <w:ind w:left="567" w:hanging="567"/>
        <w:rPr>
          <w:szCs w:val="22"/>
          <w:lang w:val="hr-HR"/>
        </w:rPr>
      </w:pPr>
      <w:r w:rsidRPr="00510442">
        <w:rPr>
          <w:szCs w:val="22"/>
          <w:lang w:val="hr-HR"/>
        </w:rPr>
        <w:t>Ako ste trudni ili dojite, mislite da biste mogli biti trudni ili planirate imati dijete, obratite se svom liječniku za savjet prije nego uzmete ovaj lijek.</w:t>
      </w:r>
    </w:p>
    <w:p w14:paraId="0D9AD60D" w14:textId="2A7160E9" w:rsidR="00146472" w:rsidRPr="00510442" w:rsidRDefault="00146472" w:rsidP="00146472">
      <w:pPr>
        <w:widowControl w:val="0"/>
        <w:numPr>
          <w:ilvl w:val="0"/>
          <w:numId w:val="15"/>
        </w:numPr>
        <w:tabs>
          <w:tab w:val="clear" w:pos="567"/>
        </w:tabs>
        <w:spacing w:line="240" w:lineRule="auto"/>
        <w:ind w:left="567" w:hanging="567"/>
        <w:rPr>
          <w:color w:val="000000"/>
          <w:szCs w:val="22"/>
          <w:lang w:val="hr-HR"/>
        </w:rPr>
      </w:pPr>
      <w:r w:rsidRPr="00510442">
        <w:rPr>
          <w:szCs w:val="22"/>
          <w:lang w:val="hr-HR"/>
        </w:rPr>
        <w:t xml:space="preserve">Glivec se ne smije upotrebljavati tijekom trudnoće, osim ako to nije neophodno. Liječnik će Vam objasniti moguće rizike od uzimanja </w:t>
      </w:r>
      <w:r w:rsidR="004007D1" w:rsidRPr="00512481">
        <w:rPr>
          <w:szCs w:val="22"/>
          <w:lang w:val="hr-HR"/>
        </w:rPr>
        <w:t xml:space="preserve">lijeka </w:t>
      </w:r>
      <w:r w:rsidRPr="00510442">
        <w:rPr>
          <w:szCs w:val="22"/>
          <w:lang w:val="hr-HR"/>
        </w:rPr>
        <w:t>Glivec tijekom trudnoće.</w:t>
      </w:r>
    </w:p>
    <w:p w14:paraId="08126E64" w14:textId="77777777" w:rsidR="00146472" w:rsidRPr="00F410C8" w:rsidRDefault="00146472" w:rsidP="00146472">
      <w:pPr>
        <w:widowControl w:val="0"/>
        <w:numPr>
          <w:ilvl w:val="0"/>
          <w:numId w:val="15"/>
        </w:numPr>
        <w:tabs>
          <w:tab w:val="clear" w:pos="567"/>
        </w:tabs>
        <w:spacing w:line="240" w:lineRule="auto"/>
        <w:ind w:left="567" w:hanging="567"/>
        <w:rPr>
          <w:color w:val="000000"/>
          <w:szCs w:val="22"/>
          <w:lang w:val="hr-HR"/>
        </w:rPr>
      </w:pPr>
      <w:r w:rsidRPr="00510442">
        <w:rPr>
          <w:szCs w:val="22"/>
          <w:lang w:val="hr-HR"/>
        </w:rPr>
        <w:t>Ženama koje mogu zatrudnjeti se savjetuje primjena učinkovite kontracepcije tijekom liječenja</w:t>
      </w:r>
      <w:r w:rsidR="004A466E" w:rsidRPr="004A466E">
        <w:rPr>
          <w:szCs w:val="22"/>
          <w:lang w:val="hr-HR"/>
        </w:rPr>
        <w:t xml:space="preserve"> </w:t>
      </w:r>
      <w:r w:rsidR="004A466E">
        <w:rPr>
          <w:szCs w:val="22"/>
          <w:lang w:val="hr-HR"/>
        </w:rPr>
        <w:t>i u razdoblju od 15 </w:t>
      </w:r>
      <w:r w:rsidR="004A466E" w:rsidRPr="00F410C8">
        <w:rPr>
          <w:szCs w:val="22"/>
          <w:lang w:val="hr-HR"/>
        </w:rPr>
        <w:t>dana nakon prestanka liječenja</w:t>
      </w:r>
      <w:r w:rsidRPr="00F410C8">
        <w:rPr>
          <w:szCs w:val="22"/>
          <w:lang w:val="hr-HR"/>
        </w:rPr>
        <w:t>.</w:t>
      </w:r>
    </w:p>
    <w:p w14:paraId="4621B89C" w14:textId="5A9F85C3" w:rsidR="00146472" w:rsidRPr="00510442" w:rsidRDefault="00146472" w:rsidP="00146472">
      <w:pPr>
        <w:widowControl w:val="0"/>
        <w:numPr>
          <w:ilvl w:val="0"/>
          <w:numId w:val="15"/>
        </w:numPr>
        <w:tabs>
          <w:tab w:val="clear" w:pos="567"/>
        </w:tabs>
        <w:spacing w:line="240" w:lineRule="auto"/>
        <w:ind w:left="567" w:hanging="567"/>
        <w:rPr>
          <w:color w:val="000000"/>
          <w:szCs w:val="22"/>
          <w:lang w:val="hr-HR"/>
        </w:rPr>
      </w:pPr>
      <w:r w:rsidRPr="00F410C8">
        <w:rPr>
          <w:szCs w:val="22"/>
          <w:lang w:val="hr-HR"/>
        </w:rPr>
        <w:t xml:space="preserve">Nemojte dojiti tijekom liječenja </w:t>
      </w:r>
      <w:r w:rsidR="00B3237D" w:rsidRPr="00F410C8">
        <w:rPr>
          <w:szCs w:val="22"/>
          <w:lang w:val="hr-HR"/>
        </w:rPr>
        <w:t xml:space="preserve">lijekom </w:t>
      </w:r>
      <w:r w:rsidRPr="00F410C8">
        <w:rPr>
          <w:szCs w:val="22"/>
          <w:lang w:val="hr-HR"/>
        </w:rPr>
        <w:t>Glivec</w:t>
      </w:r>
      <w:r w:rsidR="004A466E" w:rsidRPr="00F410C8">
        <w:rPr>
          <w:szCs w:val="22"/>
          <w:lang w:val="hr-HR"/>
        </w:rPr>
        <w:t xml:space="preserve"> i u razdoblju od 15 dana nakon prestanka liječenja, jer</w:t>
      </w:r>
      <w:r w:rsidR="003C0256" w:rsidRPr="00F410C8">
        <w:rPr>
          <w:szCs w:val="22"/>
          <w:lang w:val="hr-HR"/>
        </w:rPr>
        <w:t xml:space="preserve"> to</w:t>
      </w:r>
      <w:r w:rsidR="004A466E" w:rsidRPr="00F410C8">
        <w:rPr>
          <w:szCs w:val="22"/>
          <w:lang w:val="hr-HR"/>
        </w:rPr>
        <w:t xml:space="preserve"> može </w:t>
      </w:r>
      <w:r w:rsidR="003C0256" w:rsidRPr="00F410C8">
        <w:rPr>
          <w:szCs w:val="22"/>
          <w:lang w:val="hr-HR"/>
        </w:rPr>
        <w:t>na</w:t>
      </w:r>
      <w:r w:rsidR="004A466E" w:rsidRPr="00F410C8">
        <w:rPr>
          <w:szCs w:val="22"/>
          <w:lang w:val="hr-HR"/>
        </w:rPr>
        <w:t>štetiti Vašem</w:t>
      </w:r>
      <w:r w:rsidR="004A466E">
        <w:rPr>
          <w:szCs w:val="22"/>
          <w:lang w:val="hr-HR"/>
        </w:rPr>
        <w:t xml:space="preserve"> djetetu</w:t>
      </w:r>
      <w:r w:rsidRPr="00510442">
        <w:rPr>
          <w:szCs w:val="22"/>
          <w:lang w:val="hr-HR"/>
        </w:rPr>
        <w:t>.</w:t>
      </w:r>
    </w:p>
    <w:p w14:paraId="16B4210D" w14:textId="34DB6FBE" w:rsidR="00146472" w:rsidRPr="00510442" w:rsidRDefault="00146472" w:rsidP="00146472">
      <w:pPr>
        <w:widowControl w:val="0"/>
        <w:numPr>
          <w:ilvl w:val="0"/>
          <w:numId w:val="15"/>
        </w:numPr>
        <w:tabs>
          <w:tab w:val="clear" w:pos="567"/>
        </w:tabs>
        <w:spacing w:line="240" w:lineRule="auto"/>
        <w:ind w:left="567" w:hanging="567"/>
        <w:rPr>
          <w:szCs w:val="22"/>
          <w:lang w:val="hr-HR"/>
        </w:rPr>
      </w:pPr>
      <w:r w:rsidRPr="00510442">
        <w:rPr>
          <w:szCs w:val="22"/>
          <w:lang w:val="hr-HR"/>
        </w:rPr>
        <w:t xml:space="preserve">Bolesnicima koji su zabrinuti za svoju plodnost tijekom uzimanja </w:t>
      </w:r>
      <w:r w:rsidR="004007D1" w:rsidRPr="00512481">
        <w:rPr>
          <w:szCs w:val="22"/>
          <w:lang w:val="hr-HR"/>
        </w:rPr>
        <w:t xml:space="preserve">lijeka </w:t>
      </w:r>
      <w:r w:rsidRPr="00510442">
        <w:rPr>
          <w:szCs w:val="22"/>
          <w:lang w:val="hr-HR"/>
        </w:rPr>
        <w:t>Glivec se preporučuje da se posavjetuju sa svojim liječnikom.</w:t>
      </w:r>
    </w:p>
    <w:p w14:paraId="1764A42D" w14:textId="77777777" w:rsidR="00146472" w:rsidRPr="00510442" w:rsidRDefault="00146472" w:rsidP="00146472">
      <w:pPr>
        <w:widowControl w:val="0"/>
        <w:numPr>
          <w:ilvl w:val="12"/>
          <w:numId w:val="0"/>
        </w:numPr>
        <w:tabs>
          <w:tab w:val="clear" w:pos="567"/>
        </w:tabs>
        <w:spacing w:line="240" w:lineRule="auto"/>
        <w:rPr>
          <w:color w:val="000000"/>
          <w:szCs w:val="22"/>
          <w:lang w:val="hr-HR"/>
        </w:rPr>
      </w:pPr>
    </w:p>
    <w:p w14:paraId="0AFB0B86" w14:textId="77777777" w:rsidR="00146472" w:rsidRPr="00510442" w:rsidRDefault="00146472" w:rsidP="00FB4E6C">
      <w:pPr>
        <w:keepNext/>
        <w:widowControl w:val="0"/>
        <w:numPr>
          <w:ilvl w:val="12"/>
          <w:numId w:val="0"/>
        </w:numPr>
        <w:tabs>
          <w:tab w:val="clear" w:pos="567"/>
        </w:tabs>
        <w:spacing w:line="240" w:lineRule="auto"/>
        <w:ind w:right="-2"/>
        <w:rPr>
          <w:color w:val="000000"/>
          <w:szCs w:val="22"/>
          <w:lang w:val="hr-HR"/>
        </w:rPr>
      </w:pPr>
      <w:r w:rsidRPr="00510442">
        <w:rPr>
          <w:b/>
          <w:szCs w:val="22"/>
          <w:lang w:val="hr-HR"/>
        </w:rPr>
        <w:t>Upravljanje vozilima i strojevima</w:t>
      </w:r>
    </w:p>
    <w:p w14:paraId="5BF5B77E" w14:textId="77777777" w:rsidR="00146472" w:rsidRPr="00510442" w:rsidRDefault="00146472" w:rsidP="00146472">
      <w:pPr>
        <w:widowControl w:val="0"/>
        <w:numPr>
          <w:ilvl w:val="12"/>
          <w:numId w:val="0"/>
        </w:numPr>
        <w:tabs>
          <w:tab w:val="clear" w:pos="567"/>
        </w:tabs>
        <w:spacing w:line="240" w:lineRule="auto"/>
        <w:ind w:right="-29"/>
        <w:rPr>
          <w:color w:val="000000"/>
          <w:szCs w:val="22"/>
          <w:lang w:val="hr-HR"/>
        </w:rPr>
      </w:pPr>
      <w:r w:rsidRPr="00510442">
        <w:rPr>
          <w:szCs w:val="22"/>
          <w:lang w:val="hr-HR"/>
        </w:rPr>
        <w:t>Tijekom uzimanja ovog lijeka možete osjetiti omaglicu ili imati zamagljen vid. Ako se to dogodi, nemojte voziti niti koristiti alate ili strojeve dok se ponovno ne počnete osjećati dobro.</w:t>
      </w:r>
    </w:p>
    <w:p w14:paraId="7C8D563B" w14:textId="77777777" w:rsidR="00146472" w:rsidRPr="00510442" w:rsidRDefault="00146472" w:rsidP="00146472">
      <w:pPr>
        <w:pStyle w:val="EndnoteText"/>
        <w:widowControl w:val="0"/>
        <w:numPr>
          <w:ilvl w:val="12"/>
          <w:numId w:val="0"/>
        </w:numPr>
        <w:tabs>
          <w:tab w:val="clear" w:pos="567"/>
        </w:tabs>
        <w:rPr>
          <w:color w:val="000000"/>
          <w:szCs w:val="22"/>
          <w:lang w:val="hr-HR"/>
        </w:rPr>
      </w:pPr>
    </w:p>
    <w:p w14:paraId="55320021" w14:textId="77777777" w:rsidR="00146472" w:rsidRPr="00510442" w:rsidRDefault="00146472" w:rsidP="00146472">
      <w:pPr>
        <w:pStyle w:val="EndnoteText"/>
        <w:widowControl w:val="0"/>
        <w:numPr>
          <w:ilvl w:val="12"/>
          <w:numId w:val="0"/>
        </w:numPr>
        <w:tabs>
          <w:tab w:val="clear" w:pos="567"/>
        </w:tabs>
        <w:rPr>
          <w:color w:val="000000"/>
          <w:szCs w:val="22"/>
          <w:lang w:val="hr-HR"/>
        </w:rPr>
      </w:pPr>
    </w:p>
    <w:p w14:paraId="7A3BE500" w14:textId="77777777" w:rsidR="00146472" w:rsidRPr="00510442" w:rsidRDefault="00146472" w:rsidP="00FB4E6C">
      <w:pPr>
        <w:keepNext/>
        <w:widowControl w:val="0"/>
        <w:numPr>
          <w:ilvl w:val="12"/>
          <w:numId w:val="0"/>
        </w:numPr>
        <w:tabs>
          <w:tab w:val="clear" w:pos="567"/>
        </w:tabs>
        <w:spacing w:line="240" w:lineRule="auto"/>
        <w:ind w:left="567" w:right="-2" w:hanging="567"/>
        <w:rPr>
          <w:color w:val="000000"/>
          <w:szCs w:val="22"/>
          <w:lang w:val="hr-HR"/>
        </w:rPr>
      </w:pPr>
      <w:r w:rsidRPr="00510442">
        <w:rPr>
          <w:b/>
          <w:color w:val="000000"/>
          <w:szCs w:val="22"/>
          <w:lang w:val="hr-HR"/>
        </w:rPr>
        <w:t>3.</w:t>
      </w:r>
      <w:r w:rsidRPr="00510442">
        <w:rPr>
          <w:b/>
          <w:color w:val="000000"/>
          <w:szCs w:val="22"/>
          <w:lang w:val="hr-HR"/>
        </w:rPr>
        <w:tab/>
        <w:t>Kako uzimati Glivec</w:t>
      </w:r>
    </w:p>
    <w:p w14:paraId="66CD2A3B" w14:textId="77777777" w:rsidR="00146472" w:rsidRPr="00510442" w:rsidRDefault="00146472" w:rsidP="00FB4E6C">
      <w:pPr>
        <w:pStyle w:val="EndnoteText"/>
        <w:keepNext/>
        <w:widowControl w:val="0"/>
        <w:numPr>
          <w:ilvl w:val="12"/>
          <w:numId w:val="0"/>
        </w:numPr>
        <w:tabs>
          <w:tab w:val="clear" w:pos="567"/>
        </w:tabs>
        <w:rPr>
          <w:color w:val="000000"/>
          <w:szCs w:val="22"/>
          <w:lang w:val="hr-HR"/>
        </w:rPr>
      </w:pPr>
    </w:p>
    <w:p w14:paraId="67DA15BD" w14:textId="77777777" w:rsidR="00146472" w:rsidRPr="00510442" w:rsidRDefault="00146472" w:rsidP="00146472">
      <w:pPr>
        <w:pStyle w:val="Text"/>
        <w:widowControl w:val="0"/>
        <w:spacing w:before="0"/>
        <w:jc w:val="left"/>
        <w:rPr>
          <w:color w:val="000000"/>
          <w:sz w:val="22"/>
          <w:szCs w:val="22"/>
          <w:lang w:val="hr-HR" w:bidi="th-TH"/>
        </w:rPr>
      </w:pPr>
      <w:r w:rsidRPr="00510442">
        <w:rPr>
          <w:sz w:val="22"/>
          <w:szCs w:val="22"/>
          <w:lang w:val="hr-HR"/>
        </w:rPr>
        <w:t>Vaš liječnik je propisao Glivec, jer patite od ozbiljnog stanja. Glivec Vam može pomoći u borbi protiv tog stanja.</w:t>
      </w:r>
    </w:p>
    <w:p w14:paraId="3480DA9D" w14:textId="77777777" w:rsidR="00146472" w:rsidRPr="00510442" w:rsidRDefault="00146472" w:rsidP="00146472">
      <w:pPr>
        <w:pStyle w:val="Text"/>
        <w:widowControl w:val="0"/>
        <w:spacing w:before="0"/>
        <w:jc w:val="left"/>
        <w:rPr>
          <w:color w:val="000000"/>
          <w:sz w:val="22"/>
          <w:szCs w:val="22"/>
          <w:lang w:val="hr-HR" w:bidi="th-TH"/>
        </w:rPr>
      </w:pPr>
    </w:p>
    <w:p w14:paraId="4E4F828A" w14:textId="77777777" w:rsidR="00146472" w:rsidRPr="00510442" w:rsidRDefault="00146472" w:rsidP="00146472">
      <w:pPr>
        <w:pStyle w:val="Text"/>
        <w:widowControl w:val="0"/>
        <w:spacing w:before="0"/>
        <w:jc w:val="left"/>
        <w:rPr>
          <w:sz w:val="22"/>
          <w:szCs w:val="22"/>
          <w:lang w:val="hr-HR"/>
        </w:rPr>
      </w:pPr>
      <w:r w:rsidRPr="00510442">
        <w:rPr>
          <w:sz w:val="22"/>
          <w:szCs w:val="22"/>
          <w:lang w:val="hr-HR" w:bidi="th-TH"/>
        </w:rPr>
        <w:t xml:space="preserve">Međutim, </w:t>
      </w:r>
      <w:r w:rsidRPr="00510442">
        <w:rPr>
          <w:sz w:val="22"/>
          <w:szCs w:val="22"/>
          <w:lang w:val="hr-HR"/>
        </w:rPr>
        <w:t xml:space="preserve">uvijek uzmite ovaj lijek točno onako kako Vam </w:t>
      </w:r>
      <w:r w:rsidR="00DC65B2" w:rsidRPr="00510442">
        <w:rPr>
          <w:sz w:val="22"/>
          <w:szCs w:val="22"/>
          <w:lang w:val="hr-HR"/>
        </w:rPr>
        <w:t xml:space="preserve">je </w:t>
      </w:r>
      <w:r w:rsidRPr="00510442">
        <w:rPr>
          <w:sz w:val="22"/>
          <w:szCs w:val="22"/>
          <w:lang w:val="hr-HR"/>
        </w:rPr>
        <w:t>rek</w:t>
      </w:r>
      <w:r w:rsidR="00DC65B2" w:rsidRPr="00510442">
        <w:rPr>
          <w:sz w:val="22"/>
          <w:szCs w:val="22"/>
          <w:lang w:val="hr-HR"/>
        </w:rPr>
        <w:t>ao</w:t>
      </w:r>
      <w:r w:rsidRPr="00510442">
        <w:rPr>
          <w:sz w:val="22"/>
          <w:szCs w:val="22"/>
          <w:lang w:val="hr-HR"/>
        </w:rPr>
        <w:t xml:space="preserve"> liječnik ili ljekarnik. Važno je da to činite onoliko dugo koliko Vam kaže liječnik ili ljekarnik. Provjerite s liječnikom ili ljekarnikom ako niste sigurni.</w:t>
      </w:r>
    </w:p>
    <w:p w14:paraId="5B4FC93D" w14:textId="77777777" w:rsidR="00146472" w:rsidRPr="00510442" w:rsidRDefault="00146472" w:rsidP="00146472">
      <w:pPr>
        <w:tabs>
          <w:tab w:val="clear" w:pos="567"/>
        </w:tabs>
        <w:autoSpaceDE w:val="0"/>
        <w:autoSpaceDN w:val="0"/>
        <w:adjustRightInd w:val="0"/>
        <w:spacing w:line="240" w:lineRule="auto"/>
        <w:rPr>
          <w:color w:val="000000"/>
          <w:szCs w:val="22"/>
          <w:lang w:val="hr-HR" w:bidi="th-TH"/>
        </w:rPr>
      </w:pPr>
    </w:p>
    <w:p w14:paraId="1EE81296" w14:textId="77777777" w:rsidR="00146472" w:rsidRPr="00510442" w:rsidRDefault="00146472" w:rsidP="00146472">
      <w:pPr>
        <w:tabs>
          <w:tab w:val="clear" w:pos="567"/>
        </w:tabs>
        <w:autoSpaceDE w:val="0"/>
        <w:autoSpaceDN w:val="0"/>
        <w:adjustRightInd w:val="0"/>
        <w:spacing w:line="240" w:lineRule="auto"/>
        <w:rPr>
          <w:color w:val="000000"/>
          <w:szCs w:val="22"/>
          <w:lang w:val="hr-HR" w:bidi="th-TH"/>
        </w:rPr>
      </w:pPr>
      <w:r w:rsidRPr="00510442">
        <w:rPr>
          <w:bCs/>
          <w:szCs w:val="22"/>
          <w:lang w:val="hr-HR"/>
        </w:rPr>
        <w:t>Nemojte prestati uzimati Glivec, osim ako Vam to ne kaže liječnik. Ako niste u mogućnosti uzimati ovaj lijek kako Vam je liječnik propisao ili ako osjećate da Vam više ne treba, odmah se obratite svom liječniku.</w:t>
      </w:r>
    </w:p>
    <w:p w14:paraId="481DCDC6" w14:textId="77777777" w:rsidR="00146472" w:rsidRPr="00510442" w:rsidRDefault="00146472" w:rsidP="00146472">
      <w:pPr>
        <w:pStyle w:val="Text"/>
        <w:widowControl w:val="0"/>
        <w:spacing w:before="0"/>
        <w:jc w:val="left"/>
        <w:rPr>
          <w:color w:val="000000"/>
          <w:sz w:val="22"/>
          <w:szCs w:val="22"/>
          <w:lang w:val="hr-HR"/>
        </w:rPr>
      </w:pPr>
    </w:p>
    <w:p w14:paraId="3A6BF122" w14:textId="615AA70F" w:rsidR="00146472" w:rsidRPr="00510442" w:rsidRDefault="00146472" w:rsidP="00FB4E6C">
      <w:pPr>
        <w:pStyle w:val="Heading2"/>
        <w:widowControl w:val="0"/>
        <w:spacing w:before="0" w:after="0" w:line="240" w:lineRule="auto"/>
        <w:rPr>
          <w:rFonts w:ascii="Times New Roman" w:hAnsi="Times New Roman"/>
          <w:i w:val="0"/>
          <w:color w:val="000000"/>
          <w:sz w:val="22"/>
          <w:szCs w:val="22"/>
          <w:lang w:val="hr-HR"/>
        </w:rPr>
      </w:pPr>
      <w:r w:rsidRPr="00510442">
        <w:rPr>
          <w:rFonts w:ascii="Times New Roman" w:hAnsi="Times New Roman"/>
          <w:i w:val="0"/>
          <w:color w:val="000000"/>
          <w:sz w:val="22"/>
          <w:szCs w:val="22"/>
          <w:lang w:val="hr-HR"/>
        </w:rPr>
        <w:t xml:space="preserve">Koliko </w:t>
      </w:r>
      <w:r w:rsidR="004007D1" w:rsidRPr="004007D1">
        <w:rPr>
          <w:rFonts w:ascii="Times New Roman" w:hAnsi="Times New Roman"/>
          <w:i w:val="0"/>
          <w:color w:val="000000"/>
          <w:sz w:val="22"/>
          <w:szCs w:val="22"/>
          <w:lang w:val="hr-HR"/>
        </w:rPr>
        <w:t xml:space="preserve">lijeka </w:t>
      </w:r>
      <w:r w:rsidRPr="00510442">
        <w:rPr>
          <w:rFonts w:ascii="Times New Roman" w:hAnsi="Times New Roman"/>
          <w:i w:val="0"/>
          <w:color w:val="000000"/>
          <w:sz w:val="22"/>
          <w:szCs w:val="22"/>
          <w:lang w:val="hr-HR"/>
        </w:rPr>
        <w:t>Glivec uzeti</w:t>
      </w:r>
    </w:p>
    <w:p w14:paraId="5A0E74C6" w14:textId="77777777" w:rsidR="00146472" w:rsidRPr="00510442" w:rsidRDefault="00146472" w:rsidP="00FB4E6C">
      <w:pPr>
        <w:pStyle w:val="Text"/>
        <w:keepNext/>
        <w:widowControl w:val="0"/>
        <w:spacing w:before="0"/>
        <w:jc w:val="left"/>
        <w:rPr>
          <w:color w:val="000000"/>
          <w:sz w:val="22"/>
          <w:szCs w:val="22"/>
          <w:lang w:val="hr-HR"/>
        </w:rPr>
      </w:pPr>
    </w:p>
    <w:p w14:paraId="77A2BE72" w14:textId="77777777" w:rsidR="00146472" w:rsidRPr="00510442" w:rsidRDefault="00146472" w:rsidP="00FB4E6C">
      <w:pPr>
        <w:pStyle w:val="Text"/>
        <w:keepNext/>
        <w:widowControl w:val="0"/>
        <w:spacing w:before="0"/>
        <w:jc w:val="left"/>
        <w:rPr>
          <w:color w:val="000000"/>
          <w:sz w:val="22"/>
          <w:szCs w:val="22"/>
          <w:lang w:val="hr-HR"/>
        </w:rPr>
      </w:pPr>
      <w:r w:rsidRPr="00510442">
        <w:rPr>
          <w:b/>
          <w:bCs/>
          <w:color w:val="000000"/>
          <w:sz w:val="22"/>
          <w:szCs w:val="22"/>
          <w:lang w:val="hr-HR"/>
        </w:rPr>
        <w:t xml:space="preserve">Primjena u </w:t>
      </w:r>
      <w:r w:rsidRPr="00510442">
        <w:rPr>
          <w:b/>
          <w:bCs/>
          <w:sz w:val="22"/>
          <w:szCs w:val="22"/>
          <w:lang w:val="hr-HR"/>
        </w:rPr>
        <w:t>odraslih osoba</w:t>
      </w:r>
    </w:p>
    <w:p w14:paraId="3971188C" w14:textId="6DC7DEE3" w:rsidR="00146472" w:rsidRPr="00510442" w:rsidRDefault="00146472" w:rsidP="00FB4E6C">
      <w:pPr>
        <w:pStyle w:val="Text"/>
        <w:keepNext/>
        <w:widowControl w:val="0"/>
        <w:spacing w:before="0"/>
        <w:jc w:val="left"/>
        <w:rPr>
          <w:color w:val="000000"/>
          <w:sz w:val="22"/>
          <w:szCs w:val="22"/>
          <w:lang w:val="hr-HR"/>
        </w:rPr>
      </w:pPr>
      <w:r w:rsidRPr="00510442">
        <w:rPr>
          <w:sz w:val="22"/>
          <w:szCs w:val="22"/>
          <w:lang w:val="hr-HR"/>
        </w:rPr>
        <w:t xml:space="preserve">Liječnik će Vam reći točno koliko kapsula </w:t>
      </w:r>
      <w:r w:rsidR="004007D1" w:rsidRPr="00512481">
        <w:rPr>
          <w:sz w:val="22"/>
          <w:szCs w:val="22"/>
          <w:lang w:val="hr-HR"/>
        </w:rPr>
        <w:t xml:space="preserve">lijeka </w:t>
      </w:r>
      <w:r w:rsidRPr="00510442">
        <w:rPr>
          <w:sz w:val="22"/>
          <w:szCs w:val="22"/>
          <w:lang w:val="hr-HR"/>
        </w:rPr>
        <w:t>Glivec trebate uzeti</w:t>
      </w:r>
      <w:r w:rsidRPr="00510442">
        <w:rPr>
          <w:color w:val="000000"/>
          <w:sz w:val="22"/>
          <w:szCs w:val="22"/>
          <w:lang w:val="hr-HR"/>
        </w:rPr>
        <w:t>.</w:t>
      </w:r>
    </w:p>
    <w:p w14:paraId="42C77386" w14:textId="77777777" w:rsidR="00146472" w:rsidRPr="00510442" w:rsidRDefault="00146472" w:rsidP="00FB4E6C">
      <w:pPr>
        <w:pStyle w:val="Text"/>
        <w:keepNext/>
        <w:widowControl w:val="0"/>
        <w:spacing w:before="0"/>
        <w:jc w:val="left"/>
        <w:rPr>
          <w:color w:val="000000"/>
          <w:sz w:val="22"/>
          <w:szCs w:val="22"/>
          <w:lang w:val="hr-HR"/>
        </w:rPr>
      </w:pPr>
    </w:p>
    <w:p w14:paraId="78A7AC26" w14:textId="77777777" w:rsidR="00146472" w:rsidRPr="00510442" w:rsidRDefault="00146472" w:rsidP="00FB4E6C">
      <w:pPr>
        <w:pStyle w:val="Text"/>
        <w:keepNext/>
        <w:widowControl w:val="0"/>
        <w:numPr>
          <w:ilvl w:val="1"/>
          <w:numId w:val="9"/>
        </w:numPr>
        <w:tabs>
          <w:tab w:val="clear" w:pos="1440"/>
          <w:tab w:val="num" w:pos="567"/>
        </w:tabs>
        <w:spacing w:before="0"/>
        <w:ind w:left="567" w:hanging="567"/>
        <w:jc w:val="left"/>
        <w:rPr>
          <w:color w:val="000000"/>
          <w:sz w:val="22"/>
          <w:szCs w:val="22"/>
          <w:lang w:val="hr-HR"/>
        </w:rPr>
      </w:pPr>
      <w:r w:rsidRPr="00510442">
        <w:rPr>
          <w:b/>
          <w:sz w:val="22"/>
          <w:szCs w:val="22"/>
          <w:lang w:val="hr-HR"/>
        </w:rPr>
        <w:t>Ako se liječite zbog KML-a</w:t>
      </w:r>
      <w:r w:rsidRPr="00510442">
        <w:rPr>
          <w:b/>
          <w:bCs/>
          <w:color w:val="000000"/>
          <w:sz w:val="22"/>
          <w:szCs w:val="22"/>
          <w:lang w:val="hr-HR"/>
        </w:rPr>
        <w:t>:</w:t>
      </w:r>
    </w:p>
    <w:p w14:paraId="53843127" w14:textId="77777777" w:rsidR="00146472" w:rsidRPr="00510442" w:rsidRDefault="00146472" w:rsidP="00FB4E6C">
      <w:pPr>
        <w:pStyle w:val="Text"/>
        <w:keepNext/>
        <w:widowControl w:val="0"/>
        <w:spacing w:before="0"/>
        <w:ind w:left="567"/>
        <w:jc w:val="left"/>
        <w:rPr>
          <w:color w:val="000000"/>
          <w:sz w:val="22"/>
          <w:szCs w:val="22"/>
          <w:lang w:val="hr-HR"/>
        </w:rPr>
      </w:pPr>
      <w:r w:rsidRPr="00510442">
        <w:rPr>
          <w:sz w:val="22"/>
          <w:szCs w:val="22"/>
          <w:lang w:val="hr-HR"/>
        </w:rPr>
        <w:t>Ovisno o Vašem stanju, uobičajena početna doza je ili 400</w:t>
      </w:r>
      <w:r w:rsidRPr="00510442">
        <w:rPr>
          <w:color w:val="000000"/>
          <w:sz w:val="22"/>
          <w:szCs w:val="22"/>
          <w:lang w:val="hr-HR"/>
        </w:rPr>
        <w:t> </w:t>
      </w:r>
      <w:r w:rsidRPr="00510442">
        <w:rPr>
          <w:sz w:val="22"/>
          <w:szCs w:val="22"/>
          <w:lang w:val="hr-HR"/>
        </w:rPr>
        <w:t>mg ili 600</w:t>
      </w:r>
      <w:r w:rsidRPr="00510442">
        <w:rPr>
          <w:color w:val="000000"/>
          <w:sz w:val="22"/>
          <w:szCs w:val="22"/>
          <w:lang w:val="hr-HR"/>
        </w:rPr>
        <w:t> </w:t>
      </w:r>
      <w:r w:rsidRPr="00510442">
        <w:rPr>
          <w:sz w:val="22"/>
          <w:szCs w:val="22"/>
          <w:lang w:val="hr-HR"/>
        </w:rPr>
        <w:t>mg</w:t>
      </w:r>
      <w:r w:rsidRPr="00510442">
        <w:rPr>
          <w:color w:val="000000"/>
          <w:sz w:val="22"/>
          <w:szCs w:val="22"/>
          <w:lang w:val="hr-HR"/>
        </w:rPr>
        <w:t>:</w:t>
      </w:r>
    </w:p>
    <w:p w14:paraId="115E8F0B" w14:textId="77777777" w:rsidR="00146472" w:rsidRPr="00510442" w:rsidRDefault="00146472" w:rsidP="00FB4E6C">
      <w:pPr>
        <w:pStyle w:val="Listlevel2"/>
        <w:keepNext/>
        <w:numPr>
          <w:ilvl w:val="0"/>
          <w:numId w:val="9"/>
        </w:numPr>
        <w:tabs>
          <w:tab w:val="clear" w:pos="576"/>
          <w:tab w:val="num" w:pos="1134"/>
        </w:tabs>
        <w:spacing w:before="0" w:after="0"/>
        <w:ind w:left="1134"/>
        <w:rPr>
          <w:color w:val="000000"/>
          <w:sz w:val="22"/>
          <w:szCs w:val="22"/>
          <w:lang w:val="hr-HR"/>
        </w:rPr>
      </w:pPr>
      <w:r w:rsidRPr="00510442">
        <w:rPr>
          <w:b/>
          <w:bCs/>
          <w:color w:val="000000"/>
          <w:sz w:val="22"/>
          <w:szCs w:val="22"/>
          <w:lang w:val="hr-HR"/>
        </w:rPr>
        <w:t>400 mg</w:t>
      </w:r>
      <w:r w:rsidRPr="00510442">
        <w:rPr>
          <w:color w:val="000000"/>
          <w:sz w:val="22"/>
          <w:szCs w:val="22"/>
          <w:lang w:val="hr-HR"/>
        </w:rPr>
        <w:t xml:space="preserve"> </w:t>
      </w:r>
      <w:r w:rsidRPr="00510442">
        <w:rPr>
          <w:sz w:val="22"/>
          <w:szCs w:val="22"/>
          <w:lang w:val="hr-HR"/>
        </w:rPr>
        <w:t xml:space="preserve">se uzima kao </w:t>
      </w:r>
      <w:r w:rsidRPr="00510442">
        <w:rPr>
          <w:color w:val="000000"/>
          <w:sz w:val="22"/>
          <w:szCs w:val="22"/>
          <w:lang w:val="hr-HR"/>
        </w:rPr>
        <w:t xml:space="preserve">4 kapsule </w:t>
      </w:r>
      <w:r w:rsidRPr="00510442">
        <w:rPr>
          <w:b/>
          <w:sz w:val="22"/>
          <w:szCs w:val="22"/>
          <w:lang w:val="hr-HR"/>
        </w:rPr>
        <w:t>jednom</w:t>
      </w:r>
      <w:r w:rsidRPr="00510442">
        <w:rPr>
          <w:sz w:val="22"/>
          <w:szCs w:val="22"/>
          <w:lang w:val="hr-HR"/>
        </w:rPr>
        <w:t xml:space="preserve"> na dan</w:t>
      </w:r>
      <w:r w:rsidRPr="00510442">
        <w:rPr>
          <w:color w:val="000000"/>
          <w:sz w:val="22"/>
          <w:szCs w:val="22"/>
          <w:lang w:val="hr-HR"/>
        </w:rPr>
        <w:t>.</w:t>
      </w:r>
    </w:p>
    <w:p w14:paraId="73A265B8" w14:textId="77777777" w:rsidR="00146472" w:rsidRPr="00510442" w:rsidRDefault="00146472" w:rsidP="00DB028B">
      <w:pPr>
        <w:pStyle w:val="Text"/>
        <w:widowControl w:val="0"/>
        <w:spacing w:before="0"/>
        <w:ind w:left="1134" w:hanging="567"/>
        <w:jc w:val="left"/>
        <w:rPr>
          <w:color w:val="000000"/>
          <w:sz w:val="22"/>
          <w:szCs w:val="22"/>
          <w:lang w:val="hr-HR"/>
        </w:rPr>
      </w:pPr>
      <w:r w:rsidRPr="00510442">
        <w:rPr>
          <w:color w:val="000000"/>
          <w:sz w:val="22"/>
          <w:szCs w:val="22"/>
          <w:lang w:val="hr-HR"/>
        </w:rPr>
        <w:t>-</w:t>
      </w:r>
      <w:r w:rsidRPr="00510442">
        <w:rPr>
          <w:color w:val="000000"/>
          <w:sz w:val="22"/>
          <w:szCs w:val="22"/>
          <w:lang w:val="hr-HR"/>
        </w:rPr>
        <w:tab/>
      </w:r>
      <w:r w:rsidRPr="00510442">
        <w:rPr>
          <w:b/>
          <w:bCs/>
          <w:color w:val="000000"/>
          <w:sz w:val="22"/>
          <w:szCs w:val="22"/>
          <w:lang w:val="hr-HR"/>
        </w:rPr>
        <w:t>600 mg</w:t>
      </w:r>
      <w:r w:rsidRPr="00510442">
        <w:rPr>
          <w:color w:val="000000"/>
          <w:sz w:val="22"/>
          <w:szCs w:val="22"/>
          <w:lang w:val="hr-HR"/>
        </w:rPr>
        <w:t xml:space="preserve"> </w:t>
      </w:r>
      <w:r w:rsidRPr="00510442">
        <w:rPr>
          <w:sz w:val="22"/>
          <w:szCs w:val="22"/>
          <w:lang w:val="hr-HR"/>
        </w:rPr>
        <w:t xml:space="preserve">se uzima kao </w:t>
      </w:r>
      <w:r w:rsidRPr="00510442">
        <w:rPr>
          <w:color w:val="000000"/>
          <w:sz w:val="22"/>
          <w:szCs w:val="22"/>
          <w:lang w:val="hr-HR"/>
        </w:rPr>
        <w:t>6 </w:t>
      </w:r>
      <w:r w:rsidRPr="00510442">
        <w:rPr>
          <w:sz w:val="22"/>
          <w:szCs w:val="22"/>
          <w:lang w:val="hr-HR"/>
        </w:rPr>
        <w:t xml:space="preserve">kapsula </w:t>
      </w:r>
      <w:r w:rsidRPr="00510442">
        <w:rPr>
          <w:b/>
          <w:sz w:val="22"/>
          <w:szCs w:val="22"/>
          <w:lang w:val="hr-HR"/>
        </w:rPr>
        <w:t>jednom</w:t>
      </w:r>
      <w:r w:rsidRPr="00510442">
        <w:rPr>
          <w:sz w:val="22"/>
          <w:szCs w:val="22"/>
          <w:lang w:val="hr-HR"/>
        </w:rPr>
        <w:t xml:space="preserve"> na dan</w:t>
      </w:r>
      <w:r w:rsidRPr="00510442">
        <w:rPr>
          <w:color w:val="000000"/>
          <w:sz w:val="22"/>
          <w:szCs w:val="22"/>
          <w:lang w:val="hr-HR"/>
        </w:rPr>
        <w:t>.</w:t>
      </w:r>
    </w:p>
    <w:p w14:paraId="3825440C" w14:textId="77777777" w:rsidR="00146472" w:rsidRPr="00510442" w:rsidRDefault="00146472" w:rsidP="00DB028B">
      <w:pPr>
        <w:pStyle w:val="Text"/>
        <w:widowControl w:val="0"/>
        <w:spacing w:before="0"/>
        <w:jc w:val="left"/>
        <w:rPr>
          <w:color w:val="000000"/>
          <w:sz w:val="22"/>
          <w:szCs w:val="22"/>
          <w:lang w:val="hr-HR"/>
        </w:rPr>
      </w:pPr>
    </w:p>
    <w:p w14:paraId="08B0521C" w14:textId="77777777" w:rsidR="00146472" w:rsidRPr="00510442" w:rsidRDefault="00146472" w:rsidP="00FB4E6C">
      <w:pPr>
        <w:pStyle w:val="Text"/>
        <w:keepNext/>
        <w:widowControl w:val="0"/>
        <w:numPr>
          <w:ilvl w:val="0"/>
          <w:numId w:val="29"/>
        </w:numPr>
        <w:tabs>
          <w:tab w:val="clear" w:pos="720"/>
          <w:tab w:val="num" w:pos="567"/>
        </w:tabs>
        <w:spacing w:before="0"/>
        <w:ind w:left="567" w:hanging="567"/>
        <w:jc w:val="left"/>
        <w:rPr>
          <w:color w:val="000000"/>
          <w:sz w:val="22"/>
          <w:szCs w:val="22"/>
          <w:lang w:val="hr-HR"/>
        </w:rPr>
      </w:pPr>
      <w:r w:rsidRPr="00510442">
        <w:rPr>
          <w:b/>
          <w:sz w:val="22"/>
          <w:szCs w:val="22"/>
          <w:lang w:val="hr-HR"/>
        </w:rPr>
        <w:t>Ako se liječite zbog GIST-a</w:t>
      </w:r>
      <w:r w:rsidRPr="00510442">
        <w:rPr>
          <w:b/>
          <w:bCs/>
          <w:color w:val="000000"/>
          <w:sz w:val="22"/>
          <w:szCs w:val="22"/>
          <w:lang w:val="hr-HR"/>
        </w:rPr>
        <w:t>:</w:t>
      </w:r>
    </w:p>
    <w:p w14:paraId="6F4AB62A" w14:textId="77777777" w:rsidR="00146472" w:rsidRPr="00510442" w:rsidRDefault="00146472" w:rsidP="00DB028B">
      <w:pPr>
        <w:pStyle w:val="Text"/>
        <w:widowControl w:val="0"/>
        <w:spacing w:before="0"/>
        <w:ind w:left="567"/>
        <w:jc w:val="left"/>
        <w:rPr>
          <w:color w:val="000000"/>
          <w:sz w:val="22"/>
          <w:szCs w:val="22"/>
          <w:lang w:val="hr-HR"/>
        </w:rPr>
      </w:pPr>
      <w:r w:rsidRPr="00510442">
        <w:rPr>
          <w:sz w:val="22"/>
          <w:szCs w:val="22"/>
          <w:lang w:val="hr-HR"/>
        </w:rPr>
        <w:t>Početna doza je 400</w:t>
      </w:r>
      <w:r w:rsidRPr="00510442">
        <w:rPr>
          <w:color w:val="000000"/>
          <w:sz w:val="22"/>
          <w:szCs w:val="22"/>
          <w:lang w:val="hr-HR"/>
        </w:rPr>
        <w:t> </w:t>
      </w:r>
      <w:r w:rsidRPr="00510442">
        <w:rPr>
          <w:sz w:val="22"/>
          <w:szCs w:val="22"/>
          <w:lang w:val="hr-HR"/>
        </w:rPr>
        <w:t>mg, koja se uzima kao 4</w:t>
      </w:r>
      <w:r w:rsidRPr="00510442">
        <w:rPr>
          <w:color w:val="000000"/>
          <w:sz w:val="22"/>
          <w:szCs w:val="22"/>
          <w:lang w:val="hr-HR"/>
        </w:rPr>
        <w:t> </w:t>
      </w:r>
      <w:r w:rsidRPr="00510442">
        <w:rPr>
          <w:sz w:val="22"/>
          <w:szCs w:val="22"/>
          <w:lang w:val="hr-HR"/>
        </w:rPr>
        <w:t xml:space="preserve">kapsula </w:t>
      </w:r>
      <w:r w:rsidRPr="00510442">
        <w:rPr>
          <w:b/>
          <w:sz w:val="22"/>
          <w:szCs w:val="22"/>
          <w:lang w:val="hr-HR"/>
        </w:rPr>
        <w:t>jednom</w:t>
      </w:r>
      <w:r w:rsidRPr="00510442">
        <w:rPr>
          <w:sz w:val="22"/>
          <w:szCs w:val="22"/>
          <w:lang w:val="hr-HR"/>
        </w:rPr>
        <w:t xml:space="preserve"> na dan</w:t>
      </w:r>
      <w:r w:rsidRPr="00510442">
        <w:rPr>
          <w:color w:val="000000"/>
          <w:sz w:val="22"/>
          <w:szCs w:val="22"/>
          <w:lang w:val="hr-HR"/>
        </w:rPr>
        <w:t>.</w:t>
      </w:r>
    </w:p>
    <w:p w14:paraId="203B59BA" w14:textId="77777777" w:rsidR="00146472" w:rsidRPr="00510442" w:rsidRDefault="00146472" w:rsidP="00DB028B">
      <w:pPr>
        <w:pStyle w:val="Text"/>
        <w:widowControl w:val="0"/>
        <w:spacing w:before="0"/>
        <w:jc w:val="left"/>
        <w:rPr>
          <w:color w:val="000000"/>
          <w:sz w:val="22"/>
          <w:szCs w:val="22"/>
          <w:lang w:val="hr-HR"/>
        </w:rPr>
      </w:pPr>
    </w:p>
    <w:p w14:paraId="1FEE00C6" w14:textId="77777777" w:rsidR="00146472" w:rsidRPr="00510442" w:rsidRDefault="00146472" w:rsidP="00DB028B">
      <w:pPr>
        <w:pStyle w:val="Text"/>
        <w:widowControl w:val="0"/>
        <w:spacing w:before="0"/>
        <w:jc w:val="left"/>
        <w:rPr>
          <w:color w:val="000000"/>
          <w:sz w:val="22"/>
          <w:szCs w:val="22"/>
          <w:lang w:val="hr-HR"/>
        </w:rPr>
      </w:pPr>
      <w:r w:rsidRPr="00510442">
        <w:rPr>
          <w:sz w:val="22"/>
          <w:szCs w:val="22"/>
          <w:lang w:val="hr-HR"/>
        </w:rPr>
        <w:t>Za KML ili GIST, liječnik Vam može propisati višu ili nižu dozu, ovisno o tome kako reagirate na liječenje. Ako Vaša dnevna doza iznosi 800</w:t>
      </w:r>
      <w:r w:rsidRPr="00510442">
        <w:rPr>
          <w:color w:val="000000"/>
          <w:sz w:val="22"/>
          <w:szCs w:val="22"/>
          <w:lang w:val="hr-HR"/>
        </w:rPr>
        <w:t> </w:t>
      </w:r>
      <w:r w:rsidRPr="00510442">
        <w:rPr>
          <w:sz w:val="22"/>
          <w:szCs w:val="22"/>
          <w:lang w:val="hr-HR"/>
        </w:rPr>
        <w:t>mg (8</w:t>
      </w:r>
      <w:r w:rsidRPr="00510442">
        <w:rPr>
          <w:color w:val="000000"/>
          <w:sz w:val="22"/>
          <w:szCs w:val="22"/>
          <w:lang w:val="hr-HR"/>
        </w:rPr>
        <w:t> </w:t>
      </w:r>
      <w:r w:rsidRPr="00510442">
        <w:rPr>
          <w:sz w:val="22"/>
          <w:szCs w:val="22"/>
          <w:lang w:val="hr-HR"/>
        </w:rPr>
        <w:t>kapsula), trebate uzimati 4</w:t>
      </w:r>
      <w:r w:rsidRPr="00510442">
        <w:rPr>
          <w:color w:val="000000"/>
          <w:sz w:val="22"/>
          <w:szCs w:val="22"/>
          <w:lang w:val="hr-HR"/>
        </w:rPr>
        <w:t> </w:t>
      </w:r>
      <w:r w:rsidRPr="00510442">
        <w:rPr>
          <w:sz w:val="22"/>
          <w:szCs w:val="22"/>
          <w:lang w:val="hr-HR"/>
        </w:rPr>
        <w:t>kapsule ujutro i 4</w:t>
      </w:r>
      <w:r w:rsidRPr="00510442">
        <w:rPr>
          <w:color w:val="000000"/>
          <w:sz w:val="22"/>
          <w:szCs w:val="22"/>
          <w:lang w:val="hr-HR"/>
        </w:rPr>
        <w:t> </w:t>
      </w:r>
      <w:r w:rsidRPr="00510442">
        <w:rPr>
          <w:sz w:val="22"/>
          <w:szCs w:val="22"/>
          <w:lang w:val="hr-HR"/>
        </w:rPr>
        <w:t>kapsule navečer</w:t>
      </w:r>
      <w:r w:rsidRPr="00510442">
        <w:rPr>
          <w:color w:val="000000"/>
          <w:sz w:val="22"/>
          <w:szCs w:val="22"/>
          <w:lang w:val="hr-HR"/>
        </w:rPr>
        <w:t>.</w:t>
      </w:r>
    </w:p>
    <w:p w14:paraId="08A07B5B" w14:textId="77777777" w:rsidR="00146472" w:rsidRPr="00510442" w:rsidRDefault="00146472" w:rsidP="00DB028B">
      <w:pPr>
        <w:pStyle w:val="Listlevel1"/>
        <w:spacing w:before="0" w:after="0"/>
        <w:ind w:left="0" w:firstLine="0"/>
        <w:rPr>
          <w:color w:val="000000"/>
          <w:sz w:val="22"/>
          <w:szCs w:val="22"/>
          <w:lang w:val="hr-HR"/>
        </w:rPr>
      </w:pPr>
    </w:p>
    <w:p w14:paraId="0FA91A38" w14:textId="77777777" w:rsidR="00146472" w:rsidRPr="00510442" w:rsidRDefault="00146472" w:rsidP="00FB4E6C">
      <w:pPr>
        <w:pStyle w:val="Listlevel1"/>
        <w:keepNext/>
        <w:numPr>
          <w:ilvl w:val="0"/>
          <w:numId w:val="29"/>
        </w:numPr>
        <w:tabs>
          <w:tab w:val="clear" w:pos="720"/>
          <w:tab w:val="num" w:pos="567"/>
        </w:tabs>
        <w:spacing w:before="0" w:after="0"/>
        <w:ind w:left="567" w:hanging="567"/>
        <w:rPr>
          <w:color w:val="000000"/>
          <w:sz w:val="22"/>
          <w:szCs w:val="22"/>
          <w:lang w:val="hr-HR"/>
        </w:rPr>
      </w:pPr>
      <w:r w:rsidRPr="00510442">
        <w:rPr>
          <w:b/>
          <w:sz w:val="22"/>
          <w:szCs w:val="22"/>
          <w:lang w:val="hr-HR"/>
        </w:rPr>
        <w:t>Ako se liječite zbog Ph-pozitivnog ALL-a</w:t>
      </w:r>
      <w:r w:rsidRPr="00510442">
        <w:rPr>
          <w:b/>
          <w:bCs/>
          <w:color w:val="000000"/>
          <w:sz w:val="22"/>
          <w:szCs w:val="22"/>
          <w:lang w:val="hr-HR"/>
        </w:rPr>
        <w:t>:</w:t>
      </w:r>
    </w:p>
    <w:p w14:paraId="655F86BF" w14:textId="77777777" w:rsidR="00146472" w:rsidRPr="00510442" w:rsidRDefault="00146472" w:rsidP="00DB028B">
      <w:pPr>
        <w:pStyle w:val="Listlevel1"/>
        <w:spacing w:before="0" w:after="0"/>
        <w:ind w:left="567" w:firstLine="0"/>
        <w:rPr>
          <w:color w:val="000000"/>
          <w:sz w:val="22"/>
          <w:szCs w:val="22"/>
          <w:lang w:val="hr-HR"/>
        </w:rPr>
      </w:pPr>
      <w:r w:rsidRPr="00510442">
        <w:rPr>
          <w:sz w:val="22"/>
          <w:szCs w:val="22"/>
          <w:lang w:val="hr-HR"/>
        </w:rPr>
        <w:t>Početna doza je 600</w:t>
      </w:r>
      <w:r w:rsidRPr="00510442">
        <w:rPr>
          <w:color w:val="000000"/>
          <w:sz w:val="22"/>
          <w:szCs w:val="22"/>
          <w:lang w:val="hr-HR"/>
        </w:rPr>
        <w:t> </w:t>
      </w:r>
      <w:r w:rsidRPr="00510442">
        <w:rPr>
          <w:sz w:val="22"/>
          <w:szCs w:val="22"/>
          <w:lang w:val="hr-HR"/>
        </w:rPr>
        <w:t>mg, koja se uzima kao 6</w:t>
      </w:r>
      <w:r w:rsidRPr="00510442">
        <w:rPr>
          <w:color w:val="000000"/>
          <w:sz w:val="22"/>
          <w:szCs w:val="22"/>
          <w:lang w:val="hr-HR"/>
        </w:rPr>
        <w:t> </w:t>
      </w:r>
      <w:r w:rsidRPr="00510442">
        <w:rPr>
          <w:sz w:val="22"/>
          <w:szCs w:val="22"/>
          <w:lang w:val="hr-HR"/>
        </w:rPr>
        <w:t xml:space="preserve">kapsula </w:t>
      </w:r>
      <w:r w:rsidRPr="00510442">
        <w:rPr>
          <w:b/>
          <w:sz w:val="22"/>
          <w:szCs w:val="22"/>
          <w:lang w:val="hr-HR"/>
        </w:rPr>
        <w:t>jednom</w:t>
      </w:r>
      <w:r w:rsidRPr="00510442">
        <w:rPr>
          <w:sz w:val="22"/>
          <w:szCs w:val="22"/>
          <w:lang w:val="hr-HR"/>
        </w:rPr>
        <w:t xml:space="preserve"> na dan</w:t>
      </w:r>
      <w:r w:rsidRPr="00510442">
        <w:rPr>
          <w:color w:val="000000"/>
          <w:sz w:val="22"/>
          <w:szCs w:val="22"/>
          <w:lang w:val="hr-HR"/>
        </w:rPr>
        <w:t>.</w:t>
      </w:r>
    </w:p>
    <w:p w14:paraId="1CC13444" w14:textId="77777777" w:rsidR="00146472" w:rsidRPr="00510442" w:rsidRDefault="00146472" w:rsidP="00DB028B">
      <w:pPr>
        <w:pStyle w:val="Listlevel1"/>
        <w:tabs>
          <w:tab w:val="left" w:pos="720"/>
        </w:tabs>
        <w:spacing w:before="0" w:after="0"/>
        <w:ind w:left="0" w:firstLine="0"/>
        <w:rPr>
          <w:color w:val="000000"/>
          <w:sz w:val="22"/>
          <w:szCs w:val="22"/>
          <w:lang w:val="hr-HR"/>
        </w:rPr>
      </w:pPr>
    </w:p>
    <w:p w14:paraId="3AFED73D" w14:textId="77777777" w:rsidR="00146472" w:rsidRPr="00510442" w:rsidRDefault="00146472" w:rsidP="00FB4E6C">
      <w:pPr>
        <w:pStyle w:val="Listlevel1"/>
        <w:keepNext/>
        <w:numPr>
          <w:ilvl w:val="0"/>
          <w:numId w:val="29"/>
        </w:numPr>
        <w:tabs>
          <w:tab w:val="clear" w:pos="720"/>
          <w:tab w:val="num" w:pos="567"/>
        </w:tabs>
        <w:spacing w:before="0" w:after="0"/>
        <w:ind w:left="567" w:hanging="567"/>
        <w:rPr>
          <w:color w:val="000000"/>
          <w:sz w:val="22"/>
          <w:szCs w:val="22"/>
          <w:lang w:val="hr-HR"/>
        </w:rPr>
      </w:pPr>
      <w:r w:rsidRPr="00510442">
        <w:rPr>
          <w:b/>
          <w:sz w:val="22"/>
          <w:szCs w:val="22"/>
          <w:lang w:val="hr-HR"/>
        </w:rPr>
        <w:lastRenderedPageBreak/>
        <w:t>Ako se liječite zbog MDS/MPD-a</w:t>
      </w:r>
      <w:r w:rsidRPr="00510442">
        <w:rPr>
          <w:b/>
          <w:bCs/>
          <w:color w:val="000000"/>
          <w:sz w:val="22"/>
          <w:szCs w:val="22"/>
          <w:lang w:val="hr-HR"/>
        </w:rPr>
        <w:t>:</w:t>
      </w:r>
    </w:p>
    <w:p w14:paraId="5D942463" w14:textId="77777777" w:rsidR="00146472" w:rsidRPr="00510442" w:rsidRDefault="00146472" w:rsidP="00DB028B">
      <w:pPr>
        <w:pStyle w:val="Listlevel1"/>
        <w:tabs>
          <w:tab w:val="left" w:pos="720"/>
        </w:tabs>
        <w:spacing w:before="0" w:after="0"/>
        <w:ind w:left="567" w:firstLine="0"/>
        <w:rPr>
          <w:color w:val="000000"/>
          <w:sz w:val="22"/>
          <w:szCs w:val="22"/>
          <w:lang w:val="hr-HR"/>
        </w:rPr>
      </w:pPr>
      <w:r w:rsidRPr="00510442">
        <w:rPr>
          <w:sz w:val="22"/>
          <w:szCs w:val="22"/>
          <w:lang w:val="hr-HR"/>
        </w:rPr>
        <w:t>Početna doza je 400</w:t>
      </w:r>
      <w:r w:rsidRPr="00510442">
        <w:rPr>
          <w:color w:val="000000"/>
          <w:sz w:val="22"/>
          <w:szCs w:val="22"/>
          <w:lang w:val="hr-HR"/>
        </w:rPr>
        <w:t> </w:t>
      </w:r>
      <w:r w:rsidRPr="00510442">
        <w:rPr>
          <w:sz w:val="22"/>
          <w:szCs w:val="22"/>
          <w:lang w:val="hr-HR"/>
        </w:rPr>
        <w:t>mg, koja se uzima kao 4</w:t>
      </w:r>
      <w:r w:rsidRPr="00510442">
        <w:rPr>
          <w:color w:val="000000"/>
          <w:sz w:val="22"/>
          <w:szCs w:val="22"/>
          <w:lang w:val="hr-HR"/>
        </w:rPr>
        <w:t> </w:t>
      </w:r>
      <w:r w:rsidRPr="00510442">
        <w:rPr>
          <w:sz w:val="22"/>
          <w:szCs w:val="22"/>
          <w:lang w:val="hr-HR"/>
        </w:rPr>
        <w:t xml:space="preserve">kapsule </w:t>
      </w:r>
      <w:r w:rsidRPr="00510442">
        <w:rPr>
          <w:b/>
          <w:sz w:val="22"/>
          <w:szCs w:val="22"/>
          <w:lang w:val="hr-HR"/>
        </w:rPr>
        <w:t>jednom</w:t>
      </w:r>
      <w:r w:rsidRPr="00510442">
        <w:rPr>
          <w:sz w:val="22"/>
          <w:szCs w:val="22"/>
          <w:lang w:val="hr-HR"/>
        </w:rPr>
        <w:t xml:space="preserve"> na dan</w:t>
      </w:r>
      <w:r w:rsidRPr="00510442">
        <w:rPr>
          <w:color w:val="000000"/>
          <w:sz w:val="22"/>
          <w:szCs w:val="22"/>
          <w:lang w:val="hr-HR"/>
        </w:rPr>
        <w:t>.</w:t>
      </w:r>
    </w:p>
    <w:p w14:paraId="1744D304" w14:textId="77777777" w:rsidR="00146472" w:rsidRPr="00510442" w:rsidRDefault="00146472" w:rsidP="00DB028B">
      <w:pPr>
        <w:pStyle w:val="Text"/>
        <w:widowControl w:val="0"/>
        <w:spacing w:before="0"/>
        <w:jc w:val="left"/>
        <w:rPr>
          <w:color w:val="000000"/>
          <w:sz w:val="22"/>
          <w:szCs w:val="22"/>
          <w:lang w:val="hr-HR"/>
        </w:rPr>
      </w:pPr>
    </w:p>
    <w:p w14:paraId="46600D41" w14:textId="77777777" w:rsidR="00146472" w:rsidRPr="00510442" w:rsidRDefault="00146472" w:rsidP="00FB4E6C">
      <w:pPr>
        <w:pStyle w:val="Listlevel2"/>
        <w:keepNext/>
        <w:numPr>
          <w:ilvl w:val="0"/>
          <w:numId w:val="29"/>
        </w:numPr>
        <w:tabs>
          <w:tab w:val="clear" w:pos="720"/>
          <w:tab w:val="num" w:pos="567"/>
        </w:tabs>
        <w:spacing w:before="0" w:after="0"/>
        <w:ind w:left="567" w:hanging="567"/>
        <w:rPr>
          <w:color w:val="000000"/>
          <w:sz w:val="22"/>
          <w:szCs w:val="22"/>
          <w:lang w:val="hr-HR"/>
        </w:rPr>
      </w:pPr>
      <w:r w:rsidRPr="00510442">
        <w:rPr>
          <w:b/>
          <w:sz w:val="22"/>
          <w:szCs w:val="22"/>
          <w:lang w:val="hr-HR"/>
        </w:rPr>
        <w:t>Ako se liječite zbog HES/KEL-a</w:t>
      </w:r>
      <w:r w:rsidRPr="00510442">
        <w:rPr>
          <w:b/>
          <w:color w:val="000000"/>
          <w:sz w:val="22"/>
          <w:szCs w:val="22"/>
          <w:lang w:val="hr-HR"/>
        </w:rPr>
        <w:t>:</w:t>
      </w:r>
    </w:p>
    <w:p w14:paraId="6DE9576B" w14:textId="77777777" w:rsidR="00146472" w:rsidRPr="00510442" w:rsidRDefault="00146472" w:rsidP="00DB028B">
      <w:pPr>
        <w:pStyle w:val="Listlevel2"/>
        <w:spacing w:before="0" w:after="0"/>
        <w:ind w:left="567" w:firstLine="0"/>
        <w:rPr>
          <w:color w:val="000000"/>
          <w:sz w:val="22"/>
          <w:szCs w:val="22"/>
          <w:lang w:val="hr-HR"/>
        </w:rPr>
      </w:pPr>
      <w:r w:rsidRPr="00510442">
        <w:rPr>
          <w:sz w:val="22"/>
          <w:szCs w:val="22"/>
          <w:lang w:val="hr-HR"/>
        </w:rPr>
        <w:t>Početna doza je 100</w:t>
      </w:r>
      <w:r w:rsidRPr="00510442">
        <w:rPr>
          <w:color w:val="000000"/>
          <w:sz w:val="22"/>
          <w:szCs w:val="22"/>
          <w:lang w:val="hr-HR"/>
        </w:rPr>
        <w:t> </w:t>
      </w:r>
      <w:r w:rsidRPr="00510442">
        <w:rPr>
          <w:sz w:val="22"/>
          <w:szCs w:val="22"/>
          <w:lang w:val="hr-HR"/>
        </w:rPr>
        <w:t xml:space="preserve">mg, koja se uzima kao jedna </w:t>
      </w:r>
      <w:r w:rsidRPr="00510442">
        <w:rPr>
          <w:color w:val="000000"/>
          <w:sz w:val="22"/>
          <w:szCs w:val="22"/>
          <w:lang w:val="hr-HR"/>
        </w:rPr>
        <w:t xml:space="preserve">kapsula </w:t>
      </w:r>
      <w:r w:rsidRPr="00510442">
        <w:rPr>
          <w:b/>
          <w:sz w:val="22"/>
          <w:szCs w:val="22"/>
          <w:lang w:val="hr-HR"/>
        </w:rPr>
        <w:t>jednom</w:t>
      </w:r>
      <w:r w:rsidRPr="00510442">
        <w:rPr>
          <w:sz w:val="22"/>
          <w:szCs w:val="22"/>
          <w:lang w:val="hr-HR"/>
        </w:rPr>
        <w:t xml:space="preserve"> na dan. Ovisno o tome kako reagirate na liječenje, liječnik može odlučiti povećati dozu do 400</w:t>
      </w:r>
      <w:r w:rsidRPr="00510442">
        <w:rPr>
          <w:color w:val="000000"/>
          <w:sz w:val="22"/>
          <w:szCs w:val="22"/>
          <w:lang w:val="hr-HR"/>
        </w:rPr>
        <w:t> </w:t>
      </w:r>
      <w:r w:rsidRPr="00510442">
        <w:rPr>
          <w:sz w:val="22"/>
          <w:szCs w:val="22"/>
          <w:lang w:val="hr-HR"/>
        </w:rPr>
        <w:t>mg, koja se uzima kao 4</w:t>
      </w:r>
      <w:r w:rsidRPr="00510442">
        <w:rPr>
          <w:color w:val="000000"/>
          <w:sz w:val="22"/>
          <w:szCs w:val="22"/>
          <w:lang w:val="hr-HR"/>
        </w:rPr>
        <w:t> </w:t>
      </w:r>
      <w:r w:rsidRPr="00510442">
        <w:rPr>
          <w:sz w:val="22"/>
          <w:szCs w:val="22"/>
          <w:lang w:val="hr-HR"/>
        </w:rPr>
        <w:t xml:space="preserve">kapsule </w:t>
      </w:r>
      <w:r w:rsidRPr="00510442">
        <w:rPr>
          <w:b/>
          <w:sz w:val="22"/>
          <w:szCs w:val="22"/>
          <w:lang w:val="hr-HR"/>
        </w:rPr>
        <w:t>jednom</w:t>
      </w:r>
      <w:r w:rsidRPr="00510442">
        <w:rPr>
          <w:sz w:val="22"/>
          <w:szCs w:val="22"/>
          <w:lang w:val="hr-HR"/>
        </w:rPr>
        <w:t xml:space="preserve"> na dan</w:t>
      </w:r>
      <w:r w:rsidRPr="00510442">
        <w:rPr>
          <w:color w:val="000000"/>
          <w:sz w:val="22"/>
          <w:szCs w:val="22"/>
          <w:lang w:val="hr-HR"/>
        </w:rPr>
        <w:t>.</w:t>
      </w:r>
    </w:p>
    <w:p w14:paraId="2BCB97C9" w14:textId="77777777" w:rsidR="00146472" w:rsidRPr="00510442" w:rsidRDefault="00146472" w:rsidP="00DB028B">
      <w:pPr>
        <w:pStyle w:val="Listlevel1"/>
        <w:tabs>
          <w:tab w:val="left" w:pos="720"/>
        </w:tabs>
        <w:spacing w:before="0" w:after="0"/>
        <w:ind w:left="0" w:firstLine="0"/>
        <w:rPr>
          <w:color w:val="000000"/>
          <w:sz w:val="22"/>
          <w:szCs w:val="22"/>
          <w:lang w:val="hr-HR"/>
        </w:rPr>
      </w:pPr>
    </w:p>
    <w:p w14:paraId="3C8AD3DC" w14:textId="77777777" w:rsidR="00146472" w:rsidRPr="00510442" w:rsidRDefault="00146472" w:rsidP="00FB4E6C">
      <w:pPr>
        <w:pStyle w:val="Listlevel2"/>
        <w:keepNext/>
        <w:numPr>
          <w:ilvl w:val="0"/>
          <w:numId w:val="29"/>
        </w:numPr>
        <w:tabs>
          <w:tab w:val="clear" w:pos="720"/>
        </w:tabs>
        <w:spacing w:before="0" w:after="0"/>
        <w:ind w:left="567" w:hanging="567"/>
        <w:rPr>
          <w:color w:val="000000"/>
          <w:sz w:val="22"/>
          <w:szCs w:val="22"/>
          <w:lang w:val="hr-HR"/>
        </w:rPr>
      </w:pPr>
      <w:r w:rsidRPr="00510442">
        <w:rPr>
          <w:b/>
          <w:sz w:val="22"/>
          <w:szCs w:val="22"/>
          <w:lang w:val="hr-HR"/>
        </w:rPr>
        <w:t>Ako se liječite zbog DFSP-a</w:t>
      </w:r>
      <w:r w:rsidRPr="00510442">
        <w:rPr>
          <w:b/>
          <w:bCs/>
          <w:color w:val="000000"/>
          <w:sz w:val="22"/>
          <w:szCs w:val="22"/>
          <w:lang w:val="hr-HR"/>
        </w:rPr>
        <w:t>:</w:t>
      </w:r>
    </w:p>
    <w:p w14:paraId="34EE7098" w14:textId="77777777" w:rsidR="00146472" w:rsidRPr="00510442" w:rsidRDefault="00146472" w:rsidP="00DB028B">
      <w:pPr>
        <w:pStyle w:val="Listlevel2"/>
        <w:spacing w:before="0" w:after="0"/>
        <w:ind w:left="567" w:firstLine="0"/>
        <w:rPr>
          <w:color w:val="000000"/>
          <w:sz w:val="22"/>
          <w:szCs w:val="22"/>
          <w:lang w:val="hr-HR"/>
        </w:rPr>
      </w:pPr>
      <w:r w:rsidRPr="00510442">
        <w:rPr>
          <w:sz w:val="22"/>
          <w:szCs w:val="22"/>
          <w:lang w:val="hr-HR"/>
        </w:rPr>
        <w:t>Doza je 800</w:t>
      </w:r>
      <w:r w:rsidRPr="00510442">
        <w:rPr>
          <w:color w:val="000000"/>
          <w:sz w:val="22"/>
          <w:szCs w:val="22"/>
          <w:lang w:val="hr-HR"/>
        </w:rPr>
        <w:t> </w:t>
      </w:r>
      <w:r w:rsidRPr="00510442">
        <w:rPr>
          <w:sz w:val="22"/>
          <w:szCs w:val="22"/>
          <w:lang w:val="hr-HR"/>
        </w:rPr>
        <w:t>mg na dan (</w:t>
      </w:r>
      <w:r w:rsidRPr="00510442">
        <w:rPr>
          <w:color w:val="000000"/>
          <w:sz w:val="22"/>
          <w:szCs w:val="22"/>
          <w:lang w:val="hr-HR"/>
        </w:rPr>
        <w:t>8 kapsula</w:t>
      </w:r>
      <w:r w:rsidRPr="00510442">
        <w:rPr>
          <w:sz w:val="22"/>
          <w:szCs w:val="22"/>
          <w:lang w:val="hr-HR"/>
        </w:rPr>
        <w:t xml:space="preserve">), koja se uzima kao </w:t>
      </w:r>
      <w:r w:rsidRPr="00510442">
        <w:rPr>
          <w:color w:val="000000"/>
          <w:sz w:val="22"/>
          <w:szCs w:val="22"/>
          <w:lang w:val="hr-HR"/>
        </w:rPr>
        <w:t xml:space="preserve">4 kapsule </w:t>
      </w:r>
      <w:r w:rsidRPr="00510442">
        <w:rPr>
          <w:sz w:val="22"/>
          <w:szCs w:val="22"/>
          <w:lang w:val="hr-HR"/>
        </w:rPr>
        <w:t xml:space="preserve">ujutro i </w:t>
      </w:r>
      <w:r w:rsidRPr="00510442">
        <w:rPr>
          <w:color w:val="000000"/>
          <w:sz w:val="22"/>
          <w:szCs w:val="22"/>
          <w:lang w:val="hr-HR"/>
        </w:rPr>
        <w:t xml:space="preserve">4 kapsule </w:t>
      </w:r>
      <w:r w:rsidRPr="00510442">
        <w:rPr>
          <w:sz w:val="22"/>
          <w:szCs w:val="22"/>
          <w:lang w:val="hr-HR"/>
        </w:rPr>
        <w:t>navečer.</w:t>
      </w:r>
    </w:p>
    <w:p w14:paraId="3A62509C" w14:textId="77777777" w:rsidR="00146472" w:rsidRPr="00510442" w:rsidRDefault="00146472" w:rsidP="00146472">
      <w:pPr>
        <w:pStyle w:val="Text"/>
        <w:widowControl w:val="0"/>
        <w:spacing w:before="0"/>
        <w:jc w:val="left"/>
        <w:rPr>
          <w:color w:val="000000"/>
          <w:sz w:val="22"/>
          <w:szCs w:val="22"/>
          <w:lang w:val="hr-HR"/>
        </w:rPr>
      </w:pPr>
    </w:p>
    <w:p w14:paraId="68BB3EE5" w14:textId="77777777" w:rsidR="00146472" w:rsidRPr="00510442" w:rsidRDefault="00146472" w:rsidP="00FB4E6C">
      <w:pPr>
        <w:pStyle w:val="Text"/>
        <w:keepNext/>
        <w:widowControl w:val="0"/>
        <w:spacing w:before="0"/>
        <w:jc w:val="left"/>
        <w:rPr>
          <w:sz w:val="22"/>
          <w:szCs w:val="22"/>
          <w:lang w:val="hr-HR"/>
        </w:rPr>
      </w:pPr>
      <w:r w:rsidRPr="00510442">
        <w:rPr>
          <w:b/>
          <w:bCs/>
          <w:sz w:val="22"/>
          <w:szCs w:val="22"/>
          <w:lang w:val="hr-HR"/>
        </w:rPr>
        <w:t>Primjena u djece i adolescenata</w:t>
      </w:r>
    </w:p>
    <w:p w14:paraId="7268C94E" w14:textId="5473243C" w:rsidR="00146472" w:rsidRPr="00510442" w:rsidRDefault="00146472" w:rsidP="00146472">
      <w:pPr>
        <w:pStyle w:val="Text"/>
        <w:widowControl w:val="0"/>
        <w:spacing w:before="0"/>
        <w:jc w:val="left"/>
        <w:rPr>
          <w:color w:val="000000"/>
          <w:sz w:val="22"/>
          <w:szCs w:val="22"/>
          <w:lang w:val="hr-HR"/>
        </w:rPr>
      </w:pPr>
      <w:r w:rsidRPr="00510442">
        <w:rPr>
          <w:sz w:val="22"/>
          <w:szCs w:val="22"/>
          <w:lang w:val="hr-HR"/>
        </w:rPr>
        <w:t xml:space="preserve">Liječnik će Vam reći koliko kapsula </w:t>
      </w:r>
      <w:r w:rsidR="00046ECC" w:rsidRPr="00512481">
        <w:rPr>
          <w:sz w:val="22"/>
          <w:szCs w:val="22"/>
          <w:lang w:val="hr-HR"/>
        </w:rPr>
        <w:t xml:space="preserve">lijeka </w:t>
      </w:r>
      <w:r w:rsidRPr="00510442">
        <w:rPr>
          <w:sz w:val="22"/>
          <w:szCs w:val="22"/>
          <w:lang w:val="hr-HR"/>
        </w:rPr>
        <w:t xml:space="preserve">Glivec trebate dati djetetu. Količina </w:t>
      </w:r>
      <w:r w:rsidR="00046ECC" w:rsidRPr="00512481">
        <w:rPr>
          <w:sz w:val="22"/>
          <w:szCs w:val="22"/>
          <w:lang w:val="hr-HR"/>
        </w:rPr>
        <w:t xml:space="preserve">lijeka </w:t>
      </w:r>
      <w:r w:rsidRPr="00510442">
        <w:rPr>
          <w:sz w:val="22"/>
          <w:szCs w:val="22"/>
          <w:lang w:val="hr-HR"/>
        </w:rPr>
        <w:t>Glivec koju je potrebno dati ovisiti će o stanju djeteta, tjelesnoj težini i visini. Ukupna dnevna doza u djece ne smije prijeći 800</w:t>
      </w:r>
      <w:r w:rsidRPr="00510442">
        <w:rPr>
          <w:color w:val="000000"/>
          <w:sz w:val="22"/>
          <w:szCs w:val="22"/>
          <w:lang w:val="hr-HR"/>
        </w:rPr>
        <w:t> </w:t>
      </w:r>
      <w:r w:rsidRPr="00510442">
        <w:rPr>
          <w:sz w:val="22"/>
          <w:szCs w:val="22"/>
          <w:lang w:val="hr-HR"/>
        </w:rPr>
        <w:t>mg</w:t>
      </w:r>
      <w:r w:rsidR="00973E74" w:rsidRPr="00510442">
        <w:rPr>
          <w:sz w:val="22"/>
          <w:szCs w:val="22"/>
          <w:lang w:val="hr-HR"/>
        </w:rPr>
        <w:t xml:space="preserve"> kod KML-a i 600 mg kod </w:t>
      </w:r>
      <w:r w:rsidR="00973E74" w:rsidRPr="00510442">
        <w:rPr>
          <w:color w:val="000000"/>
          <w:sz w:val="22"/>
          <w:szCs w:val="22"/>
          <w:lang w:val="hr-HR"/>
        </w:rPr>
        <w:t>Ph+ALL-a</w:t>
      </w:r>
      <w:r w:rsidRPr="00510442">
        <w:rPr>
          <w:sz w:val="22"/>
          <w:szCs w:val="22"/>
          <w:lang w:val="hr-HR"/>
        </w:rPr>
        <w:t>. Liječenje se kod Vašeg djeteta može provoditi dozom koja se daje jednom na dan ili se dnevna doza može podijeliti u dvije primjene (pola ujutro i pola navečer).</w:t>
      </w:r>
    </w:p>
    <w:p w14:paraId="38FFA7AD" w14:textId="77777777" w:rsidR="00146472" w:rsidRPr="00510442" w:rsidRDefault="00146472" w:rsidP="00146472">
      <w:pPr>
        <w:pStyle w:val="Heading2"/>
        <w:keepNext w:val="0"/>
        <w:widowControl w:val="0"/>
        <w:spacing w:before="0" w:after="0" w:line="240" w:lineRule="auto"/>
        <w:rPr>
          <w:rFonts w:ascii="Times New Roman" w:hAnsi="Times New Roman"/>
          <w:b w:val="0"/>
          <w:i w:val="0"/>
          <w:color w:val="000000"/>
          <w:sz w:val="22"/>
          <w:szCs w:val="22"/>
          <w:lang w:val="hr-HR"/>
        </w:rPr>
      </w:pPr>
    </w:p>
    <w:p w14:paraId="42D078E1" w14:textId="77777777" w:rsidR="00146472" w:rsidRPr="00510442" w:rsidRDefault="00146472" w:rsidP="00FB4E6C">
      <w:pPr>
        <w:pStyle w:val="Text"/>
        <w:keepNext/>
        <w:widowControl w:val="0"/>
        <w:spacing w:before="0"/>
        <w:jc w:val="left"/>
        <w:rPr>
          <w:b/>
          <w:color w:val="000000"/>
          <w:sz w:val="22"/>
          <w:szCs w:val="22"/>
          <w:lang w:val="hr-HR"/>
        </w:rPr>
      </w:pPr>
      <w:r w:rsidRPr="00510442">
        <w:rPr>
          <w:b/>
          <w:bCs/>
          <w:sz w:val="22"/>
          <w:szCs w:val="22"/>
          <w:lang w:val="hr-HR"/>
        </w:rPr>
        <w:t>Kada i kako uzimati Glivec</w:t>
      </w:r>
    </w:p>
    <w:p w14:paraId="52BA3231" w14:textId="6041F8E6" w:rsidR="00146472" w:rsidRPr="00510442" w:rsidRDefault="00146472" w:rsidP="00146472">
      <w:pPr>
        <w:pStyle w:val="Text"/>
        <w:widowControl w:val="0"/>
        <w:numPr>
          <w:ilvl w:val="0"/>
          <w:numId w:val="26"/>
        </w:numPr>
        <w:spacing w:before="0"/>
        <w:ind w:left="567" w:hanging="567"/>
        <w:jc w:val="left"/>
        <w:rPr>
          <w:bCs/>
          <w:color w:val="000000"/>
          <w:sz w:val="22"/>
          <w:szCs w:val="22"/>
          <w:lang w:val="hr-HR"/>
        </w:rPr>
      </w:pPr>
      <w:r w:rsidRPr="00510442">
        <w:rPr>
          <w:b/>
          <w:sz w:val="22"/>
          <w:szCs w:val="22"/>
          <w:lang w:val="hr-HR"/>
        </w:rPr>
        <w:t xml:space="preserve">Glivec uzimajte uz obrok. </w:t>
      </w:r>
      <w:r w:rsidRPr="00510442">
        <w:rPr>
          <w:sz w:val="22"/>
          <w:szCs w:val="22"/>
          <w:lang w:val="hr-HR"/>
        </w:rPr>
        <w:t xml:space="preserve">To će Vam pomoći u zaštiti od želučanih problema prilikom uzimanja </w:t>
      </w:r>
      <w:r w:rsidR="00DB1682" w:rsidRPr="00512481">
        <w:rPr>
          <w:sz w:val="22"/>
          <w:szCs w:val="22"/>
          <w:lang w:val="hr-HR"/>
        </w:rPr>
        <w:t xml:space="preserve">lijeka </w:t>
      </w:r>
      <w:r w:rsidRPr="00510442">
        <w:rPr>
          <w:sz w:val="22"/>
          <w:szCs w:val="22"/>
          <w:lang w:val="hr-HR"/>
        </w:rPr>
        <w:t>Glivec.</w:t>
      </w:r>
    </w:p>
    <w:p w14:paraId="4C247591" w14:textId="77777777" w:rsidR="00146472" w:rsidRPr="00510442" w:rsidRDefault="00146472" w:rsidP="00146472">
      <w:pPr>
        <w:pStyle w:val="Text"/>
        <w:widowControl w:val="0"/>
        <w:numPr>
          <w:ilvl w:val="0"/>
          <w:numId w:val="26"/>
        </w:numPr>
        <w:spacing w:before="0"/>
        <w:ind w:left="567" w:hanging="567"/>
        <w:jc w:val="left"/>
        <w:rPr>
          <w:color w:val="000000"/>
          <w:sz w:val="22"/>
          <w:szCs w:val="22"/>
          <w:lang w:val="hr-HR"/>
        </w:rPr>
      </w:pPr>
      <w:r w:rsidRPr="00510442">
        <w:rPr>
          <w:b/>
          <w:sz w:val="22"/>
          <w:szCs w:val="22"/>
          <w:lang w:val="hr-HR"/>
        </w:rPr>
        <w:t>Kapsule progutajte cijele s velikom čašom vode.</w:t>
      </w:r>
      <w:r w:rsidRPr="00510442">
        <w:rPr>
          <w:bCs/>
          <w:color w:val="000000"/>
          <w:sz w:val="22"/>
          <w:szCs w:val="22"/>
          <w:lang w:val="hr-HR"/>
        </w:rPr>
        <w:t xml:space="preserve"> </w:t>
      </w:r>
      <w:r w:rsidRPr="00510442">
        <w:rPr>
          <w:sz w:val="22"/>
          <w:szCs w:val="22"/>
          <w:lang w:val="hr-HR"/>
        </w:rPr>
        <w:t>Kapsule nemojte otvarati niti drobiti, osim ako ih ne možete progutati (npr. kod djece).</w:t>
      </w:r>
    </w:p>
    <w:p w14:paraId="2DBF0781" w14:textId="77777777" w:rsidR="00146472" w:rsidRPr="00510442" w:rsidRDefault="00146472" w:rsidP="00146472">
      <w:pPr>
        <w:pStyle w:val="Text"/>
        <w:widowControl w:val="0"/>
        <w:numPr>
          <w:ilvl w:val="0"/>
          <w:numId w:val="26"/>
        </w:numPr>
        <w:spacing w:before="0"/>
        <w:ind w:left="567" w:hanging="567"/>
        <w:jc w:val="left"/>
        <w:rPr>
          <w:sz w:val="22"/>
          <w:szCs w:val="22"/>
          <w:lang w:val="hr-HR"/>
        </w:rPr>
      </w:pPr>
      <w:r w:rsidRPr="00510442">
        <w:rPr>
          <w:sz w:val="22"/>
          <w:szCs w:val="22"/>
          <w:lang w:val="hr-HR"/>
        </w:rPr>
        <w:t>Ako niste u stanju progutati kapsule, možete ih otvoriti i istresti prašak u čašu negazirane vode ili soka od jabuke.</w:t>
      </w:r>
    </w:p>
    <w:p w14:paraId="148FB2D0" w14:textId="77777777" w:rsidR="00146472" w:rsidRPr="00510442" w:rsidRDefault="00146472" w:rsidP="00146472">
      <w:pPr>
        <w:pStyle w:val="Text"/>
        <w:widowControl w:val="0"/>
        <w:numPr>
          <w:ilvl w:val="0"/>
          <w:numId w:val="26"/>
        </w:numPr>
        <w:spacing w:before="0"/>
        <w:ind w:left="567" w:hanging="567"/>
        <w:jc w:val="left"/>
        <w:rPr>
          <w:sz w:val="22"/>
          <w:szCs w:val="22"/>
          <w:lang w:val="hr-HR"/>
        </w:rPr>
      </w:pPr>
      <w:r w:rsidRPr="00510442">
        <w:rPr>
          <w:sz w:val="22"/>
          <w:szCs w:val="22"/>
          <w:lang w:val="hr-HR"/>
        </w:rPr>
        <w:t>Ako ste trudni ili možete ostati trudni, a pokušavate otvoriti kapsule, morate pažljivo rukovati sa sadržajem te izbjegavati kontakt s kožom i očima ili inhaliranje. Operite ruke odmah nakon otvaranja kapsula.</w:t>
      </w:r>
    </w:p>
    <w:p w14:paraId="67CB8BF5" w14:textId="77777777" w:rsidR="00146472" w:rsidRPr="00510442" w:rsidRDefault="00146472" w:rsidP="00146472">
      <w:pPr>
        <w:pStyle w:val="Heading2"/>
        <w:keepNext w:val="0"/>
        <w:widowControl w:val="0"/>
        <w:spacing w:before="0" w:after="0" w:line="240" w:lineRule="auto"/>
        <w:rPr>
          <w:rFonts w:ascii="Times New Roman" w:hAnsi="Times New Roman"/>
          <w:b w:val="0"/>
          <w:i w:val="0"/>
          <w:color w:val="000000"/>
          <w:sz w:val="22"/>
          <w:szCs w:val="22"/>
          <w:lang w:val="hr-HR"/>
        </w:rPr>
      </w:pPr>
    </w:p>
    <w:p w14:paraId="06C53144" w14:textId="77777777" w:rsidR="00146472" w:rsidRPr="00510442" w:rsidRDefault="00146472" w:rsidP="00FB4E6C">
      <w:pPr>
        <w:pStyle w:val="Heading2"/>
        <w:widowControl w:val="0"/>
        <w:spacing w:before="0" w:after="0" w:line="240" w:lineRule="auto"/>
        <w:rPr>
          <w:rFonts w:ascii="Times New Roman" w:hAnsi="Times New Roman"/>
          <w:i w:val="0"/>
          <w:color w:val="000000"/>
          <w:sz w:val="22"/>
          <w:szCs w:val="22"/>
          <w:lang w:val="hr-HR"/>
        </w:rPr>
      </w:pPr>
      <w:r w:rsidRPr="00510442">
        <w:rPr>
          <w:rFonts w:ascii="Times New Roman" w:hAnsi="Times New Roman"/>
          <w:i w:val="0"/>
          <w:sz w:val="22"/>
          <w:szCs w:val="22"/>
          <w:lang w:val="hr-HR"/>
        </w:rPr>
        <w:t>Koliko dugo uzimati</w:t>
      </w:r>
      <w:r w:rsidRPr="00510442">
        <w:rPr>
          <w:rFonts w:ascii="Times New Roman" w:hAnsi="Times New Roman"/>
          <w:b w:val="0"/>
          <w:sz w:val="22"/>
          <w:szCs w:val="22"/>
          <w:lang w:val="hr-HR"/>
        </w:rPr>
        <w:t xml:space="preserve"> </w:t>
      </w:r>
      <w:r w:rsidRPr="00510442">
        <w:rPr>
          <w:rFonts w:ascii="Times New Roman" w:hAnsi="Times New Roman"/>
          <w:i w:val="0"/>
          <w:color w:val="000000"/>
          <w:sz w:val="22"/>
          <w:szCs w:val="22"/>
          <w:lang w:val="hr-HR"/>
        </w:rPr>
        <w:t>Glivec</w:t>
      </w:r>
    </w:p>
    <w:p w14:paraId="55FFA976" w14:textId="77777777" w:rsidR="00146472" w:rsidRPr="00510442" w:rsidRDefault="00146472" w:rsidP="00146472">
      <w:pPr>
        <w:pStyle w:val="Text"/>
        <w:widowControl w:val="0"/>
        <w:spacing w:before="0"/>
        <w:jc w:val="left"/>
        <w:rPr>
          <w:color w:val="000000"/>
          <w:sz w:val="22"/>
          <w:szCs w:val="22"/>
          <w:lang w:val="hr-HR"/>
        </w:rPr>
      </w:pPr>
      <w:r w:rsidRPr="00510442">
        <w:rPr>
          <w:sz w:val="22"/>
          <w:szCs w:val="22"/>
          <w:lang w:val="hr-HR"/>
        </w:rPr>
        <w:t>Glivec nastavite uzimati svaki dan onoliko dugo koliko Vam je liječnik rekao.</w:t>
      </w:r>
    </w:p>
    <w:p w14:paraId="4C14F0B4" w14:textId="77777777" w:rsidR="00146472" w:rsidRPr="00510442" w:rsidRDefault="00146472" w:rsidP="00146472">
      <w:pPr>
        <w:pStyle w:val="Text"/>
        <w:widowControl w:val="0"/>
        <w:spacing w:before="0"/>
        <w:jc w:val="left"/>
        <w:rPr>
          <w:color w:val="000000"/>
          <w:sz w:val="22"/>
          <w:szCs w:val="22"/>
          <w:lang w:val="hr-HR"/>
        </w:rPr>
      </w:pPr>
    </w:p>
    <w:p w14:paraId="5A630540" w14:textId="5DF666FF" w:rsidR="00146472" w:rsidRPr="00510442" w:rsidRDefault="00146472" w:rsidP="00FB4E6C">
      <w:pPr>
        <w:keepNext/>
        <w:widowControl w:val="0"/>
        <w:numPr>
          <w:ilvl w:val="12"/>
          <w:numId w:val="0"/>
        </w:numPr>
        <w:tabs>
          <w:tab w:val="clear" w:pos="567"/>
        </w:tabs>
        <w:spacing w:line="240" w:lineRule="auto"/>
        <w:ind w:right="-2"/>
        <w:rPr>
          <w:color w:val="000000"/>
          <w:szCs w:val="22"/>
          <w:lang w:val="hr-HR"/>
        </w:rPr>
      </w:pPr>
      <w:r w:rsidRPr="00510442">
        <w:rPr>
          <w:b/>
          <w:szCs w:val="22"/>
          <w:lang w:val="hr-HR"/>
        </w:rPr>
        <w:t>Ako uzmete</w:t>
      </w:r>
      <w:r w:rsidRPr="00510442">
        <w:rPr>
          <w:b/>
          <w:color w:val="000000"/>
          <w:szCs w:val="22"/>
          <w:lang w:val="hr-HR"/>
        </w:rPr>
        <w:t xml:space="preserve"> više </w:t>
      </w:r>
      <w:r w:rsidR="00DB1682" w:rsidRPr="00DB1682">
        <w:rPr>
          <w:b/>
          <w:color w:val="000000"/>
          <w:szCs w:val="22"/>
          <w:lang w:val="hr-HR"/>
        </w:rPr>
        <w:t xml:space="preserve">lijeka </w:t>
      </w:r>
      <w:r w:rsidRPr="00510442">
        <w:rPr>
          <w:b/>
          <w:color w:val="000000"/>
          <w:szCs w:val="22"/>
          <w:lang w:val="hr-HR"/>
        </w:rPr>
        <w:t xml:space="preserve">Glivec </w:t>
      </w:r>
      <w:r w:rsidRPr="00510442">
        <w:rPr>
          <w:b/>
          <w:szCs w:val="22"/>
          <w:lang w:val="hr-HR"/>
        </w:rPr>
        <w:t>nego što ste trebali</w:t>
      </w:r>
    </w:p>
    <w:p w14:paraId="23CD5C9E" w14:textId="77777777" w:rsidR="00146472" w:rsidRPr="00510442" w:rsidRDefault="00146472" w:rsidP="00146472">
      <w:pPr>
        <w:pStyle w:val="Text"/>
        <w:widowControl w:val="0"/>
        <w:spacing w:before="0"/>
        <w:jc w:val="left"/>
        <w:rPr>
          <w:color w:val="000000"/>
          <w:sz w:val="22"/>
          <w:szCs w:val="22"/>
          <w:lang w:val="hr-HR"/>
        </w:rPr>
      </w:pPr>
      <w:r w:rsidRPr="00510442">
        <w:rPr>
          <w:sz w:val="22"/>
          <w:szCs w:val="22"/>
          <w:lang w:val="hr-HR"/>
        </w:rPr>
        <w:t xml:space="preserve">Ako ste zabunom uzeli previše kapsula, </w:t>
      </w:r>
      <w:r w:rsidRPr="00510442">
        <w:rPr>
          <w:b/>
          <w:sz w:val="22"/>
          <w:szCs w:val="22"/>
          <w:lang w:val="hr-HR"/>
        </w:rPr>
        <w:t>odmah</w:t>
      </w:r>
      <w:r w:rsidRPr="00510442">
        <w:rPr>
          <w:sz w:val="22"/>
          <w:szCs w:val="22"/>
          <w:lang w:val="hr-HR"/>
        </w:rPr>
        <w:t xml:space="preserve"> se obratite liječniku. Možda će Vam biti potrebna medicinska skrb. Sa sobom ponesite pak</w:t>
      </w:r>
      <w:r w:rsidR="00436200" w:rsidRPr="00510442">
        <w:rPr>
          <w:sz w:val="22"/>
          <w:szCs w:val="22"/>
          <w:lang w:val="hr-HR"/>
        </w:rPr>
        <w:t>ir</w:t>
      </w:r>
      <w:r w:rsidRPr="00510442">
        <w:rPr>
          <w:sz w:val="22"/>
          <w:szCs w:val="22"/>
          <w:lang w:val="hr-HR"/>
        </w:rPr>
        <w:t>anje lijeka.</w:t>
      </w:r>
    </w:p>
    <w:p w14:paraId="1866D040" w14:textId="77777777" w:rsidR="00146472" w:rsidRPr="00510442" w:rsidRDefault="00146472" w:rsidP="00146472">
      <w:pPr>
        <w:widowControl w:val="0"/>
        <w:numPr>
          <w:ilvl w:val="12"/>
          <w:numId w:val="0"/>
        </w:numPr>
        <w:tabs>
          <w:tab w:val="clear" w:pos="567"/>
        </w:tabs>
        <w:spacing w:line="240" w:lineRule="auto"/>
        <w:ind w:right="-2"/>
        <w:rPr>
          <w:color w:val="000000"/>
          <w:szCs w:val="22"/>
          <w:lang w:val="hr-HR"/>
        </w:rPr>
      </w:pPr>
    </w:p>
    <w:p w14:paraId="3B4FD93A" w14:textId="77777777" w:rsidR="00146472" w:rsidRPr="00510442" w:rsidRDefault="00146472" w:rsidP="00FB4E6C">
      <w:pPr>
        <w:pStyle w:val="Text"/>
        <w:keepNext/>
        <w:widowControl w:val="0"/>
        <w:spacing w:before="0"/>
        <w:jc w:val="left"/>
        <w:rPr>
          <w:b/>
          <w:color w:val="000000"/>
          <w:sz w:val="22"/>
          <w:szCs w:val="22"/>
          <w:lang w:val="hr-HR"/>
        </w:rPr>
      </w:pPr>
      <w:r w:rsidRPr="00510442">
        <w:rPr>
          <w:b/>
          <w:sz w:val="22"/>
          <w:szCs w:val="22"/>
          <w:lang w:val="hr-HR"/>
        </w:rPr>
        <w:t>Ako ste zaboravili uzeti</w:t>
      </w:r>
      <w:r w:rsidRPr="00510442">
        <w:rPr>
          <w:b/>
          <w:color w:val="000000"/>
          <w:sz w:val="22"/>
          <w:szCs w:val="22"/>
          <w:lang w:val="hr-HR"/>
        </w:rPr>
        <w:t xml:space="preserve"> Glivec</w:t>
      </w:r>
    </w:p>
    <w:p w14:paraId="014D65D5" w14:textId="77777777" w:rsidR="00146472" w:rsidRPr="00510442" w:rsidRDefault="00146472" w:rsidP="00146472">
      <w:pPr>
        <w:widowControl w:val="0"/>
        <w:numPr>
          <w:ilvl w:val="0"/>
          <w:numId w:val="18"/>
        </w:numPr>
        <w:tabs>
          <w:tab w:val="clear" w:pos="567"/>
        </w:tabs>
        <w:spacing w:line="240" w:lineRule="auto"/>
        <w:ind w:left="567" w:right="-2" w:hanging="567"/>
        <w:rPr>
          <w:color w:val="000000"/>
          <w:szCs w:val="22"/>
          <w:lang w:val="hr-HR"/>
        </w:rPr>
      </w:pPr>
      <w:r w:rsidRPr="00510442">
        <w:rPr>
          <w:szCs w:val="22"/>
          <w:lang w:val="hr-HR"/>
        </w:rPr>
        <w:t>Ako ste zaboravili dozu, uzmite ju čim se sjetite. Međutim, ako je uskoro vrijeme za sljedeću dozu, preskočite propuštenu dozu.</w:t>
      </w:r>
    </w:p>
    <w:p w14:paraId="1148551A" w14:textId="77777777" w:rsidR="00146472" w:rsidRPr="00510442" w:rsidRDefault="00146472" w:rsidP="00146472">
      <w:pPr>
        <w:widowControl w:val="0"/>
        <w:numPr>
          <w:ilvl w:val="0"/>
          <w:numId w:val="18"/>
        </w:numPr>
        <w:tabs>
          <w:tab w:val="clear" w:pos="567"/>
        </w:tabs>
        <w:spacing w:line="240" w:lineRule="auto"/>
        <w:ind w:left="567" w:right="-2" w:hanging="567"/>
        <w:rPr>
          <w:color w:val="000000"/>
          <w:szCs w:val="22"/>
          <w:lang w:val="hr-HR"/>
        </w:rPr>
      </w:pPr>
      <w:r w:rsidRPr="00510442">
        <w:rPr>
          <w:szCs w:val="22"/>
          <w:lang w:val="hr-HR"/>
        </w:rPr>
        <w:t>Zatim nastavite s uobičajenim rasporedom.</w:t>
      </w:r>
    </w:p>
    <w:p w14:paraId="1EF58D2E" w14:textId="77777777" w:rsidR="00146472" w:rsidRPr="00510442" w:rsidRDefault="00146472" w:rsidP="00146472">
      <w:pPr>
        <w:widowControl w:val="0"/>
        <w:numPr>
          <w:ilvl w:val="0"/>
          <w:numId w:val="18"/>
        </w:numPr>
        <w:tabs>
          <w:tab w:val="clear" w:pos="567"/>
        </w:tabs>
        <w:spacing w:line="240" w:lineRule="auto"/>
        <w:ind w:left="567" w:right="-2" w:hanging="567"/>
        <w:rPr>
          <w:color w:val="000000"/>
          <w:szCs w:val="22"/>
          <w:lang w:val="hr-HR"/>
        </w:rPr>
      </w:pPr>
      <w:r w:rsidRPr="00510442">
        <w:rPr>
          <w:szCs w:val="22"/>
          <w:lang w:val="hr-HR"/>
        </w:rPr>
        <w:t>Nemojte uzeti dvostruku dozu kako biste nadoknadili zaboravljenu dozu</w:t>
      </w:r>
      <w:r w:rsidRPr="00510442">
        <w:rPr>
          <w:color w:val="000000"/>
          <w:szCs w:val="22"/>
          <w:lang w:val="hr-HR"/>
        </w:rPr>
        <w:t>.</w:t>
      </w:r>
    </w:p>
    <w:p w14:paraId="4D35EEAC" w14:textId="77777777" w:rsidR="00146472" w:rsidRPr="00510442" w:rsidRDefault="00146472" w:rsidP="00146472">
      <w:pPr>
        <w:widowControl w:val="0"/>
        <w:numPr>
          <w:ilvl w:val="12"/>
          <w:numId w:val="0"/>
        </w:numPr>
        <w:tabs>
          <w:tab w:val="clear" w:pos="567"/>
        </w:tabs>
        <w:spacing w:line="240" w:lineRule="auto"/>
        <w:ind w:right="-2"/>
        <w:rPr>
          <w:color w:val="000000"/>
          <w:szCs w:val="22"/>
          <w:lang w:val="hr-HR"/>
        </w:rPr>
      </w:pPr>
    </w:p>
    <w:p w14:paraId="29120D39" w14:textId="77777777" w:rsidR="00146472" w:rsidRPr="00510442" w:rsidRDefault="00146472" w:rsidP="00146472">
      <w:pPr>
        <w:widowControl w:val="0"/>
        <w:numPr>
          <w:ilvl w:val="12"/>
          <w:numId w:val="0"/>
        </w:numPr>
        <w:tabs>
          <w:tab w:val="clear" w:pos="567"/>
        </w:tabs>
        <w:spacing w:line="240" w:lineRule="auto"/>
        <w:ind w:right="-2"/>
        <w:rPr>
          <w:szCs w:val="22"/>
          <w:lang w:val="hr-HR"/>
        </w:rPr>
      </w:pPr>
      <w:r w:rsidRPr="00510442">
        <w:rPr>
          <w:szCs w:val="22"/>
          <w:lang w:val="hr-HR"/>
        </w:rPr>
        <w:t>U slučaju bilo kakvih pitanja u vezi s primjenom ovog lijeka, obratite se liječniku, ljekarniku ili medicinskoj sestri.</w:t>
      </w:r>
    </w:p>
    <w:p w14:paraId="3491FF80" w14:textId="77777777" w:rsidR="00146472" w:rsidRPr="00510442" w:rsidRDefault="00146472" w:rsidP="00146472">
      <w:pPr>
        <w:widowControl w:val="0"/>
        <w:numPr>
          <w:ilvl w:val="12"/>
          <w:numId w:val="0"/>
        </w:numPr>
        <w:tabs>
          <w:tab w:val="clear" w:pos="567"/>
        </w:tabs>
        <w:spacing w:line="240" w:lineRule="auto"/>
        <w:ind w:right="-2"/>
        <w:rPr>
          <w:szCs w:val="22"/>
          <w:lang w:val="hr-HR"/>
        </w:rPr>
      </w:pPr>
    </w:p>
    <w:p w14:paraId="6003A964" w14:textId="77777777" w:rsidR="00146472" w:rsidRPr="00510442" w:rsidRDefault="00146472" w:rsidP="00146472">
      <w:pPr>
        <w:widowControl w:val="0"/>
        <w:numPr>
          <w:ilvl w:val="12"/>
          <w:numId w:val="0"/>
        </w:numPr>
        <w:tabs>
          <w:tab w:val="clear" w:pos="567"/>
        </w:tabs>
        <w:spacing w:line="240" w:lineRule="auto"/>
        <w:ind w:right="-2"/>
        <w:rPr>
          <w:color w:val="000000"/>
          <w:szCs w:val="22"/>
          <w:lang w:val="hr-HR"/>
        </w:rPr>
      </w:pPr>
    </w:p>
    <w:p w14:paraId="07863DA5" w14:textId="77777777" w:rsidR="00BE41B8" w:rsidRPr="00510442" w:rsidRDefault="00BE41B8" w:rsidP="00FB4E6C">
      <w:pPr>
        <w:keepNext/>
        <w:widowControl w:val="0"/>
        <w:numPr>
          <w:ilvl w:val="12"/>
          <w:numId w:val="0"/>
        </w:numPr>
        <w:tabs>
          <w:tab w:val="clear" w:pos="567"/>
        </w:tabs>
        <w:spacing w:line="240" w:lineRule="auto"/>
        <w:ind w:left="567" w:right="-2" w:hanging="567"/>
        <w:rPr>
          <w:color w:val="000000"/>
          <w:szCs w:val="22"/>
          <w:lang w:val="hr-HR"/>
        </w:rPr>
      </w:pPr>
      <w:r w:rsidRPr="00510442">
        <w:rPr>
          <w:b/>
          <w:color w:val="000000"/>
          <w:szCs w:val="22"/>
          <w:lang w:val="hr-HR"/>
        </w:rPr>
        <w:t>4.</w:t>
      </w:r>
      <w:r w:rsidRPr="00510442">
        <w:rPr>
          <w:b/>
          <w:color w:val="000000"/>
          <w:szCs w:val="22"/>
          <w:lang w:val="hr-HR"/>
        </w:rPr>
        <w:tab/>
        <w:t>Moguće nuspojave</w:t>
      </w:r>
    </w:p>
    <w:p w14:paraId="43F78E06" w14:textId="77777777" w:rsidR="00BE41B8" w:rsidRPr="00510442" w:rsidRDefault="00BE41B8" w:rsidP="00FB4E6C">
      <w:pPr>
        <w:pStyle w:val="Text"/>
        <w:keepNext/>
        <w:widowControl w:val="0"/>
        <w:spacing w:before="0"/>
        <w:jc w:val="left"/>
        <w:rPr>
          <w:color w:val="000000"/>
          <w:sz w:val="22"/>
          <w:szCs w:val="22"/>
          <w:lang w:val="hr-HR"/>
        </w:rPr>
      </w:pPr>
    </w:p>
    <w:p w14:paraId="0B106708" w14:textId="77777777" w:rsidR="00BE41B8" w:rsidRPr="00510442" w:rsidRDefault="00BE41B8" w:rsidP="00BE41B8">
      <w:pPr>
        <w:pStyle w:val="Text"/>
        <w:widowControl w:val="0"/>
        <w:spacing w:before="0"/>
        <w:jc w:val="left"/>
        <w:rPr>
          <w:color w:val="000000"/>
          <w:sz w:val="22"/>
          <w:szCs w:val="22"/>
          <w:lang w:val="hr-HR"/>
        </w:rPr>
      </w:pPr>
      <w:r w:rsidRPr="00510442">
        <w:rPr>
          <w:sz w:val="22"/>
          <w:szCs w:val="22"/>
          <w:lang w:val="hr-HR"/>
        </w:rPr>
        <w:t xml:space="preserve">Kao i svi lijekovi, ovaj lijek može uzrokovati nuspojave iako se </w:t>
      </w:r>
      <w:r w:rsidR="00DC65B2" w:rsidRPr="00510442">
        <w:rPr>
          <w:sz w:val="22"/>
          <w:szCs w:val="22"/>
          <w:lang w:val="hr-HR"/>
        </w:rPr>
        <w:t xml:space="preserve">one </w:t>
      </w:r>
      <w:r w:rsidRPr="00510442">
        <w:rPr>
          <w:sz w:val="22"/>
          <w:szCs w:val="22"/>
          <w:lang w:val="hr-HR"/>
        </w:rPr>
        <w:t>neće javiti kod svakoga. One su obično blage do umjerene.</w:t>
      </w:r>
    </w:p>
    <w:p w14:paraId="0F4D5222" w14:textId="77777777" w:rsidR="00BE41B8" w:rsidRPr="00510442" w:rsidRDefault="00BE41B8" w:rsidP="00BE41B8">
      <w:pPr>
        <w:pStyle w:val="Text"/>
        <w:widowControl w:val="0"/>
        <w:spacing w:before="0"/>
        <w:jc w:val="left"/>
        <w:rPr>
          <w:color w:val="000000"/>
          <w:sz w:val="22"/>
          <w:szCs w:val="22"/>
          <w:lang w:val="hr-HR"/>
        </w:rPr>
      </w:pPr>
    </w:p>
    <w:p w14:paraId="2454ACFB" w14:textId="77777777" w:rsidR="00BE41B8" w:rsidRPr="00510442" w:rsidRDefault="00BE41B8" w:rsidP="00FB4E6C">
      <w:pPr>
        <w:pStyle w:val="Heading4"/>
        <w:widowControl w:val="0"/>
        <w:spacing w:line="240" w:lineRule="auto"/>
        <w:jc w:val="left"/>
        <w:rPr>
          <w:noProof w:val="0"/>
          <w:color w:val="000000"/>
          <w:szCs w:val="22"/>
          <w:lang w:val="hr-HR"/>
        </w:rPr>
      </w:pPr>
      <w:r w:rsidRPr="00510442">
        <w:rPr>
          <w:noProof w:val="0"/>
          <w:szCs w:val="22"/>
          <w:lang w:val="hr-HR"/>
        </w:rPr>
        <w:t>Neke nuspojave mogu biti ozbiljne. Odmah obavijestite liječnika ako se kod Vas javi bilo što od sljedećeg:</w:t>
      </w:r>
    </w:p>
    <w:p w14:paraId="5F7CEFB9" w14:textId="77777777" w:rsidR="00BE41B8" w:rsidRPr="00510442" w:rsidRDefault="00BE41B8" w:rsidP="00FB4E6C">
      <w:pPr>
        <w:pStyle w:val="Heading4"/>
        <w:widowControl w:val="0"/>
        <w:spacing w:line="240" w:lineRule="auto"/>
        <w:jc w:val="left"/>
        <w:rPr>
          <w:b w:val="0"/>
          <w:bCs/>
          <w:noProof w:val="0"/>
          <w:color w:val="000000"/>
          <w:szCs w:val="22"/>
          <w:lang w:val="hr-HR"/>
        </w:rPr>
      </w:pPr>
    </w:p>
    <w:p w14:paraId="5705848A" w14:textId="77777777" w:rsidR="00BE41B8" w:rsidRPr="00510442" w:rsidRDefault="00BE41B8" w:rsidP="00FB4E6C">
      <w:pPr>
        <w:keepNext/>
        <w:spacing w:line="240" w:lineRule="auto"/>
        <w:rPr>
          <w:b/>
          <w:color w:val="000000"/>
          <w:szCs w:val="22"/>
          <w:lang w:val="hr-HR"/>
        </w:rPr>
      </w:pPr>
      <w:r w:rsidRPr="00510442">
        <w:rPr>
          <w:b/>
          <w:szCs w:val="22"/>
          <w:lang w:val="hr-HR"/>
        </w:rPr>
        <w:t xml:space="preserve">Vrlo česte </w:t>
      </w:r>
      <w:r w:rsidRPr="00510442">
        <w:rPr>
          <w:szCs w:val="22"/>
          <w:lang w:val="hr-HR"/>
        </w:rPr>
        <w:t xml:space="preserve">(mogu se javiti u više od 1 na 10 osoba) </w:t>
      </w:r>
      <w:r w:rsidRPr="00510442">
        <w:rPr>
          <w:b/>
          <w:szCs w:val="22"/>
          <w:lang w:val="hr-HR"/>
        </w:rPr>
        <w:t xml:space="preserve">ili česte </w:t>
      </w:r>
      <w:r w:rsidRPr="00510442">
        <w:rPr>
          <w:szCs w:val="22"/>
          <w:lang w:val="hr-HR"/>
        </w:rPr>
        <w:t>(mogu se javiti u do 1 na 10 osoba):</w:t>
      </w:r>
    </w:p>
    <w:p w14:paraId="09BA9766" w14:textId="77777777" w:rsidR="00BE41B8" w:rsidRPr="00510442" w:rsidRDefault="00BE41B8" w:rsidP="00BE41B8">
      <w:pPr>
        <w:pStyle w:val="Text"/>
        <w:widowControl w:val="0"/>
        <w:numPr>
          <w:ilvl w:val="0"/>
          <w:numId w:val="22"/>
        </w:numPr>
        <w:tabs>
          <w:tab w:val="clear" w:pos="357"/>
          <w:tab w:val="num" w:pos="567"/>
        </w:tabs>
        <w:spacing w:before="0"/>
        <w:ind w:left="567" w:hanging="567"/>
        <w:jc w:val="left"/>
        <w:rPr>
          <w:color w:val="000000"/>
          <w:sz w:val="22"/>
          <w:szCs w:val="22"/>
          <w:lang w:val="hr-HR"/>
        </w:rPr>
      </w:pPr>
      <w:r w:rsidRPr="00510442">
        <w:rPr>
          <w:sz w:val="22"/>
          <w:szCs w:val="22"/>
          <w:lang w:val="hr-HR"/>
        </w:rPr>
        <w:t>brzo dobivanje na težini. Glivec može izazvati zadržavanje vode u tijelu (teška retencija tekućine).</w:t>
      </w:r>
    </w:p>
    <w:p w14:paraId="564EE1CB" w14:textId="77777777" w:rsidR="00BE41B8" w:rsidRPr="00510442" w:rsidRDefault="00BE41B8" w:rsidP="00BE41B8">
      <w:pPr>
        <w:pStyle w:val="Text"/>
        <w:widowControl w:val="0"/>
        <w:numPr>
          <w:ilvl w:val="0"/>
          <w:numId w:val="22"/>
        </w:numPr>
        <w:tabs>
          <w:tab w:val="clear" w:pos="357"/>
          <w:tab w:val="num" w:pos="567"/>
        </w:tabs>
        <w:spacing w:before="0"/>
        <w:ind w:left="567" w:hanging="567"/>
        <w:jc w:val="left"/>
        <w:rPr>
          <w:color w:val="000000"/>
          <w:sz w:val="22"/>
          <w:szCs w:val="22"/>
          <w:lang w:val="hr-HR"/>
        </w:rPr>
      </w:pPr>
      <w:r w:rsidRPr="00510442">
        <w:rPr>
          <w:sz w:val="22"/>
          <w:szCs w:val="22"/>
          <w:lang w:val="hr-HR"/>
        </w:rPr>
        <w:lastRenderedPageBreak/>
        <w:t>znakovi infekcije kao što su vrućica, teška zimica, grlobolja ili čirevi u ustima. Glivec može smanjiti broj bijelih krvnih stanica, pa možete lakše dobiti infekciju.</w:t>
      </w:r>
    </w:p>
    <w:p w14:paraId="2B391C5D" w14:textId="77777777" w:rsidR="00BE41B8" w:rsidRPr="00510442" w:rsidRDefault="00BE41B8" w:rsidP="00BE41B8">
      <w:pPr>
        <w:pStyle w:val="Text"/>
        <w:widowControl w:val="0"/>
        <w:numPr>
          <w:ilvl w:val="0"/>
          <w:numId w:val="22"/>
        </w:numPr>
        <w:tabs>
          <w:tab w:val="clear" w:pos="357"/>
          <w:tab w:val="num" w:pos="567"/>
        </w:tabs>
        <w:spacing w:before="0"/>
        <w:ind w:left="567" w:hanging="567"/>
        <w:jc w:val="left"/>
        <w:rPr>
          <w:color w:val="000000"/>
          <w:sz w:val="22"/>
          <w:szCs w:val="22"/>
          <w:lang w:val="hr-HR"/>
        </w:rPr>
      </w:pPr>
      <w:r w:rsidRPr="00510442">
        <w:rPr>
          <w:sz w:val="22"/>
          <w:szCs w:val="22"/>
          <w:lang w:val="hr-HR"/>
        </w:rPr>
        <w:t xml:space="preserve">neočekivano krvarenje ili </w:t>
      </w:r>
      <w:r w:rsidRPr="00760469">
        <w:rPr>
          <w:sz w:val="22"/>
          <w:szCs w:val="22"/>
          <w:lang w:val="hr-HR"/>
        </w:rPr>
        <w:t xml:space="preserve">pojava </w:t>
      </w:r>
      <w:r w:rsidR="00D33A31" w:rsidRPr="00760469">
        <w:rPr>
          <w:sz w:val="22"/>
          <w:szCs w:val="22"/>
          <w:lang w:val="hr-HR"/>
        </w:rPr>
        <w:t xml:space="preserve">modrica </w:t>
      </w:r>
      <w:r w:rsidRPr="00760469">
        <w:rPr>
          <w:sz w:val="22"/>
          <w:szCs w:val="22"/>
          <w:lang w:val="hr-HR"/>
        </w:rPr>
        <w:t>(kada se</w:t>
      </w:r>
      <w:r w:rsidRPr="00510442">
        <w:rPr>
          <w:sz w:val="22"/>
          <w:szCs w:val="22"/>
          <w:lang w:val="hr-HR"/>
        </w:rPr>
        <w:t xml:space="preserve"> niste ozlijedili).</w:t>
      </w:r>
    </w:p>
    <w:p w14:paraId="4901D9AD" w14:textId="77777777" w:rsidR="00BE41B8" w:rsidRPr="00510442" w:rsidRDefault="00BE41B8" w:rsidP="00BE41B8">
      <w:pPr>
        <w:pStyle w:val="Text"/>
        <w:widowControl w:val="0"/>
        <w:spacing w:before="0"/>
        <w:jc w:val="left"/>
        <w:rPr>
          <w:color w:val="000000"/>
          <w:sz w:val="22"/>
          <w:szCs w:val="22"/>
          <w:lang w:val="hr-HR"/>
        </w:rPr>
      </w:pPr>
    </w:p>
    <w:p w14:paraId="67089D09" w14:textId="77777777" w:rsidR="00BE41B8" w:rsidRPr="00510442" w:rsidRDefault="00BE41B8" w:rsidP="00FB4E6C">
      <w:pPr>
        <w:pStyle w:val="Text"/>
        <w:keepNext/>
        <w:widowControl w:val="0"/>
        <w:spacing w:before="0"/>
        <w:jc w:val="left"/>
        <w:rPr>
          <w:color w:val="000000"/>
          <w:sz w:val="22"/>
          <w:szCs w:val="22"/>
          <w:lang w:val="hr-HR"/>
        </w:rPr>
      </w:pPr>
      <w:r w:rsidRPr="00510442">
        <w:rPr>
          <w:b/>
          <w:sz w:val="22"/>
          <w:szCs w:val="22"/>
          <w:lang w:val="hr-HR"/>
        </w:rPr>
        <w:t>Manje česte</w:t>
      </w:r>
      <w:r w:rsidRPr="00510442">
        <w:rPr>
          <w:sz w:val="22"/>
          <w:szCs w:val="22"/>
          <w:lang w:val="hr-HR"/>
        </w:rPr>
        <w:t xml:space="preserve"> </w:t>
      </w:r>
      <w:r w:rsidRPr="00510442">
        <w:rPr>
          <w:iCs/>
          <w:color w:val="000000"/>
          <w:sz w:val="22"/>
          <w:szCs w:val="22"/>
          <w:lang w:val="hr-HR"/>
        </w:rPr>
        <w:t>(</w:t>
      </w:r>
      <w:r w:rsidRPr="00510442">
        <w:rPr>
          <w:color w:val="000000"/>
          <w:sz w:val="22"/>
          <w:szCs w:val="22"/>
          <w:lang w:val="hr-HR"/>
        </w:rPr>
        <w:t xml:space="preserve">mogu se javiti u do 1 na 100 osoba) </w:t>
      </w:r>
      <w:r w:rsidRPr="00510442">
        <w:rPr>
          <w:b/>
          <w:sz w:val="22"/>
          <w:szCs w:val="22"/>
          <w:lang w:val="hr-HR"/>
        </w:rPr>
        <w:t>ili rijetke</w:t>
      </w:r>
      <w:r w:rsidRPr="00510442">
        <w:rPr>
          <w:sz w:val="22"/>
          <w:szCs w:val="22"/>
          <w:lang w:val="hr-HR"/>
        </w:rPr>
        <w:t xml:space="preserve"> </w:t>
      </w:r>
      <w:r w:rsidRPr="00510442">
        <w:rPr>
          <w:iCs/>
          <w:color w:val="000000"/>
          <w:sz w:val="22"/>
          <w:szCs w:val="22"/>
          <w:lang w:val="hr-HR"/>
        </w:rPr>
        <w:t>(</w:t>
      </w:r>
      <w:r w:rsidRPr="00510442">
        <w:rPr>
          <w:color w:val="000000"/>
          <w:sz w:val="22"/>
          <w:szCs w:val="22"/>
          <w:lang w:val="hr-HR"/>
        </w:rPr>
        <w:t>mogu se javiti u do 1 na 1000 osoba</w:t>
      </w:r>
      <w:r w:rsidRPr="00510442">
        <w:rPr>
          <w:iCs/>
          <w:color w:val="000000"/>
          <w:sz w:val="22"/>
          <w:szCs w:val="22"/>
          <w:lang w:val="hr-HR"/>
        </w:rPr>
        <w:t>)</w:t>
      </w:r>
      <w:r w:rsidRPr="00510442">
        <w:rPr>
          <w:sz w:val="22"/>
          <w:szCs w:val="22"/>
          <w:lang w:val="hr-HR"/>
        </w:rPr>
        <w:t>:</w:t>
      </w:r>
    </w:p>
    <w:p w14:paraId="507D3E48" w14:textId="77777777" w:rsidR="00BE41B8" w:rsidRPr="00510442" w:rsidRDefault="00BE41B8" w:rsidP="00BE41B8">
      <w:pPr>
        <w:pStyle w:val="Text"/>
        <w:widowControl w:val="0"/>
        <w:numPr>
          <w:ilvl w:val="0"/>
          <w:numId w:val="23"/>
        </w:numPr>
        <w:tabs>
          <w:tab w:val="clear" w:pos="357"/>
          <w:tab w:val="num" w:pos="567"/>
        </w:tabs>
        <w:spacing w:before="0"/>
        <w:ind w:left="567" w:hanging="567"/>
        <w:jc w:val="left"/>
        <w:rPr>
          <w:color w:val="000000"/>
          <w:sz w:val="22"/>
          <w:szCs w:val="22"/>
          <w:lang w:val="hr-HR"/>
        </w:rPr>
      </w:pPr>
      <w:r w:rsidRPr="00510442">
        <w:rPr>
          <w:sz w:val="22"/>
          <w:szCs w:val="22"/>
          <w:lang w:val="hr-HR"/>
        </w:rPr>
        <w:t>bolovi u prsima, nepravilan srčani ritam (znakovi srčanih problema).</w:t>
      </w:r>
    </w:p>
    <w:p w14:paraId="6FCB2C17" w14:textId="77777777" w:rsidR="00BE41B8" w:rsidRPr="00510442" w:rsidRDefault="00BE41B8" w:rsidP="00BE41B8">
      <w:pPr>
        <w:pStyle w:val="Text"/>
        <w:widowControl w:val="0"/>
        <w:numPr>
          <w:ilvl w:val="0"/>
          <w:numId w:val="23"/>
        </w:numPr>
        <w:tabs>
          <w:tab w:val="clear" w:pos="357"/>
          <w:tab w:val="num" w:pos="567"/>
        </w:tabs>
        <w:spacing w:before="0"/>
        <w:ind w:left="567" w:hanging="567"/>
        <w:jc w:val="left"/>
        <w:rPr>
          <w:color w:val="000000"/>
          <w:sz w:val="22"/>
          <w:szCs w:val="22"/>
          <w:lang w:val="hr-HR"/>
        </w:rPr>
      </w:pPr>
      <w:r w:rsidRPr="00510442">
        <w:rPr>
          <w:sz w:val="22"/>
          <w:szCs w:val="22"/>
          <w:lang w:val="hr-HR"/>
        </w:rPr>
        <w:t>kašalj, otežano disanje ili bolno disanje (znakovi plućnih problema).</w:t>
      </w:r>
    </w:p>
    <w:p w14:paraId="606769B0" w14:textId="77777777" w:rsidR="00BE41B8" w:rsidRPr="00510442" w:rsidRDefault="00BE41B8" w:rsidP="00BE41B8">
      <w:pPr>
        <w:pStyle w:val="Text"/>
        <w:widowControl w:val="0"/>
        <w:numPr>
          <w:ilvl w:val="0"/>
          <w:numId w:val="23"/>
        </w:numPr>
        <w:tabs>
          <w:tab w:val="clear" w:pos="357"/>
          <w:tab w:val="num" w:pos="567"/>
        </w:tabs>
        <w:spacing w:before="0"/>
        <w:ind w:left="567" w:hanging="567"/>
        <w:jc w:val="left"/>
        <w:rPr>
          <w:color w:val="000000"/>
          <w:sz w:val="22"/>
          <w:szCs w:val="22"/>
          <w:lang w:val="hr-HR"/>
        </w:rPr>
      </w:pPr>
      <w:r w:rsidRPr="00510442">
        <w:rPr>
          <w:sz w:val="22"/>
          <w:szCs w:val="22"/>
          <w:lang w:val="hr-HR"/>
        </w:rPr>
        <w:t>osjećaj da Vam se vrti u glavi, omaglica ili nesvjestica (znakovi sniženog krvnog tlaka).</w:t>
      </w:r>
    </w:p>
    <w:p w14:paraId="7A4E5E2D" w14:textId="77777777" w:rsidR="00BE41B8" w:rsidRPr="00510442" w:rsidRDefault="00BE41B8" w:rsidP="00BE41B8">
      <w:pPr>
        <w:pStyle w:val="Text"/>
        <w:widowControl w:val="0"/>
        <w:numPr>
          <w:ilvl w:val="0"/>
          <w:numId w:val="23"/>
        </w:numPr>
        <w:tabs>
          <w:tab w:val="clear" w:pos="357"/>
          <w:tab w:val="num" w:pos="567"/>
        </w:tabs>
        <w:spacing w:before="0"/>
        <w:ind w:left="567" w:hanging="567"/>
        <w:jc w:val="left"/>
        <w:rPr>
          <w:color w:val="000000"/>
          <w:sz w:val="22"/>
          <w:szCs w:val="22"/>
          <w:lang w:val="hr-HR"/>
        </w:rPr>
      </w:pPr>
      <w:r w:rsidRPr="00510442">
        <w:rPr>
          <w:sz w:val="22"/>
          <w:szCs w:val="22"/>
          <w:lang w:val="hr-HR"/>
        </w:rPr>
        <w:t>mučnina uz gubitak apetita, tamno obojenje mokraće, žutilo kože ili očiju (znakovi problema s jetrom).</w:t>
      </w:r>
    </w:p>
    <w:p w14:paraId="2B7FCB00" w14:textId="77777777" w:rsidR="00BE41B8" w:rsidRPr="00510442" w:rsidRDefault="00BE41B8" w:rsidP="00BE41B8">
      <w:pPr>
        <w:pStyle w:val="Text"/>
        <w:widowControl w:val="0"/>
        <w:numPr>
          <w:ilvl w:val="0"/>
          <w:numId w:val="23"/>
        </w:numPr>
        <w:tabs>
          <w:tab w:val="clear" w:pos="357"/>
          <w:tab w:val="num" w:pos="567"/>
        </w:tabs>
        <w:spacing w:before="0"/>
        <w:ind w:left="567" w:hanging="567"/>
        <w:jc w:val="left"/>
        <w:rPr>
          <w:color w:val="000000"/>
          <w:sz w:val="22"/>
          <w:szCs w:val="22"/>
          <w:lang w:val="hr-HR"/>
        </w:rPr>
      </w:pPr>
      <w:r w:rsidRPr="00510442">
        <w:rPr>
          <w:sz w:val="22"/>
          <w:szCs w:val="22"/>
          <w:lang w:val="hr-HR"/>
        </w:rPr>
        <w:t>osip, crvenilo kože s mjehurićima na usnama, očima, koži ili u ustima, ljuštenje kože, vrućica, izdignuti crveni ili ljubičasti plikovi na koži, svrbež, osjećaj žarenja, pojava gnojnih mjehurića (znakovi kožnih problema).</w:t>
      </w:r>
    </w:p>
    <w:p w14:paraId="609B9325" w14:textId="77777777" w:rsidR="00BE41B8" w:rsidRPr="00510442" w:rsidRDefault="00BE41B8" w:rsidP="00BE41B8">
      <w:pPr>
        <w:pStyle w:val="Text"/>
        <w:widowControl w:val="0"/>
        <w:numPr>
          <w:ilvl w:val="0"/>
          <w:numId w:val="23"/>
        </w:numPr>
        <w:tabs>
          <w:tab w:val="clear" w:pos="357"/>
          <w:tab w:val="num" w:pos="567"/>
        </w:tabs>
        <w:spacing w:before="0"/>
        <w:ind w:left="567" w:hanging="567"/>
        <w:jc w:val="left"/>
        <w:rPr>
          <w:color w:val="000000"/>
          <w:sz w:val="22"/>
          <w:szCs w:val="22"/>
          <w:lang w:val="hr-HR"/>
        </w:rPr>
      </w:pPr>
      <w:r w:rsidRPr="00510442">
        <w:rPr>
          <w:sz w:val="22"/>
          <w:szCs w:val="22"/>
          <w:lang w:val="hr-HR"/>
        </w:rPr>
        <w:t>teška bol u trbuhu, krv u sadržaju povraćanja, stolici ili mokraći, crne stolice (znakovi probavnih problema).</w:t>
      </w:r>
    </w:p>
    <w:p w14:paraId="4B68CB9B" w14:textId="77777777" w:rsidR="00BE41B8" w:rsidRPr="00510442" w:rsidRDefault="00BE41B8" w:rsidP="00BE41B8">
      <w:pPr>
        <w:pStyle w:val="Text"/>
        <w:widowControl w:val="0"/>
        <w:numPr>
          <w:ilvl w:val="0"/>
          <w:numId w:val="23"/>
        </w:numPr>
        <w:tabs>
          <w:tab w:val="clear" w:pos="357"/>
          <w:tab w:val="num" w:pos="567"/>
        </w:tabs>
        <w:spacing w:before="0"/>
        <w:ind w:left="567" w:hanging="567"/>
        <w:jc w:val="left"/>
        <w:rPr>
          <w:color w:val="000000"/>
          <w:sz w:val="22"/>
          <w:szCs w:val="22"/>
          <w:lang w:val="hr-HR"/>
        </w:rPr>
      </w:pPr>
      <w:r w:rsidRPr="00510442">
        <w:rPr>
          <w:sz w:val="22"/>
          <w:szCs w:val="22"/>
          <w:lang w:val="hr-HR"/>
        </w:rPr>
        <w:t>jako smanjeno mokrenje, žeđ (znakovi bubrežnih problema</w:t>
      </w:r>
      <w:r w:rsidRPr="00510442">
        <w:rPr>
          <w:color w:val="000000"/>
          <w:sz w:val="22"/>
          <w:szCs w:val="22"/>
          <w:lang w:val="hr-HR"/>
        </w:rPr>
        <w:t>).</w:t>
      </w:r>
    </w:p>
    <w:p w14:paraId="0E57D8FF" w14:textId="77777777" w:rsidR="00BE41B8" w:rsidRPr="00510442" w:rsidRDefault="00BE41B8" w:rsidP="00BE41B8">
      <w:pPr>
        <w:pStyle w:val="Text"/>
        <w:widowControl w:val="0"/>
        <w:numPr>
          <w:ilvl w:val="0"/>
          <w:numId w:val="23"/>
        </w:numPr>
        <w:tabs>
          <w:tab w:val="clear" w:pos="357"/>
          <w:tab w:val="num" w:pos="567"/>
        </w:tabs>
        <w:spacing w:before="0"/>
        <w:ind w:left="567" w:hanging="567"/>
        <w:jc w:val="left"/>
        <w:rPr>
          <w:color w:val="000000"/>
          <w:sz w:val="22"/>
          <w:szCs w:val="22"/>
          <w:lang w:val="hr-HR"/>
        </w:rPr>
      </w:pPr>
      <w:r w:rsidRPr="00510442">
        <w:rPr>
          <w:sz w:val="22"/>
          <w:szCs w:val="22"/>
          <w:lang w:val="hr-HR"/>
        </w:rPr>
        <w:t>mučnina s proljevom i povraćanjem, bol u trbuhu ili vrućica (znakovi crijevnih problema).</w:t>
      </w:r>
    </w:p>
    <w:p w14:paraId="5B2C6063" w14:textId="77777777" w:rsidR="00BE41B8" w:rsidRPr="00510442" w:rsidRDefault="00BE41B8" w:rsidP="00BE41B8">
      <w:pPr>
        <w:pStyle w:val="Text"/>
        <w:widowControl w:val="0"/>
        <w:numPr>
          <w:ilvl w:val="0"/>
          <w:numId w:val="23"/>
        </w:numPr>
        <w:tabs>
          <w:tab w:val="clear" w:pos="357"/>
          <w:tab w:val="num" w:pos="567"/>
        </w:tabs>
        <w:spacing w:before="0"/>
        <w:ind w:left="567" w:hanging="567"/>
        <w:jc w:val="left"/>
        <w:rPr>
          <w:color w:val="000000"/>
          <w:sz w:val="22"/>
          <w:szCs w:val="22"/>
          <w:lang w:val="hr-HR"/>
        </w:rPr>
      </w:pPr>
      <w:r w:rsidRPr="00510442">
        <w:rPr>
          <w:sz w:val="22"/>
          <w:szCs w:val="22"/>
          <w:lang w:val="hr-HR"/>
        </w:rPr>
        <w:t>teška glavobolja, slabost ili paraliza udova ili lica, otežan govor, iznenadni gubitak svijesti (znakovi problema živčanog sustava kao što su krvarenje ili oticanje u lubanji/mozgu).</w:t>
      </w:r>
    </w:p>
    <w:p w14:paraId="507AA72E" w14:textId="77777777" w:rsidR="00BE41B8" w:rsidRPr="00510442" w:rsidRDefault="00BE41B8" w:rsidP="00BE41B8">
      <w:pPr>
        <w:pStyle w:val="Text"/>
        <w:widowControl w:val="0"/>
        <w:numPr>
          <w:ilvl w:val="0"/>
          <w:numId w:val="23"/>
        </w:numPr>
        <w:tabs>
          <w:tab w:val="clear" w:pos="357"/>
          <w:tab w:val="num" w:pos="567"/>
        </w:tabs>
        <w:spacing w:before="0"/>
        <w:ind w:left="567" w:hanging="567"/>
        <w:jc w:val="left"/>
        <w:rPr>
          <w:color w:val="000000"/>
          <w:sz w:val="22"/>
          <w:szCs w:val="22"/>
          <w:lang w:val="hr-HR"/>
        </w:rPr>
      </w:pPr>
      <w:r w:rsidRPr="00510442">
        <w:rPr>
          <w:sz w:val="22"/>
          <w:szCs w:val="22"/>
          <w:lang w:val="hr-HR"/>
        </w:rPr>
        <w:t>blijeda koža, umor i gubitak daha te tamno obojena mokraća (znakovi snižene razine crvenih krvnih stanica).</w:t>
      </w:r>
    </w:p>
    <w:p w14:paraId="0C6C7B29" w14:textId="77777777" w:rsidR="00BE41B8" w:rsidRPr="00510442" w:rsidRDefault="00BE41B8" w:rsidP="00BE41B8">
      <w:pPr>
        <w:pStyle w:val="Text"/>
        <w:widowControl w:val="0"/>
        <w:numPr>
          <w:ilvl w:val="0"/>
          <w:numId w:val="23"/>
        </w:numPr>
        <w:tabs>
          <w:tab w:val="clear" w:pos="357"/>
        </w:tabs>
        <w:spacing w:before="0"/>
        <w:ind w:left="567" w:hanging="567"/>
        <w:jc w:val="left"/>
        <w:rPr>
          <w:color w:val="000000"/>
          <w:sz w:val="22"/>
          <w:szCs w:val="22"/>
          <w:lang w:val="hr-HR"/>
        </w:rPr>
      </w:pPr>
      <w:r w:rsidRPr="00510442">
        <w:rPr>
          <w:sz w:val="22"/>
          <w:szCs w:val="22"/>
          <w:lang w:val="hr-HR"/>
        </w:rPr>
        <w:t>bol u očima ili slabljenje vida,</w:t>
      </w:r>
      <w:r w:rsidRPr="00510442">
        <w:rPr>
          <w:lang w:val="hr-HR"/>
        </w:rPr>
        <w:t xml:space="preserve"> </w:t>
      </w:r>
      <w:r w:rsidRPr="00510442">
        <w:rPr>
          <w:sz w:val="22"/>
          <w:szCs w:val="22"/>
          <w:lang w:val="hr-HR"/>
        </w:rPr>
        <w:t>krvarenje u očima.</w:t>
      </w:r>
    </w:p>
    <w:p w14:paraId="38BD9981" w14:textId="77777777" w:rsidR="00BE41B8" w:rsidRPr="00510442" w:rsidRDefault="00BE41B8" w:rsidP="00BE41B8">
      <w:pPr>
        <w:pStyle w:val="Text"/>
        <w:widowControl w:val="0"/>
        <w:numPr>
          <w:ilvl w:val="0"/>
          <w:numId w:val="23"/>
        </w:numPr>
        <w:tabs>
          <w:tab w:val="clear" w:pos="357"/>
          <w:tab w:val="num" w:pos="567"/>
        </w:tabs>
        <w:spacing w:before="0"/>
        <w:ind w:left="567" w:hanging="567"/>
        <w:jc w:val="left"/>
        <w:rPr>
          <w:color w:val="000000"/>
          <w:sz w:val="22"/>
          <w:szCs w:val="22"/>
          <w:lang w:val="hr-HR"/>
        </w:rPr>
      </w:pPr>
      <w:r w:rsidRPr="00510442">
        <w:rPr>
          <w:sz w:val="22"/>
          <w:szCs w:val="22"/>
          <w:lang w:val="hr-HR"/>
        </w:rPr>
        <w:t>bol u kukovima ili otežano hodanje.</w:t>
      </w:r>
    </w:p>
    <w:p w14:paraId="5CB6B9E3" w14:textId="77777777" w:rsidR="00BE41B8" w:rsidRPr="00510442" w:rsidRDefault="00BE41B8" w:rsidP="00BE41B8">
      <w:pPr>
        <w:pStyle w:val="Text"/>
        <w:widowControl w:val="0"/>
        <w:numPr>
          <w:ilvl w:val="0"/>
          <w:numId w:val="23"/>
        </w:numPr>
        <w:tabs>
          <w:tab w:val="clear" w:pos="357"/>
          <w:tab w:val="num" w:pos="567"/>
        </w:tabs>
        <w:spacing w:before="0"/>
        <w:ind w:left="567" w:hanging="567"/>
        <w:jc w:val="left"/>
        <w:rPr>
          <w:color w:val="000000"/>
          <w:sz w:val="22"/>
          <w:szCs w:val="22"/>
          <w:lang w:val="hr-HR"/>
        </w:rPr>
      </w:pPr>
      <w:r w:rsidRPr="00510442">
        <w:rPr>
          <w:sz w:val="22"/>
          <w:szCs w:val="22"/>
          <w:lang w:val="hr-HR"/>
        </w:rPr>
        <w:t>utrnuli ili hladni prsti na nogama i rukama (znakovi Raynaudovog sindroma).</w:t>
      </w:r>
    </w:p>
    <w:p w14:paraId="69061301" w14:textId="77777777" w:rsidR="00BE41B8" w:rsidRPr="00510442" w:rsidRDefault="00BE41B8" w:rsidP="00BE41B8">
      <w:pPr>
        <w:pStyle w:val="Text"/>
        <w:widowControl w:val="0"/>
        <w:numPr>
          <w:ilvl w:val="0"/>
          <w:numId w:val="3"/>
        </w:numPr>
        <w:tabs>
          <w:tab w:val="clear" w:pos="360"/>
          <w:tab w:val="num" w:pos="567"/>
        </w:tabs>
        <w:spacing w:before="0"/>
        <w:ind w:left="567" w:hanging="567"/>
        <w:jc w:val="left"/>
        <w:rPr>
          <w:color w:val="000000"/>
          <w:sz w:val="22"/>
          <w:szCs w:val="22"/>
          <w:lang w:val="hr-HR"/>
        </w:rPr>
      </w:pPr>
      <w:r w:rsidRPr="00510442">
        <w:rPr>
          <w:sz w:val="22"/>
          <w:szCs w:val="22"/>
          <w:lang w:val="hr-HR"/>
        </w:rPr>
        <w:t>iznenadno oticanje i crvenilo kože (znakovi kožne infekcije zvane celulitis).</w:t>
      </w:r>
    </w:p>
    <w:p w14:paraId="2913E987" w14:textId="77777777" w:rsidR="00BE41B8" w:rsidRPr="00510442" w:rsidRDefault="00BE41B8" w:rsidP="00BE41B8">
      <w:pPr>
        <w:pStyle w:val="Text"/>
        <w:widowControl w:val="0"/>
        <w:numPr>
          <w:ilvl w:val="0"/>
          <w:numId w:val="23"/>
        </w:numPr>
        <w:tabs>
          <w:tab w:val="clear" w:pos="357"/>
          <w:tab w:val="num" w:pos="567"/>
        </w:tabs>
        <w:spacing w:before="0"/>
        <w:ind w:left="567" w:hanging="567"/>
        <w:jc w:val="left"/>
        <w:rPr>
          <w:color w:val="000000"/>
          <w:sz w:val="22"/>
          <w:szCs w:val="22"/>
          <w:lang w:val="hr-HR"/>
        </w:rPr>
      </w:pPr>
      <w:r w:rsidRPr="00510442">
        <w:rPr>
          <w:sz w:val="22"/>
          <w:szCs w:val="22"/>
          <w:lang w:val="hr-HR"/>
        </w:rPr>
        <w:t>oslabljen sluh.</w:t>
      </w:r>
    </w:p>
    <w:p w14:paraId="7BF2A38D" w14:textId="77777777" w:rsidR="00BE41B8" w:rsidRPr="00510442" w:rsidRDefault="00BE41B8" w:rsidP="00BE41B8">
      <w:pPr>
        <w:pStyle w:val="Listlevel1"/>
        <w:numPr>
          <w:ilvl w:val="0"/>
          <w:numId w:val="23"/>
        </w:numPr>
        <w:tabs>
          <w:tab w:val="clear" w:pos="357"/>
          <w:tab w:val="num" w:pos="567"/>
        </w:tabs>
        <w:spacing w:before="0" w:after="0"/>
        <w:ind w:left="567" w:hanging="567"/>
        <w:rPr>
          <w:bCs/>
          <w:color w:val="000000"/>
          <w:sz w:val="22"/>
          <w:szCs w:val="22"/>
          <w:lang w:val="hr-HR"/>
        </w:rPr>
      </w:pPr>
      <w:r w:rsidRPr="00510442">
        <w:rPr>
          <w:sz w:val="22"/>
          <w:szCs w:val="22"/>
          <w:lang w:val="hr-HR"/>
        </w:rPr>
        <w:t>mišićna slabost i grčevi mišića s abnormalnim srčanim ritmom (znakovi promjena količine kalija u krvi).</w:t>
      </w:r>
    </w:p>
    <w:p w14:paraId="26794B50" w14:textId="77777777" w:rsidR="00BE41B8" w:rsidRPr="00510442" w:rsidRDefault="00BE41B8" w:rsidP="00BE41B8">
      <w:pPr>
        <w:pStyle w:val="Listlevel1"/>
        <w:numPr>
          <w:ilvl w:val="0"/>
          <w:numId w:val="3"/>
        </w:numPr>
        <w:tabs>
          <w:tab w:val="clear" w:pos="360"/>
          <w:tab w:val="num" w:pos="567"/>
        </w:tabs>
        <w:spacing w:before="0" w:after="0"/>
        <w:ind w:left="567" w:hanging="567"/>
        <w:rPr>
          <w:bCs/>
          <w:color w:val="000000"/>
          <w:sz w:val="22"/>
          <w:szCs w:val="22"/>
          <w:lang w:val="hr-HR"/>
        </w:rPr>
      </w:pPr>
      <w:r w:rsidRPr="00510442">
        <w:rPr>
          <w:sz w:val="22"/>
          <w:szCs w:val="22"/>
          <w:lang w:val="hr-HR"/>
        </w:rPr>
        <w:t>modrice.</w:t>
      </w:r>
    </w:p>
    <w:p w14:paraId="164B15E8" w14:textId="77777777" w:rsidR="00BE41B8" w:rsidRPr="00510442" w:rsidRDefault="00BE41B8" w:rsidP="00BE41B8">
      <w:pPr>
        <w:pStyle w:val="Listlevel1"/>
        <w:numPr>
          <w:ilvl w:val="0"/>
          <w:numId w:val="23"/>
        </w:numPr>
        <w:tabs>
          <w:tab w:val="clear" w:pos="357"/>
          <w:tab w:val="num" w:pos="567"/>
        </w:tabs>
        <w:spacing w:before="0" w:after="0"/>
        <w:ind w:left="567" w:hanging="567"/>
        <w:rPr>
          <w:bCs/>
          <w:color w:val="000000"/>
          <w:sz w:val="22"/>
          <w:szCs w:val="22"/>
          <w:lang w:val="hr-HR"/>
        </w:rPr>
      </w:pPr>
      <w:r w:rsidRPr="00510442">
        <w:rPr>
          <w:sz w:val="22"/>
          <w:szCs w:val="22"/>
          <w:lang w:val="hr-HR"/>
        </w:rPr>
        <w:t>bol u trbuhu s mučninom.</w:t>
      </w:r>
    </w:p>
    <w:p w14:paraId="59941097" w14:textId="77777777" w:rsidR="00BE41B8" w:rsidRPr="00510442" w:rsidRDefault="00BE41B8" w:rsidP="00BE41B8">
      <w:pPr>
        <w:pStyle w:val="Listlevel1"/>
        <w:numPr>
          <w:ilvl w:val="0"/>
          <w:numId w:val="23"/>
        </w:numPr>
        <w:tabs>
          <w:tab w:val="clear" w:pos="357"/>
          <w:tab w:val="num" w:pos="567"/>
        </w:tabs>
        <w:spacing w:before="0" w:after="0"/>
        <w:ind w:left="567" w:hanging="567"/>
        <w:rPr>
          <w:bCs/>
          <w:color w:val="000000"/>
          <w:sz w:val="22"/>
          <w:szCs w:val="22"/>
          <w:lang w:val="hr-HR"/>
        </w:rPr>
      </w:pPr>
      <w:r w:rsidRPr="00510442">
        <w:rPr>
          <w:sz w:val="22"/>
          <w:szCs w:val="22"/>
          <w:lang w:val="hr-HR"/>
        </w:rPr>
        <w:t>grčevi mišića s vrućicom, crveno-smeđe obojena mokraća, bol ili slabost mišića (znakovi mišićnih problema).</w:t>
      </w:r>
    </w:p>
    <w:p w14:paraId="204D4A3F" w14:textId="77777777" w:rsidR="00BE41B8" w:rsidRPr="00510442" w:rsidRDefault="00BE41B8" w:rsidP="00BE41B8">
      <w:pPr>
        <w:numPr>
          <w:ilvl w:val="0"/>
          <w:numId w:val="23"/>
        </w:numPr>
        <w:tabs>
          <w:tab w:val="clear" w:pos="357"/>
          <w:tab w:val="num" w:pos="567"/>
        </w:tabs>
        <w:autoSpaceDE w:val="0"/>
        <w:autoSpaceDN w:val="0"/>
        <w:adjustRightInd w:val="0"/>
        <w:spacing w:line="240" w:lineRule="auto"/>
        <w:ind w:left="567" w:hanging="567"/>
        <w:rPr>
          <w:color w:val="000000"/>
          <w:szCs w:val="22"/>
          <w:lang w:val="hr-HR" w:bidi="th-TH"/>
        </w:rPr>
      </w:pPr>
      <w:r w:rsidRPr="00510442">
        <w:rPr>
          <w:szCs w:val="22"/>
          <w:lang w:val="hr-HR"/>
        </w:rPr>
        <w:t>bol u zdjelici ponekad s mučninom i povraćanjem te neočekivanim krvarenjem iz rodnice, omaglica ili nesvjestica zbog sniženog krvnog tlaka (znakovi problema s jajnicima ili maternicom).</w:t>
      </w:r>
    </w:p>
    <w:p w14:paraId="5026211C" w14:textId="77777777" w:rsidR="00BE41B8" w:rsidRPr="00510442" w:rsidRDefault="00BE41B8" w:rsidP="00BE41B8">
      <w:pPr>
        <w:numPr>
          <w:ilvl w:val="0"/>
          <w:numId w:val="23"/>
        </w:numPr>
        <w:tabs>
          <w:tab w:val="clear" w:pos="357"/>
          <w:tab w:val="clear" w:pos="567"/>
        </w:tabs>
        <w:autoSpaceDE w:val="0"/>
        <w:autoSpaceDN w:val="0"/>
        <w:adjustRightInd w:val="0"/>
        <w:spacing w:line="240" w:lineRule="auto"/>
        <w:ind w:left="567" w:hanging="567"/>
        <w:rPr>
          <w:color w:val="000000"/>
          <w:szCs w:val="22"/>
          <w:lang w:val="hr-HR" w:bidi="th-TH"/>
        </w:rPr>
      </w:pPr>
      <w:r w:rsidRPr="00510442">
        <w:rPr>
          <w:szCs w:val="22"/>
          <w:lang w:val="hr-HR"/>
        </w:rPr>
        <w:t xml:space="preserve">mučnina, nedostatak zraka, nepravilni otkucaji srca, zamućenje mokraće, umor i/ili osjećaj nelagode u zglobovima udruženi s poremećenim nalazima laboratorijskih pretraga (npr. visoke razine kalija, mokraćne kiseline i </w:t>
      </w:r>
      <w:r w:rsidR="00DA4CB8" w:rsidRPr="00510442">
        <w:rPr>
          <w:szCs w:val="22"/>
          <w:lang w:val="hr-HR"/>
        </w:rPr>
        <w:t>kalcija</w:t>
      </w:r>
      <w:r w:rsidRPr="00510442">
        <w:rPr>
          <w:szCs w:val="22"/>
          <w:lang w:val="hr-HR"/>
        </w:rPr>
        <w:t xml:space="preserve"> te niske razine </w:t>
      </w:r>
      <w:r w:rsidR="00DA4CB8" w:rsidRPr="00510442">
        <w:rPr>
          <w:szCs w:val="22"/>
          <w:lang w:val="hr-HR"/>
        </w:rPr>
        <w:t>fosfora</w:t>
      </w:r>
      <w:r w:rsidRPr="00510442">
        <w:rPr>
          <w:szCs w:val="22"/>
          <w:lang w:val="hr-HR"/>
        </w:rPr>
        <w:t xml:space="preserve"> u krvi).</w:t>
      </w:r>
    </w:p>
    <w:p w14:paraId="61D12149" w14:textId="77777777" w:rsidR="00030F93" w:rsidRPr="00510442" w:rsidRDefault="00736138" w:rsidP="00030F93">
      <w:pPr>
        <w:numPr>
          <w:ilvl w:val="0"/>
          <w:numId w:val="23"/>
        </w:numPr>
        <w:tabs>
          <w:tab w:val="clear" w:pos="357"/>
          <w:tab w:val="clear" w:pos="567"/>
        </w:tabs>
        <w:autoSpaceDE w:val="0"/>
        <w:autoSpaceDN w:val="0"/>
        <w:adjustRightInd w:val="0"/>
        <w:spacing w:line="240" w:lineRule="auto"/>
        <w:ind w:left="567" w:hanging="567"/>
        <w:rPr>
          <w:color w:val="000000"/>
          <w:szCs w:val="22"/>
          <w:lang w:val="hr-HR" w:bidi="th-TH"/>
        </w:rPr>
      </w:pPr>
      <w:r w:rsidRPr="00510442">
        <w:rPr>
          <w:szCs w:val="22"/>
          <w:lang w:val="hr-HR"/>
        </w:rPr>
        <w:t>k</w:t>
      </w:r>
      <w:r w:rsidR="00030F93" w:rsidRPr="00510442">
        <w:rPr>
          <w:szCs w:val="22"/>
          <w:lang w:val="hr-HR"/>
        </w:rPr>
        <w:t>rvni ugrušci u malim krvnim žilama (trombotič</w:t>
      </w:r>
      <w:r w:rsidR="00843570">
        <w:rPr>
          <w:szCs w:val="22"/>
          <w:lang w:val="hr-HR"/>
        </w:rPr>
        <w:t>n</w:t>
      </w:r>
      <w:r w:rsidR="00030F93" w:rsidRPr="00510442">
        <w:rPr>
          <w:szCs w:val="22"/>
          <w:lang w:val="hr-HR"/>
        </w:rPr>
        <w:t>a mikroangiopatija)</w:t>
      </w:r>
      <w:r w:rsidR="008201B7" w:rsidRPr="00510442">
        <w:rPr>
          <w:szCs w:val="22"/>
          <w:lang w:val="hr-HR"/>
        </w:rPr>
        <w:t>.</w:t>
      </w:r>
    </w:p>
    <w:p w14:paraId="2EF6DFDD" w14:textId="77777777" w:rsidR="00C64340" w:rsidRPr="00510442" w:rsidRDefault="00C64340" w:rsidP="00C64340">
      <w:pPr>
        <w:pStyle w:val="Text"/>
        <w:widowControl w:val="0"/>
        <w:spacing w:before="0"/>
        <w:jc w:val="left"/>
        <w:rPr>
          <w:color w:val="000000"/>
          <w:sz w:val="22"/>
          <w:szCs w:val="22"/>
          <w:lang w:val="hr-HR"/>
        </w:rPr>
      </w:pPr>
    </w:p>
    <w:p w14:paraId="4FF6DBCE" w14:textId="77777777" w:rsidR="00C64340" w:rsidRPr="00510442" w:rsidRDefault="00C64340" w:rsidP="00FB4E6C">
      <w:pPr>
        <w:pStyle w:val="Text"/>
        <w:keepNext/>
        <w:widowControl w:val="0"/>
        <w:spacing w:before="0"/>
        <w:jc w:val="left"/>
        <w:rPr>
          <w:color w:val="000000"/>
          <w:sz w:val="22"/>
          <w:szCs w:val="22"/>
          <w:lang w:val="hr-HR"/>
        </w:rPr>
      </w:pPr>
      <w:r w:rsidRPr="00510442">
        <w:rPr>
          <w:b/>
          <w:color w:val="000000"/>
          <w:sz w:val="22"/>
          <w:szCs w:val="22"/>
          <w:lang w:val="hr-HR"/>
        </w:rPr>
        <w:t>Nepoznato</w:t>
      </w:r>
      <w:r w:rsidR="00DA4CB8" w:rsidRPr="00510442">
        <w:rPr>
          <w:color w:val="000000"/>
          <w:sz w:val="22"/>
          <w:szCs w:val="22"/>
          <w:lang w:val="hr-HR"/>
        </w:rPr>
        <w:t xml:space="preserve"> (učestalost se ne može procijeniti iz dostupnih podataka)</w:t>
      </w:r>
      <w:r w:rsidRPr="00510442">
        <w:rPr>
          <w:color w:val="000000"/>
          <w:sz w:val="22"/>
          <w:szCs w:val="22"/>
          <w:lang w:val="hr-HR"/>
        </w:rPr>
        <w:t>:</w:t>
      </w:r>
    </w:p>
    <w:p w14:paraId="4C5B425B" w14:textId="77777777" w:rsidR="00C64340" w:rsidRPr="00510442" w:rsidRDefault="00B15196" w:rsidP="00FB4E6C">
      <w:pPr>
        <w:pStyle w:val="Text"/>
        <w:widowControl w:val="0"/>
        <w:numPr>
          <w:ilvl w:val="0"/>
          <w:numId w:val="27"/>
        </w:numPr>
        <w:tabs>
          <w:tab w:val="clear" w:pos="357"/>
          <w:tab w:val="num" w:pos="567"/>
        </w:tabs>
        <w:spacing w:before="0"/>
        <w:ind w:left="567" w:hanging="567"/>
        <w:jc w:val="left"/>
        <w:rPr>
          <w:sz w:val="22"/>
          <w:szCs w:val="22"/>
          <w:lang w:val="hr-HR"/>
        </w:rPr>
      </w:pPr>
      <w:r w:rsidRPr="00510442">
        <w:rPr>
          <w:sz w:val="22"/>
          <w:szCs w:val="22"/>
          <w:lang w:val="hr-HR"/>
        </w:rPr>
        <w:t>k</w:t>
      </w:r>
      <w:r w:rsidR="00C64340" w:rsidRPr="00510442">
        <w:rPr>
          <w:sz w:val="22"/>
          <w:szCs w:val="22"/>
          <w:lang w:val="hr-HR"/>
        </w:rPr>
        <w:t xml:space="preserve">ombinacija teškog proširenog osipa, mučnine, vrućice, visoke razine određenih bijelih krvnih stanica ili žutila kože ili očiju (znakovi žutice) s </w:t>
      </w:r>
      <w:r w:rsidR="00787AAA" w:rsidRPr="00510442">
        <w:rPr>
          <w:sz w:val="22"/>
          <w:szCs w:val="22"/>
          <w:lang w:val="hr-HR"/>
        </w:rPr>
        <w:t>nedostatkom zraka</w:t>
      </w:r>
      <w:r w:rsidR="00C64340" w:rsidRPr="00510442">
        <w:rPr>
          <w:sz w:val="22"/>
          <w:szCs w:val="22"/>
          <w:lang w:val="hr-HR"/>
        </w:rPr>
        <w:t>, bolovima/nelagodom u prsima, jako smanjenim mokrenjem i žeđi itd. (znakovi alergijske reakcije povezane s liječenjem).</w:t>
      </w:r>
    </w:p>
    <w:p w14:paraId="640D72B3" w14:textId="77777777" w:rsidR="00CD1C7D" w:rsidRPr="00510442" w:rsidRDefault="00CD1C7D" w:rsidP="00FB4E6C">
      <w:pPr>
        <w:pStyle w:val="Text"/>
        <w:widowControl w:val="0"/>
        <w:numPr>
          <w:ilvl w:val="0"/>
          <w:numId w:val="27"/>
        </w:numPr>
        <w:tabs>
          <w:tab w:val="clear" w:pos="357"/>
          <w:tab w:val="num" w:pos="567"/>
        </w:tabs>
        <w:spacing w:before="0"/>
        <w:ind w:left="567" w:hanging="567"/>
        <w:jc w:val="left"/>
        <w:rPr>
          <w:sz w:val="22"/>
          <w:szCs w:val="22"/>
          <w:lang w:val="hr-HR"/>
        </w:rPr>
      </w:pPr>
      <w:r w:rsidRPr="00510442">
        <w:rPr>
          <w:color w:val="000000"/>
          <w:sz w:val="22"/>
          <w:szCs w:val="22"/>
          <w:lang w:val="hr-HR"/>
        </w:rPr>
        <w:t>kronično</w:t>
      </w:r>
      <w:r w:rsidRPr="00510442">
        <w:rPr>
          <w:sz w:val="22"/>
          <w:szCs w:val="22"/>
          <w:lang w:val="hr-HR"/>
        </w:rPr>
        <w:t xml:space="preserve"> zatajenje bubrega.</w:t>
      </w:r>
    </w:p>
    <w:p w14:paraId="72F62E77" w14:textId="77777777" w:rsidR="00D83953" w:rsidRPr="00510442" w:rsidRDefault="00D83953" w:rsidP="00FB4E6C">
      <w:pPr>
        <w:pStyle w:val="Text"/>
        <w:widowControl w:val="0"/>
        <w:numPr>
          <w:ilvl w:val="0"/>
          <w:numId w:val="27"/>
        </w:numPr>
        <w:tabs>
          <w:tab w:val="clear" w:pos="357"/>
          <w:tab w:val="num" w:pos="567"/>
        </w:tabs>
        <w:spacing w:before="0"/>
        <w:ind w:left="567" w:hanging="567"/>
        <w:jc w:val="left"/>
        <w:rPr>
          <w:sz w:val="22"/>
          <w:szCs w:val="22"/>
          <w:lang w:val="hr-HR"/>
        </w:rPr>
      </w:pPr>
      <w:r w:rsidRPr="00510442">
        <w:rPr>
          <w:color w:val="000000"/>
          <w:sz w:val="22"/>
          <w:szCs w:val="22"/>
          <w:lang w:val="hr-HR"/>
        </w:rPr>
        <w:t>ponovna pojava (ponovna aktivacija) infekcije virusom hepatitisa B ako ste u prošlosti imali hepatitis B (infekciju jetre).</w:t>
      </w:r>
    </w:p>
    <w:p w14:paraId="69618B95" w14:textId="77777777" w:rsidR="00C64340" w:rsidRPr="00510442" w:rsidRDefault="00C64340" w:rsidP="00C64340">
      <w:pPr>
        <w:pStyle w:val="Text"/>
        <w:widowControl w:val="0"/>
        <w:spacing w:before="0"/>
        <w:jc w:val="left"/>
        <w:rPr>
          <w:color w:val="000000"/>
          <w:sz w:val="22"/>
          <w:szCs w:val="22"/>
          <w:lang w:val="hr-HR"/>
        </w:rPr>
      </w:pPr>
    </w:p>
    <w:p w14:paraId="5E34B2D0" w14:textId="77777777" w:rsidR="00BE41B8" w:rsidRPr="00510442" w:rsidRDefault="00BE41B8" w:rsidP="00BE41B8">
      <w:pPr>
        <w:pStyle w:val="Text"/>
        <w:widowControl w:val="0"/>
        <w:spacing w:before="0"/>
        <w:jc w:val="left"/>
        <w:rPr>
          <w:color w:val="000000"/>
          <w:sz w:val="22"/>
          <w:szCs w:val="22"/>
          <w:lang w:val="hr-HR"/>
        </w:rPr>
      </w:pPr>
      <w:r w:rsidRPr="00510442">
        <w:rPr>
          <w:sz w:val="22"/>
          <w:szCs w:val="22"/>
          <w:lang w:val="hr-HR"/>
        </w:rPr>
        <w:t xml:space="preserve">Ako se kod Vas javi bilo što od gore navedenog, </w:t>
      </w:r>
      <w:r w:rsidRPr="00510442">
        <w:rPr>
          <w:b/>
          <w:sz w:val="22"/>
          <w:szCs w:val="22"/>
          <w:lang w:val="hr-HR"/>
        </w:rPr>
        <w:t>odmah obavijestite svog liječnika</w:t>
      </w:r>
      <w:r w:rsidRPr="00510442">
        <w:rPr>
          <w:sz w:val="22"/>
          <w:szCs w:val="22"/>
          <w:lang w:val="hr-HR"/>
        </w:rPr>
        <w:t>.</w:t>
      </w:r>
    </w:p>
    <w:p w14:paraId="26BCADAE" w14:textId="77777777" w:rsidR="00BE41B8" w:rsidRPr="00510442" w:rsidRDefault="00BE41B8" w:rsidP="00BE41B8">
      <w:pPr>
        <w:pStyle w:val="Text"/>
        <w:widowControl w:val="0"/>
        <w:spacing w:before="0"/>
        <w:jc w:val="left"/>
        <w:rPr>
          <w:color w:val="000000"/>
          <w:sz w:val="22"/>
          <w:szCs w:val="22"/>
          <w:lang w:val="hr-HR"/>
        </w:rPr>
      </w:pPr>
    </w:p>
    <w:p w14:paraId="2F5FB711" w14:textId="77777777" w:rsidR="00BE41B8" w:rsidRPr="00510442" w:rsidRDefault="00BE41B8" w:rsidP="00FB4E6C">
      <w:pPr>
        <w:pStyle w:val="Text"/>
        <w:keepNext/>
        <w:widowControl w:val="0"/>
        <w:spacing w:before="0"/>
        <w:jc w:val="left"/>
        <w:rPr>
          <w:b/>
          <w:color w:val="000000"/>
          <w:sz w:val="22"/>
          <w:szCs w:val="22"/>
          <w:lang w:val="hr-HR"/>
        </w:rPr>
      </w:pPr>
      <w:r w:rsidRPr="00510442">
        <w:rPr>
          <w:b/>
          <w:sz w:val="22"/>
          <w:szCs w:val="22"/>
          <w:lang w:val="hr-HR"/>
        </w:rPr>
        <w:t>Druge nuspojave mogu uključivati:</w:t>
      </w:r>
    </w:p>
    <w:p w14:paraId="05FECC43" w14:textId="77777777" w:rsidR="00BE41B8" w:rsidRPr="00510442" w:rsidRDefault="00BE41B8" w:rsidP="00FB4E6C">
      <w:pPr>
        <w:pStyle w:val="Text"/>
        <w:keepNext/>
        <w:widowControl w:val="0"/>
        <w:spacing w:before="0"/>
        <w:jc w:val="left"/>
        <w:rPr>
          <w:color w:val="000000"/>
          <w:sz w:val="22"/>
          <w:szCs w:val="22"/>
          <w:lang w:val="hr-HR"/>
        </w:rPr>
      </w:pPr>
    </w:p>
    <w:p w14:paraId="1AEEEBF3" w14:textId="77777777" w:rsidR="00BE41B8" w:rsidRPr="00510442" w:rsidRDefault="00BE41B8" w:rsidP="00FB4E6C">
      <w:pPr>
        <w:pStyle w:val="Text"/>
        <w:keepNext/>
        <w:widowControl w:val="0"/>
        <w:spacing w:before="0"/>
        <w:jc w:val="left"/>
        <w:rPr>
          <w:i/>
          <w:color w:val="000000"/>
          <w:sz w:val="22"/>
          <w:szCs w:val="22"/>
          <w:lang w:val="hr-HR"/>
        </w:rPr>
      </w:pPr>
      <w:r w:rsidRPr="00510442">
        <w:rPr>
          <w:b/>
          <w:sz w:val="22"/>
          <w:szCs w:val="22"/>
          <w:lang w:val="hr-HR"/>
        </w:rPr>
        <w:t>Vrlo česte</w:t>
      </w:r>
      <w:r w:rsidRPr="00510442">
        <w:rPr>
          <w:sz w:val="22"/>
          <w:szCs w:val="22"/>
          <w:lang w:val="hr-HR"/>
        </w:rPr>
        <w:t xml:space="preserve"> </w:t>
      </w:r>
      <w:r w:rsidRPr="00510442">
        <w:rPr>
          <w:color w:val="000000"/>
          <w:sz w:val="22"/>
          <w:szCs w:val="22"/>
          <w:lang w:val="hr-HR"/>
        </w:rPr>
        <w:t>(mogu se javiti u više od 1 na 10 osoba)</w:t>
      </w:r>
      <w:r w:rsidRPr="00510442">
        <w:rPr>
          <w:sz w:val="22"/>
          <w:szCs w:val="22"/>
          <w:lang w:val="hr-HR"/>
        </w:rPr>
        <w:t>:</w:t>
      </w:r>
    </w:p>
    <w:p w14:paraId="5ADE994D" w14:textId="77777777" w:rsidR="00BE41B8" w:rsidRPr="00510442" w:rsidRDefault="00BE41B8" w:rsidP="00BE41B8">
      <w:pPr>
        <w:pStyle w:val="Text"/>
        <w:widowControl w:val="0"/>
        <w:numPr>
          <w:ilvl w:val="0"/>
          <w:numId w:val="25"/>
        </w:numPr>
        <w:tabs>
          <w:tab w:val="clear" w:pos="357"/>
          <w:tab w:val="num" w:pos="567"/>
        </w:tabs>
        <w:spacing w:before="0"/>
        <w:ind w:left="567" w:hanging="567"/>
        <w:jc w:val="left"/>
        <w:rPr>
          <w:color w:val="000000"/>
          <w:sz w:val="22"/>
          <w:szCs w:val="22"/>
          <w:lang w:val="hr-HR"/>
        </w:rPr>
      </w:pPr>
      <w:r w:rsidRPr="00510442">
        <w:rPr>
          <w:sz w:val="22"/>
          <w:szCs w:val="22"/>
          <w:lang w:val="hr-HR"/>
        </w:rPr>
        <w:t>glavobolja ili umor.</w:t>
      </w:r>
    </w:p>
    <w:p w14:paraId="28ABF884" w14:textId="77777777" w:rsidR="00BE41B8" w:rsidRPr="00510442" w:rsidRDefault="00BE41B8" w:rsidP="00BE41B8">
      <w:pPr>
        <w:pStyle w:val="Text"/>
        <w:widowControl w:val="0"/>
        <w:numPr>
          <w:ilvl w:val="0"/>
          <w:numId w:val="20"/>
        </w:numPr>
        <w:tabs>
          <w:tab w:val="clear" w:pos="717"/>
          <w:tab w:val="num" w:pos="567"/>
        </w:tabs>
        <w:spacing w:before="0"/>
        <w:ind w:left="567" w:hanging="567"/>
        <w:jc w:val="left"/>
        <w:rPr>
          <w:color w:val="000000"/>
          <w:sz w:val="22"/>
          <w:szCs w:val="22"/>
          <w:lang w:val="hr-HR"/>
        </w:rPr>
      </w:pPr>
      <w:r w:rsidRPr="00510442">
        <w:rPr>
          <w:sz w:val="22"/>
          <w:szCs w:val="22"/>
          <w:lang w:val="hr-HR"/>
        </w:rPr>
        <w:lastRenderedPageBreak/>
        <w:t>mučnina, povraćanje, proljev ili probavne smetnje.</w:t>
      </w:r>
    </w:p>
    <w:p w14:paraId="686995C0" w14:textId="77777777" w:rsidR="00BE41B8" w:rsidRPr="00510442" w:rsidRDefault="00BE41B8" w:rsidP="00BE41B8">
      <w:pPr>
        <w:pStyle w:val="Text"/>
        <w:widowControl w:val="0"/>
        <w:numPr>
          <w:ilvl w:val="0"/>
          <w:numId w:val="20"/>
        </w:numPr>
        <w:tabs>
          <w:tab w:val="clear" w:pos="717"/>
          <w:tab w:val="num" w:pos="567"/>
        </w:tabs>
        <w:spacing w:before="0"/>
        <w:ind w:left="567" w:hanging="567"/>
        <w:jc w:val="left"/>
        <w:rPr>
          <w:color w:val="000000"/>
          <w:sz w:val="22"/>
          <w:szCs w:val="22"/>
          <w:lang w:val="hr-HR"/>
        </w:rPr>
      </w:pPr>
      <w:r w:rsidRPr="00510442">
        <w:rPr>
          <w:sz w:val="22"/>
          <w:szCs w:val="22"/>
          <w:lang w:val="hr-HR"/>
        </w:rPr>
        <w:t>osip</w:t>
      </w:r>
      <w:r w:rsidRPr="00510442">
        <w:rPr>
          <w:color w:val="000000"/>
          <w:sz w:val="22"/>
          <w:szCs w:val="22"/>
          <w:lang w:val="hr-HR"/>
        </w:rPr>
        <w:t>.</w:t>
      </w:r>
    </w:p>
    <w:p w14:paraId="35A2D0A0" w14:textId="5AAAA1AC" w:rsidR="00BE41B8" w:rsidRPr="00510442" w:rsidRDefault="00BE41B8" w:rsidP="00FB4E6C">
      <w:pPr>
        <w:pStyle w:val="Text"/>
        <w:keepNext/>
        <w:widowControl w:val="0"/>
        <w:numPr>
          <w:ilvl w:val="0"/>
          <w:numId w:val="20"/>
        </w:numPr>
        <w:tabs>
          <w:tab w:val="clear" w:pos="717"/>
          <w:tab w:val="num" w:pos="567"/>
        </w:tabs>
        <w:spacing w:before="0"/>
        <w:ind w:left="567" w:hanging="567"/>
        <w:jc w:val="left"/>
        <w:rPr>
          <w:color w:val="000000"/>
          <w:sz w:val="22"/>
          <w:szCs w:val="22"/>
          <w:lang w:val="hr-HR"/>
        </w:rPr>
      </w:pPr>
      <w:r w:rsidRPr="00510442">
        <w:rPr>
          <w:sz w:val="22"/>
          <w:szCs w:val="22"/>
          <w:lang w:val="hr-HR"/>
        </w:rPr>
        <w:t>grčevi u mišićima ili bol u zglobovima, mišićima ili kostima</w:t>
      </w:r>
      <w:r w:rsidR="00DC65B2" w:rsidRPr="00510442">
        <w:rPr>
          <w:sz w:val="22"/>
          <w:szCs w:val="22"/>
          <w:lang w:val="hr-HR"/>
        </w:rPr>
        <w:t xml:space="preserve">, tijekom liječenja </w:t>
      </w:r>
      <w:r w:rsidR="00B3237D">
        <w:rPr>
          <w:sz w:val="22"/>
          <w:szCs w:val="22"/>
          <w:lang w:val="hr-HR"/>
        </w:rPr>
        <w:t xml:space="preserve">lijekom </w:t>
      </w:r>
      <w:r w:rsidR="00DC65B2" w:rsidRPr="00510442">
        <w:rPr>
          <w:sz w:val="22"/>
          <w:szCs w:val="22"/>
          <w:lang w:val="hr-HR"/>
        </w:rPr>
        <w:t xml:space="preserve">Glivec ili nakon prekida </w:t>
      </w:r>
      <w:r w:rsidR="00CA3330" w:rsidRPr="00510442">
        <w:rPr>
          <w:sz w:val="22"/>
          <w:szCs w:val="22"/>
          <w:lang w:val="hr-HR"/>
        </w:rPr>
        <w:t xml:space="preserve">uzimanja </w:t>
      </w:r>
      <w:r w:rsidR="00DB1682" w:rsidRPr="00512481">
        <w:rPr>
          <w:sz w:val="22"/>
          <w:szCs w:val="22"/>
          <w:lang w:val="hr-HR"/>
        </w:rPr>
        <w:t xml:space="preserve">lijeka </w:t>
      </w:r>
      <w:r w:rsidR="00DC65B2" w:rsidRPr="00510442">
        <w:rPr>
          <w:sz w:val="22"/>
          <w:szCs w:val="22"/>
          <w:lang w:val="hr-HR"/>
        </w:rPr>
        <w:t>Glivec</w:t>
      </w:r>
      <w:r w:rsidRPr="00510442">
        <w:rPr>
          <w:color w:val="000000"/>
          <w:sz w:val="22"/>
          <w:szCs w:val="22"/>
          <w:lang w:val="hr-HR"/>
        </w:rPr>
        <w:t>.</w:t>
      </w:r>
    </w:p>
    <w:p w14:paraId="422A56DA" w14:textId="77777777" w:rsidR="00BE41B8" w:rsidRPr="00510442" w:rsidRDefault="00BE41B8" w:rsidP="00BE41B8">
      <w:pPr>
        <w:pStyle w:val="Text"/>
        <w:widowControl w:val="0"/>
        <w:numPr>
          <w:ilvl w:val="0"/>
          <w:numId w:val="20"/>
        </w:numPr>
        <w:tabs>
          <w:tab w:val="clear" w:pos="717"/>
          <w:tab w:val="num" w:pos="567"/>
        </w:tabs>
        <w:spacing w:before="0"/>
        <w:ind w:left="567" w:hanging="567"/>
        <w:jc w:val="left"/>
        <w:rPr>
          <w:color w:val="000000"/>
          <w:sz w:val="22"/>
          <w:szCs w:val="22"/>
          <w:lang w:val="hr-HR"/>
        </w:rPr>
      </w:pPr>
      <w:r w:rsidRPr="00510442">
        <w:rPr>
          <w:sz w:val="22"/>
          <w:szCs w:val="22"/>
          <w:lang w:val="hr-HR"/>
        </w:rPr>
        <w:t>oticanje kao što je oticanje gležnjeva ili otečene oči</w:t>
      </w:r>
      <w:r w:rsidRPr="00510442">
        <w:rPr>
          <w:color w:val="000000"/>
          <w:sz w:val="22"/>
          <w:szCs w:val="22"/>
          <w:lang w:val="hr-HR"/>
        </w:rPr>
        <w:t>.</w:t>
      </w:r>
    </w:p>
    <w:p w14:paraId="6D52C308" w14:textId="77777777" w:rsidR="00BE41B8" w:rsidRPr="00510442" w:rsidRDefault="00BE41B8" w:rsidP="00FB4E6C">
      <w:pPr>
        <w:pStyle w:val="Text"/>
        <w:keepNext/>
        <w:widowControl w:val="0"/>
        <w:numPr>
          <w:ilvl w:val="0"/>
          <w:numId w:val="20"/>
        </w:numPr>
        <w:tabs>
          <w:tab w:val="clear" w:pos="717"/>
          <w:tab w:val="num" w:pos="567"/>
        </w:tabs>
        <w:spacing w:before="0"/>
        <w:ind w:left="567" w:hanging="567"/>
        <w:jc w:val="left"/>
        <w:rPr>
          <w:color w:val="000000"/>
          <w:sz w:val="22"/>
          <w:szCs w:val="22"/>
          <w:lang w:val="hr-HR"/>
        </w:rPr>
      </w:pPr>
      <w:r w:rsidRPr="00510442">
        <w:rPr>
          <w:sz w:val="22"/>
          <w:szCs w:val="22"/>
          <w:lang w:val="hr-HR"/>
        </w:rPr>
        <w:t>povećanje tjelesne težine</w:t>
      </w:r>
      <w:r w:rsidRPr="00510442">
        <w:rPr>
          <w:color w:val="000000"/>
          <w:sz w:val="22"/>
          <w:szCs w:val="22"/>
          <w:lang w:val="hr-HR"/>
        </w:rPr>
        <w:t>.</w:t>
      </w:r>
    </w:p>
    <w:p w14:paraId="1B1101F2" w14:textId="77777777" w:rsidR="00BE41B8" w:rsidRPr="00510442" w:rsidRDefault="00BE41B8" w:rsidP="00BE41B8">
      <w:pPr>
        <w:pStyle w:val="Text"/>
        <w:widowControl w:val="0"/>
        <w:spacing w:before="0"/>
        <w:jc w:val="left"/>
        <w:rPr>
          <w:color w:val="000000"/>
          <w:sz w:val="22"/>
          <w:szCs w:val="22"/>
          <w:lang w:val="hr-HR"/>
        </w:rPr>
      </w:pPr>
      <w:r w:rsidRPr="00510442">
        <w:rPr>
          <w:sz w:val="22"/>
          <w:szCs w:val="22"/>
          <w:lang w:val="hr-HR"/>
        </w:rPr>
        <w:t xml:space="preserve">Ako se bilo što od navedenog kod Vas javi u teškom obliku, </w:t>
      </w:r>
      <w:r w:rsidRPr="00510442">
        <w:rPr>
          <w:b/>
          <w:sz w:val="22"/>
          <w:szCs w:val="22"/>
          <w:lang w:val="hr-HR"/>
        </w:rPr>
        <w:t>obavijestite svog liječnika</w:t>
      </w:r>
      <w:r w:rsidRPr="00510442">
        <w:rPr>
          <w:color w:val="000000"/>
          <w:sz w:val="22"/>
          <w:szCs w:val="22"/>
          <w:lang w:val="hr-HR"/>
        </w:rPr>
        <w:t>.</w:t>
      </w:r>
    </w:p>
    <w:p w14:paraId="76845416" w14:textId="77777777" w:rsidR="00BE41B8" w:rsidRPr="00510442" w:rsidRDefault="00BE41B8" w:rsidP="00BE41B8">
      <w:pPr>
        <w:pStyle w:val="Text"/>
        <w:widowControl w:val="0"/>
        <w:spacing w:before="0"/>
        <w:jc w:val="left"/>
        <w:rPr>
          <w:color w:val="000000"/>
          <w:sz w:val="22"/>
          <w:szCs w:val="22"/>
          <w:lang w:val="hr-HR"/>
        </w:rPr>
      </w:pPr>
    </w:p>
    <w:p w14:paraId="4D9AD284" w14:textId="77777777" w:rsidR="00BE41B8" w:rsidRPr="00510442" w:rsidRDefault="00BE41B8" w:rsidP="00FB4E6C">
      <w:pPr>
        <w:pStyle w:val="Text"/>
        <w:keepNext/>
        <w:widowControl w:val="0"/>
        <w:spacing w:before="0"/>
        <w:jc w:val="left"/>
        <w:rPr>
          <w:i/>
          <w:color w:val="000000"/>
          <w:sz w:val="22"/>
          <w:szCs w:val="22"/>
          <w:lang w:val="hr-HR"/>
        </w:rPr>
      </w:pPr>
      <w:r w:rsidRPr="00510442">
        <w:rPr>
          <w:b/>
          <w:sz w:val="22"/>
          <w:szCs w:val="22"/>
          <w:lang w:val="hr-HR"/>
        </w:rPr>
        <w:t>Česte</w:t>
      </w:r>
      <w:r w:rsidRPr="00510442">
        <w:rPr>
          <w:sz w:val="22"/>
          <w:szCs w:val="22"/>
          <w:lang w:val="hr-HR"/>
        </w:rPr>
        <w:t xml:space="preserve"> </w:t>
      </w:r>
      <w:r w:rsidRPr="00510442">
        <w:rPr>
          <w:color w:val="000000"/>
          <w:sz w:val="22"/>
          <w:szCs w:val="22"/>
          <w:lang w:val="hr-HR"/>
        </w:rPr>
        <w:t>(mogu se javiti u do 1 na 10 osoba):</w:t>
      </w:r>
    </w:p>
    <w:p w14:paraId="478AFBFA" w14:textId="77777777" w:rsidR="00BE41B8" w:rsidRPr="00510442" w:rsidRDefault="00BE41B8" w:rsidP="00BE41B8">
      <w:pPr>
        <w:pStyle w:val="Text"/>
        <w:widowControl w:val="0"/>
        <w:numPr>
          <w:ilvl w:val="0"/>
          <w:numId w:val="24"/>
        </w:numPr>
        <w:tabs>
          <w:tab w:val="clear" w:pos="357"/>
        </w:tabs>
        <w:spacing w:before="0"/>
        <w:ind w:left="567" w:hanging="567"/>
        <w:jc w:val="left"/>
        <w:rPr>
          <w:color w:val="000000"/>
          <w:sz w:val="22"/>
          <w:szCs w:val="22"/>
          <w:lang w:val="hr-HR"/>
        </w:rPr>
      </w:pPr>
      <w:r w:rsidRPr="00510442">
        <w:rPr>
          <w:sz w:val="22"/>
          <w:szCs w:val="22"/>
          <w:lang w:val="hr-HR"/>
        </w:rPr>
        <w:t>anoreksija, smanjenje tjelesne težine ili poremećaj u osjetu okusa</w:t>
      </w:r>
      <w:r w:rsidRPr="00510442">
        <w:rPr>
          <w:color w:val="000000"/>
          <w:sz w:val="22"/>
          <w:szCs w:val="22"/>
          <w:lang w:val="hr-HR"/>
        </w:rPr>
        <w:t>.</w:t>
      </w:r>
    </w:p>
    <w:p w14:paraId="39F1807C" w14:textId="77777777" w:rsidR="00BE41B8" w:rsidRPr="00510442" w:rsidRDefault="00BE41B8" w:rsidP="00BE41B8">
      <w:pPr>
        <w:pStyle w:val="Text"/>
        <w:widowControl w:val="0"/>
        <w:numPr>
          <w:ilvl w:val="0"/>
          <w:numId w:val="21"/>
        </w:numPr>
        <w:tabs>
          <w:tab w:val="clear" w:pos="717"/>
          <w:tab w:val="num" w:pos="567"/>
        </w:tabs>
        <w:spacing w:before="0"/>
        <w:ind w:left="567" w:hanging="567"/>
        <w:jc w:val="left"/>
        <w:rPr>
          <w:color w:val="000000"/>
          <w:sz w:val="22"/>
          <w:szCs w:val="22"/>
          <w:lang w:val="hr-HR"/>
        </w:rPr>
      </w:pPr>
      <w:r w:rsidRPr="00510442">
        <w:rPr>
          <w:sz w:val="22"/>
          <w:szCs w:val="22"/>
          <w:lang w:val="hr-HR"/>
        </w:rPr>
        <w:t>omaglica ili slabost</w:t>
      </w:r>
      <w:r w:rsidRPr="00510442">
        <w:rPr>
          <w:color w:val="000000"/>
          <w:sz w:val="22"/>
          <w:szCs w:val="22"/>
          <w:lang w:val="hr-HR"/>
        </w:rPr>
        <w:t>.</w:t>
      </w:r>
    </w:p>
    <w:p w14:paraId="00DAE6A6" w14:textId="77777777" w:rsidR="00BE41B8" w:rsidRPr="00510442" w:rsidRDefault="00BE41B8" w:rsidP="00BE41B8">
      <w:pPr>
        <w:pStyle w:val="Text"/>
        <w:widowControl w:val="0"/>
        <w:numPr>
          <w:ilvl w:val="0"/>
          <w:numId w:val="21"/>
        </w:numPr>
        <w:tabs>
          <w:tab w:val="clear" w:pos="717"/>
          <w:tab w:val="num" w:pos="567"/>
        </w:tabs>
        <w:spacing w:before="0"/>
        <w:ind w:left="567" w:hanging="567"/>
        <w:jc w:val="left"/>
        <w:rPr>
          <w:color w:val="000000"/>
          <w:sz w:val="22"/>
          <w:szCs w:val="22"/>
          <w:lang w:val="hr-HR"/>
        </w:rPr>
      </w:pPr>
      <w:r w:rsidRPr="00510442">
        <w:rPr>
          <w:sz w:val="22"/>
          <w:szCs w:val="22"/>
          <w:lang w:val="hr-HR"/>
        </w:rPr>
        <w:t>otežano spavanje (nesanica)</w:t>
      </w:r>
      <w:r w:rsidRPr="00510442">
        <w:rPr>
          <w:color w:val="000000"/>
          <w:sz w:val="22"/>
          <w:szCs w:val="22"/>
          <w:lang w:val="hr-HR"/>
        </w:rPr>
        <w:t>.</w:t>
      </w:r>
    </w:p>
    <w:p w14:paraId="68CF1A5C" w14:textId="77777777" w:rsidR="00BE41B8" w:rsidRPr="00510442" w:rsidRDefault="00BE41B8" w:rsidP="00BE41B8">
      <w:pPr>
        <w:pStyle w:val="Text"/>
        <w:widowControl w:val="0"/>
        <w:numPr>
          <w:ilvl w:val="0"/>
          <w:numId w:val="21"/>
        </w:numPr>
        <w:tabs>
          <w:tab w:val="clear" w:pos="717"/>
          <w:tab w:val="num" w:pos="567"/>
        </w:tabs>
        <w:spacing w:before="0"/>
        <w:ind w:left="567" w:hanging="567"/>
        <w:jc w:val="left"/>
        <w:rPr>
          <w:color w:val="000000"/>
          <w:sz w:val="22"/>
          <w:szCs w:val="22"/>
          <w:lang w:val="hr-HR"/>
        </w:rPr>
      </w:pPr>
      <w:r w:rsidRPr="00510442">
        <w:rPr>
          <w:sz w:val="22"/>
          <w:szCs w:val="22"/>
          <w:lang w:val="hr-HR"/>
        </w:rPr>
        <w:t>iscjedak iz oka sa svrbežom, crvenilom ili oteklinom (konjunktivitis), suzne oči ili zamućen vid</w:t>
      </w:r>
      <w:r w:rsidRPr="00510442">
        <w:rPr>
          <w:color w:val="000000"/>
          <w:sz w:val="22"/>
          <w:szCs w:val="22"/>
          <w:lang w:val="hr-HR"/>
        </w:rPr>
        <w:t>.</w:t>
      </w:r>
    </w:p>
    <w:p w14:paraId="6C333421" w14:textId="77777777" w:rsidR="00BE41B8" w:rsidRPr="00510442" w:rsidRDefault="00BE41B8" w:rsidP="00BE41B8">
      <w:pPr>
        <w:pStyle w:val="Text"/>
        <w:widowControl w:val="0"/>
        <w:numPr>
          <w:ilvl w:val="0"/>
          <w:numId w:val="21"/>
        </w:numPr>
        <w:tabs>
          <w:tab w:val="clear" w:pos="717"/>
          <w:tab w:val="num" w:pos="567"/>
        </w:tabs>
        <w:spacing w:before="0"/>
        <w:ind w:left="567" w:hanging="567"/>
        <w:jc w:val="left"/>
        <w:rPr>
          <w:color w:val="000000"/>
          <w:sz w:val="22"/>
          <w:szCs w:val="22"/>
          <w:lang w:val="hr-HR"/>
        </w:rPr>
      </w:pPr>
      <w:r w:rsidRPr="00510442">
        <w:rPr>
          <w:sz w:val="22"/>
          <w:szCs w:val="22"/>
          <w:lang w:val="hr-HR"/>
        </w:rPr>
        <w:t>krvarenje iz nosa</w:t>
      </w:r>
      <w:r w:rsidRPr="00510442">
        <w:rPr>
          <w:color w:val="000000"/>
          <w:sz w:val="22"/>
          <w:szCs w:val="22"/>
          <w:lang w:val="hr-HR"/>
        </w:rPr>
        <w:t>.</w:t>
      </w:r>
    </w:p>
    <w:p w14:paraId="0363D333" w14:textId="77777777" w:rsidR="00BE41B8" w:rsidRPr="00510442" w:rsidRDefault="00BE41B8" w:rsidP="00BE41B8">
      <w:pPr>
        <w:pStyle w:val="Text"/>
        <w:widowControl w:val="0"/>
        <w:numPr>
          <w:ilvl w:val="0"/>
          <w:numId w:val="21"/>
        </w:numPr>
        <w:tabs>
          <w:tab w:val="clear" w:pos="717"/>
          <w:tab w:val="num" w:pos="567"/>
        </w:tabs>
        <w:spacing w:before="0"/>
        <w:ind w:left="567" w:hanging="567"/>
        <w:jc w:val="left"/>
        <w:rPr>
          <w:color w:val="000000"/>
          <w:sz w:val="22"/>
          <w:szCs w:val="22"/>
          <w:lang w:val="hr-HR"/>
        </w:rPr>
      </w:pPr>
      <w:r w:rsidRPr="00510442">
        <w:rPr>
          <w:sz w:val="22"/>
          <w:szCs w:val="22"/>
          <w:lang w:val="hr-HR"/>
        </w:rPr>
        <w:t>bol ili oticanje u trbuhu, vjetrovi, žgaravica ili zatvor</w:t>
      </w:r>
      <w:r w:rsidRPr="00510442">
        <w:rPr>
          <w:color w:val="000000"/>
          <w:sz w:val="22"/>
          <w:szCs w:val="22"/>
          <w:lang w:val="hr-HR"/>
        </w:rPr>
        <w:t>.</w:t>
      </w:r>
    </w:p>
    <w:p w14:paraId="27A9ECB9" w14:textId="77777777" w:rsidR="00BE41B8" w:rsidRPr="00510442" w:rsidRDefault="00BE41B8" w:rsidP="00BE41B8">
      <w:pPr>
        <w:pStyle w:val="Text"/>
        <w:widowControl w:val="0"/>
        <w:numPr>
          <w:ilvl w:val="0"/>
          <w:numId w:val="21"/>
        </w:numPr>
        <w:tabs>
          <w:tab w:val="clear" w:pos="717"/>
          <w:tab w:val="num" w:pos="567"/>
        </w:tabs>
        <w:spacing w:before="0"/>
        <w:ind w:left="567" w:hanging="567"/>
        <w:jc w:val="left"/>
        <w:rPr>
          <w:color w:val="000000"/>
          <w:sz w:val="22"/>
          <w:szCs w:val="22"/>
          <w:lang w:val="hr-HR"/>
        </w:rPr>
      </w:pPr>
      <w:r w:rsidRPr="00510442">
        <w:rPr>
          <w:sz w:val="22"/>
          <w:szCs w:val="22"/>
          <w:lang w:val="hr-HR"/>
        </w:rPr>
        <w:t>svrbež</w:t>
      </w:r>
      <w:r w:rsidRPr="00510442">
        <w:rPr>
          <w:color w:val="000000"/>
          <w:sz w:val="22"/>
          <w:szCs w:val="22"/>
          <w:lang w:val="hr-HR"/>
        </w:rPr>
        <w:t>.</w:t>
      </w:r>
    </w:p>
    <w:p w14:paraId="3CEB3A97" w14:textId="77777777" w:rsidR="00BE41B8" w:rsidRPr="00510442" w:rsidRDefault="00BE41B8" w:rsidP="00BE41B8">
      <w:pPr>
        <w:pStyle w:val="Text"/>
        <w:widowControl w:val="0"/>
        <w:numPr>
          <w:ilvl w:val="0"/>
          <w:numId w:val="21"/>
        </w:numPr>
        <w:tabs>
          <w:tab w:val="clear" w:pos="717"/>
          <w:tab w:val="num" w:pos="567"/>
        </w:tabs>
        <w:spacing w:before="0"/>
        <w:ind w:left="567" w:hanging="567"/>
        <w:jc w:val="left"/>
        <w:rPr>
          <w:color w:val="000000"/>
          <w:sz w:val="22"/>
          <w:szCs w:val="22"/>
          <w:lang w:val="hr-HR"/>
        </w:rPr>
      </w:pPr>
      <w:r w:rsidRPr="00510442">
        <w:rPr>
          <w:sz w:val="22"/>
          <w:szCs w:val="22"/>
          <w:lang w:val="hr-HR"/>
        </w:rPr>
        <w:t>neuobičajen gubitak ili prorijeđenost kose</w:t>
      </w:r>
      <w:r w:rsidRPr="00510442">
        <w:rPr>
          <w:color w:val="000000"/>
          <w:sz w:val="22"/>
          <w:szCs w:val="22"/>
          <w:lang w:val="hr-HR"/>
        </w:rPr>
        <w:t>.</w:t>
      </w:r>
    </w:p>
    <w:p w14:paraId="27339457" w14:textId="77777777" w:rsidR="00BE41B8" w:rsidRPr="00510442" w:rsidRDefault="00BE41B8" w:rsidP="00BE41B8">
      <w:pPr>
        <w:pStyle w:val="Text"/>
        <w:widowControl w:val="0"/>
        <w:numPr>
          <w:ilvl w:val="0"/>
          <w:numId w:val="21"/>
        </w:numPr>
        <w:tabs>
          <w:tab w:val="clear" w:pos="717"/>
          <w:tab w:val="num" w:pos="567"/>
        </w:tabs>
        <w:spacing w:before="0"/>
        <w:ind w:left="567" w:hanging="567"/>
        <w:jc w:val="left"/>
        <w:rPr>
          <w:color w:val="000000"/>
          <w:sz w:val="22"/>
          <w:szCs w:val="22"/>
          <w:lang w:val="hr-HR"/>
        </w:rPr>
      </w:pPr>
      <w:r w:rsidRPr="00510442">
        <w:rPr>
          <w:sz w:val="22"/>
          <w:szCs w:val="22"/>
          <w:lang w:val="hr-HR"/>
        </w:rPr>
        <w:t>utrnulost šaka ili stopala</w:t>
      </w:r>
      <w:r w:rsidRPr="00510442">
        <w:rPr>
          <w:color w:val="000000"/>
          <w:sz w:val="22"/>
          <w:szCs w:val="22"/>
          <w:lang w:val="hr-HR"/>
        </w:rPr>
        <w:t>.</w:t>
      </w:r>
    </w:p>
    <w:p w14:paraId="00CE8D26" w14:textId="77777777" w:rsidR="00BE41B8" w:rsidRPr="00510442" w:rsidRDefault="00BE41B8" w:rsidP="00BE41B8">
      <w:pPr>
        <w:pStyle w:val="Text"/>
        <w:widowControl w:val="0"/>
        <w:numPr>
          <w:ilvl w:val="0"/>
          <w:numId w:val="21"/>
        </w:numPr>
        <w:tabs>
          <w:tab w:val="clear" w:pos="717"/>
          <w:tab w:val="num" w:pos="567"/>
        </w:tabs>
        <w:spacing w:before="0"/>
        <w:ind w:left="567" w:hanging="567"/>
        <w:jc w:val="left"/>
        <w:rPr>
          <w:color w:val="000000"/>
          <w:sz w:val="22"/>
          <w:szCs w:val="22"/>
          <w:lang w:val="hr-HR"/>
        </w:rPr>
      </w:pPr>
      <w:r w:rsidRPr="00510442">
        <w:rPr>
          <w:sz w:val="22"/>
          <w:szCs w:val="22"/>
          <w:lang w:val="hr-HR"/>
        </w:rPr>
        <w:t>čirevi u ustima</w:t>
      </w:r>
      <w:r w:rsidRPr="00510442">
        <w:rPr>
          <w:color w:val="000000"/>
          <w:sz w:val="22"/>
          <w:szCs w:val="22"/>
          <w:lang w:val="hr-HR"/>
        </w:rPr>
        <w:t>.</w:t>
      </w:r>
    </w:p>
    <w:p w14:paraId="0F099F7C" w14:textId="77777777" w:rsidR="00BE41B8" w:rsidRPr="00510442" w:rsidRDefault="00BE41B8" w:rsidP="00BE41B8">
      <w:pPr>
        <w:pStyle w:val="Text"/>
        <w:widowControl w:val="0"/>
        <w:numPr>
          <w:ilvl w:val="0"/>
          <w:numId w:val="21"/>
        </w:numPr>
        <w:tabs>
          <w:tab w:val="clear" w:pos="717"/>
          <w:tab w:val="num" w:pos="567"/>
        </w:tabs>
        <w:spacing w:before="0"/>
        <w:ind w:left="567" w:hanging="567"/>
        <w:jc w:val="left"/>
        <w:rPr>
          <w:color w:val="000000"/>
          <w:sz w:val="22"/>
          <w:szCs w:val="22"/>
          <w:lang w:val="hr-HR"/>
        </w:rPr>
      </w:pPr>
      <w:r w:rsidRPr="00510442">
        <w:rPr>
          <w:sz w:val="22"/>
          <w:szCs w:val="22"/>
          <w:lang w:val="hr-HR"/>
        </w:rPr>
        <w:t>bolovi u zglobovima s oticanjem</w:t>
      </w:r>
      <w:r w:rsidRPr="00510442">
        <w:rPr>
          <w:color w:val="000000"/>
          <w:sz w:val="22"/>
          <w:szCs w:val="22"/>
          <w:lang w:val="hr-HR"/>
        </w:rPr>
        <w:t>.</w:t>
      </w:r>
    </w:p>
    <w:p w14:paraId="7F37FFC2" w14:textId="77777777" w:rsidR="00BE41B8" w:rsidRPr="00510442" w:rsidRDefault="00BE41B8" w:rsidP="00BE41B8">
      <w:pPr>
        <w:pStyle w:val="Text"/>
        <w:widowControl w:val="0"/>
        <w:numPr>
          <w:ilvl w:val="0"/>
          <w:numId w:val="21"/>
        </w:numPr>
        <w:tabs>
          <w:tab w:val="clear" w:pos="717"/>
          <w:tab w:val="num" w:pos="567"/>
        </w:tabs>
        <w:spacing w:before="0"/>
        <w:ind w:left="567" w:hanging="567"/>
        <w:jc w:val="left"/>
        <w:rPr>
          <w:color w:val="000000"/>
          <w:sz w:val="22"/>
          <w:szCs w:val="22"/>
          <w:lang w:val="hr-HR"/>
        </w:rPr>
      </w:pPr>
      <w:r w:rsidRPr="00510442">
        <w:rPr>
          <w:sz w:val="22"/>
          <w:szCs w:val="22"/>
          <w:lang w:val="hr-HR"/>
        </w:rPr>
        <w:t>suha usta, suhoća kože ili suho oko</w:t>
      </w:r>
      <w:r w:rsidRPr="00510442">
        <w:rPr>
          <w:color w:val="000000"/>
          <w:sz w:val="22"/>
          <w:szCs w:val="22"/>
          <w:lang w:val="hr-HR"/>
        </w:rPr>
        <w:t>.</w:t>
      </w:r>
    </w:p>
    <w:p w14:paraId="225BA529" w14:textId="77777777" w:rsidR="00BE41B8" w:rsidRPr="00510442" w:rsidRDefault="00BE41B8" w:rsidP="00BE41B8">
      <w:pPr>
        <w:pStyle w:val="Text"/>
        <w:widowControl w:val="0"/>
        <w:numPr>
          <w:ilvl w:val="0"/>
          <w:numId w:val="21"/>
        </w:numPr>
        <w:tabs>
          <w:tab w:val="clear" w:pos="717"/>
          <w:tab w:val="num" w:pos="567"/>
        </w:tabs>
        <w:spacing w:before="0"/>
        <w:ind w:left="567" w:hanging="567"/>
        <w:jc w:val="left"/>
        <w:rPr>
          <w:color w:val="000000"/>
          <w:sz w:val="22"/>
          <w:szCs w:val="22"/>
          <w:lang w:val="hr-HR"/>
        </w:rPr>
      </w:pPr>
      <w:r w:rsidRPr="00510442">
        <w:rPr>
          <w:sz w:val="22"/>
          <w:szCs w:val="22"/>
          <w:lang w:val="hr-HR"/>
        </w:rPr>
        <w:t>smanjena ili povećana osjetljivost kože</w:t>
      </w:r>
      <w:r w:rsidRPr="00510442">
        <w:rPr>
          <w:color w:val="000000"/>
          <w:sz w:val="22"/>
          <w:szCs w:val="22"/>
          <w:lang w:val="hr-HR"/>
        </w:rPr>
        <w:t>.</w:t>
      </w:r>
    </w:p>
    <w:p w14:paraId="30DBD283" w14:textId="77777777" w:rsidR="00BE41B8" w:rsidRPr="00510442" w:rsidRDefault="00BE41B8" w:rsidP="00FB4E6C">
      <w:pPr>
        <w:pStyle w:val="Text"/>
        <w:keepNext/>
        <w:widowControl w:val="0"/>
        <w:numPr>
          <w:ilvl w:val="0"/>
          <w:numId w:val="21"/>
        </w:numPr>
        <w:tabs>
          <w:tab w:val="clear" w:pos="717"/>
          <w:tab w:val="num" w:pos="567"/>
        </w:tabs>
        <w:spacing w:before="0"/>
        <w:ind w:left="567" w:hanging="567"/>
        <w:jc w:val="left"/>
        <w:rPr>
          <w:color w:val="000000"/>
          <w:sz w:val="22"/>
          <w:szCs w:val="22"/>
          <w:lang w:val="hr-HR"/>
        </w:rPr>
      </w:pPr>
      <w:r w:rsidRPr="00510442">
        <w:rPr>
          <w:sz w:val="22"/>
          <w:szCs w:val="22"/>
          <w:lang w:val="hr-HR"/>
        </w:rPr>
        <w:t>navale vrućine, zimica ili noćno znojenje</w:t>
      </w:r>
      <w:r w:rsidRPr="00510442">
        <w:rPr>
          <w:color w:val="000000"/>
          <w:sz w:val="22"/>
          <w:szCs w:val="22"/>
          <w:lang w:val="hr-HR"/>
        </w:rPr>
        <w:t>.</w:t>
      </w:r>
    </w:p>
    <w:p w14:paraId="7C27C367" w14:textId="77777777" w:rsidR="00BE41B8" w:rsidRPr="00510442" w:rsidRDefault="00BE41B8" w:rsidP="00BE41B8">
      <w:pPr>
        <w:pStyle w:val="Text"/>
        <w:widowControl w:val="0"/>
        <w:spacing w:before="0"/>
        <w:jc w:val="left"/>
        <w:rPr>
          <w:b/>
          <w:color w:val="000000"/>
          <w:sz w:val="22"/>
          <w:szCs w:val="22"/>
          <w:lang w:val="hr-HR"/>
        </w:rPr>
      </w:pPr>
      <w:r w:rsidRPr="00510442">
        <w:rPr>
          <w:sz w:val="22"/>
          <w:szCs w:val="22"/>
          <w:lang w:val="hr-HR"/>
        </w:rPr>
        <w:t xml:space="preserve">Ako se bilo što od navedenog kod Vas javi u teškom obliku, </w:t>
      </w:r>
      <w:r w:rsidRPr="00510442">
        <w:rPr>
          <w:b/>
          <w:sz w:val="22"/>
          <w:szCs w:val="22"/>
          <w:lang w:val="hr-HR"/>
        </w:rPr>
        <w:t>obavijestite svog liječnika</w:t>
      </w:r>
      <w:r w:rsidRPr="00510442">
        <w:rPr>
          <w:b/>
          <w:color w:val="000000"/>
          <w:sz w:val="22"/>
          <w:szCs w:val="22"/>
          <w:lang w:val="hr-HR"/>
        </w:rPr>
        <w:t>.</w:t>
      </w:r>
    </w:p>
    <w:p w14:paraId="1C804221" w14:textId="77777777" w:rsidR="00BE41B8" w:rsidRPr="00510442" w:rsidRDefault="00BE41B8" w:rsidP="00BE41B8">
      <w:pPr>
        <w:pStyle w:val="Text"/>
        <w:widowControl w:val="0"/>
        <w:spacing w:before="0"/>
        <w:jc w:val="left"/>
        <w:rPr>
          <w:color w:val="000000"/>
          <w:sz w:val="22"/>
          <w:szCs w:val="22"/>
          <w:lang w:val="hr-HR"/>
        </w:rPr>
      </w:pPr>
    </w:p>
    <w:p w14:paraId="7F759B44" w14:textId="77777777" w:rsidR="00BE41B8" w:rsidRPr="00510442" w:rsidRDefault="00BE41B8" w:rsidP="00FB4E6C">
      <w:pPr>
        <w:pStyle w:val="Text"/>
        <w:keepNext/>
        <w:widowControl w:val="0"/>
        <w:spacing w:before="0"/>
        <w:jc w:val="left"/>
        <w:rPr>
          <w:bCs/>
          <w:color w:val="000000"/>
          <w:sz w:val="22"/>
          <w:szCs w:val="22"/>
          <w:lang w:val="hr-HR"/>
        </w:rPr>
      </w:pPr>
      <w:r w:rsidRPr="00510442">
        <w:rPr>
          <w:b/>
          <w:sz w:val="22"/>
          <w:szCs w:val="22"/>
          <w:lang w:val="hr-HR"/>
        </w:rPr>
        <w:t>Nepoznato</w:t>
      </w:r>
      <w:r w:rsidRPr="00510442">
        <w:rPr>
          <w:sz w:val="22"/>
          <w:szCs w:val="22"/>
          <w:lang w:val="hr-HR"/>
        </w:rPr>
        <w:t xml:space="preserve"> </w:t>
      </w:r>
      <w:r w:rsidRPr="00510442">
        <w:rPr>
          <w:bCs/>
          <w:color w:val="000000"/>
          <w:sz w:val="22"/>
          <w:szCs w:val="22"/>
          <w:lang w:val="hr-HR"/>
        </w:rPr>
        <w:t>(</w:t>
      </w:r>
      <w:r w:rsidRPr="00510442">
        <w:rPr>
          <w:color w:val="000000"/>
          <w:sz w:val="22"/>
          <w:szCs w:val="22"/>
          <w:lang w:val="hr-HR"/>
        </w:rPr>
        <w:t>učestalost se ne može procijeniti iz dostupnih podataka</w:t>
      </w:r>
      <w:r w:rsidRPr="00510442">
        <w:rPr>
          <w:bCs/>
          <w:color w:val="000000"/>
          <w:sz w:val="22"/>
          <w:szCs w:val="22"/>
          <w:lang w:val="hr-HR"/>
        </w:rPr>
        <w:t>):</w:t>
      </w:r>
    </w:p>
    <w:p w14:paraId="5DD27125" w14:textId="77777777" w:rsidR="00BE41B8" w:rsidRPr="00510442" w:rsidRDefault="00BE41B8" w:rsidP="00BE41B8">
      <w:pPr>
        <w:pStyle w:val="Text"/>
        <w:widowControl w:val="0"/>
        <w:numPr>
          <w:ilvl w:val="0"/>
          <w:numId w:val="27"/>
        </w:numPr>
        <w:tabs>
          <w:tab w:val="clear" w:pos="357"/>
          <w:tab w:val="num" w:pos="567"/>
        </w:tabs>
        <w:spacing w:before="0"/>
        <w:ind w:left="567" w:hanging="567"/>
        <w:jc w:val="left"/>
        <w:rPr>
          <w:color w:val="000000"/>
          <w:sz w:val="22"/>
          <w:szCs w:val="22"/>
          <w:lang w:val="hr-HR"/>
        </w:rPr>
      </w:pPr>
      <w:r w:rsidRPr="00510442">
        <w:rPr>
          <w:sz w:val="22"/>
          <w:szCs w:val="22"/>
          <w:lang w:val="hr-HR"/>
        </w:rPr>
        <w:t>crvenilo i/ili oticanje dlanova ruku i tabana stopala koje može biti praćeno trncima i bolnim žarenjem</w:t>
      </w:r>
      <w:r w:rsidRPr="00510442">
        <w:rPr>
          <w:color w:val="000000"/>
          <w:sz w:val="22"/>
          <w:szCs w:val="22"/>
          <w:lang w:val="hr-HR"/>
        </w:rPr>
        <w:t>.</w:t>
      </w:r>
    </w:p>
    <w:p w14:paraId="6D4B7294" w14:textId="77777777" w:rsidR="00D101E5" w:rsidRPr="00510442" w:rsidRDefault="00D101E5" w:rsidP="00BE41B8">
      <w:pPr>
        <w:pStyle w:val="Text"/>
        <w:widowControl w:val="0"/>
        <w:numPr>
          <w:ilvl w:val="0"/>
          <w:numId w:val="27"/>
        </w:numPr>
        <w:tabs>
          <w:tab w:val="clear" w:pos="357"/>
          <w:tab w:val="num" w:pos="567"/>
        </w:tabs>
        <w:spacing w:before="0"/>
        <w:ind w:left="567" w:hanging="567"/>
        <w:jc w:val="left"/>
        <w:rPr>
          <w:color w:val="000000"/>
          <w:sz w:val="22"/>
          <w:szCs w:val="22"/>
          <w:lang w:val="hr-HR"/>
        </w:rPr>
      </w:pPr>
      <w:r w:rsidRPr="00510442">
        <w:rPr>
          <w:sz w:val="22"/>
          <w:szCs w:val="22"/>
          <w:lang w:val="hr-HR"/>
        </w:rPr>
        <w:t>lezije</w:t>
      </w:r>
      <w:r w:rsidR="00E861AB" w:rsidRPr="00510442">
        <w:rPr>
          <w:sz w:val="22"/>
          <w:szCs w:val="22"/>
          <w:lang w:val="hr-HR"/>
        </w:rPr>
        <w:t xml:space="preserve"> (oštećenja)</w:t>
      </w:r>
      <w:r w:rsidRPr="00510442">
        <w:rPr>
          <w:sz w:val="22"/>
          <w:szCs w:val="22"/>
          <w:lang w:val="hr-HR"/>
        </w:rPr>
        <w:t xml:space="preserve"> kože</w:t>
      </w:r>
      <w:r w:rsidR="00E861AB" w:rsidRPr="00510442">
        <w:rPr>
          <w:sz w:val="22"/>
          <w:szCs w:val="22"/>
          <w:lang w:val="hr-HR"/>
        </w:rPr>
        <w:t xml:space="preserve"> koje su bolne</w:t>
      </w:r>
      <w:r w:rsidRPr="00510442">
        <w:rPr>
          <w:sz w:val="22"/>
          <w:szCs w:val="22"/>
          <w:lang w:val="hr-HR"/>
        </w:rPr>
        <w:t xml:space="preserve"> </w:t>
      </w:r>
      <w:r w:rsidR="00E0583D" w:rsidRPr="00510442">
        <w:rPr>
          <w:sz w:val="22"/>
          <w:szCs w:val="22"/>
          <w:lang w:val="hr-HR"/>
        </w:rPr>
        <w:t xml:space="preserve">i/ili </w:t>
      </w:r>
      <w:r w:rsidRPr="00510442">
        <w:rPr>
          <w:sz w:val="22"/>
          <w:szCs w:val="22"/>
          <w:lang w:val="hr-HR"/>
        </w:rPr>
        <w:t>s mjehurićima</w:t>
      </w:r>
      <w:r w:rsidRPr="00510442">
        <w:rPr>
          <w:color w:val="000000"/>
          <w:sz w:val="22"/>
          <w:szCs w:val="22"/>
          <w:lang w:val="hr-HR"/>
        </w:rPr>
        <w:t>.</w:t>
      </w:r>
    </w:p>
    <w:p w14:paraId="02778551" w14:textId="77777777" w:rsidR="00BE41B8" w:rsidRPr="00510442" w:rsidRDefault="00BE41B8" w:rsidP="00FB4E6C">
      <w:pPr>
        <w:pStyle w:val="Text"/>
        <w:keepNext/>
        <w:widowControl w:val="0"/>
        <w:numPr>
          <w:ilvl w:val="0"/>
          <w:numId w:val="27"/>
        </w:numPr>
        <w:tabs>
          <w:tab w:val="clear" w:pos="357"/>
        </w:tabs>
        <w:spacing w:before="0"/>
        <w:ind w:left="567" w:hanging="567"/>
        <w:jc w:val="left"/>
        <w:rPr>
          <w:sz w:val="22"/>
          <w:szCs w:val="22"/>
          <w:lang w:val="hr-HR"/>
        </w:rPr>
      </w:pPr>
      <w:r w:rsidRPr="00510442">
        <w:rPr>
          <w:sz w:val="22"/>
          <w:szCs w:val="22"/>
          <w:lang w:val="hr-HR"/>
        </w:rPr>
        <w:t>usporen rast kod djece i adolescenata.</w:t>
      </w:r>
    </w:p>
    <w:p w14:paraId="3E42171E" w14:textId="77777777" w:rsidR="00BE41B8" w:rsidRPr="00510442" w:rsidRDefault="00BE41B8" w:rsidP="00BE41B8">
      <w:pPr>
        <w:pStyle w:val="Text"/>
        <w:widowControl w:val="0"/>
        <w:spacing w:before="0"/>
        <w:jc w:val="left"/>
        <w:rPr>
          <w:color w:val="000000"/>
          <w:sz w:val="22"/>
          <w:szCs w:val="22"/>
          <w:lang w:val="hr-HR"/>
        </w:rPr>
      </w:pPr>
      <w:r w:rsidRPr="00510442">
        <w:rPr>
          <w:sz w:val="22"/>
          <w:szCs w:val="22"/>
          <w:lang w:val="hr-HR"/>
        </w:rPr>
        <w:t xml:space="preserve">Ako se bilo što od navedenog kod Vas javi u teškom obliku, </w:t>
      </w:r>
      <w:r w:rsidRPr="00510442">
        <w:rPr>
          <w:b/>
          <w:sz w:val="22"/>
          <w:szCs w:val="22"/>
          <w:lang w:val="hr-HR"/>
        </w:rPr>
        <w:t>obavijestite svog liječnika</w:t>
      </w:r>
      <w:r w:rsidRPr="00510442">
        <w:rPr>
          <w:b/>
          <w:color w:val="000000"/>
          <w:sz w:val="22"/>
          <w:szCs w:val="22"/>
          <w:lang w:val="hr-HR"/>
        </w:rPr>
        <w:t>.</w:t>
      </w:r>
    </w:p>
    <w:p w14:paraId="087DB791" w14:textId="77777777" w:rsidR="00BE41B8" w:rsidRPr="00510442" w:rsidRDefault="00BE41B8" w:rsidP="00BE41B8">
      <w:pPr>
        <w:pStyle w:val="Text"/>
        <w:widowControl w:val="0"/>
        <w:spacing w:before="0"/>
        <w:jc w:val="left"/>
        <w:rPr>
          <w:color w:val="000000"/>
          <w:sz w:val="22"/>
          <w:szCs w:val="22"/>
          <w:lang w:val="hr-HR"/>
        </w:rPr>
      </w:pPr>
    </w:p>
    <w:p w14:paraId="59F7DBBD" w14:textId="77777777" w:rsidR="00BE41B8" w:rsidRPr="00510442" w:rsidRDefault="00BE41B8" w:rsidP="00FB4E6C">
      <w:pPr>
        <w:keepNext/>
        <w:numPr>
          <w:ilvl w:val="12"/>
          <w:numId w:val="0"/>
        </w:numPr>
        <w:tabs>
          <w:tab w:val="clear" w:pos="567"/>
        </w:tabs>
        <w:spacing w:line="240" w:lineRule="auto"/>
        <w:ind w:right="-2"/>
        <w:rPr>
          <w:b/>
          <w:snapToGrid w:val="0"/>
          <w:szCs w:val="22"/>
          <w:lang w:val="hr-HR"/>
        </w:rPr>
      </w:pPr>
      <w:r w:rsidRPr="00510442">
        <w:rPr>
          <w:b/>
          <w:snapToGrid w:val="0"/>
          <w:szCs w:val="22"/>
          <w:lang w:val="hr-HR"/>
        </w:rPr>
        <w:t>Prijavljivanje nuspojava</w:t>
      </w:r>
    </w:p>
    <w:p w14:paraId="14B5C5FE" w14:textId="77777777" w:rsidR="00BE41B8" w:rsidRPr="00510442" w:rsidRDefault="00BE41B8" w:rsidP="00BE41B8">
      <w:pPr>
        <w:numPr>
          <w:ilvl w:val="12"/>
          <w:numId w:val="0"/>
        </w:numPr>
        <w:tabs>
          <w:tab w:val="clear" w:pos="567"/>
        </w:tabs>
        <w:spacing w:line="240" w:lineRule="auto"/>
        <w:ind w:right="-2"/>
        <w:rPr>
          <w:snapToGrid w:val="0"/>
          <w:szCs w:val="22"/>
          <w:lang w:val="hr-HR"/>
        </w:rPr>
      </w:pPr>
      <w:r w:rsidRPr="00510442">
        <w:rPr>
          <w:snapToGrid w:val="0"/>
          <w:szCs w:val="22"/>
          <w:lang w:val="hr-HR"/>
        </w:rPr>
        <w:t>Ako primijetite bilo koju nuspojavu, potrebno je obavijestiti liječnika, ljekarnika ili medicinsku sestru.</w:t>
      </w:r>
      <w:r w:rsidRPr="00510442">
        <w:rPr>
          <w:snapToGrid w:val="0"/>
          <w:color w:val="000000"/>
          <w:szCs w:val="22"/>
          <w:lang w:val="hr-HR"/>
        </w:rPr>
        <w:t xml:space="preserve"> </w:t>
      </w:r>
      <w:r w:rsidR="00CB6746" w:rsidRPr="00510442">
        <w:rPr>
          <w:snapToGrid w:val="0"/>
          <w:color w:val="000000"/>
          <w:szCs w:val="22"/>
          <w:lang w:val="hr-HR"/>
        </w:rPr>
        <w:t>To</w:t>
      </w:r>
      <w:r w:rsidRPr="00510442">
        <w:rPr>
          <w:snapToGrid w:val="0"/>
          <w:color w:val="000000"/>
          <w:szCs w:val="22"/>
          <w:lang w:val="hr-HR"/>
        </w:rPr>
        <w:t xml:space="preserve"> uključuje i svaku moguću nuspojavu koja nije navedena u ovoj uputi. Nuspojave možete prijaviti izravno putem nacionalnog sustava za prijavu nuspojava</w:t>
      </w:r>
      <w:r w:rsidR="00CB6746" w:rsidRPr="00510442">
        <w:rPr>
          <w:snapToGrid w:val="0"/>
          <w:color w:val="000000"/>
          <w:szCs w:val="22"/>
          <w:lang w:val="hr-HR"/>
        </w:rPr>
        <w:t>:</w:t>
      </w:r>
      <w:r w:rsidRPr="00510442">
        <w:rPr>
          <w:snapToGrid w:val="0"/>
          <w:color w:val="000000"/>
          <w:szCs w:val="22"/>
          <w:lang w:val="hr-HR"/>
        </w:rPr>
        <w:t xml:space="preserve"> </w:t>
      </w:r>
      <w:r w:rsidRPr="00510442">
        <w:rPr>
          <w:snapToGrid w:val="0"/>
          <w:color w:val="000000"/>
          <w:szCs w:val="22"/>
          <w:shd w:val="clear" w:color="auto" w:fill="D9D9D9"/>
          <w:lang w:val="hr-HR"/>
        </w:rPr>
        <w:t xml:space="preserve">navedenog u </w:t>
      </w:r>
      <w:hyperlink r:id="rId19" w:history="1">
        <w:r w:rsidRPr="00307897">
          <w:rPr>
            <w:snapToGrid w:val="0"/>
            <w:color w:val="0000FF"/>
            <w:u w:val="single"/>
            <w:shd w:val="clear" w:color="auto" w:fill="D9D9D9"/>
            <w:lang w:val="hr-HR"/>
          </w:rPr>
          <w:t>Dodatku V</w:t>
        </w:r>
      </w:hyperlink>
      <w:r w:rsidRPr="00510442">
        <w:rPr>
          <w:snapToGrid w:val="0"/>
          <w:color w:val="000000"/>
          <w:szCs w:val="22"/>
          <w:lang w:val="hr-HR"/>
        </w:rPr>
        <w:t>. Prijavljivanjem nuspojava možete pridonijeti u procjeni sigurnosti ovog lijeka</w:t>
      </w:r>
      <w:r w:rsidRPr="00510442">
        <w:rPr>
          <w:snapToGrid w:val="0"/>
          <w:szCs w:val="22"/>
          <w:lang w:val="hr-HR"/>
        </w:rPr>
        <w:t>.</w:t>
      </w:r>
    </w:p>
    <w:p w14:paraId="1C795D12" w14:textId="77777777" w:rsidR="00BE41B8" w:rsidRPr="00510442" w:rsidRDefault="00BE41B8" w:rsidP="00BE41B8">
      <w:pPr>
        <w:widowControl w:val="0"/>
        <w:numPr>
          <w:ilvl w:val="12"/>
          <w:numId w:val="0"/>
        </w:numPr>
        <w:tabs>
          <w:tab w:val="clear" w:pos="567"/>
        </w:tabs>
        <w:spacing w:line="240" w:lineRule="auto"/>
        <w:ind w:right="-2"/>
        <w:rPr>
          <w:color w:val="000000"/>
          <w:szCs w:val="22"/>
          <w:lang w:val="hr-HR"/>
        </w:rPr>
      </w:pPr>
    </w:p>
    <w:p w14:paraId="76F42D10" w14:textId="77777777" w:rsidR="00BE41B8" w:rsidRPr="00510442" w:rsidRDefault="00BE41B8" w:rsidP="00BE41B8">
      <w:pPr>
        <w:widowControl w:val="0"/>
        <w:numPr>
          <w:ilvl w:val="12"/>
          <w:numId w:val="0"/>
        </w:numPr>
        <w:tabs>
          <w:tab w:val="clear" w:pos="567"/>
        </w:tabs>
        <w:spacing w:line="240" w:lineRule="auto"/>
        <w:ind w:right="-2"/>
        <w:rPr>
          <w:color w:val="000000"/>
          <w:szCs w:val="22"/>
          <w:lang w:val="hr-HR"/>
        </w:rPr>
      </w:pPr>
    </w:p>
    <w:p w14:paraId="1071C17E" w14:textId="77777777" w:rsidR="00146472" w:rsidRPr="00510442" w:rsidRDefault="00146472" w:rsidP="00FB4E6C">
      <w:pPr>
        <w:keepNext/>
        <w:widowControl w:val="0"/>
        <w:numPr>
          <w:ilvl w:val="12"/>
          <w:numId w:val="0"/>
        </w:numPr>
        <w:tabs>
          <w:tab w:val="clear" w:pos="567"/>
        </w:tabs>
        <w:spacing w:line="240" w:lineRule="auto"/>
        <w:ind w:left="567" w:right="-2" w:hanging="567"/>
        <w:rPr>
          <w:color w:val="000000"/>
          <w:szCs w:val="22"/>
          <w:lang w:val="hr-HR"/>
        </w:rPr>
      </w:pPr>
      <w:r w:rsidRPr="00510442">
        <w:rPr>
          <w:b/>
          <w:color w:val="000000"/>
          <w:szCs w:val="22"/>
          <w:lang w:val="hr-HR"/>
        </w:rPr>
        <w:t>5.</w:t>
      </w:r>
      <w:r w:rsidRPr="00510442">
        <w:rPr>
          <w:b/>
          <w:color w:val="000000"/>
          <w:szCs w:val="22"/>
          <w:lang w:val="hr-HR"/>
        </w:rPr>
        <w:tab/>
        <w:t>Kako čuvati Glivec</w:t>
      </w:r>
    </w:p>
    <w:p w14:paraId="7718A9DB" w14:textId="77777777" w:rsidR="00146472" w:rsidRPr="00510442" w:rsidRDefault="00146472" w:rsidP="00FB4E6C">
      <w:pPr>
        <w:keepNext/>
        <w:widowControl w:val="0"/>
        <w:numPr>
          <w:ilvl w:val="12"/>
          <w:numId w:val="0"/>
        </w:numPr>
        <w:tabs>
          <w:tab w:val="clear" w:pos="567"/>
        </w:tabs>
        <w:spacing w:line="240" w:lineRule="auto"/>
        <w:ind w:right="-2"/>
        <w:rPr>
          <w:color w:val="000000"/>
          <w:szCs w:val="22"/>
          <w:lang w:val="hr-HR"/>
        </w:rPr>
      </w:pPr>
    </w:p>
    <w:p w14:paraId="08392169" w14:textId="77777777" w:rsidR="00146472" w:rsidRPr="00510442" w:rsidRDefault="00CB6746" w:rsidP="00FB4E6C">
      <w:pPr>
        <w:pStyle w:val="Text"/>
        <w:widowControl w:val="0"/>
        <w:numPr>
          <w:ilvl w:val="0"/>
          <w:numId w:val="2"/>
        </w:numPr>
        <w:tabs>
          <w:tab w:val="clear" w:pos="360"/>
          <w:tab w:val="num" w:pos="567"/>
        </w:tabs>
        <w:spacing w:before="0"/>
        <w:ind w:left="567" w:hanging="567"/>
        <w:jc w:val="left"/>
        <w:rPr>
          <w:color w:val="000000"/>
          <w:sz w:val="22"/>
          <w:szCs w:val="22"/>
          <w:lang w:val="hr-HR"/>
        </w:rPr>
      </w:pPr>
      <w:r w:rsidRPr="00510442">
        <w:rPr>
          <w:sz w:val="22"/>
          <w:szCs w:val="22"/>
          <w:lang w:val="hr-HR"/>
        </w:rPr>
        <w:t>L</w:t>
      </w:r>
      <w:r w:rsidR="00146472" w:rsidRPr="00510442">
        <w:rPr>
          <w:sz w:val="22"/>
          <w:szCs w:val="22"/>
          <w:lang w:val="hr-HR"/>
        </w:rPr>
        <w:t>ijek čuvajte izvan pogleda i dohvata djece</w:t>
      </w:r>
      <w:r w:rsidR="00146472" w:rsidRPr="00510442">
        <w:rPr>
          <w:color w:val="000000"/>
          <w:sz w:val="22"/>
          <w:szCs w:val="22"/>
          <w:lang w:val="hr-HR"/>
        </w:rPr>
        <w:t>.</w:t>
      </w:r>
    </w:p>
    <w:p w14:paraId="12C36D86" w14:textId="77777777" w:rsidR="00146472" w:rsidRPr="00510442" w:rsidRDefault="00146472" w:rsidP="00D101E5">
      <w:pPr>
        <w:pStyle w:val="Text"/>
        <w:widowControl w:val="0"/>
        <w:numPr>
          <w:ilvl w:val="0"/>
          <w:numId w:val="2"/>
        </w:numPr>
        <w:tabs>
          <w:tab w:val="clear" w:pos="360"/>
          <w:tab w:val="num" w:pos="567"/>
        </w:tabs>
        <w:spacing w:before="0"/>
        <w:ind w:left="567" w:hanging="567"/>
        <w:jc w:val="left"/>
        <w:rPr>
          <w:color w:val="000000"/>
          <w:sz w:val="22"/>
          <w:szCs w:val="22"/>
          <w:lang w:val="hr-HR"/>
        </w:rPr>
      </w:pPr>
      <w:r w:rsidRPr="00510442">
        <w:rPr>
          <w:sz w:val="22"/>
          <w:szCs w:val="22"/>
          <w:lang w:val="hr-HR"/>
        </w:rPr>
        <w:t xml:space="preserve">Ovaj lijek se ne smije upotrijebiti nakon isteka roka valjanosti navedenog na </w:t>
      </w:r>
      <w:r w:rsidR="009F29A1" w:rsidRPr="00510442">
        <w:rPr>
          <w:sz w:val="22"/>
          <w:szCs w:val="22"/>
          <w:lang w:val="hr-HR"/>
        </w:rPr>
        <w:t>kutiji</w:t>
      </w:r>
      <w:r w:rsidR="00D101E5" w:rsidRPr="00510442">
        <w:rPr>
          <w:sz w:val="22"/>
          <w:szCs w:val="22"/>
          <w:lang w:val="hr-HR"/>
        </w:rPr>
        <w:t xml:space="preserve"> iza „Rok valjanosti“</w:t>
      </w:r>
      <w:r w:rsidR="00E0583D" w:rsidRPr="00510442">
        <w:rPr>
          <w:sz w:val="22"/>
          <w:szCs w:val="22"/>
          <w:lang w:val="hr-HR"/>
        </w:rPr>
        <w:t xml:space="preserve"> ili na blisteru iza oznake „EXP</w:t>
      </w:r>
      <w:r w:rsidR="006D7714" w:rsidRPr="00510442">
        <w:rPr>
          <w:sz w:val="22"/>
          <w:szCs w:val="22"/>
          <w:lang w:val="hr-HR"/>
        </w:rPr>
        <w:t>“</w:t>
      </w:r>
      <w:r w:rsidRPr="00510442">
        <w:rPr>
          <w:color w:val="000000"/>
          <w:sz w:val="22"/>
          <w:szCs w:val="22"/>
          <w:lang w:val="hr-HR"/>
        </w:rPr>
        <w:t>.</w:t>
      </w:r>
    </w:p>
    <w:p w14:paraId="6E4D5FE1" w14:textId="77777777" w:rsidR="00146472" w:rsidRPr="00307897" w:rsidRDefault="00146472" w:rsidP="00FB4E6C">
      <w:pPr>
        <w:pStyle w:val="Text"/>
        <w:widowControl w:val="0"/>
        <w:numPr>
          <w:ilvl w:val="0"/>
          <w:numId w:val="2"/>
        </w:numPr>
        <w:tabs>
          <w:tab w:val="clear" w:pos="360"/>
          <w:tab w:val="num" w:pos="567"/>
        </w:tabs>
        <w:spacing w:before="0"/>
        <w:ind w:left="567" w:hanging="567"/>
        <w:jc w:val="left"/>
        <w:rPr>
          <w:color w:val="000000"/>
          <w:sz w:val="22"/>
          <w:szCs w:val="22"/>
          <w:lang w:val="hr-HR"/>
        </w:rPr>
      </w:pPr>
      <w:r w:rsidRPr="00510442">
        <w:rPr>
          <w:sz w:val="22"/>
          <w:szCs w:val="22"/>
          <w:lang w:val="hr-HR"/>
        </w:rPr>
        <w:t xml:space="preserve">Ne čuvati na temperaturi iznad </w:t>
      </w:r>
      <w:r w:rsidRPr="00510442">
        <w:rPr>
          <w:color w:val="000000"/>
          <w:sz w:val="22"/>
          <w:szCs w:val="22"/>
          <w:lang w:val="hr-HR"/>
        </w:rPr>
        <w:t>30</w:t>
      </w:r>
      <w:r w:rsidRPr="00307897">
        <w:rPr>
          <w:color w:val="000000"/>
          <w:sz w:val="22"/>
          <w:szCs w:val="22"/>
          <w:lang w:val="hr-HR"/>
        </w:rPr>
        <w:sym w:font="Symbol" w:char="F0B0"/>
      </w:r>
      <w:r w:rsidRPr="00307897">
        <w:rPr>
          <w:color w:val="000000"/>
          <w:sz w:val="22"/>
          <w:szCs w:val="22"/>
          <w:lang w:val="hr-HR"/>
        </w:rPr>
        <w:t>C.</w:t>
      </w:r>
    </w:p>
    <w:p w14:paraId="29642F67" w14:textId="77777777" w:rsidR="00146472" w:rsidRPr="00973BDD" w:rsidRDefault="00146472" w:rsidP="00FB4E6C">
      <w:pPr>
        <w:pStyle w:val="Text"/>
        <w:widowControl w:val="0"/>
        <w:numPr>
          <w:ilvl w:val="0"/>
          <w:numId w:val="2"/>
        </w:numPr>
        <w:tabs>
          <w:tab w:val="clear" w:pos="360"/>
          <w:tab w:val="num" w:pos="567"/>
        </w:tabs>
        <w:spacing w:before="0"/>
        <w:ind w:left="567" w:hanging="567"/>
        <w:jc w:val="left"/>
        <w:rPr>
          <w:color w:val="000000"/>
          <w:sz w:val="22"/>
          <w:szCs w:val="22"/>
          <w:lang w:val="hr-HR"/>
        </w:rPr>
      </w:pPr>
      <w:r w:rsidRPr="00307897">
        <w:rPr>
          <w:sz w:val="22"/>
          <w:szCs w:val="22"/>
          <w:lang w:val="hr-HR"/>
        </w:rPr>
        <w:t>Čuvati u originalnom pak</w:t>
      </w:r>
      <w:r w:rsidR="00436200" w:rsidRPr="00A00164">
        <w:rPr>
          <w:sz w:val="22"/>
          <w:szCs w:val="22"/>
          <w:lang w:val="hr-HR"/>
        </w:rPr>
        <w:t>ir</w:t>
      </w:r>
      <w:r w:rsidRPr="00A00164">
        <w:rPr>
          <w:sz w:val="22"/>
          <w:szCs w:val="22"/>
          <w:lang w:val="hr-HR"/>
        </w:rPr>
        <w:t>anju radi zaštite od vlage</w:t>
      </w:r>
      <w:r w:rsidRPr="00973BDD">
        <w:rPr>
          <w:color w:val="000000"/>
          <w:sz w:val="22"/>
          <w:szCs w:val="22"/>
          <w:lang w:val="hr-HR"/>
        </w:rPr>
        <w:t>.</w:t>
      </w:r>
    </w:p>
    <w:p w14:paraId="037B5538" w14:textId="77777777" w:rsidR="00146472" w:rsidRPr="00510442" w:rsidRDefault="00146472" w:rsidP="00FB4E6C">
      <w:pPr>
        <w:pStyle w:val="Text"/>
        <w:widowControl w:val="0"/>
        <w:numPr>
          <w:ilvl w:val="0"/>
          <w:numId w:val="2"/>
        </w:numPr>
        <w:tabs>
          <w:tab w:val="clear" w:pos="360"/>
          <w:tab w:val="num" w:pos="567"/>
        </w:tabs>
        <w:spacing w:before="0"/>
        <w:ind w:left="567" w:hanging="567"/>
        <w:jc w:val="left"/>
        <w:rPr>
          <w:color w:val="000000"/>
          <w:sz w:val="22"/>
          <w:szCs w:val="22"/>
          <w:lang w:val="hr-HR"/>
        </w:rPr>
      </w:pPr>
      <w:r w:rsidRPr="00973BDD">
        <w:rPr>
          <w:sz w:val="22"/>
          <w:szCs w:val="22"/>
          <w:lang w:val="hr-HR"/>
        </w:rPr>
        <w:t>Ne koristiti pak</w:t>
      </w:r>
      <w:r w:rsidR="00436200" w:rsidRPr="000B51EB">
        <w:rPr>
          <w:sz w:val="22"/>
          <w:szCs w:val="22"/>
          <w:lang w:val="hr-HR"/>
        </w:rPr>
        <w:t>ir</w:t>
      </w:r>
      <w:r w:rsidRPr="000B51EB">
        <w:rPr>
          <w:sz w:val="22"/>
          <w:szCs w:val="22"/>
          <w:lang w:val="hr-HR"/>
        </w:rPr>
        <w:t>anje koje je oštećeno ili na kojem su vidljivi znakovi otvaranja</w:t>
      </w:r>
      <w:r w:rsidRPr="00510442">
        <w:rPr>
          <w:color w:val="000000"/>
          <w:sz w:val="22"/>
          <w:szCs w:val="22"/>
          <w:lang w:val="hr-HR"/>
        </w:rPr>
        <w:t>.</w:t>
      </w:r>
    </w:p>
    <w:p w14:paraId="2D80EDCE" w14:textId="77777777" w:rsidR="00146472" w:rsidRPr="00510442" w:rsidRDefault="00146472" w:rsidP="00146472">
      <w:pPr>
        <w:pStyle w:val="Text"/>
        <w:widowControl w:val="0"/>
        <w:numPr>
          <w:ilvl w:val="0"/>
          <w:numId w:val="2"/>
        </w:numPr>
        <w:tabs>
          <w:tab w:val="clear" w:pos="360"/>
          <w:tab w:val="num" w:pos="567"/>
        </w:tabs>
        <w:spacing w:before="0"/>
        <w:ind w:left="567" w:hanging="567"/>
        <w:jc w:val="left"/>
        <w:rPr>
          <w:color w:val="000000"/>
          <w:sz w:val="22"/>
          <w:szCs w:val="22"/>
          <w:lang w:val="hr-HR"/>
        </w:rPr>
      </w:pPr>
      <w:r w:rsidRPr="00510442">
        <w:rPr>
          <w:color w:val="000000"/>
          <w:sz w:val="22"/>
          <w:szCs w:val="22"/>
          <w:lang w:val="hr-HR"/>
        </w:rPr>
        <w:t>Nikada nemojte nikakve lijekove bacati u otpadne vode ili kućni otpad. Pitajte svog ljekarnika kako baciti lijekove koje više ne koristite. Ove će mjere pomoći u očuvanju okoliša.</w:t>
      </w:r>
    </w:p>
    <w:p w14:paraId="462FD4F9" w14:textId="77777777" w:rsidR="00146472" w:rsidRPr="00510442" w:rsidRDefault="00146472" w:rsidP="00146472">
      <w:pPr>
        <w:widowControl w:val="0"/>
        <w:numPr>
          <w:ilvl w:val="12"/>
          <w:numId w:val="0"/>
        </w:numPr>
        <w:tabs>
          <w:tab w:val="clear" w:pos="567"/>
        </w:tabs>
        <w:spacing w:line="240" w:lineRule="auto"/>
        <w:ind w:right="-2"/>
        <w:rPr>
          <w:color w:val="000000"/>
          <w:szCs w:val="22"/>
          <w:lang w:val="hr-HR"/>
        </w:rPr>
      </w:pPr>
    </w:p>
    <w:p w14:paraId="340A25D5" w14:textId="77777777" w:rsidR="00146472" w:rsidRPr="00510442" w:rsidRDefault="00146472" w:rsidP="00146472">
      <w:pPr>
        <w:widowControl w:val="0"/>
        <w:numPr>
          <w:ilvl w:val="12"/>
          <w:numId w:val="0"/>
        </w:numPr>
        <w:tabs>
          <w:tab w:val="clear" w:pos="567"/>
        </w:tabs>
        <w:spacing w:line="240" w:lineRule="auto"/>
        <w:ind w:right="-2"/>
        <w:rPr>
          <w:color w:val="000000"/>
          <w:szCs w:val="22"/>
          <w:lang w:val="hr-HR"/>
        </w:rPr>
      </w:pPr>
    </w:p>
    <w:p w14:paraId="045A19E6" w14:textId="77777777" w:rsidR="00146472" w:rsidRPr="00510442" w:rsidRDefault="00146472" w:rsidP="00FB4E6C">
      <w:pPr>
        <w:keepNext/>
        <w:widowControl w:val="0"/>
        <w:numPr>
          <w:ilvl w:val="12"/>
          <w:numId w:val="0"/>
        </w:numPr>
        <w:tabs>
          <w:tab w:val="clear" w:pos="567"/>
        </w:tabs>
        <w:spacing w:line="240" w:lineRule="auto"/>
        <w:ind w:right="-2"/>
        <w:rPr>
          <w:caps/>
          <w:color w:val="000000"/>
          <w:szCs w:val="22"/>
          <w:lang w:val="hr-HR"/>
        </w:rPr>
      </w:pPr>
      <w:r w:rsidRPr="00510442">
        <w:rPr>
          <w:b/>
          <w:caps/>
          <w:color w:val="000000"/>
          <w:szCs w:val="22"/>
          <w:lang w:val="hr-HR"/>
        </w:rPr>
        <w:t>6.</w:t>
      </w:r>
      <w:r w:rsidRPr="00510442">
        <w:rPr>
          <w:b/>
          <w:caps/>
          <w:color w:val="000000"/>
          <w:szCs w:val="22"/>
          <w:lang w:val="hr-HR"/>
        </w:rPr>
        <w:tab/>
      </w:r>
      <w:r w:rsidRPr="00510442">
        <w:rPr>
          <w:b/>
          <w:szCs w:val="22"/>
          <w:lang w:val="hr-HR"/>
        </w:rPr>
        <w:t xml:space="preserve">Sadržaj </w:t>
      </w:r>
      <w:r w:rsidR="009F29A1" w:rsidRPr="00510442">
        <w:rPr>
          <w:b/>
          <w:szCs w:val="22"/>
          <w:lang w:val="hr-HR"/>
        </w:rPr>
        <w:t xml:space="preserve">pakiranja </w:t>
      </w:r>
      <w:r w:rsidRPr="00510442">
        <w:rPr>
          <w:b/>
          <w:szCs w:val="22"/>
          <w:lang w:val="hr-HR"/>
        </w:rPr>
        <w:t>i druge informacije</w:t>
      </w:r>
    </w:p>
    <w:p w14:paraId="0FA044E7" w14:textId="77777777" w:rsidR="00146472" w:rsidRPr="00510442" w:rsidRDefault="00146472" w:rsidP="00FB4E6C">
      <w:pPr>
        <w:keepNext/>
        <w:widowControl w:val="0"/>
        <w:numPr>
          <w:ilvl w:val="12"/>
          <w:numId w:val="0"/>
        </w:numPr>
        <w:tabs>
          <w:tab w:val="clear" w:pos="567"/>
        </w:tabs>
        <w:spacing w:line="240" w:lineRule="auto"/>
        <w:ind w:right="-2"/>
        <w:rPr>
          <w:color w:val="000000"/>
          <w:szCs w:val="22"/>
          <w:lang w:val="hr-HR"/>
        </w:rPr>
      </w:pPr>
    </w:p>
    <w:p w14:paraId="12801C2D" w14:textId="77777777" w:rsidR="00146472" w:rsidRPr="00510442" w:rsidRDefault="00146472" w:rsidP="00FB4E6C">
      <w:pPr>
        <w:pStyle w:val="EndnoteText"/>
        <w:keepNext/>
        <w:widowControl w:val="0"/>
        <w:tabs>
          <w:tab w:val="clear" w:pos="567"/>
        </w:tabs>
        <w:rPr>
          <w:b/>
          <w:color w:val="000000"/>
          <w:szCs w:val="22"/>
          <w:lang w:val="hr-HR"/>
        </w:rPr>
      </w:pPr>
      <w:r w:rsidRPr="00510442">
        <w:rPr>
          <w:b/>
          <w:color w:val="000000"/>
          <w:szCs w:val="22"/>
          <w:lang w:val="hr-HR"/>
        </w:rPr>
        <w:t>Što Glivec sadrži</w:t>
      </w:r>
    </w:p>
    <w:p w14:paraId="57C59E0C" w14:textId="5F092C15" w:rsidR="00146472" w:rsidRPr="00510442" w:rsidRDefault="00146472" w:rsidP="00DB028B">
      <w:pPr>
        <w:widowControl w:val="0"/>
        <w:numPr>
          <w:ilvl w:val="0"/>
          <w:numId w:val="1"/>
        </w:numPr>
        <w:tabs>
          <w:tab w:val="clear" w:pos="567"/>
        </w:tabs>
        <w:spacing w:line="240" w:lineRule="auto"/>
        <w:ind w:left="567" w:right="-2" w:hanging="567"/>
        <w:rPr>
          <w:color w:val="000000"/>
          <w:szCs w:val="22"/>
          <w:lang w:val="hr-HR"/>
        </w:rPr>
      </w:pPr>
      <w:r w:rsidRPr="00510442">
        <w:rPr>
          <w:color w:val="000000"/>
          <w:szCs w:val="22"/>
          <w:lang w:val="hr-HR"/>
        </w:rPr>
        <w:t xml:space="preserve">Djelatna tvar je imatinibmesilat. Svaka kapsula </w:t>
      </w:r>
      <w:r w:rsidR="00DB1682" w:rsidRPr="00512481">
        <w:rPr>
          <w:szCs w:val="22"/>
          <w:lang w:val="hr-HR"/>
        </w:rPr>
        <w:t xml:space="preserve">lijeka </w:t>
      </w:r>
      <w:r w:rsidRPr="00510442">
        <w:rPr>
          <w:color w:val="000000"/>
          <w:szCs w:val="22"/>
          <w:lang w:val="hr-HR"/>
        </w:rPr>
        <w:t>Glivec sadrži 100 mg imatiniba (</w:t>
      </w:r>
      <w:r w:rsidRPr="00510442">
        <w:rPr>
          <w:szCs w:val="22"/>
          <w:lang w:val="hr-HR"/>
        </w:rPr>
        <w:t xml:space="preserve">u obliku </w:t>
      </w:r>
      <w:r w:rsidRPr="00510442">
        <w:rPr>
          <w:szCs w:val="22"/>
          <w:lang w:val="hr-HR"/>
        </w:rPr>
        <w:lastRenderedPageBreak/>
        <w:t>imatinibmesilata</w:t>
      </w:r>
      <w:r w:rsidRPr="00510442">
        <w:rPr>
          <w:color w:val="000000"/>
          <w:szCs w:val="22"/>
          <w:lang w:val="hr-HR"/>
        </w:rPr>
        <w:t>).</w:t>
      </w:r>
    </w:p>
    <w:p w14:paraId="534D18EF" w14:textId="77777777" w:rsidR="00146472" w:rsidRPr="00510442" w:rsidRDefault="00146472" w:rsidP="00DB028B">
      <w:pPr>
        <w:widowControl w:val="0"/>
        <w:numPr>
          <w:ilvl w:val="0"/>
          <w:numId w:val="1"/>
        </w:numPr>
        <w:tabs>
          <w:tab w:val="clear" w:pos="567"/>
        </w:tabs>
        <w:spacing w:line="240" w:lineRule="auto"/>
        <w:ind w:left="567" w:right="-2" w:hanging="567"/>
        <w:rPr>
          <w:color w:val="000000"/>
          <w:szCs w:val="22"/>
          <w:lang w:val="hr-HR"/>
        </w:rPr>
      </w:pPr>
      <w:r w:rsidRPr="00510442">
        <w:rPr>
          <w:color w:val="000000"/>
          <w:szCs w:val="22"/>
          <w:lang w:val="hr-HR"/>
        </w:rPr>
        <w:t>Drugi sastojci su mikrokristalična celuloza, krospovidon, magnezijev stearat i bezvodni koloidni silicijev dioksid. Ovojnica kapsule se sastoji od želatine, crvenog željezovog oksida (E172), žutog željezovog oksida (E172) i titanijevog dioksida (E171). Tinta za označ</w:t>
      </w:r>
      <w:r w:rsidR="00CA3330" w:rsidRPr="00510442">
        <w:rPr>
          <w:color w:val="000000"/>
          <w:szCs w:val="22"/>
          <w:lang w:val="hr-HR"/>
        </w:rPr>
        <w:t>i</w:t>
      </w:r>
      <w:r w:rsidRPr="00510442">
        <w:rPr>
          <w:color w:val="000000"/>
          <w:szCs w:val="22"/>
          <w:lang w:val="hr-HR"/>
        </w:rPr>
        <w:t>vanje se sastoji od crvenog željezovog oksida (E172) i šelaka.</w:t>
      </w:r>
    </w:p>
    <w:p w14:paraId="4FC27C37" w14:textId="77777777" w:rsidR="00146472" w:rsidRPr="00510442" w:rsidRDefault="00146472" w:rsidP="00DB028B">
      <w:pPr>
        <w:pStyle w:val="Text"/>
        <w:widowControl w:val="0"/>
        <w:spacing w:before="0"/>
        <w:jc w:val="left"/>
        <w:rPr>
          <w:color w:val="000000"/>
          <w:sz w:val="22"/>
          <w:szCs w:val="22"/>
          <w:lang w:val="hr-HR"/>
        </w:rPr>
      </w:pPr>
    </w:p>
    <w:p w14:paraId="73241954" w14:textId="77777777" w:rsidR="00146472" w:rsidRPr="00510442" w:rsidRDefault="00146472" w:rsidP="00FB4E6C">
      <w:pPr>
        <w:pStyle w:val="Text"/>
        <w:keepNext/>
        <w:widowControl w:val="0"/>
        <w:spacing w:before="0"/>
        <w:jc w:val="left"/>
        <w:rPr>
          <w:b/>
          <w:color w:val="000000"/>
          <w:sz w:val="22"/>
          <w:szCs w:val="22"/>
          <w:lang w:val="hr-HR"/>
        </w:rPr>
      </w:pPr>
      <w:r w:rsidRPr="00510442">
        <w:rPr>
          <w:b/>
          <w:color w:val="000000"/>
          <w:sz w:val="22"/>
          <w:szCs w:val="22"/>
          <w:lang w:val="hr-HR"/>
        </w:rPr>
        <w:t xml:space="preserve">Kako Glivec </w:t>
      </w:r>
      <w:r w:rsidRPr="00510442">
        <w:rPr>
          <w:b/>
          <w:bCs/>
          <w:sz w:val="22"/>
          <w:szCs w:val="22"/>
          <w:lang w:val="hr-HR"/>
        </w:rPr>
        <w:t xml:space="preserve">izgleda i sadržaj </w:t>
      </w:r>
      <w:r w:rsidR="009F29A1" w:rsidRPr="00510442">
        <w:rPr>
          <w:b/>
          <w:bCs/>
          <w:sz w:val="22"/>
          <w:szCs w:val="22"/>
          <w:lang w:val="hr-HR"/>
        </w:rPr>
        <w:t>pakiranja</w:t>
      </w:r>
    </w:p>
    <w:p w14:paraId="4AEC9311" w14:textId="77777777" w:rsidR="00146472" w:rsidRPr="00510442" w:rsidRDefault="00146472" w:rsidP="00DB028B">
      <w:pPr>
        <w:widowControl w:val="0"/>
        <w:tabs>
          <w:tab w:val="clear" w:pos="567"/>
        </w:tabs>
        <w:spacing w:line="240" w:lineRule="auto"/>
        <w:rPr>
          <w:color w:val="000000"/>
          <w:szCs w:val="22"/>
          <w:lang w:val="hr-HR"/>
        </w:rPr>
      </w:pPr>
      <w:r w:rsidRPr="00510442">
        <w:rPr>
          <w:color w:val="000000"/>
          <w:szCs w:val="22"/>
          <w:lang w:val="hr-HR"/>
        </w:rPr>
        <w:t xml:space="preserve">Glivec 100 mg kapsule su narančaste do sivkastonarančaste, s oznakom </w:t>
      </w:r>
      <w:r w:rsidRPr="00510442">
        <w:rPr>
          <w:lang w:val="hr-HR"/>
        </w:rPr>
        <w:t>„</w:t>
      </w:r>
      <w:r w:rsidRPr="00510442">
        <w:rPr>
          <w:color w:val="000000"/>
          <w:szCs w:val="22"/>
          <w:lang w:val="hr-HR"/>
        </w:rPr>
        <w:t>NVR SI</w:t>
      </w:r>
      <w:r w:rsidRPr="00510442">
        <w:rPr>
          <w:lang w:val="hr-HR"/>
        </w:rPr>
        <w:t>“</w:t>
      </w:r>
      <w:r w:rsidRPr="00510442">
        <w:rPr>
          <w:color w:val="000000"/>
          <w:szCs w:val="22"/>
          <w:lang w:val="hr-HR"/>
        </w:rPr>
        <w:t>. Sadrže bijeli do žuti prašak.</w:t>
      </w:r>
    </w:p>
    <w:p w14:paraId="70D2CE36" w14:textId="77777777" w:rsidR="00146472" w:rsidRPr="00510442" w:rsidRDefault="00146472" w:rsidP="00DB028B">
      <w:pPr>
        <w:pStyle w:val="Text"/>
        <w:widowControl w:val="0"/>
        <w:spacing w:before="0"/>
        <w:jc w:val="left"/>
        <w:rPr>
          <w:color w:val="000000"/>
          <w:sz w:val="22"/>
          <w:szCs w:val="22"/>
          <w:lang w:val="hr-HR"/>
        </w:rPr>
      </w:pPr>
    </w:p>
    <w:p w14:paraId="623DE20E" w14:textId="77777777" w:rsidR="00146472" w:rsidRPr="00510442" w:rsidRDefault="00146472" w:rsidP="00DB028B">
      <w:pPr>
        <w:pStyle w:val="EndnoteText"/>
        <w:widowControl w:val="0"/>
        <w:tabs>
          <w:tab w:val="clear" w:pos="567"/>
        </w:tabs>
        <w:rPr>
          <w:color w:val="000000"/>
          <w:szCs w:val="22"/>
          <w:lang w:val="hr-HR"/>
        </w:rPr>
      </w:pPr>
      <w:r w:rsidRPr="00510442">
        <w:rPr>
          <w:szCs w:val="22"/>
          <w:lang w:val="hr-HR"/>
        </w:rPr>
        <w:t>Nalaze se u pak</w:t>
      </w:r>
      <w:r w:rsidR="00436200" w:rsidRPr="00510442">
        <w:rPr>
          <w:szCs w:val="22"/>
          <w:lang w:val="hr-HR"/>
        </w:rPr>
        <w:t>ir</w:t>
      </w:r>
      <w:r w:rsidRPr="00510442">
        <w:rPr>
          <w:szCs w:val="22"/>
          <w:lang w:val="hr-HR"/>
        </w:rPr>
        <w:t xml:space="preserve">anjima koja sadrže </w:t>
      </w:r>
      <w:r w:rsidRPr="00510442">
        <w:rPr>
          <w:color w:val="000000"/>
          <w:szCs w:val="22"/>
          <w:lang w:val="hr-HR"/>
        </w:rPr>
        <w:t>24, 48, 96, 120 ili 180 kapsula, ali ona sva ne moraju biti dostupna u Vašoj zemlji.</w:t>
      </w:r>
    </w:p>
    <w:p w14:paraId="7B161769" w14:textId="77777777" w:rsidR="00146472" w:rsidRPr="00510442" w:rsidRDefault="00146472" w:rsidP="00DB028B">
      <w:pPr>
        <w:pStyle w:val="EndnoteText"/>
        <w:widowControl w:val="0"/>
        <w:tabs>
          <w:tab w:val="clear" w:pos="567"/>
        </w:tabs>
        <w:rPr>
          <w:color w:val="000000"/>
          <w:szCs w:val="22"/>
          <w:lang w:val="hr-HR"/>
        </w:rPr>
      </w:pPr>
    </w:p>
    <w:p w14:paraId="198D1FAB" w14:textId="77777777" w:rsidR="00146472" w:rsidRPr="00510442" w:rsidRDefault="00146472" w:rsidP="00FB4E6C">
      <w:pPr>
        <w:pStyle w:val="Heading2"/>
        <w:widowControl w:val="0"/>
        <w:spacing w:before="0" w:after="0" w:line="240" w:lineRule="auto"/>
        <w:rPr>
          <w:rFonts w:ascii="Times New Roman" w:hAnsi="Times New Roman"/>
          <w:i w:val="0"/>
          <w:color w:val="000000"/>
          <w:sz w:val="22"/>
          <w:szCs w:val="22"/>
          <w:lang w:val="hr-HR"/>
        </w:rPr>
      </w:pPr>
      <w:r w:rsidRPr="00510442">
        <w:rPr>
          <w:rFonts w:ascii="Times New Roman" w:hAnsi="Times New Roman"/>
          <w:bCs/>
          <w:i w:val="0"/>
          <w:sz w:val="22"/>
          <w:szCs w:val="22"/>
          <w:lang w:val="hr-HR"/>
        </w:rPr>
        <w:t>Nositelj odobrenja za stavljanje lijeka u promet</w:t>
      </w:r>
    </w:p>
    <w:p w14:paraId="560494CC" w14:textId="77777777" w:rsidR="00146472" w:rsidRPr="00510442" w:rsidRDefault="00146472" w:rsidP="00FB4E6C">
      <w:pPr>
        <w:pStyle w:val="EndnoteText"/>
        <w:keepNext/>
        <w:widowControl w:val="0"/>
        <w:tabs>
          <w:tab w:val="clear" w:pos="567"/>
        </w:tabs>
        <w:rPr>
          <w:color w:val="000000"/>
          <w:szCs w:val="22"/>
          <w:lang w:val="hr-HR"/>
        </w:rPr>
      </w:pPr>
      <w:r w:rsidRPr="00510442">
        <w:rPr>
          <w:color w:val="000000"/>
          <w:szCs w:val="22"/>
          <w:lang w:val="hr-HR"/>
        </w:rPr>
        <w:t>Novartis Europharm Limited</w:t>
      </w:r>
    </w:p>
    <w:p w14:paraId="08CD405D" w14:textId="77777777" w:rsidR="00E24CAD" w:rsidRPr="00510442" w:rsidRDefault="00E24CAD" w:rsidP="00E24CAD">
      <w:pPr>
        <w:keepNext/>
        <w:widowControl w:val="0"/>
        <w:spacing w:line="240" w:lineRule="auto"/>
        <w:rPr>
          <w:color w:val="000000"/>
          <w:szCs w:val="22"/>
          <w:lang w:val="hr-HR"/>
        </w:rPr>
      </w:pPr>
      <w:r w:rsidRPr="00510442">
        <w:rPr>
          <w:color w:val="000000"/>
          <w:szCs w:val="22"/>
          <w:lang w:val="hr-HR"/>
        </w:rPr>
        <w:t>Vista Building</w:t>
      </w:r>
    </w:p>
    <w:p w14:paraId="452AD2A0" w14:textId="77777777" w:rsidR="00E24CAD" w:rsidRPr="00510442" w:rsidRDefault="00E24CAD" w:rsidP="00E24CAD">
      <w:pPr>
        <w:keepNext/>
        <w:widowControl w:val="0"/>
        <w:spacing w:line="240" w:lineRule="auto"/>
        <w:rPr>
          <w:color w:val="000000"/>
          <w:szCs w:val="22"/>
          <w:lang w:val="hr-HR"/>
        </w:rPr>
      </w:pPr>
      <w:r w:rsidRPr="00510442">
        <w:rPr>
          <w:color w:val="000000"/>
          <w:szCs w:val="22"/>
          <w:lang w:val="hr-HR"/>
        </w:rPr>
        <w:t>Elm Park, Merrion Road</w:t>
      </w:r>
    </w:p>
    <w:p w14:paraId="16DF2FBA" w14:textId="77777777" w:rsidR="00E24CAD" w:rsidRPr="00510442" w:rsidRDefault="00E24CAD" w:rsidP="00E24CAD">
      <w:pPr>
        <w:keepNext/>
        <w:widowControl w:val="0"/>
        <w:spacing w:line="240" w:lineRule="auto"/>
        <w:rPr>
          <w:color w:val="000000"/>
          <w:szCs w:val="22"/>
          <w:lang w:val="hr-HR"/>
        </w:rPr>
      </w:pPr>
      <w:r w:rsidRPr="00510442">
        <w:rPr>
          <w:color w:val="000000"/>
          <w:szCs w:val="22"/>
          <w:lang w:val="hr-HR"/>
        </w:rPr>
        <w:t>Dublin 4</w:t>
      </w:r>
    </w:p>
    <w:p w14:paraId="0B369FC1" w14:textId="77777777" w:rsidR="00146472" w:rsidRPr="00307897" w:rsidRDefault="00E24CAD" w:rsidP="00146472">
      <w:pPr>
        <w:pStyle w:val="Text"/>
        <w:widowControl w:val="0"/>
        <w:spacing w:before="0"/>
        <w:jc w:val="left"/>
        <w:rPr>
          <w:color w:val="000000"/>
          <w:sz w:val="22"/>
          <w:szCs w:val="22"/>
          <w:lang w:val="hr-HR"/>
        </w:rPr>
      </w:pPr>
      <w:r w:rsidRPr="00510442">
        <w:rPr>
          <w:color w:val="000000"/>
          <w:szCs w:val="22"/>
          <w:lang w:val="hr-HR"/>
        </w:rPr>
        <w:t>Irska</w:t>
      </w:r>
    </w:p>
    <w:p w14:paraId="499B76E5" w14:textId="77777777" w:rsidR="00146472" w:rsidRPr="00307897" w:rsidRDefault="00146472" w:rsidP="00146472">
      <w:pPr>
        <w:pStyle w:val="Text"/>
        <w:widowControl w:val="0"/>
        <w:spacing w:before="0"/>
        <w:jc w:val="left"/>
        <w:rPr>
          <w:color w:val="000000"/>
          <w:sz w:val="22"/>
          <w:szCs w:val="22"/>
          <w:lang w:val="hr-HR"/>
        </w:rPr>
      </w:pPr>
    </w:p>
    <w:p w14:paraId="6C2D097A" w14:textId="77777777" w:rsidR="00146472" w:rsidRPr="00A00164" w:rsidRDefault="00146472" w:rsidP="00FB4E6C">
      <w:pPr>
        <w:pStyle w:val="Heading2"/>
        <w:widowControl w:val="0"/>
        <w:spacing w:before="0" w:after="0" w:line="240" w:lineRule="auto"/>
        <w:rPr>
          <w:rFonts w:ascii="Times New Roman" w:hAnsi="Times New Roman"/>
          <w:i w:val="0"/>
          <w:color w:val="000000"/>
          <w:sz w:val="22"/>
          <w:szCs w:val="22"/>
          <w:lang w:val="hr-HR"/>
        </w:rPr>
      </w:pPr>
      <w:r w:rsidRPr="00A00164">
        <w:rPr>
          <w:rFonts w:ascii="Times New Roman" w:hAnsi="Times New Roman"/>
          <w:i w:val="0"/>
          <w:color w:val="000000"/>
          <w:sz w:val="22"/>
          <w:szCs w:val="22"/>
          <w:lang w:val="hr-HR"/>
        </w:rPr>
        <w:t>Proizvođač</w:t>
      </w:r>
    </w:p>
    <w:p w14:paraId="16D188CE" w14:textId="77777777" w:rsidR="00146472" w:rsidRPr="000B51EB" w:rsidRDefault="00146472" w:rsidP="00FB4E6C">
      <w:pPr>
        <w:keepNext/>
        <w:widowControl w:val="0"/>
        <w:spacing w:line="240" w:lineRule="auto"/>
        <w:rPr>
          <w:snapToGrid w:val="0"/>
          <w:color w:val="000000"/>
          <w:szCs w:val="22"/>
          <w:lang w:val="hr-HR"/>
        </w:rPr>
      </w:pPr>
      <w:r w:rsidRPr="00973BDD">
        <w:rPr>
          <w:snapToGrid w:val="0"/>
          <w:color w:val="000000"/>
          <w:szCs w:val="22"/>
          <w:lang w:val="hr-HR"/>
        </w:rPr>
        <w:t>Novartis Pharma Gm</w:t>
      </w:r>
      <w:r w:rsidRPr="000B51EB">
        <w:rPr>
          <w:snapToGrid w:val="0"/>
          <w:color w:val="000000"/>
          <w:szCs w:val="22"/>
          <w:lang w:val="hr-HR"/>
        </w:rPr>
        <w:t>bH</w:t>
      </w:r>
    </w:p>
    <w:p w14:paraId="7F7A077F" w14:textId="77777777" w:rsidR="00146472" w:rsidRPr="000B51EB" w:rsidRDefault="00146472" w:rsidP="00FB4E6C">
      <w:pPr>
        <w:keepNext/>
        <w:widowControl w:val="0"/>
        <w:spacing w:line="240" w:lineRule="auto"/>
        <w:ind w:left="709" w:hanging="709"/>
        <w:rPr>
          <w:snapToGrid w:val="0"/>
          <w:color w:val="000000"/>
          <w:szCs w:val="22"/>
          <w:lang w:val="hr-HR"/>
        </w:rPr>
      </w:pPr>
      <w:r w:rsidRPr="000B51EB">
        <w:rPr>
          <w:snapToGrid w:val="0"/>
          <w:color w:val="000000"/>
          <w:szCs w:val="22"/>
          <w:lang w:val="hr-HR"/>
        </w:rPr>
        <w:t>Roonstrasse 25</w:t>
      </w:r>
    </w:p>
    <w:p w14:paraId="077E89FA" w14:textId="77777777" w:rsidR="00146472" w:rsidRPr="00510442" w:rsidRDefault="00146472" w:rsidP="00FB4E6C">
      <w:pPr>
        <w:keepNext/>
        <w:widowControl w:val="0"/>
        <w:spacing w:line="240" w:lineRule="auto"/>
        <w:ind w:left="709" w:hanging="709"/>
        <w:rPr>
          <w:snapToGrid w:val="0"/>
          <w:color w:val="000000"/>
          <w:szCs w:val="22"/>
          <w:lang w:val="hr-HR"/>
        </w:rPr>
      </w:pPr>
      <w:r w:rsidRPr="00510442">
        <w:rPr>
          <w:snapToGrid w:val="0"/>
          <w:color w:val="000000"/>
          <w:szCs w:val="22"/>
          <w:lang w:val="hr-HR"/>
        </w:rPr>
        <w:t xml:space="preserve">D-90429 </w:t>
      </w:r>
      <w:r w:rsidRPr="00510442">
        <w:rPr>
          <w:szCs w:val="22"/>
          <w:lang w:val="hr-HR"/>
        </w:rPr>
        <w:t>Nürnberg</w:t>
      </w:r>
    </w:p>
    <w:p w14:paraId="1C7FF298" w14:textId="77777777" w:rsidR="00146472" w:rsidRPr="00510442" w:rsidRDefault="00146472" w:rsidP="00146472">
      <w:pPr>
        <w:pStyle w:val="EndnoteText"/>
        <w:widowControl w:val="0"/>
        <w:numPr>
          <w:ilvl w:val="12"/>
          <w:numId w:val="0"/>
        </w:numPr>
        <w:tabs>
          <w:tab w:val="clear" w:pos="567"/>
        </w:tabs>
        <w:rPr>
          <w:snapToGrid w:val="0"/>
          <w:color w:val="000000"/>
          <w:szCs w:val="22"/>
          <w:lang w:val="hr-HR"/>
        </w:rPr>
      </w:pPr>
      <w:r w:rsidRPr="00510442">
        <w:rPr>
          <w:snapToGrid w:val="0"/>
          <w:color w:val="000000"/>
          <w:szCs w:val="22"/>
          <w:lang w:val="hr-HR"/>
        </w:rPr>
        <w:t>Njemačka</w:t>
      </w:r>
    </w:p>
    <w:p w14:paraId="738A8297" w14:textId="533C3F8D" w:rsidR="00146472" w:rsidRDefault="00146472" w:rsidP="00146472">
      <w:pPr>
        <w:pStyle w:val="EndnoteText"/>
        <w:widowControl w:val="0"/>
        <w:numPr>
          <w:ilvl w:val="12"/>
          <w:numId w:val="0"/>
        </w:numPr>
        <w:tabs>
          <w:tab w:val="clear" w:pos="567"/>
        </w:tabs>
        <w:rPr>
          <w:color w:val="000000"/>
          <w:szCs w:val="22"/>
          <w:lang w:val="hr-HR"/>
        </w:rPr>
      </w:pPr>
    </w:p>
    <w:p w14:paraId="59519FD7" w14:textId="77777777" w:rsidR="00DD3502" w:rsidRPr="00DD3502" w:rsidRDefault="00DD3502" w:rsidP="00DD3502">
      <w:pPr>
        <w:keepNext/>
        <w:tabs>
          <w:tab w:val="left" w:pos="7513"/>
        </w:tabs>
        <w:spacing w:line="240" w:lineRule="auto"/>
        <w:rPr>
          <w:color w:val="000000"/>
          <w:szCs w:val="22"/>
          <w:shd w:val="pct15" w:color="auto" w:fill="auto"/>
          <w:lang w:val="hr-HR"/>
        </w:rPr>
      </w:pPr>
      <w:r w:rsidRPr="00DD3502">
        <w:rPr>
          <w:color w:val="000000"/>
          <w:szCs w:val="22"/>
          <w:shd w:val="pct15" w:color="auto" w:fill="auto"/>
          <w:lang w:val="hr-HR"/>
        </w:rPr>
        <w:t>Sandoz S.R.L.</w:t>
      </w:r>
    </w:p>
    <w:p w14:paraId="2B6DE428" w14:textId="77777777" w:rsidR="00DD3502" w:rsidRPr="00DD3502" w:rsidRDefault="00DD3502" w:rsidP="00DD3502">
      <w:pPr>
        <w:keepNext/>
        <w:tabs>
          <w:tab w:val="left" w:pos="7513"/>
        </w:tabs>
        <w:spacing w:line="240" w:lineRule="auto"/>
        <w:rPr>
          <w:color w:val="000000"/>
          <w:szCs w:val="22"/>
          <w:shd w:val="pct15" w:color="auto" w:fill="auto"/>
          <w:lang w:val="hr-HR"/>
        </w:rPr>
      </w:pPr>
      <w:r w:rsidRPr="00DD3502">
        <w:rPr>
          <w:color w:val="000000"/>
          <w:szCs w:val="22"/>
          <w:shd w:val="pct15" w:color="auto" w:fill="auto"/>
          <w:lang w:val="hr-HR"/>
        </w:rPr>
        <w:t>Str. Livezeni nr. 7A</w:t>
      </w:r>
    </w:p>
    <w:p w14:paraId="31D69F55" w14:textId="77777777" w:rsidR="00DD3502" w:rsidRPr="00DD3502" w:rsidRDefault="00DD3502" w:rsidP="00DD3502">
      <w:pPr>
        <w:keepNext/>
        <w:tabs>
          <w:tab w:val="left" w:pos="7513"/>
        </w:tabs>
        <w:spacing w:line="240" w:lineRule="auto"/>
        <w:rPr>
          <w:color w:val="000000"/>
          <w:szCs w:val="22"/>
          <w:shd w:val="pct15" w:color="auto" w:fill="auto"/>
          <w:lang w:val="hr-HR"/>
        </w:rPr>
      </w:pPr>
      <w:r w:rsidRPr="00DD3502">
        <w:rPr>
          <w:color w:val="000000"/>
          <w:szCs w:val="22"/>
          <w:shd w:val="pct15" w:color="auto" w:fill="auto"/>
          <w:lang w:val="hr-HR"/>
        </w:rPr>
        <w:t>540472, Targu Mures</w:t>
      </w:r>
    </w:p>
    <w:p w14:paraId="495EE2B5" w14:textId="029DCCC8" w:rsidR="00DD3502" w:rsidRPr="00DD3502" w:rsidRDefault="00DD3502" w:rsidP="00DD3502">
      <w:pPr>
        <w:pStyle w:val="EndnoteText"/>
        <w:widowControl w:val="0"/>
        <w:numPr>
          <w:ilvl w:val="12"/>
          <w:numId w:val="0"/>
        </w:numPr>
        <w:tabs>
          <w:tab w:val="clear" w:pos="567"/>
        </w:tabs>
        <w:rPr>
          <w:color w:val="000000"/>
          <w:szCs w:val="22"/>
          <w:shd w:val="pct15" w:color="auto" w:fill="auto"/>
          <w:lang w:val="hr-HR"/>
        </w:rPr>
      </w:pPr>
      <w:r w:rsidRPr="00DD3502">
        <w:rPr>
          <w:color w:val="000000"/>
          <w:szCs w:val="22"/>
          <w:shd w:val="pct15" w:color="auto" w:fill="auto"/>
          <w:lang w:val="hr-HR"/>
        </w:rPr>
        <w:t>Rumunjska</w:t>
      </w:r>
    </w:p>
    <w:p w14:paraId="7AC5C7E7" w14:textId="77777777" w:rsidR="00DD3502" w:rsidRPr="00510442" w:rsidRDefault="00DD3502" w:rsidP="00DD3502">
      <w:pPr>
        <w:pStyle w:val="EndnoteText"/>
        <w:widowControl w:val="0"/>
        <w:numPr>
          <w:ilvl w:val="12"/>
          <w:numId w:val="0"/>
        </w:numPr>
        <w:tabs>
          <w:tab w:val="clear" w:pos="567"/>
        </w:tabs>
        <w:rPr>
          <w:color w:val="000000"/>
          <w:szCs w:val="22"/>
          <w:lang w:val="hr-HR"/>
        </w:rPr>
      </w:pPr>
    </w:p>
    <w:p w14:paraId="23C0BEBD" w14:textId="41569BC3" w:rsidR="00146472" w:rsidRPr="00510442" w:rsidRDefault="00146472" w:rsidP="00DD3502">
      <w:pPr>
        <w:keepNext/>
        <w:keepLines/>
        <w:widowControl w:val="0"/>
        <w:numPr>
          <w:ilvl w:val="12"/>
          <w:numId w:val="0"/>
        </w:numPr>
        <w:tabs>
          <w:tab w:val="clear" w:pos="567"/>
        </w:tabs>
        <w:spacing w:line="240" w:lineRule="auto"/>
        <w:rPr>
          <w:color w:val="000000"/>
          <w:szCs w:val="22"/>
          <w:lang w:val="hr-HR"/>
        </w:rPr>
      </w:pPr>
      <w:r w:rsidRPr="00510442">
        <w:rPr>
          <w:szCs w:val="22"/>
          <w:lang w:val="hr-HR"/>
        </w:rPr>
        <w:t>Za sve informacije o ovom lijeku obratite se lokalnom predstavniku nositelja odobrenja</w:t>
      </w:r>
      <w:r w:rsidRPr="00510442">
        <w:rPr>
          <w:bCs/>
          <w:szCs w:val="22"/>
          <w:lang w:val="hr-HR"/>
        </w:rPr>
        <w:t xml:space="preserve"> za stavljanje lijeka u promet</w:t>
      </w:r>
      <w:r w:rsidRPr="00510442">
        <w:rPr>
          <w:color w:val="000000"/>
          <w:szCs w:val="22"/>
          <w:lang w:val="hr-HR"/>
        </w:rPr>
        <w:t>.</w:t>
      </w:r>
    </w:p>
    <w:p w14:paraId="34621115" w14:textId="77777777" w:rsidR="00146472" w:rsidRPr="00510442" w:rsidRDefault="00146472" w:rsidP="00FB4E6C">
      <w:pPr>
        <w:keepNext/>
        <w:widowControl w:val="0"/>
        <w:tabs>
          <w:tab w:val="clear" w:pos="567"/>
        </w:tabs>
        <w:spacing w:line="240" w:lineRule="auto"/>
        <w:ind w:right="-449"/>
        <w:rPr>
          <w:color w:val="000000"/>
          <w:szCs w:val="22"/>
          <w:lang w:val="hr-HR"/>
        </w:rPr>
      </w:pPr>
    </w:p>
    <w:tbl>
      <w:tblPr>
        <w:tblW w:w="9300" w:type="dxa"/>
        <w:tblLayout w:type="fixed"/>
        <w:tblLook w:val="0000" w:firstRow="0" w:lastRow="0" w:firstColumn="0" w:lastColumn="0" w:noHBand="0" w:noVBand="0"/>
      </w:tblPr>
      <w:tblGrid>
        <w:gridCol w:w="4650"/>
        <w:gridCol w:w="4650"/>
      </w:tblGrid>
      <w:tr w:rsidR="00146472" w:rsidRPr="00510442" w14:paraId="293F9883" w14:textId="77777777" w:rsidTr="00FB4E6C">
        <w:trPr>
          <w:cantSplit/>
        </w:trPr>
        <w:tc>
          <w:tcPr>
            <w:tcW w:w="4650" w:type="dxa"/>
          </w:tcPr>
          <w:p w14:paraId="313623DA" w14:textId="77777777" w:rsidR="00146472" w:rsidRPr="00510442" w:rsidRDefault="00146472" w:rsidP="005E4981">
            <w:pPr>
              <w:rPr>
                <w:b/>
                <w:color w:val="000000"/>
                <w:szCs w:val="22"/>
                <w:lang w:val="hr-HR"/>
              </w:rPr>
            </w:pPr>
            <w:r w:rsidRPr="00510442">
              <w:rPr>
                <w:b/>
                <w:color w:val="000000"/>
                <w:szCs w:val="22"/>
                <w:lang w:val="hr-HR"/>
              </w:rPr>
              <w:t>België/Belgique/Belgien</w:t>
            </w:r>
          </w:p>
          <w:p w14:paraId="050A3824" w14:textId="77777777" w:rsidR="00146472" w:rsidRPr="00510442" w:rsidRDefault="00146472" w:rsidP="005E4981">
            <w:pPr>
              <w:rPr>
                <w:color w:val="000000"/>
                <w:szCs w:val="22"/>
                <w:lang w:val="hr-HR"/>
              </w:rPr>
            </w:pPr>
            <w:r w:rsidRPr="00510442">
              <w:rPr>
                <w:color w:val="000000"/>
                <w:szCs w:val="22"/>
                <w:lang w:val="hr-HR"/>
              </w:rPr>
              <w:t>Novartis Pharma N.V.</w:t>
            </w:r>
          </w:p>
          <w:p w14:paraId="74187DAA" w14:textId="77777777" w:rsidR="00146472" w:rsidRPr="00510442" w:rsidRDefault="00146472" w:rsidP="005E4981">
            <w:pPr>
              <w:rPr>
                <w:color w:val="000000"/>
                <w:szCs w:val="22"/>
                <w:lang w:val="hr-HR"/>
              </w:rPr>
            </w:pPr>
            <w:r w:rsidRPr="00510442">
              <w:rPr>
                <w:color w:val="000000"/>
                <w:szCs w:val="22"/>
                <w:lang w:val="hr-HR"/>
              </w:rPr>
              <w:t>Tél/Tel: +32 2 246 16 11</w:t>
            </w:r>
          </w:p>
          <w:p w14:paraId="6A99D2A0" w14:textId="77777777" w:rsidR="00146472" w:rsidRPr="00510442" w:rsidRDefault="00146472" w:rsidP="005E4981">
            <w:pPr>
              <w:rPr>
                <w:b/>
                <w:color w:val="000000"/>
                <w:szCs w:val="22"/>
                <w:lang w:val="hr-HR"/>
              </w:rPr>
            </w:pPr>
          </w:p>
        </w:tc>
        <w:tc>
          <w:tcPr>
            <w:tcW w:w="4650" w:type="dxa"/>
          </w:tcPr>
          <w:p w14:paraId="2A32254F" w14:textId="77777777" w:rsidR="00146472" w:rsidRPr="00510442" w:rsidRDefault="00146472" w:rsidP="005E4981">
            <w:pPr>
              <w:rPr>
                <w:b/>
                <w:color w:val="000000"/>
                <w:szCs w:val="22"/>
                <w:lang w:val="hr-HR"/>
              </w:rPr>
            </w:pPr>
            <w:r w:rsidRPr="00510442">
              <w:rPr>
                <w:b/>
                <w:color w:val="000000"/>
                <w:szCs w:val="22"/>
                <w:lang w:val="hr-HR"/>
              </w:rPr>
              <w:t>Lietuva</w:t>
            </w:r>
          </w:p>
          <w:p w14:paraId="60CE11BA" w14:textId="17CD21BD" w:rsidR="00146472" w:rsidRPr="00510442" w:rsidRDefault="0001298A" w:rsidP="005E4981">
            <w:pPr>
              <w:rPr>
                <w:color w:val="000000"/>
                <w:szCs w:val="22"/>
                <w:lang w:val="hr-HR"/>
              </w:rPr>
            </w:pPr>
            <w:r w:rsidRPr="00510442">
              <w:rPr>
                <w:color w:val="000000"/>
                <w:szCs w:val="22"/>
                <w:lang w:val="hr-HR"/>
              </w:rPr>
              <w:t>SIA Novartis Baltics Lietuvos filialas</w:t>
            </w:r>
          </w:p>
          <w:p w14:paraId="5C8AF817" w14:textId="77777777" w:rsidR="00146472" w:rsidRPr="00510442" w:rsidRDefault="00146472" w:rsidP="005E4981">
            <w:pPr>
              <w:rPr>
                <w:color w:val="000000"/>
                <w:szCs w:val="22"/>
                <w:lang w:val="hr-HR"/>
              </w:rPr>
            </w:pPr>
            <w:r w:rsidRPr="00510442">
              <w:rPr>
                <w:color w:val="000000"/>
                <w:szCs w:val="22"/>
                <w:lang w:val="hr-HR"/>
              </w:rPr>
              <w:t>Tel: +370 5 269 16 50</w:t>
            </w:r>
          </w:p>
          <w:p w14:paraId="5A5C7D4B" w14:textId="77777777" w:rsidR="00146472" w:rsidRPr="00510442" w:rsidRDefault="00146472" w:rsidP="005E4981">
            <w:pPr>
              <w:rPr>
                <w:color w:val="000000"/>
                <w:szCs w:val="22"/>
                <w:lang w:val="hr-HR"/>
              </w:rPr>
            </w:pPr>
          </w:p>
        </w:tc>
      </w:tr>
      <w:tr w:rsidR="00146472" w:rsidRPr="00510442" w14:paraId="2785527B" w14:textId="77777777" w:rsidTr="00FB4E6C">
        <w:trPr>
          <w:cantSplit/>
        </w:trPr>
        <w:tc>
          <w:tcPr>
            <w:tcW w:w="4650" w:type="dxa"/>
          </w:tcPr>
          <w:p w14:paraId="07CAB382" w14:textId="77777777" w:rsidR="00146472" w:rsidRPr="00510442" w:rsidRDefault="00146472" w:rsidP="005E4981">
            <w:pPr>
              <w:rPr>
                <w:b/>
                <w:color w:val="000000"/>
                <w:szCs w:val="22"/>
                <w:lang w:val="hr-HR"/>
              </w:rPr>
            </w:pPr>
            <w:r w:rsidRPr="00510442">
              <w:rPr>
                <w:b/>
                <w:color w:val="000000"/>
                <w:szCs w:val="22"/>
                <w:lang w:val="hr-HR"/>
              </w:rPr>
              <w:t>България</w:t>
            </w:r>
          </w:p>
          <w:p w14:paraId="06553482" w14:textId="77777777" w:rsidR="00146472" w:rsidRPr="00510442" w:rsidRDefault="00D101E5" w:rsidP="005E4981">
            <w:pPr>
              <w:rPr>
                <w:color w:val="000000"/>
                <w:szCs w:val="22"/>
                <w:lang w:val="hr-HR"/>
              </w:rPr>
            </w:pPr>
            <w:r w:rsidRPr="00510442">
              <w:rPr>
                <w:szCs w:val="22"/>
                <w:lang w:val="hr-HR"/>
              </w:rPr>
              <w:t>Novartis Bulgaria EOOD</w:t>
            </w:r>
          </w:p>
          <w:p w14:paraId="0DCC0E23" w14:textId="77777777" w:rsidR="00146472" w:rsidRPr="00510442" w:rsidRDefault="00146472" w:rsidP="005E4981">
            <w:pPr>
              <w:rPr>
                <w:color w:val="000000"/>
                <w:szCs w:val="22"/>
                <w:lang w:val="hr-HR"/>
              </w:rPr>
            </w:pPr>
            <w:r w:rsidRPr="00510442">
              <w:rPr>
                <w:color w:val="000000"/>
                <w:szCs w:val="22"/>
                <w:lang w:val="hr-HR"/>
              </w:rPr>
              <w:t>Тел.: +359 2 489 98 28</w:t>
            </w:r>
          </w:p>
          <w:p w14:paraId="6846FCF3" w14:textId="77777777" w:rsidR="00146472" w:rsidRPr="00510442" w:rsidRDefault="00146472" w:rsidP="005E4981">
            <w:pPr>
              <w:rPr>
                <w:b/>
                <w:color w:val="000000"/>
                <w:szCs w:val="22"/>
                <w:lang w:val="hr-HR"/>
              </w:rPr>
            </w:pPr>
          </w:p>
        </w:tc>
        <w:tc>
          <w:tcPr>
            <w:tcW w:w="4650" w:type="dxa"/>
          </w:tcPr>
          <w:p w14:paraId="0662E4E0" w14:textId="77777777" w:rsidR="00146472" w:rsidRPr="00510442" w:rsidRDefault="00146472" w:rsidP="005E4981">
            <w:pPr>
              <w:rPr>
                <w:b/>
                <w:color w:val="000000"/>
                <w:szCs w:val="22"/>
                <w:lang w:val="hr-HR"/>
              </w:rPr>
            </w:pPr>
            <w:r w:rsidRPr="00510442">
              <w:rPr>
                <w:b/>
                <w:color w:val="000000"/>
                <w:szCs w:val="22"/>
                <w:lang w:val="hr-HR"/>
              </w:rPr>
              <w:t>Luxembourg/Luxemburg</w:t>
            </w:r>
          </w:p>
          <w:p w14:paraId="1AF31CC0" w14:textId="77777777" w:rsidR="00146472" w:rsidRPr="00510442" w:rsidRDefault="00146472" w:rsidP="005E4981">
            <w:pPr>
              <w:rPr>
                <w:color w:val="000000"/>
                <w:szCs w:val="22"/>
                <w:lang w:val="hr-HR"/>
              </w:rPr>
            </w:pPr>
            <w:r w:rsidRPr="00510442">
              <w:rPr>
                <w:color w:val="000000"/>
                <w:szCs w:val="22"/>
                <w:lang w:val="hr-HR"/>
              </w:rPr>
              <w:t>Novartis Pharma N.V.</w:t>
            </w:r>
          </w:p>
          <w:p w14:paraId="7BA2AE24" w14:textId="77777777" w:rsidR="00146472" w:rsidRPr="00510442" w:rsidRDefault="00146472" w:rsidP="005E4981">
            <w:pPr>
              <w:rPr>
                <w:color w:val="000000"/>
                <w:szCs w:val="22"/>
                <w:lang w:val="hr-HR"/>
              </w:rPr>
            </w:pPr>
            <w:r w:rsidRPr="00510442">
              <w:rPr>
                <w:color w:val="000000"/>
                <w:szCs w:val="22"/>
                <w:lang w:val="hr-HR"/>
              </w:rPr>
              <w:t>Tél/Tel: +32 2 246 16 11</w:t>
            </w:r>
          </w:p>
          <w:p w14:paraId="2AFF845B" w14:textId="77777777" w:rsidR="00146472" w:rsidRPr="00510442" w:rsidRDefault="00146472" w:rsidP="005E4981">
            <w:pPr>
              <w:rPr>
                <w:color w:val="000000"/>
                <w:szCs w:val="22"/>
                <w:lang w:val="hr-HR"/>
              </w:rPr>
            </w:pPr>
          </w:p>
        </w:tc>
      </w:tr>
      <w:tr w:rsidR="00146472" w:rsidRPr="00510442" w14:paraId="5A26B35B" w14:textId="77777777" w:rsidTr="00FB4E6C">
        <w:trPr>
          <w:cantSplit/>
        </w:trPr>
        <w:tc>
          <w:tcPr>
            <w:tcW w:w="4650" w:type="dxa"/>
          </w:tcPr>
          <w:p w14:paraId="40B9EDBC" w14:textId="77777777" w:rsidR="00146472" w:rsidRPr="00510442" w:rsidRDefault="00146472" w:rsidP="005E4981">
            <w:pPr>
              <w:rPr>
                <w:b/>
                <w:color w:val="000000"/>
                <w:szCs w:val="22"/>
                <w:lang w:val="hr-HR"/>
              </w:rPr>
            </w:pPr>
            <w:r w:rsidRPr="00510442">
              <w:rPr>
                <w:b/>
                <w:color w:val="000000"/>
                <w:szCs w:val="22"/>
                <w:lang w:val="hr-HR"/>
              </w:rPr>
              <w:t>Česká republika</w:t>
            </w:r>
          </w:p>
          <w:p w14:paraId="37E20FDA" w14:textId="77777777" w:rsidR="00146472" w:rsidRPr="00510442" w:rsidRDefault="00146472" w:rsidP="005E4981">
            <w:pPr>
              <w:rPr>
                <w:color w:val="000000"/>
                <w:szCs w:val="22"/>
                <w:lang w:val="hr-HR"/>
              </w:rPr>
            </w:pPr>
            <w:r w:rsidRPr="00510442">
              <w:rPr>
                <w:color w:val="000000"/>
                <w:szCs w:val="22"/>
                <w:lang w:val="hr-HR"/>
              </w:rPr>
              <w:t>Novartis s.r.o.</w:t>
            </w:r>
          </w:p>
          <w:p w14:paraId="7686EDC4" w14:textId="77777777" w:rsidR="00146472" w:rsidRPr="00510442" w:rsidRDefault="00146472" w:rsidP="005E4981">
            <w:pPr>
              <w:rPr>
                <w:color w:val="000000"/>
                <w:szCs w:val="22"/>
                <w:lang w:val="hr-HR"/>
              </w:rPr>
            </w:pPr>
            <w:r w:rsidRPr="00510442">
              <w:rPr>
                <w:color w:val="000000"/>
                <w:szCs w:val="22"/>
                <w:lang w:val="hr-HR"/>
              </w:rPr>
              <w:t>Tel: +420 225 775 111</w:t>
            </w:r>
          </w:p>
          <w:p w14:paraId="315C74A9" w14:textId="77777777" w:rsidR="00146472" w:rsidRPr="00510442" w:rsidRDefault="00146472" w:rsidP="005E4981">
            <w:pPr>
              <w:rPr>
                <w:b/>
                <w:color w:val="000000"/>
                <w:szCs w:val="22"/>
                <w:lang w:val="hr-HR"/>
              </w:rPr>
            </w:pPr>
          </w:p>
        </w:tc>
        <w:tc>
          <w:tcPr>
            <w:tcW w:w="4650" w:type="dxa"/>
          </w:tcPr>
          <w:p w14:paraId="42F445FF" w14:textId="77777777" w:rsidR="00146472" w:rsidRPr="00510442" w:rsidRDefault="00146472" w:rsidP="005E4981">
            <w:pPr>
              <w:rPr>
                <w:b/>
                <w:color w:val="000000"/>
                <w:szCs w:val="22"/>
                <w:lang w:val="hr-HR"/>
              </w:rPr>
            </w:pPr>
            <w:r w:rsidRPr="00510442">
              <w:rPr>
                <w:b/>
                <w:color w:val="000000"/>
                <w:szCs w:val="22"/>
                <w:lang w:val="hr-HR"/>
              </w:rPr>
              <w:t>Magyarország</w:t>
            </w:r>
          </w:p>
          <w:p w14:paraId="302E0FDE" w14:textId="77777777" w:rsidR="00146472" w:rsidRPr="00510442" w:rsidRDefault="00146472" w:rsidP="005E4981">
            <w:pPr>
              <w:rPr>
                <w:color w:val="000000"/>
                <w:szCs w:val="22"/>
                <w:lang w:val="hr-HR"/>
              </w:rPr>
            </w:pPr>
            <w:r w:rsidRPr="00510442">
              <w:rPr>
                <w:color w:val="000000"/>
                <w:szCs w:val="22"/>
                <w:lang w:val="hr-HR"/>
              </w:rPr>
              <w:t>Novartis Hungária Kft.</w:t>
            </w:r>
          </w:p>
          <w:p w14:paraId="72239562" w14:textId="77777777" w:rsidR="00146472" w:rsidRPr="00510442" w:rsidRDefault="00146472" w:rsidP="005E4981">
            <w:pPr>
              <w:rPr>
                <w:color w:val="000000"/>
                <w:szCs w:val="22"/>
                <w:lang w:val="hr-HR"/>
              </w:rPr>
            </w:pPr>
            <w:r w:rsidRPr="00510442">
              <w:rPr>
                <w:color w:val="000000"/>
                <w:szCs w:val="22"/>
                <w:lang w:val="hr-HR"/>
              </w:rPr>
              <w:t>Tel.: +36 1 457 65 00</w:t>
            </w:r>
          </w:p>
        </w:tc>
      </w:tr>
      <w:tr w:rsidR="00146472" w:rsidRPr="00510442" w14:paraId="1D37D173" w14:textId="77777777" w:rsidTr="00FB4E6C">
        <w:trPr>
          <w:cantSplit/>
        </w:trPr>
        <w:tc>
          <w:tcPr>
            <w:tcW w:w="4650" w:type="dxa"/>
          </w:tcPr>
          <w:p w14:paraId="19BB937C" w14:textId="77777777" w:rsidR="00146472" w:rsidRPr="00510442" w:rsidRDefault="00146472" w:rsidP="005E4981">
            <w:pPr>
              <w:rPr>
                <w:b/>
                <w:color w:val="000000"/>
                <w:szCs w:val="22"/>
                <w:lang w:val="hr-HR"/>
              </w:rPr>
            </w:pPr>
            <w:r w:rsidRPr="00510442">
              <w:rPr>
                <w:b/>
                <w:color w:val="000000"/>
                <w:szCs w:val="22"/>
                <w:lang w:val="hr-HR"/>
              </w:rPr>
              <w:t>Danmark</w:t>
            </w:r>
          </w:p>
          <w:p w14:paraId="4C15C554" w14:textId="77777777" w:rsidR="00146472" w:rsidRPr="00510442" w:rsidRDefault="00146472" w:rsidP="005E4981">
            <w:pPr>
              <w:rPr>
                <w:color w:val="000000"/>
                <w:szCs w:val="22"/>
                <w:lang w:val="hr-HR"/>
              </w:rPr>
            </w:pPr>
            <w:r w:rsidRPr="00510442">
              <w:rPr>
                <w:color w:val="000000"/>
                <w:szCs w:val="22"/>
                <w:lang w:val="hr-HR"/>
              </w:rPr>
              <w:t>Novartis Healthcare A/S</w:t>
            </w:r>
          </w:p>
          <w:p w14:paraId="7A3FF3B7" w14:textId="77777777" w:rsidR="00146472" w:rsidRPr="00510442" w:rsidRDefault="00146472" w:rsidP="005E4981">
            <w:pPr>
              <w:rPr>
                <w:color w:val="000000"/>
                <w:szCs w:val="22"/>
                <w:lang w:val="hr-HR"/>
              </w:rPr>
            </w:pPr>
            <w:r w:rsidRPr="00510442">
              <w:rPr>
                <w:color w:val="000000"/>
                <w:szCs w:val="22"/>
                <w:lang w:val="hr-HR"/>
              </w:rPr>
              <w:t>Tlf: +45 39 16 84 00</w:t>
            </w:r>
          </w:p>
          <w:p w14:paraId="0275A946" w14:textId="77777777" w:rsidR="00146472" w:rsidRPr="00510442" w:rsidRDefault="00146472" w:rsidP="005E4981">
            <w:pPr>
              <w:rPr>
                <w:b/>
                <w:color w:val="000000"/>
                <w:szCs w:val="22"/>
                <w:lang w:val="hr-HR"/>
              </w:rPr>
            </w:pPr>
          </w:p>
        </w:tc>
        <w:tc>
          <w:tcPr>
            <w:tcW w:w="4650" w:type="dxa"/>
          </w:tcPr>
          <w:p w14:paraId="76EB8438" w14:textId="77777777" w:rsidR="00146472" w:rsidRPr="00510442" w:rsidRDefault="00146472" w:rsidP="005E4981">
            <w:pPr>
              <w:rPr>
                <w:b/>
                <w:color w:val="000000"/>
                <w:szCs w:val="22"/>
                <w:lang w:val="hr-HR"/>
              </w:rPr>
            </w:pPr>
            <w:r w:rsidRPr="00510442">
              <w:rPr>
                <w:b/>
                <w:color w:val="000000"/>
                <w:szCs w:val="22"/>
                <w:lang w:val="hr-HR"/>
              </w:rPr>
              <w:t>Malta</w:t>
            </w:r>
          </w:p>
          <w:p w14:paraId="443C557A" w14:textId="77777777" w:rsidR="00146472" w:rsidRPr="00510442" w:rsidRDefault="00146472" w:rsidP="005E4981">
            <w:pPr>
              <w:rPr>
                <w:color w:val="000000"/>
                <w:szCs w:val="22"/>
                <w:lang w:val="hr-HR"/>
              </w:rPr>
            </w:pPr>
            <w:r w:rsidRPr="00510442">
              <w:rPr>
                <w:color w:val="000000"/>
                <w:szCs w:val="22"/>
                <w:lang w:val="hr-HR"/>
              </w:rPr>
              <w:t>Novartis Pharma Services Inc.</w:t>
            </w:r>
          </w:p>
          <w:p w14:paraId="59A800E9" w14:textId="77777777" w:rsidR="00146472" w:rsidRPr="00510442" w:rsidRDefault="00146472" w:rsidP="005E4981">
            <w:pPr>
              <w:rPr>
                <w:color w:val="000000"/>
                <w:szCs w:val="22"/>
                <w:lang w:val="hr-HR"/>
              </w:rPr>
            </w:pPr>
            <w:r w:rsidRPr="00510442">
              <w:rPr>
                <w:color w:val="000000"/>
                <w:szCs w:val="22"/>
                <w:lang w:val="hr-HR"/>
              </w:rPr>
              <w:t>Tel: +356 2122 2872</w:t>
            </w:r>
          </w:p>
        </w:tc>
      </w:tr>
      <w:tr w:rsidR="00146472" w:rsidRPr="00510442" w14:paraId="2C77F7D5" w14:textId="77777777" w:rsidTr="00FB4E6C">
        <w:trPr>
          <w:cantSplit/>
        </w:trPr>
        <w:tc>
          <w:tcPr>
            <w:tcW w:w="4650" w:type="dxa"/>
          </w:tcPr>
          <w:p w14:paraId="016AE459" w14:textId="77777777" w:rsidR="00146472" w:rsidRPr="00510442" w:rsidRDefault="00146472" w:rsidP="005E4981">
            <w:pPr>
              <w:rPr>
                <w:b/>
                <w:color w:val="000000"/>
                <w:szCs w:val="22"/>
                <w:lang w:val="hr-HR"/>
              </w:rPr>
            </w:pPr>
            <w:r w:rsidRPr="00510442">
              <w:rPr>
                <w:b/>
                <w:color w:val="000000"/>
                <w:szCs w:val="22"/>
                <w:lang w:val="hr-HR"/>
              </w:rPr>
              <w:t>Deutschland</w:t>
            </w:r>
          </w:p>
          <w:p w14:paraId="7CC6ED51" w14:textId="77777777" w:rsidR="00146472" w:rsidRPr="00510442" w:rsidRDefault="00146472" w:rsidP="005E4981">
            <w:pPr>
              <w:rPr>
                <w:color w:val="000000"/>
                <w:szCs w:val="22"/>
                <w:lang w:val="hr-HR"/>
              </w:rPr>
            </w:pPr>
            <w:r w:rsidRPr="00510442">
              <w:rPr>
                <w:color w:val="000000"/>
                <w:szCs w:val="22"/>
                <w:lang w:val="hr-HR"/>
              </w:rPr>
              <w:t>Novartis Pharma GmbH</w:t>
            </w:r>
          </w:p>
          <w:p w14:paraId="768B2519" w14:textId="77777777" w:rsidR="00146472" w:rsidRPr="00510442" w:rsidRDefault="00146472" w:rsidP="005E4981">
            <w:pPr>
              <w:rPr>
                <w:color w:val="000000"/>
                <w:szCs w:val="22"/>
                <w:lang w:val="hr-HR"/>
              </w:rPr>
            </w:pPr>
            <w:r w:rsidRPr="00510442">
              <w:rPr>
                <w:color w:val="000000"/>
                <w:szCs w:val="22"/>
                <w:lang w:val="hr-HR"/>
              </w:rPr>
              <w:t>Tel: +49 911 273 0</w:t>
            </w:r>
          </w:p>
          <w:p w14:paraId="531B3262" w14:textId="77777777" w:rsidR="00146472" w:rsidRPr="00510442" w:rsidRDefault="00146472" w:rsidP="005E4981">
            <w:pPr>
              <w:rPr>
                <w:b/>
                <w:color w:val="000000"/>
                <w:szCs w:val="22"/>
                <w:lang w:val="hr-HR"/>
              </w:rPr>
            </w:pPr>
          </w:p>
        </w:tc>
        <w:tc>
          <w:tcPr>
            <w:tcW w:w="4650" w:type="dxa"/>
          </w:tcPr>
          <w:p w14:paraId="5568AEA5" w14:textId="77777777" w:rsidR="00146472" w:rsidRPr="00510442" w:rsidRDefault="00146472" w:rsidP="005E4981">
            <w:pPr>
              <w:rPr>
                <w:b/>
                <w:color w:val="000000"/>
                <w:szCs w:val="22"/>
                <w:lang w:val="hr-HR"/>
              </w:rPr>
            </w:pPr>
            <w:r w:rsidRPr="00510442">
              <w:rPr>
                <w:b/>
                <w:color w:val="000000"/>
                <w:szCs w:val="22"/>
                <w:lang w:val="hr-HR"/>
              </w:rPr>
              <w:t>Nederland</w:t>
            </w:r>
          </w:p>
          <w:p w14:paraId="2C00D000" w14:textId="77777777" w:rsidR="00146472" w:rsidRPr="00510442" w:rsidRDefault="00146472" w:rsidP="005E4981">
            <w:pPr>
              <w:rPr>
                <w:color w:val="000000"/>
                <w:szCs w:val="22"/>
                <w:lang w:val="hr-HR"/>
              </w:rPr>
            </w:pPr>
            <w:r w:rsidRPr="00510442">
              <w:rPr>
                <w:color w:val="000000"/>
                <w:szCs w:val="22"/>
                <w:lang w:val="hr-HR"/>
              </w:rPr>
              <w:t>Novartis Pharma B.V.</w:t>
            </w:r>
          </w:p>
          <w:p w14:paraId="36386498" w14:textId="3394133F" w:rsidR="00146472" w:rsidRPr="00510442" w:rsidRDefault="00146472" w:rsidP="00E52485">
            <w:pPr>
              <w:rPr>
                <w:color w:val="000000"/>
                <w:szCs w:val="22"/>
                <w:lang w:val="hr-HR"/>
              </w:rPr>
            </w:pPr>
            <w:r w:rsidRPr="00510442">
              <w:rPr>
                <w:color w:val="000000"/>
                <w:szCs w:val="22"/>
                <w:lang w:val="hr-HR"/>
              </w:rPr>
              <w:t xml:space="preserve">Tel: +31 </w:t>
            </w:r>
            <w:r w:rsidR="00E52485" w:rsidRPr="006F623A">
              <w:rPr>
                <w:color w:val="000000"/>
                <w:szCs w:val="22"/>
                <w:lang w:val="de-CH"/>
              </w:rPr>
              <w:t>88 04 52</w:t>
            </w:r>
            <w:r w:rsidRPr="00510442">
              <w:rPr>
                <w:color w:val="000000"/>
                <w:szCs w:val="22"/>
                <w:lang w:val="hr-HR"/>
              </w:rPr>
              <w:t xml:space="preserve"> </w:t>
            </w:r>
            <w:r w:rsidR="009F29A1" w:rsidRPr="00510442">
              <w:rPr>
                <w:color w:val="000000"/>
                <w:szCs w:val="22"/>
                <w:lang w:val="hr-HR"/>
              </w:rPr>
              <w:t>555</w:t>
            </w:r>
          </w:p>
        </w:tc>
      </w:tr>
      <w:tr w:rsidR="00146472" w:rsidRPr="00510442" w14:paraId="24EA811F" w14:textId="77777777" w:rsidTr="00FB4E6C">
        <w:trPr>
          <w:cantSplit/>
        </w:trPr>
        <w:tc>
          <w:tcPr>
            <w:tcW w:w="4650" w:type="dxa"/>
          </w:tcPr>
          <w:p w14:paraId="116B6D57" w14:textId="77777777" w:rsidR="00146472" w:rsidRPr="00510442" w:rsidRDefault="00146472" w:rsidP="005E4981">
            <w:pPr>
              <w:rPr>
                <w:b/>
                <w:color w:val="000000"/>
                <w:szCs w:val="22"/>
                <w:lang w:val="hr-HR"/>
              </w:rPr>
            </w:pPr>
            <w:r w:rsidRPr="00510442">
              <w:rPr>
                <w:b/>
                <w:color w:val="000000"/>
                <w:szCs w:val="22"/>
                <w:lang w:val="hr-HR"/>
              </w:rPr>
              <w:lastRenderedPageBreak/>
              <w:t>Eesti</w:t>
            </w:r>
          </w:p>
          <w:p w14:paraId="614E569B" w14:textId="77777777" w:rsidR="00146472" w:rsidRPr="00510442" w:rsidRDefault="0001298A" w:rsidP="005E4981">
            <w:pPr>
              <w:rPr>
                <w:color w:val="000000"/>
                <w:szCs w:val="22"/>
                <w:lang w:val="hr-HR"/>
              </w:rPr>
            </w:pPr>
            <w:r w:rsidRPr="00510442">
              <w:rPr>
                <w:color w:val="000000"/>
                <w:szCs w:val="22"/>
                <w:lang w:val="hr-HR"/>
              </w:rPr>
              <w:t>SIA Novartis Baltics Eesti filiaal</w:t>
            </w:r>
          </w:p>
          <w:p w14:paraId="155D5466" w14:textId="77777777" w:rsidR="00146472" w:rsidRPr="00510442" w:rsidRDefault="00146472" w:rsidP="005E4981">
            <w:pPr>
              <w:rPr>
                <w:color w:val="000000"/>
                <w:szCs w:val="22"/>
                <w:lang w:val="hr-HR"/>
              </w:rPr>
            </w:pPr>
            <w:r w:rsidRPr="00510442">
              <w:rPr>
                <w:color w:val="000000"/>
                <w:szCs w:val="22"/>
                <w:lang w:val="hr-HR"/>
              </w:rPr>
              <w:t>Tel: +372 66 30 810</w:t>
            </w:r>
          </w:p>
          <w:p w14:paraId="387B8999" w14:textId="77777777" w:rsidR="00146472" w:rsidRPr="00510442" w:rsidRDefault="00146472" w:rsidP="005E4981">
            <w:pPr>
              <w:rPr>
                <w:b/>
                <w:color w:val="000000"/>
                <w:szCs w:val="22"/>
                <w:lang w:val="hr-HR"/>
              </w:rPr>
            </w:pPr>
          </w:p>
        </w:tc>
        <w:tc>
          <w:tcPr>
            <w:tcW w:w="4650" w:type="dxa"/>
          </w:tcPr>
          <w:p w14:paraId="765A836D" w14:textId="77777777" w:rsidR="00146472" w:rsidRPr="00510442" w:rsidRDefault="00146472" w:rsidP="005E4981">
            <w:pPr>
              <w:rPr>
                <w:b/>
                <w:color w:val="000000"/>
                <w:szCs w:val="22"/>
                <w:lang w:val="hr-HR"/>
              </w:rPr>
            </w:pPr>
            <w:r w:rsidRPr="00510442">
              <w:rPr>
                <w:b/>
                <w:color w:val="000000"/>
                <w:szCs w:val="22"/>
                <w:lang w:val="hr-HR"/>
              </w:rPr>
              <w:t>Norge</w:t>
            </w:r>
          </w:p>
          <w:p w14:paraId="0970EC6E" w14:textId="77777777" w:rsidR="00146472" w:rsidRPr="00510442" w:rsidRDefault="00146472" w:rsidP="005E4981">
            <w:pPr>
              <w:rPr>
                <w:color w:val="000000"/>
                <w:szCs w:val="22"/>
                <w:lang w:val="hr-HR"/>
              </w:rPr>
            </w:pPr>
            <w:r w:rsidRPr="00510442">
              <w:rPr>
                <w:color w:val="000000"/>
                <w:szCs w:val="22"/>
                <w:lang w:val="hr-HR"/>
              </w:rPr>
              <w:t>Novartis Norge AS</w:t>
            </w:r>
          </w:p>
          <w:p w14:paraId="4C2AE6F1" w14:textId="77777777" w:rsidR="00146472" w:rsidRPr="00510442" w:rsidRDefault="00146472" w:rsidP="005E4981">
            <w:pPr>
              <w:rPr>
                <w:color w:val="000000"/>
                <w:szCs w:val="22"/>
                <w:lang w:val="hr-HR"/>
              </w:rPr>
            </w:pPr>
            <w:r w:rsidRPr="00510442">
              <w:rPr>
                <w:color w:val="000000"/>
                <w:szCs w:val="22"/>
                <w:lang w:val="hr-HR"/>
              </w:rPr>
              <w:t>Tlf: +47 23 05 20 00</w:t>
            </w:r>
          </w:p>
        </w:tc>
      </w:tr>
      <w:tr w:rsidR="00146472" w:rsidRPr="00F410C8" w14:paraId="1529DDD7" w14:textId="77777777" w:rsidTr="00FB4E6C">
        <w:trPr>
          <w:cantSplit/>
        </w:trPr>
        <w:tc>
          <w:tcPr>
            <w:tcW w:w="4650" w:type="dxa"/>
          </w:tcPr>
          <w:p w14:paraId="5368465F" w14:textId="77777777" w:rsidR="00146472" w:rsidRPr="00510442" w:rsidRDefault="00146472" w:rsidP="005E4981">
            <w:pPr>
              <w:rPr>
                <w:b/>
                <w:color w:val="000000"/>
                <w:szCs w:val="22"/>
                <w:lang w:val="hr-HR"/>
              </w:rPr>
            </w:pPr>
            <w:r w:rsidRPr="00510442">
              <w:rPr>
                <w:b/>
                <w:color w:val="000000"/>
                <w:szCs w:val="22"/>
                <w:lang w:val="hr-HR"/>
              </w:rPr>
              <w:t>Ελλάδα</w:t>
            </w:r>
          </w:p>
          <w:p w14:paraId="6260889F" w14:textId="77777777" w:rsidR="00146472" w:rsidRPr="00510442" w:rsidRDefault="00146472" w:rsidP="005E4981">
            <w:pPr>
              <w:rPr>
                <w:color w:val="000000"/>
                <w:szCs w:val="22"/>
                <w:lang w:val="hr-HR"/>
              </w:rPr>
            </w:pPr>
            <w:r w:rsidRPr="00510442">
              <w:rPr>
                <w:color w:val="000000"/>
                <w:szCs w:val="22"/>
                <w:lang w:val="hr-HR"/>
              </w:rPr>
              <w:t>Novartis (Hellas) A.E.B.E.</w:t>
            </w:r>
          </w:p>
          <w:p w14:paraId="2C661AFF" w14:textId="77777777" w:rsidR="00146472" w:rsidRPr="00510442" w:rsidRDefault="00146472" w:rsidP="005E4981">
            <w:pPr>
              <w:rPr>
                <w:color w:val="000000"/>
                <w:szCs w:val="22"/>
                <w:lang w:val="hr-HR"/>
              </w:rPr>
            </w:pPr>
            <w:r w:rsidRPr="00510442">
              <w:rPr>
                <w:color w:val="000000"/>
                <w:szCs w:val="22"/>
                <w:lang w:val="hr-HR"/>
              </w:rPr>
              <w:t>Τηλ: +30 210 281 17 12</w:t>
            </w:r>
          </w:p>
          <w:p w14:paraId="64267D4E" w14:textId="77777777" w:rsidR="00146472" w:rsidRPr="00510442" w:rsidRDefault="00146472" w:rsidP="005E4981">
            <w:pPr>
              <w:rPr>
                <w:b/>
                <w:color w:val="000000"/>
                <w:szCs w:val="22"/>
                <w:lang w:val="hr-HR"/>
              </w:rPr>
            </w:pPr>
          </w:p>
        </w:tc>
        <w:tc>
          <w:tcPr>
            <w:tcW w:w="4650" w:type="dxa"/>
          </w:tcPr>
          <w:p w14:paraId="33A1FCEB" w14:textId="77777777" w:rsidR="00146472" w:rsidRPr="00510442" w:rsidRDefault="00146472" w:rsidP="005E4981">
            <w:pPr>
              <w:rPr>
                <w:b/>
                <w:color w:val="000000"/>
                <w:szCs w:val="22"/>
                <w:lang w:val="hr-HR"/>
              </w:rPr>
            </w:pPr>
            <w:r w:rsidRPr="00510442">
              <w:rPr>
                <w:b/>
                <w:color w:val="000000"/>
                <w:szCs w:val="22"/>
                <w:lang w:val="hr-HR"/>
              </w:rPr>
              <w:t>Österreich</w:t>
            </w:r>
          </w:p>
          <w:p w14:paraId="68708634" w14:textId="77777777" w:rsidR="00146472" w:rsidRPr="00510442" w:rsidRDefault="00146472" w:rsidP="005E4981">
            <w:pPr>
              <w:rPr>
                <w:color w:val="000000"/>
                <w:szCs w:val="22"/>
                <w:lang w:val="hr-HR"/>
              </w:rPr>
            </w:pPr>
            <w:r w:rsidRPr="00510442">
              <w:rPr>
                <w:color w:val="000000"/>
                <w:szCs w:val="22"/>
                <w:lang w:val="hr-HR"/>
              </w:rPr>
              <w:t>Novartis Pharma GmbH</w:t>
            </w:r>
          </w:p>
          <w:p w14:paraId="3FD979FE" w14:textId="77777777" w:rsidR="00146472" w:rsidRPr="00510442" w:rsidRDefault="00146472" w:rsidP="005E4981">
            <w:pPr>
              <w:rPr>
                <w:color w:val="000000"/>
                <w:szCs w:val="22"/>
                <w:lang w:val="hr-HR"/>
              </w:rPr>
            </w:pPr>
            <w:r w:rsidRPr="00510442">
              <w:rPr>
                <w:color w:val="000000"/>
                <w:szCs w:val="22"/>
                <w:lang w:val="hr-HR"/>
              </w:rPr>
              <w:t>Tel: +43 1 86 6570</w:t>
            </w:r>
          </w:p>
        </w:tc>
      </w:tr>
      <w:tr w:rsidR="00146472" w:rsidRPr="00F410C8" w14:paraId="6C022B58" w14:textId="77777777" w:rsidTr="00FB4E6C">
        <w:trPr>
          <w:cantSplit/>
        </w:trPr>
        <w:tc>
          <w:tcPr>
            <w:tcW w:w="4650" w:type="dxa"/>
          </w:tcPr>
          <w:p w14:paraId="02304F69" w14:textId="77777777" w:rsidR="00146472" w:rsidRPr="00510442" w:rsidRDefault="00146472" w:rsidP="005E4981">
            <w:pPr>
              <w:rPr>
                <w:b/>
                <w:color w:val="000000"/>
                <w:szCs w:val="22"/>
                <w:lang w:val="hr-HR"/>
              </w:rPr>
            </w:pPr>
            <w:r w:rsidRPr="00510442">
              <w:rPr>
                <w:b/>
                <w:color w:val="000000"/>
                <w:szCs w:val="22"/>
                <w:lang w:val="hr-HR"/>
              </w:rPr>
              <w:t>España</w:t>
            </w:r>
          </w:p>
          <w:p w14:paraId="12631B81" w14:textId="77777777" w:rsidR="00146472" w:rsidRPr="00510442" w:rsidRDefault="00146472" w:rsidP="005E4981">
            <w:pPr>
              <w:rPr>
                <w:color w:val="000000"/>
                <w:szCs w:val="22"/>
                <w:lang w:val="hr-HR"/>
              </w:rPr>
            </w:pPr>
            <w:r w:rsidRPr="00510442">
              <w:rPr>
                <w:color w:val="000000"/>
                <w:szCs w:val="22"/>
                <w:lang w:val="hr-HR"/>
              </w:rPr>
              <w:t>Novartis Farmacéutica, S.A.</w:t>
            </w:r>
          </w:p>
          <w:p w14:paraId="7F22EBB8" w14:textId="77777777" w:rsidR="00146472" w:rsidRPr="00510442" w:rsidRDefault="00146472" w:rsidP="005E4981">
            <w:pPr>
              <w:rPr>
                <w:color w:val="000000"/>
                <w:szCs w:val="22"/>
                <w:lang w:val="hr-HR"/>
              </w:rPr>
            </w:pPr>
            <w:r w:rsidRPr="00510442">
              <w:rPr>
                <w:color w:val="000000"/>
                <w:szCs w:val="22"/>
                <w:lang w:val="hr-HR"/>
              </w:rPr>
              <w:t>Tel: +34 93 306 42 00</w:t>
            </w:r>
          </w:p>
          <w:p w14:paraId="79B9EA1A" w14:textId="77777777" w:rsidR="00146472" w:rsidRPr="00510442" w:rsidRDefault="00146472" w:rsidP="005E4981">
            <w:pPr>
              <w:rPr>
                <w:b/>
                <w:color w:val="000000"/>
                <w:szCs w:val="22"/>
                <w:lang w:val="hr-HR"/>
              </w:rPr>
            </w:pPr>
          </w:p>
        </w:tc>
        <w:tc>
          <w:tcPr>
            <w:tcW w:w="4650" w:type="dxa"/>
          </w:tcPr>
          <w:p w14:paraId="6C56D5D0" w14:textId="77777777" w:rsidR="00146472" w:rsidRPr="00510442" w:rsidRDefault="00146472" w:rsidP="005E4981">
            <w:pPr>
              <w:rPr>
                <w:b/>
                <w:color w:val="000000"/>
                <w:szCs w:val="22"/>
                <w:lang w:val="hr-HR"/>
              </w:rPr>
            </w:pPr>
            <w:r w:rsidRPr="00510442">
              <w:rPr>
                <w:b/>
                <w:color w:val="000000"/>
                <w:szCs w:val="22"/>
                <w:lang w:val="hr-HR"/>
              </w:rPr>
              <w:t>Polska</w:t>
            </w:r>
          </w:p>
          <w:p w14:paraId="5A557BD4" w14:textId="77777777" w:rsidR="00146472" w:rsidRPr="00510442" w:rsidRDefault="00146472" w:rsidP="005E4981">
            <w:pPr>
              <w:rPr>
                <w:color w:val="000000"/>
                <w:szCs w:val="22"/>
                <w:lang w:val="hr-HR"/>
              </w:rPr>
            </w:pPr>
            <w:r w:rsidRPr="00510442">
              <w:rPr>
                <w:color w:val="000000"/>
                <w:szCs w:val="22"/>
                <w:lang w:val="hr-HR"/>
              </w:rPr>
              <w:t>Novartis Poland Sp. z o.o.</w:t>
            </w:r>
          </w:p>
          <w:p w14:paraId="1C7C6A2E" w14:textId="77777777" w:rsidR="00146472" w:rsidRPr="00510442" w:rsidRDefault="00146472" w:rsidP="005E4981">
            <w:pPr>
              <w:rPr>
                <w:color w:val="000000"/>
                <w:szCs w:val="22"/>
                <w:lang w:val="hr-HR"/>
              </w:rPr>
            </w:pPr>
            <w:r w:rsidRPr="00510442">
              <w:rPr>
                <w:color w:val="000000"/>
                <w:szCs w:val="22"/>
                <w:lang w:val="hr-HR"/>
              </w:rPr>
              <w:t xml:space="preserve">Tel.: +48 22 </w:t>
            </w:r>
            <w:r w:rsidRPr="00510442">
              <w:rPr>
                <w:szCs w:val="22"/>
                <w:lang w:val="hr-HR"/>
              </w:rPr>
              <w:t>375 4888</w:t>
            </w:r>
          </w:p>
        </w:tc>
      </w:tr>
      <w:tr w:rsidR="00146472" w:rsidRPr="00510442" w14:paraId="52540C78" w14:textId="77777777" w:rsidTr="00FB4E6C">
        <w:trPr>
          <w:cantSplit/>
        </w:trPr>
        <w:tc>
          <w:tcPr>
            <w:tcW w:w="4650" w:type="dxa"/>
          </w:tcPr>
          <w:p w14:paraId="2A45B77F" w14:textId="77777777" w:rsidR="00146472" w:rsidRPr="00510442" w:rsidRDefault="00146472" w:rsidP="005E4981">
            <w:pPr>
              <w:rPr>
                <w:b/>
                <w:color w:val="000000"/>
                <w:szCs w:val="22"/>
                <w:lang w:val="hr-HR"/>
              </w:rPr>
            </w:pPr>
            <w:r w:rsidRPr="00510442">
              <w:rPr>
                <w:b/>
                <w:color w:val="000000"/>
                <w:szCs w:val="22"/>
                <w:lang w:val="hr-HR"/>
              </w:rPr>
              <w:t>France</w:t>
            </w:r>
          </w:p>
          <w:p w14:paraId="4F9D4599" w14:textId="77777777" w:rsidR="00146472" w:rsidRPr="00510442" w:rsidRDefault="00146472" w:rsidP="005E4981">
            <w:pPr>
              <w:rPr>
                <w:color w:val="000000"/>
                <w:szCs w:val="22"/>
                <w:lang w:val="hr-HR"/>
              </w:rPr>
            </w:pPr>
            <w:r w:rsidRPr="00510442">
              <w:rPr>
                <w:color w:val="000000"/>
                <w:szCs w:val="22"/>
                <w:lang w:val="hr-HR"/>
              </w:rPr>
              <w:t>Novartis Pharma S.A.S.</w:t>
            </w:r>
          </w:p>
          <w:p w14:paraId="5F83DCD7" w14:textId="77777777" w:rsidR="00146472" w:rsidRPr="00510442" w:rsidRDefault="00146472" w:rsidP="005E4981">
            <w:pPr>
              <w:rPr>
                <w:color w:val="000000"/>
                <w:szCs w:val="22"/>
                <w:lang w:val="hr-HR"/>
              </w:rPr>
            </w:pPr>
            <w:r w:rsidRPr="00510442">
              <w:rPr>
                <w:color w:val="000000"/>
                <w:szCs w:val="22"/>
                <w:lang w:val="hr-HR"/>
              </w:rPr>
              <w:t>Tél: +33 1 55 47 66 00</w:t>
            </w:r>
          </w:p>
          <w:p w14:paraId="60BC1146" w14:textId="77777777" w:rsidR="00146472" w:rsidRPr="00510442" w:rsidRDefault="00146472" w:rsidP="005E4981">
            <w:pPr>
              <w:rPr>
                <w:b/>
                <w:color w:val="000000"/>
                <w:szCs w:val="22"/>
                <w:lang w:val="hr-HR"/>
              </w:rPr>
            </w:pPr>
          </w:p>
        </w:tc>
        <w:tc>
          <w:tcPr>
            <w:tcW w:w="4650" w:type="dxa"/>
          </w:tcPr>
          <w:p w14:paraId="29EF9D39" w14:textId="77777777" w:rsidR="00146472" w:rsidRPr="00510442" w:rsidRDefault="00146472" w:rsidP="005E4981">
            <w:pPr>
              <w:rPr>
                <w:b/>
                <w:color w:val="000000"/>
                <w:szCs w:val="22"/>
                <w:lang w:val="hr-HR"/>
              </w:rPr>
            </w:pPr>
            <w:r w:rsidRPr="00510442">
              <w:rPr>
                <w:b/>
                <w:color w:val="000000"/>
                <w:szCs w:val="22"/>
                <w:lang w:val="hr-HR"/>
              </w:rPr>
              <w:t>Portugal</w:t>
            </w:r>
          </w:p>
          <w:p w14:paraId="686F51AC" w14:textId="77777777" w:rsidR="00146472" w:rsidRPr="00510442" w:rsidRDefault="00146472" w:rsidP="005E4981">
            <w:pPr>
              <w:rPr>
                <w:color w:val="000000"/>
                <w:szCs w:val="22"/>
                <w:lang w:val="hr-HR"/>
              </w:rPr>
            </w:pPr>
            <w:r w:rsidRPr="00510442">
              <w:rPr>
                <w:color w:val="000000"/>
                <w:szCs w:val="22"/>
                <w:lang w:val="hr-HR"/>
              </w:rPr>
              <w:t>Novartis Farma - Produtos Farmacêuticos, S.A.</w:t>
            </w:r>
          </w:p>
          <w:p w14:paraId="119D15A5" w14:textId="77777777" w:rsidR="00146472" w:rsidRPr="00510442" w:rsidRDefault="00146472" w:rsidP="005E4981">
            <w:pPr>
              <w:rPr>
                <w:color w:val="000000"/>
                <w:szCs w:val="22"/>
                <w:lang w:val="hr-HR"/>
              </w:rPr>
            </w:pPr>
            <w:r w:rsidRPr="00510442">
              <w:rPr>
                <w:color w:val="000000"/>
                <w:szCs w:val="22"/>
                <w:lang w:val="hr-HR"/>
              </w:rPr>
              <w:t>Tel: +351 21 000 8600</w:t>
            </w:r>
          </w:p>
        </w:tc>
      </w:tr>
      <w:tr w:rsidR="00146472" w:rsidRPr="00510442" w14:paraId="683C09E1" w14:textId="77777777" w:rsidTr="00FB4E6C">
        <w:trPr>
          <w:cantSplit/>
        </w:trPr>
        <w:tc>
          <w:tcPr>
            <w:tcW w:w="4650" w:type="dxa"/>
          </w:tcPr>
          <w:p w14:paraId="7D6F33E7" w14:textId="77777777" w:rsidR="00146472" w:rsidRPr="00510442" w:rsidRDefault="00146472" w:rsidP="005E4981">
            <w:pPr>
              <w:rPr>
                <w:rFonts w:eastAsia="PMingLiU"/>
                <w:b/>
                <w:szCs w:val="22"/>
                <w:lang w:val="hr-HR"/>
              </w:rPr>
            </w:pPr>
            <w:r w:rsidRPr="00510442">
              <w:rPr>
                <w:rFonts w:eastAsia="PMingLiU"/>
                <w:b/>
                <w:szCs w:val="22"/>
                <w:lang w:val="hr-HR"/>
              </w:rPr>
              <w:t>Hrvatska</w:t>
            </w:r>
          </w:p>
          <w:p w14:paraId="2E271CBB" w14:textId="77777777" w:rsidR="00146472" w:rsidRPr="00510442" w:rsidRDefault="00146472" w:rsidP="005E4981">
            <w:pPr>
              <w:rPr>
                <w:szCs w:val="22"/>
                <w:lang w:val="hr-HR"/>
              </w:rPr>
            </w:pPr>
            <w:r w:rsidRPr="00510442">
              <w:rPr>
                <w:szCs w:val="22"/>
                <w:lang w:val="hr-HR"/>
              </w:rPr>
              <w:t>Novartis Hrvatska d.o.o.</w:t>
            </w:r>
          </w:p>
          <w:p w14:paraId="2D85F67F" w14:textId="77777777" w:rsidR="00146472" w:rsidRPr="00510442" w:rsidRDefault="00146472" w:rsidP="005E4981">
            <w:pPr>
              <w:rPr>
                <w:szCs w:val="22"/>
                <w:lang w:val="hr-HR"/>
              </w:rPr>
            </w:pPr>
            <w:r w:rsidRPr="00510442">
              <w:rPr>
                <w:szCs w:val="22"/>
                <w:lang w:val="hr-HR"/>
              </w:rPr>
              <w:t>Tel. +385 1 6274 220</w:t>
            </w:r>
          </w:p>
          <w:p w14:paraId="074E2155" w14:textId="77777777" w:rsidR="00146472" w:rsidRPr="00510442" w:rsidRDefault="00146472" w:rsidP="005E4981">
            <w:pPr>
              <w:rPr>
                <w:b/>
                <w:color w:val="000000"/>
                <w:szCs w:val="22"/>
                <w:lang w:val="hr-HR"/>
              </w:rPr>
            </w:pPr>
          </w:p>
        </w:tc>
        <w:tc>
          <w:tcPr>
            <w:tcW w:w="4650" w:type="dxa"/>
          </w:tcPr>
          <w:p w14:paraId="5B618063" w14:textId="77777777" w:rsidR="00146472" w:rsidRPr="00510442" w:rsidRDefault="00146472" w:rsidP="005E4981">
            <w:pPr>
              <w:rPr>
                <w:b/>
                <w:color w:val="000000"/>
                <w:szCs w:val="22"/>
                <w:lang w:val="hr-HR"/>
              </w:rPr>
            </w:pPr>
            <w:r w:rsidRPr="00510442">
              <w:rPr>
                <w:b/>
                <w:color w:val="000000"/>
                <w:szCs w:val="22"/>
                <w:lang w:val="hr-HR"/>
              </w:rPr>
              <w:t>România</w:t>
            </w:r>
          </w:p>
          <w:p w14:paraId="46872CE2" w14:textId="77777777" w:rsidR="00146472" w:rsidRPr="00510442" w:rsidRDefault="00146472" w:rsidP="005E4981">
            <w:pPr>
              <w:rPr>
                <w:color w:val="000000"/>
                <w:szCs w:val="22"/>
                <w:lang w:val="hr-HR"/>
              </w:rPr>
            </w:pPr>
            <w:r w:rsidRPr="00510442">
              <w:rPr>
                <w:color w:val="000000"/>
                <w:szCs w:val="22"/>
                <w:lang w:val="hr-HR"/>
              </w:rPr>
              <w:t xml:space="preserve">Novartis Pharma Services </w:t>
            </w:r>
            <w:r w:rsidRPr="00510442">
              <w:rPr>
                <w:color w:val="2F2F2F"/>
                <w:szCs w:val="22"/>
                <w:lang w:val="hr-HR"/>
              </w:rPr>
              <w:t>Romania SRL</w:t>
            </w:r>
          </w:p>
          <w:p w14:paraId="4AD1A88D" w14:textId="77777777" w:rsidR="00146472" w:rsidRPr="00510442" w:rsidRDefault="00146472" w:rsidP="005E4981">
            <w:pPr>
              <w:rPr>
                <w:color w:val="000000"/>
                <w:szCs w:val="22"/>
                <w:lang w:val="hr-HR"/>
              </w:rPr>
            </w:pPr>
            <w:r w:rsidRPr="00510442">
              <w:rPr>
                <w:color w:val="000000"/>
                <w:szCs w:val="22"/>
                <w:lang w:val="hr-HR"/>
              </w:rPr>
              <w:t>Tel: +40 21 31299 01</w:t>
            </w:r>
          </w:p>
        </w:tc>
      </w:tr>
      <w:tr w:rsidR="00146472" w:rsidRPr="00510442" w14:paraId="47F3E117" w14:textId="77777777" w:rsidTr="00FB4E6C">
        <w:trPr>
          <w:cantSplit/>
        </w:trPr>
        <w:tc>
          <w:tcPr>
            <w:tcW w:w="4650" w:type="dxa"/>
          </w:tcPr>
          <w:p w14:paraId="6253E2B7" w14:textId="77777777" w:rsidR="00146472" w:rsidRPr="00510442" w:rsidRDefault="00146472" w:rsidP="005E4981">
            <w:pPr>
              <w:rPr>
                <w:b/>
                <w:color w:val="000000"/>
                <w:szCs w:val="22"/>
                <w:lang w:val="hr-HR"/>
              </w:rPr>
            </w:pPr>
            <w:r w:rsidRPr="00510442">
              <w:rPr>
                <w:b/>
                <w:color w:val="000000"/>
                <w:szCs w:val="22"/>
                <w:lang w:val="hr-HR"/>
              </w:rPr>
              <w:t>Ireland</w:t>
            </w:r>
          </w:p>
          <w:p w14:paraId="472D687D" w14:textId="77777777" w:rsidR="00146472" w:rsidRPr="00510442" w:rsidRDefault="00146472" w:rsidP="005E4981">
            <w:pPr>
              <w:rPr>
                <w:color w:val="000000"/>
                <w:szCs w:val="22"/>
                <w:lang w:val="hr-HR"/>
              </w:rPr>
            </w:pPr>
            <w:r w:rsidRPr="00510442">
              <w:rPr>
                <w:color w:val="000000"/>
                <w:szCs w:val="22"/>
                <w:lang w:val="hr-HR"/>
              </w:rPr>
              <w:t>Novartis Ireland Limited</w:t>
            </w:r>
          </w:p>
          <w:p w14:paraId="340E4D5E" w14:textId="77777777" w:rsidR="00146472" w:rsidRPr="00510442" w:rsidRDefault="00146472" w:rsidP="005E4981">
            <w:pPr>
              <w:rPr>
                <w:color w:val="000000"/>
                <w:szCs w:val="22"/>
                <w:lang w:val="hr-HR"/>
              </w:rPr>
            </w:pPr>
            <w:r w:rsidRPr="00510442">
              <w:rPr>
                <w:color w:val="000000"/>
                <w:szCs w:val="22"/>
                <w:lang w:val="hr-HR"/>
              </w:rPr>
              <w:t>Tel: +353 1 260 12 55</w:t>
            </w:r>
          </w:p>
          <w:p w14:paraId="23BACD57" w14:textId="77777777" w:rsidR="00146472" w:rsidRPr="00510442" w:rsidRDefault="00146472" w:rsidP="005E4981">
            <w:pPr>
              <w:rPr>
                <w:b/>
                <w:color w:val="000000"/>
                <w:szCs w:val="22"/>
                <w:lang w:val="hr-HR"/>
              </w:rPr>
            </w:pPr>
          </w:p>
        </w:tc>
        <w:tc>
          <w:tcPr>
            <w:tcW w:w="4650" w:type="dxa"/>
          </w:tcPr>
          <w:p w14:paraId="5064534D" w14:textId="77777777" w:rsidR="00146472" w:rsidRPr="00510442" w:rsidRDefault="00146472" w:rsidP="005E4981">
            <w:pPr>
              <w:rPr>
                <w:b/>
                <w:color w:val="000000"/>
                <w:szCs w:val="22"/>
                <w:lang w:val="hr-HR"/>
              </w:rPr>
            </w:pPr>
            <w:r w:rsidRPr="00510442">
              <w:rPr>
                <w:b/>
                <w:color w:val="000000"/>
                <w:szCs w:val="22"/>
                <w:lang w:val="hr-HR"/>
              </w:rPr>
              <w:t>Slovenija</w:t>
            </w:r>
          </w:p>
          <w:p w14:paraId="33DCA2DD" w14:textId="77777777" w:rsidR="00146472" w:rsidRPr="00510442" w:rsidRDefault="00146472" w:rsidP="005E4981">
            <w:pPr>
              <w:rPr>
                <w:color w:val="000000"/>
                <w:szCs w:val="22"/>
                <w:lang w:val="hr-HR"/>
              </w:rPr>
            </w:pPr>
            <w:r w:rsidRPr="00510442">
              <w:rPr>
                <w:color w:val="000000"/>
                <w:szCs w:val="22"/>
                <w:lang w:val="hr-HR"/>
              </w:rPr>
              <w:t>Novartis Pharma Services Inc.</w:t>
            </w:r>
          </w:p>
          <w:p w14:paraId="3260D5B9" w14:textId="77777777" w:rsidR="00146472" w:rsidRPr="00510442" w:rsidRDefault="00146472" w:rsidP="005E4981">
            <w:pPr>
              <w:rPr>
                <w:color w:val="000000"/>
                <w:szCs w:val="22"/>
                <w:lang w:val="hr-HR"/>
              </w:rPr>
            </w:pPr>
            <w:r w:rsidRPr="00510442">
              <w:rPr>
                <w:color w:val="000000"/>
                <w:szCs w:val="22"/>
                <w:lang w:val="hr-HR"/>
              </w:rPr>
              <w:t>Tel: +386 1 300 75 50</w:t>
            </w:r>
          </w:p>
        </w:tc>
      </w:tr>
      <w:tr w:rsidR="00146472" w:rsidRPr="00510442" w14:paraId="6C27C65D" w14:textId="77777777" w:rsidTr="00FB4E6C">
        <w:trPr>
          <w:cantSplit/>
        </w:trPr>
        <w:tc>
          <w:tcPr>
            <w:tcW w:w="4650" w:type="dxa"/>
          </w:tcPr>
          <w:p w14:paraId="720F02BF" w14:textId="77777777" w:rsidR="00146472" w:rsidRPr="00510442" w:rsidRDefault="00146472" w:rsidP="005E4981">
            <w:pPr>
              <w:rPr>
                <w:b/>
                <w:color w:val="000000"/>
                <w:szCs w:val="22"/>
                <w:lang w:val="hr-HR"/>
              </w:rPr>
            </w:pPr>
            <w:r w:rsidRPr="00510442">
              <w:rPr>
                <w:b/>
                <w:color w:val="000000"/>
                <w:szCs w:val="22"/>
                <w:lang w:val="hr-HR"/>
              </w:rPr>
              <w:t>Ísland</w:t>
            </w:r>
          </w:p>
          <w:p w14:paraId="44E95FF5" w14:textId="77777777" w:rsidR="00146472" w:rsidRPr="00510442" w:rsidRDefault="00146472" w:rsidP="005E4981">
            <w:pPr>
              <w:rPr>
                <w:color w:val="000000"/>
                <w:szCs w:val="22"/>
                <w:lang w:val="hr-HR"/>
              </w:rPr>
            </w:pPr>
            <w:r w:rsidRPr="00510442">
              <w:rPr>
                <w:color w:val="000000"/>
                <w:szCs w:val="22"/>
                <w:lang w:val="hr-HR"/>
              </w:rPr>
              <w:t>Vistor hf.</w:t>
            </w:r>
          </w:p>
          <w:p w14:paraId="48131C89" w14:textId="77777777" w:rsidR="00146472" w:rsidRPr="00510442" w:rsidRDefault="00146472" w:rsidP="005E4981">
            <w:pPr>
              <w:rPr>
                <w:color w:val="000000"/>
                <w:szCs w:val="22"/>
                <w:lang w:val="hr-HR"/>
              </w:rPr>
            </w:pPr>
            <w:r w:rsidRPr="00510442">
              <w:rPr>
                <w:color w:val="000000"/>
                <w:szCs w:val="22"/>
                <w:lang w:val="hr-HR"/>
              </w:rPr>
              <w:t>Sími: +354 535 7000</w:t>
            </w:r>
          </w:p>
          <w:p w14:paraId="203A8824" w14:textId="77777777" w:rsidR="00146472" w:rsidRPr="00510442" w:rsidRDefault="00146472" w:rsidP="005E4981">
            <w:pPr>
              <w:rPr>
                <w:b/>
                <w:color w:val="000000"/>
                <w:szCs w:val="22"/>
                <w:lang w:val="hr-HR"/>
              </w:rPr>
            </w:pPr>
          </w:p>
        </w:tc>
        <w:tc>
          <w:tcPr>
            <w:tcW w:w="4650" w:type="dxa"/>
          </w:tcPr>
          <w:p w14:paraId="008594CA" w14:textId="77777777" w:rsidR="00146472" w:rsidRPr="00510442" w:rsidRDefault="00146472" w:rsidP="005E4981">
            <w:pPr>
              <w:rPr>
                <w:b/>
                <w:color w:val="000000"/>
                <w:szCs w:val="22"/>
                <w:lang w:val="hr-HR"/>
              </w:rPr>
            </w:pPr>
            <w:r w:rsidRPr="00510442">
              <w:rPr>
                <w:b/>
                <w:color w:val="000000"/>
                <w:szCs w:val="22"/>
                <w:lang w:val="hr-HR"/>
              </w:rPr>
              <w:t>Slovenská republika</w:t>
            </w:r>
          </w:p>
          <w:p w14:paraId="1FA9B658" w14:textId="77777777" w:rsidR="00146472" w:rsidRPr="00510442" w:rsidRDefault="00146472" w:rsidP="005E4981">
            <w:pPr>
              <w:rPr>
                <w:color w:val="000000"/>
                <w:szCs w:val="22"/>
                <w:lang w:val="hr-HR"/>
              </w:rPr>
            </w:pPr>
            <w:r w:rsidRPr="00510442">
              <w:rPr>
                <w:color w:val="000000"/>
                <w:szCs w:val="22"/>
                <w:lang w:val="hr-HR"/>
              </w:rPr>
              <w:t>Novartis Slovakia s.r.o.</w:t>
            </w:r>
          </w:p>
          <w:p w14:paraId="4CC500D9" w14:textId="77777777" w:rsidR="00146472" w:rsidRPr="00510442" w:rsidRDefault="00146472" w:rsidP="005E4981">
            <w:pPr>
              <w:rPr>
                <w:color w:val="000000"/>
                <w:szCs w:val="22"/>
                <w:lang w:val="hr-HR"/>
              </w:rPr>
            </w:pPr>
            <w:r w:rsidRPr="00510442">
              <w:rPr>
                <w:color w:val="000000"/>
                <w:szCs w:val="22"/>
                <w:lang w:val="hr-HR"/>
              </w:rPr>
              <w:t>Tel: +421 2 5542 5439</w:t>
            </w:r>
          </w:p>
          <w:p w14:paraId="3CBE509F" w14:textId="77777777" w:rsidR="00146472" w:rsidRPr="00510442" w:rsidRDefault="00146472" w:rsidP="005E4981">
            <w:pPr>
              <w:rPr>
                <w:color w:val="000000"/>
                <w:szCs w:val="22"/>
                <w:lang w:val="hr-HR"/>
              </w:rPr>
            </w:pPr>
          </w:p>
        </w:tc>
      </w:tr>
      <w:tr w:rsidR="00146472" w:rsidRPr="00510442" w14:paraId="39A4B7B8" w14:textId="77777777" w:rsidTr="00FB4E6C">
        <w:trPr>
          <w:cantSplit/>
        </w:trPr>
        <w:tc>
          <w:tcPr>
            <w:tcW w:w="4650" w:type="dxa"/>
          </w:tcPr>
          <w:p w14:paraId="4CF1DF7C" w14:textId="77777777" w:rsidR="00146472" w:rsidRPr="00510442" w:rsidRDefault="00146472" w:rsidP="005E4981">
            <w:pPr>
              <w:rPr>
                <w:b/>
                <w:color w:val="000000"/>
                <w:szCs w:val="22"/>
                <w:lang w:val="hr-HR"/>
              </w:rPr>
            </w:pPr>
            <w:r w:rsidRPr="00510442">
              <w:rPr>
                <w:b/>
                <w:color w:val="000000"/>
                <w:szCs w:val="22"/>
                <w:lang w:val="hr-HR"/>
              </w:rPr>
              <w:t>Italia</w:t>
            </w:r>
          </w:p>
          <w:p w14:paraId="76178211" w14:textId="77777777" w:rsidR="00146472" w:rsidRPr="00510442" w:rsidRDefault="00146472" w:rsidP="005E4981">
            <w:pPr>
              <w:rPr>
                <w:color w:val="000000"/>
                <w:szCs w:val="22"/>
                <w:lang w:val="hr-HR"/>
              </w:rPr>
            </w:pPr>
            <w:r w:rsidRPr="00510442">
              <w:rPr>
                <w:color w:val="000000"/>
                <w:szCs w:val="22"/>
                <w:lang w:val="hr-HR"/>
              </w:rPr>
              <w:t>Novartis Farma S.p.A.</w:t>
            </w:r>
          </w:p>
          <w:p w14:paraId="7EE5C733" w14:textId="77777777" w:rsidR="00146472" w:rsidRPr="00510442" w:rsidRDefault="00146472" w:rsidP="005E4981">
            <w:pPr>
              <w:rPr>
                <w:b/>
                <w:color w:val="000000"/>
                <w:szCs w:val="22"/>
                <w:lang w:val="hr-HR"/>
              </w:rPr>
            </w:pPr>
            <w:r w:rsidRPr="00510442">
              <w:rPr>
                <w:color w:val="000000"/>
                <w:szCs w:val="22"/>
                <w:lang w:val="hr-HR"/>
              </w:rPr>
              <w:t>Tel: +39 02 96 54 1</w:t>
            </w:r>
          </w:p>
        </w:tc>
        <w:tc>
          <w:tcPr>
            <w:tcW w:w="4650" w:type="dxa"/>
          </w:tcPr>
          <w:p w14:paraId="5017E7A3" w14:textId="77777777" w:rsidR="00146472" w:rsidRPr="00510442" w:rsidRDefault="00146472" w:rsidP="005E4981">
            <w:pPr>
              <w:rPr>
                <w:b/>
                <w:color w:val="000000"/>
                <w:szCs w:val="22"/>
                <w:lang w:val="hr-HR"/>
              </w:rPr>
            </w:pPr>
            <w:r w:rsidRPr="00510442">
              <w:rPr>
                <w:b/>
                <w:color w:val="000000"/>
                <w:szCs w:val="22"/>
                <w:lang w:val="hr-HR"/>
              </w:rPr>
              <w:t>Suomi/Finland</w:t>
            </w:r>
          </w:p>
          <w:p w14:paraId="401E38A6" w14:textId="77777777" w:rsidR="00146472" w:rsidRPr="00510442" w:rsidRDefault="00146472" w:rsidP="005E4981">
            <w:pPr>
              <w:rPr>
                <w:color w:val="000000"/>
                <w:szCs w:val="22"/>
                <w:lang w:val="hr-HR"/>
              </w:rPr>
            </w:pPr>
            <w:r w:rsidRPr="00510442">
              <w:rPr>
                <w:color w:val="000000"/>
                <w:szCs w:val="22"/>
                <w:lang w:val="hr-HR"/>
              </w:rPr>
              <w:t>Novartis Finland Oy</w:t>
            </w:r>
          </w:p>
          <w:p w14:paraId="62700960" w14:textId="77777777" w:rsidR="00146472" w:rsidRPr="00510442" w:rsidRDefault="00146472" w:rsidP="005E4981">
            <w:pPr>
              <w:rPr>
                <w:color w:val="000000"/>
                <w:szCs w:val="22"/>
                <w:lang w:val="hr-HR"/>
              </w:rPr>
            </w:pPr>
            <w:r w:rsidRPr="00510442">
              <w:rPr>
                <w:color w:val="000000"/>
                <w:szCs w:val="22"/>
                <w:lang w:val="hr-HR"/>
              </w:rPr>
              <w:t xml:space="preserve">Puh/Tel: </w:t>
            </w:r>
            <w:r w:rsidRPr="00510442">
              <w:rPr>
                <w:color w:val="000000"/>
                <w:szCs w:val="22"/>
                <w:lang w:val="hr-HR" w:bidi="he-IL"/>
              </w:rPr>
              <w:t>+358 (0)10 6133 200</w:t>
            </w:r>
          </w:p>
          <w:p w14:paraId="7F24963E" w14:textId="77777777" w:rsidR="00146472" w:rsidRPr="00510442" w:rsidRDefault="00146472" w:rsidP="005E4981">
            <w:pPr>
              <w:rPr>
                <w:color w:val="000000"/>
                <w:szCs w:val="22"/>
                <w:lang w:val="hr-HR"/>
              </w:rPr>
            </w:pPr>
          </w:p>
        </w:tc>
      </w:tr>
      <w:tr w:rsidR="00146472" w:rsidRPr="00F410C8" w14:paraId="1103772E" w14:textId="77777777" w:rsidTr="00FB4E6C">
        <w:trPr>
          <w:cantSplit/>
        </w:trPr>
        <w:tc>
          <w:tcPr>
            <w:tcW w:w="4650" w:type="dxa"/>
          </w:tcPr>
          <w:p w14:paraId="7F28D698" w14:textId="77777777" w:rsidR="00146472" w:rsidRPr="00510442" w:rsidRDefault="00146472" w:rsidP="005E4981">
            <w:pPr>
              <w:rPr>
                <w:b/>
                <w:color w:val="000000"/>
                <w:szCs w:val="22"/>
                <w:lang w:val="hr-HR"/>
              </w:rPr>
            </w:pPr>
            <w:r w:rsidRPr="00510442">
              <w:rPr>
                <w:b/>
                <w:color w:val="000000"/>
                <w:szCs w:val="22"/>
                <w:lang w:val="hr-HR"/>
              </w:rPr>
              <w:t>Κύπρος</w:t>
            </w:r>
          </w:p>
          <w:p w14:paraId="5CBD93BB" w14:textId="77777777" w:rsidR="00146472" w:rsidRPr="00510442" w:rsidRDefault="00146472" w:rsidP="005E4981">
            <w:pPr>
              <w:rPr>
                <w:color w:val="000000"/>
                <w:szCs w:val="22"/>
                <w:lang w:val="hr-HR"/>
              </w:rPr>
            </w:pPr>
            <w:r w:rsidRPr="00510442">
              <w:rPr>
                <w:color w:val="000000"/>
                <w:szCs w:val="22"/>
                <w:lang w:val="hr-HR" w:bidi="he-IL"/>
              </w:rPr>
              <w:t>Novartis Pharma Services Inc.</w:t>
            </w:r>
          </w:p>
          <w:p w14:paraId="6FD9595A" w14:textId="77777777" w:rsidR="00146472" w:rsidRPr="00510442" w:rsidRDefault="00146472" w:rsidP="005E4981">
            <w:pPr>
              <w:rPr>
                <w:color w:val="000000"/>
                <w:szCs w:val="22"/>
                <w:lang w:val="hr-HR"/>
              </w:rPr>
            </w:pPr>
            <w:r w:rsidRPr="00510442">
              <w:rPr>
                <w:color w:val="000000"/>
                <w:szCs w:val="22"/>
                <w:lang w:val="hr-HR"/>
              </w:rPr>
              <w:t>Τηλ: +357 22 690 690</w:t>
            </w:r>
          </w:p>
          <w:p w14:paraId="0045CB88" w14:textId="77777777" w:rsidR="00146472" w:rsidRPr="00510442" w:rsidRDefault="00146472" w:rsidP="005E4981">
            <w:pPr>
              <w:rPr>
                <w:b/>
                <w:color w:val="000000"/>
                <w:szCs w:val="22"/>
                <w:lang w:val="hr-HR"/>
              </w:rPr>
            </w:pPr>
          </w:p>
        </w:tc>
        <w:tc>
          <w:tcPr>
            <w:tcW w:w="4650" w:type="dxa"/>
          </w:tcPr>
          <w:p w14:paraId="109DE15F" w14:textId="77777777" w:rsidR="00146472" w:rsidRPr="00510442" w:rsidRDefault="00146472" w:rsidP="005E4981">
            <w:pPr>
              <w:rPr>
                <w:b/>
                <w:color w:val="000000"/>
                <w:szCs w:val="22"/>
                <w:lang w:val="hr-HR"/>
              </w:rPr>
            </w:pPr>
            <w:r w:rsidRPr="00510442">
              <w:rPr>
                <w:b/>
                <w:color w:val="000000"/>
                <w:szCs w:val="22"/>
                <w:lang w:val="hr-HR"/>
              </w:rPr>
              <w:t>Sverige</w:t>
            </w:r>
          </w:p>
          <w:p w14:paraId="13DBBF80" w14:textId="77777777" w:rsidR="00146472" w:rsidRPr="00510442" w:rsidRDefault="00146472" w:rsidP="005E4981">
            <w:pPr>
              <w:rPr>
                <w:color w:val="000000"/>
                <w:szCs w:val="22"/>
                <w:lang w:val="hr-HR"/>
              </w:rPr>
            </w:pPr>
            <w:r w:rsidRPr="00510442">
              <w:rPr>
                <w:color w:val="000000"/>
                <w:szCs w:val="22"/>
                <w:lang w:val="hr-HR"/>
              </w:rPr>
              <w:t>Novartis Sverige AB</w:t>
            </w:r>
          </w:p>
          <w:p w14:paraId="704E4601" w14:textId="77777777" w:rsidR="00146472" w:rsidRPr="00510442" w:rsidRDefault="00146472" w:rsidP="005E4981">
            <w:pPr>
              <w:rPr>
                <w:color w:val="000000"/>
                <w:szCs w:val="22"/>
                <w:lang w:val="hr-HR"/>
              </w:rPr>
            </w:pPr>
            <w:r w:rsidRPr="00510442">
              <w:rPr>
                <w:color w:val="000000"/>
                <w:szCs w:val="22"/>
                <w:lang w:val="hr-HR"/>
              </w:rPr>
              <w:t>Tel: +46 8 732 32 00</w:t>
            </w:r>
          </w:p>
          <w:p w14:paraId="05E082B8" w14:textId="77777777" w:rsidR="00146472" w:rsidRPr="00510442" w:rsidRDefault="00146472" w:rsidP="005E4981">
            <w:pPr>
              <w:rPr>
                <w:color w:val="000000"/>
                <w:szCs w:val="22"/>
                <w:lang w:val="hr-HR"/>
              </w:rPr>
            </w:pPr>
          </w:p>
        </w:tc>
      </w:tr>
      <w:tr w:rsidR="00146472" w:rsidRPr="00510442" w14:paraId="03EC1216" w14:textId="77777777" w:rsidTr="00FB4E6C">
        <w:trPr>
          <w:cantSplit/>
        </w:trPr>
        <w:tc>
          <w:tcPr>
            <w:tcW w:w="4650" w:type="dxa"/>
          </w:tcPr>
          <w:p w14:paraId="4CFFEB3D" w14:textId="77777777" w:rsidR="00146472" w:rsidRPr="00510442" w:rsidRDefault="00146472" w:rsidP="005E4981">
            <w:pPr>
              <w:rPr>
                <w:b/>
                <w:color w:val="000000"/>
                <w:szCs w:val="22"/>
                <w:lang w:val="hr-HR"/>
              </w:rPr>
            </w:pPr>
            <w:r w:rsidRPr="00510442">
              <w:rPr>
                <w:b/>
                <w:color w:val="000000"/>
                <w:szCs w:val="22"/>
                <w:lang w:val="hr-HR"/>
              </w:rPr>
              <w:t>Latvija</w:t>
            </w:r>
          </w:p>
          <w:p w14:paraId="10F06099" w14:textId="3E9BC8D9" w:rsidR="00146472" w:rsidRPr="00510442" w:rsidRDefault="0049284D" w:rsidP="005E4981">
            <w:pPr>
              <w:rPr>
                <w:color w:val="000000"/>
                <w:szCs w:val="22"/>
                <w:lang w:val="hr-HR"/>
              </w:rPr>
            </w:pPr>
            <w:r w:rsidRPr="00510442">
              <w:rPr>
                <w:szCs w:val="22"/>
                <w:lang w:val="hr-HR"/>
              </w:rPr>
              <w:t>SIA Novartis Baltics</w:t>
            </w:r>
          </w:p>
          <w:p w14:paraId="70B69476" w14:textId="77777777" w:rsidR="00146472" w:rsidRPr="00510442" w:rsidRDefault="00146472" w:rsidP="005E4981">
            <w:pPr>
              <w:rPr>
                <w:color w:val="000000"/>
                <w:szCs w:val="22"/>
                <w:lang w:val="hr-HR"/>
              </w:rPr>
            </w:pPr>
            <w:r w:rsidRPr="00510442">
              <w:rPr>
                <w:color w:val="000000"/>
                <w:szCs w:val="22"/>
                <w:lang w:val="hr-HR"/>
              </w:rPr>
              <w:t>Tel: +371 67 887 070</w:t>
            </w:r>
          </w:p>
          <w:p w14:paraId="276A6CA1" w14:textId="77777777" w:rsidR="00146472" w:rsidRPr="00510442" w:rsidRDefault="00146472" w:rsidP="005E4981">
            <w:pPr>
              <w:rPr>
                <w:b/>
                <w:color w:val="000000"/>
                <w:szCs w:val="22"/>
                <w:lang w:val="hr-HR"/>
              </w:rPr>
            </w:pPr>
          </w:p>
        </w:tc>
        <w:tc>
          <w:tcPr>
            <w:tcW w:w="4650" w:type="dxa"/>
          </w:tcPr>
          <w:p w14:paraId="38D61669" w14:textId="77777777" w:rsidR="00146472" w:rsidRPr="00510442" w:rsidRDefault="00146472" w:rsidP="005E4981">
            <w:pPr>
              <w:rPr>
                <w:b/>
                <w:color w:val="000000"/>
                <w:szCs w:val="22"/>
                <w:lang w:val="hr-HR"/>
              </w:rPr>
            </w:pPr>
            <w:r w:rsidRPr="00510442">
              <w:rPr>
                <w:b/>
                <w:color w:val="000000"/>
                <w:szCs w:val="22"/>
                <w:lang w:val="hr-HR"/>
              </w:rPr>
              <w:t>United Kingdom</w:t>
            </w:r>
          </w:p>
          <w:p w14:paraId="08267D49" w14:textId="77777777" w:rsidR="00146472" w:rsidRPr="00510442" w:rsidRDefault="00146472" w:rsidP="005E4981">
            <w:pPr>
              <w:rPr>
                <w:color w:val="000000"/>
                <w:szCs w:val="22"/>
                <w:lang w:val="hr-HR"/>
              </w:rPr>
            </w:pPr>
            <w:r w:rsidRPr="00510442">
              <w:rPr>
                <w:color w:val="000000"/>
                <w:szCs w:val="22"/>
                <w:lang w:val="hr-HR"/>
              </w:rPr>
              <w:t>Novartis Pharmaceuticals UK Ltd.</w:t>
            </w:r>
          </w:p>
          <w:p w14:paraId="47A10368" w14:textId="77777777" w:rsidR="00146472" w:rsidRPr="00510442" w:rsidRDefault="00146472" w:rsidP="005E4981">
            <w:pPr>
              <w:rPr>
                <w:color w:val="000000"/>
                <w:szCs w:val="22"/>
                <w:lang w:val="hr-HR"/>
              </w:rPr>
            </w:pPr>
            <w:r w:rsidRPr="00510442">
              <w:rPr>
                <w:color w:val="000000"/>
                <w:szCs w:val="22"/>
                <w:lang w:val="hr-HR"/>
              </w:rPr>
              <w:t>Tel: +44 1276 698370</w:t>
            </w:r>
          </w:p>
          <w:p w14:paraId="070C74DE" w14:textId="77777777" w:rsidR="00146472" w:rsidRPr="00510442" w:rsidRDefault="00146472" w:rsidP="005E4981">
            <w:pPr>
              <w:rPr>
                <w:color w:val="000000"/>
                <w:szCs w:val="22"/>
                <w:lang w:val="hr-HR"/>
              </w:rPr>
            </w:pPr>
          </w:p>
        </w:tc>
      </w:tr>
    </w:tbl>
    <w:p w14:paraId="127E9AA1" w14:textId="77777777" w:rsidR="00146472" w:rsidRPr="00510442" w:rsidRDefault="00146472" w:rsidP="00146472">
      <w:pPr>
        <w:widowControl w:val="0"/>
        <w:tabs>
          <w:tab w:val="clear" w:pos="567"/>
        </w:tabs>
        <w:spacing w:line="240" w:lineRule="auto"/>
        <w:ind w:right="-449"/>
        <w:rPr>
          <w:color w:val="000000"/>
          <w:szCs w:val="22"/>
          <w:lang w:val="hr-HR"/>
        </w:rPr>
      </w:pPr>
    </w:p>
    <w:p w14:paraId="1DFED4A7" w14:textId="77777777" w:rsidR="00146472" w:rsidRPr="00510442" w:rsidRDefault="00146472" w:rsidP="00146472">
      <w:pPr>
        <w:widowControl w:val="0"/>
        <w:numPr>
          <w:ilvl w:val="12"/>
          <w:numId w:val="0"/>
        </w:numPr>
        <w:tabs>
          <w:tab w:val="clear" w:pos="567"/>
        </w:tabs>
        <w:spacing w:line="240" w:lineRule="auto"/>
        <w:ind w:right="-2"/>
        <w:rPr>
          <w:b/>
          <w:color w:val="000000"/>
          <w:szCs w:val="22"/>
          <w:lang w:val="hr-HR"/>
        </w:rPr>
      </w:pPr>
      <w:r w:rsidRPr="00510442">
        <w:rPr>
          <w:b/>
          <w:szCs w:val="22"/>
          <w:lang w:val="hr-HR"/>
        </w:rPr>
        <w:t>Ova uputa je zadnji puta revidirana u</w:t>
      </w:r>
    </w:p>
    <w:p w14:paraId="5430CD0E" w14:textId="77777777" w:rsidR="00146472" w:rsidRPr="00510442" w:rsidRDefault="00146472" w:rsidP="00146472">
      <w:pPr>
        <w:pStyle w:val="Date"/>
        <w:rPr>
          <w:color w:val="000000"/>
          <w:szCs w:val="22"/>
          <w:lang w:val="hr-HR"/>
        </w:rPr>
      </w:pPr>
    </w:p>
    <w:p w14:paraId="6F376960" w14:textId="77777777" w:rsidR="00146472" w:rsidRPr="00510442" w:rsidRDefault="00D345CE" w:rsidP="00146472">
      <w:pPr>
        <w:spacing w:line="240" w:lineRule="auto"/>
        <w:rPr>
          <w:b/>
          <w:szCs w:val="22"/>
          <w:lang w:val="hr-HR"/>
        </w:rPr>
      </w:pPr>
      <w:r w:rsidRPr="00510442">
        <w:rPr>
          <w:b/>
          <w:iCs/>
          <w:szCs w:val="22"/>
          <w:lang w:val="hr-HR"/>
        </w:rPr>
        <w:t xml:space="preserve">Ostali </w:t>
      </w:r>
      <w:r w:rsidR="00146472" w:rsidRPr="00510442">
        <w:rPr>
          <w:b/>
          <w:iCs/>
          <w:szCs w:val="22"/>
          <w:lang w:val="hr-HR"/>
        </w:rPr>
        <w:t>izvori informacija</w:t>
      </w:r>
    </w:p>
    <w:p w14:paraId="3BD2792B" w14:textId="77777777" w:rsidR="00146472" w:rsidRPr="00510442" w:rsidRDefault="00146472" w:rsidP="00146472">
      <w:pPr>
        <w:spacing w:line="240" w:lineRule="auto"/>
        <w:rPr>
          <w:szCs w:val="22"/>
          <w:lang w:val="hr-HR"/>
        </w:rPr>
      </w:pPr>
      <w:r w:rsidRPr="00510442">
        <w:rPr>
          <w:iCs/>
          <w:szCs w:val="22"/>
          <w:lang w:val="hr-HR"/>
        </w:rPr>
        <w:t xml:space="preserve">Detaljnije informacije o ovom lijeku dostupne su na </w:t>
      </w:r>
      <w:r w:rsidR="00D345CE" w:rsidRPr="00510442">
        <w:rPr>
          <w:iCs/>
          <w:szCs w:val="22"/>
          <w:lang w:val="hr-HR"/>
        </w:rPr>
        <w:t xml:space="preserve">internetskoj </w:t>
      </w:r>
      <w:r w:rsidRPr="00510442">
        <w:rPr>
          <w:iCs/>
          <w:szCs w:val="22"/>
          <w:lang w:val="hr-HR"/>
        </w:rPr>
        <w:t xml:space="preserve">stranici Europske agencije za lijekove: </w:t>
      </w:r>
      <w:hyperlink r:id="rId20" w:history="1">
        <w:r w:rsidR="00D345CE" w:rsidRPr="00510442">
          <w:rPr>
            <w:rStyle w:val="Hyperlink"/>
            <w:szCs w:val="22"/>
            <w:lang w:val="hr-HR"/>
          </w:rPr>
          <w:t>http://www.ema.europa.eu</w:t>
        </w:r>
      </w:hyperlink>
      <w:r w:rsidRPr="00510442">
        <w:rPr>
          <w:szCs w:val="22"/>
          <w:lang w:val="hr-HR"/>
        </w:rPr>
        <w:t>.</w:t>
      </w:r>
    </w:p>
    <w:p w14:paraId="147F32AD" w14:textId="77777777" w:rsidR="00146472" w:rsidRPr="00510442" w:rsidRDefault="00146472" w:rsidP="00146472">
      <w:pPr>
        <w:widowControl w:val="0"/>
        <w:tabs>
          <w:tab w:val="clear" w:pos="567"/>
        </w:tabs>
        <w:spacing w:line="240" w:lineRule="auto"/>
        <w:jc w:val="center"/>
        <w:rPr>
          <w:b/>
          <w:color w:val="000000"/>
          <w:szCs w:val="22"/>
          <w:lang w:val="hr-HR"/>
        </w:rPr>
      </w:pPr>
      <w:r w:rsidRPr="00510442">
        <w:rPr>
          <w:szCs w:val="22"/>
          <w:lang w:val="hr-HR"/>
        </w:rPr>
        <w:br w:type="page"/>
      </w:r>
      <w:r w:rsidRPr="00510442">
        <w:rPr>
          <w:b/>
          <w:szCs w:val="22"/>
          <w:lang w:val="hr-HR"/>
        </w:rPr>
        <w:lastRenderedPageBreak/>
        <w:t>Uputa o lijeku: Informacij</w:t>
      </w:r>
      <w:r w:rsidR="00744714" w:rsidRPr="00510442">
        <w:rPr>
          <w:b/>
          <w:szCs w:val="22"/>
          <w:lang w:val="hr-HR"/>
        </w:rPr>
        <w:t>e</w:t>
      </w:r>
      <w:r w:rsidRPr="00510442">
        <w:rPr>
          <w:b/>
          <w:szCs w:val="22"/>
          <w:lang w:val="hr-HR"/>
        </w:rPr>
        <w:t xml:space="preserve"> za </w:t>
      </w:r>
      <w:r w:rsidR="00744714" w:rsidRPr="00510442">
        <w:rPr>
          <w:b/>
          <w:szCs w:val="22"/>
          <w:lang w:val="hr-HR"/>
        </w:rPr>
        <w:t>korisnika</w:t>
      </w:r>
    </w:p>
    <w:p w14:paraId="6EC7D855" w14:textId="77777777" w:rsidR="00146472" w:rsidRPr="00510442" w:rsidRDefault="00146472" w:rsidP="00146472">
      <w:pPr>
        <w:widowControl w:val="0"/>
        <w:tabs>
          <w:tab w:val="clear" w:pos="567"/>
        </w:tabs>
        <w:spacing w:line="240" w:lineRule="auto"/>
        <w:jc w:val="center"/>
        <w:rPr>
          <w:color w:val="000000"/>
          <w:szCs w:val="22"/>
          <w:lang w:val="hr-HR"/>
        </w:rPr>
      </w:pPr>
    </w:p>
    <w:p w14:paraId="03C32BA5" w14:textId="77777777" w:rsidR="00146472" w:rsidRPr="00510442" w:rsidRDefault="00146472" w:rsidP="00DB028B">
      <w:pPr>
        <w:widowControl w:val="0"/>
        <w:tabs>
          <w:tab w:val="clear" w:pos="567"/>
        </w:tabs>
        <w:spacing w:line="240" w:lineRule="auto"/>
        <w:jc w:val="center"/>
        <w:rPr>
          <w:color w:val="000000"/>
          <w:szCs w:val="22"/>
          <w:lang w:val="hr-HR"/>
        </w:rPr>
      </w:pPr>
      <w:r w:rsidRPr="00510442">
        <w:rPr>
          <w:b/>
          <w:color w:val="000000"/>
          <w:szCs w:val="22"/>
          <w:lang w:val="hr-HR"/>
        </w:rPr>
        <w:t>Glivec 100 mg filmom obložene tablete</w:t>
      </w:r>
    </w:p>
    <w:p w14:paraId="0CB2B4CC" w14:textId="05DAFB7A" w:rsidR="00751A4B" w:rsidRPr="00510442" w:rsidRDefault="00751A4B" w:rsidP="00751A4B">
      <w:pPr>
        <w:widowControl w:val="0"/>
        <w:tabs>
          <w:tab w:val="clear" w:pos="567"/>
        </w:tabs>
        <w:spacing w:line="240" w:lineRule="auto"/>
        <w:jc w:val="center"/>
        <w:rPr>
          <w:color w:val="000000"/>
          <w:szCs w:val="22"/>
          <w:lang w:val="hr-HR"/>
        </w:rPr>
      </w:pPr>
      <w:r w:rsidRPr="00510442">
        <w:rPr>
          <w:b/>
          <w:color w:val="000000"/>
          <w:szCs w:val="22"/>
          <w:lang w:val="hr-HR"/>
        </w:rPr>
        <w:t xml:space="preserve">Glivec </w:t>
      </w:r>
      <w:r>
        <w:rPr>
          <w:b/>
          <w:color w:val="000000"/>
          <w:szCs w:val="22"/>
          <w:lang w:val="hr-HR"/>
        </w:rPr>
        <w:t>4</w:t>
      </w:r>
      <w:r w:rsidRPr="00510442">
        <w:rPr>
          <w:b/>
          <w:color w:val="000000"/>
          <w:szCs w:val="22"/>
          <w:lang w:val="hr-HR"/>
        </w:rPr>
        <w:t>00 mg filmom obložene tablete</w:t>
      </w:r>
    </w:p>
    <w:p w14:paraId="716E08AB" w14:textId="77777777" w:rsidR="00146472" w:rsidRPr="00510442" w:rsidRDefault="00146472" w:rsidP="00146472">
      <w:pPr>
        <w:widowControl w:val="0"/>
        <w:tabs>
          <w:tab w:val="clear" w:pos="567"/>
        </w:tabs>
        <w:spacing w:line="240" w:lineRule="auto"/>
        <w:jc w:val="center"/>
        <w:rPr>
          <w:color w:val="000000"/>
          <w:szCs w:val="22"/>
          <w:lang w:val="hr-HR"/>
        </w:rPr>
      </w:pPr>
      <w:r w:rsidRPr="00510442">
        <w:rPr>
          <w:color w:val="000000"/>
          <w:szCs w:val="22"/>
          <w:lang w:val="hr-HR"/>
        </w:rPr>
        <w:t>imatinib</w:t>
      </w:r>
    </w:p>
    <w:p w14:paraId="254F7D03" w14:textId="77777777" w:rsidR="00146472" w:rsidRPr="00510442" w:rsidRDefault="00146472" w:rsidP="00146472">
      <w:pPr>
        <w:widowControl w:val="0"/>
        <w:tabs>
          <w:tab w:val="clear" w:pos="567"/>
        </w:tabs>
        <w:spacing w:line="240" w:lineRule="auto"/>
        <w:jc w:val="center"/>
        <w:rPr>
          <w:color w:val="000000"/>
          <w:szCs w:val="22"/>
          <w:lang w:val="hr-HR"/>
        </w:rPr>
      </w:pPr>
    </w:p>
    <w:p w14:paraId="757B9D59" w14:textId="77777777" w:rsidR="00A84314" w:rsidRPr="00510442" w:rsidRDefault="00C712C6" w:rsidP="00A84314">
      <w:pPr>
        <w:numPr>
          <w:ilvl w:val="12"/>
          <w:numId w:val="0"/>
        </w:numPr>
        <w:tabs>
          <w:tab w:val="clear" w:pos="567"/>
        </w:tabs>
        <w:spacing w:line="240" w:lineRule="auto"/>
        <w:rPr>
          <w:snapToGrid w:val="0"/>
          <w:szCs w:val="22"/>
          <w:lang w:val="hr-HR"/>
        </w:rPr>
      </w:pPr>
      <w:r w:rsidRPr="00510442">
        <w:rPr>
          <w:noProof/>
          <w:snapToGrid w:val="0"/>
          <w:lang w:eastAsia="en-GB"/>
        </w:rPr>
        <w:drawing>
          <wp:inline distT="0" distB="0" distL="0" distR="0" wp14:anchorId="5C84C9AB" wp14:editId="6D39924A">
            <wp:extent cx="198755" cy="174625"/>
            <wp:effectExtent l="0" t="0" r="0" b="0"/>
            <wp:docPr id="9" name="Picture 1" descr="C:\Users\horemansk\AppData\Local\Microsoft\Windows\Temporary Internet Files\Content.Word\BT_1000x858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remansk\AppData\Local\Microsoft\Windows\Temporary Internet Files\Content.Word\BT_1000x858px.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8755" cy="174625"/>
                    </a:xfrm>
                    <a:prstGeom prst="rect">
                      <a:avLst/>
                    </a:prstGeom>
                    <a:noFill/>
                    <a:ln>
                      <a:noFill/>
                    </a:ln>
                  </pic:spPr>
                </pic:pic>
              </a:graphicData>
            </a:graphic>
          </wp:inline>
        </w:drawing>
      </w:r>
      <w:r w:rsidR="00A84314" w:rsidRPr="00510442">
        <w:rPr>
          <w:snapToGrid w:val="0"/>
          <w:szCs w:val="22"/>
          <w:lang w:val="hr-HR"/>
        </w:rPr>
        <w:t>Ovaj je lijek pod dodatnim praćenjem. Time se omogućuje brzo otkrivanje novih sigurnosnih informacija. Prijavom svih sumnji na nuspojavu i Vi možete pomoći. Za postupak prijavljivanja nuspojava, pogledajte dio 4.</w:t>
      </w:r>
    </w:p>
    <w:p w14:paraId="2250678E" w14:textId="77777777" w:rsidR="00146472" w:rsidRPr="00510442" w:rsidRDefault="00146472" w:rsidP="00A91C07">
      <w:pPr>
        <w:widowControl w:val="0"/>
        <w:tabs>
          <w:tab w:val="clear" w:pos="567"/>
        </w:tabs>
        <w:spacing w:line="240" w:lineRule="auto"/>
        <w:rPr>
          <w:color w:val="000000"/>
          <w:szCs w:val="22"/>
          <w:lang w:val="hr-HR"/>
        </w:rPr>
      </w:pPr>
    </w:p>
    <w:p w14:paraId="01A16EC2" w14:textId="77777777" w:rsidR="00146472" w:rsidRPr="00510442" w:rsidRDefault="00146472" w:rsidP="00146472">
      <w:pPr>
        <w:tabs>
          <w:tab w:val="clear" w:pos="567"/>
        </w:tabs>
        <w:autoSpaceDE w:val="0"/>
        <w:autoSpaceDN w:val="0"/>
        <w:adjustRightInd w:val="0"/>
        <w:spacing w:line="240" w:lineRule="auto"/>
        <w:rPr>
          <w:color w:val="000000"/>
          <w:szCs w:val="22"/>
          <w:lang w:val="hr-HR"/>
        </w:rPr>
      </w:pPr>
      <w:r w:rsidRPr="00510442">
        <w:rPr>
          <w:b/>
          <w:szCs w:val="22"/>
          <w:lang w:val="hr-HR"/>
        </w:rPr>
        <w:t>Pažljivo pročitajte cijelu uputu prije nego počnete uzimati ovaj lijek jer sadrži Vama važne podatke</w:t>
      </w:r>
      <w:r w:rsidRPr="00510442">
        <w:rPr>
          <w:b/>
          <w:color w:val="000000"/>
          <w:szCs w:val="22"/>
          <w:lang w:val="hr-HR"/>
        </w:rPr>
        <w:t>.</w:t>
      </w:r>
    </w:p>
    <w:p w14:paraId="2922B67C" w14:textId="77777777" w:rsidR="00146472" w:rsidRPr="00510442" w:rsidRDefault="00146472" w:rsidP="00146472">
      <w:pPr>
        <w:widowControl w:val="0"/>
        <w:numPr>
          <w:ilvl w:val="0"/>
          <w:numId w:val="1"/>
        </w:numPr>
        <w:tabs>
          <w:tab w:val="clear" w:pos="567"/>
        </w:tabs>
        <w:spacing w:line="240" w:lineRule="auto"/>
        <w:ind w:left="567" w:right="-2" w:hanging="567"/>
        <w:rPr>
          <w:color w:val="000000"/>
          <w:szCs w:val="22"/>
          <w:lang w:val="hr-HR"/>
        </w:rPr>
      </w:pPr>
      <w:r w:rsidRPr="00510442">
        <w:rPr>
          <w:szCs w:val="22"/>
          <w:lang w:val="hr-HR"/>
        </w:rPr>
        <w:t>Sačuvajte ovu uputu. Možda ćete je trebati ponovno pročitati</w:t>
      </w:r>
      <w:r w:rsidRPr="00510442">
        <w:rPr>
          <w:color w:val="000000"/>
          <w:szCs w:val="22"/>
          <w:lang w:val="hr-HR"/>
        </w:rPr>
        <w:t>.</w:t>
      </w:r>
    </w:p>
    <w:p w14:paraId="33BF7AC1" w14:textId="77777777" w:rsidR="00146472" w:rsidRPr="00510442" w:rsidRDefault="00146472" w:rsidP="00146472">
      <w:pPr>
        <w:widowControl w:val="0"/>
        <w:numPr>
          <w:ilvl w:val="0"/>
          <w:numId w:val="1"/>
        </w:numPr>
        <w:tabs>
          <w:tab w:val="clear" w:pos="567"/>
        </w:tabs>
        <w:spacing w:line="240" w:lineRule="auto"/>
        <w:ind w:left="567" w:right="-2" w:hanging="567"/>
        <w:rPr>
          <w:color w:val="000000"/>
          <w:szCs w:val="22"/>
          <w:lang w:val="hr-HR"/>
        </w:rPr>
      </w:pPr>
      <w:r w:rsidRPr="00510442">
        <w:rPr>
          <w:szCs w:val="22"/>
          <w:lang w:val="hr-HR"/>
        </w:rPr>
        <w:t>Ako imate dodatnih pitanja, obratite se liječniku, ljekarniku ili medicinskoj sestri</w:t>
      </w:r>
      <w:r w:rsidRPr="00510442">
        <w:rPr>
          <w:color w:val="000000"/>
          <w:szCs w:val="22"/>
          <w:lang w:val="hr-HR"/>
        </w:rPr>
        <w:t>.</w:t>
      </w:r>
    </w:p>
    <w:p w14:paraId="53D51CEF" w14:textId="77777777" w:rsidR="00146472" w:rsidRPr="00510442" w:rsidRDefault="00146472" w:rsidP="00146472">
      <w:pPr>
        <w:widowControl w:val="0"/>
        <w:numPr>
          <w:ilvl w:val="0"/>
          <w:numId w:val="1"/>
        </w:numPr>
        <w:tabs>
          <w:tab w:val="clear" w:pos="567"/>
        </w:tabs>
        <w:spacing w:line="240" w:lineRule="auto"/>
        <w:ind w:left="567" w:right="-2" w:hanging="567"/>
        <w:rPr>
          <w:color w:val="000000"/>
          <w:szCs w:val="22"/>
          <w:lang w:val="hr-HR"/>
        </w:rPr>
      </w:pPr>
      <w:r w:rsidRPr="00510442">
        <w:rPr>
          <w:szCs w:val="22"/>
          <w:lang w:val="hr-HR"/>
        </w:rPr>
        <w:t>Ovaj je lijek propisan samo Vama. Nemojte ga davati drugima. Može im naškoditi, čak i ako su njihovi znakovi bolesti jednaki Vašima</w:t>
      </w:r>
      <w:r w:rsidRPr="00510442">
        <w:rPr>
          <w:color w:val="000000"/>
          <w:szCs w:val="22"/>
          <w:lang w:val="hr-HR"/>
        </w:rPr>
        <w:t>.</w:t>
      </w:r>
    </w:p>
    <w:p w14:paraId="31C3E4B7" w14:textId="77777777" w:rsidR="00146472" w:rsidRPr="00510442" w:rsidRDefault="00146472" w:rsidP="00146472">
      <w:pPr>
        <w:widowControl w:val="0"/>
        <w:numPr>
          <w:ilvl w:val="0"/>
          <w:numId w:val="1"/>
        </w:numPr>
        <w:tabs>
          <w:tab w:val="clear" w:pos="567"/>
        </w:tabs>
        <w:spacing w:line="240" w:lineRule="auto"/>
        <w:ind w:left="567" w:right="-2" w:hanging="567"/>
        <w:rPr>
          <w:color w:val="000000"/>
          <w:szCs w:val="22"/>
          <w:lang w:val="hr-HR"/>
        </w:rPr>
      </w:pPr>
      <w:r w:rsidRPr="00510442">
        <w:rPr>
          <w:color w:val="000000"/>
          <w:szCs w:val="22"/>
          <w:lang w:val="hr-HR"/>
        </w:rPr>
        <w:t>Ako primijetite bilo koju nuspojavu, potrebno je obavijestiti liječnika</w:t>
      </w:r>
      <w:r w:rsidRPr="00510442">
        <w:rPr>
          <w:szCs w:val="22"/>
          <w:lang w:val="hr-HR"/>
        </w:rPr>
        <w:t xml:space="preserve">, </w:t>
      </w:r>
      <w:r w:rsidRPr="00510442">
        <w:rPr>
          <w:color w:val="000000"/>
          <w:szCs w:val="22"/>
          <w:lang w:val="hr-HR"/>
        </w:rPr>
        <w:t>ljekarnika ili medicinsku sestru. To uključuje i svaku moguću nuspojavu koja nije navedena u ovoj uputi.</w:t>
      </w:r>
      <w:r w:rsidR="009F29A1" w:rsidRPr="00510442">
        <w:rPr>
          <w:color w:val="000000"/>
          <w:szCs w:val="22"/>
          <w:lang w:val="hr-HR"/>
        </w:rPr>
        <w:t xml:space="preserve"> Pogledajte dio 4.</w:t>
      </w:r>
    </w:p>
    <w:p w14:paraId="432A0138" w14:textId="77777777" w:rsidR="00146472" w:rsidRPr="00510442" w:rsidRDefault="00146472" w:rsidP="00146472">
      <w:pPr>
        <w:widowControl w:val="0"/>
        <w:numPr>
          <w:ilvl w:val="12"/>
          <w:numId w:val="0"/>
        </w:numPr>
        <w:tabs>
          <w:tab w:val="clear" w:pos="567"/>
        </w:tabs>
        <w:spacing w:line="240" w:lineRule="auto"/>
        <w:ind w:right="-2"/>
        <w:rPr>
          <w:color w:val="000000"/>
          <w:szCs w:val="22"/>
          <w:lang w:val="hr-HR"/>
        </w:rPr>
      </w:pPr>
    </w:p>
    <w:p w14:paraId="3D7D98C9" w14:textId="77777777" w:rsidR="00146472" w:rsidRPr="00510442" w:rsidRDefault="00146472" w:rsidP="00146472">
      <w:pPr>
        <w:widowControl w:val="0"/>
        <w:numPr>
          <w:ilvl w:val="12"/>
          <w:numId w:val="0"/>
        </w:numPr>
        <w:tabs>
          <w:tab w:val="clear" w:pos="567"/>
        </w:tabs>
        <w:spacing w:line="240" w:lineRule="auto"/>
        <w:ind w:right="-2"/>
        <w:rPr>
          <w:color w:val="000000"/>
          <w:szCs w:val="22"/>
          <w:lang w:val="hr-HR"/>
        </w:rPr>
      </w:pPr>
    </w:p>
    <w:p w14:paraId="165B2FE3" w14:textId="77777777" w:rsidR="00146472" w:rsidRPr="00510442" w:rsidRDefault="00146472" w:rsidP="00146472">
      <w:pPr>
        <w:widowControl w:val="0"/>
        <w:numPr>
          <w:ilvl w:val="12"/>
          <w:numId w:val="0"/>
        </w:numPr>
        <w:tabs>
          <w:tab w:val="clear" w:pos="567"/>
        </w:tabs>
        <w:spacing w:line="240" w:lineRule="auto"/>
        <w:ind w:right="-2"/>
        <w:rPr>
          <w:color w:val="000000"/>
          <w:szCs w:val="22"/>
          <w:lang w:val="hr-HR"/>
        </w:rPr>
      </w:pPr>
      <w:r w:rsidRPr="00510442">
        <w:rPr>
          <w:b/>
          <w:szCs w:val="22"/>
          <w:lang w:val="hr-HR"/>
        </w:rPr>
        <w:t>Što se nalazi u ovoj uputi</w:t>
      </w:r>
    </w:p>
    <w:p w14:paraId="4348DB46" w14:textId="77777777" w:rsidR="00146472" w:rsidRPr="00510442" w:rsidRDefault="00146472" w:rsidP="00146472">
      <w:pPr>
        <w:widowControl w:val="0"/>
        <w:numPr>
          <w:ilvl w:val="12"/>
          <w:numId w:val="0"/>
        </w:numPr>
        <w:tabs>
          <w:tab w:val="clear" w:pos="567"/>
        </w:tabs>
        <w:spacing w:line="240" w:lineRule="auto"/>
        <w:ind w:left="567" w:right="-29" w:hanging="567"/>
        <w:rPr>
          <w:color w:val="000000"/>
          <w:szCs w:val="22"/>
          <w:lang w:val="hr-HR"/>
        </w:rPr>
      </w:pPr>
      <w:r w:rsidRPr="00510442">
        <w:rPr>
          <w:color w:val="000000"/>
          <w:szCs w:val="22"/>
          <w:lang w:val="hr-HR"/>
        </w:rPr>
        <w:t>1.</w:t>
      </w:r>
      <w:r w:rsidRPr="00510442">
        <w:rPr>
          <w:color w:val="000000"/>
          <w:szCs w:val="22"/>
          <w:lang w:val="hr-HR"/>
        </w:rPr>
        <w:tab/>
        <w:t xml:space="preserve">Što je Glivec </w:t>
      </w:r>
      <w:r w:rsidRPr="00510442">
        <w:rPr>
          <w:szCs w:val="22"/>
          <w:lang w:val="hr-HR"/>
        </w:rPr>
        <w:t>i za što se koristi</w:t>
      </w:r>
    </w:p>
    <w:p w14:paraId="5D10F507" w14:textId="77777777" w:rsidR="00146472" w:rsidRPr="00510442" w:rsidRDefault="00146472" w:rsidP="00146472">
      <w:pPr>
        <w:widowControl w:val="0"/>
        <w:numPr>
          <w:ilvl w:val="12"/>
          <w:numId w:val="0"/>
        </w:numPr>
        <w:tabs>
          <w:tab w:val="clear" w:pos="567"/>
        </w:tabs>
        <w:spacing w:line="240" w:lineRule="auto"/>
        <w:ind w:left="567" w:right="-29" w:hanging="567"/>
        <w:rPr>
          <w:color w:val="000000"/>
          <w:szCs w:val="22"/>
          <w:lang w:val="hr-HR"/>
        </w:rPr>
      </w:pPr>
      <w:r w:rsidRPr="00510442">
        <w:rPr>
          <w:color w:val="000000"/>
          <w:szCs w:val="22"/>
          <w:lang w:val="hr-HR"/>
        </w:rPr>
        <w:t>2.</w:t>
      </w:r>
      <w:r w:rsidRPr="00510442">
        <w:rPr>
          <w:color w:val="000000"/>
          <w:szCs w:val="22"/>
          <w:lang w:val="hr-HR"/>
        </w:rPr>
        <w:tab/>
      </w:r>
      <w:r w:rsidRPr="00510442">
        <w:rPr>
          <w:szCs w:val="22"/>
          <w:lang w:val="hr-HR"/>
        </w:rPr>
        <w:t>Što morate znati prije nego počnete uzimati</w:t>
      </w:r>
      <w:r w:rsidRPr="00510442">
        <w:rPr>
          <w:color w:val="000000"/>
          <w:szCs w:val="22"/>
          <w:lang w:val="hr-HR"/>
        </w:rPr>
        <w:t xml:space="preserve"> Glivec</w:t>
      </w:r>
    </w:p>
    <w:p w14:paraId="6E94FD42" w14:textId="77777777" w:rsidR="00146472" w:rsidRPr="00510442" w:rsidRDefault="00146472" w:rsidP="00146472">
      <w:pPr>
        <w:widowControl w:val="0"/>
        <w:numPr>
          <w:ilvl w:val="12"/>
          <w:numId w:val="0"/>
        </w:numPr>
        <w:tabs>
          <w:tab w:val="clear" w:pos="567"/>
        </w:tabs>
        <w:spacing w:line="240" w:lineRule="auto"/>
        <w:ind w:left="567" w:right="-29" w:hanging="567"/>
        <w:rPr>
          <w:color w:val="000000"/>
          <w:szCs w:val="22"/>
          <w:lang w:val="hr-HR"/>
        </w:rPr>
      </w:pPr>
      <w:r w:rsidRPr="00510442">
        <w:rPr>
          <w:color w:val="000000"/>
          <w:szCs w:val="22"/>
          <w:lang w:val="hr-HR"/>
        </w:rPr>
        <w:t>3.</w:t>
      </w:r>
      <w:r w:rsidRPr="00510442">
        <w:rPr>
          <w:color w:val="000000"/>
          <w:szCs w:val="22"/>
          <w:lang w:val="hr-HR"/>
        </w:rPr>
        <w:tab/>
      </w:r>
      <w:r w:rsidRPr="00510442">
        <w:rPr>
          <w:szCs w:val="22"/>
          <w:lang w:val="hr-HR"/>
        </w:rPr>
        <w:t>Kako uzimati</w:t>
      </w:r>
      <w:r w:rsidRPr="00510442">
        <w:rPr>
          <w:color w:val="000000"/>
          <w:szCs w:val="22"/>
          <w:lang w:val="hr-HR"/>
        </w:rPr>
        <w:t xml:space="preserve"> Glivec</w:t>
      </w:r>
    </w:p>
    <w:p w14:paraId="64C4C682" w14:textId="77777777" w:rsidR="00146472" w:rsidRPr="00510442" w:rsidRDefault="00146472" w:rsidP="00146472">
      <w:pPr>
        <w:widowControl w:val="0"/>
        <w:numPr>
          <w:ilvl w:val="12"/>
          <w:numId w:val="0"/>
        </w:numPr>
        <w:tabs>
          <w:tab w:val="clear" w:pos="567"/>
        </w:tabs>
        <w:spacing w:line="240" w:lineRule="auto"/>
        <w:ind w:left="567" w:right="-29" w:hanging="567"/>
        <w:rPr>
          <w:color w:val="000000"/>
          <w:szCs w:val="22"/>
          <w:lang w:val="hr-HR"/>
        </w:rPr>
      </w:pPr>
      <w:r w:rsidRPr="00510442">
        <w:rPr>
          <w:color w:val="000000"/>
          <w:szCs w:val="22"/>
          <w:lang w:val="hr-HR"/>
        </w:rPr>
        <w:t>4.</w:t>
      </w:r>
      <w:r w:rsidRPr="00510442">
        <w:rPr>
          <w:color w:val="000000"/>
          <w:szCs w:val="22"/>
          <w:lang w:val="hr-HR"/>
        </w:rPr>
        <w:tab/>
      </w:r>
      <w:r w:rsidRPr="00510442">
        <w:rPr>
          <w:szCs w:val="22"/>
          <w:lang w:val="hr-HR"/>
        </w:rPr>
        <w:t>Moguće nuspojave</w:t>
      </w:r>
    </w:p>
    <w:p w14:paraId="6C005B0A" w14:textId="77777777" w:rsidR="00146472" w:rsidRPr="00510442" w:rsidRDefault="00146472" w:rsidP="00146472">
      <w:pPr>
        <w:widowControl w:val="0"/>
        <w:tabs>
          <w:tab w:val="clear" w:pos="567"/>
        </w:tabs>
        <w:spacing w:line="240" w:lineRule="auto"/>
        <w:ind w:left="567" w:right="-29" w:hanging="567"/>
        <w:rPr>
          <w:color w:val="000000"/>
          <w:szCs w:val="22"/>
          <w:lang w:val="hr-HR"/>
        </w:rPr>
      </w:pPr>
      <w:r w:rsidRPr="00510442">
        <w:rPr>
          <w:color w:val="000000"/>
          <w:szCs w:val="22"/>
          <w:lang w:val="hr-HR"/>
        </w:rPr>
        <w:t>5.</w:t>
      </w:r>
      <w:r w:rsidRPr="00510442">
        <w:rPr>
          <w:color w:val="000000"/>
          <w:szCs w:val="22"/>
          <w:lang w:val="hr-HR"/>
        </w:rPr>
        <w:tab/>
      </w:r>
      <w:r w:rsidRPr="00510442">
        <w:rPr>
          <w:szCs w:val="22"/>
          <w:lang w:val="hr-HR"/>
        </w:rPr>
        <w:t xml:space="preserve">Kako čuvati </w:t>
      </w:r>
      <w:r w:rsidRPr="00510442">
        <w:rPr>
          <w:color w:val="000000"/>
          <w:szCs w:val="22"/>
          <w:lang w:val="hr-HR"/>
        </w:rPr>
        <w:t>Glivec</w:t>
      </w:r>
    </w:p>
    <w:p w14:paraId="64B18B76" w14:textId="77777777" w:rsidR="00146472" w:rsidRPr="00510442" w:rsidRDefault="00146472" w:rsidP="00146472">
      <w:pPr>
        <w:widowControl w:val="0"/>
        <w:tabs>
          <w:tab w:val="clear" w:pos="567"/>
        </w:tabs>
        <w:spacing w:line="240" w:lineRule="auto"/>
        <w:ind w:left="567" w:right="-29" w:hanging="567"/>
        <w:rPr>
          <w:color w:val="000000"/>
          <w:szCs w:val="22"/>
          <w:lang w:val="hr-HR"/>
        </w:rPr>
      </w:pPr>
      <w:r w:rsidRPr="00510442">
        <w:rPr>
          <w:color w:val="000000"/>
          <w:szCs w:val="22"/>
          <w:lang w:val="hr-HR"/>
        </w:rPr>
        <w:t>6.</w:t>
      </w:r>
      <w:r w:rsidRPr="00510442">
        <w:rPr>
          <w:color w:val="000000"/>
          <w:szCs w:val="22"/>
          <w:lang w:val="hr-HR"/>
        </w:rPr>
        <w:tab/>
      </w:r>
      <w:r w:rsidRPr="00510442">
        <w:rPr>
          <w:szCs w:val="22"/>
          <w:lang w:val="hr-HR"/>
        </w:rPr>
        <w:t xml:space="preserve">Sadržaj </w:t>
      </w:r>
      <w:r w:rsidR="009F29A1" w:rsidRPr="00510442">
        <w:rPr>
          <w:szCs w:val="22"/>
          <w:lang w:val="hr-HR"/>
        </w:rPr>
        <w:t xml:space="preserve">pakiranja </w:t>
      </w:r>
      <w:r w:rsidRPr="00510442">
        <w:rPr>
          <w:szCs w:val="22"/>
          <w:lang w:val="hr-HR"/>
        </w:rPr>
        <w:t>i druge informacije</w:t>
      </w:r>
    </w:p>
    <w:p w14:paraId="0A401F63" w14:textId="77777777" w:rsidR="00146472" w:rsidRPr="00510442" w:rsidRDefault="00146472" w:rsidP="00146472">
      <w:pPr>
        <w:widowControl w:val="0"/>
        <w:tabs>
          <w:tab w:val="clear" w:pos="567"/>
        </w:tabs>
        <w:spacing w:line="240" w:lineRule="auto"/>
        <w:ind w:right="-29"/>
        <w:rPr>
          <w:color w:val="000000"/>
          <w:szCs w:val="22"/>
          <w:lang w:val="hr-HR"/>
        </w:rPr>
      </w:pPr>
    </w:p>
    <w:p w14:paraId="5900D38F" w14:textId="77777777" w:rsidR="00146472" w:rsidRPr="00510442" w:rsidRDefault="00146472" w:rsidP="00146472">
      <w:pPr>
        <w:widowControl w:val="0"/>
        <w:tabs>
          <w:tab w:val="clear" w:pos="567"/>
        </w:tabs>
        <w:spacing w:line="240" w:lineRule="auto"/>
        <w:ind w:right="-29"/>
        <w:rPr>
          <w:color w:val="000000"/>
          <w:szCs w:val="22"/>
          <w:lang w:val="hr-HR"/>
        </w:rPr>
      </w:pPr>
    </w:p>
    <w:p w14:paraId="0FC0F071" w14:textId="77777777" w:rsidR="00146472" w:rsidRPr="00510442" w:rsidRDefault="00146472" w:rsidP="00911837">
      <w:pPr>
        <w:keepNext/>
        <w:widowControl w:val="0"/>
        <w:numPr>
          <w:ilvl w:val="12"/>
          <w:numId w:val="0"/>
        </w:numPr>
        <w:tabs>
          <w:tab w:val="clear" w:pos="567"/>
        </w:tabs>
        <w:spacing w:line="240" w:lineRule="auto"/>
        <w:ind w:left="567" w:right="-2" w:hanging="567"/>
        <w:rPr>
          <w:color w:val="000000"/>
          <w:szCs w:val="22"/>
          <w:lang w:val="hr-HR"/>
        </w:rPr>
      </w:pPr>
      <w:r w:rsidRPr="00510442">
        <w:rPr>
          <w:b/>
          <w:color w:val="000000"/>
          <w:szCs w:val="22"/>
          <w:lang w:val="hr-HR"/>
        </w:rPr>
        <w:t>1.</w:t>
      </w:r>
      <w:r w:rsidRPr="00510442">
        <w:rPr>
          <w:b/>
          <w:color w:val="000000"/>
          <w:szCs w:val="22"/>
          <w:lang w:val="hr-HR"/>
        </w:rPr>
        <w:tab/>
        <w:t xml:space="preserve">Što je Glivec </w:t>
      </w:r>
      <w:r w:rsidRPr="00510442">
        <w:rPr>
          <w:b/>
          <w:szCs w:val="22"/>
          <w:lang w:val="hr-HR"/>
        </w:rPr>
        <w:t>i za što se koristi</w:t>
      </w:r>
    </w:p>
    <w:p w14:paraId="77D4CA35" w14:textId="77777777" w:rsidR="00146472" w:rsidRPr="00510442" w:rsidRDefault="00146472" w:rsidP="00911837">
      <w:pPr>
        <w:pStyle w:val="EndnoteText"/>
        <w:keepNext/>
        <w:widowControl w:val="0"/>
        <w:numPr>
          <w:ilvl w:val="12"/>
          <w:numId w:val="0"/>
        </w:numPr>
        <w:tabs>
          <w:tab w:val="clear" w:pos="567"/>
        </w:tabs>
        <w:rPr>
          <w:color w:val="000000"/>
          <w:szCs w:val="22"/>
          <w:lang w:val="hr-HR"/>
        </w:rPr>
      </w:pPr>
    </w:p>
    <w:p w14:paraId="395E4512" w14:textId="77777777" w:rsidR="00146472" w:rsidRPr="00510442" w:rsidRDefault="00146472" w:rsidP="00146472">
      <w:pPr>
        <w:tabs>
          <w:tab w:val="right" w:pos="2964"/>
        </w:tabs>
        <w:spacing w:line="240" w:lineRule="auto"/>
        <w:rPr>
          <w:szCs w:val="22"/>
          <w:lang w:val="hr-HR"/>
        </w:rPr>
      </w:pPr>
      <w:r w:rsidRPr="00510442">
        <w:rPr>
          <w:szCs w:val="22"/>
          <w:lang w:val="hr-HR"/>
        </w:rPr>
        <w:t>Glivec je lijek koji sadrži djelatnu tvar zvanu imatinib. Ovaj lijek djeluje tako da inhibira rast abnormalnih stanica kod niže navedenih bolesti. One obuhvaćaju i neke vrste raka.</w:t>
      </w:r>
    </w:p>
    <w:p w14:paraId="708C9A14" w14:textId="77777777" w:rsidR="00146472" w:rsidRPr="00510442" w:rsidRDefault="00146472" w:rsidP="00146472">
      <w:pPr>
        <w:pStyle w:val="Text"/>
        <w:widowControl w:val="0"/>
        <w:spacing w:before="0"/>
        <w:jc w:val="left"/>
        <w:rPr>
          <w:color w:val="000000"/>
          <w:sz w:val="22"/>
          <w:szCs w:val="22"/>
          <w:lang w:val="hr-HR"/>
        </w:rPr>
      </w:pPr>
    </w:p>
    <w:p w14:paraId="5CFFE999" w14:textId="77777777" w:rsidR="00146472" w:rsidRPr="00510442" w:rsidRDefault="00146472" w:rsidP="00911837">
      <w:pPr>
        <w:keepNext/>
        <w:tabs>
          <w:tab w:val="right" w:pos="2964"/>
        </w:tabs>
        <w:spacing w:line="240" w:lineRule="auto"/>
        <w:rPr>
          <w:b/>
          <w:szCs w:val="22"/>
          <w:lang w:val="hr-HR"/>
        </w:rPr>
      </w:pPr>
      <w:r w:rsidRPr="00510442">
        <w:rPr>
          <w:b/>
          <w:szCs w:val="22"/>
          <w:lang w:val="hr-HR"/>
        </w:rPr>
        <w:t>Glivec se kod odraslih osoba i djece koristi za liječenje:</w:t>
      </w:r>
    </w:p>
    <w:p w14:paraId="60B187FE" w14:textId="77777777" w:rsidR="00146472" w:rsidRPr="00510442" w:rsidRDefault="00146472" w:rsidP="00911837">
      <w:pPr>
        <w:pStyle w:val="Text"/>
        <w:keepNext/>
        <w:widowControl w:val="0"/>
        <w:spacing w:before="0"/>
        <w:jc w:val="left"/>
        <w:rPr>
          <w:color w:val="000000"/>
          <w:sz w:val="22"/>
          <w:szCs w:val="22"/>
          <w:lang w:val="hr-HR"/>
        </w:rPr>
      </w:pPr>
    </w:p>
    <w:p w14:paraId="15BB0D51" w14:textId="77777777" w:rsidR="00146472" w:rsidRPr="00510442" w:rsidRDefault="00146472" w:rsidP="00146472">
      <w:pPr>
        <w:pStyle w:val="Text"/>
        <w:widowControl w:val="0"/>
        <w:numPr>
          <w:ilvl w:val="0"/>
          <w:numId w:val="14"/>
        </w:numPr>
        <w:spacing w:before="0"/>
        <w:ind w:left="567" w:hanging="567"/>
        <w:jc w:val="left"/>
        <w:rPr>
          <w:color w:val="000000"/>
          <w:sz w:val="22"/>
          <w:szCs w:val="22"/>
          <w:lang w:val="hr-HR"/>
        </w:rPr>
      </w:pPr>
      <w:r w:rsidRPr="00510442">
        <w:rPr>
          <w:b/>
          <w:sz w:val="22"/>
          <w:szCs w:val="22"/>
          <w:lang w:val="hr-HR"/>
        </w:rPr>
        <w:t>Kronične mijeloične leukemije (KML).</w:t>
      </w:r>
      <w:r w:rsidRPr="00510442">
        <w:rPr>
          <w:sz w:val="22"/>
          <w:szCs w:val="22"/>
          <w:lang w:val="hr-HR"/>
        </w:rPr>
        <w:t xml:space="preserve"> Leukemija je rak bijelih krvnih stanica. Te bijele krvne stanice obično pomažu tijelu u borbi protiv infekcije. Kronična mijeloična leukemija je oblik leukemije u kojem određene abnormalne bijele krvne stanice (zvane mijeloidne stanice) počinju nekontrolirano rasti.</w:t>
      </w:r>
    </w:p>
    <w:p w14:paraId="43FAA16F" w14:textId="77777777" w:rsidR="00146472" w:rsidRPr="00510442" w:rsidRDefault="00146472" w:rsidP="00146472">
      <w:pPr>
        <w:pStyle w:val="Text"/>
        <w:widowControl w:val="0"/>
        <w:numPr>
          <w:ilvl w:val="0"/>
          <w:numId w:val="14"/>
        </w:numPr>
        <w:spacing w:before="0"/>
        <w:ind w:left="567" w:hanging="567"/>
        <w:jc w:val="left"/>
        <w:rPr>
          <w:color w:val="000000"/>
          <w:sz w:val="22"/>
          <w:szCs w:val="22"/>
          <w:lang w:val="hr-HR"/>
        </w:rPr>
      </w:pPr>
      <w:r w:rsidRPr="00510442">
        <w:rPr>
          <w:b/>
          <w:sz w:val="22"/>
          <w:szCs w:val="22"/>
          <w:lang w:val="hr-HR"/>
        </w:rPr>
        <w:t xml:space="preserve">Akutne limfoblastične leukemije s pozitivnim Philadelphia kromosomom (Ph-pozitivni </w:t>
      </w:r>
      <w:smartTag w:uri="urn:schemas-microsoft-com:office:smarttags" w:element="stockticker">
        <w:r w:rsidRPr="00510442">
          <w:rPr>
            <w:b/>
            <w:sz w:val="22"/>
            <w:szCs w:val="22"/>
            <w:lang w:val="hr-HR"/>
          </w:rPr>
          <w:t>ALL</w:t>
        </w:r>
      </w:smartTag>
      <w:r w:rsidRPr="00510442">
        <w:rPr>
          <w:b/>
          <w:sz w:val="22"/>
          <w:szCs w:val="22"/>
          <w:lang w:val="hr-HR"/>
        </w:rPr>
        <w:t>)</w:t>
      </w:r>
      <w:r w:rsidRPr="00510442">
        <w:rPr>
          <w:sz w:val="22"/>
          <w:szCs w:val="22"/>
          <w:lang w:val="hr-HR"/>
        </w:rPr>
        <w:t>. Leukemija je rak bijelih krvnih stanica. Te bijele krvne stanice obično pomažu tijelu u borbi protiv infekcije. Akutna limfoblastična leukemija je oblik leukemije u kojem određene abnormalne bijele krvne stanice (zvane limfoblasti) počinju nekontrolirano rasti. Glivec inhibira rast ovih stanica.</w:t>
      </w:r>
    </w:p>
    <w:p w14:paraId="01100455" w14:textId="77777777" w:rsidR="00146472" w:rsidRPr="00510442" w:rsidRDefault="00146472" w:rsidP="00146472">
      <w:pPr>
        <w:pStyle w:val="Text"/>
        <w:widowControl w:val="0"/>
        <w:spacing w:before="0"/>
        <w:jc w:val="left"/>
        <w:rPr>
          <w:color w:val="000000"/>
          <w:sz w:val="22"/>
          <w:szCs w:val="22"/>
          <w:lang w:val="hr-HR"/>
        </w:rPr>
      </w:pPr>
    </w:p>
    <w:p w14:paraId="5E82DEA9" w14:textId="77777777" w:rsidR="00146472" w:rsidRPr="00510442" w:rsidRDefault="00146472" w:rsidP="00911837">
      <w:pPr>
        <w:keepNext/>
        <w:tabs>
          <w:tab w:val="right" w:pos="2964"/>
        </w:tabs>
        <w:spacing w:line="240" w:lineRule="auto"/>
        <w:rPr>
          <w:b/>
          <w:szCs w:val="22"/>
          <w:lang w:val="hr-HR"/>
        </w:rPr>
      </w:pPr>
      <w:r w:rsidRPr="00510442">
        <w:rPr>
          <w:b/>
          <w:szCs w:val="22"/>
          <w:lang w:val="hr-HR"/>
        </w:rPr>
        <w:t>Glivec se kod odraslih osoba također koristi za liječenje:</w:t>
      </w:r>
    </w:p>
    <w:p w14:paraId="5DA4D28F" w14:textId="77777777" w:rsidR="00146472" w:rsidRPr="00510442" w:rsidRDefault="00146472" w:rsidP="00911837">
      <w:pPr>
        <w:keepNext/>
        <w:tabs>
          <w:tab w:val="clear" w:pos="567"/>
        </w:tabs>
        <w:spacing w:line="240" w:lineRule="auto"/>
        <w:rPr>
          <w:szCs w:val="22"/>
          <w:lang w:val="hr-HR"/>
        </w:rPr>
      </w:pPr>
    </w:p>
    <w:p w14:paraId="172EA319" w14:textId="77777777" w:rsidR="00146472" w:rsidRPr="00510442" w:rsidRDefault="00146472" w:rsidP="00146472">
      <w:pPr>
        <w:numPr>
          <w:ilvl w:val="0"/>
          <w:numId w:val="14"/>
        </w:numPr>
        <w:tabs>
          <w:tab w:val="clear" w:pos="567"/>
        </w:tabs>
        <w:spacing w:line="240" w:lineRule="auto"/>
        <w:ind w:left="567" w:hanging="567"/>
        <w:rPr>
          <w:szCs w:val="22"/>
          <w:lang w:val="hr-HR"/>
        </w:rPr>
      </w:pPr>
      <w:r w:rsidRPr="00510442">
        <w:rPr>
          <w:b/>
          <w:szCs w:val="22"/>
          <w:lang w:val="hr-HR"/>
        </w:rPr>
        <w:t xml:space="preserve">Mijelodisplastičnih/mijeloproliferativnih bolesti (MDS/MPD). </w:t>
      </w:r>
      <w:r w:rsidRPr="00510442">
        <w:rPr>
          <w:szCs w:val="22"/>
          <w:lang w:val="hr-HR"/>
        </w:rPr>
        <w:t>One čine skupinu bolesti krvi u kojima određene krvne stanice počinju nekontrolirano rasti. Glivec inhibira rast ovih stanica u određenoj podvrsti ovih bolesti.</w:t>
      </w:r>
    </w:p>
    <w:p w14:paraId="7333C62D" w14:textId="77777777" w:rsidR="00146472" w:rsidRPr="00510442" w:rsidRDefault="00146472" w:rsidP="00146472">
      <w:pPr>
        <w:pStyle w:val="Listlevel1"/>
        <w:numPr>
          <w:ilvl w:val="0"/>
          <w:numId w:val="14"/>
        </w:numPr>
        <w:spacing w:before="0" w:after="0"/>
        <w:ind w:left="567" w:hanging="567"/>
        <w:rPr>
          <w:color w:val="000000"/>
          <w:sz w:val="22"/>
          <w:szCs w:val="22"/>
          <w:lang w:val="hr-HR"/>
        </w:rPr>
      </w:pPr>
      <w:r w:rsidRPr="00510442">
        <w:rPr>
          <w:b/>
          <w:sz w:val="22"/>
          <w:szCs w:val="22"/>
          <w:lang w:val="hr-HR"/>
        </w:rPr>
        <w:t>Hipereozinofilnog sindroma (HES) i/ili kronične eozinofilne leukemije (KEL).</w:t>
      </w:r>
      <w:r w:rsidRPr="00510442">
        <w:rPr>
          <w:sz w:val="22"/>
          <w:szCs w:val="22"/>
          <w:lang w:val="hr-HR"/>
        </w:rPr>
        <w:t xml:space="preserve"> To su bolesti krvi u kojima određene krvne stanice (zvane eozinofili) počinju nekontrolirano rasti. Glivec inhibira rast ovih stanica u određenoj podvrsti ovih bolesti.</w:t>
      </w:r>
    </w:p>
    <w:p w14:paraId="2446B338" w14:textId="77777777" w:rsidR="00146472" w:rsidRPr="00510442" w:rsidRDefault="00146472" w:rsidP="00146472">
      <w:pPr>
        <w:pStyle w:val="Text"/>
        <w:widowControl w:val="0"/>
        <w:numPr>
          <w:ilvl w:val="0"/>
          <w:numId w:val="14"/>
        </w:numPr>
        <w:spacing w:before="0"/>
        <w:ind w:left="567" w:hanging="567"/>
        <w:jc w:val="left"/>
        <w:rPr>
          <w:color w:val="000000"/>
          <w:sz w:val="22"/>
          <w:szCs w:val="22"/>
          <w:lang w:val="hr-HR"/>
        </w:rPr>
      </w:pPr>
      <w:r w:rsidRPr="00510442">
        <w:rPr>
          <w:b/>
          <w:sz w:val="22"/>
          <w:szCs w:val="22"/>
          <w:lang w:val="hr-HR"/>
        </w:rPr>
        <w:t>Gastrointestinalnih stromalnih tumora (GIST).</w:t>
      </w:r>
      <w:r w:rsidRPr="00510442">
        <w:rPr>
          <w:sz w:val="22"/>
          <w:szCs w:val="22"/>
          <w:lang w:val="hr-HR"/>
        </w:rPr>
        <w:t xml:space="preserve"> GIST je rak želuca i crijeva. Nastaje zbog nekontroliranog rasta stanica potpornog tkiva tih organa</w:t>
      </w:r>
      <w:r w:rsidRPr="00510442">
        <w:rPr>
          <w:color w:val="000000"/>
          <w:sz w:val="22"/>
          <w:szCs w:val="22"/>
          <w:lang w:val="hr-HR"/>
        </w:rPr>
        <w:t>.</w:t>
      </w:r>
    </w:p>
    <w:p w14:paraId="47564362" w14:textId="77777777" w:rsidR="00146472" w:rsidRPr="00510442" w:rsidRDefault="00146472" w:rsidP="00911837">
      <w:pPr>
        <w:pStyle w:val="Text"/>
        <w:keepNext/>
        <w:keepLines/>
        <w:widowControl w:val="0"/>
        <w:numPr>
          <w:ilvl w:val="0"/>
          <w:numId w:val="14"/>
        </w:numPr>
        <w:spacing w:before="0"/>
        <w:ind w:left="567" w:hanging="567"/>
        <w:jc w:val="left"/>
        <w:rPr>
          <w:color w:val="000000"/>
          <w:sz w:val="22"/>
          <w:szCs w:val="22"/>
          <w:lang w:val="hr-HR"/>
        </w:rPr>
      </w:pPr>
      <w:r w:rsidRPr="00510442">
        <w:rPr>
          <w:b/>
          <w:sz w:val="22"/>
          <w:szCs w:val="22"/>
          <w:lang w:val="hr-HR"/>
        </w:rPr>
        <w:lastRenderedPageBreak/>
        <w:t>Dermatofibrosarkoma protuberans (DFSP).</w:t>
      </w:r>
      <w:r w:rsidRPr="00510442">
        <w:rPr>
          <w:sz w:val="22"/>
          <w:szCs w:val="22"/>
          <w:lang w:val="hr-HR"/>
        </w:rPr>
        <w:t xml:space="preserve"> DFSP je rak tkiva ispod kože u kojem neke stanice počinju nekontrolirano rasti. Glivec inhibira rast ovih stanica</w:t>
      </w:r>
      <w:r w:rsidRPr="00510442">
        <w:rPr>
          <w:color w:val="000000"/>
          <w:sz w:val="22"/>
          <w:szCs w:val="22"/>
          <w:lang w:val="hr-HR"/>
        </w:rPr>
        <w:t>.</w:t>
      </w:r>
    </w:p>
    <w:p w14:paraId="5363F0D9" w14:textId="77777777" w:rsidR="00146472" w:rsidRPr="00510442" w:rsidRDefault="00146472" w:rsidP="00146472">
      <w:pPr>
        <w:pStyle w:val="Text"/>
        <w:widowControl w:val="0"/>
        <w:spacing w:before="0"/>
        <w:jc w:val="left"/>
        <w:rPr>
          <w:color w:val="000000"/>
          <w:sz w:val="22"/>
          <w:szCs w:val="22"/>
          <w:lang w:val="hr-HR"/>
        </w:rPr>
      </w:pPr>
      <w:r w:rsidRPr="00510442">
        <w:rPr>
          <w:sz w:val="22"/>
          <w:szCs w:val="22"/>
          <w:lang w:val="hr-HR"/>
        </w:rPr>
        <w:t>U ostatku ove upute o lijeku koristiti ćemo kratice prilikom spominjanja ovih bolesti</w:t>
      </w:r>
      <w:r w:rsidRPr="00510442">
        <w:rPr>
          <w:color w:val="000000"/>
          <w:sz w:val="22"/>
          <w:szCs w:val="22"/>
          <w:lang w:val="hr-HR"/>
        </w:rPr>
        <w:t>.</w:t>
      </w:r>
    </w:p>
    <w:p w14:paraId="3C1BA467" w14:textId="77777777" w:rsidR="00146472" w:rsidRPr="00510442" w:rsidRDefault="00146472" w:rsidP="00146472">
      <w:pPr>
        <w:pStyle w:val="Text"/>
        <w:widowControl w:val="0"/>
        <w:spacing w:before="0"/>
        <w:jc w:val="left"/>
        <w:rPr>
          <w:color w:val="000000"/>
          <w:sz w:val="22"/>
          <w:szCs w:val="22"/>
          <w:lang w:val="hr-HR"/>
        </w:rPr>
      </w:pPr>
    </w:p>
    <w:p w14:paraId="0B7EC8A8" w14:textId="77777777" w:rsidR="00146472" w:rsidRPr="00510442" w:rsidRDefault="00146472" w:rsidP="00146472">
      <w:pPr>
        <w:pStyle w:val="Text"/>
        <w:widowControl w:val="0"/>
        <w:spacing w:before="0"/>
        <w:jc w:val="left"/>
        <w:rPr>
          <w:color w:val="000000"/>
          <w:sz w:val="22"/>
          <w:szCs w:val="22"/>
          <w:lang w:val="hr-HR"/>
        </w:rPr>
      </w:pPr>
      <w:r w:rsidRPr="00510442">
        <w:rPr>
          <w:sz w:val="22"/>
          <w:szCs w:val="22"/>
          <w:lang w:val="hr-HR"/>
        </w:rPr>
        <w:t>Ako imate bilo kakvih pitanja o tome na koji način djeluje Glivec, ili zašto je taj lijek Vama propisan, obratite se svom liječniku</w:t>
      </w:r>
      <w:r w:rsidRPr="00510442">
        <w:rPr>
          <w:color w:val="000000"/>
          <w:sz w:val="22"/>
          <w:szCs w:val="22"/>
          <w:lang w:val="hr-HR"/>
        </w:rPr>
        <w:t>.</w:t>
      </w:r>
    </w:p>
    <w:p w14:paraId="19E48237" w14:textId="77777777" w:rsidR="00146472" w:rsidRPr="00510442" w:rsidRDefault="00146472" w:rsidP="00146472">
      <w:pPr>
        <w:pStyle w:val="EndnoteText"/>
        <w:widowControl w:val="0"/>
        <w:numPr>
          <w:ilvl w:val="12"/>
          <w:numId w:val="0"/>
        </w:numPr>
        <w:tabs>
          <w:tab w:val="clear" w:pos="567"/>
        </w:tabs>
        <w:rPr>
          <w:color w:val="000000"/>
          <w:szCs w:val="22"/>
          <w:lang w:val="hr-HR"/>
        </w:rPr>
      </w:pPr>
    </w:p>
    <w:p w14:paraId="6E643FC2" w14:textId="77777777" w:rsidR="00146472" w:rsidRPr="00510442" w:rsidRDefault="00146472" w:rsidP="00146472">
      <w:pPr>
        <w:pStyle w:val="EndnoteText"/>
        <w:widowControl w:val="0"/>
        <w:numPr>
          <w:ilvl w:val="12"/>
          <w:numId w:val="0"/>
        </w:numPr>
        <w:tabs>
          <w:tab w:val="clear" w:pos="567"/>
        </w:tabs>
        <w:rPr>
          <w:color w:val="000000"/>
          <w:szCs w:val="22"/>
          <w:lang w:val="hr-HR"/>
        </w:rPr>
      </w:pPr>
    </w:p>
    <w:p w14:paraId="16EEF622" w14:textId="77777777" w:rsidR="00146472" w:rsidRPr="00307897" w:rsidRDefault="00146472" w:rsidP="00911837">
      <w:pPr>
        <w:keepNext/>
        <w:widowControl w:val="0"/>
        <w:numPr>
          <w:ilvl w:val="12"/>
          <w:numId w:val="0"/>
        </w:numPr>
        <w:tabs>
          <w:tab w:val="clear" w:pos="567"/>
        </w:tabs>
        <w:spacing w:line="240" w:lineRule="auto"/>
        <w:ind w:left="567" w:right="-2" w:hanging="567"/>
        <w:rPr>
          <w:b/>
          <w:color w:val="000000"/>
          <w:szCs w:val="22"/>
          <w:lang w:val="hr-HR"/>
        </w:rPr>
      </w:pPr>
      <w:r w:rsidRPr="00510442">
        <w:rPr>
          <w:b/>
          <w:color w:val="000000"/>
          <w:szCs w:val="22"/>
          <w:lang w:val="hr-HR"/>
        </w:rPr>
        <w:t>2.</w:t>
      </w:r>
      <w:r w:rsidRPr="00510442">
        <w:rPr>
          <w:b/>
          <w:color w:val="000000"/>
          <w:szCs w:val="22"/>
          <w:lang w:val="hr-HR"/>
        </w:rPr>
        <w:tab/>
      </w:r>
      <w:r w:rsidR="00744714" w:rsidRPr="00510442">
        <w:rPr>
          <w:b/>
          <w:lang w:val="hr-HR"/>
        </w:rPr>
        <w:t>Što morate znati p</w:t>
      </w:r>
      <w:r w:rsidRPr="00307897">
        <w:rPr>
          <w:b/>
          <w:color w:val="000000"/>
          <w:szCs w:val="22"/>
          <w:lang w:val="hr-HR"/>
        </w:rPr>
        <w:t>rije nego počnete uzimati Glivec</w:t>
      </w:r>
    </w:p>
    <w:p w14:paraId="6865252E" w14:textId="77777777" w:rsidR="00146472" w:rsidRPr="00307897" w:rsidRDefault="00146472" w:rsidP="00911837">
      <w:pPr>
        <w:keepNext/>
        <w:widowControl w:val="0"/>
        <w:numPr>
          <w:ilvl w:val="12"/>
          <w:numId w:val="0"/>
        </w:numPr>
        <w:tabs>
          <w:tab w:val="clear" w:pos="567"/>
        </w:tabs>
        <w:spacing w:line="240" w:lineRule="auto"/>
        <w:ind w:left="567" w:right="-2" w:hanging="567"/>
        <w:rPr>
          <w:color w:val="000000"/>
          <w:szCs w:val="22"/>
          <w:lang w:val="hr-HR"/>
        </w:rPr>
      </w:pPr>
    </w:p>
    <w:p w14:paraId="0B5043B6" w14:textId="77777777" w:rsidR="00146472" w:rsidRPr="00973BDD" w:rsidRDefault="00146472" w:rsidP="00146472">
      <w:pPr>
        <w:pStyle w:val="Text"/>
        <w:widowControl w:val="0"/>
        <w:spacing w:before="0"/>
        <w:jc w:val="left"/>
        <w:rPr>
          <w:color w:val="000000"/>
          <w:sz w:val="22"/>
          <w:szCs w:val="22"/>
          <w:lang w:val="hr-HR"/>
        </w:rPr>
      </w:pPr>
      <w:r w:rsidRPr="00A00164">
        <w:rPr>
          <w:sz w:val="22"/>
          <w:szCs w:val="22"/>
          <w:lang w:val="hr-HR"/>
        </w:rPr>
        <w:t>Glivec Vam može pr</w:t>
      </w:r>
      <w:r w:rsidRPr="00973BDD">
        <w:rPr>
          <w:sz w:val="22"/>
          <w:szCs w:val="22"/>
          <w:lang w:val="hr-HR"/>
        </w:rPr>
        <w:t>opisati jedino liječnik koji ima iskustva s lijekovima za liječenje raka krvi ili čvrstih tumora</w:t>
      </w:r>
      <w:r w:rsidRPr="00973BDD">
        <w:rPr>
          <w:color w:val="000000"/>
          <w:sz w:val="22"/>
          <w:szCs w:val="22"/>
          <w:lang w:val="hr-HR"/>
        </w:rPr>
        <w:t>.</w:t>
      </w:r>
    </w:p>
    <w:p w14:paraId="2142431C" w14:textId="77777777" w:rsidR="00146472" w:rsidRPr="000B51EB" w:rsidRDefault="00146472" w:rsidP="00146472">
      <w:pPr>
        <w:widowControl w:val="0"/>
        <w:numPr>
          <w:ilvl w:val="12"/>
          <w:numId w:val="0"/>
        </w:numPr>
        <w:tabs>
          <w:tab w:val="clear" w:pos="567"/>
        </w:tabs>
        <w:spacing w:line="240" w:lineRule="auto"/>
        <w:ind w:right="-2"/>
        <w:rPr>
          <w:color w:val="000000"/>
          <w:szCs w:val="22"/>
          <w:lang w:val="hr-HR"/>
        </w:rPr>
      </w:pPr>
    </w:p>
    <w:p w14:paraId="0615402C" w14:textId="77777777" w:rsidR="00146472" w:rsidRPr="00510442" w:rsidRDefault="00146472" w:rsidP="00146472">
      <w:pPr>
        <w:widowControl w:val="0"/>
        <w:numPr>
          <w:ilvl w:val="12"/>
          <w:numId w:val="0"/>
        </w:numPr>
        <w:tabs>
          <w:tab w:val="clear" w:pos="567"/>
        </w:tabs>
        <w:spacing w:line="240" w:lineRule="auto"/>
        <w:ind w:right="-2"/>
        <w:rPr>
          <w:color w:val="000000"/>
          <w:szCs w:val="22"/>
          <w:lang w:val="hr-HR"/>
        </w:rPr>
      </w:pPr>
      <w:r w:rsidRPr="00510442">
        <w:rPr>
          <w:bCs/>
          <w:szCs w:val="22"/>
          <w:lang w:val="hr-HR"/>
        </w:rPr>
        <w:t>Pažljivo slijedite sve upute dobivene od liječnika, čak i onda ako se razlikuju od općih informacija sadržanih u ovoj uputi</w:t>
      </w:r>
      <w:r w:rsidRPr="00510442">
        <w:rPr>
          <w:color w:val="000000"/>
          <w:szCs w:val="22"/>
          <w:lang w:val="hr-HR"/>
        </w:rPr>
        <w:t>.</w:t>
      </w:r>
    </w:p>
    <w:p w14:paraId="784B97E5" w14:textId="77777777" w:rsidR="00146472" w:rsidRPr="00510442" w:rsidRDefault="00146472" w:rsidP="00146472">
      <w:pPr>
        <w:widowControl w:val="0"/>
        <w:numPr>
          <w:ilvl w:val="12"/>
          <w:numId w:val="0"/>
        </w:numPr>
        <w:tabs>
          <w:tab w:val="clear" w:pos="567"/>
        </w:tabs>
        <w:spacing w:line="240" w:lineRule="auto"/>
        <w:ind w:right="-2"/>
        <w:rPr>
          <w:color w:val="000000"/>
          <w:szCs w:val="22"/>
          <w:lang w:val="hr-HR"/>
        </w:rPr>
      </w:pPr>
    </w:p>
    <w:p w14:paraId="070F2A13" w14:textId="77777777" w:rsidR="00146472" w:rsidRPr="00510442" w:rsidRDefault="00146472" w:rsidP="00911837">
      <w:pPr>
        <w:keepNext/>
        <w:widowControl w:val="0"/>
        <w:numPr>
          <w:ilvl w:val="12"/>
          <w:numId w:val="0"/>
        </w:numPr>
        <w:tabs>
          <w:tab w:val="clear" w:pos="567"/>
        </w:tabs>
        <w:spacing w:line="240" w:lineRule="auto"/>
        <w:rPr>
          <w:color w:val="000000"/>
          <w:szCs w:val="22"/>
          <w:lang w:val="hr-HR"/>
        </w:rPr>
      </w:pPr>
      <w:r w:rsidRPr="00510442">
        <w:rPr>
          <w:b/>
          <w:szCs w:val="22"/>
          <w:lang w:val="hr-HR"/>
        </w:rPr>
        <w:t>Nemojte uzimati</w:t>
      </w:r>
      <w:r w:rsidRPr="00510442">
        <w:rPr>
          <w:b/>
          <w:color w:val="000000"/>
          <w:szCs w:val="22"/>
          <w:lang w:val="hr-HR"/>
        </w:rPr>
        <w:t xml:space="preserve"> Glivec:</w:t>
      </w:r>
    </w:p>
    <w:p w14:paraId="6BCDD45F" w14:textId="77777777" w:rsidR="00146472" w:rsidRPr="00510442" w:rsidRDefault="00146472" w:rsidP="00911837">
      <w:pPr>
        <w:keepNext/>
        <w:widowControl w:val="0"/>
        <w:numPr>
          <w:ilvl w:val="12"/>
          <w:numId w:val="0"/>
        </w:numPr>
        <w:tabs>
          <w:tab w:val="clear" w:pos="567"/>
        </w:tabs>
        <w:spacing w:line="240" w:lineRule="auto"/>
        <w:ind w:left="567" w:right="-2" w:hanging="567"/>
        <w:rPr>
          <w:szCs w:val="22"/>
          <w:lang w:val="hr-HR"/>
        </w:rPr>
      </w:pPr>
      <w:r w:rsidRPr="00510442">
        <w:rPr>
          <w:szCs w:val="22"/>
          <w:lang w:val="hr-HR"/>
        </w:rPr>
        <w:t>-</w:t>
      </w:r>
      <w:r w:rsidRPr="00510442">
        <w:rPr>
          <w:szCs w:val="22"/>
          <w:lang w:val="hr-HR"/>
        </w:rPr>
        <w:tab/>
        <w:t>ako ste alergični na imatinib ili neki drugi sastojak ovog lijeka (naveden u dijelu</w:t>
      </w:r>
      <w:r w:rsidRPr="00510442">
        <w:rPr>
          <w:color w:val="000000"/>
          <w:szCs w:val="22"/>
          <w:lang w:val="hr-HR"/>
        </w:rPr>
        <w:t> </w:t>
      </w:r>
      <w:r w:rsidRPr="00510442">
        <w:rPr>
          <w:szCs w:val="22"/>
          <w:lang w:val="hr-HR"/>
        </w:rPr>
        <w:t>6.).</w:t>
      </w:r>
    </w:p>
    <w:p w14:paraId="52592690" w14:textId="7DED1158" w:rsidR="00146472" w:rsidRPr="00510442" w:rsidRDefault="00146472" w:rsidP="00146472">
      <w:pPr>
        <w:widowControl w:val="0"/>
        <w:numPr>
          <w:ilvl w:val="12"/>
          <w:numId w:val="0"/>
        </w:numPr>
        <w:tabs>
          <w:tab w:val="clear" w:pos="567"/>
        </w:tabs>
        <w:spacing w:line="240" w:lineRule="auto"/>
        <w:ind w:left="567" w:right="-2" w:hanging="567"/>
        <w:rPr>
          <w:color w:val="000000"/>
          <w:szCs w:val="22"/>
          <w:lang w:val="hr-HR"/>
        </w:rPr>
      </w:pPr>
      <w:r w:rsidRPr="00510442">
        <w:rPr>
          <w:szCs w:val="22"/>
          <w:lang w:val="hr-HR"/>
        </w:rPr>
        <w:t xml:space="preserve">Ako se to odnosi na Vas, </w:t>
      </w:r>
      <w:r w:rsidRPr="00510442">
        <w:rPr>
          <w:b/>
          <w:szCs w:val="22"/>
          <w:lang w:val="hr-HR"/>
        </w:rPr>
        <w:t xml:space="preserve">obavijestite svog liječnika bez uzimanja </w:t>
      </w:r>
      <w:r w:rsidR="00DB1682" w:rsidRPr="00DB1682">
        <w:rPr>
          <w:b/>
          <w:szCs w:val="22"/>
          <w:lang w:val="hr-HR"/>
        </w:rPr>
        <w:t xml:space="preserve">lijeka </w:t>
      </w:r>
      <w:r w:rsidRPr="00510442">
        <w:rPr>
          <w:b/>
          <w:szCs w:val="22"/>
          <w:lang w:val="hr-HR"/>
        </w:rPr>
        <w:t>Glivec</w:t>
      </w:r>
      <w:r w:rsidRPr="00510442">
        <w:rPr>
          <w:szCs w:val="22"/>
          <w:lang w:val="hr-HR"/>
        </w:rPr>
        <w:t>.</w:t>
      </w:r>
    </w:p>
    <w:p w14:paraId="41294B70" w14:textId="77777777" w:rsidR="00146472" w:rsidRPr="00510442" w:rsidRDefault="00146472" w:rsidP="00146472">
      <w:pPr>
        <w:widowControl w:val="0"/>
        <w:numPr>
          <w:ilvl w:val="12"/>
          <w:numId w:val="0"/>
        </w:numPr>
        <w:tabs>
          <w:tab w:val="clear" w:pos="567"/>
        </w:tabs>
        <w:spacing w:line="240" w:lineRule="auto"/>
        <w:ind w:left="567" w:right="-2" w:hanging="567"/>
        <w:rPr>
          <w:color w:val="000000"/>
          <w:szCs w:val="22"/>
          <w:lang w:val="hr-HR"/>
        </w:rPr>
      </w:pPr>
    </w:p>
    <w:p w14:paraId="683FDB75" w14:textId="77777777" w:rsidR="00146472" w:rsidRPr="00510442" w:rsidRDefault="00146472" w:rsidP="00146472">
      <w:pPr>
        <w:widowControl w:val="0"/>
        <w:numPr>
          <w:ilvl w:val="12"/>
          <w:numId w:val="0"/>
        </w:numPr>
        <w:tabs>
          <w:tab w:val="clear" w:pos="567"/>
        </w:tabs>
        <w:spacing w:line="240" w:lineRule="auto"/>
        <w:ind w:left="567" w:right="-2" w:hanging="567"/>
        <w:rPr>
          <w:color w:val="000000"/>
          <w:szCs w:val="22"/>
          <w:lang w:val="hr-HR"/>
        </w:rPr>
      </w:pPr>
      <w:r w:rsidRPr="00510442">
        <w:rPr>
          <w:szCs w:val="22"/>
          <w:lang w:val="hr-HR"/>
        </w:rPr>
        <w:t>Ako mislite da bi mogli biti alergični, ali niste sigurni, posavjetujte se sa svojim liječnikom.</w:t>
      </w:r>
    </w:p>
    <w:p w14:paraId="74D2F430" w14:textId="77777777" w:rsidR="00146472" w:rsidRPr="00510442" w:rsidRDefault="00146472" w:rsidP="00146472">
      <w:pPr>
        <w:widowControl w:val="0"/>
        <w:numPr>
          <w:ilvl w:val="12"/>
          <w:numId w:val="0"/>
        </w:numPr>
        <w:tabs>
          <w:tab w:val="clear" w:pos="567"/>
        </w:tabs>
        <w:spacing w:line="240" w:lineRule="auto"/>
        <w:ind w:right="-2"/>
        <w:rPr>
          <w:color w:val="000000"/>
          <w:szCs w:val="22"/>
          <w:lang w:val="hr-HR"/>
        </w:rPr>
      </w:pPr>
    </w:p>
    <w:p w14:paraId="5BEEC9BA" w14:textId="77777777" w:rsidR="00146472" w:rsidRPr="00510442" w:rsidRDefault="00146472" w:rsidP="00911837">
      <w:pPr>
        <w:keepNext/>
        <w:widowControl w:val="0"/>
        <w:numPr>
          <w:ilvl w:val="12"/>
          <w:numId w:val="0"/>
        </w:numPr>
        <w:tabs>
          <w:tab w:val="clear" w:pos="567"/>
        </w:tabs>
        <w:spacing w:line="240" w:lineRule="auto"/>
        <w:ind w:right="-2"/>
        <w:rPr>
          <w:b/>
          <w:szCs w:val="22"/>
          <w:lang w:val="hr-HR"/>
        </w:rPr>
      </w:pPr>
      <w:r w:rsidRPr="00510442">
        <w:rPr>
          <w:b/>
          <w:szCs w:val="22"/>
          <w:lang w:val="hr-HR"/>
        </w:rPr>
        <w:t>Upozorenja i mjere opreza</w:t>
      </w:r>
    </w:p>
    <w:p w14:paraId="72BDBACF" w14:textId="77777777" w:rsidR="00146472" w:rsidRPr="00510442" w:rsidRDefault="00146472" w:rsidP="00911837">
      <w:pPr>
        <w:keepNext/>
        <w:widowControl w:val="0"/>
        <w:numPr>
          <w:ilvl w:val="12"/>
          <w:numId w:val="0"/>
        </w:numPr>
        <w:tabs>
          <w:tab w:val="clear" w:pos="567"/>
        </w:tabs>
        <w:spacing w:line="240" w:lineRule="auto"/>
        <w:ind w:right="-2"/>
        <w:rPr>
          <w:szCs w:val="22"/>
          <w:lang w:val="hr-HR"/>
        </w:rPr>
      </w:pPr>
      <w:r w:rsidRPr="00510442">
        <w:rPr>
          <w:szCs w:val="22"/>
          <w:lang w:val="hr-HR"/>
        </w:rPr>
        <w:t>Obratite se svom liječniku prije nego uzmete Glivec:</w:t>
      </w:r>
    </w:p>
    <w:p w14:paraId="73B49A05" w14:textId="77777777" w:rsidR="00146472" w:rsidRPr="00510442" w:rsidRDefault="00146472" w:rsidP="00911837">
      <w:pPr>
        <w:widowControl w:val="0"/>
        <w:numPr>
          <w:ilvl w:val="12"/>
          <w:numId w:val="0"/>
        </w:numPr>
        <w:spacing w:line="240" w:lineRule="auto"/>
        <w:ind w:left="567" w:hanging="567"/>
        <w:rPr>
          <w:color w:val="000000"/>
          <w:szCs w:val="22"/>
          <w:lang w:val="hr-HR"/>
        </w:rPr>
      </w:pPr>
      <w:r w:rsidRPr="00510442">
        <w:rPr>
          <w:color w:val="000000"/>
          <w:szCs w:val="22"/>
          <w:lang w:val="hr-HR"/>
        </w:rPr>
        <w:t>-</w:t>
      </w:r>
      <w:r w:rsidRPr="00510442">
        <w:rPr>
          <w:color w:val="000000"/>
          <w:szCs w:val="22"/>
          <w:lang w:val="hr-HR"/>
        </w:rPr>
        <w:tab/>
      </w:r>
      <w:r w:rsidRPr="00510442">
        <w:rPr>
          <w:szCs w:val="22"/>
          <w:lang w:val="hr-HR"/>
        </w:rPr>
        <w:t>ako imate, ili ste ikada imali, problema s jetrom, bubrezima ili srcem.</w:t>
      </w:r>
    </w:p>
    <w:p w14:paraId="7285B7B6" w14:textId="77777777" w:rsidR="00146472" w:rsidRPr="00510442" w:rsidRDefault="00146472" w:rsidP="00911837">
      <w:pPr>
        <w:widowControl w:val="0"/>
        <w:numPr>
          <w:ilvl w:val="12"/>
          <w:numId w:val="0"/>
        </w:numPr>
        <w:spacing w:line="240" w:lineRule="auto"/>
        <w:ind w:left="567" w:hanging="567"/>
        <w:rPr>
          <w:color w:val="000000"/>
          <w:szCs w:val="22"/>
          <w:lang w:val="hr-HR"/>
        </w:rPr>
      </w:pPr>
      <w:r w:rsidRPr="00510442">
        <w:rPr>
          <w:color w:val="000000"/>
          <w:szCs w:val="22"/>
          <w:lang w:val="hr-HR"/>
        </w:rPr>
        <w:t>-</w:t>
      </w:r>
      <w:r w:rsidRPr="00510442">
        <w:rPr>
          <w:color w:val="000000"/>
          <w:szCs w:val="22"/>
          <w:lang w:val="hr-HR"/>
        </w:rPr>
        <w:tab/>
      </w:r>
      <w:r w:rsidRPr="00510442">
        <w:rPr>
          <w:szCs w:val="22"/>
          <w:lang w:val="hr-HR"/>
        </w:rPr>
        <w:t>ako uzimate lijek levotiroksin, jer Vam je uklonjena štitnjača.</w:t>
      </w:r>
    </w:p>
    <w:p w14:paraId="0EE5B1BD" w14:textId="77777777" w:rsidR="00D83953" w:rsidRPr="00510442" w:rsidRDefault="00D83953" w:rsidP="00911837">
      <w:pPr>
        <w:widowControl w:val="0"/>
        <w:numPr>
          <w:ilvl w:val="12"/>
          <w:numId w:val="0"/>
        </w:numPr>
        <w:spacing w:line="240" w:lineRule="auto"/>
        <w:ind w:left="567" w:hanging="567"/>
        <w:rPr>
          <w:color w:val="000000"/>
          <w:szCs w:val="22"/>
          <w:lang w:val="hr-HR"/>
        </w:rPr>
      </w:pPr>
      <w:r w:rsidRPr="00510442">
        <w:rPr>
          <w:color w:val="000000"/>
          <w:spacing w:val="-2"/>
          <w:lang w:val="hr-HR"/>
        </w:rPr>
        <w:t>-</w:t>
      </w:r>
      <w:r w:rsidRPr="00510442">
        <w:rPr>
          <w:color w:val="000000"/>
          <w:spacing w:val="-2"/>
          <w:lang w:val="hr-HR"/>
        </w:rPr>
        <w:tab/>
        <w:t>ako ste ikada imali ili možda sada imate infekciju virusom hepatitisa B. To je potrebno jer Glivec može uzrokovati ponovnu aktivaciju hepatitisa B što u nekim slučajevima može rezultirati smrtnim ishodom. Prije početka liječenja liječnik će pažljvo pregledati bolesnike radi utvrđivanja eventualnih znakova te infekcije.</w:t>
      </w:r>
    </w:p>
    <w:p w14:paraId="1CE05370" w14:textId="0ABF5682" w:rsidR="00030F93" w:rsidRPr="00510442" w:rsidRDefault="00030F93" w:rsidP="00911837">
      <w:pPr>
        <w:keepNext/>
        <w:keepLines/>
        <w:widowControl w:val="0"/>
        <w:numPr>
          <w:ilvl w:val="12"/>
          <w:numId w:val="0"/>
        </w:numPr>
        <w:spacing w:line="240" w:lineRule="auto"/>
        <w:ind w:left="567" w:hanging="567"/>
        <w:rPr>
          <w:color w:val="000000"/>
          <w:spacing w:val="-2"/>
          <w:lang w:val="hr-HR"/>
        </w:rPr>
      </w:pPr>
      <w:r w:rsidRPr="00510442">
        <w:rPr>
          <w:color w:val="000000"/>
          <w:spacing w:val="-2"/>
          <w:lang w:val="hr-HR"/>
        </w:rPr>
        <w:t>-</w:t>
      </w:r>
      <w:r w:rsidRPr="00510442">
        <w:rPr>
          <w:color w:val="000000"/>
          <w:spacing w:val="-2"/>
          <w:lang w:val="hr-HR"/>
        </w:rPr>
        <w:tab/>
        <w:t xml:space="preserve">ako </w:t>
      </w:r>
      <w:r w:rsidRPr="00760469">
        <w:rPr>
          <w:color w:val="000000"/>
          <w:spacing w:val="-2"/>
          <w:lang w:val="hr-HR"/>
        </w:rPr>
        <w:t xml:space="preserve">dobijete </w:t>
      </w:r>
      <w:r w:rsidR="00D33A31" w:rsidRPr="00760469">
        <w:rPr>
          <w:color w:val="000000"/>
          <w:spacing w:val="-2"/>
          <w:lang w:val="hr-HR"/>
        </w:rPr>
        <w:t>modrice</w:t>
      </w:r>
      <w:r w:rsidRPr="00760469">
        <w:rPr>
          <w:color w:val="000000"/>
          <w:spacing w:val="-2"/>
          <w:lang w:val="hr-HR"/>
        </w:rPr>
        <w:t xml:space="preserve">, krvarenje, vrućicu, </w:t>
      </w:r>
      <w:r w:rsidR="00D33A31" w:rsidRPr="00760469">
        <w:rPr>
          <w:color w:val="000000"/>
          <w:spacing w:val="-2"/>
          <w:lang w:val="hr-HR"/>
        </w:rPr>
        <w:t xml:space="preserve">umor </w:t>
      </w:r>
      <w:r w:rsidRPr="00760469">
        <w:rPr>
          <w:color w:val="000000"/>
          <w:spacing w:val="-2"/>
          <w:lang w:val="hr-HR"/>
        </w:rPr>
        <w:t xml:space="preserve">i </w:t>
      </w:r>
      <w:r w:rsidR="00D33A31" w:rsidRPr="00760469">
        <w:rPr>
          <w:color w:val="000000"/>
          <w:spacing w:val="-2"/>
          <w:lang w:val="hr-HR"/>
        </w:rPr>
        <w:t>smetenost</w:t>
      </w:r>
      <w:r w:rsidRPr="00760469">
        <w:rPr>
          <w:color w:val="000000"/>
          <w:spacing w:val="-2"/>
          <w:lang w:val="hr-HR"/>
        </w:rPr>
        <w:t xml:space="preserve"> prilikom uzimanja </w:t>
      </w:r>
      <w:r w:rsidR="00DB1682" w:rsidRPr="00512481">
        <w:rPr>
          <w:szCs w:val="22"/>
          <w:lang w:val="hr-HR"/>
        </w:rPr>
        <w:t xml:space="preserve">lijeka </w:t>
      </w:r>
      <w:r w:rsidRPr="00760469">
        <w:rPr>
          <w:color w:val="000000"/>
          <w:spacing w:val="-2"/>
          <w:lang w:val="hr-HR"/>
        </w:rPr>
        <w:t>Glivec, kontaktirajte liječnika. To može biti znak oštećenja krvnih žila znan kao trombotič</w:t>
      </w:r>
      <w:r w:rsidR="002355CD" w:rsidRPr="00760469">
        <w:rPr>
          <w:color w:val="000000"/>
          <w:spacing w:val="-2"/>
          <w:lang w:val="hr-HR"/>
        </w:rPr>
        <w:t>n</w:t>
      </w:r>
      <w:r w:rsidRPr="00760469">
        <w:rPr>
          <w:color w:val="000000"/>
          <w:spacing w:val="-2"/>
          <w:lang w:val="hr-HR"/>
        </w:rPr>
        <w:t>a mikroangiopatija (TMA).</w:t>
      </w:r>
    </w:p>
    <w:p w14:paraId="64EDB6DE" w14:textId="69665E50" w:rsidR="00146472" w:rsidRPr="00307897" w:rsidRDefault="00146472" w:rsidP="00146472">
      <w:pPr>
        <w:pStyle w:val="Text"/>
        <w:widowControl w:val="0"/>
        <w:spacing w:before="0"/>
        <w:jc w:val="left"/>
        <w:rPr>
          <w:b/>
          <w:color w:val="000000"/>
          <w:sz w:val="22"/>
          <w:szCs w:val="22"/>
          <w:lang w:val="hr-HR"/>
        </w:rPr>
      </w:pPr>
      <w:r w:rsidRPr="00307897">
        <w:rPr>
          <w:sz w:val="22"/>
          <w:szCs w:val="22"/>
          <w:lang w:val="hr-HR"/>
        </w:rPr>
        <w:t xml:space="preserve">Ako se bilo što od navedenog odnosi na Vas, </w:t>
      </w:r>
      <w:r w:rsidRPr="00307897">
        <w:rPr>
          <w:b/>
          <w:sz w:val="22"/>
          <w:szCs w:val="22"/>
          <w:lang w:val="hr-HR"/>
        </w:rPr>
        <w:t xml:space="preserve">obavijestite svog liječnika prije uzimanja </w:t>
      </w:r>
      <w:r w:rsidR="00DB1682" w:rsidRPr="00DB1682">
        <w:rPr>
          <w:b/>
          <w:sz w:val="22"/>
          <w:szCs w:val="22"/>
          <w:lang w:val="hr-HR"/>
        </w:rPr>
        <w:t xml:space="preserve">lijeka </w:t>
      </w:r>
      <w:r w:rsidRPr="00307897">
        <w:rPr>
          <w:b/>
          <w:sz w:val="22"/>
          <w:szCs w:val="22"/>
          <w:lang w:val="hr-HR"/>
        </w:rPr>
        <w:t>Glivec.</w:t>
      </w:r>
    </w:p>
    <w:p w14:paraId="0E8D51EC" w14:textId="77777777" w:rsidR="00462257" w:rsidRPr="00A00164" w:rsidRDefault="00462257" w:rsidP="00462257">
      <w:pPr>
        <w:pStyle w:val="Text"/>
        <w:widowControl w:val="0"/>
        <w:spacing w:before="0"/>
        <w:jc w:val="left"/>
        <w:rPr>
          <w:sz w:val="22"/>
          <w:szCs w:val="22"/>
          <w:lang w:val="hr-HR"/>
        </w:rPr>
      </w:pPr>
    </w:p>
    <w:p w14:paraId="5E8C7418" w14:textId="173D1FE5" w:rsidR="00462257" w:rsidRPr="00510442" w:rsidRDefault="00462257" w:rsidP="00462257">
      <w:pPr>
        <w:pStyle w:val="Text"/>
        <w:widowControl w:val="0"/>
        <w:spacing w:before="0"/>
        <w:jc w:val="left"/>
        <w:rPr>
          <w:sz w:val="22"/>
          <w:szCs w:val="22"/>
          <w:lang w:val="hr-HR"/>
        </w:rPr>
      </w:pPr>
      <w:r w:rsidRPr="00973BDD">
        <w:rPr>
          <w:sz w:val="22"/>
          <w:szCs w:val="22"/>
          <w:lang w:val="hr-HR"/>
        </w:rPr>
        <w:t xml:space="preserve">Možete postati </w:t>
      </w:r>
      <w:r w:rsidRPr="000B51EB">
        <w:rPr>
          <w:sz w:val="22"/>
          <w:szCs w:val="22"/>
          <w:lang w:val="hr-HR"/>
        </w:rPr>
        <w:t xml:space="preserve">osjetljiviji na sunce tijekom uzimanja </w:t>
      </w:r>
      <w:r w:rsidR="00DB1682" w:rsidRPr="00512481">
        <w:rPr>
          <w:sz w:val="22"/>
          <w:szCs w:val="22"/>
          <w:lang w:val="hr-HR"/>
        </w:rPr>
        <w:t xml:space="preserve">lijeka </w:t>
      </w:r>
      <w:r w:rsidRPr="000B51EB">
        <w:rPr>
          <w:sz w:val="22"/>
          <w:szCs w:val="22"/>
          <w:lang w:val="hr-HR"/>
        </w:rPr>
        <w:t>Glivec.</w:t>
      </w:r>
      <w:r w:rsidR="00F07532" w:rsidRPr="00510442">
        <w:rPr>
          <w:sz w:val="22"/>
          <w:szCs w:val="22"/>
          <w:lang w:val="hr-HR"/>
        </w:rPr>
        <w:t xml:space="preserve"> </w:t>
      </w:r>
      <w:r w:rsidRPr="00510442">
        <w:rPr>
          <w:sz w:val="22"/>
          <w:szCs w:val="22"/>
          <w:lang w:val="hr-HR"/>
        </w:rPr>
        <w:t>Važno je pokriti područja kože izložena suncu i koristiti sredstvo za zaštitu od sunca s visokim zaštitnim faktorom (SPF). Ove mjere opreza također vrijede i za djecu.</w:t>
      </w:r>
    </w:p>
    <w:p w14:paraId="4D4EA0BF" w14:textId="77777777" w:rsidR="00146472" w:rsidRPr="00510442" w:rsidRDefault="00146472" w:rsidP="00146472">
      <w:pPr>
        <w:pStyle w:val="Text"/>
        <w:widowControl w:val="0"/>
        <w:spacing w:before="0"/>
        <w:jc w:val="left"/>
        <w:rPr>
          <w:color w:val="000000"/>
          <w:sz w:val="22"/>
          <w:szCs w:val="22"/>
          <w:lang w:val="hr-HR"/>
        </w:rPr>
      </w:pPr>
    </w:p>
    <w:p w14:paraId="5C79AC08" w14:textId="1EFD5F32" w:rsidR="00146472" w:rsidRPr="00510442" w:rsidRDefault="00146472" w:rsidP="00146472">
      <w:pPr>
        <w:pStyle w:val="Text"/>
        <w:widowControl w:val="0"/>
        <w:spacing w:before="0"/>
        <w:jc w:val="left"/>
        <w:rPr>
          <w:color w:val="000000"/>
          <w:sz w:val="22"/>
          <w:szCs w:val="22"/>
          <w:lang w:val="hr-HR"/>
        </w:rPr>
      </w:pPr>
      <w:r w:rsidRPr="00510442">
        <w:rPr>
          <w:b/>
          <w:sz w:val="22"/>
          <w:szCs w:val="22"/>
          <w:lang w:val="hr-HR"/>
        </w:rPr>
        <w:t xml:space="preserve">Tijekom liječenja </w:t>
      </w:r>
      <w:r w:rsidR="00B3237D" w:rsidRPr="00B3237D">
        <w:rPr>
          <w:b/>
          <w:sz w:val="22"/>
          <w:szCs w:val="22"/>
          <w:lang w:val="hr-HR"/>
        </w:rPr>
        <w:t xml:space="preserve">lijekom </w:t>
      </w:r>
      <w:r w:rsidRPr="00510442">
        <w:rPr>
          <w:b/>
          <w:sz w:val="22"/>
          <w:szCs w:val="22"/>
          <w:lang w:val="hr-HR"/>
        </w:rPr>
        <w:t>Glivec</w:t>
      </w:r>
      <w:r w:rsidRPr="00510442">
        <w:rPr>
          <w:sz w:val="22"/>
          <w:szCs w:val="22"/>
          <w:lang w:val="hr-HR"/>
        </w:rPr>
        <w:t xml:space="preserve"> </w:t>
      </w:r>
      <w:r w:rsidRPr="00510442">
        <w:rPr>
          <w:b/>
          <w:sz w:val="22"/>
          <w:szCs w:val="22"/>
          <w:lang w:val="hr-HR"/>
        </w:rPr>
        <w:t>odmah obavijestite svog liječnika</w:t>
      </w:r>
      <w:r w:rsidRPr="00510442">
        <w:rPr>
          <w:sz w:val="22"/>
          <w:szCs w:val="22"/>
          <w:lang w:val="hr-HR"/>
        </w:rPr>
        <w:t xml:space="preserve"> ako vrlo brzo dobivate na težini. Glivec može izazvati zadržavanje vode u tijelu (teška retencija tekućine)</w:t>
      </w:r>
      <w:r w:rsidRPr="00510442">
        <w:rPr>
          <w:color w:val="000000"/>
          <w:sz w:val="22"/>
          <w:szCs w:val="22"/>
          <w:lang w:val="hr-HR"/>
        </w:rPr>
        <w:t>.</w:t>
      </w:r>
    </w:p>
    <w:p w14:paraId="42C99748" w14:textId="77777777" w:rsidR="00146472" w:rsidRPr="00510442" w:rsidRDefault="00146472" w:rsidP="00146472">
      <w:pPr>
        <w:pStyle w:val="Text"/>
        <w:widowControl w:val="0"/>
        <w:spacing w:before="0"/>
        <w:jc w:val="left"/>
        <w:rPr>
          <w:color w:val="000000"/>
          <w:sz w:val="22"/>
          <w:szCs w:val="22"/>
          <w:lang w:val="hr-HR"/>
        </w:rPr>
      </w:pPr>
    </w:p>
    <w:p w14:paraId="4ABD7FF8" w14:textId="77777777" w:rsidR="00146472" w:rsidRPr="00510442" w:rsidRDefault="00146472" w:rsidP="00146472">
      <w:pPr>
        <w:pStyle w:val="Text"/>
        <w:widowControl w:val="0"/>
        <w:spacing w:before="0"/>
        <w:jc w:val="left"/>
        <w:rPr>
          <w:color w:val="000000"/>
          <w:sz w:val="22"/>
          <w:szCs w:val="22"/>
          <w:lang w:val="hr-HR"/>
        </w:rPr>
      </w:pPr>
      <w:r w:rsidRPr="00510442">
        <w:rPr>
          <w:sz w:val="22"/>
          <w:szCs w:val="22"/>
          <w:lang w:val="hr-HR"/>
        </w:rPr>
        <w:t>Dok uzimate Glivec, liječnik će redovito pratiti da li lijek djeluje. Također ćete redovito provoditi krvne pretrage i mjeriti tjelesnu težinu.</w:t>
      </w:r>
    </w:p>
    <w:p w14:paraId="62E32CA0" w14:textId="77777777" w:rsidR="00146472" w:rsidRPr="00510442" w:rsidRDefault="00146472" w:rsidP="00146472">
      <w:pPr>
        <w:pStyle w:val="EndnoteText"/>
        <w:widowControl w:val="0"/>
        <w:numPr>
          <w:ilvl w:val="12"/>
          <w:numId w:val="0"/>
        </w:numPr>
        <w:tabs>
          <w:tab w:val="clear" w:pos="567"/>
        </w:tabs>
        <w:rPr>
          <w:color w:val="000000"/>
          <w:szCs w:val="22"/>
          <w:lang w:val="hr-HR"/>
        </w:rPr>
      </w:pPr>
    </w:p>
    <w:p w14:paraId="4033E6AB" w14:textId="77777777" w:rsidR="00146472" w:rsidRPr="00510442" w:rsidRDefault="00146472" w:rsidP="00911837">
      <w:pPr>
        <w:pStyle w:val="EndnoteText"/>
        <w:keepNext/>
        <w:widowControl w:val="0"/>
        <w:numPr>
          <w:ilvl w:val="12"/>
          <w:numId w:val="0"/>
        </w:numPr>
        <w:tabs>
          <w:tab w:val="clear" w:pos="567"/>
        </w:tabs>
        <w:rPr>
          <w:b/>
          <w:szCs w:val="22"/>
          <w:lang w:val="hr-HR"/>
        </w:rPr>
      </w:pPr>
      <w:r w:rsidRPr="00510442">
        <w:rPr>
          <w:b/>
          <w:szCs w:val="22"/>
          <w:lang w:val="hr-HR"/>
        </w:rPr>
        <w:t>Djeca i adolescenti</w:t>
      </w:r>
    </w:p>
    <w:p w14:paraId="22250138" w14:textId="77777777" w:rsidR="00146472" w:rsidRPr="00510442" w:rsidRDefault="00146472" w:rsidP="00146472">
      <w:pPr>
        <w:pStyle w:val="EndnoteText"/>
        <w:widowControl w:val="0"/>
        <w:numPr>
          <w:ilvl w:val="12"/>
          <w:numId w:val="0"/>
        </w:numPr>
        <w:tabs>
          <w:tab w:val="clear" w:pos="567"/>
        </w:tabs>
        <w:rPr>
          <w:color w:val="000000"/>
          <w:szCs w:val="22"/>
          <w:lang w:val="hr-HR"/>
        </w:rPr>
      </w:pPr>
      <w:r w:rsidRPr="00510442">
        <w:rPr>
          <w:szCs w:val="22"/>
          <w:lang w:val="hr-HR"/>
        </w:rPr>
        <w:t>Glivec se kod djece također koristi za liječenje KML-a. Ne postoji iskustvo kod djece s KML-om mlađe od 2</w:t>
      </w:r>
      <w:r w:rsidRPr="00510442">
        <w:rPr>
          <w:color w:val="000000"/>
          <w:szCs w:val="22"/>
          <w:lang w:val="hr-HR"/>
        </w:rPr>
        <w:t> </w:t>
      </w:r>
      <w:r w:rsidRPr="00510442">
        <w:rPr>
          <w:szCs w:val="22"/>
          <w:lang w:val="hr-HR"/>
        </w:rPr>
        <w:t>godine. Postoji ograničeno iskustvo kod djece s Ph-pozitivnim ALL-om te vrlo ograničeno iskustvo kod djece s MDS/MPD-om, DFSP-om, GIST-om i HES/KEL-om.</w:t>
      </w:r>
    </w:p>
    <w:p w14:paraId="00AC85AF" w14:textId="77777777" w:rsidR="00146472" w:rsidRPr="00510442" w:rsidRDefault="00146472" w:rsidP="00146472">
      <w:pPr>
        <w:pStyle w:val="EndnoteText"/>
        <w:widowControl w:val="0"/>
        <w:numPr>
          <w:ilvl w:val="12"/>
          <w:numId w:val="0"/>
        </w:numPr>
        <w:tabs>
          <w:tab w:val="clear" w:pos="567"/>
        </w:tabs>
        <w:rPr>
          <w:color w:val="000000"/>
          <w:szCs w:val="22"/>
          <w:lang w:val="hr-HR"/>
        </w:rPr>
      </w:pPr>
    </w:p>
    <w:p w14:paraId="759130DC" w14:textId="77777777" w:rsidR="00146472" w:rsidRPr="00510442" w:rsidRDefault="00146472" w:rsidP="00146472">
      <w:pPr>
        <w:pStyle w:val="EndnoteText"/>
        <w:widowControl w:val="0"/>
        <w:numPr>
          <w:ilvl w:val="12"/>
          <w:numId w:val="0"/>
        </w:numPr>
        <w:tabs>
          <w:tab w:val="clear" w:pos="567"/>
        </w:tabs>
        <w:rPr>
          <w:color w:val="000000"/>
          <w:szCs w:val="22"/>
          <w:lang w:val="hr-HR"/>
        </w:rPr>
      </w:pPr>
      <w:r w:rsidRPr="00510442">
        <w:rPr>
          <w:bCs/>
          <w:szCs w:val="22"/>
          <w:lang w:val="hr-HR"/>
        </w:rPr>
        <w:t>Kod neke djece i adolescenata koji uzimaju Glivec rast može biti sporiji od normalnog. Liječnik će pratiti rast prilikom redovitih pregleda.</w:t>
      </w:r>
    </w:p>
    <w:p w14:paraId="5E0C6128" w14:textId="77777777" w:rsidR="00146472" w:rsidRPr="00510442" w:rsidRDefault="00146472" w:rsidP="00146472">
      <w:pPr>
        <w:pStyle w:val="EndnoteText"/>
        <w:widowControl w:val="0"/>
        <w:numPr>
          <w:ilvl w:val="12"/>
          <w:numId w:val="0"/>
        </w:numPr>
        <w:tabs>
          <w:tab w:val="clear" w:pos="567"/>
        </w:tabs>
        <w:rPr>
          <w:color w:val="000000"/>
          <w:szCs w:val="22"/>
          <w:lang w:val="hr-HR"/>
        </w:rPr>
      </w:pPr>
    </w:p>
    <w:p w14:paraId="1BF81CDE" w14:textId="77777777" w:rsidR="00146472" w:rsidRPr="00510442" w:rsidRDefault="00146472" w:rsidP="00911837">
      <w:pPr>
        <w:keepNext/>
        <w:widowControl w:val="0"/>
        <w:numPr>
          <w:ilvl w:val="12"/>
          <w:numId w:val="0"/>
        </w:numPr>
        <w:tabs>
          <w:tab w:val="clear" w:pos="567"/>
        </w:tabs>
        <w:spacing w:line="240" w:lineRule="auto"/>
        <w:ind w:right="-2"/>
        <w:rPr>
          <w:b/>
          <w:szCs w:val="22"/>
          <w:lang w:val="hr-HR"/>
        </w:rPr>
      </w:pPr>
      <w:r w:rsidRPr="00510442">
        <w:rPr>
          <w:b/>
          <w:szCs w:val="22"/>
          <w:lang w:val="hr-HR"/>
        </w:rPr>
        <w:t>Drugi lijekovi i Glivec</w:t>
      </w:r>
    </w:p>
    <w:p w14:paraId="18782241" w14:textId="72A899AE" w:rsidR="00146472" w:rsidRPr="00510442" w:rsidRDefault="00146472" w:rsidP="00146472">
      <w:pPr>
        <w:widowControl w:val="0"/>
        <w:numPr>
          <w:ilvl w:val="12"/>
          <w:numId w:val="0"/>
        </w:numPr>
        <w:tabs>
          <w:tab w:val="clear" w:pos="567"/>
        </w:tabs>
        <w:spacing w:line="240" w:lineRule="auto"/>
        <w:ind w:right="-2"/>
        <w:rPr>
          <w:szCs w:val="22"/>
          <w:lang w:val="hr-HR"/>
        </w:rPr>
      </w:pPr>
      <w:r w:rsidRPr="00510442">
        <w:rPr>
          <w:szCs w:val="22"/>
          <w:lang w:val="hr-HR"/>
        </w:rPr>
        <w:t>Obavijestite svog liječnika ili ljekarnika ako uzimate</w:t>
      </w:r>
      <w:r w:rsidR="00744714" w:rsidRPr="00510442">
        <w:rPr>
          <w:szCs w:val="22"/>
          <w:lang w:val="hr-HR"/>
        </w:rPr>
        <w:t>,</w:t>
      </w:r>
      <w:r w:rsidRPr="00510442">
        <w:rPr>
          <w:szCs w:val="22"/>
          <w:lang w:val="hr-HR"/>
        </w:rPr>
        <w:t xml:space="preserve"> nedavno </w:t>
      </w:r>
      <w:r w:rsidR="00744714" w:rsidRPr="00510442">
        <w:rPr>
          <w:szCs w:val="22"/>
          <w:lang w:val="hr-HR"/>
        </w:rPr>
        <w:t xml:space="preserve">ste </w:t>
      </w:r>
      <w:r w:rsidRPr="00510442">
        <w:rPr>
          <w:szCs w:val="22"/>
          <w:lang w:val="hr-HR"/>
        </w:rPr>
        <w:t xml:space="preserve">uzeli ili biste mogli uzeti bilo koje druge lijekove, uključujući lijekove dobivene bez recepta (poput paracetamola) i biljne pripravke </w:t>
      </w:r>
      <w:r w:rsidRPr="00510442">
        <w:rPr>
          <w:szCs w:val="22"/>
          <w:lang w:val="hr-HR"/>
        </w:rPr>
        <w:lastRenderedPageBreak/>
        <w:t xml:space="preserve">(poput gospine trave). Neki lijekovi mogu utjecati na djelovanje </w:t>
      </w:r>
      <w:r w:rsidR="00DB1682" w:rsidRPr="00512481">
        <w:rPr>
          <w:szCs w:val="22"/>
          <w:lang w:val="hr-HR"/>
        </w:rPr>
        <w:t xml:space="preserve">lijeka </w:t>
      </w:r>
      <w:r w:rsidRPr="00510442">
        <w:rPr>
          <w:szCs w:val="22"/>
          <w:lang w:val="hr-HR"/>
        </w:rPr>
        <w:t xml:space="preserve">Glivec kada se uzimaju zajedno. Oni mogu povećati ili smanjiti učinak </w:t>
      </w:r>
      <w:r w:rsidR="00DB1682" w:rsidRPr="00512481">
        <w:rPr>
          <w:szCs w:val="22"/>
          <w:lang w:val="hr-HR"/>
        </w:rPr>
        <w:t xml:space="preserve">lijeka </w:t>
      </w:r>
      <w:r w:rsidRPr="00510442">
        <w:rPr>
          <w:szCs w:val="22"/>
          <w:lang w:val="hr-HR"/>
        </w:rPr>
        <w:t xml:space="preserve">Glivec bilo povećanjem nuspojava ili smanjenjem učinka </w:t>
      </w:r>
      <w:r w:rsidR="00DB1682" w:rsidRPr="00512481">
        <w:rPr>
          <w:szCs w:val="22"/>
          <w:lang w:val="hr-HR"/>
        </w:rPr>
        <w:t xml:space="preserve">lijeka </w:t>
      </w:r>
      <w:r w:rsidRPr="00510442">
        <w:rPr>
          <w:szCs w:val="22"/>
          <w:lang w:val="hr-HR"/>
        </w:rPr>
        <w:t>Glivec. Glivec može to isto napraviti nekim drugim lijekovima.</w:t>
      </w:r>
    </w:p>
    <w:p w14:paraId="53C6D487" w14:textId="77777777" w:rsidR="00146472" w:rsidRPr="00510442" w:rsidRDefault="00146472" w:rsidP="00146472">
      <w:pPr>
        <w:widowControl w:val="0"/>
        <w:numPr>
          <w:ilvl w:val="12"/>
          <w:numId w:val="0"/>
        </w:numPr>
        <w:tabs>
          <w:tab w:val="clear" w:pos="567"/>
        </w:tabs>
        <w:spacing w:line="240" w:lineRule="auto"/>
        <w:ind w:right="-2"/>
        <w:rPr>
          <w:szCs w:val="22"/>
          <w:lang w:val="hr-HR"/>
        </w:rPr>
      </w:pPr>
    </w:p>
    <w:p w14:paraId="0DD432BC" w14:textId="77777777" w:rsidR="00146472" w:rsidRPr="00510442" w:rsidRDefault="00146472" w:rsidP="00146472">
      <w:pPr>
        <w:widowControl w:val="0"/>
        <w:numPr>
          <w:ilvl w:val="12"/>
          <w:numId w:val="0"/>
        </w:numPr>
        <w:tabs>
          <w:tab w:val="clear" w:pos="567"/>
        </w:tabs>
        <w:spacing w:line="240" w:lineRule="auto"/>
        <w:ind w:right="-2"/>
        <w:rPr>
          <w:color w:val="000000"/>
          <w:szCs w:val="22"/>
          <w:lang w:val="hr-HR"/>
        </w:rPr>
      </w:pPr>
      <w:r w:rsidRPr="00510442">
        <w:rPr>
          <w:szCs w:val="22"/>
          <w:lang w:val="hr-HR"/>
        </w:rPr>
        <w:t>Obavijestite svog liječnika ako koristite lijekove koji sprječavaju stvaranje krvnih ugrušaka.</w:t>
      </w:r>
    </w:p>
    <w:p w14:paraId="20AB1B29" w14:textId="77777777" w:rsidR="00146472" w:rsidRPr="00510442" w:rsidRDefault="00146472" w:rsidP="00146472">
      <w:pPr>
        <w:pStyle w:val="EndnoteText"/>
        <w:widowControl w:val="0"/>
        <w:numPr>
          <w:ilvl w:val="12"/>
          <w:numId w:val="0"/>
        </w:numPr>
        <w:tabs>
          <w:tab w:val="clear" w:pos="567"/>
        </w:tabs>
        <w:rPr>
          <w:color w:val="000000"/>
          <w:szCs w:val="22"/>
          <w:lang w:val="hr-HR"/>
        </w:rPr>
      </w:pPr>
    </w:p>
    <w:p w14:paraId="5F3DA499" w14:textId="77777777" w:rsidR="00146472" w:rsidRPr="00510442" w:rsidRDefault="00146472" w:rsidP="00911837">
      <w:pPr>
        <w:pStyle w:val="EndnoteText"/>
        <w:keepNext/>
        <w:widowControl w:val="0"/>
        <w:numPr>
          <w:ilvl w:val="12"/>
          <w:numId w:val="0"/>
        </w:numPr>
        <w:tabs>
          <w:tab w:val="clear" w:pos="567"/>
        </w:tabs>
        <w:rPr>
          <w:b/>
          <w:szCs w:val="22"/>
          <w:lang w:val="hr-HR"/>
        </w:rPr>
      </w:pPr>
      <w:r w:rsidRPr="00510442">
        <w:rPr>
          <w:b/>
          <w:szCs w:val="22"/>
          <w:lang w:val="hr-HR"/>
        </w:rPr>
        <w:t>Trudnoća, dojenje i plodnost</w:t>
      </w:r>
    </w:p>
    <w:p w14:paraId="5AE05DF8" w14:textId="77777777" w:rsidR="00146472" w:rsidRPr="00510442" w:rsidRDefault="00146472" w:rsidP="00146472">
      <w:pPr>
        <w:widowControl w:val="0"/>
        <w:numPr>
          <w:ilvl w:val="0"/>
          <w:numId w:val="15"/>
        </w:numPr>
        <w:tabs>
          <w:tab w:val="clear" w:pos="567"/>
        </w:tabs>
        <w:spacing w:line="240" w:lineRule="auto"/>
        <w:ind w:left="567" w:hanging="567"/>
        <w:rPr>
          <w:szCs w:val="22"/>
          <w:lang w:val="hr-HR"/>
        </w:rPr>
      </w:pPr>
      <w:r w:rsidRPr="00510442">
        <w:rPr>
          <w:szCs w:val="22"/>
          <w:lang w:val="hr-HR"/>
        </w:rPr>
        <w:t>Ako ste trudni ili dojite, mislite da biste mogli biti trudni ili planirate imati dijete, obratite se svom liječniku za savjet prije nego uzmete ovaj lijek.</w:t>
      </w:r>
    </w:p>
    <w:p w14:paraId="6C81CB82" w14:textId="491CA80A" w:rsidR="00146472" w:rsidRPr="00510442" w:rsidRDefault="00146472" w:rsidP="00146472">
      <w:pPr>
        <w:widowControl w:val="0"/>
        <w:numPr>
          <w:ilvl w:val="0"/>
          <w:numId w:val="15"/>
        </w:numPr>
        <w:tabs>
          <w:tab w:val="clear" w:pos="567"/>
        </w:tabs>
        <w:spacing w:line="240" w:lineRule="auto"/>
        <w:ind w:left="567" w:hanging="567"/>
        <w:rPr>
          <w:color w:val="000000"/>
          <w:szCs w:val="22"/>
          <w:lang w:val="hr-HR"/>
        </w:rPr>
      </w:pPr>
      <w:r w:rsidRPr="00510442">
        <w:rPr>
          <w:szCs w:val="22"/>
          <w:lang w:val="hr-HR"/>
        </w:rPr>
        <w:t xml:space="preserve">Glivec se ne smije upotrebljavati tijekom trudnoće, osim ako to nije neophodno. Liječnik će Vam objasniti moguće rizike od uzimanja </w:t>
      </w:r>
      <w:r w:rsidR="00DB1682" w:rsidRPr="00512481">
        <w:rPr>
          <w:szCs w:val="22"/>
          <w:lang w:val="hr-HR"/>
        </w:rPr>
        <w:t xml:space="preserve">lijeka </w:t>
      </w:r>
      <w:r w:rsidRPr="00510442">
        <w:rPr>
          <w:szCs w:val="22"/>
          <w:lang w:val="hr-HR"/>
        </w:rPr>
        <w:t>Glivec tijekom trudnoće.</w:t>
      </w:r>
    </w:p>
    <w:p w14:paraId="4A6920F4" w14:textId="77777777" w:rsidR="00146472" w:rsidRPr="00510442" w:rsidRDefault="00146472" w:rsidP="00146472">
      <w:pPr>
        <w:widowControl w:val="0"/>
        <w:numPr>
          <w:ilvl w:val="0"/>
          <w:numId w:val="15"/>
        </w:numPr>
        <w:tabs>
          <w:tab w:val="clear" w:pos="567"/>
        </w:tabs>
        <w:spacing w:line="240" w:lineRule="auto"/>
        <w:ind w:left="567" w:hanging="567"/>
        <w:rPr>
          <w:color w:val="000000"/>
          <w:szCs w:val="22"/>
          <w:lang w:val="hr-HR"/>
        </w:rPr>
      </w:pPr>
      <w:r w:rsidRPr="00510442">
        <w:rPr>
          <w:szCs w:val="22"/>
          <w:lang w:val="hr-HR"/>
        </w:rPr>
        <w:t>Ženama koje mogu zatrudnjeti se savjetuje primjena učinkovite kontracepcije tijekom liječenja</w:t>
      </w:r>
      <w:r w:rsidR="004A466E" w:rsidRPr="004A466E">
        <w:rPr>
          <w:szCs w:val="22"/>
          <w:lang w:val="hr-HR"/>
        </w:rPr>
        <w:t xml:space="preserve"> </w:t>
      </w:r>
      <w:r w:rsidR="004A466E">
        <w:rPr>
          <w:szCs w:val="22"/>
          <w:lang w:val="hr-HR"/>
        </w:rPr>
        <w:t>i u razdoblju od 15 dana nakon prestanka liječenja</w:t>
      </w:r>
      <w:r w:rsidRPr="00510442">
        <w:rPr>
          <w:szCs w:val="22"/>
          <w:lang w:val="hr-HR"/>
        </w:rPr>
        <w:t>.</w:t>
      </w:r>
    </w:p>
    <w:p w14:paraId="3E220BAE" w14:textId="6B675CF9" w:rsidR="00146472" w:rsidRPr="00F410C8" w:rsidRDefault="00146472" w:rsidP="00146472">
      <w:pPr>
        <w:widowControl w:val="0"/>
        <w:numPr>
          <w:ilvl w:val="0"/>
          <w:numId w:val="15"/>
        </w:numPr>
        <w:tabs>
          <w:tab w:val="clear" w:pos="567"/>
        </w:tabs>
        <w:spacing w:line="240" w:lineRule="auto"/>
        <w:ind w:left="567" w:hanging="567"/>
        <w:rPr>
          <w:color w:val="000000"/>
          <w:szCs w:val="22"/>
          <w:lang w:val="hr-HR"/>
        </w:rPr>
      </w:pPr>
      <w:r w:rsidRPr="00510442">
        <w:rPr>
          <w:szCs w:val="22"/>
          <w:lang w:val="hr-HR"/>
        </w:rPr>
        <w:t xml:space="preserve">Nemojte dojiti tijekom </w:t>
      </w:r>
      <w:r w:rsidRPr="00F410C8">
        <w:rPr>
          <w:szCs w:val="22"/>
          <w:lang w:val="hr-HR"/>
        </w:rPr>
        <w:t xml:space="preserve">liječenja </w:t>
      </w:r>
      <w:r w:rsidR="00B3237D" w:rsidRPr="00F410C8">
        <w:rPr>
          <w:szCs w:val="22"/>
          <w:lang w:val="hr-HR"/>
        </w:rPr>
        <w:t xml:space="preserve">lijekom </w:t>
      </w:r>
      <w:r w:rsidRPr="00F410C8">
        <w:rPr>
          <w:szCs w:val="22"/>
          <w:lang w:val="hr-HR"/>
        </w:rPr>
        <w:t>Glivec</w:t>
      </w:r>
      <w:r w:rsidR="004A466E" w:rsidRPr="00F410C8">
        <w:rPr>
          <w:szCs w:val="22"/>
          <w:lang w:val="hr-HR"/>
        </w:rPr>
        <w:t xml:space="preserve"> i u razdoblju od 15 dana nakon prestanka liječenja, jer </w:t>
      </w:r>
      <w:r w:rsidR="003C0256" w:rsidRPr="00F410C8">
        <w:rPr>
          <w:szCs w:val="22"/>
          <w:lang w:val="hr-HR"/>
        </w:rPr>
        <w:t xml:space="preserve">to </w:t>
      </w:r>
      <w:r w:rsidR="004A466E" w:rsidRPr="00F410C8">
        <w:rPr>
          <w:szCs w:val="22"/>
          <w:lang w:val="hr-HR"/>
        </w:rPr>
        <w:t xml:space="preserve">može </w:t>
      </w:r>
      <w:r w:rsidR="003C0256" w:rsidRPr="00F410C8">
        <w:rPr>
          <w:szCs w:val="22"/>
          <w:lang w:val="hr-HR"/>
        </w:rPr>
        <w:t>na</w:t>
      </w:r>
      <w:r w:rsidR="004A466E" w:rsidRPr="00F410C8">
        <w:rPr>
          <w:szCs w:val="22"/>
          <w:lang w:val="hr-HR"/>
        </w:rPr>
        <w:t>štetiti Vašem djetetu</w:t>
      </w:r>
      <w:r w:rsidRPr="00F410C8">
        <w:rPr>
          <w:szCs w:val="22"/>
          <w:lang w:val="hr-HR"/>
        </w:rPr>
        <w:t>.</w:t>
      </w:r>
    </w:p>
    <w:p w14:paraId="3B26E049" w14:textId="7766B863" w:rsidR="00146472" w:rsidRPr="00510442" w:rsidRDefault="00146472" w:rsidP="00146472">
      <w:pPr>
        <w:widowControl w:val="0"/>
        <w:numPr>
          <w:ilvl w:val="0"/>
          <w:numId w:val="15"/>
        </w:numPr>
        <w:tabs>
          <w:tab w:val="clear" w:pos="567"/>
        </w:tabs>
        <w:spacing w:line="240" w:lineRule="auto"/>
        <w:ind w:left="567" w:hanging="567"/>
        <w:rPr>
          <w:szCs w:val="22"/>
          <w:lang w:val="hr-HR"/>
        </w:rPr>
      </w:pPr>
      <w:r w:rsidRPr="00F410C8">
        <w:rPr>
          <w:szCs w:val="22"/>
          <w:lang w:val="hr-HR"/>
        </w:rPr>
        <w:t>Bolesnicima koji su zabrinuti za svoju</w:t>
      </w:r>
      <w:r w:rsidRPr="00510442">
        <w:rPr>
          <w:szCs w:val="22"/>
          <w:lang w:val="hr-HR"/>
        </w:rPr>
        <w:t xml:space="preserve"> plodnost tijekom uzimanja </w:t>
      </w:r>
      <w:r w:rsidR="00DB1682" w:rsidRPr="00512481">
        <w:rPr>
          <w:szCs w:val="22"/>
          <w:lang w:val="hr-HR"/>
        </w:rPr>
        <w:t xml:space="preserve">lijeka </w:t>
      </w:r>
      <w:r w:rsidRPr="00510442">
        <w:rPr>
          <w:szCs w:val="22"/>
          <w:lang w:val="hr-HR"/>
        </w:rPr>
        <w:t>Glivec se preporučuje da se posavjetuju sa svojim liječnikom.</w:t>
      </w:r>
    </w:p>
    <w:p w14:paraId="5D7734B2" w14:textId="77777777" w:rsidR="00146472" w:rsidRPr="00510442" w:rsidRDefault="00146472" w:rsidP="00146472">
      <w:pPr>
        <w:widowControl w:val="0"/>
        <w:numPr>
          <w:ilvl w:val="12"/>
          <w:numId w:val="0"/>
        </w:numPr>
        <w:tabs>
          <w:tab w:val="clear" w:pos="567"/>
        </w:tabs>
        <w:spacing w:line="240" w:lineRule="auto"/>
        <w:rPr>
          <w:color w:val="000000"/>
          <w:szCs w:val="22"/>
          <w:lang w:val="hr-HR"/>
        </w:rPr>
      </w:pPr>
    </w:p>
    <w:p w14:paraId="412D8B3F" w14:textId="77777777" w:rsidR="00146472" w:rsidRPr="00510442" w:rsidRDefault="00146472" w:rsidP="00911837">
      <w:pPr>
        <w:keepNext/>
        <w:widowControl w:val="0"/>
        <w:numPr>
          <w:ilvl w:val="12"/>
          <w:numId w:val="0"/>
        </w:numPr>
        <w:tabs>
          <w:tab w:val="clear" w:pos="567"/>
        </w:tabs>
        <w:spacing w:line="240" w:lineRule="auto"/>
        <w:ind w:right="-2"/>
        <w:rPr>
          <w:color w:val="000000"/>
          <w:szCs w:val="22"/>
          <w:lang w:val="hr-HR"/>
        </w:rPr>
      </w:pPr>
      <w:r w:rsidRPr="00510442">
        <w:rPr>
          <w:b/>
          <w:szCs w:val="22"/>
          <w:lang w:val="hr-HR"/>
        </w:rPr>
        <w:t>Upravljanje vozilima i strojevima</w:t>
      </w:r>
    </w:p>
    <w:p w14:paraId="0B43D006" w14:textId="77777777" w:rsidR="00146472" w:rsidRPr="00510442" w:rsidRDefault="00146472" w:rsidP="00146472">
      <w:pPr>
        <w:widowControl w:val="0"/>
        <w:numPr>
          <w:ilvl w:val="12"/>
          <w:numId w:val="0"/>
        </w:numPr>
        <w:tabs>
          <w:tab w:val="clear" w:pos="567"/>
        </w:tabs>
        <w:spacing w:line="240" w:lineRule="auto"/>
        <w:ind w:right="-29"/>
        <w:rPr>
          <w:color w:val="000000"/>
          <w:szCs w:val="22"/>
          <w:lang w:val="hr-HR"/>
        </w:rPr>
      </w:pPr>
      <w:r w:rsidRPr="00510442">
        <w:rPr>
          <w:szCs w:val="22"/>
          <w:lang w:val="hr-HR"/>
        </w:rPr>
        <w:t>Tijekom uzimanja ovog lijeka možete osjetiti omaglicu ili imati zamagljen vid. Ako se to dogodi, nemojte voziti niti koristiti alate ili strojeve dok se ponovno ne počnete osjećati dobro.</w:t>
      </w:r>
    </w:p>
    <w:p w14:paraId="43902B61" w14:textId="77777777" w:rsidR="00146472" w:rsidRPr="00510442" w:rsidRDefault="00146472" w:rsidP="00146472">
      <w:pPr>
        <w:pStyle w:val="EndnoteText"/>
        <w:widowControl w:val="0"/>
        <w:numPr>
          <w:ilvl w:val="12"/>
          <w:numId w:val="0"/>
        </w:numPr>
        <w:tabs>
          <w:tab w:val="clear" w:pos="567"/>
        </w:tabs>
        <w:rPr>
          <w:color w:val="000000"/>
          <w:szCs w:val="22"/>
          <w:lang w:val="hr-HR"/>
        </w:rPr>
      </w:pPr>
    </w:p>
    <w:p w14:paraId="0CDD00BB" w14:textId="77777777" w:rsidR="00146472" w:rsidRPr="00510442" w:rsidRDefault="00146472" w:rsidP="00146472">
      <w:pPr>
        <w:pStyle w:val="EndnoteText"/>
        <w:widowControl w:val="0"/>
        <w:numPr>
          <w:ilvl w:val="12"/>
          <w:numId w:val="0"/>
        </w:numPr>
        <w:tabs>
          <w:tab w:val="clear" w:pos="567"/>
        </w:tabs>
        <w:rPr>
          <w:color w:val="000000"/>
          <w:szCs w:val="22"/>
          <w:lang w:val="hr-HR"/>
        </w:rPr>
      </w:pPr>
    </w:p>
    <w:p w14:paraId="1571CD45" w14:textId="77777777" w:rsidR="00146472" w:rsidRPr="00510442" w:rsidRDefault="00146472" w:rsidP="00911837">
      <w:pPr>
        <w:keepNext/>
        <w:widowControl w:val="0"/>
        <w:numPr>
          <w:ilvl w:val="12"/>
          <w:numId w:val="0"/>
        </w:numPr>
        <w:tabs>
          <w:tab w:val="clear" w:pos="567"/>
        </w:tabs>
        <w:spacing w:line="240" w:lineRule="auto"/>
        <w:ind w:left="567" w:right="-2" w:hanging="567"/>
        <w:rPr>
          <w:color w:val="000000"/>
          <w:szCs w:val="22"/>
          <w:lang w:val="hr-HR"/>
        </w:rPr>
      </w:pPr>
      <w:r w:rsidRPr="00510442">
        <w:rPr>
          <w:b/>
          <w:color w:val="000000"/>
          <w:szCs w:val="22"/>
          <w:lang w:val="hr-HR"/>
        </w:rPr>
        <w:t>3.</w:t>
      </w:r>
      <w:r w:rsidRPr="00510442">
        <w:rPr>
          <w:b/>
          <w:color w:val="000000"/>
          <w:szCs w:val="22"/>
          <w:lang w:val="hr-HR"/>
        </w:rPr>
        <w:tab/>
        <w:t>Kako uzimati Glivec</w:t>
      </w:r>
    </w:p>
    <w:p w14:paraId="49DC808B" w14:textId="77777777" w:rsidR="00146472" w:rsidRPr="00510442" w:rsidRDefault="00146472" w:rsidP="00911837">
      <w:pPr>
        <w:pStyle w:val="EndnoteText"/>
        <w:keepNext/>
        <w:widowControl w:val="0"/>
        <w:numPr>
          <w:ilvl w:val="12"/>
          <w:numId w:val="0"/>
        </w:numPr>
        <w:tabs>
          <w:tab w:val="clear" w:pos="567"/>
        </w:tabs>
        <w:rPr>
          <w:color w:val="000000"/>
          <w:szCs w:val="22"/>
          <w:lang w:val="hr-HR"/>
        </w:rPr>
      </w:pPr>
    </w:p>
    <w:p w14:paraId="2B3C4258" w14:textId="77777777" w:rsidR="00146472" w:rsidRPr="00510442" w:rsidRDefault="00146472" w:rsidP="00DB028B">
      <w:pPr>
        <w:pStyle w:val="Text"/>
        <w:widowControl w:val="0"/>
        <w:spacing w:before="0"/>
        <w:jc w:val="left"/>
        <w:rPr>
          <w:color w:val="000000"/>
          <w:sz w:val="22"/>
          <w:szCs w:val="22"/>
          <w:lang w:val="hr-HR" w:bidi="th-TH"/>
        </w:rPr>
      </w:pPr>
      <w:r w:rsidRPr="00510442">
        <w:rPr>
          <w:sz w:val="22"/>
          <w:szCs w:val="22"/>
          <w:lang w:val="hr-HR"/>
        </w:rPr>
        <w:t>Vaš liječnik je propisao Glivec, jer patite od ozbiljnog stanja. Glivec Vam može pomoći u borbi protiv tog stanja</w:t>
      </w:r>
      <w:r w:rsidRPr="00510442">
        <w:rPr>
          <w:color w:val="000000"/>
          <w:sz w:val="22"/>
          <w:szCs w:val="22"/>
          <w:lang w:val="hr-HR" w:bidi="th-TH"/>
        </w:rPr>
        <w:t>.</w:t>
      </w:r>
    </w:p>
    <w:p w14:paraId="41C9E862" w14:textId="77777777" w:rsidR="00146472" w:rsidRPr="00510442" w:rsidRDefault="00146472" w:rsidP="00DB028B">
      <w:pPr>
        <w:pStyle w:val="Text"/>
        <w:widowControl w:val="0"/>
        <w:spacing w:before="0"/>
        <w:jc w:val="left"/>
        <w:rPr>
          <w:color w:val="000000"/>
          <w:sz w:val="22"/>
          <w:szCs w:val="22"/>
          <w:lang w:val="hr-HR" w:bidi="th-TH"/>
        </w:rPr>
      </w:pPr>
    </w:p>
    <w:p w14:paraId="79E4DD33" w14:textId="77777777" w:rsidR="00146472" w:rsidRPr="00510442" w:rsidRDefault="00146472" w:rsidP="00DB028B">
      <w:pPr>
        <w:pStyle w:val="Text"/>
        <w:widowControl w:val="0"/>
        <w:spacing w:before="0"/>
        <w:jc w:val="left"/>
        <w:rPr>
          <w:color w:val="000000"/>
          <w:sz w:val="22"/>
          <w:szCs w:val="22"/>
          <w:lang w:val="hr-HR"/>
        </w:rPr>
      </w:pPr>
      <w:r w:rsidRPr="00510442">
        <w:rPr>
          <w:sz w:val="22"/>
          <w:szCs w:val="22"/>
          <w:lang w:val="hr-HR" w:bidi="th-TH"/>
        </w:rPr>
        <w:t xml:space="preserve">Međutim, </w:t>
      </w:r>
      <w:r w:rsidRPr="00510442">
        <w:rPr>
          <w:sz w:val="22"/>
          <w:szCs w:val="22"/>
          <w:lang w:val="hr-HR"/>
        </w:rPr>
        <w:t xml:space="preserve">uvijek uzmite ovaj lijek točno onako kako Vam </w:t>
      </w:r>
      <w:r w:rsidR="00744714" w:rsidRPr="00510442">
        <w:rPr>
          <w:sz w:val="22"/>
          <w:szCs w:val="22"/>
          <w:lang w:val="hr-HR"/>
        </w:rPr>
        <w:t xml:space="preserve">je </w:t>
      </w:r>
      <w:r w:rsidRPr="00510442">
        <w:rPr>
          <w:sz w:val="22"/>
          <w:szCs w:val="22"/>
          <w:lang w:val="hr-HR"/>
        </w:rPr>
        <w:t>rek</w:t>
      </w:r>
      <w:r w:rsidR="00744714" w:rsidRPr="00510442">
        <w:rPr>
          <w:sz w:val="22"/>
          <w:szCs w:val="22"/>
          <w:lang w:val="hr-HR"/>
        </w:rPr>
        <w:t>ao</w:t>
      </w:r>
      <w:r w:rsidRPr="00510442">
        <w:rPr>
          <w:sz w:val="22"/>
          <w:szCs w:val="22"/>
          <w:lang w:val="hr-HR"/>
        </w:rPr>
        <w:t xml:space="preserve"> liječnik ili ljekarnik. Važno je da to činite onoliko dugo koliko Vam kaže liječnik ili ljekarnik. Provjerite s liječnikom ili ljekarnikom ako niste sigurni</w:t>
      </w:r>
      <w:r w:rsidRPr="00510442">
        <w:rPr>
          <w:color w:val="000000"/>
          <w:sz w:val="22"/>
          <w:szCs w:val="22"/>
          <w:lang w:val="hr-HR"/>
        </w:rPr>
        <w:t>.</w:t>
      </w:r>
    </w:p>
    <w:p w14:paraId="5C06F96B" w14:textId="77777777" w:rsidR="00146472" w:rsidRPr="00510442" w:rsidRDefault="00146472" w:rsidP="00DB028B">
      <w:pPr>
        <w:pStyle w:val="Text"/>
        <w:widowControl w:val="0"/>
        <w:spacing w:before="0"/>
        <w:jc w:val="left"/>
        <w:rPr>
          <w:color w:val="000000"/>
          <w:sz w:val="22"/>
          <w:szCs w:val="22"/>
          <w:lang w:val="hr-HR"/>
        </w:rPr>
      </w:pPr>
    </w:p>
    <w:p w14:paraId="129B5C82" w14:textId="77777777" w:rsidR="00146472" w:rsidRPr="00510442" w:rsidRDefault="00146472" w:rsidP="00DB028B">
      <w:pPr>
        <w:tabs>
          <w:tab w:val="clear" w:pos="567"/>
        </w:tabs>
        <w:autoSpaceDE w:val="0"/>
        <w:autoSpaceDN w:val="0"/>
        <w:adjustRightInd w:val="0"/>
        <w:spacing w:line="240" w:lineRule="auto"/>
        <w:rPr>
          <w:color w:val="000000"/>
          <w:szCs w:val="22"/>
          <w:lang w:val="hr-HR" w:bidi="th-TH"/>
        </w:rPr>
      </w:pPr>
      <w:r w:rsidRPr="00510442">
        <w:rPr>
          <w:bCs/>
          <w:szCs w:val="22"/>
          <w:lang w:val="hr-HR"/>
        </w:rPr>
        <w:t>Nemojte prestati uzimati Glivec, osim ako Vam to ne kaže liječnik. Ako niste u mogućnosti uzimati ovaj lijek kako Vam je liječnik propisao ili ako osjećate da Vam više ne treba, odmah se obratite svom liječniku</w:t>
      </w:r>
      <w:r w:rsidRPr="00510442">
        <w:rPr>
          <w:color w:val="000000"/>
          <w:szCs w:val="22"/>
          <w:lang w:val="hr-HR" w:bidi="th-TH"/>
        </w:rPr>
        <w:t>.</w:t>
      </w:r>
    </w:p>
    <w:p w14:paraId="6D38AA82" w14:textId="77777777" w:rsidR="00146472" w:rsidRPr="00510442" w:rsidRDefault="00146472" w:rsidP="00DB028B">
      <w:pPr>
        <w:pStyle w:val="Text"/>
        <w:widowControl w:val="0"/>
        <w:spacing w:before="0"/>
        <w:jc w:val="left"/>
        <w:rPr>
          <w:color w:val="000000"/>
          <w:sz w:val="22"/>
          <w:szCs w:val="22"/>
          <w:lang w:val="hr-HR"/>
        </w:rPr>
      </w:pPr>
    </w:p>
    <w:p w14:paraId="31F241C7" w14:textId="3ABC9897" w:rsidR="00146472" w:rsidRPr="00510442" w:rsidRDefault="00146472" w:rsidP="00911837">
      <w:pPr>
        <w:pStyle w:val="Heading2"/>
        <w:widowControl w:val="0"/>
        <w:spacing w:before="0" w:after="0" w:line="240" w:lineRule="auto"/>
        <w:rPr>
          <w:rFonts w:ascii="Times New Roman" w:hAnsi="Times New Roman"/>
          <w:i w:val="0"/>
          <w:color w:val="000000"/>
          <w:sz w:val="22"/>
          <w:szCs w:val="22"/>
          <w:lang w:val="hr-HR"/>
        </w:rPr>
      </w:pPr>
      <w:r w:rsidRPr="00510442">
        <w:rPr>
          <w:rFonts w:ascii="Times New Roman" w:hAnsi="Times New Roman"/>
          <w:i w:val="0"/>
          <w:color w:val="000000"/>
          <w:sz w:val="22"/>
          <w:szCs w:val="22"/>
          <w:lang w:val="hr-HR"/>
        </w:rPr>
        <w:t xml:space="preserve">Koliko </w:t>
      </w:r>
      <w:r w:rsidR="00DB1682" w:rsidRPr="00DB1682">
        <w:rPr>
          <w:rFonts w:ascii="Times New Roman" w:hAnsi="Times New Roman"/>
          <w:i w:val="0"/>
          <w:color w:val="000000"/>
          <w:sz w:val="22"/>
          <w:szCs w:val="22"/>
          <w:lang w:val="hr-HR"/>
        </w:rPr>
        <w:t xml:space="preserve">lijeka </w:t>
      </w:r>
      <w:r w:rsidRPr="00510442">
        <w:rPr>
          <w:rFonts w:ascii="Times New Roman" w:hAnsi="Times New Roman"/>
          <w:i w:val="0"/>
          <w:color w:val="000000"/>
          <w:sz w:val="22"/>
          <w:szCs w:val="22"/>
          <w:lang w:val="hr-HR"/>
        </w:rPr>
        <w:t>Glivec uzeti</w:t>
      </w:r>
    </w:p>
    <w:p w14:paraId="35D22F35" w14:textId="77777777" w:rsidR="00146472" w:rsidRPr="00510442" w:rsidRDefault="00146472" w:rsidP="00911837">
      <w:pPr>
        <w:pStyle w:val="Text"/>
        <w:keepNext/>
        <w:widowControl w:val="0"/>
        <w:spacing w:before="0"/>
        <w:jc w:val="left"/>
        <w:rPr>
          <w:color w:val="000000"/>
          <w:sz w:val="22"/>
          <w:szCs w:val="22"/>
          <w:lang w:val="hr-HR"/>
        </w:rPr>
      </w:pPr>
    </w:p>
    <w:p w14:paraId="5B69DBC5" w14:textId="77777777" w:rsidR="00146472" w:rsidRPr="00510442" w:rsidRDefault="00146472" w:rsidP="00911837">
      <w:pPr>
        <w:pStyle w:val="Text"/>
        <w:keepNext/>
        <w:widowControl w:val="0"/>
        <w:spacing w:before="0"/>
        <w:jc w:val="left"/>
        <w:rPr>
          <w:b/>
          <w:bCs/>
          <w:color w:val="000000"/>
          <w:sz w:val="22"/>
          <w:szCs w:val="22"/>
          <w:lang w:val="hr-HR"/>
        </w:rPr>
      </w:pPr>
      <w:r w:rsidRPr="00510442">
        <w:rPr>
          <w:b/>
          <w:bCs/>
          <w:color w:val="000000"/>
          <w:sz w:val="22"/>
          <w:szCs w:val="22"/>
          <w:lang w:val="hr-HR"/>
        </w:rPr>
        <w:t xml:space="preserve">Primjena u </w:t>
      </w:r>
      <w:r w:rsidRPr="00510442">
        <w:rPr>
          <w:b/>
          <w:bCs/>
          <w:sz w:val="22"/>
          <w:szCs w:val="22"/>
          <w:lang w:val="hr-HR"/>
        </w:rPr>
        <w:t>odraslih osoba</w:t>
      </w:r>
    </w:p>
    <w:p w14:paraId="0720F467" w14:textId="70369E9C" w:rsidR="00146472" w:rsidRPr="00510442" w:rsidRDefault="00146472" w:rsidP="00911837">
      <w:pPr>
        <w:pStyle w:val="Text"/>
        <w:keepNext/>
        <w:widowControl w:val="0"/>
        <w:spacing w:before="0"/>
        <w:jc w:val="left"/>
        <w:rPr>
          <w:color w:val="000000"/>
          <w:sz w:val="22"/>
          <w:szCs w:val="22"/>
          <w:lang w:val="hr-HR"/>
        </w:rPr>
      </w:pPr>
      <w:r w:rsidRPr="00510442">
        <w:rPr>
          <w:sz w:val="22"/>
          <w:szCs w:val="22"/>
          <w:lang w:val="hr-HR"/>
        </w:rPr>
        <w:t xml:space="preserve">Liječnik će Vam reći točno koliko tableta </w:t>
      </w:r>
      <w:r w:rsidR="00DB1682" w:rsidRPr="00512481">
        <w:rPr>
          <w:sz w:val="22"/>
          <w:szCs w:val="22"/>
          <w:lang w:val="hr-HR"/>
        </w:rPr>
        <w:t xml:space="preserve">lijeka </w:t>
      </w:r>
      <w:r w:rsidRPr="00510442">
        <w:rPr>
          <w:sz w:val="22"/>
          <w:szCs w:val="22"/>
          <w:lang w:val="hr-HR"/>
        </w:rPr>
        <w:t>Glivec trebate uzeti</w:t>
      </w:r>
      <w:r w:rsidRPr="00510442">
        <w:rPr>
          <w:color w:val="000000"/>
          <w:sz w:val="22"/>
          <w:szCs w:val="22"/>
          <w:lang w:val="hr-HR"/>
        </w:rPr>
        <w:t>.</w:t>
      </w:r>
    </w:p>
    <w:p w14:paraId="164CD31C" w14:textId="77777777" w:rsidR="00146472" w:rsidRPr="00510442" w:rsidRDefault="00146472" w:rsidP="00911837">
      <w:pPr>
        <w:pStyle w:val="Text"/>
        <w:keepNext/>
        <w:widowControl w:val="0"/>
        <w:spacing w:before="0"/>
        <w:jc w:val="left"/>
        <w:rPr>
          <w:color w:val="000000"/>
          <w:sz w:val="22"/>
          <w:szCs w:val="22"/>
          <w:lang w:val="hr-HR"/>
        </w:rPr>
      </w:pPr>
    </w:p>
    <w:p w14:paraId="1C4B9BC9" w14:textId="77777777" w:rsidR="00146472" w:rsidRPr="00510442" w:rsidRDefault="00146472" w:rsidP="00911837">
      <w:pPr>
        <w:pStyle w:val="Text"/>
        <w:keepNext/>
        <w:widowControl w:val="0"/>
        <w:numPr>
          <w:ilvl w:val="0"/>
          <w:numId w:val="16"/>
        </w:numPr>
        <w:spacing w:before="0"/>
        <w:ind w:left="567" w:hanging="567"/>
        <w:jc w:val="left"/>
        <w:rPr>
          <w:color w:val="000000"/>
          <w:sz w:val="22"/>
          <w:szCs w:val="22"/>
          <w:lang w:val="hr-HR"/>
        </w:rPr>
      </w:pPr>
      <w:r w:rsidRPr="00510442">
        <w:rPr>
          <w:b/>
          <w:sz w:val="22"/>
          <w:szCs w:val="22"/>
          <w:lang w:val="hr-HR"/>
        </w:rPr>
        <w:t>Ako se liječite zbog KML-a</w:t>
      </w:r>
      <w:r w:rsidRPr="00510442">
        <w:rPr>
          <w:b/>
          <w:bCs/>
          <w:color w:val="000000"/>
          <w:sz w:val="22"/>
          <w:szCs w:val="22"/>
          <w:lang w:val="hr-HR"/>
        </w:rPr>
        <w:t>:</w:t>
      </w:r>
    </w:p>
    <w:p w14:paraId="1BA433DB" w14:textId="7974FEE0" w:rsidR="00146472" w:rsidRPr="00510442" w:rsidRDefault="00146472" w:rsidP="00911837">
      <w:pPr>
        <w:pStyle w:val="Text"/>
        <w:keepNext/>
        <w:widowControl w:val="0"/>
        <w:spacing w:before="0"/>
        <w:ind w:left="567"/>
        <w:jc w:val="left"/>
        <w:rPr>
          <w:color w:val="000000"/>
          <w:sz w:val="22"/>
          <w:szCs w:val="22"/>
          <w:lang w:val="hr-HR"/>
        </w:rPr>
      </w:pPr>
      <w:r w:rsidRPr="00510442">
        <w:rPr>
          <w:sz w:val="22"/>
          <w:szCs w:val="22"/>
          <w:lang w:val="hr-HR"/>
        </w:rPr>
        <w:t xml:space="preserve">Ovisno o Vašem stanju, uobičajena početna doza je ili </w:t>
      </w:r>
      <w:r w:rsidRPr="0080729A">
        <w:rPr>
          <w:b/>
          <w:sz w:val="22"/>
          <w:szCs w:val="22"/>
          <w:lang w:val="hr-HR"/>
        </w:rPr>
        <w:t>400</w:t>
      </w:r>
      <w:r w:rsidRPr="0080729A">
        <w:rPr>
          <w:b/>
          <w:color w:val="000000"/>
          <w:sz w:val="22"/>
          <w:szCs w:val="22"/>
          <w:lang w:val="hr-HR"/>
        </w:rPr>
        <w:t> </w:t>
      </w:r>
      <w:r w:rsidRPr="0080729A">
        <w:rPr>
          <w:b/>
          <w:sz w:val="22"/>
          <w:szCs w:val="22"/>
          <w:lang w:val="hr-HR"/>
        </w:rPr>
        <w:t>mg</w:t>
      </w:r>
      <w:r w:rsidRPr="00510442">
        <w:rPr>
          <w:sz w:val="22"/>
          <w:szCs w:val="22"/>
          <w:lang w:val="hr-HR"/>
        </w:rPr>
        <w:t xml:space="preserve"> ili </w:t>
      </w:r>
      <w:r w:rsidRPr="0080729A">
        <w:rPr>
          <w:b/>
          <w:sz w:val="22"/>
          <w:szCs w:val="22"/>
          <w:lang w:val="hr-HR"/>
        </w:rPr>
        <w:t>600</w:t>
      </w:r>
      <w:r w:rsidRPr="0080729A">
        <w:rPr>
          <w:b/>
          <w:color w:val="000000"/>
          <w:sz w:val="22"/>
          <w:szCs w:val="22"/>
          <w:lang w:val="hr-HR"/>
        </w:rPr>
        <w:t> </w:t>
      </w:r>
      <w:r w:rsidRPr="0080729A">
        <w:rPr>
          <w:b/>
          <w:sz w:val="22"/>
          <w:szCs w:val="22"/>
          <w:lang w:val="hr-HR"/>
        </w:rPr>
        <w:t>mg</w:t>
      </w:r>
      <w:r w:rsidR="00751A4B">
        <w:rPr>
          <w:sz w:val="22"/>
          <w:szCs w:val="22"/>
          <w:lang w:val="hr-HR"/>
        </w:rPr>
        <w:t xml:space="preserve"> koja se uzima </w:t>
      </w:r>
      <w:r w:rsidR="00751A4B" w:rsidRPr="0080729A">
        <w:rPr>
          <w:b/>
          <w:sz w:val="22"/>
          <w:szCs w:val="22"/>
          <w:lang w:val="hr-HR"/>
        </w:rPr>
        <w:t>jednom</w:t>
      </w:r>
      <w:r w:rsidR="00751A4B">
        <w:rPr>
          <w:sz w:val="22"/>
          <w:szCs w:val="22"/>
          <w:lang w:val="hr-HR"/>
        </w:rPr>
        <w:t xml:space="preserve"> na dan.</w:t>
      </w:r>
    </w:p>
    <w:p w14:paraId="5242DCC2" w14:textId="77777777" w:rsidR="00146472" w:rsidRPr="00510442" w:rsidRDefault="00146472" w:rsidP="00DB028B">
      <w:pPr>
        <w:pStyle w:val="Text"/>
        <w:widowControl w:val="0"/>
        <w:spacing w:before="0"/>
        <w:jc w:val="left"/>
        <w:rPr>
          <w:color w:val="000000"/>
          <w:sz w:val="22"/>
          <w:szCs w:val="22"/>
          <w:lang w:val="hr-HR"/>
        </w:rPr>
      </w:pPr>
    </w:p>
    <w:p w14:paraId="6A1BDDC8" w14:textId="77777777" w:rsidR="00146472" w:rsidRPr="00510442" w:rsidRDefault="00146472" w:rsidP="00911837">
      <w:pPr>
        <w:pStyle w:val="Text"/>
        <w:keepNext/>
        <w:widowControl w:val="0"/>
        <w:numPr>
          <w:ilvl w:val="1"/>
          <w:numId w:val="12"/>
        </w:numPr>
        <w:spacing w:before="0"/>
        <w:ind w:left="567" w:hanging="567"/>
        <w:jc w:val="left"/>
        <w:rPr>
          <w:color w:val="000000"/>
          <w:sz w:val="22"/>
          <w:szCs w:val="22"/>
          <w:lang w:val="hr-HR"/>
        </w:rPr>
      </w:pPr>
      <w:r w:rsidRPr="00510442">
        <w:rPr>
          <w:b/>
          <w:sz w:val="22"/>
          <w:szCs w:val="22"/>
          <w:lang w:val="hr-HR"/>
        </w:rPr>
        <w:t>Ako se liječite zbog GIST-a</w:t>
      </w:r>
      <w:r w:rsidRPr="00510442">
        <w:rPr>
          <w:b/>
          <w:bCs/>
          <w:color w:val="000000"/>
          <w:sz w:val="22"/>
          <w:szCs w:val="22"/>
          <w:lang w:val="hr-HR"/>
        </w:rPr>
        <w:t>:</w:t>
      </w:r>
    </w:p>
    <w:p w14:paraId="4A1843A8" w14:textId="5FE733EC" w:rsidR="00146472" w:rsidRPr="00510442" w:rsidRDefault="00146472" w:rsidP="00DB028B">
      <w:pPr>
        <w:pStyle w:val="Text"/>
        <w:widowControl w:val="0"/>
        <w:spacing w:before="0"/>
        <w:ind w:left="567"/>
        <w:jc w:val="left"/>
        <w:rPr>
          <w:color w:val="000000"/>
          <w:sz w:val="22"/>
          <w:szCs w:val="22"/>
          <w:lang w:val="hr-HR"/>
        </w:rPr>
      </w:pPr>
      <w:r w:rsidRPr="00510442">
        <w:rPr>
          <w:sz w:val="22"/>
          <w:szCs w:val="22"/>
          <w:lang w:val="hr-HR"/>
        </w:rPr>
        <w:t>Početna doza je 400</w:t>
      </w:r>
      <w:r w:rsidRPr="00510442">
        <w:rPr>
          <w:color w:val="000000"/>
          <w:sz w:val="22"/>
          <w:szCs w:val="22"/>
          <w:lang w:val="hr-HR"/>
        </w:rPr>
        <w:t> </w:t>
      </w:r>
      <w:r w:rsidRPr="00510442">
        <w:rPr>
          <w:sz w:val="22"/>
          <w:szCs w:val="22"/>
          <w:lang w:val="hr-HR"/>
        </w:rPr>
        <w:t xml:space="preserve">mg koja se uzima </w:t>
      </w:r>
      <w:r w:rsidRPr="00510442">
        <w:rPr>
          <w:b/>
          <w:sz w:val="22"/>
          <w:szCs w:val="22"/>
          <w:lang w:val="hr-HR"/>
        </w:rPr>
        <w:t>jednom</w:t>
      </w:r>
      <w:r w:rsidRPr="00510442">
        <w:rPr>
          <w:sz w:val="22"/>
          <w:szCs w:val="22"/>
          <w:lang w:val="hr-HR"/>
        </w:rPr>
        <w:t xml:space="preserve"> na dan</w:t>
      </w:r>
      <w:r w:rsidRPr="00510442">
        <w:rPr>
          <w:color w:val="000000"/>
          <w:sz w:val="22"/>
          <w:szCs w:val="22"/>
          <w:lang w:val="hr-HR"/>
        </w:rPr>
        <w:t>.</w:t>
      </w:r>
    </w:p>
    <w:p w14:paraId="1FE8637E" w14:textId="77777777" w:rsidR="00146472" w:rsidRPr="00510442" w:rsidRDefault="00146472" w:rsidP="00DB028B">
      <w:pPr>
        <w:pStyle w:val="Text"/>
        <w:widowControl w:val="0"/>
        <w:spacing w:before="0"/>
        <w:jc w:val="left"/>
        <w:rPr>
          <w:color w:val="000000"/>
          <w:sz w:val="22"/>
          <w:szCs w:val="22"/>
          <w:lang w:val="hr-HR"/>
        </w:rPr>
      </w:pPr>
    </w:p>
    <w:p w14:paraId="313D9BFC" w14:textId="78A0A6CD" w:rsidR="00146472" w:rsidRPr="00510442" w:rsidRDefault="00146472" w:rsidP="00DB028B">
      <w:pPr>
        <w:pStyle w:val="Text"/>
        <w:widowControl w:val="0"/>
        <w:spacing w:before="0"/>
        <w:jc w:val="left"/>
        <w:rPr>
          <w:color w:val="000000"/>
          <w:sz w:val="22"/>
          <w:szCs w:val="22"/>
          <w:lang w:val="hr-HR"/>
        </w:rPr>
      </w:pPr>
      <w:r w:rsidRPr="00510442">
        <w:rPr>
          <w:sz w:val="22"/>
          <w:szCs w:val="22"/>
          <w:lang w:val="hr-HR"/>
        </w:rPr>
        <w:t>Za KML ili GIST, liječnik Vam može propisati višu ili nižu dozu, ovisno o tome kako reagirate na liječenje. Ako Vaša dnevna doza iznosi 800</w:t>
      </w:r>
      <w:r w:rsidRPr="00510442">
        <w:rPr>
          <w:color w:val="000000"/>
          <w:sz w:val="22"/>
          <w:szCs w:val="22"/>
          <w:lang w:val="hr-HR"/>
        </w:rPr>
        <w:t> </w:t>
      </w:r>
      <w:r w:rsidRPr="00510442">
        <w:rPr>
          <w:sz w:val="22"/>
          <w:szCs w:val="22"/>
          <w:lang w:val="hr-HR"/>
        </w:rPr>
        <w:t xml:space="preserve">mg, trebate uzimati </w:t>
      </w:r>
      <w:r w:rsidR="00751A4B">
        <w:rPr>
          <w:sz w:val="22"/>
          <w:szCs w:val="22"/>
          <w:lang w:val="hr-HR"/>
        </w:rPr>
        <w:t>400 mg</w:t>
      </w:r>
      <w:r w:rsidRPr="00510442">
        <w:rPr>
          <w:sz w:val="22"/>
          <w:szCs w:val="22"/>
          <w:lang w:val="hr-HR"/>
        </w:rPr>
        <w:t xml:space="preserve"> ujutro i </w:t>
      </w:r>
      <w:r w:rsidR="00751A4B">
        <w:rPr>
          <w:sz w:val="22"/>
          <w:szCs w:val="22"/>
          <w:lang w:val="hr-HR"/>
        </w:rPr>
        <w:t>400 mg</w:t>
      </w:r>
      <w:r w:rsidRPr="00510442">
        <w:rPr>
          <w:sz w:val="22"/>
          <w:szCs w:val="22"/>
          <w:lang w:val="hr-HR"/>
        </w:rPr>
        <w:t xml:space="preserve"> navečer.</w:t>
      </w:r>
    </w:p>
    <w:p w14:paraId="2395E9C4" w14:textId="77777777" w:rsidR="00146472" w:rsidRPr="00510442" w:rsidRDefault="00146472" w:rsidP="00DB028B">
      <w:pPr>
        <w:pStyle w:val="Listlevel1"/>
        <w:spacing w:before="0" w:after="0"/>
        <w:ind w:left="0" w:firstLine="0"/>
        <w:rPr>
          <w:color w:val="000000"/>
          <w:sz w:val="22"/>
          <w:szCs w:val="22"/>
          <w:lang w:val="hr-HR"/>
        </w:rPr>
      </w:pPr>
    </w:p>
    <w:p w14:paraId="4935C82A" w14:textId="77777777" w:rsidR="00146472" w:rsidRPr="00510442" w:rsidRDefault="00146472" w:rsidP="00911837">
      <w:pPr>
        <w:pStyle w:val="Listlevel1"/>
        <w:keepNext/>
        <w:numPr>
          <w:ilvl w:val="0"/>
          <w:numId w:val="17"/>
        </w:numPr>
        <w:spacing w:before="0" w:after="0"/>
        <w:ind w:left="567" w:hanging="567"/>
        <w:rPr>
          <w:color w:val="000000"/>
          <w:sz w:val="22"/>
          <w:szCs w:val="22"/>
          <w:lang w:val="hr-HR"/>
        </w:rPr>
      </w:pPr>
      <w:r w:rsidRPr="00510442">
        <w:rPr>
          <w:b/>
          <w:sz w:val="22"/>
          <w:szCs w:val="22"/>
          <w:lang w:val="hr-HR"/>
        </w:rPr>
        <w:t>Ako se liječite zbog Ph-pozitivnog ALL-a</w:t>
      </w:r>
      <w:r w:rsidRPr="00510442">
        <w:rPr>
          <w:b/>
          <w:bCs/>
          <w:color w:val="000000"/>
          <w:sz w:val="22"/>
          <w:szCs w:val="22"/>
          <w:lang w:val="hr-HR"/>
        </w:rPr>
        <w:t>:</w:t>
      </w:r>
    </w:p>
    <w:p w14:paraId="2F4CC36F" w14:textId="0CD94A0A" w:rsidR="00146472" w:rsidRPr="00510442" w:rsidRDefault="00146472" w:rsidP="00DB028B">
      <w:pPr>
        <w:pStyle w:val="Listlevel1"/>
        <w:spacing w:before="0" w:after="0"/>
        <w:ind w:left="567" w:firstLine="0"/>
        <w:rPr>
          <w:color w:val="000000"/>
          <w:sz w:val="22"/>
          <w:szCs w:val="22"/>
          <w:lang w:val="hr-HR"/>
        </w:rPr>
      </w:pPr>
      <w:r w:rsidRPr="00510442">
        <w:rPr>
          <w:sz w:val="22"/>
          <w:szCs w:val="22"/>
          <w:lang w:val="hr-HR"/>
        </w:rPr>
        <w:t>Početna doza je 600</w:t>
      </w:r>
      <w:r w:rsidRPr="00510442">
        <w:rPr>
          <w:color w:val="000000"/>
          <w:sz w:val="22"/>
          <w:szCs w:val="22"/>
          <w:lang w:val="hr-HR"/>
        </w:rPr>
        <w:t> </w:t>
      </w:r>
      <w:r w:rsidRPr="00510442">
        <w:rPr>
          <w:sz w:val="22"/>
          <w:szCs w:val="22"/>
          <w:lang w:val="hr-HR"/>
        </w:rPr>
        <w:t xml:space="preserve">mg koja se uzima </w:t>
      </w:r>
      <w:r w:rsidRPr="00510442">
        <w:rPr>
          <w:b/>
          <w:sz w:val="22"/>
          <w:szCs w:val="22"/>
          <w:lang w:val="hr-HR"/>
        </w:rPr>
        <w:t>jednom</w:t>
      </w:r>
      <w:r w:rsidRPr="00510442">
        <w:rPr>
          <w:sz w:val="22"/>
          <w:szCs w:val="22"/>
          <w:lang w:val="hr-HR"/>
        </w:rPr>
        <w:t xml:space="preserve"> na dan</w:t>
      </w:r>
      <w:r w:rsidRPr="00510442">
        <w:rPr>
          <w:color w:val="000000"/>
          <w:sz w:val="22"/>
          <w:szCs w:val="22"/>
          <w:lang w:val="hr-HR"/>
        </w:rPr>
        <w:t>.</w:t>
      </w:r>
    </w:p>
    <w:p w14:paraId="2EF23A70" w14:textId="77777777" w:rsidR="00146472" w:rsidRPr="00510442" w:rsidRDefault="00146472" w:rsidP="00DB028B">
      <w:pPr>
        <w:pStyle w:val="Listlevel1"/>
        <w:tabs>
          <w:tab w:val="left" w:pos="720"/>
        </w:tabs>
        <w:spacing w:before="0" w:after="0"/>
        <w:ind w:left="0" w:firstLine="0"/>
        <w:rPr>
          <w:color w:val="000000"/>
          <w:sz w:val="22"/>
          <w:szCs w:val="22"/>
          <w:lang w:val="hr-HR"/>
        </w:rPr>
      </w:pPr>
    </w:p>
    <w:p w14:paraId="1DB8AE9C" w14:textId="77777777" w:rsidR="00146472" w:rsidRPr="00510442" w:rsidRDefault="00146472" w:rsidP="00911837">
      <w:pPr>
        <w:pStyle w:val="Listlevel1"/>
        <w:keepNext/>
        <w:numPr>
          <w:ilvl w:val="0"/>
          <w:numId w:val="17"/>
        </w:numPr>
        <w:tabs>
          <w:tab w:val="left" w:pos="720"/>
        </w:tabs>
        <w:spacing w:before="0" w:after="0"/>
        <w:ind w:left="567" w:hanging="567"/>
        <w:rPr>
          <w:color w:val="000000"/>
          <w:sz w:val="22"/>
          <w:szCs w:val="22"/>
          <w:lang w:val="hr-HR"/>
        </w:rPr>
      </w:pPr>
      <w:r w:rsidRPr="00510442">
        <w:rPr>
          <w:b/>
          <w:sz w:val="22"/>
          <w:szCs w:val="22"/>
          <w:lang w:val="hr-HR"/>
        </w:rPr>
        <w:t>Ako se liječite zbog MDS/MPD-a</w:t>
      </w:r>
      <w:r w:rsidRPr="00510442">
        <w:rPr>
          <w:b/>
          <w:bCs/>
          <w:color w:val="000000"/>
          <w:sz w:val="22"/>
          <w:szCs w:val="22"/>
          <w:lang w:val="hr-HR"/>
        </w:rPr>
        <w:t>:</w:t>
      </w:r>
    </w:p>
    <w:p w14:paraId="510F5AEE" w14:textId="3590C72D" w:rsidR="00146472" w:rsidRPr="00510442" w:rsidRDefault="00146472" w:rsidP="00DB028B">
      <w:pPr>
        <w:pStyle w:val="Listlevel1"/>
        <w:tabs>
          <w:tab w:val="left" w:pos="720"/>
        </w:tabs>
        <w:spacing w:before="0" w:after="0"/>
        <w:ind w:left="567" w:firstLine="0"/>
        <w:rPr>
          <w:color w:val="000000"/>
          <w:sz w:val="22"/>
          <w:szCs w:val="22"/>
          <w:lang w:val="hr-HR"/>
        </w:rPr>
      </w:pPr>
      <w:r w:rsidRPr="00510442">
        <w:rPr>
          <w:sz w:val="22"/>
          <w:szCs w:val="22"/>
          <w:lang w:val="hr-HR"/>
        </w:rPr>
        <w:t>Početna doza je 400</w:t>
      </w:r>
      <w:r w:rsidRPr="00510442">
        <w:rPr>
          <w:color w:val="000000"/>
          <w:sz w:val="22"/>
          <w:szCs w:val="22"/>
          <w:lang w:val="hr-HR"/>
        </w:rPr>
        <w:t> </w:t>
      </w:r>
      <w:r w:rsidRPr="00510442">
        <w:rPr>
          <w:sz w:val="22"/>
          <w:szCs w:val="22"/>
          <w:lang w:val="hr-HR"/>
        </w:rPr>
        <w:t xml:space="preserve">mg koja se uzima </w:t>
      </w:r>
      <w:r w:rsidRPr="00510442">
        <w:rPr>
          <w:b/>
          <w:sz w:val="22"/>
          <w:szCs w:val="22"/>
          <w:lang w:val="hr-HR"/>
        </w:rPr>
        <w:t>jednom</w:t>
      </w:r>
      <w:r w:rsidRPr="00510442">
        <w:rPr>
          <w:sz w:val="22"/>
          <w:szCs w:val="22"/>
          <w:lang w:val="hr-HR"/>
        </w:rPr>
        <w:t xml:space="preserve"> na dan</w:t>
      </w:r>
      <w:r w:rsidRPr="00510442">
        <w:rPr>
          <w:color w:val="000000"/>
          <w:sz w:val="22"/>
          <w:szCs w:val="22"/>
          <w:lang w:val="hr-HR"/>
        </w:rPr>
        <w:t>.</w:t>
      </w:r>
    </w:p>
    <w:p w14:paraId="55204882" w14:textId="77777777" w:rsidR="00146472" w:rsidRPr="00510442" w:rsidRDefault="00146472" w:rsidP="00DB028B">
      <w:pPr>
        <w:pStyle w:val="Text"/>
        <w:widowControl w:val="0"/>
        <w:spacing w:before="0"/>
        <w:jc w:val="left"/>
        <w:rPr>
          <w:color w:val="000000"/>
          <w:sz w:val="22"/>
          <w:szCs w:val="22"/>
          <w:lang w:val="hr-HR"/>
        </w:rPr>
      </w:pPr>
    </w:p>
    <w:p w14:paraId="528A7A38" w14:textId="77777777" w:rsidR="00146472" w:rsidRPr="00510442" w:rsidRDefault="00146472" w:rsidP="00911837">
      <w:pPr>
        <w:pStyle w:val="Listlevel2"/>
        <w:keepNext/>
        <w:numPr>
          <w:ilvl w:val="0"/>
          <w:numId w:val="17"/>
        </w:numPr>
        <w:spacing w:before="0" w:after="0"/>
        <w:ind w:left="567" w:hanging="567"/>
        <w:rPr>
          <w:color w:val="000000"/>
          <w:sz w:val="22"/>
          <w:szCs w:val="22"/>
          <w:lang w:val="hr-HR"/>
        </w:rPr>
      </w:pPr>
      <w:r w:rsidRPr="00510442">
        <w:rPr>
          <w:b/>
          <w:sz w:val="22"/>
          <w:szCs w:val="22"/>
          <w:lang w:val="hr-HR"/>
        </w:rPr>
        <w:lastRenderedPageBreak/>
        <w:t>Ako se liječite zbog HES/KEL-a</w:t>
      </w:r>
      <w:r w:rsidRPr="00510442">
        <w:rPr>
          <w:b/>
          <w:color w:val="000000"/>
          <w:sz w:val="22"/>
          <w:szCs w:val="22"/>
          <w:lang w:val="hr-HR"/>
        </w:rPr>
        <w:t>:</w:t>
      </w:r>
    </w:p>
    <w:p w14:paraId="257F8BC4" w14:textId="17F5CB96" w:rsidR="00146472" w:rsidRPr="00510442" w:rsidRDefault="00146472" w:rsidP="00DB028B">
      <w:pPr>
        <w:pStyle w:val="Listlevel2"/>
        <w:spacing w:before="0" w:after="0"/>
        <w:ind w:left="567" w:firstLine="0"/>
        <w:rPr>
          <w:color w:val="000000"/>
          <w:sz w:val="22"/>
          <w:szCs w:val="22"/>
          <w:lang w:val="hr-HR"/>
        </w:rPr>
      </w:pPr>
      <w:r w:rsidRPr="00510442">
        <w:rPr>
          <w:sz w:val="22"/>
          <w:szCs w:val="22"/>
          <w:lang w:val="hr-HR"/>
        </w:rPr>
        <w:t>Početna doza je 100</w:t>
      </w:r>
      <w:r w:rsidRPr="00510442">
        <w:rPr>
          <w:color w:val="000000"/>
          <w:sz w:val="22"/>
          <w:szCs w:val="22"/>
          <w:lang w:val="hr-HR"/>
        </w:rPr>
        <w:t> </w:t>
      </w:r>
      <w:r w:rsidRPr="00510442">
        <w:rPr>
          <w:sz w:val="22"/>
          <w:szCs w:val="22"/>
          <w:lang w:val="hr-HR"/>
        </w:rPr>
        <w:t xml:space="preserve">mg koja se uzima </w:t>
      </w:r>
      <w:r w:rsidRPr="00510442">
        <w:rPr>
          <w:b/>
          <w:sz w:val="22"/>
          <w:szCs w:val="22"/>
          <w:lang w:val="hr-HR"/>
        </w:rPr>
        <w:t>jednom</w:t>
      </w:r>
      <w:r w:rsidRPr="00510442">
        <w:rPr>
          <w:sz w:val="22"/>
          <w:szCs w:val="22"/>
          <w:lang w:val="hr-HR"/>
        </w:rPr>
        <w:t xml:space="preserve"> na dan</w:t>
      </w:r>
      <w:r w:rsidRPr="00510442">
        <w:rPr>
          <w:color w:val="000000"/>
          <w:sz w:val="22"/>
          <w:szCs w:val="22"/>
          <w:lang w:val="hr-HR"/>
        </w:rPr>
        <w:t xml:space="preserve">. </w:t>
      </w:r>
      <w:r w:rsidRPr="00510442">
        <w:rPr>
          <w:sz w:val="22"/>
          <w:szCs w:val="22"/>
          <w:lang w:val="hr-HR"/>
        </w:rPr>
        <w:t>Ovisno o tome kako reagirate na liječenje, liječnik može odlučiti povećati dozu do 400</w:t>
      </w:r>
      <w:r w:rsidRPr="00510442">
        <w:rPr>
          <w:color w:val="000000"/>
          <w:sz w:val="22"/>
          <w:szCs w:val="22"/>
          <w:lang w:val="hr-HR"/>
        </w:rPr>
        <w:t> </w:t>
      </w:r>
      <w:r w:rsidRPr="00510442">
        <w:rPr>
          <w:sz w:val="22"/>
          <w:szCs w:val="22"/>
          <w:lang w:val="hr-HR"/>
        </w:rPr>
        <w:t xml:space="preserve">mg koja se uzima </w:t>
      </w:r>
      <w:r w:rsidRPr="00510442">
        <w:rPr>
          <w:b/>
          <w:sz w:val="22"/>
          <w:szCs w:val="22"/>
          <w:lang w:val="hr-HR"/>
        </w:rPr>
        <w:t>jednom</w:t>
      </w:r>
      <w:r w:rsidRPr="00510442">
        <w:rPr>
          <w:sz w:val="22"/>
          <w:szCs w:val="22"/>
          <w:lang w:val="hr-HR"/>
        </w:rPr>
        <w:t xml:space="preserve"> na dan</w:t>
      </w:r>
      <w:r w:rsidRPr="00510442">
        <w:rPr>
          <w:color w:val="000000"/>
          <w:sz w:val="22"/>
          <w:szCs w:val="22"/>
          <w:lang w:val="hr-HR"/>
        </w:rPr>
        <w:t>.</w:t>
      </w:r>
    </w:p>
    <w:p w14:paraId="29219461" w14:textId="77777777" w:rsidR="00146472" w:rsidRPr="00510442" w:rsidRDefault="00146472" w:rsidP="00DB028B">
      <w:pPr>
        <w:pStyle w:val="Listlevel1"/>
        <w:spacing w:before="0" w:after="0"/>
        <w:ind w:left="0" w:firstLine="0"/>
        <w:rPr>
          <w:color w:val="000000"/>
          <w:sz w:val="22"/>
          <w:szCs w:val="22"/>
          <w:lang w:val="hr-HR"/>
        </w:rPr>
      </w:pPr>
    </w:p>
    <w:p w14:paraId="08460D3B" w14:textId="77777777" w:rsidR="00146472" w:rsidRPr="00510442" w:rsidRDefault="00146472" w:rsidP="00911837">
      <w:pPr>
        <w:pStyle w:val="Listlevel1"/>
        <w:keepNext/>
        <w:numPr>
          <w:ilvl w:val="0"/>
          <w:numId w:val="17"/>
        </w:numPr>
        <w:spacing w:before="0" w:after="0"/>
        <w:ind w:left="567" w:hanging="567"/>
        <w:rPr>
          <w:color w:val="000000"/>
          <w:sz w:val="22"/>
          <w:szCs w:val="22"/>
          <w:lang w:val="hr-HR"/>
        </w:rPr>
      </w:pPr>
      <w:r w:rsidRPr="00510442">
        <w:rPr>
          <w:b/>
          <w:sz w:val="22"/>
          <w:szCs w:val="22"/>
          <w:lang w:val="hr-HR"/>
        </w:rPr>
        <w:t>Ako se liječite zbog DFSP-a</w:t>
      </w:r>
      <w:r w:rsidRPr="00510442">
        <w:rPr>
          <w:b/>
          <w:bCs/>
          <w:color w:val="000000"/>
          <w:sz w:val="22"/>
          <w:szCs w:val="22"/>
          <w:lang w:val="hr-HR"/>
        </w:rPr>
        <w:t>:</w:t>
      </w:r>
    </w:p>
    <w:p w14:paraId="0276488F" w14:textId="3701D6B0" w:rsidR="00146472" w:rsidRPr="00510442" w:rsidRDefault="00146472" w:rsidP="00DB028B">
      <w:pPr>
        <w:pStyle w:val="Listlevel1"/>
        <w:spacing w:before="0" w:after="0"/>
        <w:ind w:left="567" w:firstLine="0"/>
        <w:rPr>
          <w:color w:val="000000"/>
          <w:sz w:val="22"/>
          <w:szCs w:val="22"/>
          <w:lang w:val="hr-HR"/>
        </w:rPr>
      </w:pPr>
      <w:r w:rsidRPr="00510442">
        <w:rPr>
          <w:sz w:val="22"/>
          <w:szCs w:val="22"/>
          <w:lang w:val="hr-HR"/>
        </w:rPr>
        <w:t>Doza je 800</w:t>
      </w:r>
      <w:r w:rsidRPr="00510442">
        <w:rPr>
          <w:color w:val="000000"/>
          <w:sz w:val="22"/>
          <w:szCs w:val="22"/>
          <w:lang w:val="hr-HR"/>
        </w:rPr>
        <w:t> </w:t>
      </w:r>
      <w:r w:rsidRPr="00510442">
        <w:rPr>
          <w:sz w:val="22"/>
          <w:szCs w:val="22"/>
          <w:lang w:val="hr-HR"/>
        </w:rPr>
        <w:t>mg na dan</w:t>
      </w:r>
      <w:r w:rsidRPr="00510442">
        <w:rPr>
          <w:color w:val="000000"/>
          <w:sz w:val="22"/>
          <w:szCs w:val="22"/>
          <w:lang w:val="hr-HR"/>
        </w:rPr>
        <w:t xml:space="preserve"> </w:t>
      </w:r>
      <w:r w:rsidRPr="00510442">
        <w:rPr>
          <w:sz w:val="22"/>
          <w:szCs w:val="22"/>
          <w:lang w:val="hr-HR"/>
        </w:rPr>
        <w:t xml:space="preserve">koja se uzima kao </w:t>
      </w:r>
      <w:r w:rsidR="00547367">
        <w:rPr>
          <w:sz w:val="22"/>
          <w:szCs w:val="22"/>
          <w:lang w:val="hr-HR"/>
        </w:rPr>
        <w:t>400 mg</w:t>
      </w:r>
      <w:r w:rsidRPr="00510442">
        <w:rPr>
          <w:color w:val="000000"/>
          <w:sz w:val="22"/>
          <w:szCs w:val="22"/>
          <w:lang w:val="hr-HR"/>
        </w:rPr>
        <w:t xml:space="preserve"> </w:t>
      </w:r>
      <w:r w:rsidRPr="00510442">
        <w:rPr>
          <w:sz w:val="22"/>
          <w:szCs w:val="22"/>
          <w:lang w:val="hr-HR"/>
        </w:rPr>
        <w:t xml:space="preserve">ujutro i </w:t>
      </w:r>
      <w:r w:rsidR="00547367">
        <w:rPr>
          <w:sz w:val="22"/>
          <w:szCs w:val="22"/>
          <w:lang w:val="hr-HR"/>
        </w:rPr>
        <w:t>400 mg</w:t>
      </w:r>
      <w:r w:rsidRPr="00510442">
        <w:rPr>
          <w:color w:val="000000"/>
          <w:sz w:val="22"/>
          <w:szCs w:val="22"/>
          <w:lang w:val="hr-HR"/>
        </w:rPr>
        <w:t xml:space="preserve"> navečer.</w:t>
      </w:r>
    </w:p>
    <w:p w14:paraId="404C246A" w14:textId="77777777" w:rsidR="003C7C0B" w:rsidRDefault="003C7C0B" w:rsidP="003C7C0B">
      <w:pPr>
        <w:pStyle w:val="Listlevel1"/>
        <w:widowControl w:val="0"/>
        <w:spacing w:before="0" w:after="0"/>
        <w:rPr>
          <w:color w:val="000000"/>
          <w:sz w:val="22"/>
          <w:szCs w:val="22"/>
          <w:lang w:val="en-GB"/>
        </w:rPr>
      </w:pPr>
    </w:p>
    <w:p w14:paraId="441DC110" w14:textId="54244601" w:rsidR="003C7C0B" w:rsidRDefault="003C7C0B" w:rsidP="003C7C0B">
      <w:pPr>
        <w:pStyle w:val="Listlevel1"/>
        <w:widowControl w:val="0"/>
        <w:spacing w:before="0" w:after="0"/>
        <w:rPr>
          <w:color w:val="000000"/>
          <w:sz w:val="22"/>
          <w:szCs w:val="22"/>
          <w:lang w:val="en-GB"/>
        </w:rPr>
      </w:pPr>
      <w:r>
        <w:rPr>
          <w:color w:val="000000"/>
          <w:sz w:val="22"/>
          <w:szCs w:val="22"/>
          <w:lang w:val="en-GB"/>
        </w:rPr>
        <w:t>Doza od 400 mg može se uzeti ili kao 1 tableta od 400 mg ili kao 4 tablete od 100 mg.</w:t>
      </w:r>
    </w:p>
    <w:p w14:paraId="44845263" w14:textId="28E753ED" w:rsidR="003C7C0B" w:rsidRPr="00654EF1" w:rsidRDefault="003C7C0B" w:rsidP="003C7C0B">
      <w:pPr>
        <w:pStyle w:val="Listlevel1"/>
        <w:widowControl w:val="0"/>
        <w:spacing w:before="0" w:after="0"/>
        <w:ind w:left="0" w:firstLine="0"/>
        <w:rPr>
          <w:color w:val="000000"/>
          <w:sz w:val="22"/>
          <w:szCs w:val="22"/>
          <w:lang w:val="en-GB"/>
        </w:rPr>
      </w:pPr>
      <w:r>
        <w:rPr>
          <w:color w:val="000000"/>
          <w:sz w:val="22"/>
          <w:szCs w:val="22"/>
          <w:lang w:val="en-GB"/>
        </w:rPr>
        <w:t>Doza od 600 mg uzima se kao 1 tableta od 400 mg i 2 tablete od 100 mg.</w:t>
      </w:r>
    </w:p>
    <w:p w14:paraId="0ECA4B4D" w14:textId="34ECF1E1" w:rsidR="00146472" w:rsidRPr="00510442" w:rsidRDefault="00146472" w:rsidP="00DB028B">
      <w:pPr>
        <w:pStyle w:val="Text"/>
        <w:widowControl w:val="0"/>
        <w:spacing w:before="0"/>
        <w:jc w:val="left"/>
        <w:rPr>
          <w:color w:val="000000"/>
          <w:sz w:val="22"/>
          <w:szCs w:val="22"/>
          <w:lang w:val="hr-HR"/>
        </w:rPr>
      </w:pPr>
    </w:p>
    <w:p w14:paraId="01B7890B" w14:textId="77777777" w:rsidR="00146472" w:rsidRPr="00510442" w:rsidRDefault="00146472" w:rsidP="00911837">
      <w:pPr>
        <w:pStyle w:val="Text"/>
        <w:keepNext/>
        <w:widowControl w:val="0"/>
        <w:spacing w:before="0"/>
        <w:jc w:val="left"/>
        <w:rPr>
          <w:color w:val="000000"/>
          <w:sz w:val="22"/>
          <w:szCs w:val="22"/>
          <w:lang w:val="hr-HR"/>
        </w:rPr>
      </w:pPr>
      <w:r w:rsidRPr="00510442">
        <w:rPr>
          <w:b/>
          <w:bCs/>
          <w:sz w:val="22"/>
          <w:szCs w:val="22"/>
          <w:lang w:val="hr-HR"/>
        </w:rPr>
        <w:t>Primjena u djece i adolescenata</w:t>
      </w:r>
    </w:p>
    <w:p w14:paraId="79111AB9" w14:textId="2DCB6A16" w:rsidR="00146472" w:rsidRPr="00510442" w:rsidRDefault="00146472" w:rsidP="00DB028B">
      <w:pPr>
        <w:pStyle w:val="Text"/>
        <w:widowControl w:val="0"/>
        <w:spacing w:before="0"/>
        <w:jc w:val="left"/>
        <w:rPr>
          <w:color w:val="000000"/>
          <w:sz w:val="22"/>
          <w:szCs w:val="22"/>
          <w:lang w:val="hr-HR"/>
        </w:rPr>
      </w:pPr>
      <w:r w:rsidRPr="00510442">
        <w:rPr>
          <w:sz w:val="22"/>
          <w:szCs w:val="22"/>
          <w:lang w:val="hr-HR"/>
        </w:rPr>
        <w:t xml:space="preserve">Liječnik će Vam reći koliko </w:t>
      </w:r>
      <w:r w:rsidRPr="00510442">
        <w:rPr>
          <w:color w:val="000000"/>
          <w:sz w:val="22"/>
          <w:szCs w:val="22"/>
          <w:lang w:val="hr-HR"/>
        </w:rPr>
        <w:t xml:space="preserve">tableta </w:t>
      </w:r>
      <w:r w:rsidR="00DB1682" w:rsidRPr="00512481">
        <w:rPr>
          <w:sz w:val="22"/>
          <w:szCs w:val="22"/>
          <w:lang w:val="hr-HR"/>
        </w:rPr>
        <w:t xml:space="preserve">lijeka </w:t>
      </w:r>
      <w:r w:rsidRPr="00510442">
        <w:rPr>
          <w:sz w:val="22"/>
          <w:szCs w:val="22"/>
          <w:lang w:val="hr-HR"/>
        </w:rPr>
        <w:t xml:space="preserve">Glivec trebate dati djetetu. Količina </w:t>
      </w:r>
      <w:r w:rsidR="00DB1682" w:rsidRPr="00512481">
        <w:rPr>
          <w:sz w:val="22"/>
          <w:szCs w:val="22"/>
          <w:lang w:val="hr-HR"/>
        </w:rPr>
        <w:t xml:space="preserve">lijeka </w:t>
      </w:r>
      <w:r w:rsidRPr="00510442">
        <w:rPr>
          <w:sz w:val="22"/>
          <w:szCs w:val="22"/>
          <w:lang w:val="hr-HR"/>
        </w:rPr>
        <w:t>Glivec koju je potrebno dati ovisiti će o stanju djeteta, tjelesnoj težini i visini. Ukupna dnevna doza u djece ne smije prijeći 800</w:t>
      </w:r>
      <w:r w:rsidRPr="00510442">
        <w:rPr>
          <w:color w:val="000000"/>
          <w:sz w:val="22"/>
          <w:szCs w:val="22"/>
          <w:lang w:val="hr-HR"/>
        </w:rPr>
        <w:t> </w:t>
      </w:r>
      <w:r w:rsidRPr="00510442">
        <w:rPr>
          <w:sz w:val="22"/>
          <w:szCs w:val="22"/>
          <w:lang w:val="hr-HR"/>
        </w:rPr>
        <w:t>mg</w:t>
      </w:r>
      <w:r w:rsidR="00973E74" w:rsidRPr="00510442">
        <w:rPr>
          <w:sz w:val="22"/>
          <w:szCs w:val="22"/>
          <w:lang w:val="hr-HR"/>
        </w:rPr>
        <w:t xml:space="preserve"> kod KML-a i 600 mg kod </w:t>
      </w:r>
      <w:r w:rsidR="00973E74" w:rsidRPr="00510442">
        <w:rPr>
          <w:color w:val="000000"/>
          <w:sz w:val="22"/>
          <w:szCs w:val="22"/>
          <w:lang w:val="hr-HR"/>
        </w:rPr>
        <w:t>Ph+ALL-a</w:t>
      </w:r>
      <w:r w:rsidRPr="00510442">
        <w:rPr>
          <w:sz w:val="22"/>
          <w:szCs w:val="22"/>
          <w:lang w:val="hr-HR"/>
        </w:rPr>
        <w:t>. Liječenje se kod Vašeg djeteta može provoditi dozom koja se daje jednom na dan ili se dnevna doza može podijeliti u dvije primjene (pola ujutro i pola navečer).</w:t>
      </w:r>
    </w:p>
    <w:p w14:paraId="203B201A" w14:textId="77777777" w:rsidR="00146472" w:rsidRPr="00510442" w:rsidRDefault="00146472" w:rsidP="00DB028B">
      <w:pPr>
        <w:pStyle w:val="Heading2"/>
        <w:keepNext w:val="0"/>
        <w:widowControl w:val="0"/>
        <w:spacing w:before="0" w:after="0" w:line="240" w:lineRule="auto"/>
        <w:rPr>
          <w:rFonts w:ascii="Times New Roman" w:hAnsi="Times New Roman"/>
          <w:b w:val="0"/>
          <w:i w:val="0"/>
          <w:color w:val="000000"/>
          <w:sz w:val="22"/>
          <w:szCs w:val="22"/>
          <w:lang w:val="hr-HR"/>
        </w:rPr>
      </w:pPr>
    </w:p>
    <w:p w14:paraId="174B376D" w14:textId="77777777" w:rsidR="00146472" w:rsidRPr="00510442" w:rsidRDefault="00146472" w:rsidP="00911837">
      <w:pPr>
        <w:pStyle w:val="Text"/>
        <w:keepNext/>
        <w:widowControl w:val="0"/>
        <w:spacing w:before="0"/>
        <w:jc w:val="left"/>
        <w:rPr>
          <w:b/>
          <w:color w:val="000000"/>
          <w:sz w:val="22"/>
          <w:szCs w:val="22"/>
          <w:lang w:val="hr-HR"/>
        </w:rPr>
      </w:pPr>
      <w:r w:rsidRPr="00510442">
        <w:rPr>
          <w:b/>
          <w:bCs/>
          <w:sz w:val="22"/>
          <w:szCs w:val="22"/>
          <w:lang w:val="hr-HR"/>
        </w:rPr>
        <w:t>Kada i kako uzimati Glivec</w:t>
      </w:r>
    </w:p>
    <w:p w14:paraId="3B9A09FE" w14:textId="6FB1928D" w:rsidR="00146472" w:rsidRPr="00510442" w:rsidRDefault="00146472" w:rsidP="00911837">
      <w:pPr>
        <w:pStyle w:val="Text"/>
        <w:keepNext/>
        <w:widowControl w:val="0"/>
        <w:numPr>
          <w:ilvl w:val="0"/>
          <w:numId w:val="17"/>
        </w:numPr>
        <w:spacing w:before="0"/>
        <w:ind w:left="567" w:hanging="567"/>
        <w:jc w:val="left"/>
        <w:rPr>
          <w:bCs/>
          <w:color w:val="000000"/>
          <w:sz w:val="22"/>
          <w:szCs w:val="22"/>
          <w:lang w:val="hr-HR"/>
        </w:rPr>
      </w:pPr>
      <w:r w:rsidRPr="00510442">
        <w:rPr>
          <w:b/>
          <w:sz w:val="22"/>
          <w:szCs w:val="22"/>
          <w:lang w:val="hr-HR"/>
        </w:rPr>
        <w:t xml:space="preserve">Glivec uzimajte uz obrok. </w:t>
      </w:r>
      <w:r w:rsidRPr="00510442">
        <w:rPr>
          <w:sz w:val="22"/>
          <w:szCs w:val="22"/>
          <w:lang w:val="hr-HR"/>
        </w:rPr>
        <w:t xml:space="preserve">To će Vam pomoći u zaštiti od želučanih problema prilikom uzimanja </w:t>
      </w:r>
      <w:r w:rsidR="00DB1682" w:rsidRPr="00512481">
        <w:rPr>
          <w:sz w:val="22"/>
          <w:szCs w:val="22"/>
          <w:lang w:val="hr-HR"/>
        </w:rPr>
        <w:t xml:space="preserve">lijeka </w:t>
      </w:r>
      <w:r w:rsidRPr="00510442">
        <w:rPr>
          <w:sz w:val="22"/>
          <w:szCs w:val="22"/>
          <w:lang w:val="hr-HR"/>
        </w:rPr>
        <w:t>Glivec</w:t>
      </w:r>
      <w:r w:rsidRPr="00510442">
        <w:rPr>
          <w:bCs/>
          <w:color w:val="000000"/>
          <w:sz w:val="22"/>
          <w:szCs w:val="22"/>
          <w:lang w:val="hr-HR"/>
        </w:rPr>
        <w:t>.</w:t>
      </w:r>
    </w:p>
    <w:p w14:paraId="1F7E345C" w14:textId="77777777" w:rsidR="00146472" w:rsidRPr="00510442" w:rsidRDefault="00146472" w:rsidP="00DB028B">
      <w:pPr>
        <w:pStyle w:val="Text"/>
        <w:widowControl w:val="0"/>
        <w:numPr>
          <w:ilvl w:val="0"/>
          <w:numId w:val="17"/>
        </w:numPr>
        <w:spacing w:before="0"/>
        <w:ind w:left="567" w:hanging="567"/>
        <w:jc w:val="left"/>
        <w:rPr>
          <w:b/>
          <w:color w:val="000000"/>
          <w:sz w:val="22"/>
          <w:szCs w:val="22"/>
          <w:lang w:val="hr-HR"/>
        </w:rPr>
      </w:pPr>
      <w:r w:rsidRPr="00510442">
        <w:rPr>
          <w:b/>
          <w:sz w:val="22"/>
          <w:szCs w:val="22"/>
          <w:lang w:val="hr-HR"/>
        </w:rPr>
        <w:t>Tablete progutajte cijele s velikom čašom vode.</w:t>
      </w:r>
    </w:p>
    <w:p w14:paraId="47AB7427" w14:textId="77777777" w:rsidR="00146472" w:rsidRPr="00510442" w:rsidRDefault="00146472" w:rsidP="00DB028B">
      <w:pPr>
        <w:pStyle w:val="EndnoteText"/>
        <w:widowControl w:val="0"/>
        <w:rPr>
          <w:color w:val="000000"/>
          <w:szCs w:val="22"/>
          <w:lang w:val="hr-HR"/>
        </w:rPr>
      </w:pPr>
    </w:p>
    <w:p w14:paraId="1793E7FE" w14:textId="77777777" w:rsidR="00146472" w:rsidRPr="00510442" w:rsidRDefault="00146472" w:rsidP="00911837">
      <w:pPr>
        <w:pStyle w:val="Text"/>
        <w:keepNext/>
        <w:widowControl w:val="0"/>
        <w:spacing w:before="0"/>
        <w:jc w:val="left"/>
        <w:rPr>
          <w:color w:val="000000"/>
          <w:sz w:val="22"/>
          <w:szCs w:val="22"/>
          <w:lang w:val="hr-HR"/>
        </w:rPr>
      </w:pPr>
      <w:r w:rsidRPr="00510442">
        <w:rPr>
          <w:sz w:val="22"/>
          <w:szCs w:val="22"/>
          <w:lang w:val="hr-HR"/>
        </w:rPr>
        <w:t>Ako niste u stanju progutati tablete, možete ih otopiti u čaši negazirane vode ili soka od jabuke</w:t>
      </w:r>
      <w:r w:rsidRPr="00510442">
        <w:rPr>
          <w:color w:val="000000"/>
          <w:sz w:val="22"/>
          <w:szCs w:val="22"/>
          <w:lang w:val="hr-HR"/>
        </w:rPr>
        <w:t>:</w:t>
      </w:r>
    </w:p>
    <w:p w14:paraId="2037BD5D" w14:textId="15D753FF" w:rsidR="00146472" w:rsidRPr="00510442" w:rsidRDefault="00146472" w:rsidP="00DB028B">
      <w:pPr>
        <w:pStyle w:val="Text"/>
        <w:widowControl w:val="0"/>
        <w:numPr>
          <w:ilvl w:val="0"/>
          <w:numId w:val="4"/>
        </w:numPr>
        <w:tabs>
          <w:tab w:val="clear" w:pos="360"/>
        </w:tabs>
        <w:spacing w:before="0"/>
        <w:ind w:left="567" w:hanging="567"/>
        <w:jc w:val="left"/>
        <w:rPr>
          <w:color w:val="000000"/>
          <w:sz w:val="22"/>
          <w:szCs w:val="22"/>
          <w:lang w:val="hr-HR"/>
        </w:rPr>
      </w:pPr>
      <w:r w:rsidRPr="00510442">
        <w:rPr>
          <w:sz w:val="22"/>
          <w:szCs w:val="22"/>
          <w:lang w:val="hr-HR"/>
        </w:rPr>
        <w:t>Uzmite oko</w:t>
      </w:r>
      <w:r w:rsidRPr="00510442">
        <w:rPr>
          <w:color w:val="000000"/>
          <w:sz w:val="22"/>
          <w:szCs w:val="22"/>
          <w:lang w:val="hr-HR"/>
        </w:rPr>
        <w:t xml:space="preserve"> 50 ml </w:t>
      </w:r>
      <w:r w:rsidRPr="00510442">
        <w:rPr>
          <w:sz w:val="22"/>
          <w:szCs w:val="22"/>
          <w:lang w:val="hr-HR"/>
        </w:rPr>
        <w:t xml:space="preserve">za svaku tabletu od </w:t>
      </w:r>
      <w:r w:rsidRPr="00510442">
        <w:rPr>
          <w:color w:val="000000"/>
          <w:sz w:val="22"/>
          <w:szCs w:val="22"/>
          <w:lang w:val="hr-HR"/>
        </w:rPr>
        <w:t>100 mg</w:t>
      </w:r>
      <w:r w:rsidR="003C7C0B">
        <w:rPr>
          <w:color w:val="000000"/>
          <w:sz w:val="22"/>
          <w:szCs w:val="22"/>
          <w:lang w:val="hr-HR"/>
        </w:rPr>
        <w:t xml:space="preserve"> ili 200 ml za svaku tabletu od 400 mg</w:t>
      </w:r>
      <w:r w:rsidRPr="00510442">
        <w:rPr>
          <w:color w:val="000000"/>
          <w:sz w:val="22"/>
          <w:szCs w:val="22"/>
          <w:lang w:val="hr-HR"/>
        </w:rPr>
        <w:t>.</w:t>
      </w:r>
    </w:p>
    <w:p w14:paraId="15685435" w14:textId="77777777" w:rsidR="00146472" w:rsidRPr="00510442" w:rsidRDefault="00146472" w:rsidP="00DB028B">
      <w:pPr>
        <w:pStyle w:val="Text"/>
        <w:widowControl w:val="0"/>
        <w:numPr>
          <w:ilvl w:val="0"/>
          <w:numId w:val="4"/>
        </w:numPr>
        <w:tabs>
          <w:tab w:val="clear" w:pos="360"/>
        </w:tabs>
        <w:spacing w:before="0"/>
        <w:ind w:left="567" w:hanging="567"/>
        <w:jc w:val="left"/>
        <w:rPr>
          <w:color w:val="000000"/>
          <w:sz w:val="22"/>
          <w:szCs w:val="22"/>
          <w:lang w:val="hr-HR"/>
        </w:rPr>
      </w:pPr>
      <w:r w:rsidRPr="00510442">
        <w:rPr>
          <w:sz w:val="22"/>
          <w:szCs w:val="22"/>
          <w:lang w:val="hr-HR"/>
        </w:rPr>
        <w:t>Miješajte žlicom sve dok se tablete potpuno ne otope</w:t>
      </w:r>
      <w:r w:rsidRPr="00510442">
        <w:rPr>
          <w:color w:val="000000"/>
          <w:sz w:val="22"/>
          <w:szCs w:val="22"/>
          <w:lang w:val="hr-HR"/>
        </w:rPr>
        <w:t>.</w:t>
      </w:r>
    </w:p>
    <w:p w14:paraId="5E732A4D" w14:textId="77777777" w:rsidR="00146472" w:rsidRPr="00510442" w:rsidRDefault="00146472" w:rsidP="00DB028B">
      <w:pPr>
        <w:pStyle w:val="Text"/>
        <w:widowControl w:val="0"/>
        <w:numPr>
          <w:ilvl w:val="0"/>
          <w:numId w:val="4"/>
        </w:numPr>
        <w:tabs>
          <w:tab w:val="clear" w:pos="360"/>
        </w:tabs>
        <w:spacing w:before="0"/>
        <w:ind w:left="567" w:hanging="567"/>
        <w:jc w:val="left"/>
        <w:rPr>
          <w:color w:val="000000"/>
          <w:sz w:val="22"/>
          <w:szCs w:val="22"/>
          <w:lang w:val="hr-HR"/>
        </w:rPr>
      </w:pPr>
      <w:r w:rsidRPr="00510442">
        <w:rPr>
          <w:sz w:val="22"/>
          <w:szCs w:val="22"/>
          <w:lang w:val="hr-HR"/>
        </w:rPr>
        <w:t>Jednom kad se tableta otopi, odmah popijte sav sadržaj čaše. Ostatke otopljenih tableta možete ostaviti u čaši</w:t>
      </w:r>
      <w:r w:rsidRPr="00510442">
        <w:rPr>
          <w:color w:val="000000"/>
          <w:sz w:val="22"/>
          <w:szCs w:val="22"/>
          <w:lang w:val="hr-HR"/>
        </w:rPr>
        <w:t>.</w:t>
      </w:r>
    </w:p>
    <w:p w14:paraId="032ABCE5" w14:textId="77777777" w:rsidR="00146472" w:rsidRPr="00510442" w:rsidRDefault="00146472" w:rsidP="00DB028B">
      <w:pPr>
        <w:pStyle w:val="Text"/>
        <w:widowControl w:val="0"/>
        <w:spacing w:before="0"/>
        <w:ind w:left="567" w:hanging="567"/>
        <w:jc w:val="left"/>
        <w:rPr>
          <w:color w:val="000000"/>
          <w:sz w:val="22"/>
          <w:szCs w:val="22"/>
          <w:lang w:val="hr-HR"/>
        </w:rPr>
      </w:pPr>
    </w:p>
    <w:p w14:paraId="199D4668" w14:textId="77777777" w:rsidR="00146472" w:rsidRPr="00510442" w:rsidRDefault="00146472" w:rsidP="00911837">
      <w:pPr>
        <w:pStyle w:val="Heading2"/>
        <w:widowControl w:val="0"/>
        <w:spacing w:before="0" w:after="0" w:line="240" w:lineRule="auto"/>
        <w:rPr>
          <w:rFonts w:ascii="Times New Roman" w:hAnsi="Times New Roman"/>
          <w:i w:val="0"/>
          <w:color w:val="000000"/>
          <w:sz w:val="22"/>
          <w:szCs w:val="22"/>
          <w:lang w:val="hr-HR"/>
        </w:rPr>
      </w:pPr>
      <w:r w:rsidRPr="00510442">
        <w:rPr>
          <w:rFonts w:ascii="Times New Roman" w:hAnsi="Times New Roman"/>
          <w:i w:val="0"/>
          <w:sz w:val="22"/>
          <w:szCs w:val="22"/>
          <w:lang w:val="hr-HR"/>
        </w:rPr>
        <w:t>Koliko dugo uzimati</w:t>
      </w:r>
      <w:r w:rsidRPr="00510442">
        <w:rPr>
          <w:rFonts w:ascii="Times New Roman" w:hAnsi="Times New Roman"/>
          <w:b w:val="0"/>
          <w:sz w:val="22"/>
          <w:szCs w:val="22"/>
          <w:lang w:val="hr-HR"/>
        </w:rPr>
        <w:t xml:space="preserve"> </w:t>
      </w:r>
      <w:r w:rsidRPr="00510442">
        <w:rPr>
          <w:rFonts w:ascii="Times New Roman" w:hAnsi="Times New Roman"/>
          <w:i w:val="0"/>
          <w:color w:val="000000"/>
          <w:sz w:val="22"/>
          <w:szCs w:val="22"/>
          <w:lang w:val="hr-HR"/>
        </w:rPr>
        <w:t>Glivec</w:t>
      </w:r>
    </w:p>
    <w:p w14:paraId="41A2B383" w14:textId="77777777" w:rsidR="00146472" w:rsidRPr="00510442" w:rsidRDefault="00146472" w:rsidP="00DB028B">
      <w:pPr>
        <w:pStyle w:val="Text"/>
        <w:widowControl w:val="0"/>
        <w:spacing w:before="0"/>
        <w:jc w:val="left"/>
        <w:rPr>
          <w:color w:val="000000"/>
          <w:sz w:val="22"/>
          <w:szCs w:val="22"/>
          <w:lang w:val="hr-HR"/>
        </w:rPr>
      </w:pPr>
      <w:r w:rsidRPr="00510442">
        <w:rPr>
          <w:sz w:val="22"/>
          <w:szCs w:val="22"/>
          <w:lang w:val="hr-HR"/>
        </w:rPr>
        <w:t>Glivec nastavite uzimati svaki dan onoliko dugo koliko Vam je liječnik rekao</w:t>
      </w:r>
      <w:r w:rsidRPr="00510442">
        <w:rPr>
          <w:color w:val="000000"/>
          <w:sz w:val="22"/>
          <w:szCs w:val="22"/>
          <w:lang w:val="hr-HR"/>
        </w:rPr>
        <w:t>.</w:t>
      </w:r>
    </w:p>
    <w:p w14:paraId="19CD8E1F" w14:textId="77777777" w:rsidR="00146472" w:rsidRPr="00510442" w:rsidRDefault="00146472" w:rsidP="00DB028B">
      <w:pPr>
        <w:pStyle w:val="Text"/>
        <w:widowControl w:val="0"/>
        <w:spacing w:before="0"/>
        <w:jc w:val="left"/>
        <w:rPr>
          <w:color w:val="000000"/>
          <w:sz w:val="22"/>
          <w:szCs w:val="22"/>
          <w:lang w:val="hr-HR"/>
        </w:rPr>
      </w:pPr>
    </w:p>
    <w:p w14:paraId="7DD1F374" w14:textId="0A500CC8" w:rsidR="00146472" w:rsidRPr="00510442" w:rsidRDefault="00146472" w:rsidP="00911837">
      <w:pPr>
        <w:keepNext/>
        <w:widowControl w:val="0"/>
        <w:numPr>
          <w:ilvl w:val="12"/>
          <w:numId w:val="0"/>
        </w:numPr>
        <w:tabs>
          <w:tab w:val="clear" w:pos="567"/>
        </w:tabs>
        <w:spacing w:line="240" w:lineRule="auto"/>
        <w:ind w:right="-2"/>
        <w:rPr>
          <w:color w:val="000000"/>
          <w:szCs w:val="22"/>
          <w:lang w:val="hr-HR"/>
        </w:rPr>
      </w:pPr>
      <w:r w:rsidRPr="00510442">
        <w:rPr>
          <w:b/>
          <w:szCs w:val="22"/>
          <w:lang w:val="hr-HR"/>
        </w:rPr>
        <w:t>Ako uzmete</w:t>
      </w:r>
      <w:r w:rsidRPr="00510442">
        <w:rPr>
          <w:b/>
          <w:color w:val="000000"/>
          <w:szCs w:val="22"/>
          <w:lang w:val="hr-HR"/>
        </w:rPr>
        <w:t xml:space="preserve"> više </w:t>
      </w:r>
      <w:r w:rsidR="00DB1682" w:rsidRPr="00DB1682">
        <w:rPr>
          <w:b/>
          <w:color w:val="000000"/>
          <w:szCs w:val="22"/>
          <w:lang w:val="hr-HR"/>
        </w:rPr>
        <w:t xml:space="preserve">lijeka </w:t>
      </w:r>
      <w:r w:rsidRPr="00510442">
        <w:rPr>
          <w:b/>
          <w:color w:val="000000"/>
          <w:szCs w:val="22"/>
          <w:lang w:val="hr-HR"/>
        </w:rPr>
        <w:t xml:space="preserve">Glivec </w:t>
      </w:r>
      <w:r w:rsidRPr="00510442">
        <w:rPr>
          <w:b/>
          <w:szCs w:val="22"/>
          <w:lang w:val="hr-HR"/>
        </w:rPr>
        <w:t>nego što ste trebali</w:t>
      </w:r>
    </w:p>
    <w:p w14:paraId="7A75B22E" w14:textId="77777777" w:rsidR="00146472" w:rsidRPr="00510442" w:rsidRDefault="00146472" w:rsidP="00DB028B">
      <w:pPr>
        <w:pStyle w:val="Text"/>
        <w:widowControl w:val="0"/>
        <w:spacing w:before="0"/>
        <w:jc w:val="left"/>
        <w:rPr>
          <w:color w:val="000000"/>
          <w:sz w:val="22"/>
          <w:szCs w:val="22"/>
          <w:lang w:val="hr-HR"/>
        </w:rPr>
      </w:pPr>
      <w:r w:rsidRPr="00510442">
        <w:rPr>
          <w:sz w:val="22"/>
          <w:szCs w:val="22"/>
          <w:lang w:val="hr-HR"/>
        </w:rPr>
        <w:t>Ako ste zabunom uzeli previše</w:t>
      </w:r>
      <w:r w:rsidRPr="00510442">
        <w:rPr>
          <w:color w:val="000000"/>
          <w:sz w:val="22"/>
          <w:szCs w:val="22"/>
          <w:lang w:val="hr-HR"/>
        </w:rPr>
        <w:t xml:space="preserve"> tableta, </w:t>
      </w:r>
      <w:r w:rsidRPr="00510442">
        <w:rPr>
          <w:b/>
          <w:sz w:val="22"/>
          <w:szCs w:val="22"/>
          <w:lang w:val="hr-HR"/>
        </w:rPr>
        <w:t>odmah</w:t>
      </w:r>
      <w:r w:rsidRPr="00510442">
        <w:rPr>
          <w:sz w:val="22"/>
          <w:szCs w:val="22"/>
          <w:lang w:val="hr-HR"/>
        </w:rPr>
        <w:t xml:space="preserve"> se obratite liječniku. Možda će Vam biti potrebna medicinska skrb. Sa sobom ponesite pak</w:t>
      </w:r>
      <w:r w:rsidR="00436200" w:rsidRPr="00510442">
        <w:rPr>
          <w:sz w:val="22"/>
          <w:szCs w:val="22"/>
          <w:lang w:val="hr-HR"/>
        </w:rPr>
        <w:t>ir</w:t>
      </w:r>
      <w:r w:rsidRPr="00510442">
        <w:rPr>
          <w:sz w:val="22"/>
          <w:szCs w:val="22"/>
          <w:lang w:val="hr-HR"/>
        </w:rPr>
        <w:t>anje lijeka</w:t>
      </w:r>
      <w:r w:rsidRPr="00510442">
        <w:rPr>
          <w:color w:val="000000"/>
          <w:sz w:val="22"/>
          <w:szCs w:val="22"/>
          <w:lang w:val="hr-HR"/>
        </w:rPr>
        <w:t>.</w:t>
      </w:r>
    </w:p>
    <w:p w14:paraId="10419775" w14:textId="77777777" w:rsidR="00146472" w:rsidRPr="00510442" w:rsidRDefault="00146472" w:rsidP="00DB028B">
      <w:pPr>
        <w:widowControl w:val="0"/>
        <w:numPr>
          <w:ilvl w:val="12"/>
          <w:numId w:val="0"/>
        </w:numPr>
        <w:tabs>
          <w:tab w:val="clear" w:pos="567"/>
        </w:tabs>
        <w:spacing w:line="240" w:lineRule="auto"/>
        <w:ind w:right="-2"/>
        <w:rPr>
          <w:color w:val="000000"/>
          <w:szCs w:val="22"/>
          <w:lang w:val="hr-HR"/>
        </w:rPr>
      </w:pPr>
    </w:p>
    <w:p w14:paraId="3F5C2A03" w14:textId="77777777" w:rsidR="00146472" w:rsidRPr="00510442" w:rsidRDefault="00146472" w:rsidP="00911837">
      <w:pPr>
        <w:pStyle w:val="Text"/>
        <w:keepNext/>
        <w:widowControl w:val="0"/>
        <w:spacing w:before="0"/>
        <w:jc w:val="left"/>
        <w:rPr>
          <w:b/>
          <w:color w:val="000000"/>
          <w:sz w:val="22"/>
          <w:szCs w:val="22"/>
          <w:lang w:val="hr-HR"/>
        </w:rPr>
      </w:pPr>
      <w:r w:rsidRPr="00510442">
        <w:rPr>
          <w:b/>
          <w:sz w:val="22"/>
          <w:szCs w:val="22"/>
          <w:lang w:val="hr-HR"/>
        </w:rPr>
        <w:t>Ako ste zaboravili uzeti</w:t>
      </w:r>
      <w:r w:rsidRPr="00510442">
        <w:rPr>
          <w:b/>
          <w:color w:val="000000"/>
          <w:sz w:val="22"/>
          <w:szCs w:val="22"/>
          <w:lang w:val="hr-HR"/>
        </w:rPr>
        <w:t xml:space="preserve"> Glivec</w:t>
      </w:r>
    </w:p>
    <w:p w14:paraId="4DC48C02" w14:textId="77777777" w:rsidR="00146472" w:rsidRPr="00510442" w:rsidRDefault="00146472" w:rsidP="00DB028B">
      <w:pPr>
        <w:widowControl w:val="0"/>
        <w:numPr>
          <w:ilvl w:val="0"/>
          <w:numId w:val="18"/>
        </w:numPr>
        <w:tabs>
          <w:tab w:val="clear" w:pos="567"/>
        </w:tabs>
        <w:spacing w:line="240" w:lineRule="auto"/>
        <w:ind w:left="567" w:right="-2" w:hanging="567"/>
        <w:rPr>
          <w:color w:val="000000"/>
          <w:szCs w:val="22"/>
          <w:lang w:val="hr-HR"/>
        </w:rPr>
      </w:pPr>
      <w:r w:rsidRPr="00510442">
        <w:rPr>
          <w:szCs w:val="22"/>
          <w:lang w:val="hr-HR"/>
        </w:rPr>
        <w:t>Ako ste zaboravili dozu, uzmite ju čim se sjetite. Međutim, ako je uskoro vrijeme za sljedeću dozu, preskočite propuštenu dozu</w:t>
      </w:r>
      <w:r w:rsidRPr="00510442">
        <w:rPr>
          <w:color w:val="000000"/>
          <w:szCs w:val="22"/>
          <w:lang w:val="hr-HR"/>
        </w:rPr>
        <w:t>.</w:t>
      </w:r>
    </w:p>
    <w:p w14:paraId="083BF72E" w14:textId="77777777" w:rsidR="00146472" w:rsidRPr="00510442" w:rsidRDefault="00146472" w:rsidP="00DB028B">
      <w:pPr>
        <w:widowControl w:val="0"/>
        <w:numPr>
          <w:ilvl w:val="0"/>
          <w:numId w:val="18"/>
        </w:numPr>
        <w:tabs>
          <w:tab w:val="clear" w:pos="567"/>
        </w:tabs>
        <w:spacing w:line="240" w:lineRule="auto"/>
        <w:ind w:left="567" w:right="-2" w:hanging="567"/>
        <w:rPr>
          <w:color w:val="000000"/>
          <w:szCs w:val="22"/>
          <w:lang w:val="hr-HR"/>
        </w:rPr>
      </w:pPr>
      <w:r w:rsidRPr="00510442">
        <w:rPr>
          <w:szCs w:val="22"/>
          <w:lang w:val="hr-HR"/>
        </w:rPr>
        <w:t>Zatim nastavite s uobičajenim rasporedom</w:t>
      </w:r>
      <w:r w:rsidRPr="00510442">
        <w:rPr>
          <w:color w:val="000000"/>
          <w:szCs w:val="22"/>
          <w:lang w:val="hr-HR"/>
        </w:rPr>
        <w:t>.</w:t>
      </w:r>
    </w:p>
    <w:p w14:paraId="7F865A00" w14:textId="77777777" w:rsidR="00146472" w:rsidRPr="00510442" w:rsidRDefault="00146472" w:rsidP="00DB028B">
      <w:pPr>
        <w:widowControl w:val="0"/>
        <w:numPr>
          <w:ilvl w:val="0"/>
          <w:numId w:val="18"/>
        </w:numPr>
        <w:tabs>
          <w:tab w:val="clear" w:pos="567"/>
        </w:tabs>
        <w:spacing w:line="240" w:lineRule="auto"/>
        <w:ind w:left="567" w:right="-2" w:hanging="567"/>
        <w:rPr>
          <w:color w:val="000000"/>
          <w:szCs w:val="22"/>
          <w:lang w:val="hr-HR"/>
        </w:rPr>
      </w:pPr>
      <w:r w:rsidRPr="00510442">
        <w:rPr>
          <w:szCs w:val="22"/>
          <w:lang w:val="hr-HR"/>
        </w:rPr>
        <w:t>Nemojte uzeti dvostruku dozu kako biste nadoknadili zaboravljenu dozu</w:t>
      </w:r>
      <w:r w:rsidRPr="00510442">
        <w:rPr>
          <w:color w:val="000000"/>
          <w:szCs w:val="22"/>
          <w:lang w:val="hr-HR"/>
        </w:rPr>
        <w:t>.</w:t>
      </w:r>
    </w:p>
    <w:p w14:paraId="6037BE57" w14:textId="77777777" w:rsidR="00146472" w:rsidRPr="00510442" w:rsidRDefault="00146472" w:rsidP="00DB028B">
      <w:pPr>
        <w:widowControl w:val="0"/>
        <w:numPr>
          <w:ilvl w:val="12"/>
          <w:numId w:val="0"/>
        </w:numPr>
        <w:tabs>
          <w:tab w:val="clear" w:pos="567"/>
        </w:tabs>
        <w:spacing w:line="240" w:lineRule="auto"/>
        <w:ind w:right="-2"/>
        <w:rPr>
          <w:color w:val="000000"/>
          <w:szCs w:val="22"/>
          <w:lang w:val="hr-HR"/>
        </w:rPr>
      </w:pPr>
    </w:p>
    <w:p w14:paraId="558DF1B0" w14:textId="77777777" w:rsidR="00146472" w:rsidRPr="00510442" w:rsidRDefault="00146472" w:rsidP="00DB028B">
      <w:pPr>
        <w:widowControl w:val="0"/>
        <w:numPr>
          <w:ilvl w:val="12"/>
          <w:numId w:val="0"/>
        </w:numPr>
        <w:tabs>
          <w:tab w:val="clear" w:pos="567"/>
        </w:tabs>
        <w:spacing w:line="240" w:lineRule="auto"/>
        <w:ind w:right="-2"/>
        <w:rPr>
          <w:color w:val="000000"/>
          <w:szCs w:val="22"/>
          <w:lang w:val="hr-HR"/>
        </w:rPr>
      </w:pPr>
      <w:r w:rsidRPr="00510442">
        <w:rPr>
          <w:szCs w:val="22"/>
          <w:lang w:val="hr-HR"/>
        </w:rPr>
        <w:t>U slučaju bilo kakvih pitanja u vezi s primjenom ovog lijeka, obratite se liječniku, ljekarniku ili medicinskoj sestri</w:t>
      </w:r>
      <w:r w:rsidRPr="00510442">
        <w:rPr>
          <w:color w:val="000000"/>
          <w:szCs w:val="22"/>
          <w:lang w:val="hr-HR"/>
        </w:rPr>
        <w:t>.</w:t>
      </w:r>
    </w:p>
    <w:p w14:paraId="417DBDDC" w14:textId="77777777" w:rsidR="00146472" w:rsidRPr="00510442" w:rsidRDefault="00146472" w:rsidP="00146472">
      <w:pPr>
        <w:widowControl w:val="0"/>
        <w:numPr>
          <w:ilvl w:val="12"/>
          <w:numId w:val="0"/>
        </w:numPr>
        <w:tabs>
          <w:tab w:val="clear" w:pos="567"/>
        </w:tabs>
        <w:spacing w:line="240" w:lineRule="auto"/>
        <w:ind w:right="-2"/>
        <w:rPr>
          <w:color w:val="000000"/>
          <w:szCs w:val="22"/>
          <w:lang w:val="hr-HR"/>
        </w:rPr>
      </w:pPr>
    </w:p>
    <w:p w14:paraId="0FE9815C" w14:textId="77777777" w:rsidR="00146472" w:rsidRPr="00510442" w:rsidRDefault="00146472" w:rsidP="00146472">
      <w:pPr>
        <w:widowControl w:val="0"/>
        <w:numPr>
          <w:ilvl w:val="12"/>
          <w:numId w:val="0"/>
        </w:numPr>
        <w:tabs>
          <w:tab w:val="clear" w:pos="567"/>
        </w:tabs>
        <w:spacing w:line="240" w:lineRule="auto"/>
        <w:ind w:right="-2"/>
        <w:rPr>
          <w:color w:val="000000"/>
          <w:szCs w:val="22"/>
          <w:lang w:val="hr-HR"/>
        </w:rPr>
      </w:pPr>
    </w:p>
    <w:p w14:paraId="0C145122" w14:textId="77777777" w:rsidR="00BE41B8" w:rsidRPr="00510442" w:rsidRDefault="00BE41B8" w:rsidP="00911837">
      <w:pPr>
        <w:keepNext/>
        <w:widowControl w:val="0"/>
        <w:numPr>
          <w:ilvl w:val="12"/>
          <w:numId w:val="0"/>
        </w:numPr>
        <w:tabs>
          <w:tab w:val="clear" w:pos="567"/>
        </w:tabs>
        <w:spacing w:line="240" w:lineRule="auto"/>
        <w:ind w:left="567" w:right="-2" w:hanging="567"/>
        <w:rPr>
          <w:color w:val="000000"/>
          <w:szCs w:val="22"/>
          <w:lang w:val="hr-HR"/>
        </w:rPr>
      </w:pPr>
      <w:r w:rsidRPr="00510442">
        <w:rPr>
          <w:b/>
          <w:color w:val="000000"/>
          <w:szCs w:val="22"/>
          <w:lang w:val="hr-HR"/>
        </w:rPr>
        <w:t>4.</w:t>
      </w:r>
      <w:r w:rsidRPr="00510442">
        <w:rPr>
          <w:b/>
          <w:color w:val="000000"/>
          <w:szCs w:val="22"/>
          <w:lang w:val="hr-HR"/>
        </w:rPr>
        <w:tab/>
        <w:t>Moguće nuspojave</w:t>
      </w:r>
    </w:p>
    <w:p w14:paraId="02794D5D" w14:textId="77777777" w:rsidR="00BE41B8" w:rsidRPr="00510442" w:rsidRDefault="00BE41B8" w:rsidP="00911837">
      <w:pPr>
        <w:pStyle w:val="Text"/>
        <w:keepNext/>
        <w:widowControl w:val="0"/>
        <w:spacing w:before="0"/>
        <w:jc w:val="left"/>
        <w:rPr>
          <w:color w:val="000000"/>
          <w:sz w:val="22"/>
          <w:szCs w:val="22"/>
          <w:lang w:val="hr-HR"/>
        </w:rPr>
      </w:pPr>
    </w:p>
    <w:p w14:paraId="02998B42" w14:textId="77777777" w:rsidR="00BE41B8" w:rsidRPr="00510442" w:rsidRDefault="00BE41B8" w:rsidP="00BE41B8">
      <w:pPr>
        <w:pStyle w:val="Text"/>
        <w:widowControl w:val="0"/>
        <w:spacing w:before="0"/>
        <w:jc w:val="left"/>
        <w:rPr>
          <w:color w:val="000000"/>
          <w:sz w:val="22"/>
          <w:szCs w:val="22"/>
          <w:lang w:val="hr-HR"/>
        </w:rPr>
      </w:pPr>
      <w:r w:rsidRPr="00510442">
        <w:rPr>
          <w:sz w:val="22"/>
          <w:szCs w:val="22"/>
          <w:lang w:val="hr-HR"/>
        </w:rPr>
        <w:t xml:space="preserve">Kao i svi lijekovi, ovaj lijek može uzrokovati nuspojave iako se </w:t>
      </w:r>
      <w:r w:rsidR="00E24E3D" w:rsidRPr="00510442">
        <w:rPr>
          <w:sz w:val="22"/>
          <w:szCs w:val="22"/>
          <w:lang w:val="hr-HR"/>
        </w:rPr>
        <w:t xml:space="preserve">one </w:t>
      </w:r>
      <w:r w:rsidRPr="00510442">
        <w:rPr>
          <w:sz w:val="22"/>
          <w:szCs w:val="22"/>
          <w:lang w:val="hr-HR"/>
        </w:rPr>
        <w:t>neće javiti kod svakoga. One su obično blage do umjerene.</w:t>
      </w:r>
    </w:p>
    <w:p w14:paraId="5780055F" w14:textId="77777777" w:rsidR="00BE41B8" w:rsidRPr="00510442" w:rsidRDefault="00BE41B8" w:rsidP="00BE41B8">
      <w:pPr>
        <w:pStyle w:val="Text"/>
        <w:widowControl w:val="0"/>
        <w:spacing w:before="0"/>
        <w:jc w:val="left"/>
        <w:rPr>
          <w:color w:val="000000"/>
          <w:sz w:val="22"/>
          <w:szCs w:val="22"/>
          <w:lang w:val="hr-HR"/>
        </w:rPr>
      </w:pPr>
    </w:p>
    <w:p w14:paraId="655AE64C" w14:textId="77777777" w:rsidR="00BE41B8" w:rsidRPr="00510442" w:rsidRDefault="00BE41B8" w:rsidP="00911837">
      <w:pPr>
        <w:pStyle w:val="Heading4"/>
        <w:widowControl w:val="0"/>
        <w:spacing w:line="240" w:lineRule="auto"/>
        <w:jc w:val="left"/>
        <w:rPr>
          <w:noProof w:val="0"/>
          <w:color w:val="000000"/>
          <w:szCs w:val="22"/>
          <w:lang w:val="hr-HR"/>
        </w:rPr>
      </w:pPr>
      <w:r w:rsidRPr="00510442">
        <w:rPr>
          <w:noProof w:val="0"/>
          <w:szCs w:val="22"/>
          <w:lang w:val="hr-HR"/>
        </w:rPr>
        <w:t>Neke nuspojave mogu biti ozbiljne. Odmah obavijestite liječnika ako se kod Vas javi bilo što od sljedećeg:</w:t>
      </w:r>
    </w:p>
    <w:p w14:paraId="6B41CD2B" w14:textId="77777777" w:rsidR="00BE41B8" w:rsidRPr="00510442" w:rsidRDefault="00BE41B8" w:rsidP="00911837">
      <w:pPr>
        <w:pStyle w:val="Heading4"/>
        <w:widowControl w:val="0"/>
        <w:spacing w:line="240" w:lineRule="auto"/>
        <w:jc w:val="left"/>
        <w:rPr>
          <w:b w:val="0"/>
          <w:bCs/>
          <w:noProof w:val="0"/>
          <w:color w:val="000000"/>
          <w:szCs w:val="22"/>
          <w:lang w:val="hr-HR"/>
        </w:rPr>
      </w:pPr>
    </w:p>
    <w:p w14:paraId="5668E979" w14:textId="77777777" w:rsidR="00BE41B8" w:rsidRPr="00510442" w:rsidRDefault="00BE41B8" w:rsidP="00911837">
      <w:pPr>
        <w:keepNext/>
        <w:spacing w:line="240" w:lineRule="auto"/>
        <w:rPr>
          <w:b/>
          <w:color w:val="000000"/>
          <w:szCs w:val="22"/>
          <w:lang w:val="hr-HR"/>
        </w:rPr>
      </w:pPr>
      <w:r w:rsidRPr="00510442">
        <w:rPr>
          <w:b/>
          <w:szCs w:val="22"/>
          <w:lang w:val="hr-HR"/>
        </w:rPr>
        <w:t xml:space="preserve">Vrlo česte </w:t>
      </w:r>
      <w:r w:rsidRPr="00510442">
        <w:rPr>
          <w:szCs w:val="22"/>
          <w:lang w:val="hr-HR"/>
        </w:rPr>
        <w:t xml:space="preserve">(mogu se javiti u više od 1 na 10 osoba) </w:t>
      </w:r>
      <w:r w:rsidRPr="00510442">
        <w:rPr>
          <w:b/>
          <w:szCs w:val="22"/>
          <w:lang w:val="hr-HR"/>
        </w:rPr>
        <w:t xml:space="preserve">ili česte </w:t>
      </w:r>
      <w:r w:rsidRPr="00510442">
        <w:rPr>
          <w:szCs w:val="22"/>
          <w:lang w:val="hr-HR"/>
        </w:rPr>
        <w:t>(mogu se javiti u do 1 na 10 osoba):</w:t>
      </w:r>
    </w:p>
    <w:p w14:paraId="11D1B4BB" w14:textId="77777777" w:rsidR="00BE41B8" w:rsidRPr="00510442" w:rsidRDefault="00BE41B8" w:rsidP="00BE41B8">
      <w:pPr>
        <w:pStyle w:val="Text"/>
        <w:widowControl w:val="0"/>
        <w:numPr>
          <w:ilvl w:val="0"/>
          <w:numId w:val="22"/>
        </w:numPr>
        <w:tabs>
          <w:tab w:val="clear" w:pos="357"/>
          <w:tab w:val="num" w:pos="567"/>
        </w:tabs>
        <w:spacing w:before="0"/>
        <w:ind w:left="567" w:hanging="567"/>
        <w:jc w:val="left"/>
        <w:rPr>
          <w:color w:val="000000"/>
          <w:sz w:val="22"/>
          <w:szCs w:val="22"/>
          <w:lang w:val="hr-HR"/>
        </w:rPr>
      </w:pPr>
      <w:r w:rsidRPr="00510442">
        <w:rPr>
          <w:sz w:val="22"/>
          <w:szCs w:val="22"/>
          <w:lang w:val="hr-HR"/>
        </w:rPr>
        <w:t>brzo dobivanje na težini. Glivec može izazvati zadržavanje vode u tijelu (teška retencija tekućine).</w:t>
      </w:r>
    </w:p>
    <w:p w14:paraId="350F2162" w14:textId="77777777" w:rsidR="00BE41B8" w:rsidRPr="00510442" w:rsidRDefault="00BE41B8" w:rsidP="00BE41B8">
      <w:pPr>
        <w:pStyle w:val="Text"/>
        <w:widowControl w:val="0"/>
        <w:numPr>
          <w:ilvl w:val="0"/>
          <w:numId w:val="22"/>
        </w:numPr>
        <w:tabs>
          <w:tab w:val="clear" w:pos="357"/>
          <w:tab w:val="num" w:pos="567"/>
        </w:tabs>
        <w:spacing w:before="0"/>
        <w:ind w:left="567" w:hanging="567"/>
        <w:jc w:val="left"/>
        <w:rPr>
          <w:color w:val="000000"/>
          <w:sz w:val="22"/>
          <w:szCs w:val="22"/>
          <w:lang w:val="hr-HR"/>
        </w:rPr>
      </w:pPr>
      <w:r w:rsidRPr="00510442">
        <w:rPr>
          <w:sz w:val="22"/>
          <w:szCs w:val="22"/>
          <w:lang w:val="hr-HR"/>
        </w:rPr>
        <w:t xml:space="preserve">znakovi infekcije kao što su vrućica, teška zimica, grlobolja ili čirevi u ustima. Glivec može </w:t>
      </w:r>
      <w:r w:rsidRPr="00510442">
        <w:rPr>
          <w:sz w:val="22"/>
          <w:szCs w:val="22"/>
          <w:lang w:val="hr-HR"/>
        </w:rPr>
        <w:lastRenderedPageBreak/>
        <w:t>smanjiti broj bijelih krvnih stanica, pa možete lakše dobiti infekciju.</w:t>
      </w:r>
    </w:p>
    <w:p w14:paraId="20806FF7" w14:textId="77777777" w:rsidR="00BE41B8" w:rsidRPr="00510442" w:rsidRDefault="00BE41B8" w:rsidP="00BE41B8">
      <w:pPr>
        <w:pStyle w:val="Text"/>
        <w:widowControl w:val="0"/>
        <w:numPr>
          <w:ilvl w:val="0"/>
          <w:numId w:val="22"/>
        </w:numPr>
        <w:tabs>
          <w:tab w:val="clear" w:pos="357"/>
          <w:tab w:val="num" w:pos="567"/>
        </w:tabs>
        <w:spacing w:before="0"/>
        <w:ind w:left="567" w:hanging="567"/>
        <w:jc w:val="left"/>
        <w:rPr>
          <w:color w:val="000000"/>
          <w:sz w:val="22"/>
          <w:szCs w:val="22"/>
          <w:lang w:val="hr-HR"/>
        </w:rPr>
      </w:pPr>
      <w:r w:rsidRPr="00510442">
        <w:rPr>
          <w:sz w:val="22"/>
          <w:szCs w:val="22"/>
          <w:lang w:val="hr-HR"/>
        </w:rPr>
        <w:t xml:space="preserve">neočekivano krvarenje ili </w:t>
      </w:r>
      <w:r w:rsidRPr="00760469">
        <w:rPr>
          <w:sz w:val="22"/>
          <w:szCs w:val="22"/>
          <w:lang w:val="hr-HR"/>
        </w:rPr>
        <w:t xml:space="preserve">pojava </w:t>
      </w:r>
      <w:r w:rsidR="00865AF7" w:rsidRPr="00760469">
        <w:rPr>
          <w:sz w:val="22"/>
          <w:szCs w:val="22"/>
          <w:lang w:val="hr-HR"/>
        </w:rPr>
        <w:t xml:space="preserve">modrica </w:t>
      </w:r>
      <w:r w:rsidRPr="00760469">
        <w:rPr>
          <w:sz w:val="22"/>
          <w:szCs w:val="22"/>
          <w:lang w:val="hr-HR"/>
        </w:rPr>
        <w:t>(kada se</w:t>
      </w:r>
      <w:r w:rsidRPr="00510442">
        <w:rPr>
          <w:sz w:val="22"/>
          <w:szCs w:val="22"/>
          <w:lang w:val="hr-HR"/>
        </w:rPr>
        <w:t xml:space="preserve"> niste ozlijedili).</w:t>
      </w:r>
    </w:p>
    <w:p w14:paraId="7A541584" w14:textId="77777777" w:rsidR="00BE41B8" w:rsidRPr="00510442" w:rsidRDefault="00BE41B8" w:rsidP="00BE41B8">
      <w:pPr>
        <w:pStyle w:val="Text"/>
        <w:widowControl w:val="0"/>
        <w:spacing w:before="0"/>
        <w:jc w:val="left"/>
        <w:rPr>
          <w:color w:val="000000"/>
          <w:sz w:val="22"/>
          <w:szCs w:val="22"/>
          <w:lang w:val="hr-HR"/>
        </w:rPr>
      </w:pPr>
    </w:p>
    <w:p w14:paraId="06CA7167" w14:textId="77777777" w:rsidR="00BE41B8" w:rsidRPr="00510442" w:rsidRDefault="00BE41B8" w:rsidP="00911837">
      <w:pPr>
        <w:pStyle w:val="Text"/>
        <w:keepNext/>
        <w:widowControl w:val="0"/>
        <w:spacing w:before="0"/>
        <w:jc w:val="left"/>
        <w:rPr>
          <w:color w:val="000000"/>
          <w:sz w:val="22"/>
          <w:szCs w:val="22"/>
          <w:lang w:val="hr-HR"/>
        </w:rPr>
      </w:pPr>
      <w:r w:rsidRPr="00510442">
        <w:rPr>
          <w:b/>
          <w:sz w:val="22"/>
          <w:szCs w:val="22"/>
          <w:lang w:val="hr-HR"/>
        </w:rPr>
        <w:t>Manje česte</w:t>
      </w:r>
      <w:r w:rsidRPr="00510442">
        <w:rPr>
          <w:sz w:val="22"/>
          <w:szCs w:val="22"/>
          <w:lang w:val="hr-HR"/>
        </w:rPr>
        <w:t xml:space="preserve"> </w:t>
      </w:r>
      <w:r w:rsidRPr="00510442">
        <w:rPr>
          <w:iCs/>
          <w:color w:val="000000"/>
          <w:sz w:val="22"/>
          <w:szCs w:val="22"/>
          <w:lang w:val="hr-HR"/>
        </w:rPr>
        <w:t>(</w:t>
      </w:r>
      <w:r w:rsidRPr="00510442">
        <w:rPr>
          <w:color w:val="000000"/>
          <w:sz w:val="22"/>
          <w:szCs w:val="22"/>
          <w:lang w:val="hr-HR"/>
        </w:rPr>
        <w:t xml:space="preserve">mogu se javiti u do 1 na 100 osoba) </w:t>
      </w:r>
      <w:r w:rsidRPr="00510442">
        <w:rPr>
          <w:b/>
          <w:sz w:val="22"/>
          <w:szCs w:val="22"/>
          <w:lang w:val="hr-HR"/>
        </w:rPr>
        <w:t>ili rijetke</w:t>
      </w:r>
      <w:r w:rsidRPr="00510442">
        <w:rPr>
          <w:sz w:val="22"/>
          <w:szCs w:val="22"/>
          <w:lang w:val="hr-HR"/>
        </w:rPr>
        <w:t xml:space="preserve"> </w:t>
      </w:r>
      <w:r w:rsidRPr="00510442">
        <w:rPr>
          <w:iCs/>
          <w:color w:val="000000"/>
          <w:sz w:val="22"/>
          <w:szCs w:val="22"/>
          <w:lang w:val="hr-HR"/>
        </w:rPr>
        <w:t>(</w:t>
      </w:r>
      <w:r w:rsidRPr="00510442">
        <w:rPr>
          <w:color w:val="000000"/>
          <w:sz w:val="22"/>
          <w:szCs w:val="22"/>
          <w:lang w:val="hr-HR"/>
        </w:rPr>
        <w:t>mogu se javiti u do 1 na 1000 osoba</w:t>
      </w:r>
      <w:r w:rsidRPr="00510442">
        <w:rPr>
          <w:iCs/>
          <w:color w:val="000000"/>
          <w:sz w:val="22"/>
          <w:szCs w:val="22"/>
          <w:lang w:val="hr-HR"/>
        </w:rPr>
        <w:t>)</w:t>
      </w:r>
      <w:r w:rsidRPr="00510442">
        <w:rPr>
          <w:sz w:val="22"/>
          <w:szCs w:val="22"/>
          <w:lang w:val="hr-HR"/>
        </w:rPr>
        <w:t>:</w:t>
      </w:r>
    </w:p>
    <w:p w14:paraId="1F6D270E" w14:textId="77777777" w:rsidR="00BE41B8" w:rsidRPr="00510442" w:rsidRDefault="00BE41B8" w:rsidP="00BE41B8">
      <w:pPr>
        <w:pStyle w:val="Text"/>
        <w:widowControl w:val="0"/>
        <w:numPr>
          <w:ilvl w:val="0"/>
          <w:numId w:val="23"/>
        </w:numPr>
        <w:tabs>
          <w:tab w:val="clear" w:pos="357"/>
          <w:tab w:val="num" w:pos="567"/>
        </w:tabs>
        <w:spacing w:before="0"/>
        <w:ind w:left="567" w:hanging="567"/>
        <w:jc w:val="left"/>
        <w:rPr>
          <w:color w:val="000000"/>
          <w:sz w:val="22"/>
          <w:szCs w:val="22"/>
          <w:lang w:val="hr-HR"/>
        </w:rPr>
      </w:pPr>
      <w:r w:rsidRPr="00510442">
        <w:rPr>
          <w:sz w:val="22"/>
          <w:szCs w:val="22"/>
          <w:lang w:val="hr-HR"/>
        </w:rPr>
        <w:t>bolovi u prsima, nepravilan srčani ritam (znakovi srčanih problema).</w:t>
      </w:r>
    </w:p>
    <w:p w14:paraId="39800520" w14:textId="77777777" w:rsidR="00BE41B8" w:rsidRPr="00510442" w:rsidRDefault="00BE41B8" w:rsidP="00BE41B8">
      <w:pPr>
        <w:pStyle w:val="Text"/>
        <w:widowControl w:val="0"/>
        <w:numPr>
          <w:ilvl w:val="0"/>
          <w:numId w:val="23"/>
        </w:numPr>
        <w:tabs>
          <w:tab w:val="clear" w:pos="357"/>
          <w:tab w:val="num" w:pos="567"/>
        </w:tabs>
        <w:spacing w:before="0"/>
        <w:ind w:left="567" w:hanging="567"/>
        <w:jc w:val="left"/>
        <w:rPr>
          <w:color w:val="000000"/>
          <w:sz w:val="22"/>
          <w:szCs w:val="22"/>
          <w:lang w:val="hr-HR"/>
        </w:rPr>
      </w:pPr>
      <w:r w:rsidRPr="00510442">
        <w:rPr>
          <w:sz w:val="22"/>
          <w:szCs w:val="22"/>
          <w:lang w:val="hr-HR"/>
        </w:rPr>
        <w:t>kašalj, otežano disanje ili bolno disanje (znakovi plućnih problema).</w:t>
      </w:r>
    </w:p>
    <w:p w14:paraId="7F516993" w14:textId="77777777" w:rsidR="00BE41B8" w:rsidRPr="00510442" w:rsidRDefault="00BE41B8" w:rsidP="00BE41B8">
      <w:pPr>
        <w:pStyle w:val="Text"/>
        <w:widowControl w:val="0"/>
        <w:numPr>
          <w:ilvl w:val="0"/>
          <w:numId w:val="23"/>
        </w:numPr>
        <w:tabs>
          <w:tab w:val="clear" w:pos="357"/>
          <w:tab w:val="num" w:pos="567"/>
        </w:tabs>
        <w:spacing w:before="0"/>
        <w:ind w:left="567" w:hanging="567"/>
        <w:jc w:val="left"/>
        <w:rPr>
          <w:color w:val="000000"/>
          <w:sz w:val="22"/>
          <w:szCs w:val="22"/>
          <w:lang w:val="hr-HR"/>
        </w:rPr>
      </w:pPr>
      <w:r w:rsidRPr="00510442">
        <w:rPr>
          <w:sz w:val="22"/>
          <w:szCs w:val="22"/>
          <w:lang w:val="hr-HR"/>
        </w:rPr>
        <w:t>osjećaj da Vam se vrti u glavi, omaglica ili nesvjestica (znakovi sniženog krvnog tlaka).</w:t>
      </w:r>
    </w:p>
    <w:p w14:paraId="714C1B25" w14:textId="77777777" w:rsidR="00BE41B8" w:rsidRPr="00510442" w:rsidRDefault="00BE41B8" w:rsidP="00BE41B8">
      <w:pPr>
        <w:pStyle w:val="Text"/>
        <w:widowControl w:val="0"/>
        <w:numPr>
          <w:ilvl w:val="0"/>
          <w:numId w:val="23"/>
        </w:numPr>
        <w:tabs>
          <w:tab w:val="clear" w:pos="357"/>
          <w:tab w:val="num" w:pos="567"/>
        </w:tabs>
        <w:spacing w:before="0"/>
        <w:ind w:left="567" w:hanging="567"/>
        <w:jc w:val="left"/>
        <w:rPr>
          <w:color w:val="000000"/>
          <w:sz w:val="22"/>
          <w:szCs w:val="22"/>
          <w:lang w:val="hr-HR"/>
        </w:rPr>
      </w:pPr>
      <w:r w:rsidRPr="00510442">
        <w:rPr>
          <w:sz w:val="22"/>
          <w:szCs w:val="22"/>
          <w:lang w:val="hr-HR"/>
        </w:rPr>
        <w:t>mučnina uz gubitak apetita, tamno obojenje mokraće, žutilo kože ili očiju (znakovi problema s jetrom).</w:t>
      </w:r>
    </w:p>
    <w:p w14:paraId="0FBA4644" w14:textId="77777777" w:rsidR="00BE41B8" w:rsidRPr="00510442" w:rsidRDefault="00BE41B8" w:rsidP="00BE41B8">
      <w:pPr>
        <w:pStyle w:val="Text"/>
        <w:widowControl w:val="0"/>
        <w:numPr>
          <w:ilvl w:val="0"/>
          <w:numId w:val="23"/>
        </w:numPr>
        <w:tabs>
          <w:tab w:val="clear" w:pos="357"/>
          <w:tab w:val="num" w:pos="567"/>
        </w:tabs>
        <w:spacing w:before="0"/>
        <w:ind w:left="567" w:hanging="567"/>
        <w:jc w:val="left"/>
        <w:rPr>
          <w:color w:val="000000"/>
          <w:sz w:val="22"/>
          <w:szCs w:val="22"/>
          <w:lang w:val="hr-HR"/>
        </w:rPr>
      </w:pPr>
      <w:r w:rsidRPr="00510442">
        <w:rPr>
          <w:sz w:val="22"/>
          <w:szCs w:val="22"/>
          <w:lang w:val="hr-HR"/>
        </w:rPr>
        <w:t>osip, crvenilo kože s mjehurićima na usnama, očima, koži ili u ustima, ljuštenje kože, vrućica, izdignuti crveni ili ljubičasti plikovi na koži, svrbež, osjećaj žarenja, pojava gnojnih mjehurića (znakovi kožnih problema).</w:t>
      </w:r>
    </w:p>
    <w:p w14:paraId="782660DD" w14:textId="77777777" w:rsidR="00BE41B8" w:rsidRPr="00510442" w:rsidRDefault="00BE41B8" w:rsidP="00BE41B8">
      <w:pPr>
        <w:pStyle w:val="Text"/>
        <w:widowControl w:val="0"/>
        <w:numPr>
          <w:ilvl w:val="0"/>
          <w:numId w:val="23"/>
        </w:numPr>
        <w:tabs>
          <w:tab w:val="clear" w:pos="357"/>
          <w:tab w:val="num" w:pos="567"/>
        </w:tabs>
        <w:spacing w:before="0"/>
        <w:ind w:left="567" w:hanging="567"/>
        <w:jc w:val="left"/>
        <w:rPr>
          <w:color w:val="000000"/>
          <w:sz w:val="22"/>
          <w:szCs w:val="22"/>
          <w:lang w:val="hr-HR"/>
        </w:rPr>
      </w:pPr>
      <w:r w:rsidRPr="00510442">
        <w:rPr>
          <w:sz w:val="22"/>
          <w:szCs w:val="22"/>
          <w:lang w:val="hr-HR"/>
        </w:rPr>
        <w:t>teška bol u trbuhu, krv u sadržaju povraćanja, stolici ili mokraći, crne stolice (znakovi probavnih problema).</w:t>
      </w:r>
    </w:p>
    <w:p w14:paraId="735EE708" w14:textId="77777777" w:rsidR="00BE41B8" w:rsidRPr="00510442" w:rsidRDefault="00BE41B8" w:rsidP="00BE41B8">
      <w:pPr>
        <w:pStyle w:val="Text"/>
        <w:widowControl w:val="0"/>
        <w:numPr>
          <w:ilvl w:val="0"/>
          <w:numId w:val="23"/>
        </w:numPr>
        <w:tabs>
          <w:tab w:val="clear" w:pos="357"/>
          <w:tab w:val="num" w:pos="567"/>
        </w:tabs>
        <w:spacing w:before="0"/>
        <w:ind w:left="567" w:hanging="567"/>
        <w:jc w:val="left"/>
        <w:rPr>
          <w:color w:val="000000"/>
          <w:sz w:val="22"/>
          <w:szCs w:val="22"/>
          <w:lang w:val="hr-HR"/>
        </w:rPr>
      </w:pPr>
      <w:r w:rsidRPr="00510442">
        <w:rPr>
          <w:sz w:val="22"/>
          <w:szCs w:val="22"/>
          <w:lang w:val="hr-HR"/>
        </w:rPr>
        <w:t>jako smanjeno mokrenje, žeđ (znakovi bubrežnih problema</w:t>
      </w:r>
      <w:r w:rsidRPr="00510442">
        <w:rPr>
          <w:color w:val="000000"/>
          <w:sz w:val="22"/>
          <w:szCs w:val="22"/>
          <w:lang w:val="hr-HR"/>
        </w:rPr>
        <w:t>).</w:t>
      </w:r>
    </w:p>
    <w:p w14:paraId="1AD21BB7" w14:textId="77777777" w:rsidR="00BE41B8" w:rsidRPr="00510442" w:rsidRDefault="00BE41B8" w:rsidP="00BE41B8">
      <w:pPr>
        <w:pStyle w:val="Text"/>
        <w:widowControl w:val="0"/>
        <w:numPr>
          <w:ilvl w:val="0"/>
          <w:numId w:val="23"/>
        </w:numPr>
        <w:tabs>
          <w:tab w:val="clear" w:pos="357"/>
          <w:tab w:val="num" w:pos="567"/>
        </w:tabs>
        <w:spacing w:before="0"/>
        <w:ind w:left="567" w:hanging="567"/>
        <w:jc w:val="left"/>
        <w:rPr>
          <w:color w:val="000000"/>
          <w:sz w:val="22"/>
          <w:szCs w:val="22"/>
          <w:lang w:val="hr-HR"/>
        </w:rPr>
      </w:pPr>
      <w:r w:rsidRPr="00510442">
        <w:rPr>
          <w:sz w:val="22"/>
          <w:szCs w:val="22"/>
          <w:lang w:val="hr-HR"/>
        </w:rPr>
        <w:t>mučnina s proljevom i povraćanjem, bol u trbuhu ili vrućica (znakovi crijevnih problema).</w:t>
      </w:r>
    </w:p>
    <w:p w14:paraId="097DEE10" w14:textId="77777777" w:rsidR="00BE41B8" w:rsidRPr="00510442" w:rsidRDefault="00BE41B8" w:rsidP="00BE41B8">
      <w:pPr>
        <w:pStyle w:val="Text"/>
        <w:widowControl w:val="0"/>
        <w:numPr>
          <w:ilvl w:val="0"/>
          <w:numId w:val="23"/>
        </w:numPr>
        <w:tabs>
          <w:tab w:val="clear" w:pos="357"/>
          <w:tab w:val="num" w:pos="567"/>
        </w:tabs>
        <w:spacing w:before="0"/>
        <w:ind w:left="567" w:hanging="567"/>
        <w:jc w:val="left"/>
        <w:rPr>
          <w:color w:val="000000"/>
          <w:sz w:val="22"/>
          <w:szCs w:val="22"/>
          <w:lang w:val="hr-HR"/>
        </w:rPr>
      </w:pPr>
      <w:r w:rsidRPr="00510442">
        <w:rPr>
          <w:sz w:val="22"/>
          <w:szCs w:val="22"/>
          <w:lang w:val="hr-HR"/>
        </w:rPr>
        <w:t>teška glavobolja, slabost ili paraliza udova ili lica, otežan govor, iznenadni gubitak svijesti (znakovi problema živčanog sustava kao što su krvarenje ili oticanje u lubanji/mozgu).</w:t>
      </w:r>
    </w:p>
    <w:p w14:paraId="3F22803A" w14:textId="77777777" w:rsidR="00BE41B8" w:rsidRPr="00510442" w:rsidRDefault="00BE41B8" w:rsidP="00BE41B8">
      <w:pPr>
        <w:pStyle w:val="Text"/>
        <w:widowControl w:val="0"/>
        <w:numPr>
          <w:ilvl w:val="0"/>
          <w:numId w:val="23"/>
        </w:numPr>
        <w:tabs>
          <w:tab w:val="clear" w:pos="357"/>
          <w:tab w:val="num" w:pos="567"/>
        </w:tabs>
        <w:spacing w:before="0"/>
        <w:ind w:left="567" w:hanging="567"/>
        <w:jc w:val="left"/>
        <w:rPr>
          <w:color w:val="000000"/>
          <w:sz w:val="22"/>
          <w:szCs w:val="22"/>
          <w:lang w:val="hr-HR"/>
        </w:rPr>
      </w:pPr>
      <w:r w:rsidRPr="00510442">
        <w:rPr>
          <w:sz w:val="22"/>
          <w:szCs w:val="22"/>
          <w:lang w:val="hr-HR"/>
        </w:rPr>
        <w:t>blijeda koža, umor i gubitak daha te tamno obojena mokraća (znakovi snižene razine crvenih krvnih stanica).</w:t>
      </w:r>
    </w:p>
    <w:p w14:paraId="299E158D" w14:textId="77777777" w:rsidR="00BE41B8" w:rsidRPr="00510442" w:rsidRDefault="00BE41B8" w:rsidP="00BE41B8">
      <w:pPr>
        <w:pStyle w:val="Text"/>
        <w:widowControl w:val="0"/>
        <w:numPr>
          <w:ilvl w:val="0"/>
          <w:numId w:val="23"/>
        </w:numPr>
        <w:tabs>
          <w:tab w:val="clear" w:pos="357"/>
        </w:tabs>
        <w:spacing w:before="0"/>
        <w:ind w:left="567" w:hanging="567"/>
        <w:jc w:val="left"/>
        <w:rPr>
          <w:color w:val="000000"/>
          <w:sz w:val="22"/>
          <w:szCs w:val="22"/>
          <w:lang w:val="hr-HR"/>
        </w:rPr>
      </w:pPr>
      <w:r w:rsidRPr="00510442">
        <w:rPr>
          <w:sz w:val="22"/>
          <w:szCs w:val="22"/>
          <w:lang w:val="hr-HR"/>
        </w:rPr>
        <w:t>bol u očima ili slabljenje vida,</w:t>
      </w:r>
      <w:r w:rsidRPr="00510442">
        <w:rPr>
          <w:lang w:val="hr-HR"/>
        </w:rPr>
        <w:t xml:space="preserve"> </w:t>
      </w:r>
      <w:r w:rsidRPr="00510442">
        <w:rPr>
          <w:sz w:val="22"/>
          <w:szCs w:val="22"/>
          <w:lang w:val="hr-HR"/>
        </w:rPr>
        <w:t>krvarenje u očima.</w:t>
      </w:r>
    </w:p>
    <w:p w14:paraId="30AD8BF4" w14:textId="77777777" w:rsidR="00BE41B8" w:rsidRPr="00510442" w:rsidRDefault="00BE41B8" w:rsidP="00BE41B8">
      <w:pPr>
        <w:pStyle w:val="Text"/>
        <w:widowControl w:val="0"/>
        <w:numPr>
          <w:ilvl w:val="0"/>
          <w:numId w:val="23"/>
        </w:numPr>
        <w:tabs>
          <w:tab w:val="clear" w:pos="357"/>
          <w:tab w:val="num" w:pos="567"/>
        </w:tabs>
        <w:spacing w:before="0"/>
        <w:ind w:left="567" w:hanging="567"/>
        <w:jc w:val="left"/>
        <w:rPr>
          <w:color w:val="000000"/>
          <w:sz w:val="22"/>
          <w:szCs w:val="22"/>
          <w:lang w:val="hr-HR"/>
        </w:rPr>
      </w:pPr>
      <w:r w:rsidRPr="00510442">
        <w:rPr>
          <w:sz w:val="22"/>
          <w:szCs w:val="22"/>
          <w:lang w:val="hr-HR"/>
        </w:rPr>
        <w:t>bol u kukovima ili otežano hodanje.</w:t>
      </w:r>
    </w:p>
    <w:p w14:paraId="0CDEDF4B" w14:textId="77777777" w:rsidR="00BE41B8" w:rsidRPr="00510442" w:rsidRDefault="00BE41B8" w:rsidP="00BE41B8">
      <w:pPr>
        <w:pStyle w:val="Text"/>
        <w:widowControl w:val="0"/>
        <w:numPr>
          <w:ilvl w:val="0"/>
          <w:numId w:val="23"/>
        </w:numPr>
        <w:tabs>
          <w:tab w:val="clear" w:pos="357"/>
          <w:tab w:val="num" w:pos="567"/>
        </w:tabs>
        <w:spacing w:before="0"/>
        <w:ind w:left="567" w:hanging="567"/>
        <w:jc w:val="left"/>
        <w:rPr>
          <w:color w:val="000000"/>
          <w:sz w:val="22"/>
          <w:szCs w:val="22"/>
          <w:lang w:val="hr-HR"/>
        </w:rPr>
      </w:pPr>
      <w:r w:rsidRPr="00510442">
        <w:rPr>
          <w:sz w:val="22"/>
          <w:szCs w:val="22"/>
          <w:lang w:val="hr-HR"/>
        </w:rPr>
        <w:t>utrnuli ili hladni prsti na nogama i rukama (znakovi Raynaudovog sindroma).</w:t>
      </w:r>
    </w:p>
    <w:p w14:paraId="5D28F6F1" w14:textId="77777777" w:rsidR="00BE41B8" w:rsidRPr="00510442" w:rsidRDefault="00BE41B8" w:rsidP="00BE41B8">
      <w:pPr>
        <w:pStyle w:val="Text"/>
        <w:widowControl w:val="0"/>
        <w:numPr>
          <w:ilvl w:val="0"/>
          <w:numId w:val="3"/>
        </w:numPr>
        <w:tabs>
          <w:tab w:val="clear" w:pos="360"/>
          <w:tab w:val="num" w:pos="567"/>
        </w:tabs>
        <w:spacing w:before="0"/>
        <w:ind w:left="567" w:hanging="567"/>
        <w:jc w:val="left"/>
        <w:rPr>
          <w:color w:val="000000"/>
          <w:sz w:val="22"/>
          <w:szCs w:val="22"/>
          <w:lang w:val="hr-HR"/>
        </w:rPr>
      </w:pPr>
      <w:r w:rsidRPr="00510442">
        <w:rPr>
          <w:sz w:val="22"/>
          <w:szCs w:val="22"/>
          <w:lang w:val="hr-HR"/>
        </w:rPr>
        <w:t>iznenadno oticanje i crvenilo kože (znakovi kožne infekcije zvane celulitis).</w:t>
      </w:r>
    </w:p>
    <w:p w14:paraId="07966C52" w14:textId="77777777" w:rsidR="00BE41B8" w:rsidRPr="00510442" w:rsidRDefault="00BE41B8" w:rsidP="00BE41B8">
      <w:pPr>
        <w:pStyle w:val="Text"/>
        <w:widowControl w:val="0"/>
        <w:numPr>
          <w:ilvl w:val="0"/>
          <w:numId w:val="23"/>
        </w:numPr>
        <w:tabs>
          <w:tab w:val="clear" w:pos="357"/>
          <w:tab w:val="num" w:pos="567"/>
        </w:tabs>
        <w:spacing w:before="0"/>
        <w:ind w:left="567" w:hanging="567"/>
        <w:jc w:val="left"/>
        <w:rPr>
          <w:color w:val="000000"/>
          <w:sz w:val="22"/>
          <w:szCs w:val="22"/>
          <w:lang w:val="hr-HR"/>
        </w:rPr>
      </w:pPr>
      <w:r w:rsidRPr="00510442">
        <w:rPr>
          <w:sz w:val="22"/>
          <w:szCs w:val="22"/>
          <w:lang w:val="hr-HR"/>
        </w:rPr>
        <w:t>oslabljen sluh.</w:t>
      </w:r>
    </w:p>
    <w:p w14:paraId="30C6476D" w14:textId="77777777" w:rsidR="00BE41B8" w:rsidRPr="00510442" w:rsidRDefault="00BE41B8" w:rsidP="00BE41B8">
      <w:pPr>
        <w:pStyle w:val="Listlevel1"/>
        <w:numPr>
          <w:ilvl w:val="0"/>
          <w:numId w:val="23"/>
        </w:numPr>
        <w:tabs>
          <w:tab w:val="clear" w:pos="357"/>
          <w:tab w:val="num" w:pos="567"/>
        </w:tabs>
        <w:spacing w:before="0" w:after="0"/>
        <w:ind w:left="567" w:hanging="567"/>
        <w:rPr>
          <w:bCs/>
          <w:color w:val="000000"/>
          <w:sz w:val="22"/>
          <w:szCs w:val="22"/>
          <w:lang w:val="hr-HR"/>
        </w:rPr>
      </w:pPr>
      <w:r w:rsidRPr="00510442">
        <w:rPr>
          <w:sz w:val="22"/>
          <w:szCs w:val="22"/>
          <w:lang w:val="hr-HR"/>
        </w:rPr>
        <w:t>mišićna slabost i grčevi mišića s abnormalnim srčanim ritmom (znakovi promjena količine kalija u krvi).</w:t>
      </w:r>
    </w:p>
    <w:p w14:paraId="41AEFEEF" w14:textId="77777777" w:rsidR="00BE41B8" w:rsidRPr="00510442" w:rsidRDefault="00BE41B8" w:rsidP="00BE41B8">
      <w:pPr>
        <w:pStyle w:val="Listlevel1"/>
        <w:numPr>
          <w:ilvl w:val="0"/>
          <w:numId w:val="3"/>
        </w:numPr>
        <w:tabs>
          <w:tab w:val="clear" w:pos="360"/>
          <w:tab w:val="num" w:pos="567"/>
        </w:tabs>
        <w:spacing w:before="0" w:after="0"/>
        <w:ind w:left="567" w:hanging="567"/>
        <w:rPr>
          <w:bCs/>
          <w:color w:val="000000"/>
          <w:sz w:val="22"/>
          <w:szCs w:val="22"/>
          <w:lang w:val="hr-HR"/>
        </w:rPr>
      </w:pPr>
      <w:r w:rsidRPr="00510442">
        <w:rPr>
          <w:sz w:val="22"/>
          <w:szCs w:val="22"/>
          <w:lang w:val="hr-HR"/>
        </w:rPr>
        <w:t>modrice.</w:t>
      </w:r>
    </w:p>
    <w:p w14:paraId="7176E499" w14:textId="77777777" w:rsidR="00BE41B8" w:rsidRPr="00510442" w:rsidRDefault="00BE41B8" w:rsidP="00BE41B8">
      <w:pPr>
        <w:pStyle w:val="Listlevel1"/>
        <w:numPr>
          <w:ilvl w:val="0"/>
          <w:numId w:val="23"/>
        </w:numPr>
        <w:tabs>
          <w:tab w:val="clear" w:pos="357"/>
          <w:tab w:val="num" w:pos="567"/>
        </w:tabs>
        <w:spacing w:before="0" w:after="0"/>
        <w:ind w:left="567" w:hanging="567"/>
        <w:rPr>
          <w:bCs/>
          <w:color w:val="000000"/>
          <w:sz w:val="22"/>
          <w:szCs w:val="22"/>
          <w:lang w:val="hr-HR"/>
        </w:rPr>
      </w:pPr>
      <w:r w:rsidRPr="00510442">
        <w:rPr>
          <w:sz w:val="22"/>
          <w:szCs w:val="22"/>
          <w:lang w:val="hr-HR"/>
        </w:rPr>
        <w:t>bol u trbuhu s mučninom.</w:t>
      </w:r>
    </w:p>
    <w:p w14:paraId="792CB03F" w14:textId="77777777" w:rsidR="00BE41B8" w:rsidRPr="00510442" w:rsidRDefault="00BE41B8" w:rsidP="00BE41B8">
      <w:pPr>
        <w:pStyle w:val="Listlevel1"/>
        <w:numPr>
          <w:ilvl w:val="0"/>
          <w:numId w:val="23"/>
        </w:numPr>
        <w:tabs>
          <w:tab w:val="clear" w:pos="357"/>
          <w:tab w:val="num" w:pos="567"/>
        </w:tabs>
        <w:spacing w:before="0" w:after="0"/>
        <w:ind w:left="567" w:hanging="567"/>
        <w:rPr>
          <w:bCs/>
          <w:color w:val="000000"/>
          <w:sz w:val="22"/>
          <w:szCs w:val="22"/>
          <w:lang w:val="hr-HR"/>
        </w:rPr>
      </w:pPr>
      <w:r w:rsidRPr="00510442">
        <w:rPr>
          <w:sz w:val="22"/>
          <w:szCs w:val="22"/>
          <w:lang w:val="hr-HR"/>
        </w:rPr>
        <w:t>grčevi mišića s vrućicom, crveno-smeđe obojena mokraća, bol ili slabost mišića (znakovi mišićnih problema).</w:t>
      </w:r>
    </w:p>
    <w:p w14:paraId="42726C07" w14:textId="77777777" w:rsidR="00BE41B8" w:rsidRPr="00510442" w:rsidRDefault="00BE41B8" w:rsidP="00BE41B8">
      <w:pPr>
        <w:numPr>
          <w:ilvl w:val="0"/>
          <w:numId w:val="23"/>
        </w:numPr>
        <w:tabs>
          <w:tab w:val="clear" w:pos="357"/>
          <w:tab w:val="num" w:pos="567"/>
        </w:tabs>
        <w:autoSpaceDE w:val="0"/>
        <w:autoSpaceDN w:val="0"/>
        <w:adjustRightInd w:val="0"/>
        <w:spacing w:line="240" w:lineRule="auto"/>
        <w:ind w:left="567" w:hanging="567"/>
        <w:rPr>
          <w:color w:val="000000"/>
          <w:szCs w:val="22"/>
          <w:lang w:val="hr-HR" w:bidi="th-TH"/>
        </w:rPr>
      </w:pPr>
      <w:r w:rsidRPr="00510442">
        <w:rPr>
          <w:szCs w:val="22"/>
          <w:lang w:val="hr-HR"/>
        </w:rPr>
        <w:t>bol u zdjelici ponekad s mučninom i povraćanjem te neočekivanim krvarenjem iz rodnice, omaglica ili nesvjestica zbog sniženog krvnog tlaka (znakovi problema s jajnicima ili maternicom).</w:t>
      </w:r>
    </w:p>
    <w:p w14:paraId="3AA72E39" w14:textId="77777777" w:rsidR="00BE41B8" w:rsidRPr="00760469" w:rsidRDefault="00BE41B8" w:rsidP="00BE41B8">
      <w:pPr>
        <w:numPr>
          <w:ilvl w:val="0"/>
          <w:numId w:val="23"/>
        </w:numPr>
        <w:tabs>
          <w:tab w:val="clear" w:pos="357"/>
          <w:tab w:val="clear" w:pos="567"/>
        </w:tabs>
        <w:autoSpaceDE w:val="0"/>
        <w:autoSpaceDN w:val="0"/>
        <w:adjustRightInd w:val="0"/>
        <w:spacing w:line="240" w:lineRule="auto"/>
        <w:ind w:left="567" w:hanging="567"/>
        <w:rPr>
          <w:color w:val="000000"/>
          <w:szCs w:val="22"/>
          <w:lang w:val="hr-HR" w:bidi="th-TH"/>
        </w:rPr>
      </w:pPr>
      <w:r w:rsidRPr="00510442">
        <w:rPr>
          <w:szCs w:val="22"/>
          <w:lang w:val="hr-HR"/>
        </w:rPr>
        <w:t xml:space="preserve">mučnina, nedostatak zraka, nepravilni otkucaji srca, zamućenje mokraće, umor i/ili osjećaj nelagode u zglobovima udruženi s poremećenim nalazima laboratorijskih pretraga (npr. visoke razine kalija, mokraćne kiseline i </w:t>
      </w:r>
      <w:r w:rsidR="00DA4CB8" w:rsidRPr="00510442">
        <w:rPr>
          <w:szCs w:val="22"/>
          <w:lang w:val="hr-HR"/>
        </w:rPr>
        <w:t>kalcija</w:t>
      </w:r>
      <w:r w:rsidRPr="00510442">
        <w:rPr>
          <w:szCs w:val="22"/>
          <w:lang w:val="hr-HR"/>
        </w:rPr>
        <w:t xml:space="preserve"> te niske razine </w:t>
      </w:r>
      <w:r w:rsidR="00DA4CB8" w:rsidRPr="00760469">
        <w:rPr>
          <w:szCs w:val="22"/>
          <w:lang w:val="hr-HR"/>
        </w:rPr>
        <w:t>fosfora</w:t>
      </w:r>
      <w:r w:rsidRPr="00760469">
        <w:rPr>
          <w:szCs w:val="22"/>
          <w:lang w:val="hr-HR"/>
        </w:rPr>
        <w:t xml:space="preserve"> u krvi).</w:t>
      </w:r>
    </w:p>
    <w:p w14:paraId="3AA506D7" w14:textId="77777777" w:rsidR="00030F93" w:rsidRPr="00510442" w:rsidRDefault="00030F93" w:rsidP="00030F93">
      <w:pPr>
        <w:numPr>
          <w:ilvl w:val="0"/>
          <w:numId w:val="23"/>
        </w:numPr>
        <w:tabs>
          <w:tab w:val="clear" w:pos="357"/>
          <w:tab w:val="clear" w:pos="567"/>
        </w:tabs>
        <w:autoSpaceDE w:val="0"/>
        <w:autoSpaceDN w:val="0"/>
        <w:adjustRightInd w:val="0"/>
        <w:spacing w:line="240" w:lineRule="auto"/>
        <w:ind w:left="567" w:hanging="567"/>
        <w:rPr>
          <w:color w:val="000000"/>
          <w:szCs w:val="22"/>
          <w:lang w:val="hr-HR" w:bidi="th-TH"/>
        </w:rPr>
      </w:pPr>
      <w:r w:rsidRPr="00760469">
        <w:rPr>
          <w:szCs w:val="22"/>
          <w:lang w:val="hr-HR"/>
        </w:rPr>
        <w:t>krvni ugrušci u malim krvnim žilama (trombotič</w:t>
      </w:r>
      <w:r w:rsidR="000F7F72" w:rsidRPr="00760469">
        <w:rPr>
          <w:szCs w:val="22"/>
          <w:lang w:val="hr-HR"/>
        </w:rPr>
        <w:t>n</w:t>
      </w:r>
      <w:r w:rsidRPr="00760469">
        <w:rPr>
          <w:szCs w:val="22"/>
          <w:lang w:val="hr-HR"/>
        </w:rPr>
        <w:t>a</w:t>
      </w:r>
      <w:r w:rsidRPr="00510442">
        <w:rPr>
          <w:szCs w:val="22"/>
          <w:lang w:val="hr-HR"/>
        </w:rPr>
        <w:t xml:space="preserve"> mikroangiopatija)</w:t>
      </w:r>
      <w:r w:rsidR="008201B7" w:rsidRPr="00510442">
        <w:rPr>
          <w:szCs w:val="22"/>
          <w:lang w:val="hr-HR"/>
        </w:rPr>
        <w:t>.</w:t>
      </w:r>
    </w:p>
    <w:p w14:paraId="6804408B" w14:textId="77777777" w:rsidR="00C64340" w:rsidRPr="00510442" w:rsidRDefault="00C64340" w:rsidP="00C64340">
      <w:pPr>
        <w:pStyle w:val="Text"/>
        <w:widowControl w:val="0"/>
        <w:spacing w:before="0"/>
        <w:jc w:val="left"/>
        <w:rPr>
          <w:color w:val="000000"/>
          <w:sz w:val="22"/>
          <w:szCs w:val="22"/>
          <w:lang w:val="hr-HR"/>
        </w:rPr>
      </w:pPr>
    </w:p>
    <w:p w14:paraId="062CF78E" w14:textId="77777777" w:rsidR="00C64340" w:rsidRPr="00510442" w:rsidRDefault="00C64340" w:rsidP="00911837">
      <w:pPr>
        <w:pStyle w:val="Text"/>
        <w:keepNext/>
        <w:widowControl w:val="0"/>
        <w:spacing w:before="0"/>
        <w:jc w:val="left"/>
        <w:rPr>
          <w:color w:val="000000"/>
          <w:sz w:val="22"/>
          <w:szCs w:val="22"/>
          <w:lang w:val="hr-HR"/>
        </w:rPr>
      </w:pPr>
      <w:r w:rsidRPr="00510442">
        <w:rPr>
          <w:b/>
          <w:color w:val="000000"/>
          <w:sz w:val="22"/>
          <w:szCs w:val="22"/>
          <w:lang w:val="hr-HR"/>
        </w:rPr>
        <w:t>Nepoznato</w:t>
      </w:r>
      <w:r w:rsidR="00DA4CB8" w:rsidRPr="00510442">
        <w:rPr>
          <w:color w:val="000000"/>
          <w:sz w:val="22"/>
          <w:szCs w:val="22"/>
          <w:lang w:val="hr-HR"/>
        </w:rPr>
        <w:t xml:space="preserve"> (učestalost se ne može procijeniti iz dostupnih podataka)</w:t>
      </w:r>
      <w:r w:rsidRPr="00510442">
        <w:rPr>
          <w:color w:val="000000"/>
          <w:sz w:val="22"/>
          <w:szCs w:val="22"/>
          <w:lang w:val="hr-HR"/>
        </w:rPr>
        <w:t>:</w:t>
      </w:r>
    </w:p>
    <w:p w14:paraId="0621BB03" w14:textId="77777777" w:rsidR="00C64340" w:rsidRPr="00510442" w:rsidRDefault="00B15196" w:rsidP="00911837">
      <w:pPr>
        <w:pStyle w:val="Text"/>
        <w:widowControl w:val="0"/>
        <w:numPr>
          <w:ilvl w:val="0"/>
          <w:numId w:val="27"/>
        </w:numPr>
        <w:tabs>
          <w:tab w:val="clear" w:pos="357"/>
          <w:tab w:val="num" w:pos="567"/>
        </w:tabs>
        <w:spacing w:before="0"/>
        <w:ind w:left="567" w:hanging="567"/>
        <w:jc w:val="left"/>
        <w:rPr>
          <w:color w:val="000000"/>
          <w:sz w:val="22"/>
          <w:szCs w:val="22"/>
          <w:lang w:val="hr-HR"/>
        </w:rPr>
      </w:pPr>
      <w:r w:rsidRPr="00510442">
        <w:rPr>
          <w:sz w:val="22"/>
          <w:szCs w:val="22"/>
          <w:lang w:val="hr-HR"/>
        </w:rPr>
        <w:t>k</w:t>
      </w:r>
      <w:r w:rsidR="00C64340" w:rsidRPr="00510442">
        <w:rPr>
          <w:sz w:val="22"/>
          <w:szCs w:val="22"/>
          <w:lang w:val="hr-HR"/>
        </w:rPr>
        <w:t xml:space="preserve">ombinacija teškog proširenog osipa, mučnine, vrućice, visoke razine određenih bijelih krvnih </w:t>
      </w:r>
      <w:r w:rsidR="00C64340" w:rsidRPr="00510442">
        <w:rPr>
          <w:color w:val="000000"/>
          <w:sz w:val="22"/>
          <w:szCs w:val="22"/>
          <w:lang w:val="hr-HR"/>
        </w:rPr>
        <w:t xml:space="preserve">stanica ili žutila kože ili očiju (znakovi žutice) s </w:t>
      </w:r>
      <w:r w:rsidR="00787AAA" w:rsidRPr="00510442">
        <w:rPr>
          <w:color w:val="000000"/>
          <w:sz w:val="22"/>
          <w:szCs w:val="22"/>
          <w:lang w:val="hr-HR"/>
        </w:rPr>
        <w:t>nedostatkom zraka</w:t>
      </w:r>
      <w:r w:rsidR="00C64340" w:rsidRPr="00510442">
        <w:rPr>
          <w:color w:val="000000"/>
          <w:sz w:val="22"/>
          <w:szCs w:val="22"/>
          <w:lang w:val="hr-HR"/>
        </w:rPr>
        <w:t>, bolovima/nelagodom u prsima, jako smanjenim mokrenjem i žeđi itd. (znakovi alergijske reakcije povezane s liječenjem).</w:t>
      </w:r>
    </w:p>
    <w:p w14:paraId="57100CF3" w14:textId="77777777" w:rsidR="00EB6F31" w:rsidRPr="00510442" w:rsidRDefault="00EB6F31" w:rsidP="00911837">
      <w:pPr>
        <w:pStyle w:val="Text"/>
        <w:widowControl w:val="0"/>
        <w:numPr>
          <w:ilvl w:val="0"/>
          <w:numId w:val="27"/>
        </w:numPr>
        <w:tabs>
          <w:tab w:val="clear" w:pos="357"/>
          <w:tab w:val="num" w:pos="567"/>
        </w:tabs>
        <w:spacing w:before="0"/>
        <w:ind w:left="567" w:hanging="567"/>
        <w:jc w:val="left"/>
        <w:rPr>
          <w:sz w:val="22"/>
          <w:szCs w:val="22"/>
          <w:lang w:val="hr-HR"/>
        </w:rPr>
      </w:pPr>
      <w:r w:rsidRPr="00510442">
        <w:rPr>
          <w:color w:val="000000"/>
          <w:sz w:val="22"/>
          <w:szCs w:val="22"/>
          <w:lang w:val="hr-HR"/>
        </w:rPr>
        <w:t>kronično</w:t>
      </w:r>
      <w:r w:rsidRPr="00510442">
        <w:rPr>
          <w:sz w:val="22"/>
          <w:szCs w:val="22"/>
          <w:lang w:val="hr-HR"/>
        </w:rPr>
        <w:t xml:space="preserve"> zatajenje bubrega.</w:t>
      </w:r>
    </w:p>
    <w:p w14:paraId="1DCD9C39" w14:textId="77777777" w:rsidR="00D83953" w:rsidRPr="00510442" w:rsidRDefault="00D83953" w:rsidP="00911837">
      <w:pPr>
        <w:pStyle w:val="Text"/>
        <w:widowControl w:val="0"/>
        <w:numPr>
          <w:ilvl w:val="0"/>
          <w:numId w:val="27"/>
        </w:numPr>
        <w:tabs>
          <w:tab w:val="clear" w:pos="357"/>
          <w:tab w:val="num" w:pos="567"/>
        </w:tabs>
        <w:spacing w:before="0"/>
        <w:ind w:left="567" w:hanging="567"/>
        <w:jc w:val="left"/>
        <w:rPr>
          <w:sz w:val="22"/>
          <w:szCs w:val="22"/>
          <w:lang w:val="hr-HR"/>
        </w:rPr>
      </w:pPr>
      <w:r w:rsidRPr="00510442">
        <w:rPr>
          <w:color w:val="000000"/>
          <w:sz w:val="22"/>
          <w:szCs w:val="22"/>
          <w:lang w:val="hr-HR"/>
        </w:rPr>
        <w:t>ponovna pojava (ponovna aktivacija) infekcije virusom hepatitisa B ako ste u prošlosti imali hepatitis B (infekciju jetre).</w:t>
      </w:r>
    </w:p>
    <w:p w14:paraId="73EEF74B" w14:textId="77777777" w:rsidR="00C64340" w:rsidRPr="00510442" w:rsidRDefault="00C64340" w:rsidP="00C64340">
      <w:pPr>
        <w:pStyle w:val="Text"/>
        <w:widowControl w:val="0"/>
        <w:spacing w:before="0"/>
        <w:jc w:val="left"/>
        <w:rPr>
          <w:color w:val="000000"/>
          <w:sz w:val="22"/>
          <w:szCs w:val="22"/>
          <w:lang w:val="hr-HR"/>
        </w:rPr>
      </w:pPr>
    </w:p>
    <w:p w14:paraId="3191E81E" w14:textId="77777777" w:rsidR="00BE41B8" w:rsidRPr="00510442" w:rsidRDefault="00BE41B8" w:rsidP="00BE41B8">
      <w:pPr>
        <w:pStyle w:val="Text"/>
        <w:widowControl w:val="0"/>
        <w:spacing w:before="0"/>
        <w:jc w:val="left"/>
        <w:rPr>
          <w:color w:val="000000"/>
          <w:sz w:val="22"/>
          <w:szCs w:val="22"/>
          <w:lang w:val="hr-HR"/>
        </w:rPr>
      </w:pPr>
      <w:r w:rsidRPr="00510442">
        <w:rPr>
          <w:sz w:val="22"/>
          <w:szCs w:val="22"/>
          <w:lang w:val="hr-HR"/>
        </w:rPr>
        <w:t xml:space="preserve">Ako se kod Vas javi bilo što od gore navedenog, </w:t>
      </w:r>
      <w:r w:rsidRPr="00510442">
        <w:rPr>
          <w:b/>
          <w:sz w:val="22"/>
          <w:szCs w:val="22"/>
          <w:lang w:val="hr-HR"/>
        </w:rPr>
        <w:t>odmah obavijestite svog liječnika</w:t>
      </w:r>
      <w:r w:rsidRPr="00510442">
        <w:rPr>
          <w:sz w:val="22"/>
          <w:szCs w:val="22"/>
          <w:lang w:val="hr-HR"/>
        </w:rPr>
        <w:t>.</w:t>
      </w:r>
    </w:p>
    <w:p w14:paraId="458281B8" w14:textId="77777777" w:rsidR="00BE41B8" w:rsidRPr="00510442" w:rsidRDefault="00BE41B8" w:rsidP="00BE41B8">
      <w:pPr>
        <w:pStyle w:val="Text"/>
        <w:widowControl w:val="0"/>
        <w:spacing w:before="0"/>
        <w:jc w:val="left"/>
        <w:rPr>
          <w:color w:val="000000"/>
          <w:sz w:val="22"/>
          <w:szCs w:val="22"/>
          <w:lang w:val="hr-HR"/>
        </w:rPr>
      </w:pPr>
    </w:p>
    <w:p w14:paraId="3AB739E0" w14:textId="77777777" w:rsidR="00BE41B8" w:rsidRPr="00510442" w:rsidRDefault="00BE41B8" w:rsidP="00911837">
      <w:pPr>
        <w:pStyle w:val="Text"/>
        <w:keepNext/>
        <w:widowControl w:val="0"/>
        <w:spacing w:before="0"/>
        <w:jc w:val="left"/>
        <w:rPr>
          <w:b/>
          <w:color w:val="000000"/>
          <w:sz w:val="22"/>
          <w:szCs w:val="22"/>
          <w:lang w:val="hr-HR"/>
        </w:rPr>
      </w:pPr>
      <w:r w:rsidRPr="00510442">
        <w:rPr>
          <w:b/>
          <w:sz w:val="22"/>
          <w:szCs w:val="22"/>
          <w:lang w:val="hr-HR"/>
        </w:rPr>
        <w:t>Druge nuspojave mogu uključivati:</w:t>
      </w:r>
    </w:p>
    <w:p w14:paraId="22340B89" w14:textId="77777777" w:rsidR="00BE41B8" w:rsidRPr="00510442" w:rsidRDefault="00BE41B8" w:rsidP="00911837">
      <w:pPr>
        <w:pStyle w:val="Text"/>
        <w:keepNext/>
        <w:widowControl w:val="0"/>
        <w:spacing w:before="0"/>
        <w:jc w:val="left"/>
        <w:rPr>
          <w:color w:val="000000"/>
          <w:sz w:val="22"/>
          <w:szCs w:val="22"/>
          <w:lang w:val="hr-HR"/>
        </w:rPr>
      </w:pPr>
    </w:p>
    <w:p w14:paraId="41AB5359" w14:textId="77777777" w:rsidR="00BE41B8" w:rsidRPr="00510442" w:rsidRDefault="00BE41B8" w:rsidP="00911837">
      <w:pPr>
        <w:pStyle w:val="Text"/>
        <w:keepNext/>
        <w:widowControl w:val="0"/>
        <w:spacing w:before="0"/>
        <w:jc w:val="left"/>
        <w:rPr>
          <w:i/>
          <w:color w:val="000000"/>
          <w:sz w:val="22"/>
          <w:szCs w:val="22"/>
          <w:lang w:val="hr-HR"/>
        </w:rPr>
      </w:pPr>
      <w:r w:rsidRPr="00510442">
        <w:rPr>
          <w:b/>
          <w:sz w:val="22"/>
          <w:szCs w:val="22"/>
          <w:lang w:val="hr-HR"/>
        </w:rPr>
        <w:t>Vrlo česte</w:t>
      </w:r>
      <w:r w:rsidRPr="00510442">
        <w:rPr>
          <w:sz w:val="22"/>
          <w:szCs w:val="22"/>
          <w:lang w:val="hr-HR"/>
        </w:rPr>
        <w:t xml:space="preserve"> </w:t>
      </w:r>
      <w:r w:rsidRPr="00510442">
        <w:rPr>
          <w:color w:val="000000"/>
          <w:sz w:val="22"/>
          <w:szCs w:val="22"/>
          <w:lang w:val="hr-HR"/>
        </w:rPr>
        <w:t>(mogu se javiti u više od 1 na 10 osoba)</w:t>
      </w:r>
      <w:r w:rsidRPr="00510442">
        <w:rPr>
          <w:sz w:val="22"/>
          <w:szCs w:val="22"/>
          <w:lang w:val="hr-HR"/>
        </w:rPr>
        <w:t>:</w:t>
      </w:r>
    </w:p>
    <w:p w14:paraId="64A9493C" w14:textId="77777777" w:rsidR="00BE41B8" w:rsidRPr="00510442" w:rsidRDefault="00BE41B8" w:rsidP="00BE41B8">
      <w:pPr>
        <w:pStyle w:val="Text"/>
        <w:widowControl w:val="0"/>
        <w:numPr>
          <w:ilvl w:val="0"/>
          <w:numId w:val="25"/>
        </w:numPr>
        <w:tabs>
          <w:tab w:val="clear" w:pos="357"/>
          <w:tab w:val="num" w:pos="567"/>
        </w:tabs>
        <w:spacing w:before="0"/>
        <w:ind w:left="567" w:hanging="567"/>
        <w:jc w:val="left"/>
        <w:rPr>
          <w:color w:val="000000"/>
          <w:sz w:val="22"/>
          <w:szCs w:val="22"/>
          <w:lang w:val="hr-HR"/>
        </w:rPr>
      </w:pPr>
      <w:r w:rsidRPr="00510442">
        <w:rPr>
          <w:sz w:val="22"/>
          <w:szCs w:val="22"/>
          <w:lang w:val="hr-HR"/>
        </w:rPr>
        <w:t>glavobolja ili umor.</w:t>
      </w:r>
    </w:p>
    <w:p w14:paraId="4D6B5CB6" w14:textId="77777777" w:rsidR="00BE41B8" w:rsidRPr="00510442" w:rsidRDefault="00BE41B8" w:rsidP="00BE41B8">
      <w:pPr>
        <w:pStyle w:val="Text"/>
        <w:widowControl w:val="0"/>
        <w:numPr>
          <w:ilvl w:val="0"/>
          <w:numId w:val="20"/>
        </w:numPr>
        <w:tabs>
          <w:tab w:val="clear" w:pos="717"/>
          <w:tab w:val="num" w:pos="567"/>
        </w:tabs>
        <w:spacing w:before="0"/>
        <w:ind w:left="567" w:hanging="567"/>
        <w:jc w:val="left"/>
        <w:rPr>
          <w:color w:val="000000"/>
          <w:sz w:val="22"/>
          <w:szCs w:val="22"/>
          <w:lang w:val="hr-HR"/>
        </w:rPr>
      </w:pPr>
      <w:r w:rsidRPr="00510442">
        <w:rPr>
          <w:sz w:val="22"/>
          <w:szCs w:val="22"/>
          <w:lang w:val="hr-HR"/>
        </w:rPr>
        <w:t>mučnina, povraćanje, proljev ili probavne smetnje.</w:t>
      </w:r>
    </w:p>
    <w:p w14:paraId="2AD08AC2" w14:textId="77777777" w:rsidR="00BE41B8" w:rsidRPr="00510442" w:rsidRDefault="00BE41B8" w:rsidP="00BE41B8">
      <w:pPr>
        <w:pStyle w:val="Text"/>
        <w:widowControl w:val="0"/>
        <w:numPr>
          <w:ilvl w:val="0"/>
          <w:numId w:val="20"/>
        </w:numPr>
        <w:tabs>
          <w:tab w:val="clear" w:pos="717"/>
          <w:tab w:val="num" w:pos="567"/>
        </w:tabs>
        <w:spacing w:before="0"/>
        <w:ind w:left="567" w:hanging="567"/>
        <w:jc w:val="left"/>
        <w:rPr>
          <w:color w:val="000000"/>
          <w:sz w:val="22"/>
          <w:szCs w:val="22"/>
          <w:lang w:val="hr-HR"/>
        </w:rPr>
      </w:pPr>
      <w:r w:rsidRPr="00510442">
        <w:rPr>
          <w:sz w:val="22"/>
          <w:szCs w:val="22"/>
          <w:lang w:val="hr-HR"/>
        </w:rPr>
        <w:lastRenderedPageBreak/>
        <w:t>osip</w:t>
      </w:r>
      <w:r w:rsidRPr="00510442">
        <w:rPr>
          <w:color w:val="000000"/>
          <w:sz w:val="22"/>
          <w:szCs w:val="22"/>
          <w:lang w:val="hr-HR"/>
        </w:rPr>
        <w:t>.</w:t>
      </w:r>
    </w:p>
    <w:p w14:paraId="1D6809BF" w14:textId="77AFB0EA" w:rsidR="00BE41B8" w:rsidRPr="00510442" w:rsidRDefault="00BE41B8" w:rsidP="00BE41B8">
      <w:pPr>
        <w:pStyle w:val="Text"/>
        <w:widowControl w:val="0"/>
        <w:numPr>
          <w:ilvl w:val="0"/>
          <w:numId w:val="20"/>
        </w:numPr>
        <w:tabs>
          <w:tab w:val="clear" w:pos="717"/>
          <w:tab w:val="num" w:pos="567"/>
        </w:tabs>
        <w:spacing w:before="0"/>
        <w:ind w:left="567" w:hanging="567"/>
        <w:jc w:val="left"/>
        <w:rPr>
          <w:color w:val="000000"/>
          <w:sz w:val="22"/>
          <w:szCs w:val="22"/>
          <w:lang w:val="hr-HR"/>
        </w:rPr>
      </w:pPr>
      <w:r w:rsidRPr="00510442">
        <w:rPr>
          <w:sz w:val="22"/>
          <w:szCs w:val="22"/>
          <w:lang w:val="hr-HR"/>
        </w:rPr>
        <w:t>grčevi u mišićima ili bol u zglobovima, mišićima ili kostima</w:t>
      </w:r>
      <w:r w:rsidR="00DC65B2" w:rsidRPr="00510442">
        <w:rPr>
          <w:sz w:val="22"/>
          <w:szCs w:val="22"/>
          <w:lang w:val="hr-HR"/>
        </w:rPr>
        <w:t xml:space="preserve">, tijekom liječenja </w:t>
      </w:r>
      <w:r w:rsidR="00B3237D">
        <w:rPr>
          <w:sz w:val="22"/>
          <w:szCs w:val="22"/>
          <w:lang w:val="hr-HR"/>
        </w:rPr>
        <w:t xml:space="preserve">lijekom </w:t>
      </w:r>
      <w:r w:rsidR="00DC65B2" w:rsidRPr="00510442">
        <w:rPr>
          <w:sz w:val="22"/>
          <w:szCs w:val="22"/>
          <w:lang w:val="hr-HR"/>
        </w:rPr>
        <w:t xml:space="preserve">Glivec ili nakon prekida </w:t>
      </w:r>
      <w:r w:rsidR="00CA3330" w:rsidRPr="00510442">
        <w:rPr>
          <w:sz w:val="22"/>
          <w:szCs w:val="22"/>
          <w:lang w:val="hr-HR"/>
        </w:rPr>
        <w:t xml:space="preserve">uzimanja </w:t>
      </w:r>
      <w:r w:rsidR="00DB1682" w:rsidRPr="00512481">
        <w:rPr>
          <w:sz w:val="22"/>
          <w:szCs w:val="22"/>
          <w:lang w:val="hr-HR"/>
        </w:rPr>
        <w:t xml:space="preserve">lijeka </w:t>
      </w:r>
      <w:r w:rsidR="00DC65B2" w:rsidRPr="00510442">
        <w:rPr>
          <w:sz w:val="22"/>
          <w:szCs w:val="22"/>
          <w:lang w:val="hr-HR"/>
        </w:rPr>
        <w:t>Glivec</w:t>
      </w:r>
      <w:r w:rsidRPr="00510442">
        <w:rPr>
          <w:color w:val="000000"/>
          <w:sz w:val="22"/>
          <w:szCs w:val="22"/>
          <w:lang w:val="hr-HR"/>
        </w:rPr>
        <w:t>.</w:t>
      </w:r>
    </w:p>
    <w:p w14:paraId="3B4AB2FD" w14:textId="77777777" w:rsidR="00BE41B8" w:rsidRPr="00510442" w:rsidRDefault="00BE41B8" w:rsidP="00BE41B8">
      <w:pPr>
        <w:pStyle w:val="Text"/>
        <w:widowControl w:val="0"/>
        <w:numPr>
          <w:ilvl w:val="0"/>
          <w:numId w:val="20"/>
        </w:numPr>
        <w:tabs>
          <w:tab w:val="clear" w:pos="717"/>
          <w:tab w:val="num" w:pos="567"/>
        </w:tabs>
        <w:spacing w:before="0"/>
        <w:ind w:left="567" w:hanging="567"/>
        <w:jc w:val="left"/>
        <w:rPr>
          <w:color w:val="000000"/>
          <w:sz w:val="22"/>
          <w:szCs w:val="22"/>
          <w:lang w:val="hr-HR"/>
        </w:rPr>
      </w:pPr>
      <w:r w:rsidRPr="00510442">
        <w:rPr>
          <w:sz w:val="22"/>
          <w:szCs w:val="22"/>
          <w:lang w:val="hr-HR"/>
        </w:rPr>
        <w:t>oticanje kao što je oticanje gležnjeva ili otečene oči</w:t>
      </w:r>
      <w:r w:rsidRPr="00510442">
        <w:rPr>
          <w:color w:val="000000"/>
          <w:sz w:val="22"/>
          <w:szCs w:val="22"/>
          <w:lang w:val="hr-HR"/>
        </w:rPr>
        <w:t>.</w:t>
      </w:r>
    </w:p>
    <w:p w14:paraId="3BC15C24" w14:textId="77777777" w:rsidR="00BE41B8" w:rsidRPr="00510442" w:rsidRDefault="00BE41B8" w:rsidP="00911837">
      <w:pPr>
        <w:pStyle w:val="Text"/>
        <w:keepNext/>
        <w:widowControl w:val="0"/>
        <w:numPr>
          <w:ilvl w:val="0"/>
          <w:numId w:val="20"/>
        </w:numPr>
        <w:tabs>
          <w:tab w:val="clear" w:pos="717"/>
          <w:tab w:val="num" w:pos="567"/>
        </w:tabs>
        <w:spacing w:before="0"/>
        <w:ind w:left="567" w:hanging="567"/>
        <w:jc w:val="left"/>
        <w:rPr>
          <w:color w:val="000000"/>
          <w:sz w:val="22"/>
          <w:szCs w:val="22"/>
          <w:lang w:val="hr-HR"/>
        </w:rPr>
      </w:pPr>
      <w:r w:rsidRPr="00510442">
        <w:rPr>
          <w:sz w:val="22"/>
          <w:szCs w:val="22"/>
          <w:lang w:val="hr-HR"/>
        </w:rPr>
        <w:t>povećanje tjelesne težine</w:t>
      </w:r>
      <w:r w:rsidRPr="00510442">
        <w:rPr>
          <w:color w:val="000000"/>
          <w:sz w:val="22"/>
          <w:szCs w:val="22"/>
          <w:lang w:val="hr-HR"/>
        </w:rPr>
        <w:t>.</w:t>
      </w:r>
    </w:p>
    <w:p w14:paraId="03F8AED1" w14:textId="77777777" w:rsidR="00BE41B8" w:rsidRPr="00510442" w:rsidRDefault="00BE41B8" w:rsidP="00BE41B8">
      <w:pPr>
        <w:pStyle w:val="Text"/>
        <w:widowControl w:val="0"/>
        <w:spacing w:before="0"/>
        <w:jc w:val="left"/>
        <w:rPr>
          <w:color w:val="000000"/>
          <w:sz w:val="22"/>
          <w:szCs w:val="22"/>
          <w:lang w:val="hr-HR"/>
        </w:rPr>
      </w:pPr>
      <w:r w:rsidRPr="00510442">
        <w:rPr>
          <w:sz w:val="22"/>
          <w:szCs w:val="22"/>
          <w:lang w:val="hr-HR"/>
        </w:rPr>
        <w:t xml:space="preserve">Ako se bilo što od navedenog kod Vas javi u teškom obliku, </w:t>
      </w:r>
      <w:r w:rsidRPr="00510442">
        <w:rPr>
          <w:b/>
          <w:sz w:val="22"/>
          <w:szCs w:val="22"/>
          <w:lang w:val="hr-HR"/>
        </w:rPr>
        <w:t>obavijestite svog liječnika</w:t>
      </w:r>
      <w:r w:rsidRPr="00510442">
        <w:rPr>
          <w:color w:val="000000"/>
          <w:sz w:val="22"/>
          <w:szCs w:val="22"/>
          <w:lang w:val="hr-HR"/>
        </w:rPr>
        <w:t>.</w:t>
      </w:r>
    </w:p>
    <w:p w14:paraId="76574451" w14:textId="77777777" w:rsidR="00BE41B8" w:rsidRPr="00510442" w:rsidRDefault="00BE41B8" w:rsidP="00BE41B8">
      <w:pPr>
        <w:pStyle w:val="Text"/>
        <w:widowControl w:val="0"/>
        <w:spacing w:before="0"/>
        <w:jc w:val="left"/>
        <w:rPr>
          <w:color w:val="000000"/>
          <w:sz w:val="22"/>
          <w:szCs w:val="22"/>
          <w:lang w:val="hr-HR"/>
        </w:rPr>
      </w:pPr>
    </w:p>
    <w:p w14:paraId="0CE4C0B4" w14:textId="77777777" w:rsidR="00BE41B8" w:rsidRPr="00510442" w:rsidRDefault="00BE41B8" w:rsidP="00911837">
      <w:pPr>
        <w:pStyle w:val="Text"/>
        <w:keepNext/>
        <w:widowControl w:val="0"/>
        <w:spacing w:before="0"/>
        <w:jc w:val="left"/>
        <w:rPr>
          <w:i/>
          <w:color w:val="000000"/>
          <w:sz w:val="22"/>
          <w:szCs w:val="22"/>
          <w:lang w:val="hr-HR"/>
        </w:rPr>
      </w:pPr>
      <w:r w:rsidRPr="00510442">
        <w:rPr>
          <w:b/>
          <w:sz w:val="22"/>
          <w:szCs w:val="22"/>
          <w:lang w:val="hr-HR"/>
        </w:rPr>
        <w:t>Česte</w:t>
      </w:r>
      <w:r w:rsidRPr="00510442">
        <w:rPr>
          <w:sz w:val="22"/>
          <w:szCs w:val="22"/>
          <w:lang w:val="hr-HR"/>
        </w:rPr>
        <w:t xml:space="preserve"> </w:t>
      </w:r>
      <w:r w:rsidRPr="00510442">
        <w:rPr>
          <w:color w:val="000000"/>
          <w:sz w:val="22"/>
          <w:szCs w:val="22"/>
          <w:lang w:val="hr-HR"/>
        </w:rPr>
        <w:t>(mogu se javiti u do 1 na 10 osoba):</w:t>
      </w:r>
    </w:p>
    <w:p w14:paraId="3EC174CF" w14:textId="77777777" w:rsidR="00BE41B8" w:rsidRPr="00510442" w:rsidRDefault="00BE41B8" w:rsidP="00BE41B8">
      <w:pPr>
        <w:pStyle w:val="Text"/>
        <w:widowControl w:val="0"/>
        <w:numPr>
          <w:ilvl w:val="0"/>
          <w:numId w:val="24"/>
        </w:numPr>
        <w:tabs>
          <w:tab w:val="clear" w:pos="357"/>
        </w:tabs>
        <w:spacing w:before="0"/>
        <w:ind w:left="567" w:hanging="567"/>
        <w:jc w:val="left"/>
        <w:rPr>
          <w:color w:val="000000"/>
          <w:sz w:val="22"/>
          <w:szCs w:val="22"/>
          <w:lang w:val="hr-HR"/>
        </w:rPr>
      </w:pPr>
      <w:r w:rsidRPr="00510442">
        <w:rPr>
          <w:sz w:val="22"/>
          <w:szCs w:val="22"/>
          <w:lang w:val="hr-HR"/>
        </w:rPr>
        <w:t>anoreksija, smanjenje tjelesne težine ili poremećaj u osjetu okusa</w:t>
      </w:r>
      <w:r w:rsidRPr="00510442">
        <w:rPr>
          <w:color w:val="000000"/>
          <w:sz w:val="22"/>
          <w:szCs w:val="22"/>
          <w:lang w:val="hr-HR"/>
        </w:rPr>
        <w:t>.</w:t>
      </w:r>
    </w:p>
    <w:p w14:paraId="1EAB049D" w14:textId="77777777" w:rsidR="00BE41B8" w:rsidRPr="00510442" w:rsidRDefault="00BE41B8" w:rsidP="00BE41B8">
      <w:pPr>
        <w:pStyle w:val="Text"/>
        <w:widowControl w:val="0"/>
        <w:numPr>
          <w:ilvl w:val="0"/>
          <w:numId w:val="21"/>
        </w:numPr>
        <w:tabs>
          <w:tab w:val="clear" w:pos="717"/>
          <w:tab w:val="num" w:pos="567"/>
        </w:tabs>
        <w:spacing w:before="0"/>
        <w:ind w:left="567" w:hanging="567"/>
        <w:jc w:val="left"/>
        <w:rPr>
          <w:color w:val="000000"/>
          <w:sz w:val="22"/>
          <w:szCs w:val="22"/>
          <w:lang w:val="hr-HR"/>
        </w:rPr>
      </w:pPr>
      <w:r w:rsidRPr="00510442">
        <w:rPr>
          <w:sz w:val="22"/>
          <w:szCs w:val="22"/>
          <w:lang w:val="hr-HR"/>
        </w:rPr>
        <w:t>omaglica ili slabost</w:t>
      </w:r>
      <w:r w:rsidRPr="00510442">
        <w:rPr>
          <w:color w:val="000000"/>
          <w:sz w:val="22"/>
          <w:szCs w:val="22"/>
          <w:lang w:val="hr-HR"/>
        </w:rPr>
        <w:t>.</w:t>
      </w:r>
    </w:p>
    <w:p w14:paraId="21DCC597" w14:textId="77777777" w:rsidR="00BE41B8" w:rsidRPr="00510442" w:rsidRDefault="00BE41B8" w:rsidP="00BE41B8">
      <w:pPr>
        <w:pStyle w:val="Text"/>
        <w:widowControl w:val="0"/>
        <w:numPr>
          <w:ilvl w:val="0"/>
          <w:numId w:val="21"/>
        </w:numPr>
        <w:tabs>
          <w:tab w:val="clear" w:pos="717"/>
          <w:tab w:val="num" w:pos="567"/>
        </w:tabs>
        <w:spacing w:before="0"/>
        <w:ind w:left="567" w:hanging="567"/>
        <w:jc w:val="left"/>
        <w:rPr>
          <w:color w:val="000000"/>
          <w:sz w:val="22"/>
          <w:szCs w:val="22"/>
          <w:lang w:val="hr-HR"/>
        </w:rPr>
      </w:pPr>
      <w:r w:rsidRPr="00510442">
        <w:rPr>
          <w:sz w:val="22"/>
          <w:szCs w:val="22"/>
          <w:lang w:val="hr-HR"/>
        </w:rPr>
        <w:t>otežano spavanje (nesanica)</w:t>
      </w:r>
      <w:r w:rsidRPr="00510442">
        <w:rPr>
          <w:color w:val="000000"/>
          <w:sz w:val="22"/>
          <w:szCs w:val="22"/>
          <w:lang w:val="hr-HR"/>
        </w:rPr>
        <w:t>.</w:t>
      </w:r>
    </w:p>
    <w:p w14:paraId="2D95016E" w14:textId="77777777" w:rsidR="00BE41B8" w:rsidRPr="00510442" w:rsidRDefault="00BE41B8" w:rsidP="00BE41B8">
      <w:pPr>
        <w:pStyle w:val="Text"/>
        <w:widowControl w:val="0"/>
        <w:numPr>
          <w:ilvl w:val="0"/>
          <w:numId w:val="21"/>
        </w:numPr>
        <w:tabs>
          <w:tab w:val="clear" w:pos="717"/>
          <w:tab w:val="num" w:pos="567"/>
        </w:tabs>
        <w:spacing w:before="0"/>
        <w:ind w:left="567" w:hanging="567"/>
        <w:jc w:val="left"/>
        <w:rPr>
          <w:color w:val="000000"/>
          <w:sz w:val="22"/>
          <w:szCs w:val="22"/>
          <w:lang w:val="hr-HR"/>
        </w:rPr>
      </w:pPr>
      <w:r w:rsidRPr="00510442">
        <w:rPr>
          <w:sz w:val="22"/>
          <w:szCs w:val="22"/>
          <w:lang w:val="hr-HR"/>
        </w:rPr>
        <w:t>iscjedak iz oka sa svrbežom, crvenilom ili oteklinom (konjunktivitis), suzne oči ili zamućen vid</w:t>
      </w:r>
      <w:r w:rsidRPr="00510442">
        <w:rPr>
          <w:color w:val="000000"/>
          <w:sz w:val="22"/>
          <w:szCs w:val="22"/>
          <w:lang w:val="hr-HR"/>
        </w:rPr>
        <w:t>.</w:t>
      </w:r>
    </w:p>
    <w:p w14:paraId="4864AF0E" w14:textId="77777777" w:rsidR="00BE41B8" w:rsidRPr="00510442" w:rsidRDefault="00BE41B8" w:rsidP="00BE41B8">
      <w:pPr>
        <w:pStyle w:val="Text"/>
        <w:widowControl w:val="0"/>
        <w:numPr>
          <w:ilvl w:val="0"/>
          <w:numId w:val="21"/>
        </w:numPr>
        <w:tabs>
          <w:tab w:val="clear" w:pos="717"/>
          <w:tab w:val="num" w:pos="567"/>
        </w:tabs>
        <w:spacing w:before="0"/>
        <w:ind w:left="567" w:hanging="567"/>
        <w:jc w:val="left"/>
        <w:rPr>
          <w:color w:val="000000"/>
          <w:sz w:val="22"/>
          <w:szCs w:val="22"/>
          <w:lang w:val="hr-HR"/>
        </w:rPr>
      </w:pPr>
      <w:r w:rsidRPr="00510442">
        <w:rPr>
          <w:sz w:val="22"/>
          <w:szCs w:val="22"/>
          <w:lang w:val="hr-HR"/>
        </w:rPr>
        <w:t>krvarenje iz nosa</w:t>
      </w:r>
      <w:r w:rsidRPr="00510442">
        <w:rPr>
          <w:color w:val="000000"/>
          <w:sz w:val="22"/>
          <w:szCs w:val="22"/>
          <w:lang w:val="hr-HR"/>
        </w:rPr>
        <w:t>.</w:t>
      </w:r>
    </w:p>
    <w:p w14:paraId="599C7A9C" w14:textId="77777777" w:rsidR="00BE41B8" w:rsidRPr="00510442" w:rsidRDefault="00BE41B8" w:rsidP="00BE41B8">
      <w:pPr>
        <w:pStyle w:val="Text"/>
        <w:widowControl w:val="0"/>
        <w:numPr>
          <w:ilvl w:val="0"/>
          <w:numId w:val="21"/>
        </w:numPr>
        <w:tabs>
          <w:tab w:val="clear" w:pos="717"/>
          <w:tab w:val="num" w:pos="567"/>
        </w:tabs>
        <w:spacing w:before="0"/>
        <w:ind w:left="567" w:hanging="567"/>
        <w:jc w:val="left"/>
        <w:rPr>
          <w:color w:val="000000"/>
          <w:sz w:val="22"/>
          <w:szCs w:val="22"/>
          <w:lang w:val="hr-HR"/>
        </w:rPr>
      </w:pPr>
      <w:r w:rsidRPr="00510442">
        <w:rPr>
          <w:sz w:val="22"/>
          <w:szCs w:val="22"/>
          <w:lang w:val="hr-HR"/>
        </w:rPr>
        <w:t>bol ili oticanje u trbuhu, vjetrovi, žgaravica ili zatvor</w:t>
      </w:r>
      <w:r w:rsidRPr="00510442">
        <w:rPr>
          <w:color w:val="000000"/>
          <w:sz w:val="22"/>
          <w:szCs w:val="22"/>
          <w:lang w:val="hr-HR"/>
        </w:rPr>
        <w:t>.</w:t>
      </w:r>
    </w:p>
    <w:p w14:paraId="63189A4C" w14:textId="77777777" w:rsidR="00BE41B8" w:rsidRPr="00510442" w:rsidRDefault="00BE41B8" w:rsidP="00BE41B8">
      <w:pPr>
        <w:pStyle w:val="Text"/>
        <w:widowControl w:val="0"/>
        <w:numPr>
          <w:ilvl w:val="0"/>
          <w:numId w:val="21"/>
        </w:numPr>
        <w:tabs>
          <w:tab w:val="clear" w:pos="717"/>
          <w:tab w:val="num" w:pos="567"/>
        </w:tabs>
        <w:spacing w:before="0"/>
        <w:ind w:left="567" w:hanging="567"/>
        <w:jc w:val="left"/>
        <w:rPr>
          <w:color w:val="000000"/>
          <w:sz w:val="22"/>
          <w:szCs w:val="22"/>
          <w:lang w:val="hr-HR"/>
        </w:rPr>
      </w:pPr>
      <w:r w:rsidRPr="00510442">
        <w:rPr>
          <w:sz w:val="22"/>
          <w:szCs w:val="22"/>
          <w:lang w:val="hr-HR"/>
        </w:rPr>
        <w:t>svrbež</w:t>
      </w:r>
      <w:r w:rsidRPr="00510442">
        <w:rPr>
          <w:color w:val="000000"/>
          <w:sz w:val="22"/>
          <w:szCs w:val="22"/>
          <w:lang w:val="hr-HR"/>
        </w:rPr>
        <w:t>.</w:t>
      </w:r>
    </w:p>
    <w:p w14:paraId="41E43777" w14:textId="77777777" w:rsidR="00BE41B8" w:rsidRPr="00510442" w:rsidRDefault="00BE41B8" w:rsidP="00BE41B8">
      <w:pPr>
        <w:pStyle w:val="Text"/>
        <w:widowControl w:val="0"/>
        <w:numPr>
          <w:ilvl w:val="0"/>
          <w:numId w:val="21"/>
        </w:numPr>
        <w:tabs>
          <w:tab w:val="clear" w:pos="717"/>
          <w:tab w:val="num" w:pos="567"/>
        </w:tabs>
        <w:spacing w:before="0"/>
        <w:ind w:left="567" w:hanging="567"/>
        <w:jc w:val="left"/>
        <w:rPr>
          <w:color w:val="000000"/>
          <w:sz w:val="22"/>
          <w:szCs w:val="22"/>
          <w:lang w:val="hr-HR"/>
        </w:rPr>
      </w:pPr>
      <w:r w:rsidRPr="00510442">
        <w:rPr>
          <w:sz w:val="22"/>
          <w:szCs w:val="22"/>
          <w:lang w:val="hr-HR"/>
        </w:rPr>
        <w:t>neuobičajen gubitak ili prorijeđenost kose</w:t>
      </w:r>
      <w:r w:rsidRPr="00510442">
        <w:rPr>
          <w:color w:val="000000"/>
          <w:sz w:val="22"/>
          <w:szCs w:val="22"/>
          <w:lang w:val="hr-HR"/>
        </w:rPr>
        <w:t>.</w:t>
      </w:r>
    </w:p>
    <w:p w14:paraId="6B30B29C" w14:textId="77777777" w:rsidR="00BE41B8" w:rsidRPr="00510442" w:rsidRDefault="00BE41B8" w:rsidP="00BE41B8">
      <w:pPr>
        <w:pStyle w:val="Text"/>
        <w:widowControl w:val="0"/>
        <w:numPr>
          <w:ilvl w:val="0"/>
          <w:numId w:val="21"/>
        </w:numPr>
        <w:tabs>
          <w:tab w:val="clear" w:pos="717"/>
          <w:tab w:val="num" w:pos="567"/>
        </w:tabs>
        <w:spacing w:before="0"/>
        <w:ind w:left="567" w:hanging="567"/>
        <w:jc w:val="left"/>
        <w:rPr>
          <w:color w:val="000000"/>
          <w:sz w:val="22"/>
          <w:szCs w:val="22"/>
          <w:lang w:val="hr-HR"/>
        </w:rPr>
      </w:pPr>
      <w:r w:rsidRPr="00510442">
        <w:rPr>
          <w:sz w:val="22"/>
          <w:szCs w:val="22"/>
          <w:lang w:val="hr-HR"/>
        </w:rPr>
        <w:t>utrnulost šaka ili stopala</w:t>
      </w:r>
      <w:r w:rsidRPr="00510442">
        <w:rPr>
          <w:color w:val="000000"/>
          <w:sz w:val="22"/>
          <w:szCs w:val="22"/>
          <w:lang w:val="hr-HR"/>
        </w:rPr>
        <w:t>.</w:t>
      </w:r>
    </w:p>
    <w:p w14:paraId="4640F778" w14:textId="77777777" w:rsidR="00BE41B8" w:rsidRPr="00510442" w:rsidRDefault="00BE41B8" w:rsidP="00BE41B8">
      <w:pPr>
        <w:pStyle w:val="Text"/>
        <w:widowControl w:val="0"/>
        <w:numPr>
          <w:ilvl w:val="0"/>
          <w:numId w:val="21"/>
        </w:numPr>
        <w:tabs>
          <w:tab w:val="clear" w:pos="717"/>
          <w:tab w:val="num" w:pos="567"/>
        </w:tabs>
        <w:spacing w:before="0"/>
        <w:ind w:left="567" w:hanging="567"/>
        <w:jc w:val="left"/>
        <w:rPr>
          <w:color w:val="000000"/>
          <w:sz w:val="22"/>
          <w:szCs w:val="22"/>
          <w:lang w:val="hr-HR"/>
        </w:rPr>
      </w:pPr>
      <w:r w:rsidRPr="00510442">
        <w:rPr>
          <w:sz w:val="22"/>
          <w:szCs w:val="22"/>
          <w:lang w:val="hr-HR"/>
        </w:rPr>
        <w:t>čirevi u ustima</w:t>
      </w:r>
      <w:r w:rsidRPr="00510442">
        <w:rPr>
          <w:color w:val="000000"/>
          <w:sz w:val="22"/>
          <w:szCs w:val="22"/>
          <w:lang w:val="hr-HR"/>
        </w:rPr>
        <w:t>.</w:t>
      </w:r>
    </w:p>
    <w:p w14:paraId="4562868B" w14:textId="77777777" w:rsidR="00BE41B8" w:rsidRPr="00510442" w:rsidRDefault="00BE41B8" w:rsidP="00BE41B8">
      <w:pPr>
        <w:pStyle w:val="Text"/>
        <w:widowControl w:val="0"/>
        <w:numPr>
          <w:ilvl w:val="0"/>
          <w:numId w:val="21"/>
        </w:numPr>
        <w:tabs>
          <w:tab w:val="clear" w:pos="717"/>
          <w:tab w:val="num" w:pos="567"/>
        </w:tabs>
        <w:spacing w:before="0"/>
        <w:ind w:left="567" w:hanging="567"/>
        <w:jc w:val="left"/>
        <w:rPr>
          <w:color w:val="000000"/>
          <w:sz w:val="22"/>
          <w:szCs w:val="22"/>
          <w:lang w:val="hr-HR"/>
        </w:rPr>
      </w:pPr>
      <w:r w:rsidRPr="00510442">
        <w:rPr>
          <w:sz w:val="22"/>
          <w:szCs w:val="22"/>
          <w:lang w:val="hr-HR"/>
        </w:rPr>
        <w:t>bolovi u zglobovima s oticanjem</w:t>
      </w:r>
      <w:r w:rsidRPr="00510442">
        <w:rPr>
          <w:color w:val="000000"/>
          <w:sz w:val="22"/>
          <w:szCs w:val="22"/>
          <w:lang w:val="hr-HR"/>
        </w:rPr>
        <w:t>.</w:t>
      </w:r>
    </w:p>
    <w:p w14:paraId="6FD05511" w14:textId="77777777" w:rsidR="00BE41B8" w:rsidRPr="00510442" w:rsidRDefault="00BE41B8" w:rsidP="00BE41B8">
      <w:pPr>
        <w:pStyle w:val="Text"/>
        <w:widowControl w:val="0"/>
        <w:numPr>
          <w:ilvl w:val="0"/>
          <w:numId w:val="21"/>
        </w:numPr>
        <w:tabs>
          <w:tab w:val="clear" w:pos="717"/>
          <w:tab w:val="num" w:pos="567"/>
        </w:tabs>
        <w:spacing w:before="0"/>
        <w:ind w:left="567" w:hanging="567"/>
        <w:jc w:val="left"/>
        <w:rPr>
          <w:color w:val="000000"/>
          <w:sz w:val="22"/>
          <w:szCs w:val="22"/>
          <w:lang w:val="hr-HR"/>
        </w:rPr>
      </w:pPr>
      <w:r w:rsidRPr="00510442">
        <w:rPr>
          <w:sz w:val="22"/>
          <w:szCs w:val="22"/>
          <w:lang w:val="hr-HR"/>
        </w:rPr>
        <w:t>suha usta, suhoća kože ili suho oko</w:t>
      </w:r>
      <w:r w:rsidRPr="00510442">
        <w:rPr>
          <w:color w:val="000000"/>
          <w:sz w:val="22"/>
          <w:szCs w:val="22"/>
          <w:lang w:val="hr-HR"/>
        </w:rPr>
        <w:t>.</w:t>
      </w:r>
    </w:p>
    <w:p w14:paraId="265C4D76" w14:textId="77777777" w:rsidR="00BE41B8" w:rsidRPr="00510442" w:rsidRDefault="00BE41B8" w:rsidP="00BE41B8">
      <w:pPr>
        <w:pStyle w:val="Text"/>
        <w:widowControl w:val="0"/>
        <w:numPr>
          <w:ilvl w:val="0"/>
          <w:numId w:val="21"/>
        </w:numPr>
        <w:tabs>
          <w:tab w:val="clear" w:pos="717"/>
          <w:tab w:val="num" w:pos="567"/>
        </w:tabs>
        <w:spacing w:before="0"/>
        <w:ind w:left="567" w:hanging="567"/>
        <w:jc w:val="left"/>
        <w:rPr>
          <w:color w:val="000000"/>
          <w:sz w:val="22"/>
          <w:szCs w:val="22"/>
          <w:lang w:val="hr-HR"/>
        </w:rPr>
      </w:pPr>
      <w:r w:rsidRPr="00510442">
        <w:rPr>
          <w:sz w:val="22"/>
          <w:szCs w:val="22"/>
          <w:lang w:val="hr-HR"/>
        </w:rPr>
        <w:t>smanjena ili povećana osjetljivost kože</w:t>
      </w:r>
      <w:r w:rsidRPr="00510442">
        <w:rPr>
          <w:color w:val="000000"/>
          <w:sz w:val="22"/>
          <w:szCs w:val="22"/>
          <w:lang w:val="hr-HR"/>
        </w:rPr>
        <w:t>.</w:t>
      </w:r>
    </w:p>
    <w:p w14:paraId="3E146B14" w14:textId="77777777" w:rsidR="00BE41B8" w:rsidRPr="00510442" w:rsidRDefault="00BE41B8" w:rsidP="00911837">
      <w:pPr>
        <w:pStyle w:val="Text"/>
        <w:keepNext/>
        <w:widowControl w:val="0"/>
        <w:numPr>
          <w:ilvl w:val="0"/>
          <w:numId w:val="21"/>
        </w:numPr>
        <w:tabs>
          <w:tab w:val="clear" w:pos="717"/>
          <w:tab w:val="num" w:pos="567"/>
        </w:tabs>
        <w:spacing w:before="0"/>
        <w:ind w:left="567" w:hanging="567"/>
        <w:jc w:val="left"/>
        <w:rPr>
          <w:color w:val="000000"/>
          <w:sz w:val="22"/>
          <w:szCs w:val="22"/>
          <w:lang w:val="hr-HR"/>
        </w:rPr>
      </w:pPr>
      <w:r w:rsidRPr="00510442">
        <w:rPr>
          <w:sz w:val="22"/>
          <w:szCs w:val="22"/>
          <w:lang w:val="hr-HR"/>
        </w:rPr>
        <w:t>navale vrućine, zimica ili noćno znojenje</w:t>
      </w:r>
      <w:r w:rsidRPr="00510442">
        <w:rPr>
          <w:color w:val="000000"/>
          <w:sz w:val="22"/>
          <w:szCs w:val="22"/>
          <w:lang w:val="hr-HR"/>
        </w:rPr>
        <w:t>.</w:t>
      </w:r>
    </w:p>
    <w:p w14:paraId="305CB57C" w14:textId="77777777" w:rsidR="00BE41B8" w:rsidRPr="00510442" w:rsidRDefault="00BE41B8" w:rsidP="00BE41B8">
      <w:pPr>
        <w:pStyle w:val="Text"/>
        <w:widowControl w:val="0"/>
        <w:spacing w:before="0"/>
        <w:jc w:val="left"/>
        <w:rPr>
          <w:b/>
          <w:color w:val="000000"/>
          <w:sz w:val="22"/>
          <w:szCs w:val="22"/>
          <w:lang w:val="hr-HR"/>
        </w:rPr>
      </w:pPr>
      <w:r w:rsidRPr="00510442">
        <w:rPr>
          <w:sz w:val="22"/>
          <w:szCs w:val="22"/>
          <w:lang w:val="hr-HR"/>
        </w:rPr>
        <w:t xml:space="preserve">Ako se bilo što od navedenog kod Vas javi u teškom obliku, </w:t>
      </w:r>
      <w:r w:rsidRPr="00510442">
        <w:rPr>
          <w:b/>
          <w:sz w:val="22"/>
          <w:szCs w:val="22"/>
          <w:lang w:val="hr-HR"/>
        </w:rPr>
        <w:t>obavijestite svog liječnika</w:t>
      </w:r>
      <w:r w:rsidRPr="00510442">
        <w:rPr>
          <w:b/>
          <w:color w:val="000000"/>
          <w:sz w:val="22"/>
          <w:szCs w:val="22"/>
          <w:lang w:val="hr-HR"/>
        </w:rPr>
        <w:t>.</w:t>
      </w:r>
    </w:p>
    <w:p w14:paraId="6FAB1A01" w14:textId="77777777" w:rsidR="00BE41B8" w:rsidRPr="00510442" w:rsidRDefault="00BE41B8" w:rsidP="00BE41B8">
      <w:pPr>
        <w:pStyle w:val="Text"/>
        <w:widowControl w:val="0"/>
        <w:spacing w:before="0"/>
        <w:jc w:val="left"/>
        <w:rPr>
          <w:color w:val="000000"/>
          <w:sz w:val="22"/>
          <w:szCs w:val="22"/>
          <w:lang w:val="hr-HR"/>
        </w:rPr>
      </w:pPr>
    </w:p>
    <w:p w14:paraId="12118EE7" w14:textId="77777777" w:rsidR="00BE41B8" w:rsidRPr="00510442" w:rsidRDefault="00BE41B8" w:rsidP="00911837">
      <w:pPr>
        <w:pStyle w:val="Text"/>
        <w:keepNext/>
        <w:widowControl w:val="0"/>
        <w:spacing w:before="0"/>
        <w:jc w:val="left"/>
        <w:rPr>
          <w:bCs/>
          <w:color w:val="000000"/>
          <w:sz w:val="22"/>
          <w:szCs w:val="22"/>
          <w:lang w:val="hr-HR"/>
        </w:rPr>
      </w:pPr>
      <w:r w:rsidRPr="00510442">
        <w:rPr>
          <w:b/>
          <w:sz w:val="22"/>
          <w:szCs w:val="22"/>
          <w:lang w:val="hr-HR"/>
        </w:rPr>
        <w:t>Nepoznato</w:t>
      </w:r>
      <w:r w:rsidRPr="00510442">
        <w:rPr>
          <w:sz w:val="22"/>
          <w:szCs w:val="22"/>
          <w:lang w:val="hr-HR"/>
        </w:rPr>
        <w:t xml:space="preserve"> </w:t>
      </w:r>
      <w:r w:rsidRPr="00510442">
        <w:rPr>
          <w:bCs/>
          <w:color w:val="000000"/>
          <w:sz w:val="22"/>
          <w:szCs w:val="22"/>
          <w:lang w:val="hr-HR"/>
        </w:rPr>
        <w:t>(</w:t>
      </w:r>
      <w:r w:rsidRPr="00510442">
        <w:rPr>
          <w:color w:val="000000"/>
          <w:sz w:val="22"/>
          <w:szCs w:val="22"/>
          <w:lang w:val="hr-HR"/>
        </w:rPr>
        <w:t>učestalost se ne može procijeniti iz dostupnih podataka</w:t>
      </w:r>
      <w:r w:rsidRPr="00510442">
        <w:rPr>
          <w:bCs/>
          <w:color w:val="000000"/>
          <w:sz w:val="22"/>
          <w:szCs w:val="22"/>
          <w:lang w:val="hr-HR"/>
        </w:rPr>
        <w:t>):</w:t>
      </w:r>
    </w:p>
    <w:p w14:paraId="46A3F52E" w14:textId="77777777" w:rsidR="00BE41B8" w:rsidRPr="00510442" w:rsidRDefault="00BE41B8" w:rsidP="00BE41B8">
      <w:pPr>
        <w:pStyle w:val="Text"/>
        <w:widowControl w:val="0"/>
        <w:numPr>
          <w:ilvl w:val="0"/>
          <w:numId w:val="27"/>
        </w:numPr>
        <w:tabs>
          <w:tab w:val="clear" w:pos="357"/>
          <w:tab w:val="num" w:pos="567"/>
        </w:tabs>
        <w:spacing w:before="0"/>
        <w:ind w:left="567" w:hanging="567"/>
        <w:jc w:val="left"/>
        <w:rPr>
          <w:color w:val="000000"/>
          <w:sz w:val="22"/>
          <w:szCs w:val="22"/>
          <w:lang w:val="hr-HR"/>
        </w:rPr>
      </w:pPr>
      <w:r w:rsidRPr="00510442">
        <w:rPr>
          <w:sz w:val="22"/>
          <w:szCs w:val="22"/>
          <w:lang w:val="hr-HR"/>
        </w:rPr>
        <w:t>crvenilo i/ili oticanje dlanova ruku i tabana stopala koje može biti praćeno trncima i bolnim žarenjem</w:t>
      </w:r>
      <w:r w:rsidRPr="00510442">
        <w:rPr>
          <w:color w:val="000000"/>
          <w:sz w:val="22"/>
          <w:szCs w:val="22"/>
          <w:lang w:val="hr-HR"/>
        </w:rPr>
        <w:t>.</w:t>
      </w:r>
    </w:p>
    <w:p w14:paraId="1B01C792" w14:textId="77777777" w:rsidR="0049284D" w:rsidRPr="00510442" w:rsidRDefault="0049284D" w:rsidP="00BE41B8">
      <w:pPr>
        <w:pStyle w:val="Text"/>
        <w:widowControl w:val="0"/>
        <w:numPr>
          <w:ilvl w:val="0"/>
          <w:numId w:val="27"/>
        </w:numPr>
        <w:tabs>
          <w:tab w:val="clear" w:pos="357"/>
          <w:tab w:val="num" w:pos="567"/>
        </w:tabs>
        <w:spacing w:before="0"/>
        <w:ind w:left="567" w:hanging="567"/>
        <w:jc w:val="left"/>
        <w:rPr>
          <w:color w:val="000000"/>
          <w:sz w:val="22"/>
          <w:szCs w:val="22"/>
          <w:lang w:val="hr-HR"/>
        </w:rPr>
      </w:pPr>
      <w:r w:rsidRPr="00510442">
        <w:rPr>
          <w:sz w:val="22"/>
          <w:szCs w:val="22"/>
          <w:lang w:val="hr-HR"/>
        </w:rPr>
        <w:t>lezije</w:t>
      </w:r>
      <w:r w:rsidR="00E861AB" w:rsidRPr="00510442">
        <w:rPr>
          <w:sz w:val="22"/>
          <w:szCs w:val="22"/>
          <w:lang w:val="hr-HR"/>
        </w:rPr>
        <w:t xml:space="preserve"> (oštećenja)</w:t>
      </w:r>
      <w:r w:rsidRPr="00510442">
        <w:rPr>
          <w:sz w:val="22"/>
          <w:szCs w:val="22"/>
          <w:lang w:val="hr-HR"/>
        </w:rPr>
        <w:t xml:space="preserve"> kože</w:t>
      </w:r>
      <w:r w:rsidR="00E861AB" w:rsidRPr="00510442">
        <w:rPr>
          <w:sz w:val="22"/>
          <w:szCs w:val="22"/>
          <w:lang w:val="hr-HR"/>
        </w:rPr>
        <w:t xml:space="preserve"> koje su bolne</w:t>
      </w:r>
      <w:r w:rsidR="006D7714" w:rsidRPr="00510442">
        <w:rPr>
          <w:sz w:val="22"/>
          <w:szCs w:val="22"/>
          <w:lang w:val="hr-HR"/>
        </w:rPr>
        <w:t xml:space="preserve"> i/ili </w:t>
      </w:r>
      <w:r w:rsidRPr="00510442">
        <w:rPr>
          <w:sz w:val="22"/>
          <w:szCs w:val="22"/>
          <w:lang w:val="hr-HR"/>
        </w:rPr>
        <w:t>s mjehurićima</w:t>
      </w:r>
      <w:r w:rsidRPr="00510442">
        <w:rPr>
          <w:color w:val="000000"/>
          <w:sz w:val="22"/>
          <w:szCs w:val="22"/>
          <w:lang w:val="hr-HR"/>
        </w:rPr>
        <w:t>.</w:t>
      </w:r>
    </w:p>
    <w:p w14:paraId="2E51E80F" w14:textId="77777777" w:rsidR="00BE41B8" w:rsidRPr="00510442" w:rsidRDefault="00BE41B8" w:rsidP="00911837">
      <w:pPr>
        <w:pStyle w:val="Text"/>
        <w:keepNext/>
        <w:widowControl w:val="0"/>
        <w:numPr>
          <w:ilvl w:val="0"/>
          <w:numId w:val="27"/>
        </w:numPr>
        <w:tabs>
          <w:tab w:val="clear" w:pos="357"/>
        </w:tabs>
        <w:spacing w:before="0"/>
        <w:ind w:left="567" w:hanging="567"/>
        <w:jc w:val="left"/>
        <w:rPr>
          <w:sz w:val="22"/>
          <w:szCs w:val="22"/>
          <w:lang w:val="hr-HR"/>
        </w:rPr>
      </w:pPr>
      <w:r w:rsidRPr="00510442">
        <w:rPr>
          <w:sz w:val="22"/>
          <w:szCs w:val="22"/>
          <w:lang w:val="hr-HR"/>
        </w:rPr>
        <w:t>usporen rast kod djece i adolescenata.</w:t>
      </w:r>
    </w:p>
    <w:p w14:paraId="17404DE2" w14:textId="77777777" w:rsidR="00BE41B8" w:rsidRPr="00510442" w:rsidRDefault="00BE41B8" w:rsidP="00BE41B8">
      <w:pPr>
        <w:pStyle w:val="Text"/>
        <w:widowControl w:val="0"/>
        <w:spacing w:before="0"/>
        <w:jc w:val="left"/>
        <w:rPr>
          <w:color w:val="000000"/>
          <w:sz w:val="22"/>
          <w:szCs w:val="22"/>
          <w:lang w:val="hr-HR"/>
        </w:rPr>
      </w:pPr>
      <w:r w:rsidRPr="00510442">
        <w:rPr>
          <w:sz w:val="22"/>
          <w:szCs w:val="22"/>
          <w:lang w:val="hr-HR"/>
        </w:rPr>
        <w:t xml:space="preserve">Ako se bilo što od navedenog kod Vas javi u teškom obliku, </w:t>
      </w:r>
      <w:r w:rsidRPr="00510442">
        <w:rPr>
          <w:b/>
          <w:sz w:val="22"/>
          <w:szCs w:val="22"/>
          <w:lang w:val="hr-HR"/>
        </w:rPr>
        <w:t>obavijestite svog liječnika</w:t>
      </w:r>
      <w:r w:rsidRPr="00510442">
        <w:rPr>
          <w:b/>
          <w:color w:val="000000"/>
          <w:sz w:val="22"/>
          <w:szCs w:val="22"/>
          <w:lang w:val="hr-HR"/>
        </w:rPr>
        <w:t>.</w:t>
      </w:r>
    </w:p>
    <w:p w14:paraId="18F8A70E" w14:textId="77777777" w:rsidR="00BE41B8" w:rsidRPr="00510442" w:rsidRDefault="00BE41B8" w:rsidP="00BE41B8">
      <w:pPr>
        <w:pStyle w:val="Text"/>
        <w:widowControl w:val="0"/>
        <w:spacing w:before="0"/>
        <w:jc w:val="left"/>
        <w:rPr>
          <w:color w:val="000000"/>
          <w:sz w:val="22"/>
          <w:szCs w:val="22"/>
          <w:lang w:val="hr-HR"/>
        </w:rPr>
      </w:pPr>
    </w:p>
    <w:p w14:paraId="162D704C" w14:textId="77777777" w:rsidR="00BE41B8" w:rsidRPr="00510442" w:rsidRDefault="00BE41B8" w:rsidP="00911837">
      <w:pPr>
        <w:keepNext/>
        <w:numPr>
          <w:ilvl w:val="12"/>
          <w:numId w:val="0"/>
        </w:numPr>
        <w:tabs>
          <w:tab w:val="clear" w:pos="567"/>
        </w:tabs>
        <w:spacing w:line="240" w:lineRule="auto"/>
        <w:ind w:right="-2"/>
        <w:rPr>
          <w:b/>
          <w:snapToGrid w:val="0"/>
          <w:szCs w:val="22"/>
          <w:lang w:val="hr-HR"/>
        </w:rPr>
      </w:pPr>
      <w:r w:rsidRPr="00510442">
        <w:rPr>
          <w:b/>
          <w:snapToGrid w:val="0"/>
          <w:szCs w:val="22"/>
          <w:lang w:val="hr-HR"/>
        </w:rPr>
        <w:t>Prijavljivanje nuspojava</w:t>
      </w:r>
    </w:p>
    <w:p w14:paraId="6839CD87" w14:textId="77777777" w:rsidR="00BE41B8" w:rsidRPr="00510442" w:rsidRDefault="00BE41B8" w:rsidP="00BE41B8">
      <w:pPr>
        <w:numPr>
          <w:ilvl w:val="12"/>
          <w:numId w:val="0"/>
        </w:numPr>
        <w:tabs>
          <w:tab w:val="clear" w:pos="567"/>
        </w:tabs>
        <w:spacing w:line="240" w:lineRule="auto"/>
        <w:ind w:right="-2"/>
        <w:rPr>
          <w:snapToGrid w:val="0"/>
          <w:szCs w:val="22"/>
          <w:lang w:val="hr-HR"/>
        </w:rPr>
      </w:pPr>
      <w:r w:rsidRPr="00510442">
        <w:rPr>
          <w:snapToGrid w:val="0"/>
          <w:szCs w:val="22"/>
          <w:lang w:val="hr-HR"/>
        </w:rPr>
        <w:t>Ako primijetite bilo koju nuspojavu, potrebno je obavijestiti liječnika, ljekarnika ili medicinsku sestru.</w:t>
      </w:r>
      <w:r w:rsidRPr="00510442">
        <w:rPr>
          <w:snapToGrid w:val="0"/>
          <w:color w:val="000000"/>
          <w:szCs w:val="22"/>
          <w:lang w:val="hr-HR"/>
        </w:rPr>
        <w:t xml:space="preserve"> </w:t>
      </w:r>
      <w:r w:rsidR="00E24E3D" w:rsidRPr="00510442">
        <w:rPr>
          <w:snapToGrid w:val="0"/>
          <w:color w:val="000000"/>
          <w:szCs w:val="22"/>
          <w:lang w:val="hr-HR"/>
        </w:rPr>
        <w:t>To</w:t>
      </w:r>
      <w:r w:rsidRPr="00510442">
        <w:rPr>
          <w:snapToGrid w:val="0"/>
          <w:color w:val="000000"/>
          <w:szCs w:val="22"/>
          <w:lang w:val="hr-HR"/>
        </w:rPr>
        <w:t xml:space="preserve"> uključuje i svaku moguću nuspojavu koja nije navedena u ovoj uputi. Nuspojave možete prijaviti izravno putem nacionalnog sustava za prijavu nuspojava</w:t>
      </w:r>
      <w:r w:rsidR="00E24E3D" w:rsidRPr="00510442">
        <w:rPr>
          <w:snapToGrid w:val="0"/>
          <w:color w:val="000000"/>
          <w:szCs w:val="22"/>
          <w:lang w:val="hr-HR"/>
        </w:rPr>
        <w:t>:</w:t>
      </w:r>
      <w:r w:rsidRPr="00510442">
        <w:rPr>
          <w:snapToGrid w:val="0"/>
          <w:color w:val="000000"/>
          <w:szCs w:val="22"/>
          <w:lang w:val="hr-HR"/>
        </w:rPr>
        <w:t xml:space="preserve"> </w:t>
      </w:r>
      <w:r w:rsidRPr="00510442">
        <w:rPr>
          <w:snapToGrid w:val="0"/>
          <w:color w:val="000000"/>
          <w:szCs w:val="22"/>
          <w:shd w:val="clear" w:color="auto" w:fill="D9D9D9"/>
          <w:lang w:val="hr-HR"/>
        </w:rPr>
        <w:t xml:space="preserve">navedenog u </w:t>
      </w:r>
      <w:hyperlink r:id="rId21" w:history="1">
        <w:r w:rsidRPr="00307897">
          <w:rPr>
            <w:snapToGrid w:val="0"/>
            <w:color w:val="0000FF"/>
            <w:u w:val="single"/>
            <w:shd w:val="clear" w:color="auto" w:fill="D9D9D9"/>
            <w:lang w:val="hr-HR"/>
          </w:rPr>
          <w:t>Dodatku V</w:t>
        </w:r>
      </w:hyperlink>
      <w:r w:rsidRPr="00510442">
        <w:rPr>
          <w:snapToGrid w:val="0"/>
          <w:color w:val="000000"/>
          <w:szCs w:val="22"/>
          <w:lang w:val="hr-HR"/>
        </w:rPr>
        <w:t>. Prijavljivanjem nuspojava možete pridonijeti u procjeni sigurnosti ovog lijeka</w:t>
      </w:r>
      <w:r w:rsidRPr="00510442">
        <w:rPr>
          <w:snapToGrid w:val="0"/>
          <w:szCs w:val="22"/>
          <w:lang w:val="hr-HR"/>
        </w:rPr>
        <w:t>.</w:t>
      </w:r>
    </w:p>
    <w:p w14:paraId="0C8E9D8C" w14:textId="77777777" w:rsidR="00BE41B8" w:rsidRPr="00510442" w:rsidRDefault="00BE41B8" w:rsidP="00BE41B8">
      <w:pPr>
        <w:widowControl w:val="0"/>
        <w:numPr>
          <w:ilvl w:val="12"/>
          <w:numId w:val="0"/>
        </w:numPr>
        <w:tabs>
          <w:tab w:val="clear" w:pos="567"/>
        </w:tabs>
        <w:spacing w:line="240" w:lineRule="auto"/>
        <w:ind w:right="-2"/>
        <w:rPr>
          <w:color w:val="000000"/>
          <w:szCs w:val="22"/>
          <w:lang w:val="hr-HR"/>
        </w:rPr>
      </w:pPr>
    </w:p>
    <w:p w14:paraId="563EADBE" w14:textId="77777777" w:rsidR="00BE41B8" w:rsidRPr="00510442" w:rsidRDefault="00BE41B8" w:rsidP="00BE41B8">
      <w:pPr>
        <w:widowControl w:val="0"/>
        <w:numPr>
          <w:ilvl w:val="12"/>
          <w:numId w:val="0"/>
        </w:numPr>
        <w:tabs>
          <w:tab w:val="clear" w:pos="567"/>
        </w:tabs>
        <w:spacing w:line="240" w:lineRule="auto"/>
        <w:ind w:right="-2"/>
        <w:rPr>
          <w:color w:val="000000"/>
          <w:szCs w:val="22"/>
          <w:lang w:val="hr-HR"/>
        </w:rPr>
      </w:pPr>
    </w:p>
    <w:p w14:paraId="3D9C4078" w14:textId="77777777" w:rsidR="00146472" w:rsidRPr="00510442" w:rsidRDefault="00146472" w:rsidP="00911837">
      <w:pPr>
        <w:keepNext/>
        <w:widowControl w:val="0"/>
        <w:numPr>
          <w:ilvl w:val="12"/>
          <w:numId w:val="0"/>
        </w:numPr>
        <w:tabs>
          <w:tab w:val="clear" w:pos="567"/>
        </w:tabs>
        <w:spacing w:line="240" w:lineRule="auto"/>
        <w:ind w:left="567" w:right="-2" w:hanging="567"/>
        <w:rPr>
          <w:color w:val="000000"/>
          <w:szCs w:val="22"/>
          <w:lang w:val="hr-HR"/>
        </w:rPr>
      </w:pPr>
      <w:r w:rsidRPr="00510442">
        <w:rPr>
          <w:b/>
          <w:color w:val="000000"/>
          <w:szCs w:val="22"/>
          <w:lang w:val="hr-HR"/>
        </w:rPr>
        <w:t>5.</w:t>
      </w:r>
      <w:r w:rsidRPr="00510442">
        <w:rPr>
          <w:b/>
          <w:color w:val="000000"/>
          <w:szCs w:val="22"/>
          <w:lang w:val="hr-HR"/>
        </w:rPr>
        <w:tab/>
        <w:t>Kako čuvati Glivec</w:t>
      </w:r>
    </w:p>
    <w:p w14:paraId="2E620B65" w14:textId="77777777" w:rsidR="00146472" w:rsidRPr="00510442" w:rsidRDefault="00146472" w:rsidP="00911837">
      <w:pPr>
        <w:keepNext/>
        <w:widowControl w:val="0"/>
        <w:numPr>
          <w:ilvl w:val="12"/>
          <w:numId w:val="0"/>
        </w:numPr>
        <w:tabs>
          <w:tab w:val="clear" w:pos="567"/>
        </w:tabs>
        <w:spacing w:line="240" w:lineRule="auto"/>
        <w:ind w:right="-2"/>
        <w:rPr>
          <w:color w:val="000000"/>
          <w:szCs w:val="22"/>
          <w:lang w:val="hr-HR"/>
        </w:rPr>
      </w:pPr>
    </w:p>
    <w:p w14:paraId="025BE654" w14:textId="77777777" w:rsidR="00146472" w:rsidRPr="00510442" w:rsidRDefault="00E24E3D" w:rsidP="00911837">
      <w:pPr>
        <w:pStyle w:val="Text"/>
        <w:widowControl w:val="0"/>
        <w:numPr>
          <w:ilvl w:val="0"/>
          <w:numId w:val="2"/>
        </w:numPr>
        <w:tabs>
          <w:tab w:val="clear" w:pos="360"/>
          <w:tab w:val="num" w:pos="567"/>
        </w:tabs>
        <w:spacing w:before="0"/>
        <w:ind w:left="567" w:hanging="567"/>
        <w:jc w:val="left"/>
        <w:rPr>
          <w:color w:val="000000"/>
          <w:sz w:val="22"/>
          <w:szCs w:val="22"/>
          <w:lang w:val="hr-HR"/>
        </w:rPr>
      </w:pPr>
      <w:r w:rsidRPr="00510442">
        <w:rPr>
          <w:sz w:val="22"/>
          <w:szCs w:val="22"/>
          <w:lang w:val="hr-HR"/>
        </w:rPr>
        <w:t>L</w:t>
      </w:r>
      <w:r w:rsidR="00146472" w:rsidRPr="00510442">
        <w:rPr>
          <w:sz w:val="22"/>
          <w:szCs w:val="22"/>
          <w:lang w:val="hr-HR"/>
        </w:rPr>
        <w:t>ijek čuvajte izvan pogleda i dohvata djece</w:t>
      </w:r>
      <w:r w:rsidR="00146472" w:rsidRPr="00510442">
        <w:rPr>
          <w:color w:val="000000"/>
          <w:sz w:val="22"/>
          <w:szCs w:val="22"/>
          <w:lang w:val="hr-HR"/>
        </w:rPr>
        <w:t>.</w:t>
      </w:r>
    </w:p>
    <w:p w14:paraId="1A9FE6AE" w14:textId="77777777" w:rsidR="00146472" w:rsidRPr="00510442" w:rsidRDefault="00146472" w:rsidP="0049284D">
      <w:pPr>
        <w:pStyle w:val="Text"/>
        <w:widowControl w:val="0"/>
        <w:numPr>
          <w:ilvl w:val="0"/>
          <w:numId w:val="2"/>
        </w:numPr>
        <w:tabs>
          <w:tab w:val="clear" w:pos="360"/>
          <w:tab w:val="num" w:pos="567"/>
        </w:tabs>
        <w:spacing w:before="0"/>
        <w:ind w:left="567" w:hanging="567"/>
        <w:jc w:val="left"/>
        <w:rPr>
          <w:color w:val="000000"/>
          <w:sz w:val="22"/>
          <w:szCs w:val="22"/>
          <w:lang w:val="hr-HR"/>
        </w:rPr>
      </w:pPr>
      <w:r w:rsidRPr="00510442">
        <w:rPr>
          <w:sz w:val="22"/>
          <w:szCs w:val="22"/>
          <w:lang w:val="hr-HR"/>
        </w:rPr>
        <w:t xml:space="preserve">Ovaj lijek se ne smije upotrijebiti nakon isteka roka valjanosti navedenog na </w:t>
      </w:r>
      <w:r w:rsidR="009F29A1" w:rsidRPr="00510442">
        <w:rPr>
          <w:sz w:val="22"/>
          <w:szCs w:val="22"/>
          <w:lang w:val="hr-HR"/>
        </w:rPr>
        <w:t>kutiji</w:t>
      </w:r>
      <w:r w:rsidR="0049284D" w:rsidRPr="00510442">
        <w:rPr>
          <w:sz w:val="22"/>
          <w:szCs w:val="22"/>
          <w:lang w:val="hr-HR"/>
        </w:rPr>
        <w:t xml:space="preserve"> iza „Rok valjanosti“</w:t>
      </w:r>
      <w:r w:rsidR="006D7714" w:rsidRPr="00510442">
        <w:rPr>
          <w:sz w:val="22"/>
          <w:szCs w:val="22"/>
          <w:lang w:val="hr-HR"/>
        </w:rPr>
        <w:t xml:space="preserve"> ili na blisteru iza oznake „EXP“</w:t>
      </w:r>
      <w:r w:rsidRPr="00510442">
        <w:rPr>
          <w:color w:val="000000"/>
          <w:sz w:val="22"/>
          <w:szCs w:val="22"/>
          <w:lang w:val="hr-HR"/>
        </w:rPr>
        <w:t>.</w:t>
      </w:r>
    </w:p>
    <w:p w14:paraId="0361639B" w14:textId="77777777" w:rsidR="00146472" w:rsidRPr="00307897" w:rsidRDefault="00146472" w:rsidP="00911837">
      <w:pPr>
        <w:pStyle w:val="Text"/>
        <w:widowControl w:val="0"/>
        <w:numPr>
          <w:ilvl w:val="0"/>
          <w:numId w:val="2"/>
        </w:numPr>
        <w:tabs>
          <w:tab w:val="clear" w:pos="360"/>
          <w:tab w:val="num" w:pos="567"/>
        </w:tabs>
        <w:spacing w:before="0"/>
        <w:ind w:left="567" w:hanging="567"/>
        <w:jc w:val="left"/>
        <w:rPr>
          <w:color w:val="000000"/>
          <w:sz w:val="22"/>
          <w:szCs w:val="22"/>
          <w:lang w:val="hr-HR"/>
        </w:rPr>
      </w:pPr>
      <w:r w:rsidRPr="00510442">
        <w:rPr>
          <w:sz w:val="22"/>
          <w:szCs w:val="22"/>
          <w:lang w:val="hr-HR"/>
        </w:rPr>
        <w:t xml:space="preserve">Ne čuvati na temperaturi iznad </w:t>
      </w:r>
      <w:r w:rsidRPr="00510442">
        <w:rPr>
          <w:color w:val="000000"/>
          <w:sz w:val="22"/>
          <w:szCs w:val="22"/>
          <w:lang w:val="hr-HR"/>
        </w:rPr>
        <w:t>30</w:t>
      </w:r>
      <w:r w:rsidRPr="00307897">
        <w:rPr>
          <w:color w:val="000000"/>
          <w:sz w:val="22"/>
          <w:szCs w:val="22"/>
          <w:lang w:val="hr-HR"/>
        </w:rPr>
        <w:sym w:font="Symbol" w:char="F0B0"/>
      </w:r>
      <w:r w:rsidRPr="00307897">
        <w:rPr>
          <w:color w:val="000000"/>
          <w:sz w:val="22"/>
          <w:szCs w:val="22"/>
          <w:lang w:val="hr-HR"/>
        </w:rPr>
        <w:t>C.</w:t>
      </w:r>
    </w:p>
    <w:p w14:paraId="4A36D2E0" w14:textId="77777777" w:rsidR="00146472" w:rsidRPr="00973BDD" w:rsidRDefault="00146472" w:rsidP="00911837">
      <w:pPr>
        <w:pStyle w:val="Text"/>
        <w:widowControl w:val="0"/>
        <w:numPr>
          <w:ilvl w:val="0"/>
          <w:numId w:val="2"/>
        </w:numPr>
        <w:tabs>
          <w:tab w:val="clear" w:pos="360"/>
          <w:tab w:val="num" w:pos="567"/>
        </w:tabs>
        <w:spacing w:before="0"/>
        <w:ind w:left="567" w:hanging="567"/>
        <w:jc w:val="left"/>
        <w:rPr>
          <w:color w:val="000000"/>
          <w:sz w:val="22"/>
          <w:szCs w:val="22"/>
          <w:lang w:val="hr-HR"/>
        </w:rPr>
      </w:pPr>
      <w:r w:rsidRPr="00307897">
        <w:rPr>
          <w:sz w:val="22"/>
          <w:szCs w:val="22"/>
          <w:lang w:val="hr-HR"/>
        </w:rPr>
        <w:t>Čuvati u originalnom pak</w:t>
      </w:r>
      <w:r w:rsidR="00436200" w:rsidRPr="00A00164">
        <w:rPr>
          <w:sz w:val="22"/>
          <w:szCs w:val="22"/>
          <w:lang w:val="hr-HR"/>
        </w:rPr>
        <w:t>ir</w:t>
      </w:r>
      <w:r w:rsidRPr="00A00164">
        <w:rPr>
          <w:sz w:val="22"/>
          <w:szCs w:val="22"/>
          <w:lang w:val="hr-HR"/>
        </w:rPr>
        <w:t>anju radi zaštite od</w:t>
      </w:r>
      <w:r w:rsidRPr="00973BDD">
        <w:rPr>
          <w:sz w:val="22"/>
          <w:szCs w:val="22"/>
          <w:lang w:val="hr-HR"/>
        </w:rPr>
        <w:t xml:space="preserve"> vlage</w:t>
      </w:r>
      <w:r w:rsidRPr="00973BDD">
        <w:rPr>
          <w:color w:val="000000"/>
          <w:sz w:val="22"/>
          <w:szCs w:val="22"/>
          <w:lang w:val="hr-HR"/>
        </w:rPr>
        <w:t>.</w:t>
      </w:r>
    </w:p>
    <w:p w14:paraId="3444C39A" w14:textId="77777777" w:rsidR="00146472" w:rsidRPr="00510442" w:rsidRDefault="00146472" w:rsidP="00911837">
      <w:pPr>
        <w:pStyle w:val="Text"/>
        <w:widowControl w:val="0"/>
        <w:numPr>
          <w:ilvl w:val="0"/>
          <w:numId w:val="2"/>
        </w:numPr>
        <w:tabs>
          <w:tab w:val="clear" w:pos="360"/>
          <w:tab w:val="num" w:pos="567"/>
        </w:tabs>
        <w:spacing w:before="0"/>
        <w:ind w:left="567" w:hanging="567"/>
        <w:jc w:val="left"/>
        <w:rPr>
          <w:color w:val="000000"/>
          <w:sz w:val="22"/>
          <w:szCs w:val="22"/>
          <w:lang w:val="hr-HR"/>
        </w:rPr>
      </w:pPr>
      <w:r w:rsidRPr="000B51EB">
        <w:rPr>
          <w:sz w:val="22"/>
          <w:szCs w:val="22"/>
          <w:lang w:val="hr-HR"/>
        </w:rPr>
        <w:t>Ne koristiti pak</w:t>
      </w:r>
      <w:r w:rsidR="00436200" w:rsidRPr="00510442">
        <w:rPr>
          <w:sz w:val="22"/>
          <w:szCs w:val="22"/>
          <w:lang w:val="hr-HR"/>
        </w:rPr>
        <w:t>ir</w:t>
      </w:r>
      <w:r w:rsidRPr="00510442">
        <w:rPr>
          <w:sz w:val="22"/>
          <w:szCs w:val="22"/>
          <w:lang w:val="hr-HR"/>
        </w:rPr>
        <w:t>anje koje je oštećeno ili na kojem su vidljivi znakovi otvaranja</w:t>
      </w:r>
      <w:r w:rsidRPr="00510442">
        <w:rPr>
          <w:color w:val="000000"/>
          <w:sz w:val="22"/>
          <w:szCs w:val="22"/>
          <w:lang w:val="hr-HR"/>
        </w:rPr>
        <w:t>.</w:t>
      </w:r>
    </w:p>
    <w:p w14:paraId="4D10B7D2" w14:textId="77777777" w:rsidR="00146472" w:rsidRPr="00510442" w:rsidRDefault="00146472" w:rsidP="00146472">
      <w:pPr>
        <w:pStyle w:val="Text"/>
        <w:widowControl w:val="0"/>
        <w:numPr>
          <w:ilvl w:val="0"/>
          <w:numId w:val="2"/>
        </w:numPr>
        <w:tabs>
          <w:tab w:val="clear" w:pos="360"/>
          <w:tab w:val="num" w:pos="567"/>
        </w:tabs>
        <w:spacing w:before="0"/>
        <w:ind w:left="567" w:hanging="567"/>
        <w:jc w:val="left"/>
        <w:rPr>
          <w:color w:val="000000"/>
          <w:sz w:val="22"/>
          <w:szCs w:val="22"/>
          <w:lang w:val="hr-HR"/>
        </w:rPr>
      </w:pPr>
      <w:r w:rsidRPr="00510442">
        <w:rPr>
          <w:color w:val="000000"/>
          <w:sz w:val="22"/>
          <w:szCs w:val="22"/>
          <w:lang w:val="hr-HR"/>
        </w:rPr>
        <w:t>Nikada nemojte nikakve lijekove bacati u otpadne vode ili kućni otpad. Pitajte svog ljekarnika kako baciti lijekove koje više ne koristite. Ove će mjere pomoći u očuvanju okoliša.</w:t>
      </w:r>
    </w:p>
    <w:p w14:paraId="1568DB11" w14:textId="77777777" w:rsidR="00146472" w:rsidRPr="00510442" w:rsidRDefault="00146472" w:rsidP="00146472">
      <w:pPr>
        <w:widowControl w:val="0"/>
        <w:numPr>
          <w:ilvl w:val="12"/>
          <w:numId w:val="0"/>
        </w:numPr>
        <w:tabs>
          <w:tab w:val="clear" w:pos="567"/>
        </w:tabs>
        <w:spacing w:line="240" w:lineRule="auto"/>
        <w:ind w:right="-2"/>
        <w:rPr>
          <w:color w:val="000000"/>
          <w:szCs w:val="22"/>
          <w:lang w:val="hr-HR"/>
        </w:rPr>
      </w:pPr>
    </w:p>
    <w:p w14:paraId="72A8E49A" w14:textId="77777777" w:rsidR="00146472" w:rsidRPr="00510442" w:rsidRDefault="00146472" w:rsidP="00146472">
      <w:pPr>
        <w:widowControl w:val="0"/>
        <w:numPr>
          <w:ilvl w:val="12"/>
          <w:numId w:val="0"/>
        </w:numPr>
        <w:tabs>
          <w:tab w:val="clear" w:pos="567"/>
        </w:tabs>
        <w:spacing w:line="240" w:lineRule="auto"/>
        <w:ind w:right="-2"/>
        <w:rPr>
          <w:color w:val="000000"/>
          <w:szCs w:val="22"/>
          <w:lang w:val="hr-HR"/>
        </w:rPr>
      </w:pPr>
    </w:p>
    <w:p w14:paraId="5456E872" w14:textId="77777777" w:rsidR="00146472" w:rsidRPr="00510442" w:rsidRDefault="00146472" w:rsidP="00911837">
      <w:pPr>
        <w:keepNext/>
        <w:widowControl w:val="0"/>
        <w:numPr>
          <w:ilvl w:val="12"/>
          <w:numId w:val="0"/>
        </w:numPr>
        <w:tabs>
          <w:tab w:val="clear" w:pos="567"/>
        </w:tabs>
        <w:spacing w:line="240" w:lineRule="auto"/>
        <w:ind w:right="-2"/>
        <w:rPr>
          <w:caps/>
          <w:color w:val="000000"/>
          <w:szCs w:val="22"/>
          <w:lang w:val="hr-HR"/>
        </w:rPr>
      </w:pPr>
      <w:r w:rsidRPr="00510442">
        <w:rPr>
          <w:b/>
          <w:caps/>
          <w:color w:val="000000"/>
          <w:szCs w:val="22"/>
          <w:lang w:val="hr-HR"/>
        </w:rPr>
        <w:t>6.</w:t>
      </w:r>
      <w:r w:rsidRPr="00510442">
        <w:rPr>
          <w:b/>
          <w:caps/>
          <w:color w:val="000000"/>
          <w:szCs w:val="22"/>
          <w:lang w:val="hr-HR"/>
        </w:rPr>
        <w:tab/>
      </w:r>
      <w:r w:rsidRPr="00510442">
        <w:rPr>
          <w:b/>
          <w:szCs w:val="22"/>
          <w:lang w:val="hr-HR"/>
        </w:rPr>
        <w:t xml:space="preserve">Sadržaj </w:t>
      </w:r>
      <w:r w:rsidR="009F29A1" w:rsidRPr="00510442">
        <w:rPr>
          <w:b/>
          <w:szCs w:val="22"/>
          <w:lang w:val="hr-HR"/>
        </w:rPr>
        <w:t xml:space="preserve">pakiranja </w:t>
      </w:r>
      <w:r w:rsidRPr="00510442">
        <w:rPr>
          <w:b/>
          <w:szCs w:val="22"/>
          <w:lang w:val="hr-HR"/>
        </w:rPr>
        <w:t>i druge informacije</w:t>
      </w:r>
    </w:p>
    <w:p w14:paraId="25204B09" w14:textId="77777777" w:rsidR="00146472" w:rsidRPr="00510442" w:rsidRDefault="00146472" w:rsidP="00911837">
      <w:pPr>
        <w:keepNext/>
        <w:widowControl w:val="0"/>
        <w:numPr>
          <w:ilvl w:val="12"/>
          <w:numId w:val="0"/>
        </w:numPr>
        <w:tabs>
          <w:tab w:val="clear" w:pos="567"/>
        </w:tabs>
        <w:spacing w:line="240" w:lineRule="auto"/>
        <w:ind w:right="-2"/>
        <w:rPr>
          <w:color w:val="000000"/>
          <w:szCs w:val="22"/>
          <w:lang w:val="hr-HR"/>
        </w:rPr>
      </w:pPr>
    </w:p>
    <w:p w14:paraId="62EB6824" w14:textId="77777777" w:rsidR="00146472" w:rsidRPr="00510442" w:rsidRDefault="00146472" w:rsidP="00911837">
      <w:pPr>
        <w:pStyle w:val="EndnoteText"/>
        <w:keepNext/>
        <w:widowControl w:val="0"/>
        <w:tabs>
          <w:tab w:val="clear" w:pos="567"/>
        </w:tabs>
        <w:rPr>
          <w:b/>
          <w:color w:val="000000"/>
          <w:szCs w:val="22"/>
          <w:lang w:val="hr-HR"/>
        </w:rPr>
      </w:pPr>
      <w:r w:rsidRPr="00510442">
        <w:rPr>
          <w:b/>
          <w:color w:val="000000"/>
          <w:szCs w:val="22"/>
          <w:lang w:val="hr-HR"/>
        </w:rPr>
        <w:t>Što Glivec sadrži</w:t>
      </w:r>
    </w:p>
    <w:p w14:paraId="69AD8396" w14:textId="5C95E75E" w:rsidR="00704FA3" w:rsidRDefault="00146472" w:rsidP="00DB028B">
      <w:pPr>
        <w:widowControl w:val="0"/>
        <w:numPr>
          <w:ilvl w:val="0"/>
          <w:numId w:val="1"/>
        </w:numPr>
        <w:tabs>
          <w:tab w:val="clear" w:pos="567"/>
        </w:tabs>
        <w:spacing w:line="240" w:lineRule="auto"/>
        <w:ind w:left="567" w:right="-2" w:hanging="567"/>
        <w:rPr>
          <w:color w:val="000000"/>
          <w:szCs w:val="22"/>
          <w:lang w:val="hr-HR"/>
        </w:rPr>
      </w:pPr>
      <w:r w:rsidRPr="00510442">
        <w:rPr>
          <w:color w:val="000000"/>
          <w:szCs w:val="22"/>
          <w:lang w:val="hr-HR"/>
        </w:rPr>
        <w:t>Djelatna tvar je imatinibmesilat.</w:t>
      </w:r>
    </w:p>
    <w:p w14:paraId="7C071F0A" w14:textId="29E617BE" w:rsidR="00146472" w:rsidRDefault="00146472" w:rsidP="0080729A">
      <w:pPr>
        <w:widowControl w:val="0"/>
        <w:numPr>
          <w:ilvl w:val="0"/>
          <w:numId w:val="1"/>
        </w:numPr>
        <w:tabs>
          <w:tab w:val="clear" w:pos="567"/>
        </w:tabs>
        <w:spacing w:line="240" w:lineRule="auto"/>
        <w:ind w:left="1134" w:right="-2" w:hanging="567"/>
        <w:rPr>
          <w:color w:val="000000"/>
          <w:szCs w:val="22"/>
          <w:lang w:val="hr-HR"/>
        </w:rPr>
      </w:pPr>
      <w:r w:rsidRPr="00510442">
        <w:rPr>
          <w:color w:val="000000"/>
          <w:szCs w:val="22"/>
          <w:lang w:val="hr-HR"/>
        </w:rPr>
        <w:t xml:space="preserve">Svaka tableta </w:t>
      </w:r>
      <w:r w:rsidR="00704FA3">
        <w:rPr>
          <w:color w:val="000000"/>
          <w:szCs w:val="22"/>
          <w:lang w:val="hr-HR"/>
        </w:rPr>
        <w:t xml:space="preserve">od 100 mg </w:t>
      </w:r>
      <w:r w:rsidR="00DB1682" w:rsidRPr="00512481">
        <w:rPr>
          <w:szCs w:val="22"/>
          <w:lang w:val="hr-HR"/>
        </w:rPr>
        <w:t xml:space="preserve">lijeka </w:t>
      </w:r>
      <w:r w:rsidRPr="00510442">
        <w:rPr>
          <w:color w:val="000000"/>
          <w:szCs w:val="22"/>
          <w:lang w:val="hr-HR"/>
        </w:rPr>
        <w:t>Glivec sadrži 100 mg imatiniba (</w:t>
      </w:r>
      <w:r w:rsidRPr="00510442">
        <w:rPr>
          <w:szCs w:val="22"/>
          <w:lang w:val="hr-HR"/>
        </w:rPr>
        <w:t xml:space="preserve">u obliku </w:t>
      </w:r>
      <w:r w:rsidRPr="00510442">
        <w:rPr>
          <w:szCs w:val="22"/>
          <w:lang w:val="hr-HR"/>
        </w:rPr>
        <w:lastRenderedPageBreak/>
        <w:t>imatinibmesilata</w:t>
      </w:r>
      <w:r w:rsidRPr="00510442">
        <w:rPr>
          <w:color w:val="000000"/>
          <w:szCs w:val="22"/>
          <w:lang w:val="hr-HR"/>
        </w:rPr>
        <w:t>).</w:t>
      </w:r>
    </w:p>
    <w:p w14:paraId="7B299429" w14:textId="057CBE1E" w:rsidR="00704FA3" w:rsidRPr="00510442" w:rsidRDefault="00704FA3" w:rsidP="0080729A">
      <w:pPr>
        <w:widowControl w:val="0"/>
        <w:numPr>
          <w:ilvl w:val="0"/>
          <w:numId w:val="1"/>
        </w:numPr>
        <w:tabs>
          <w:tab w:val="clear" w:pos="567"/>
        </w:tabs>
        <w:spacing w:line="240" w:lineRule="auto"/>
        <w:ind w:left="1134" w:right="-2" w:hanging="567"/>
        <w:rPr>
          <w:color w:val="000000"/>
          <w:szCs w:val="22"/>
          <w:lang w:val="hr-HR"/>
        </w:rPr>
      </w:pPr>
      <w:r w:rsidRPr="00510442">
        <w:rPr>
          <w:color w:val="000000"/>
          <w:szCs w:val="22"/>
          <w:lang w:val="hr-HR"/>
        </w:rPr>
        <w:t xml:space="preserve">Svaka tableta </w:t>
      </w:r>
      <w:r>
        <w:rPr>
          <w:color w:val="000000"/>
          <w:szCs w:val="22"/>
          <w:lang w:val="hr-HR"/>
        </w:rPr>
        <w:t xml:space="preserve">od 400 mg </w:t>
      </w:r>
      <w:r w:rsidRPr="00512481">
        <w:rPr>
          <w:szCs w:val="22"/>
          <w:lang w:val="hr-HR"/>
        </w:rPr>
        <w:t xml:space="preserve">lijeka </w:t>
      </w:r>
      <w:r>
        <w:rPr>
          <w:color w:val="000000"/>
          <w:szCs w:val="22"/>
          <w:lang w:val="hr-HR"/>
        </w:rPr>
        <w:t>Glivec sadrži 4</w:t>
      </w:r>
      <w:r w:rsidRPr="00510442">
        <w:rPr>
          <w:color w:val="000000"/>
          <w:szCs w:val="22"/>
          <w:lang w:val="hr-HR"/>
        </w:rPr>
        <w:t>00 mg imatiniba (</w:t>
      </w:r>
      <w:r w:rsidRPr="00510442">
        <w:rPr>
          <w:szCs w:val="22"/>
          <w:lang w:val="hr-HR"/>
        </w:rPr>
        <w:t>u obliku imatinibmesilata</w:t>
      </w:r>
      <w:r w:rsidRPr="00510442">
        <w:rPr>
          <w:color w:val="000000"/>
          <w:szCs w:val="22"/>
          <w:lang w:val="hr-HR"/>
        </w:rPr>
        <w:t>).</w:t>
      </w:r>
    </w:p>
    <w:p w14:paraId="383ECD67" w14:textId="77777777" w:rsidR="00146472" w:rsidRPr="00510442" w:rsidRDefault="00146472" w:rsidP="00DB028B">
      <w:pPr>
        <w:widowControl w:val="0"/>
        <w:numPr>
          <w:ilvl w:val="0"/>
          <w:numId w:val="1"/>
        </w:numPr>
        <w:tabs>
          <w:tab w:val="clear" w:pos="567"/>
        </w:tabs>
        <w:spacing w:line="240" w:lineRule="auto"/>
        <w:ind w:left="567" w:right="-2" w:hanging="567"/>
        <w:rPr>
          <w:color w:val="000000"/>
          <w:szCs w:val="22"/>
          <w:lang w:val="hr-HR"/>
        </w:rPr>
      </w:pPr>
      <w:r w:rsidRPr="00510442">
        <w:rPr>
          <w:color w:val="000000"/>
          <w:szCs w:val="22"/>
          <w:lang w:val="hr-HR"/>
        </w:rPr>
        <w:t>Drugi sastojci su mikrokristalična celuloza, krospovidon, hipromeloza, magnezijev stearat i bezvodni koloidni silicijev dioksid.</w:t>
      </w:r>
    </w:p>
    <w:p w14:paraId="5C5AAB2D" w14:textId="77777777" w:rsidR="00146472" w:rsidRPr="00510442" w:rsidRDefault="00146472" w:rsidP="00DB028B">
      <w:pPr>
        <w:widowControl w:val="0"/>
        <w:numPr>
          <w:ilvl w:val="0"/>
          <w:numId w:val="1"/>
        </w:numPr>
        <w:tabs>
          <w:tab w:val="clear" w:pos="567"/>
        </w:tabs>
        <w:spacing w:line="240" w:lineRule="auto"/>
        <w:ind w:left="567" w:right="-2" w:hanging="567"/>
        <w:rPr>
          <w:color w:val="000000"/>
          <w:szCs w:val="22"/>
          <w:lang w:val="hr-HR"/>
        </w:rPr>
      </w:pPr>
      <w:r w:rsidRPr="00510442">
        <w:rPr>
          <w:szCs w:val="22"/>
          <w:lang w:val="hr-HR"/>
        </w:rPr>
        <w:t>Ovojnica tablete sadrži crveni željezov oksid</w:t>
      </w:r>
      <w:r w:rsidRPr="00510442">
        <w:rPr>
          <w:color w:val="000000"/>
          <w:szCs w:val="22"/>
          <w:lang w:val="hr-HR"/>
        </w:rPr>
        <w:t xml:space="preserve"> (E172), </w:t>
      </w:r>
      <w:r w:rsidRPr="00510442">
        <w:rPr>
          <w:szCs w:val="22"/>
          <w:lang w:val="hr-HR"/>
        </w:rPr>
        <w:t xml:space="preserve">žuti željezov oksid </w:t>
      </w:r>
      <w:r w:rsidRPr="00510442">
        <w:rPr>
          <w:color w:val="000000"/>
          <w:szCs w:val="22"/>
          <w:lang w:val="hr-HR"/>
        </w:rPr>
        <w:t>(E172), makrogol, talk i hipromelozu.</w:t>
      </w:r>
    </w:p>
    <w:p w14:paraId="1D65D77C" w14:textId="77777777" w:rsidR="00146472" w:rsidRPr="00510442" w:rsidRDefault="00146472" w:rsidP="00DB028B">
      <w:pPr>
        <w:pStyle w:val="Text"/>
        <w:widowControl w:val="0"/>
        <w:spacing w:before="0"/>
        <w:jc w:val="left"/>
        <w:rPr>
          <w:color w:val="000000"/>
          <w:sz w:val="22"/>
          <w:szCs w:val="22"/>
          <w:lang w:val="hr-HR"/>
        </w:rPr>
      </w:pPr>
    </w:p>
    <w:p w14:paraId="6708665E" w14:textId="77777777" w:rsidR="00146472" w:rsidRPr="00510442" w:rsidRDefault="00146472" w:rsidP="00911837">
      <w:pPr>
        <w:pStyle w:val="Text"/>
        <w:keepNext/>
        <w:widowControl w:val="0"/>
        <w:spacing w:before="0"/>
        <w:jc w:val="left"/>
        <w:rPr>
          <w:b/>
          <w:color w:val="000000"/>
          <w:sz w:val="22"/>
          <w:szCs w:val="22"/>
          <w:lang w:val="hr-HR"/>
        </w:rPr>
      </w:pPr>
      <w:r w:rsidRPr="00510442">
        <w:rPr>
          <w:b/>
          <w:color w:val="000000"/>
          <w:sz w:val="22"/>
          <w:szCs w:val="22"/>
          <w:lang w:val="hr-HR"/>
        </w:rPr>
        <w:t xml:space="preserve">Kako Glivec </w:t>
      </w:r>
      <w:r w:rsidRPr="00510442">
        <w:rPr>
          <w:b/>
          <w:bCs/>
          <w:sz w:val="22"/>
          <w:szCs w:val="22"/>
          <w:lang w:val="hr-HR"/>
        </w:rPr>
        <w:t xml:space="preserve">izgleda i sadržaj </w:t>
      </w:r>
      <w:r w:rsidR="009F29A1" w:rsidRPr="00510442">
        <w:rPr>
          <w:b/>
          <w:bCs/>
          <w:sz w:val="22"/>
          <w:szCs w:val="22"/>
          <w:lang w:val="hr-HR"/>
        </w:rPr>
        <w:t>pakiranja</w:t>
      </w:r>
    </w:p>
    <w:p w14:paraId="484C1870" w14:textId="77777777" w:rsidR="00146472" w:rsidRPr="00510442" w:rsidRDefault="00146472" w:rsidP="00DB028B">
      <w:pPr>
        <w:pStyle w:val="EndnoteText"/>
        <w:widowControl w:val="0"/>
        <w:numPr>
          <w:ilvl w:val="12"/>
          <w:numId w:val="0"/>
        </w:numPr>
        <w:tabs>
          <w:tab w:val="clear" w:pos="567"/>
        </w:tabs>
        <w:rPr>
          <w:szCs w:val="22"/>
          <w:lang w:val="hr-HR"/>
        </w:rPr>
      </w:pPr>
      <w:r w:rsidRPr="00510442">
        <w:rPr>
          <w:szCs w:val="22"/>
          <w:lang w:val="hr-HR"/>
        </w:rPr>
        <w:t xml:space="preserve">Glivec 100 mg filmom obložene tablete su jako tamnožute do smećkastonarančaste okrugle tablete. Imaju oznaku </w:t>
      </w:r>
      <w:r w:rsidRPr="00510442">
        <w:rPr>
          <w:lang w:val="hr-HR"/>
        </w:rPr>
        <w:t>„</w:t>
      </w:r>
      <w:r w:rsidRPr="00510442">
        <w:rPr>
          <w:szCs w:val="22"/>
          <w:lang w:val="hr-HR"/>
        </w:rPr>
        <w:t>NVR</w:t>
      </w:r>
      <w:r w:rsidRPr="00510442">
        <w:rPr>
          <w:lang w:val="hr-HR"/>
        </w:rPr>
        <w:t>“</w:t>
      </w:r>
      <w:r w:rsidRPr="00510442">
        <w:rPr>
          <w:szCs w:val="22"/>
          <w:lang w:val="hr-HR"/>
        </w:rPr>
        <w:t xml:space="preserve"> na jednoj strani te oznaku </w:t>
      </w:r>
      <w:r w:rsidRPr="00510442">
        <w:rPr>
          <w:lang w:val="hr-HR"/>
        </w:rPr>
        <w:t>„</w:t>
      </w:r>
      <w:r w:rsidRPr="00510442">
        <w:rPr>
          <w:szCs w:val="22"/>
          <w:lang w:val="hr-HR"/>
        </w:rPr>
        <w:t>SA</w:t>
      </w:r>
      <w:r w:rsidRPr="00510442">
        <w:rPr>
          <w:lang w:val="hr-HR"/>
        </w:rPr>
        <w:t>“</w:t>
      </w:r>
      <w:r w:rsidRPr="00510442">
        <w:rPr>
          <w:szCs w:val="22"/>
          <w:lang w:val="hr-HR"/>
        </w:rPr>
        <w:t xml:space="preserve"> i urez na drugoj strani.</w:t>
      </w:r>
    </w:p>
    <w:p w14:paraId="7E3B532D" w14:textId="77777777" w:rsidR="00144823" w:rsidRPr="00510442" w:rsidRDefault="00144823" w:rsidP="00144823">
      <w:pPr>
        <w:widowControl w:val="0"/>
        <w:tabs>
          <w:tab w:val="clear" w:pos="567"/>
        </w:tabs>
        <w:spacing w:line="240" w:lineRule="auto"/>
        <w:rPr>
          <w:szCs w:val="22"/>
          <w:lang w:val="hr-HR"/>
        </w:rPr>
      </w:pPr>
      <w:r w:rsidRPr="00510442">
        <w:rPr>
          <w:szCs w:val="22"/>
          <w:lang w:val="hr-HR"/>
        </w:rPr>
        <w:t xml:space="preserve">Glivec 400 mg filmom obložene tablete su jako tamnožute do smećkastonarančaste ovalne tablete. Imaju oznaku </w:t>
      </w:r>
      <w:r w:rsidRPr="00510442">
        <w:rPr>
          <w:lang w:val="hr-HR"/>
        </w:rPr>
        <w:t>„glivec“</w:t>
      </w:r>
      <w:r w:rsidRPr="00510442">
        <w:rPr>
          <w:szCs w:val="22"/>
          <w:lang w:val="hr-HR"/>
        </w:rPr>
        <w:t xml:space="preserve"> na jednoj strani.</w:t>
      </w:r>
    </w:p>
    <w:p w14:paraId="2A5256EE" w14:textId="77777777" w:rsidR="00146472" w:rsidRPr="00510442" w:rsidRDefault="00146472" w:rsidP="00DB028B">
      <w:pPr>
        <w:pStyle w:val="EndnoteText"/>
        <w:widowControl w:val="0"/>
        <w:numPr>
          <w:ilvl w:val="12"/>
          <w:numId w:val="0"/>
        </w:numPr>
        <w:tabs>
          <w:tab w:val="clear" w:pos="567"/>
        </w:tabs>
        <w:rPr>
          <w:color w:val="000000"/>
          <w:szCs w:val="22"/>
          <w:lang w:val="hr-HR"/>
        </w:rPr>
      </w:pPr>
    </w:p>
    <w:p w14:paraId="40BE159B" w14:textId="7DD9DB49" w:rsidR="00144823" w:rsidRDefault="00144823" w:rsidP="00DB028B">
      <w:pPr>
        <w:pStyle w:val="Text"/>
        <w:widowControl w:val="0"/>
        <w:spacing w:before="0"/>
        <w:jc w:val="left"/>
        <w:rPr>
          <w:color w:val="000000"/>
          <w:sz w:val="22"/>
          <w:szCs w:val="22"/>
          <w:lang w:val="hr-HR"/>
        </w:rPr>
      </w:pPr>
      <w:r w:rsidRPr="00144823">
        <w:rPr>
          <w:sz w:val="22"/>
          <w:szCs w:val="22"/>
          <w:lang w:val="hr-HR"/>
        </w:rPr>
        <w:t>Glivec 100</w:t>
      </w:r>
      <w:r>
        <w:rPr>
          <w:sz w:val="22"/>
          <w:szCs w:val="22"/>
          <w:lang w:val="hr-HR"/>
        </w:rPr>
        <w:t> </w:t>
      </w:r>
      <w:r w:rsidRPr="00144823">
        <w:rPr>
          <w:sz w:val="22"/>
          <w:szCs w:val="22"/>
          <w:lang w:val="hr-HR"/>
        </w:rPr>
        <w:t xml:space="preserve">mg filmom obložene tablete </w:t>
      </w:r>
      <w:r>
        <w:rPr>
          <w:sz w:val="22"/>
          <w:szCs w:val="22"/>
          <w:lang w:val="hr-HR"/>
        </w:rPr>
        <w:t>n</w:t>
      </w:r>
      <w:r w:rsidR="00146472" w:rsidRPr="00510442">
        <w:rPr>
          <w:sz w:val="22"/>
          <w:szCs w:val="22"/>
          <w:lang w:val="hr-HR"/>
        </w:rPr>
        <w:t>alaze se u pak</w:t>
      </w:r>
      <w:r w:rsidR="00436200" w:rsidRPr="00510442">
        <w:rPr>
          <w:sz w:val="22"/>
          <w:szCs w:val="22"/>
          <w:lang w:val="hr-HR"/>
        </w:rPr>
        <w:t>ir</w:t>
      </w:r>
      <w:r w:rsidR="00146472" w:rsidRPr="00510442">
        <w:rPr>
          <w:sz w:val="22"/>
          <w:szCs w:val="22"/>
          <w:lang w:val="hr-HR"/>
        </w:rPr>
        <w:t xml:space="preserve">anjima koja sadrže </w:t>
      </w:r>
      <w:r w:rsidR="00146472" w:rsidRPr="00510442">
        <w:rPr>
          <w:color w:val="000000"/>
          <w:sz w:val="22"/>
          <w:szCs w:val="22"/>
          <w:lang w:val="hr-HR"/>
        </w:rPr>
        <w:t>20, 60, 120 ili 180 tableta</w:t>
      </w:r>
      <w:r>
        <w:rPr>
          <w:color w:val="000000"/>
          <w:sz w:val="22"/>
          <w:szCs w:val="22"/>
          <w:lang w:val="hr-HR"/>
        </w:rPr>
        <w:t>.</w:t>
      </w:r>
    </w:p>
    <w:p w14:paraId="3C40A30D" w14:textId="5E6729F5" w:rsidR="00144823" w:rsidRDefault="00144823" w:rsidP="00DB028B">
      <w:pPr>
        <w:pStyle w:val="Text"/>
        <w:widowControl w:val="0"/>
        <w:spacing w:before="0"/>
        <w:jc w:val="left"/>
        <w:rPr>
          <w:sz w:val="22"/>
          <w:szCs w:val="22"/>
          <w:lang w:val="hr-HR"/>
        </w:rPr>
      </w:pPr>
      <w:r w:rsidRPr="00144823">
        <w:rPr>
          <w:sz w:val="22"/>
          <w:szCs w:val="22"/>
          <w:lang w:val="hr-HR"/>
        </w:rPr>
        <w:t xml:space="preserve">Glivec </w:t>
      </w:r>
      <w:r>
        <w:rPr>
          <w:sz w:val="22"/>
          <w:szCs w:val="22"/>
          <w:lang w:val="hr-HR"/>
        </w:rPr>
        <w:t>4</w:t>
      </w:r>
      <w:r w:rsidRPr="00144823">
        <w:rPr>
          <w:sz w:val="22"/>
          <w:szCs w:val="22"/>
          <w:lang w:val="hr-HR"/>
        </w:rPr>
        <w:t>00</w:t>
      </w:r>
      <w:r>
        <w:rPr>
          <w:sz w:val="22"/>
          <w:szCs w:val="22"/>
          <w:lang w:val="hr-HR"/>
        </w:rPr>
        <w:t> </w:t>
      </w:r>
      <w:r w:rsidRPr="00144823">
        <w:rPr>
          <w:sz w:val="22"/>
          <w:szCs w:val="22"/>
          <w:lang w:val="hr-HR"/>
        </w:rPr>
        <w:t>mg filmom obložene tablete</w:t>
      </w:r>
      <w:r>
        <w:rPr>
          <w:sz w:val="22"/>
          <w:szCs w:val="22"/>
          <w:lang w:val="hr-HR"/>
        </w:rPr>
        <w:t xml:space="preserve"> n</w:t>
      </w:r>
      <w:r w:rsidRPr="00510442">
        <w:rPr>
          <w:sz w:val="22"/>
          <w:szCs w:val="22"/>
          <w:lang w:val="hr-HR"/>
        </w:rPr>
        <w:t xml:space="preserve">alaze se u pakiranjima koja sadrže </w:t>
      </w:r>
      <w:r w:rsidRPr="00510442">
        <w:rPr>
          <w:color w:val="000000"/>
          <w:sz w:val="22"/>
          <w:szCs w:val="22"/>
          <w:lang w:val="hr-HR"/>
        </w:rPr>
        <w:t>10, 30 ili 90 tableta</w:t>
      </w:r>
      <w:r>
        <w:rPr>
          <w:color w:val="000000"/>
          <w:sz w:val="22"/>
          <w:szCs w:val="22"/>
          <w:lang w:val="hr-HR"/>
        </w:rPr>
        <w:t>.</w:t>
      </w:r>
    </w:p>
    <w:p w14:paraId="33DDC4EC" w14:textId="29BE6D11" w:rsidR="00146472" w:rsidRPr="00510442" w:rsidRDefault="00144823" w:rsidP="00DB028B">
      <w:pPr>
        <w:pStyle w:val="Text"/>
        <w:widowControl w:val="0"/>
        <w:spacing w:before="0"/>
        <w:jc w:val="left"/>
        <w:rPr>
          <w:color w:val="000000"/>
          <w:sz w:val="22"/>
          <w:szCs w:val="22"/>
          <w:lang w:val="hr-HR"/>
        </w:rPr>
      </w:pPr>
      <w:r>
        <w:rPr>
          <w:color w:val="000000"/>
          <w:sz w:val="22"/>
          <w:szCs w:val="22"/>
          <w:lang w:val="hr-HR"/>
        </w:rPr>
        <w:t>Sva pakiranja</w:t>
      </w:r>
      <w:r w:rsidR="00146472" w:rsidRPr="00510442">
        <w:rPr>
          <w:color w:val="000000"/>
          <w:sz w:val="22"/>
          <w:szCs w:val="22"/>
          <w:lang w:val="hr-HR"/>
        </w:rPr>
        <w:t xml:space="preserve"> ne moraju biti dostupna u Vašoj zemlji.</w:t>
      </w:r>
    </w:p>
    <w:p w14:paraId="5DD8711E" w14:textId="77777777" w:rsidR="00146472" w:rsidRPr="00510442" w:rsidRDefault="00146472" w:rsidP="00DB028B">
      <w:pPr>
        <w:pStyle w:val="Text"/>
        <w:widowControl w:val="0"/>
        <w:spacing w:before="0"/>
        <w:jc w:val="left"/>
        <w:rPr>
          <w:color w:val="000000"/>
          <w:sz w:val="22"/>
          <w:szCs w:val="22"/>
          <w:lang w:val="hr-HR"/>
        </w:rPr>
      </w:pPr>
    </w:p>
    <w:p w14:paraId="53786E81" w14:textId="77777777" w:rsidR="00146472" w:rsidRPr="00510442" w:rsidRDefault="00146472" w:rsidP="00911837">
      <w:pPr>
        <w:pStyle w:val="Heading2"/>
        <w:widowControl w:val="0"/>
        <w:spacing w:before="0" w:after="0" w:line="240" w:lineRule="auto"/>
        <w:rPr>
          <w:rFonts w:ascii="Times New Roman" w:hAnsi="Times New Roman"/>
          <w:i w:val="0"/>
          <w:color w:val="000000"/>
          <w:sz w:val="22"/>
          <w:szCs w:val="22"/>
          <w:lang w:val="hr-HR"/>
        </w:rPr>
      </w:pPr>
      <w:r w:rsidRPr="00510442">
        <w:rPr>
          <w:rFonts w:ascii="Times New Roman" w:hAnsi="Times New Roman"/>
          <w:bCs/>
          <w:i w:val="0"/>
          <w:sz w:val="22"/>
          <w:szCs w:val="22"/>
          <w:lang w:val="hr-HR"/>
        </w:rPr>
        <w:t>Nositelj odobrenja za stavljanje lijeka u promet</w:t>
      </w:r>
    </w:p>
    <w:p w14:paraId="4E342633" w14:textId="77777777" w:rsidR="00146472" w:rsidRPr="00510442" w:rsidRDefault="00146472" w:rsidP="00911837">
      <w:pPr>
        <w:pStyle w:val="EndnoteText"/>
        <w:keepNext/>
        <w:widowControl w:val="0"/>
        <w:tabs>
          <w:tab w:val="clear" w:pos="567"/>
        </w:tabs>
        <w:rPr>
          <w:color w:val="000000"/>
          <w:szCs w:val="22"/>
          <w:lang w:val="hr-HR"/>
        </w:rPr>
      </w:pPr>
      <w:r w:rsidRPr="00510442">
        <w:rPr>
          <w:color w:val="000000"/>
          <w:szCs w:val="22"/>
          <w:lang w:val="hr-HR"/>
        </w:rPr>
        <w:t>Novartis Europharm Limited</w:t>
      </w:r>
    </w:p>
    <w:p w14:paraId="41AA5C7A" w14:textId="77777777" w:rsidR="00E24CAD" w:rsidRPr="00510442" w:rsidRDefault="00E24CAD" w:rsidP="00E24CAD">
      <w:pPr>
        <w:keepNext/>
        <w:widowControl w:val="0"/>
        <w:spacing w:line="240" w:lineRule="auto"/>
        <w:rPr>
          <w:color w:val="000000"/>
          <w:lang w:val="hr-HR"/>
        </w:rPr>
      </w:pPr>
      <w:r w:rsidRPr="00510442">
        <w:rPr>
          <w:color w:val="000000"/>
          <w:lang w:val="hr-HR"/>
        </w:rPr>
        <w:t>Vista Building</w:t>
      </w:r>
    </w:p>
    <w:p w14:paraId="3FAA8804" w14:textId="77777777" w:rsidR="00E24CAD" w:rsidRPr="00510442" w:rsidRDefault="00E24CAD" w:rsidP="00E24CAD">
      <w:pPr>
        <w:keepNext/>
        <w:widowControl w:val="0"/>
        <w:spacing w:line="240" w:lineRule="auto"/>
        <w:rPr>
          <w:color w:val="000000"/>
          <w:lang w:val="hr-HR"/>
        </w:rPr>
      </w:pPr>
      <w:r w:rsidRPr="00510442">
        <w:rPr>
          <w:color w:val="000000"/>
          <w:lang w:val="hr-HR"/>
        </w:rPr>
        <w:t>Elm Park, Merrion Road</w:t>
      </w:r>
    </w:p>
    <w:p w14:paraId="0C30D72D" w14:textId="77777777" w:rsidR="00E24CAD" w:rsidRPr="00510442" w:rsidRDefault="00E24CAD" w:rsidP="00E24CAD">
      <w:pPr>
        <w:keepNext/>
        <w:widowControl w:val="0"/>
        <w:spacing w:line="240" w:lineRule="auto"/>
        <w:rPr>
          <w:color w:val="000000"/>
          <w:lang w:val="hr-HR"/>
        </w:rPr>
      </w:pPr>
      <w:r w:rsidRPr="00510442">
        <w:rPr>
          <w:color w:val="000000"/>
          <w:lang w:val="hr-HR"/>
        </w:rPr>
        <w:t>Dublin 4</w:t>
      </w:r>
    </w:p>
    <w:p w14:paraId="48BB8508" w14:textId="77777777" w:rsidR="00146472" w:rsidRPr="00307897" w:rsidRDefault="00E24CAD" w:rsidP="00146472">
      <w:pPr>
        <w:pStyle w:val="Text"/>
        <w:widowControl w:val="0"/>
        <w:spacing w:before="0"/>
        <w:jc w:val="left"/>
        <w:rPr>
          <w:color w:val="000000"/>
          <w:sz w:val="22"/>
          <w:szCs w:val="22"/>
          <w:lang w:val="hr-HR"/>
        </w:rPr>
      </w:pPr>
      <w:r w:rsidRPr="00510442">
        <w:rPr>
          <w:color w:val="000000"/>
          <w:szCs w:val="22"/>
          <w:lang w:val="hr-HR"/>
        </w:rPr>
        <w:t>Irska</w:t>
      </w:r>
    </w:p>
    <w:p w14:paraId="5CEB59C6" w14:textId="77777777" w:rsidR="00146472" w:rsidRPr="00307897" w:rsidRDefault="00146472" w:rsidP="00146472">
      <w:pPr>
        <w:pStyle w:val="Text"/>
        <w:widowControl w:val="0"/>
        <w:spacing w:before="0"/>
        <w:jc w:val="left"/>
        <w:rPr>
          <w:color w:val="000000"/>
          <w:sz w:val="22"/>
          <w:szCs w:val="22"/>
          <w:lang w:val="hr-HR"/>
        </w:rPr>
      </w:pPr>
    </w:p>
    <w:p w14:paraId="4BDFE0EA" w14:textId="77777777" w:rsidR="00146472" w:rsidRPr="00A00164" w:rsidRDefault="00146472" w:rsidP="00911837">
      <w:pPr>
        <w:pStyle w:val="Heading2"/>
        <w:widowControl w:val="0"/>
        <w:spacing w:before="0" w:after="0" w:line="240" w:lineRule="auto"/>
        <w:rPr>
          <w:rFonts w:ascii="Times New Roman" w:hAnsi="Times New Roman"/>
          <w:i w:val="0"/>
          <w:color w:val="000000"/>
          <w:sz w:val="22"/>
          <w:szCs w:val="22"/>
          <w:lang w:val="hr-HR"/>
        </w:rPr>
      </w:pPr>
      <w:r w:rsidRPr="00A00164">
        <w:rPr>
          <w:rFonts w:ascii="Times New Roman" w:hAnsi="Times New Roman"/>
          <w:i w:val="0"/>
          <w:color w:val="000000"/>
          <w:sz w:val="22"/>
          <w:szCs w:val="22"/>
          <w:lang w:val="hr-HR"/>
        </w:rPr>
        <w:t>Proizvođač</w:t>
      </w:r>
    </w:p>
    <w:p w14:paraId="66C43EA2" w14:textId="77777777" w:rsidR="00943760" w:rsidRPr="00E257AC" w:rsidRDefault="00943760" w:rsidP="00943760">
      <w:pPr>
        <w:keepNext/>
        <w:widowControl w:val="0"/>
        <w:tabs>
          <w:tab w:val="left" w:pos="7513"/>
        </w:tabs>
        <w:spacing w:line="240" w:lineRule="auto"/>
        <w:rPr>
          <w:szCs w:val="22"/>
          <w:lang w:val="hr-HR"/>
        </w:rPr>
      </w:pPr>
      <w:r w:rsidRPr="00E257AC">
        <w:rPr>
          <w:szCs w:val="22"/>
          <w:lang w:val="hr-HR"/>
        </w:rPr>
        <w:t>Lek d.d, PE PROIZVODNJA LENDAVA</w:t>
      </w:r>
    </w:p>
    <w:p w14:paraId="11A3AD96" w14:textId="77777777" w:rsidR="00943760" w:rsidRPr="00D1632D" w:rsidRDefault="00943760" w:rsidP="00943760">
      <w:pPr>
        <w:keepNext/>
        <w:widowControl w:val="0"/>
        <w:tabs>
          <w:tab w:val="left" w:pos="7513"/>
        </w:tabs>
        <w:spacing w:line="240" w:lineRule="auto"/>
        <w:rPr>
          <w:szCs w:val="22"/>
          <w:lang w:val="fr-CH"/>
        </w:rPr>
      </w:pPr>
      <w:r w:rsidRPr="00D1632D">
        <w:rPr>
          <w:szCs w:val="22"/>
          <w:lang w:val="fr-CH"/>
        </w:rPr>
        <w:t>Trimlini 2D</w:t>
      </w:r>
    </w:p>
    <w:p w14:paraId="4F471A13" w14:textId="77777777" w:rsidR="00943760" w:rsidRPr="00D1632D" w:rsidRDefault="00943760" w:rsidP="00943760">
      <w:pPr>
        <w:keepNext/>
        <w:widowControl w:val="0"/>
        <w:tabs>
          <w:tab w:val="left" w:pos="7513"/>
        </w:tabs>
        <w:spacing w:line="240" w:lineRule="auto"/>
        <w:rPr>
          <w:szCs w:val="22"/>
          <w:lang w:val="fr-CH"/>
        </w:rPr>
      </w:pPr>
      <w:r w:rsidRPr="00D1632D">
        <w:rPr>
          <w:szCs w:val="22"/>
          <w:lang w:val="fr-CH"/>
        </w:rPr>
        <w:t>Lendava, 9220</w:t>
      </w:r>
    </w:p>
    <w:p w14:paraId="75C028C9" w14:textId="77777777" w:rsidR="00943760" w:rsidRPr="00D1632D" w:rsidRDefault="00943760" w:rsidP="00943760">
      <w:pPr>
        <w:widowControl w:val="0"/>
        <w:tabs>
          <w:tab w:val="left" w:pos="7513"/>
        </w:tabs>
        <w:spacing w:line="240" w:lineRule="auto"/>
        <w:rPr>
          <w:szCs w:val="22"/>
          <w:lang w:val="pt-BR"/>
        </w:rPr>
      </w:pPr>
      <w:r w:rsidRPr="00A7084C">
        <w:rPr>
          <w:szCs w:val="22"/>
          <w:lang w:val="fr-CH"/>
        </w:rPr>
        <w:t>Slovenija</w:t>
      </w:r>
    </w:p>
    <w:p w14:paraId="67E997B6" w14:textId="77777777" w:rsidR="00943760" w:rsidRPr="00D1632D" w:rsidRDefault="00943760" w:rsidP="00943760">
      <w:pPr>
        <w:widowControl w:val="0"/>
        <w:tabs>
          <w:tab w:val="left" w:pos="7513"/>
        </w:tabs>
        <w:spacing w:line="240" w:lineRule="auto"/>
        <w:rPr>
          <w:szCs w:val="22"/>
          <w:lang w:val="pt-BR"/>
        </w:rPr>
      </w:pPr>
    </w:p>
    <w:p w14:paraId="076E0227" w14:textId="77777777" w:rsidR="00146472" w:rsidRPr="00A7084C" w:rsidRDefault="00146472" w:rsidP="00A7084C">
      <w:pPr>
        <w:keepNext/>
        <w:widowControl w:val="0"/>
        <w:spacing w:line="240" w:lineRule="auto"/>
        <w:rPr>
          <w:snapToGrid w:val="0"/>
          <w:color w:val="000000"/>
          <w:szCs w:val="22"/>
          <w:shd w:val="pct15" w:color="auto" w:fill="auto"/>
          <w:lang w:val="hr-HR"/>
        </w:rPr>
      </w:pPr>
      <w:r w:rsidRPr="00A7084C">
        <w:rPr>
          <w:snapToGrid w:val="0"/>
          <w:color w:val="000000"/>
          <w:szCs w:val="22"/>
          <w:shd w:val="pct15" w:color="auto" w:fill="auto"/>
          <w:lang w:val="hr-HR"/>
        </w:rPr>
        <w:t>Novartis Pharma GmbH</w:t>
      </w:r>
    </w:p>
    <w:p w14:paraId="22554E43" w14:textId="77777777" w:rsidR="00146472" w:rsidRPr="00A7084C" w:rsidRDefault="00146472" w:rsidP="00A7084C">
      <w:pPr>
        <w:keepNext/>
        <w:widowControl w:val="0"/>
        <w:spacing w:line="240" w:lineRule="auto"/>
        <w:ind w:left="709" w:hanging="709"/>
        <w:rPr>
          <w:snapToGrid w:val="0"/>
          <w:color w:val="000000"/>
          <w:szCs w:val="22"/>
          <w:shd w:val="pct15" w:color="auto" w:fill="auto"/>
          <w:lang w:val="hr-HR"/>
        </w:rPr>
      </w:pPr>
      <w:r w:rsidRPr="00A7084C">
        <w:rPr>
          <w:snapToGrid w:val="0"/>
          <w:color w:val="000000"/>
          <w:szCs w:val="22"/>
          <w:shd w:val="pct15" w:color="auto" w:fill="auto"/>
          <w:lang w:val="hr-HR"/>
        </w:rPr>
        <w:t>Roonstrasse 25</w:t>
      </w:r>
    </w:p>
    <w:p w14:paraId="3DA82DBE" w14:textId="77777777" w:rsidR="00146472" w:rsidRPr="00A7084C" w:rsidRDefault="00146472" w:rsidP="00A7084C">
      <w:pPr>
        <w:keepNext/>
        <w:widowControl w:val="0"/>
        <w:spacing w:line="240" w:lineRule="auto"/>
        <w:ind w:left="709" w:hanging="709"/>
        <w:rPr>
          <w:snapToGrid w:val="0"/>
          <w:color w:val="000000"/>
          <w:szCs w:val="22"/>
          <w:shd w:val="pct15" w:color="auto" w:fill="auto"/>
          <w:lang w:val="hr-HR"/>
        </w:rPr>
      </w:pPr>
      <w:r w:rsidRPr="00A7084C">
        <w:rPr>
          <w:snapToGrid w:val="0"/>
          <w:color w:val="000000"/>
          <w:szCs w:val="22"/>
          <w:shd w:val="pct15" w:color="auto" w:fill="auto"/>
          <w:lang w:val="hr-HR"/>
        </w:rPr>
        <w:t xml:space="preserve">D-90429 </w:t>
      </w:r>
      <w:r w:rsidRPr="00A7084C">
        <w:rPr>
          <w:szCs w:val="22"/>
          <w:shd w:val="pct15" w:color="auto" w:fill="auto"/>
          <w:lang w:val="hr-HR"/>
        </w:rPr>
        <w:t>Nürnberg</w:t>
      </w:r>
    </w:p>
    <w:p w14:paraId="77EF9DD9" w14:textId="77777777" w:rsidR="00146472" w:rsidRPr="00A7084C" w:rsidRDefault="00146472" w:rsidP="00146472">
      <w:pPr>
        <w:pStyle w:val="EndnoteText"/>
        <w:widowControl w:val="0"/>
        <w:numPr>
          <w:ilvl w:val="12"/>
          <w:numId w:val="0"/>
        </w:numPr>
        <w:tabs>
          <w:tab w:val="clear" w:pos="567"/>
        </w:tabs>
        <w:rPr>
          <w:snapToGrid w:val="0"/>
          <w:color w:val="000000"/>
          <w:szCs w:val="22"/>
          <w:shd w:val="pct15" w:color="auto" w:fill="auto"/>
          <w:lang w:val="hr-HR"/>
        </w:rPr>
      </w:pPr>
      <w:r w:rsidRPr="00A7084C">
        <w:rPr>
          <w:snapToGrid w:val="0"/>
          <w:color w:val="000000"/>
          <w:szCs w:val="22"/>
          <w:shd w:val="pct15" w:color="auto" w:fill="auto"/>
          <w:lang w:val="hr-HR"/>
        </w:rPr>
        <w:t>Njemačka</w:t>
      </w:r>
    </w:p>
    <w:p w14:paraId="3E878724" w14:textId="77777777" w:rsidR="00146472" w:rsidRPr="00510442" w:rsidRDefault="00146472" w:rsidP="00146472">
      <w:pPr>
        <w:pStyle w:val="EndnoteText"/>
        <w:widowControl w:val="0"/>
        <w:numPr>
          <w:ilvl w:val="12"/>
          <w:numId w:val="0"/>
        </w:numPr>
        <w:tabs>
          <w:tab w:val="clear" w:pos="567"/>
        </w:tabs>
        <w:rPr>
          <w:color w:val="000000"/>
          <w:szCs w:val="22"/>
          <w:lang w:val="hr-HR"/>
        </w:rPr>
      </w:pPr>
    </w:p>
    <w:p w14:paraId="70584CE9" w14:textId="77777777" w:rsidR="00146472" w:rsidRPr="00510442" w:rsidRDefault="00146472" w:rsidP="00911837">
      <w:pPr>
        <w:keepNext/>
        <w:widowControl w:val="0"/>
        <w:numPr>
          <w:ilvl w:val="12"/>
          <w:numId w:val="0"/>
        </w:numPr>
        <w:tabs>
          <w:tab w:val="clear" w:pos="567"/>
        </w:tabs>
        <w:spacing w:line="240" w:lineRule="auto"/>
        <w:ind w:right="-2"/>
        <w:rPr>
          <w:color w:val="000000"/>
          <w:szCs w:val="22"/>
          <w:lang w:val="hr-HR"/>
        </w:rPr>
      </w:pPr>
      <w:r w:rsidRPr="00510442">
        <w:rPr>
          <w:szCs w:val="22"/>
          <w:lang w:val="hr-HR"/>
        </w:rPr>
        <w:t>Za sve informacije o ovom lijeku obratite se lokalnom predstavniku nositelja odobrenja</w:t>
      </w:r>
      <w:r w:rsidRPr="00510442">
        <w:rPr>
          <w:bCs/>
          <w:szCs w:val="22"/>
          <w:lang w:val="hr-HR"/>
        </w:rPr>
        <w:t xml:space="preserve"> za stavljanje lijeka u promet</w:t>
      </w:r>
      <w:r w:rsidRPr="00510442">
        <w:rPr>
          <w:color w:val="000000"/>
          <w:szCs w:val="22"/>
          <w:lang w:val="hr-HR"/>
        </w:rPr>
        <w:t>.</w:t>
      </w:r>
    </w:p>
    <w:p w14:paraId="068B88E0" w14:textId="77777777" w:rsidR="00146472" w:rsidRPr="00510442" w:rsidRDefault="00146472" w:rsidP="00911837">
      <w:pPr>
        <w:keepNext/>
        <w:widowControl w:val="0"/>
        <w:tabs>
          <w:tab w:val="clear" w:pos="567"/>
        </w:tabs>
        <w:spacing w:line="240" w:lineRule="auto"/>
        <w:ind w:right="-449"/>
        <w:rPr>
          <w:color w:val="000000"/>
          <w:szCs w:val="22"/>
          <w:lang w:val="hr-HR"/>
        </w:rPr>
      </w:pPr>
    </w:p>
    <w:tbl>
      <w:tblPr>
        <w:tblW w:w="9300" w:type="dxa"/>
        <w:tblLayout w:type="fixed"/>
        <w:tblLook w:val="0000" w:firstRow="0" w:lastRow="0" w:firstColumn="0" w:lastColumn="0" w:noHBand="0" w:noVBand="0"/>
      </w:tblPr>
      <w:tblGrid>
        <w:gridCol w:w="4650"/>
        <w:gridCol w:w="4650"/>
      </w:tblGrid>
      <w:tr w:rsidR="00146472" w:rsidRPr="00510442" w14:paraId="429ECB9E" w14:textId="77777777" w:rsidTr="00DB4410">
        <w:trPr>
          <w:cantSplit/>
        </w:trPr>
        <w:tc>
          <w:tcPr>
            <w:tcW w:w="4650" w:type="dxa"/>
          </w:tcPr>
          <w:p w14:paraId="320EA12A" w14:textId="77777777" w:rsidR="00146472" w:rsidRPr="00510442" w:rsidRDefault="00146472" w:rsidP="005E4981">
            <w:pPr>
              <w:rPr>
                <w:b/>
                <w:color w:val="000000"/>
                <w:szCs w:val="22"/>
                <w:lang w:val="hr-HR"/>
              </w:rPr>
            </w:pPr>
            <w:r w:rsidRPr="00510442">
              <w:rPr>
                <w:b/>
                <w:color w:val="000000"/>
                <w:szCs w:val="22"/>
                <w:lang w:val="hr-HR"/>
              </w:rPr>
              <w:t>België/Belgique/Belgien</w:t>
            </w:r>
          </w:p>
          <w:p w14:paraId="76498D0A" w14:textId="77777777" w:rsidR="00146472" w:rsidRPr="00510442" w:rsidRDefault="00146472" w:rsidP="005E4981">
            <w:pPr>
              <w:rPr>
                <w:color w:val="000000"/>
                <w:szCs w:val="22"/>
                <w:lang w:val="hr-HR"/>
              </w:rPr>
            </w:pPr>
            <w:r w:rsidRPr="00510442">
              <w:rPr>
                <w:color w:val="000000"/>
                <w:szCs w:val="22"/>
                <w:lang w:val="hr-HR"/>
              </w:rPr>
              <w:t>Novartis Pharma N.V.</w:t>
            </w:r>
          </w:p>
          <w:p w14:paraId="7EB4AF17" w14:textId="77777777" w:rsidR="00146472" w:rsidRPr="00510442" w:rsidRDefault="00146472" w:rsidP="005E4981">
            <w:pPr>
              <w:rPr>
                <w:color w:val="000000"/>
                <w:szCs w:val="22"/>
                <w:lang w:val="hr-HR"/>
              </w:rPr>
            </w:pPr>
            <w:r w:rsidRPr="00510442">
              <w:rPr>
                <w:color w:val="000000"/>
                <w:szCs w:val="22"/>
                <w:lang w:val="hr-HR"/>
              </w:rPr>
              <w:t>Tél/Tel: +32 2 246 16 11</w:t>
            </w:r>
          </w:p>
          <w:p w14:paraId="74AE0C4C" w14:textId="77777777" w:rsidR="00146472" w:rsidRPr="00510442" w:rsidRDefault="00146472" w:rsidP="005E4981">
            <w:pPr>
              <w:rPr>
                <w:b/>
                <w:color w:val="000000"/>
                <w:szCs w:val="22"/>
                <w:lang w:val="hr-HR"/>
              </w:rPr>
            </w:pPr>
          </w:p>
        </w:tc>
        <w:tc>
          <w:tcPr>
            <w:tcW w:w="4650" w:type="dxa"/>
          </w:tcPr>
          <w:p w14:paraId="541AC50E" w14:textId="77777777" w:rsidR="00146472" w:rsidRPr="00510442" w:rsidRDefault="00146472" w:rsidP="005E4981">
            <w:pPr>
              <w:rPr>
                <w:b/>
                <w:color w:val="000000"/>
                <w:szCs w:val="22"/>
                <w:lang w:val="hr-HR"/>
              </w:rPr>
            </w:pPr>
            <w:r w:rsidRPr="00510442">
              <w:rPr>
                <w:b/>
                <w:color w:val="000000"/>
                <w:szCs w:val="22"/>
                <w:lang w:val="hr-HR"/>
              </w:rPr>
              <w:t>Lietuva</w:t>
            </w:r>
          </w:p>
          <w:p w14:paraId="22069742" w14:textId="66422B18" w:rsidR="00146472" w:rsidRPr="00510442" w:rsidRDefault="0001298A" w:rsidP="005E4981">
            <w:pPr>
              <w:rPr>
                <w:color w:val="000000"/>
                <w:szCs w:val="22"/>
                <w:lang w:val="hr-HR"/>
              </w:rPr>
            </w:pPr>
            <w:r w:rsidRPr="00510442">
              <w:rPr>
                <w:color w:val="000000"/>
                <w:szCs w:val="22"/>
                <w:lang w:val="hr-HR"/>
              </w:rPr>
              <w:t>SIA Novartis Baltics Lietuvos filialas</w:t>
            </w:r>
          </w:p>
          <w:p w14:paraId="71E58B67" w14:textId="77777777" w:rsidR="00146472" w:rsidRPr="00510442" w:rsidRDefault="00146472" w:rsidP="005E4981">
            <w:pPr>
              <w:rPr>
                <w:color w:val="000000"/>
                <w:szCs w:val="22"/>
                <w:lang w:val="hr-HR"/>
              </w:rPr>
            </w:pPr>
            <w:r w:rsidRPr="00510442">
              <w:rPr>
                <w:color w:val="000000"/>
                <w:szCs w:val="22"/>
                <w:lang w:val="hr-HR"/>
              </w:rPr>
              <w:t>Tel: +370 5 269 16 50</w:t>
            </w:r>
          </w:p>
          <w:p w14:paraId="0E21D2C0" w14:textId="77777777" w:rsidR="00146472" w:rsidRPr="00510442" w:rsidRDefault="00146472" w:rsidP="005E4981">
            <w:pPr>
              <w:rPr>
                <w:color w:val="000000"/>
                <w:szCs w:val="22"/>
                <w:lang w:val="hr-HR"/>
              </w:rPr>
            </w:pPr>
          </w:p>
        </w:tc>
      </w:tr>
      <w:tr w:rsidR="00146472" w:rsidRPr="00510442" w14:paraId="62B58D3E" w14:textId="77777777" w:rsidTr="00DB4410">
        <w:trPr>
          <w:cantSplit/>
        </w:trPr>
        <w:tc>
          <w:tcPr>
            <w:tcW w:w="4650" w:type="dxa"/>
          </w:tcPr>
          <w:p w14:paraId="60F64B42" w14:textId="77777777" w:rsidR="00146472" w:rsidRPr="00510442" w:rsidRDefault="00146472" w:rsidP="005E4981">
            <w:pPr>
              <w:rPr>
                <w:b/>
                <w:color w:val="000000"/>
                <w:szCs w:val="22"/>
                <w:lang w:val="hr-HR"/>
              </w:rPr>
            </w:pPr>
            <w:r w:rsidRPr="00510442">
              <w:rPr>
                <w:b/>
                <w:color w:val="000000"/>
                <w:szCs w:val="22"/>
                <w:lang w:val="hr-HR"/>
              </w:rPr>
              <w:t>България</w:t>
            </w:r>
          </w:p>
          <w:p w14:paraId="63B1FB2A" w14:textId="77777777" w:rsidR="00146472" w:rsidRPr="00510442" w:rsidRDefault="0049284D" w:rsidP="005E4981">
            <w:pPr>
              <w:rPr>
                <w:color w:val="000000"/>
                <w:szCs w:val="22"/>
                <w:lang w:val="hr-HR"/>
              </w:rPr>
            </w:pPr>
            <w:r w:rsidRPr="00510442">
              <w:rPr>
                <w:szCs w:val="22"/>
                <w:lang w:val="hr-HR"/>
              </w:rPr>
              <w:t>Novartis Bulgaria EOOD</w:t>
            </w:r>
          </w:p>
          <w:p w14:paraId="3DFD7271" w14:textId="77777777" w:rsidR="00146472" w:rsidRPr="00510442" w:rsidRDefault="00146472" w:rsidP="005E4981">
            <w:pPr>
              <w:rPr>
                <w:color w:val="000000"/>
                <w:szCs w:val="22"/>
                <w:lang w:val="hr-HR"/>
              </w:rPr>
            </w:pPr>
            <w:r w:rsidRPr="00510442">
              <w:rPr>
                <w:color w:val="000000"/>
                <w:szCs w:val="22"/>
                <w:lang w:val="hr-HR"/>
              </w:rPr>
              <w:t>Тел.: +359 2 489 98 28</w:t>
            </w:r>
          </w:p>
          <w:p w14:paraId="3F1C4061" w14:textId="77777777" w:rsidR="00146472" w:rsidRPr="00510442" w:rsidRDefault="00146472" w:rsidP="005E4981">
            <w:pPr>
              <w:rPr>
                <w:b/>
                <w:color w:val="000000"/>
                <w:szCs w:val="22"/>
                <w:lang w:val="hr-HR"/>
              </w:rPr>
            </w:pPr>
          </w:p>
        </w:tc>
        <w:tc>
          <w:tcPr>
            <w:tcW w:w="4650" w:type="dxa"/>
          </w:tcPr>
          <w:p w14:paraId="39DE8F39" w14:textId="77777777" w:rsidR="00146472" w:rsidRPr="00510442" w:rsidRDefault="00146472" w:rsidP="005E4981">
            <w:pPr>
              <w:rPr>
                <w:b/>
                <w:color w:val="000000"/>
                <w:szCs w:val="22"/>
                <w:lang w:val="hr-HR"/>
              </w:rPr>
            </w:pPr>
            <w:r w:rsidRPr="00510442">
              <w:rPr>
                <w:b/>
                <w:color w:val="000000"/>
                <w:szCs w:val="22"/>
                <w:lang w:val="hr-HR"/>
              </w:rPr>
              <w:t>Luxembourg/Luxemburg</w:t>
            </w:r>
          </w:p>
          <w:p w14:paraId="2A294A36" w14:textId="77777777" w:rsidR="00146472" w:rsidRPr="00510442" w:rsidRDefault="00146472" w:rsidP="005E4981">
            <w:pPr>
              <w:rPr>
                <w:color w:val="000000"/>
                <w:szCs w:val="22"/>
                <w:lang w:val="hr-HR"/>
              </w:rPr>
            </w:pPr>
            <w:r w:rsidRPr="00510442">
              <w:rPr>
                <w:color w:val="000000"/>
                <w:szCs w:val="22"/>
                <w:lang w:val="hr-HR"/>
              </w:rPr>
              <w:t>Novartis Pharma N.V.</w:t>
            </w:r>
          </w:p>
          <w:p w14:paraId="0D10BE8E" w14:textId="77777777" w:rsidR="00146472" w:rsidRPr="00510442" w:rsidRDefault="00146472" w:rsidP="005E4981">
            <w:pPr>
              <w:rPr>
                <w:color w:val="000000"/>
                <w:szCs w:val="22"/>
                <w:lang w:val="hr-HR"/>
              </w:rPr>
            </w:pPr>
            <w:r w:rsidRPr="00510442">
              <w:rPr>
                <w:color w:val="000000"/>
                <w:szCs w:val="22"/>
                <w:lang w:val="hr-HR"/>
              </w:rPr>
              <w:t>Tél/Tel: +32 2 246 16 11</w:t>
            </w:r>
          </w:p>
          <w:p w14:paraId="566B0542" w14:textId="77777777" w:rsidR="00146472" w:rsidRPr="00510442" w:rsidRDefault="00146472" w:rsidP="005E4981">
            <w:pPr>
              <w:rPr>
                <w:color w:val="000000"/>
                <w:szCs w:val="22"/>
                <w:lang w:val="hr-HR"/>
              </w:rPr>
            </w:pPr>
          </w:p>
        </w:tc>
      </w:tr>
      <w:tr w:rsidR="00146472" w:rsidRPr="00510442" w14:paraId="2F64EB7B" w14:textId="77777777" w:rsidTr="00DB4410">
        <w:trPr>
          <w:cantSplit/>
        </w:trPr>
        <w:tc>
          <w:tcPr>
            <w:tcW w:w="4650" w:type="dxa"/>
          </w:tcPr>
          <w:p w14:paraId="69F85C50" w14:textId="77777777" w:rsidR="00146472" w:rsidRPr="00510442" w:rsidRDefault="00146472" w:rsidP="005E4981">
            <w:pPr>
              <w:rPr>
                <w:b/>
                <w:color w:val="000000"/>
                <w:szCs w:val="22"/>
                <w:lang w:val="hr-HR"/>
              </w:rPr>
            </w:pPr>
            <w:r w:rsidRPr="00510442">
              <w:rPr>
                <w:b/>
                <w:color w:val="000000"/>
                <w:szCs w:val="22"/>
                <w:lang w:val="hr-HR"/>
              </w:rPr>
              <w:t>Česká republika</w:t>
            </w:r>
          </w:p>
          <w:p w14:paraId="77FA4C44" w14:textId="77777777" w:rsidR="00146472" w:rsidRPr="00510442" w:rsidRDefault="00146472" w:rsidP="005E4981">
            <w:pPr>
              <w:rPr>
                <w:color w:val="000000"/>
                <w:szCs w:val="22"/>
                <w:lang w:val="hr-HR"/>
              </w:rPr>
            </w:pPr>
            <w:r w:rsidRPr="00510442">
              <w:rPr>
                <w:color w:val="000000"/>
                <w:szCs w:val="22"/>
                <w:lang w:val="hr-HR"/>
              </w:rPr>
              <w:t>Novartis s.r.o.</w:t>
            </w:r>
          </w:p>
          <w:p w14:paraId="584CB96C" w14:textId="77777777" w:rsidR="00146472" w:rsidRPr="00510442" w:rsidRDefault="00146472" w:rsidP="005E4981">
            <w:pPr>
              <w:rPr>
                <w:color w:val="000000"/>
                <w:szCs w:val="22"/>
                <w:lang w:val="hr-HR"/>
              </w:rPr>
            </w:pPr>
            <w:r w:rsidRPr="00510442">
              <w:rPr>
                <w:color w:val="000000"/>
                <w:szCs w:val="22"/>
                <w:lang w:val="hr-HR"/>
              </w:rPr>
              <w:t>Tel: +420 225 775 111</w:t>
            </w:r>
          </w:p>
          <w:p w14:paraId="127253A8" w14:textId="77777777" w:rsidR="00146472" w:rsidRPr="00510442" w:rsidRDefault="00146472" w:rsidP="005E4981">
            <w:pPr>
              <w:rPr>
                <w:b/>
                <w:color w:val="000000"/>
                <w:szCs w:val="22"/>
                <w:lang w:val="hr-HR"/>
              </w:rPr>
            </w:pPr>
          </w:p>
        </w:tc>
        <w:tc>
          <w:tcPr>
            <w:tcW w:w="4650" w:type="dxa"/>
          </w:tcPr>
          <w:p w14:paraId="47000B54" w14:textId="77777777" w:rsidR="00146472" w:rsidRPr="00510442" w:rsidRDefault="00146472" w:rsidP="005E4981">
            <w:pPr>
              <w:rPr>
                <w:b/>
                <w:color w:val="000000"/>
                <w:szCs w:val="22"/>
                <w:lang w:val="hr-HR"/>
              </w:rPr>
            </w:pPr>
            <w:r w:rsidRPr="00510442">
              <w:rPr>
                <w:b/>
                <w:color w:val="000000"/>
                <w:szCs w:val="22"/>
                <w:lang w:val="hr-HR"/>
              </w:rPr>
              <w:t>Magyarország</w:t>
            </w:r>
          </w:p>
          <w:p w14:paraId="67BF714D" w14:textId="77777777" w:rsidR="00146472" w:rsidRPr="00510442" w:rsidRDefault="00146472" w:rsidP="005E4981">
            <w:pPr>
              <w:rPr>
                <w:color w:val="000000"/>
                <w:szCs w:val="22"/>
                <w:lang w:val="hr-HR"/>
              </w:rPr>
            </w:pPr>
            <w:r w:rsidRPr="00510442">
              <w:rPr>
                <w:color w:val="000000"/>
                <w:szCs w:val="22"/>
                <w:lang w:val="hr-HR"/>
              </w:rPr>
              <w:t>Novartis Hungária Kft.</w:t>
            </w:r>
          </w:p>
          <w:p w14:paraId="366A845E" w14:textId="77777777" w:rsidR="00146472" w:rsidRPr="00510442" w:rsidRDefault="00146472" w:rsidP="005E4981">
            <w:pPr>
              <w:rPr>
                <w:color w:val="000000"/>
                <w:szCs w:val="22"/>
                <w:lang w:val="hr-HR"/>
              </w:rPr>
            </w:pPr>
            <w:r w:rsidRPr="00510442">
              <w:rPr>
                <w:color w:val="000000"/>
                <w:szCs w:val="22"/>
                <w:lang w:val="hr-HR"/>
              </w:rPr>
              <w:t>Tel.: +36 1 457 65 00</w:t>
            </w:r>
          </w:p>
        </w:tc>
      </w:tr>
      <w:tr w:rsidR="00146472" w:rsidRPr="00510442" w14:paraId="471A6252" w14:textId="77777777" w:rsidTr="00DB4410">
        <w:trPr>
          <w:cantSplit/>
        </w:trPr>
        <w:tc>
          <w:tcPr>
            <w:tcW w:w="4650" w:type="dxa"/>
          </w:tcPr>
          <w:p w14:paraId="4DAAA5A6" w14:textId="77777777" w:rsidR="00146472" w:rsidRPr="00510442" w:rsidRDefault="00146472" w:rsidP="005E4981">
            <w:pPr>
              <w:rPr>
                <w:b/>
                <w:color w:val="000000"/>
                <w:szCs w:val="22"/>
                <w:lang w:val="hr-HR"/>
              </w:rPr>
            </w:pPr>
            <w:r w:rsidRPr="00510442">
              <w:rPr>
                <w:b/>
                <w:color w:val="000000"/>
                <w:szCs w:val="22"/>
                <w:lang w:val="hr-HR"/>
              </w:rPr>
              <w:t>Danmark</w:t>
            </w:r>
          </w:p>
          <w:p w14:paraId="26A1B496" w14:textId="77777777" w:rsidR="00146472" w:rsidRPr="00510442" w:rsidRDefault="00146472" w:rsidP="005E4981">
            <w:pPr>
              <w:rPr>
                <w:color w:val="000000"/>
                <w:szCs w:val="22"/>
                <w:lang w:val="hr-HR"/>
              </w:rPr>
            </w:pPr>
            <w:r w:rsidRPr="00510442">
              <w:rPr>
                <w:color w:val="000000"/>
                <w:szCs w:val="22"/>
                <w:lang w:val="hr-HR"/>
              </w:rPr>
              <w:t>Novartis Healthcare A/S</w:t>
            </w:r>
          </w:p>
          <w:p w14:paraId="2499ABD2" w14:textId="77777777" w:rsidR="00146472" w:rsidRPr="00510442" w:rsidRDefault="00146472" w:rsidP="005E4981">
            <w:pPr>
              <w:rPr>
                <w:color w:val="000000"/>
                <w:szCs w:val="22"/>
                <w:lang w:val="hr-HR"/>
              </w:rPr>
            </w:pPr>
            <w:r w:rsidRPr="00510442">
              <w:rPr>
                <w:color w:val="000000"/>
                <w:szCs w:val="22"/>
                <w:lang w:val="hr-HR"/>
              </w:rPr>
              <w:t>Tlf: +45 39 16 84 00</w:t>
            </w:r>
          </w:p>
          <w:p w14:paraId="36615C26" w14:textId="77777777" w:rsidR="00146472" w:rsidRPr="00510442" w:rsidRDefault="00146472" w:rsidP="005E4981">
            <w:pPr>
              <w:rPr>
                <w:b/>
                <w:color w:val="000000"/>
                <w:szCs w:val="22"/>
                <w:lang w:val="hr-HR"/>
              </w:rPr>
            </w:pPr>
          </w:p>
        </w:tc>
        <w:tc>
          <w:tcPr>
            <w:tcW w:w="4650" w:type="dxa"/>
          </w:tcPr>
          <w:p w14:paraId="5018F4DF" w14:textId="77777777" w:rsidR="00146472" w:rsidRPr="00510442" w:rsidRDefault="00146472" w:rsidP="005E4981">
            <w:pPr>
              <w:rPr>
                <w:b/>
                <w:color w:val="000000"/>
                <w:szCs w:val="22"/>
                <w:lang w:val="hr-HR"/>
              </w:rPr>
            </w:pPr>
            <w:r w:rsidRPr="00510442">
              <w:rPr>
                <w:b/>
                <w:color w:val="000000"/>
                <w:szCs w:val="22"/>
                <w:lang w:val="hr-HR"/>
              </w:rPr>
              <w:t>Malta</w:t>
            </w:r>
          </w:p>
          <w:p w14:paraId="6876EB65" w14:textId="77777777" w:rsidR="00146472" w:rsidRPr="00510442" w:rsidRDefault="00146472" w:rsidP="005E4981">
            <w:pPr>
              <w:rPr>
                <w:color w:val="000000"/>
                <w:szCs w:val="22"/>
                <w:lang w:val="hr-HR"/>
              </w:rPr>
            </w:pPr>
            <w:r w:rsidRPr="00510442">
              <w:rPr>
                <w:color w:val="000000"/>
                <w:szCs w:val="22"/>
                <w:lang w:val="hr-HR"/>
              </w:rPr>
              <w:t>Novartis Pharma Services Inc.</w:t>
            </w:r>
          </w:p>
          <w:p w14:paraId="35318079" w14:textId="77777777" w:rsidR="00146472" w:rsidRPr="00510442" w:rsidRDefault="00146472" w:rsidP="005E4981">
            <w:pPr>
              <w:rPr>
                <w:color w:val="000000"/>
                <w:szCs w:val="22"/>
                <w:lang w:val="hr-HR"/>
              </w:rPr>
            </w:pPr>
            <w:r w:rsidRPr="00510442">
              <w:rPr>
                <w:color w:val="000000"/>
                <w:szCs w:val="22"/>
                <w:lang w:val="hr-HR"/>
              </w:rPr>
              <w:t>Tel: +356 2122 2872</w:t>
            </w:r>
          </w:p>
        </w:tc>
      </w:tr>
      <w:tr w:rsidR="00146472" w:rsidRPr="00510442" w14:paraId="60B46C54" w14:textId="77777777" w:rsidTr="00DB4410">
        <w:trPr>
          <w:cantSplit/>
        </w:trPr>
        <w:tc>
          <w:tcPr>
            <w:tcW w:w="4650" w:type="dxa"/>
          </w:tcPr>
          <w:p w14:paraId="5A3ABEC0" w14:textId="77777777" w:rsidR="00146472" w:rsidRPr="00510442" w:rsidRDefault="00146472" w:rsidP="005E4981">
            <w:pPr>
              <w:rPr>
                <w:b/>
                <w:color w:val="000000"/>
                <w:szCs w:val="22"/>
                <w:lang w:val="hr-HR"/>
              </w:rPr>
            </w:pPr>
            <w:r w:rsidRPr="00510442">
              <w:rPr>
                <w:b/>
                <w:color w:val="000000"/>
                <w:szCs w:val="22"/>
                <w:lang w:val="hr-HR"/>
              </w:rPr>
              <w:lastRenderedPageBreak/>
              <w:t>Deutschland</w:t>
            </w:r>
          </w:p>
          <w:p w14:paraId="1AB4B939" w14:textId="77777777" w:rsidR="00146472" w:rsidRPr="00510442" w:rsidRDefault="00146472" w:rsidP="005E4981">
            <w:pPr>
              <w:rPr>
                <w:color w:val="000000"/>
                <w:szCs w:val="22"/>
                <w:lang w:val="hr-HR"/>
              </w:rPr>
            </w:pPr>
            <w:r w:rsidRPr="00510442">
              <w:rPr>
                <w:color w:val="000000"/>
                <w:szCs w:val="22"/>
                <w:lang w:val="hr-HR"/>
              </w:rPr>
              <w:t>Novartis Pharma GmbH</w:t>
            </w:r>
          </w:p>
          <w:p w14:paraId="223281A5" w14:textId="77777777" w:rsidR="00146472" w:rsidRPr="00510442" w:rsidRDefault="00146472" w:rsidP="005E4981">
            <w:pPr>
              <w:rPr>
                <w:color w:val="000000"/>
                <w:szCs w:val="22"/>
                <w:lang w:val="hr-HR"/>
              </w:rPr>
            </w:pPr>
            <w:r w:rsidRPr="00510442">
              <w:rPr>
                <w:color w:val="000000"/>
                <w:szCs w:val="22"/>
                <w:lang w:val="hr-HR"/>
              </w:rPr>
              <w:t>Tel: +49 911 273 0</w:t>
            </w:r>
          </w:p>
          <w:p w14:paraId="06A46ACA" w14:textId="77777777" w:rsidR="00146472" w:rsidRPr="00510442" w:rsidRDefault="00146472" w:rsidP="005E4981">
            <w:pPr>
              <w:rPr>
                <w:b/>
                <w:color w:val="000000"/>
                <w:szCs w:val="22"/>
                <w:lang w:val="hr-HR"/>
              </w:rPr>
            </w:pPr>
          </w:p>
        </w:tc>
        <w:tc>
          <w:tcPr>
            <w:tcW w:w="4650" w:type="dxa"/>
          </w:tcPr>
          <w:p w14:paraId="6CA184AC" w14:textId="77777777" w:rsidR="00146472" w:rsidRPr="00510442" w:rsidRDefault="00146472" w:rsidP="005E4981">
            <w:pPr>
              <w:rPr>
                <w:b/>
                <w:color w:val="000000"/>
                <w:szCs w:val="22"/>
                <w:lang w:val="hr-HR"/>
              </w:rPr>
            </w:pPr>
            <w:r w:rsidRPr="00510442">
              <w:rPr>
                <w:b/>
                <w:color w:val="000000"/>
                <w:szCs w:val="22"/>
                <w:lang w:val="hr-HR"/>
              </w:rPr>
              <w:t>Nederland</w:t>
            </w:r>
          </w:p>
          <w:p w14:paraId="0B6BAAA8" w14:textId="77777777" w:rsidR="00146472" w:rsidRPr="00510442" w:rsidRDefault="00146472" w:rsidP="005E4981">
            <w:pPr>
              <w:rPr>
                <w:color w:val="000000"/>
                <w:szCs w:val="22"/>
                <w:lang w:val="hr-HR"/>
              </w:rPr>
            </w:pPr>
            <w:r w:rsidRPr="00510442">
              <w:rPr>
                <w:color w:val="000000"/>
                <w:szCs w:val="22"/>
                <w:lang w:val="hr-HR"/>
              </w:rPr>
              <w:t>Novartis Pharma B.V.</w:t>
            </w:r>
          </w:p>
          <w:p w14:paraId="3C7E9F5C" w14:textId="137C1382" w:rsidR="00146472" w:rsidRPr="00510442" w:rsidRDefault="00146472" w:rsidP="00052EB9">
            <w:pPr>
              <w:rPr>
                <w:color w:val="000000"/>
                <w:szCs w:val="22"/>
                <w:lang w:val="hr-HR"/>
              </w:rPr>
            </w:pPr>
            <w:r w:rsidRPr="00510442">
              <w:rPr>
                <w:color w:val="000000"/>
                <w:szCs w:val="22"/>
                <w:lang w:val="hr-HR"/>
              </w:rPr>
              <w:t xml:space="preserve">Tel: +31 </w:t>
            </w:r>
            <w:r w:rsidR="00052EB9" w:rsidRPr="006F623A">
              <w:rPr>
                <w:color w:val="000000"/>
                <w:szCs w:val="22"/>
                <w:lang w:val="de-CH"/>
              </w:rPr>
              <w:t>88 04 52</w:t>
            </w:r>
            <w:r w:rsidRPr="00510442">
              <w:rPr>
                <w:color w:val="000000"/>
                <w:szCs w:val="22"/>
                <w:lang w:val="hr-HR"/>
              </w:rPr>
              <w:t xml:space="preserve"> </w:t>
            </w:r>
            <w:r w:rsidR="009F29A1" w:rsidRPr="00510442">
              <w:rPr>
                <w:color w:val="000000"/>
                <w:szCs w:val="22"/>
                <w:lang w:val="hr-HR"/>
              </w:rPr>
              <w:t>555</w:t>
            </w:r>
          </w:p>
        </w:tc>
      </w:tr>
      <w:tr w:rsidR="00146472" w:rsidRPr="00510442" w14:paraId="5C18298E" w14:textId="77777777" w:rsidTr="00DB4410">
        <w:trPr>
          <w:cantSplit/>
        </w:trPr>
        <w:tc>
          <w:tcPr>
            <w:tcW w:w="4650" w:type="dxa"/>
          </w:tcPr>
          <w:p w14:paraId="04ACBF8A" w14:textId="77777777" w:rsidR="00146472" w:rsidRPr="00510442" w:rsidRDefault="00146472" w:rsidP="005E4981">
            <w:pPr>
              <w:rPr>
                <w:b/>
                <w:color w:val="000000"/>
                <w:szCs w:val="22"/>
                <w:lang w:val="hr-HR"/>
              </w:rPr>
            </w:pPr>
            <w:r w:rsidRPr="00510442">
              <w:rPr>
                <w:b/>
                <w:color w:val="000000"/>
                <w:szCs w:val="22"/>
                <w:lang w:val="hr-HR"/>
              </w:rPr>
              <w:t>Eesti</w:t>
            </w:r>
          </w:p>
          <w:p w14:paraId="723CCF9F" w14:textId="77777777" w:rsidR="00146472" w:rsidRPr="00510442" w:rsidRDefault="0001298A" w:rsidP="005E4981">
            <w:pPr>
              <w:rPr>
                <w:color w:val="000000"/>
                <w:szCs w:val="22"/>
                <w:lang w:val="hr-HR"/>
              </w:rPr>
            </w:pPr>
            <w:r w:rsidRPr="00510442">
              <w:rPr>
                <w:color w:val="000000"/>
                <w:szCs w:val="22"/>
                <w:lang w:val="hr-HR"/>
              </w:rPr>
              <w:t>SIA Novartis Baltics Eesti filiaal</w:t>
            </w:r>
          </w:p>
          <w:p w14:paraId="21F5F356" w14:textId="77777777" w:rsidR="00146472" w:rsidRPr="00510442" w:rsidRDefault="00146472" w:rsidP="005E4981">
            <w:pPr>
              <w:rPr>
                <w:color w:val="000000"/>
                <w:szCs w:val="22"/>
                <w:lang w:val="hr-HR"/>
              </w:rPr>
            </w:pPr>
            <w:r w:rsidRPr="00510442">
              <w:rPr>
                <w:color w:val="000000"/>
                <w:szCs w:val="22"/>
                <w:lang w:val="hr-HR"/>
              </w:rPr>
              <w:t>Tel: +372 66 30 810</w:t>
            </w:r>
          </w:p>
          <w:p w14:paraId="7384E55C" w14:textId="77777777" w:rsidR="00146472" w:rsidRPr="00510442" w:rsidRDefault="00146472" w:rsidP="005E4981">
            <w:pPr>
              <w:rPr>
                <w:b/>
                <w:color w:val="000000"/>
                <w:szCs w:val="22"/>
                <w:lang w:val="hr-HR"/>
              </w:rPr>
            </w:pPr>
          </w:p>
        </w:tc>
        <w:tc>
          <w:tcPr>
            <w:tcW w:w="4650" w:type="dxa"/>
          </w:tcPr>
          <w:p w14:paraId="4C5FE053" w14:textId="77777777" w:rsidR="00146472" w:rsidRPr="00510442" w:rsidRDefault="00146472" w:rsidP="005E4981">
            <w:pPr>
              <w:rPr>
                <w:b/>
                <w:color w:val="000000"/>
                <w:szCs w:val="22"/>
                <w:lang w:val="hr-HR"/>
              </w:rPr>
            </w:pPr>
            <w:r w:rsidRPr="00510442">
              <w:rPr>
                <w:b/>
                <w:color w:val="000000"/>
                <w:szCs w:val="22"/>
                <w:lang w:val="hr-HR"/>
              </w:rPr>
              <w:t>Norge</w:t>
            </w:r>
          </w:p>
          <w:p w14:paraId="152DAB31" w14:textId="77777777" w:rsidR="00146472" w:rsidRPr="00510442" w:rsidRDefault="00146472" w:rsidP="005E4981">
            <w:pPr>
              <w:rPr>
                <w:color w:val="000000"/>
                <w:szCs w:val="22"/>
                <w:lang w:val="hr-HR"/>
              </w:rPr>
            </w:pPr>
            <w:r w:rsidRPr="00510442">
              <w:rPr>
                <w:color w:val="000000"/>
                <w:szCs w:val="22"/>
                <w:lang w:val="hr-HR"/>
              </w:rPr>
              <w:t>Novartis Norge AS</w:t>
            </w:r>
          </w:p>
          <w:p w14:paraId="140D44E1" w14:textId="77777777" w:rsidR="00146472" w:rsidRPr="00510442" w:rsidRDefault="00146472" w:rsidP="005E4981">
            <w:pPr>
              <w:rPr>
                <w:color w:val="000000"/>
                <w:szCs w:val="22"/>
                <w:lang w:val="hr-HR"/>
              </w:rPr>
            </w:pPr>
            <w:r w:rsidRPr="00510442">
              <w:rPr>
                <w:color w:val="000000"/>
                <w:szCs w:val="22"/>
                <w:lang w:val="hr-HR"/>
              </w:rPr>
              <w:t>Tlf: +47 23 05 20 00</w:t>
            </w:r>
          </w:p>
        </w:tc>
      </w:tr>
      <w:tr w:rsidR="00146472" w:rsidRPr="00F410C8" w14:paraId="58BFAE1D" w14:textId="77777777" w:rsidTr="00DB4410">
        <w:trPr>
          <w:cantSplit/>
        </w:trPr>
        <w:tc>
          <w:tcPr>
            <w:tcW w:w="4650" w:type="dxa"/>
          </w:tcPr>
          <w:p w14:paraId="25FF00CF" w14:textId="77777777" w:rsidR="00146472" w:rsidRPr="00510442" w:rsidRDefault="00146472" w:rsidP="005E4981">
            <w:pPr>
              <w:rPr>
                <w:b/>
                <w:color w:val="000000"/>
                <w:szCs w:val="22"/>
                <w:lang w:val="hr-HR"/>
              </w:rPr>
            </w:pPr>
            <w:r w:rsidRPr="00510442">
              <w:rPr>
                <w:b/>
                <w:color w:val="000000"/>
                <w:szCs w:val="22"/>
                <w:lang w:val="hr-HR"/>
              </w:rPr>
              <w:t>Ελλάδα</w:t>
            </w:r>
          </w:p>
          <w:p w14:paraId="42CEBEF8" w14:textId="77777777" w:rsidR="00146472" w:rsidRPr="00510442" w:rsidRDefault="00146472" w:rsidP="005E4981">
            <w:pPr>
              <w:rPr>
                <w:color w:val="000000"/>
                <w:szCs w:val="22"/>
                <w:lang w:val="hr-HR"/>
              </w:rPr>
            </w:pPr>
            <w:r w:rsidRPr="00510442">
              <w:rPr>
                <w:color w:val="000000"/>
                <w:szCs w:val="22"/>
                <w:lang w:val="hr-HR"/>
              </w:rPr>
              <w:t>Novartis (Hellas) A.E.B.E.</w:t>
            </w:r>
          </w:p>
          <w:p w14:paraId="10810BA9" w14:textId="77777777" w:rsidR="00146472" w:rsidRPr="00510442" w:rsidRDefault="00146472" w:rsidP="005E4981">
            <w:pPr>
              <w:rPr>
                <w:color w:val="000000"/>
                <w:szCs w:val="22"/>
                <w:lang w:val="hr-HR"/>
              </w:rPr>
            </w:pPr>
            <w:r w:rsidRPr="00510442">
              <w:rPr>
                <w:color w:val="000000"/>
                <w:szCs w:val="22"/>
                <w:lang w:val="hr-HR"/>
              </w:rPr>
              <w:t>Τηλ: +30 210 281 17 12</w:t>
            </w:r>
          </w:p>
          <w:p w14:paraId="41A90486" w14:textId="77777777" w:rsidR="00146472" w:rsidRPr="00510442" w:rsidRDefault="00146472" w:rsidP="005E4981">
            <w:pPr>
              <w:rPr>
                <w:b/>
                <w:color w:val="000000"/>
                <w:szCs w:val="22"/>
                <w:lang w:val="hr-HR"/>
              </w:rPr>
            </w:pPr>
          </w:p>
        </w:tc>
        <w:tc>
          <w:tcPr>
            <w:tcW w:w="4650" w:type="dxa"/>
          </w:tcPr>
          <w:p w14:paraId="0C1F5004" w14:textId="77777777" w:rsidR="00146472" w:rsidRPr="00510442" w:rsidRDefault="00146472" w:rsidP="005E4981">
            <w:pPr>
              <w:rPr>
                <w:b/>
                <w:color w:val="000000"/>
                <w:szCs w:val="22"/>
                <w:lang w:val="hr-HR"/>
              </w:rPr>
            </w:pPr>
            <w:r w:rsidRPr="00510442">
              <w:rPr>
                <w:b/>
                <w:color w:val="000000"/>
                <w:szCs w:val="22"/>
                <w:lang w:val="hr-HR"/>
              </w:rPr>
              <w:t>Österreich</w:t>
            </w:r>
          </w:p>
          <w:p w14:paraId="284D59EF" w14:textId="77777777" w:rsidR="00146472" w:rsidRPr="00510442" w:rsidRDefault="00146472" w:rsidP="005E4981">
            <w:pPr>
              <w:rPr>
                <w:color w:val="000000"/>
                <w:szCs w:val="22"/>
                <w:lang w:val="hr-HR"/>
              </w:rPr>
            </w:pPr>
            <w:r w:rsidRPr="00510442">
              <w:rPr>
                <w:color w:val="000000"/>
                <w:szCs w:val="22"/>
                <w:lang w:val="hr-HR"/>
              </w:rPr>
              <w:t>Novartis Pharma GmbH</w:t>
            </w:r>
          </w:p>
          <w:p w14:paraId="3A7FED4E" w14:textId="77777777" w:rsidR="00146472" w:rsidRPr="00510442" w:rsidRDefault="00146472" w:rsidP="005E4981">
            <w:pPr>
              <w:rPr>
                <w:color w:val="000000"/>
                <w:szCs w:val="22"/>
                <w:lang w:val="hr-HR"/>
              </w:rPr>
            </w:pPr>
            <w:r w:rsidRPr="00510442">
              <w:rPr>
                <w:color w:val="000000"/>
                <w:szCs w:val="22"/>
                <w:lang w:val="hr-HR"/>
              </w:rPr>
              <w:t>Tel: +43 1 86 6570</w:t>
            </w:r>
          </w:p>
        </w:tc>
      </w:tr>
      <w:tr w:rsidR="00146472" w:rsidRPr="00F410C8" w14:paraId="02DE6A36" w14:textId="77777777" w:rsidTr="00DB4410">
        <w:trPr>
          <w:cantSplit/>
        </w:trPr>
        <w:tc>
          <w:tcPr>
            <w:tcW w:w="4650" w:type="dxa"/>
          </w:tcPr>
          <w:p w14:paraId="4C877423" w14:textId="77777777" w:rsidR="00146472" w:rsidRPr="00510442" w:rsidRDefault="00146472" w:rsidP="005E4981">
            <w:pPr>
              <w:rPr>
                <w:b/>
                <w:color w:val="000000"/>
                <w:szCs w:val="22"/>
                <w:lang w:val="hr-HR"/>
              </w:rPr>
            </w:pPr>
            <w:r w:rsidRPr="00510442">
              <w:rPr>
                <w:b/>
                <w:color w:val="000000"/>
                <w:szCs w:val="22"/>
                <w:lang w:val="hr-HR"/>
              </w:rPr>
              <w:t>España</w:t>
            </w:r>
          </w:p>
          <w:p w14:paraId="037F483F" w14:textId="77777777" w:rsidR="00146472" w:rsidRPr="00510442" w:rsidRDefault="00146472" w:rsidP="005E4981">
            <w:pPr>
              <w:rPr>
                <w:color w:val="000000"/>
                <w:szCs w:val="22"/>
                <w:lang w:val="hr-HR"/>
              </w:rPr>
            </w:pPr>
            <w:r w:rsidRPr="00510442">
              <w:rPr>
                <w:color w:val="000000"/>
                <w:szCs w:val="22"/>
                <w:lang w:val="hr-HR"/>
              </w:rPr>
              <w:t>Novartis Farmacéutica, S.A.</w:t>
            </w:r>
          </w:p>
          <w:p w14:paraId="45035115" w14:textId="77777777" w:rsidR="00146472" w:rsidRPr="00510442" w:rsidRDefault="00146472" w:rsidP="005E4981">
            <w:pPr>
              <w:rPr>
                <w:color w:val="000000"/>
                <w:szCs w:val="22"/>
                <w:lang w:val="hr-HR"/>
              </w:rPr>
            </w:pPr>
            <w:r w:rsidRPr="00510442">
              <w:rPr>
                <w:color w:val="000000"/>
                <w:szCs w:val="22"/>
                <w:lang w:val="hr-HR"/>
              </w:rPr>
              <w:t>Tel: +34 93 306 42 00</w:t>
            </w:r>
          </w:p>
          <w:p w14:paraId="2B4A7550" w14:textId="77777777" w:rsidR="00146472" w:rsidRPr="00510442" w:rsidRDefault="00146472" w:rsidP="005E4981">
            <w:pPr>
              <w:rPr>
                <w:b/>
                <w:color w:val="000000"/>
                <w:szCs w:val="22"/>
                <w:lang w:val="hr-HR"/>
              </w:rPr>
            </w:pPr>
          </w:p>
        </w:tc>
        <w:tc>
          <w:tcPr>
            <w:tcW w:w="4650" w:type="dxa"/>
          </w:tcPr>
          <w:p w14:paraId="62833A01" w14:textId="77777777" w:rsidR="00146472" w:rsidRPr="00510442" w:rsidRDefault="00146472" w:rsidP="005E4981">
            <w:pPr>
              <w:rPr>
                <w:b/>
                <w:color w:val="000000"/>
                <w:szCs w:val="22"/>
                <w:lang w:val="hr-HR"/>
              </w:rPr>
            </w:pPr>
            <w:r w:rsidRPr="00510442">
              <w:rPr>
                <w:b/>
                <w:color w:val="000000"/>
                <w:szCs w:val="22"/>
                <w:lang w:val="hr-HR"/>
              </w:rPr>
              <w:t>Polska</w:t>
            </w:r>
          </w:p>
          <w:p w14:paraId="5F551E30" w14:textId="77777777" w:rsidR="00146472" w:rsidRPr="00510442" w:rsidRDefault="00146472" w:rsidP="005E4981">
            <w:pPr>
              <w:rPr>
                <w:color w:val="000000"/>
                <w:szCs w:val="22"/>
                <w:lang w:val="hr-HR"/>
              </w:rPr>
            </w:pPr>
            <w:r w:rsidRPr="00510442">
              <w:rPr>
                <w:color w:val="000000"/>
                <w:szCs w:val="22"/>
                <w:lang w:val="hr-HR"/>
              </w:rPr>
              <w:t>Novartis Poland Sp. z o.o.</w:t>
            </w:r>
          </w:p>
          <w:p w14:paraId="5F7411DE" w14:textId="77777777" w:rsidR="00146472" w:rsidRPr="00510442" w:rsidRDefault="00146472" w:rsidP="005E4981">
            <w:pPr>
              <w:rPr>
                <w:color w:val="000000"/>
                <w:szCs w:val="22"/>
                <w:lang w:val="hr-HR"/>
              </w:rPr>
            </w:pPr>
            <w:r w:rsidRPr="00510442">
              <w:rPr>
                <w:color w:val="000000"/>
                <w:szCs w:val="22"/>
                <w:lang w:val="hr-HR"/>
              </w:rPr>
              <w:t xml:space="preserve">Tel.: +48 22 </w:t>
            </w:r>
            <w:r w:rsidRPr="00510442">
              <w:rPr>
                <w:szCs w:val="22"/>
                <w:lang w:val="hr-HR"/>
              </w:rPr>
              <w:t>375 4888</w:t>
            </w:r>
          </w:p>
        </w:tc>
      </w:tr>
      <w:tr w:rsidR="00146472" w:rsidRPr="00510442" w14:paraId="72AF7C64" w14:textId="77777777" w:rsidTr="00DB4410">
        <w:trPr>
          <w:cantSplit/>
        </w:trPr>
        <w:tc>
          <w:tcPr>
            <w:tcW w:w="4650" w:type="dxa"/>
          </w:tcPr>
          <w:p w14:paraId="299D570F" w14:textId="77777777" w:rsidR="00146472" w:rsidRPr="00510442" w:rsidRDefault="00146472" w:rsidP="005E4981">
            <w:pPr>
              <w:rPr>
                <w:b/>
                <w:color w:val="000000"/>
                <w:szCs w:val="22"/>
                <w:lang w:val="hr-HR"/>
              </w:rPr>
            </w:pPr>
            <w:r w:rsidRPr="00510442">
              <w:rPr>
                <w:b/>
                <w:color w:val="000000"/>
                <w:szCs w:val="22"/>
                <w:lang w:val="hr-HR"/>
              </w:rPr>
              <w:t>France</w:t>
            </w:r>
          </w:p>
          <w:p w14:paraId="1421B232" w14:textId="77777777" w:rsidR="00146472" w:rsidRPr="00510442" w:rsidRDefault="00146472" w:rsidP="005E4981">
            <w:pPr>
              <w:rPr>
                <w:color w:val="000000"/>
                <w:szCs w:val="22"/>
                <w:lang w:val="hr-HR"/>
              </w:rPr>
            </w:pPr>
            <w:r w:rsidRPr="00510442">
              <w:rPr>
                <w:color w:val="000000"/>
                <w:szCs w:val="22"/>
                <w:lang w:val="hr-HR"/>
              </w:rPr>
              <w:t>Novartis Pharma S.A.S.</w:t>
            </w:r>
          </w:p>
          <w:p w14:paraId="6BBDE72D" w14:textId="77777777" w:rsidR="00146472" w:rsidRPr="00510442" w:rsidRDefault="00146472" w:rsidP="005E4981">
            <w:pPr>
              <w:rPr>
                <w:color w:val="000000"/>
                <w:szCs w:val="22"/>
                <w:lang w:val="hr-HR"/>
              </w:rPr>
            </w:pPr>
            <w:r w:rsidRPr="00510442">
              <w:rPr>
                <w:color w:val="000000"/>
                <w:szCs w:val="22"/>
                <w:lang w:val="hr-HR"/>
              </w:rPr>
              <w:t>Tél: +33 1 55 47 66 00</w:t>
            </w:r>
          </w:p>
          <w:p w14:paraId="6F5AA055" w14:textId="77777777" w:rsidR="00146472" w:rsidRPr="00510442" w:rsidRDefault="00146472" w:rsidP="005E4981">
            <w:pPr>
              <w:rPr>
                <w:b/>
                <w:color w:val="000000"/>
                <w:szCs w:val="22"/>
                <w:lang w:val="hr-HR"/>
              </w:rPr>
            </w:pPr>
          </w:p>
        </w:tc>
        <w:tc>
          <w:tcPr>
            <w:tcW w:w="4650" w:type="dxa"/>
          </w:tcPr>
          <w:p w14:paraId="02C5C7CE" w14:textId="77777777" w:rsidR="00146472" w:rsidRPr="00510442" w:rsidRDefault="00146472" w:rsidP="005E4981">
            <w:pPr>
              <w:rPr>
                <w:b/>
                <w:color w:val="000000"/>
                <w:szCs w:val="22"/>
                <w:lang w:val="hr-HR"/>
              </w:rPr>
            </w:pPr>
            <w:r w:rsidRPr="00510442">
              <w:rPr>
                <w:b/>
                <w:color w:val="000000"/>
                <w:szCs w:val="22"/>
                <w:lang w:val="hr-HR"/>
              </w:rPr>
              <w:t>Portugal</w:t>
            </w:r>
          </w:p>
          <w:p w14:paraId="788EE51A" w14:textId="77777777" w:rsidR="00146472" w:rsidRPr="00510442" w:rsidRDefault="00146472" w:rsidP="005E4981">
            <w:pPr>
              <w:rPr>
                <w:color w:val="000000"/>
                <w:szCs w:val="22"/>
                <w:lang w:val="hr-HR"/>
              </w:rPr>
            </w:pPr>
            <w:r w:rsidRPr="00510442">
              <w:rPr>
                <w:color w:val="000000"/>
                <w:szCs w:val="22"/>
                <w:lang w:val="hr-HR"/>
              </w:rPr>
              <w:t>Novartis Farma - Produtos Farmacêuticos, S.A.</w:t>
            </w:r>
          </w:p>
          <w:p w14:paraId="1CF80A4A" w14:textId="77777777" w:rsidR="00146472" w:rsidRPr="00510442" w:rsidRDefault="00146472" w:rsidP="005E4981">
            <w:pPr>
              <w:rPr>
                <w:color w:val="000000"/>
                <w:szCs w:val="22"/>
                <w:lang w:val="hr-HR"/>
              </w:rPr>
            </w:pPr>
            <w:r w:rsidRPr="00510442">
              <w:rPr>
                <w:color w:val="000000"/>
                <w:szCs w:val="22"/>
                <w:lang w:val="hr-HR"/>
              </w:rPr>
              <w:t>Tel: +351 21 000 8600</w:t>
            </w:r>
          </w:p>
        </w:tc>
      </w:tr>
      <w:tr w:rsidR="00146472" w:rsidRPr="00510442" w14:paraId="7DE09F73" w14:textId="77777777" w:rsidTr="00DB4410">
        <w:trPr>
          <w:cantSplit/>
        </w:trPr>
        <w:tc>
          <w:tcPr>
            <w:tcW w:w="4650" w:type="dxa"/>
          </w:tcPr>
          <w:p w14:paraId="5143FB6B" w14:textId="77777777" w:rsidR="00146472" w:rsidRPr="00510442" w:rsidRDefault="00146472" w:rsidP="005E4981">
            <w:pPr>
              <w:rPr>
                <w:rFonts w:eastAsia="PMingLiU"/>
                <w:b/>
                <w:szCs w:val="22"/>
                <w:lang w:val="hr-HR"/>
              </w:rPr>
            </w:pPr>
            <w:r w:rsidRPr="00510442">
              <w:rPr>
                <w:rFonts w:eastAsia="PMingLiU"/>
                <w:b/>
                <w:szCs w:val="22"/>
                <w:lang w:val="hr-HR"/>
              </w:rPr>
              <w:t>Hrvatska</w:t>
            </w:r>
          </w:p>
          <w:p w14:paraId="381111B6" w14:textId="77777777" w:rsidR="00146472" w:rsidRPr="00510442" w:rsidRDefault="00146472" w:rsidP="005E4981">
            <w:pPr>
              <w:rPr>
                <w:szCs w:val="22"/>
                <w:lang w:val="hr-HR"/>
              </w:rPr>
            </w:pPr>
            <w:r w:rsidRPr="00510442">
              <w:rPr>
                <w:szCs w:val="22"/>
                <w:lang w:val="hr-HR"/>
              </w:rPr>
              <w:t>Novartis Hrvatska d.o.o.</w:t>
            </w:r>
          </w:p>
          <w:p w14:paraId="01E144CB" w14:textId="77777777" w:rsidR="00146472" w:rsidRPr="00510442" w:rsidRDefault="00146472" w:rsidP="005E4981">
            <w:pPr>
              <w:rPr>
                <w:szCs w:val="22"/>
                <w:lang w:val="hr-HR"/>
              </w:rPr>
            </w:pPr>
            <w:r w:rsidRPr="00510442">
              <w:rPr>
                <w:szCs w:val="22"/>
                <w:lang w:val="hr-HR"/>
              </w:rPr>
              <w:t>Tel. +385 1 6274 220</w:t>
            </w:r>
          </w:p>
          <w:p w14:paraId="3A18D2C6" w14:textId="77777777" w:rsidR="00146472" w:rsidRPr="00510442" w:rsidRDefault="00146472" w:rsidP="005E4981">
            <w:pPr>
              <w:rPr>
                <w:b/>
                <w:color w:val="000000"/>
                <w:szCs w:val="22"/>
                <w:lang w:val="hr-HR"/>
              </w:rPr>
            </w:pPr>
          </w:p>
        </w:tc>
        <w:tc>
          <w:tcPr>
            <w:tcW w:w="4650" w:type="dxa"/>
          </w:tcPr>
          <w:p w14:paraId="655AC428" w14:textId="77777777" w:rsidR="00146472" w:rsidRPr="00510442" w:rsidRDefault="00146472" w:rsidP="005E4981">
            <w:pPr>
              <w:rPr>
                <w:b/>
                <w:color w:val="000000"/>
                <w:szCs w:val="22"/>
                <w:lang w:val="hr-HR"/>
              </w:rPr>
            </w:pPr>
            <w:r w:rsidRPr="00510442">
              <w:rPr>
                <w:b/>
                <w:color w:val="000000"/>
                <w:szCs w:val="22"/>
                <w:lang w:val="hr-HR"/>
              </w:rPr>
              <w:t>România</w:t>
            </w:r>
          </w:p>
          <w:p w14:paraId="66241549" w14:textId="77777777" w:rsidR="00146472" w:rsidRPr="00510442" w:rsidRDefault="00146472" w:rsidP="005E4981">
            <w:pPr>
              <w:rPr>
                <w:color w:val="000000"/>
                <w:szCs w:val="22"/>
                <w:lang w:val="hr-HR"/>
              </w:rPr>
            </w:pPr>
            <w:r w:rsidRPr="00510442">
              <w:rPr>
                <w:color w:val="000000"/>
                <w:szCs w:val="22"/>
                <w:lang w:val="hr-HR"/>
              </w:rPr>
              <w:t xml:space="preserve">Novartis Pharma Services </w:t>
            </w:r>
            <w:r w:rsidRPr="00510442">
              <w:rPr>
                <w:color w:val="2F2F2F"/>
                <w:szCs w:val="22"/>
                <w:lang w:val="hr-HR"/>
              </w:rPr>
              <w:t>Romania SRL</w:t>
            </w:r>
          </w:p>
          <w:p w14:paraId="11517ACC" w14:textId="77777777" w:rsidR="00146472" w:rsidRPr="00510442" w:rsidRDefault="00146472" w:rsidP="005E4981">
            <w:pPr>
              <w:rPr>
                <w:color w:val="000000"/>
                <w:szCs w:val="22"/>
                <w:lang w:val="hr-HR"/>
              </w:rPr>
            </w:pPr>
            <w:r w:rsidRPr="00510442">
              <w:rPr>
                <w:color w:val="000000"/>
                <w:szCs w:val="22"/>
                <w:lang w:val="hr-HR"/>
              </w:rPr>
              <w:t>Tel: +40 21 31299 01</w:t>
            </w:r>
          </w:p>
        </w:tc>
      </w:tr>
      <w:tr w:rsidR="00146472" w:rsidRPr="00510442" w14:paraId="6E85AAAF" w14:textId="77777777" w:rsidTr="00DB4410">
        <w:trPr>
          <w:cantSplit/>
        </w:trPr>
        <w:tc>
          <w:tcPr>
            <w:tcW w:w="4650" w:type="dxa"/>
          </w:tcPr>
          <w:p w14:paraId="2D51F996" w14:textId="77777777" w:rsidR="00146472" w:rsidRPr="00510442" w:rsidRDefault="00146472" w:rsidP="005E4981">
            <w:pPr>
              <w:rPr>
                <w:b/>
                <w:color w:val="000000"/>
                <w:szCs w:val="22"/>
                <w:lang w:val="hr-HR"/>
              </w:rPr>
            </w:pPr>
            <w:r w:rsidRPr="00510442">
              <w:rPr>
                <w:b/>
                <w:color w:val="000000"/>
                <w:szCs w:val="22"/>
                <w:lang w:val="hr-HR"/>
              </w:rPr>
              <w:t>Ireland</w:t>
            </w:r>
          </w:p>
          <w:p w14:paraId="3CE0BE3E" w14:textId="77777777" w:rsidR="00146472" w:rsidRPr="00510442" w:rsidRDefault="00146472" w:rsidP="005E4981">
            <w:pPr>
              <w:rPr>
                <w:color w:val="000000"/>
                <w:szCs w:val="22"/>
                <w:lang w:val="hr-HR"/>
              </w:rPr>
            </w:pPr>
            <w:r w:rsidRPr="00510442">
              <w:rPr>
                <w:color w:val="000000"/>
                <w:szCs w:val="22"/>
                <w:lang w:val="hr-HR"/>
              </w:rPr>
              <w:t>Novartis Ireland Limited</w:t>
            </w:r>
          </w:p>
          <w:p w14:paraId="14EF26B2" w14:textId="77777777" w:rsidR="00146472" w:rsidRPr="00510442" w:rsidRDefault="00146472" w:rsidP="005E4981">
            <w:pPr>
              <w:rPr>
                <w:color w:val="000000"/>
                <w:szCs w:val="22"/>
                <w:lang w:val="hr-HR"/>
              </w:rPr>
            </w:pPr>
            <w:r w:rsidRPr="00510442">
              <w:rPr>
                <w:color w:val="000000"/>
                <w:szCs w:val="22"/>
                <w:lang w:val="hr-HR"/>
              </w:rPr>
              <w:t>Tel: +353 1 260 12 55</w:t>
            </w:r>
          </w:p>
          <w:p w14:paraId="35AC29CB" w14:textId="77777777" w:rsidR="00146472" w:rsidRPr="00510442" w:rsidRDefault="00146472" w:rsidP="005E4981">
            <w:pPr>
              <w:rPr>
                <w:b/>
                <w:color w:val="000000"/>
                <w:szCs w:val="22"/>
                <w:lang w:val="hr-HR"/>
              </w:rPr>
            </w:pPr>
          </w:p>
        </w:tc>
        <w:tc>
          <w:tcPr>
            <w:tcW w:w="4650" w:type="dxa"/>
          </w:tcPr>
          <w:p w14:paraId="28CC3441" w14:textId="77777777" w:rsidR="00146472" w:rsidRPr="00510442" w:rsidRDefault="00146472" w:rsidP="005E4981">
            <w:pPr>
              <w:rPr>
                <w:b/>
                <w:color w:val="000000"/>
                <w:szCs w:val="22"/>
                <w:lang w:val="hr-HR"/>
              </w:rPr>
            </w:pPr>
            <w:r w:rsidRPr="00510442">
              <w:rPr>
                <w:b/>
                <w:color w:val="000000"/>
                <w:szCs w:val="22"/>
                <w:lang w:val="hr-HR"/>
              </w:rPr>
              <w:t>Slovenija</w:t>
            </w:r>
          </w:p>
          <w:p w14:paraId="3CFD5D7B" w14:textId="77777777" w:rsidR="00146472" w:rsidRPr="00510442" w:rsidRDefault="00146472" w:rsidP="005E4981">
            <w:pPr>
              <w:rPr>
                <w:color w:val="000000"/>
                <w:szCs w:val="22"/>
                <w:lang w:val="hr-HR"/>
              </w:rPr>
            </w:pPr>
            <w:r w:rsidRPr="00510442">
              <w:rPr>
                <w:color w:val="000000"/>
                <w:szCs w:val="22"/>
                <w:lang w:val="hr-HR"/>
              </w:rPr>
              <w:t>Novartis Pharma Services Inc.</w:t>
            </w:r>
          </w:p>
          <w:p w14:paraId="5EF8168B" w14:textId="77777777" w:rsidR="00146472" w:rsidRPr="00510442" w:rsidRDefault="00146472" w:rsidP="005E4981">
            <w:pPr>
              <w:rPr>
                <w:color w:val="000000"/>
                <w:szCs w:val="22"/>
                <w:lang w:val="hr-HR"/>
              </w:rPr>
            </w:pPr>
            <w:r w:rsidRPr="00510442">
              <w:rPr>
                <w:color w:val="000000"/>
                <w:szCs w:val="22"/>
                <w:lang w:val="hr-HR"/>
              </w:rPr>
              <w:t>Tel: +386 1 300 75 50</w:t>
            </w:r>
          </w:p>
        </w:tc>
      </w:tr>
      <w:tr w:rsidR="00146472" w:rsidRPr="00510442" w14:paraId="3D04F836" w14:textId="77777777" w:rsidTr="00DB4410">
        <w:trPr>
          <w:cantSplit/>
        </w:trPr>
        <w:tc>
          <w:tcPr>
            <w:tcW w:w="4650" w:type="dxa"/>
          </w:tcPr>
          <w:p w14:paraId="18F1F3C3" w14:textId="77777777" w:rsidR="00146472" w:rsidRPr="00510442" w:rsidRDefault="00146472" w:rsidP="005E4981">
            <w:pPr>
              <w:rPr>
                <w:b/>
                <w:color w:val="000000"/>
                <w:szCs w:val="22"/>
                <w:lang w:val="hr-HR"/>
              </w:rPr>
            </w:pPr>
            <w:r w:rsidRPr="00510442">
              <w:rPr>
                <w:b/>
                <w:color w:val="000000"/>
                <w:szCs w:val="22"/>
                <w:lang w:val="hr-HR"/>
              </w:rPr>
              <w:t>Ísland</w:t>
            </w:r>
          </w:p>
          <w:p w14:paraId="152140CE" w14:textId="77777777" w:rsidR="00146472" w:rsidRPr="00510442" w:rsidRDefault="00146472" w:rsidP="005E4981">
            <w:pPr>
              <w:rPr>
                <w:color w:val="000000"/>
                <w:szCs w:val="22"/>
                <w:lang w:val="hr-HR"/>
              </w:rPr>
            </w:pPr>
            <w:r w:rsidRPr="00510442">
              <w:rPr>
                <w:color w:val="000000"/>
                <w:szCs w:val="22"/>
                <w:lang w:val="hr-HR"/>
              </w:rPr>
              <w:t>Vistor hf.</w:t>
            </w:r>
          </w:p>
          <w:p w14:paraId="37BFE4D2" w14:textId="77777777" w:rsidR="00146472" w:rsidRPr="00510442" w:rsidRDefault="00146472" w:rsidP="005E4981">
            <w:pPr>
              <w:rPr>
                <w:color w:val="000000"/>
                <w:szCs w:val="22"/>
                <w:lang w:val="hr-HR"/>
              </w:rPr>
            </w:pPr>
            <w:r w:rsidRPr="00510442">
              <w:rPr>
                <w:color w:val="000000"/>
                <w:szCs w:val="22"/>
                <w:lang w:val="hr-HR"/>
              </w:rPr>
              <w:t>Sími: +354 535 7000</w:t>
            </w:r>
          </w:p>
          <w:p w14:paraId="57BA18CA" w14:textId="77777777" w:rsidR="00146472" w:rsidRPr="00510442" w:rsidRDefault="00146472" w:rsidP="005E4981">
            <w:pPr>
              <w:rPr>
                <w:b/>
                <w:color w:val="000000"/>
                <w:szCs w:val="22"/>
                <w:lang w:val="hr-HR"/>
              </w:rPr>
            </w:pPr>
          </w:p>
        </w:tc>
        <w:tc>
          <w:tcPr>
            <w:tcW w:w="4650" w:type="dxa"/>
          </w:tcPr>
          <w:p w14:paraId="1955E8AF" w14:textId="77777777" w:rsidR="00146472" w:rsidRPr="00510442" w:rsidRDefault="00146472" w:rsidP="005E4981">
            <w:pPr>
              <w:rPr>
                <w:b/>
                <w:color w:val="000000"/>
                <w:szCs w:val="22"/>
                <w:lang w:val="hr-HR"/>
              </w:rPr>
            </w:pPr>
            <w:r w:rsidRPr="00510442">
              <w:rPr>
                <w:b/>
                <w:color w:val="000000"/>
                <w:szCs w:val="22"/>
                <w:lang w:val="hr-HR"/>
              </w:rPr>
              <w:t>Slovenská republika</w:t>
            </w:r>
          </w:p>
          <w:p w14:paraId="0FCC3940" w14:textId="77777777" w:rsidR="00146472" w:rsidRPr="00510442" w:rsidRDefault="00146472" w:rsidP="005E4981">
            <w:pPr>
              <w:rPr>
                <w:color w:val="000000"/>
                <w:szCs w:val="22"/>
                <w:lang w:val="hr-HR"/>
              </w:rPr>
            </w:pPr>
            <w:r w:rsidRPr="00510442">
              <w:rPr>
                <w:color w:val="000000"/>
                <w:szCs w:val="22"/>
                <w:lang w:val="hr-HR"/>
              </w:rPr>
              <w:t>Novartis Slovakia s.r.o.</w:t>
            </w:r>
          </w:p>
          <w:p w14:paraId="28BCFE27" w14:textId="77777777" w:rsidR="00146472" w:rsidRPr="00510442" w:rsidRDefault="00146472" w:rsidP="005E4981">
            <w:pPr>
              <w:rPr>
                <w:color w:val="000000"/>
                <w:szCs w:val="22"/>
                <w:lang w:val="hr-HR"/>
              </w:rPr>
            </w:pPr>
            <w:r w:rsidRPr="00510442">
              <w:rPr>
                <w:color w:val="000000"/>
                <w:szCs w:val="22"/>
                <w:lang w:val="hr-HR"/>
              </w:rPr>
              <w:t>Tel: +421 2 5542 5439</w:t>
            </w:r>
          </w:p>
          <w:p w14:paraId="756EF6F4" w14:textId="77777777" w:rsidR="00146472" w:rsidRPr="00510442" w:rsidRDefault="00146472" w:rsidP="005E4981">
            <w:pPr>
              <w:rPr>
                <w:color w:val="000000"/>
                <w:szCs w:val="22"/>
                <w:lang w:val="hr-HR"/>
              </w:rPr>
            </w:pPr>
          </w:p>
        </w:tc>
      </w:tr>
      <w:tr w:rsidR="00146472" w:rsidRPr="00510442" w14:paraId="044E057C" w14:textId="77777777" w:rsidTr="00DB4410">
        <w:trPr>
          <w:cantSplit/>
        </w:trPr>
        <w:tc>
          <w:tcPr>
            <w:tcW w:w="4650" w:type="dxa"/>
          </w:tcPr>
          <w:p w14:paraId="02B2F5FB" w14:textId="77777777" w:rsidR="00146472" w:rsidRPr="00510442" w:rsidRDefault="00146472" w:rsidP="005E4981">
            <w:pPr>
              <w:rPr>
                <w:b/>
                <w:color w:val="000000"/>
                <w:szCs w:val="22"/>
                <w:lang w:val="hr-HR"/>
              </w:rPr>
            </w:pPr>
            <w:r w:rsidRPr="00510442">
              <w:rPr>
                <w:b/>
                <w:color w:val="000000"/>
                <w:szCs w:val="22"/>
                <w:lang w:val="hr-HR"/>
              </w:rPr>
              <w:t>Italia</w:t>
            </w:r>
          </w:p>
          <w:p w14:paraId="269340CD" w14:textId="77777777" w:rsidR="00146472" w:rsidRPr="00510442" w:rsidRDefault="00146472" w:rsidP="005E4981">
            <w:pPr>
              <w:rPr>
                <w:color w:val="000000"/>
                <w:szCs w:val="22"/>
                <w:lang w:val="hr-HR"/>
              </w:rPr>
            </w:pPr>
            <w:r w:rsidRPr="00510442">
              <w:rPr>
                <w:color w:val="000000"/>
                <w:szCs w:val="22"/>
                <w:lang w:val="hr-HR"/>
              </w:rPr>
              <w:t>Novartis Farma S.p.A.</w:t>
            </w:r>
          </w:p>
          <w:p w14:paraId="7A29CF2A" w14:textId="77777777" w:rsidR="00146472" w:rsidRPr="00510442" w:rsidRDefault="00146472" w:rsidP="005E4981">
            <w:pPr>
              <w:rPr>
                <w:b/>
                <w:color w:val="000000"/>
                <w:szCs w:val="22"/>
                <w:lang w:val="hr-HR"/>
              </w:rPr>
            </w:pPr>
            <w:r w:rsidRPr="00510442">
              <w:rPr>
                <w:color w:val="000000"/>
                <w:szCs w:val="22"/>
                <w:lang w:val="hr-HR"/>
              </w:rPr>
              <w:t>Tel: +39 02 96 54 1</w:t>
            </w:r>
          </w:p>
        </w:tc>
        <w:tc>
          <w:tcPr>
            <w:tcW w:w="4650" w:type="dxa"/>
          </w:tcPr>
          <w:p w14:paraId="30FD752C" w14:textId="77777777" w:rsidR="00146472" w:rsidRPr="00510442" w:rsidRDefault="00146472" w:rsidP="005E4981">
            <w:pPr>
              <w:rPr>
                <w:b/>
                <w:color w:val="000000"/>
                <w:szCs w:val="22"/>
                <w:lang w:val="hr-HR"/>
              </w:rPr>
            </w:pPr>
            <w:r w:rsidRPr="00510442">
              <w:rPr>
                <w:b/>
                <w:color w:val="000000"/>
                <w:szCs w:val="22"/>
                <w:lang w:val="hr-HR"/>
              </w:rPr>
              <w:t>Suomi/Finland</w:t>
            </w:r>
          </w:p>
          <w:p w14:paraId="0684D6A7" w14:textId="77777777" w:rsidR="00146472" w:rsidRPr="00510442" w:rsidRDefault="00146472" w:rsidP="005E4981">
            <w:pPr>
              <w:rPr>
                <w:color w:val="000000"/>
                <w:szCs w:val="22"/>
                <w:lang w:val="hr-HR"/>
              </w:rPr>
            </w:pPr>
            <w:r w:rsidRPr="00510442">
              <w:rPr>
                <w:color w:val="000000"/>
                <w:szCs w:val="22"/>
                <w:lang w:val="hr-HR"/>
              </w:rPr>
              <w:t>Novartis Finland Oy</w:t>
            </w:r>
          </w:p>
          <w:p w14:paraId="312B8AF4" w14:textId="77777777" w:rsidR="00146472" w:rsidRPr="00510442" w:rsidRDefault="00146472" w:rsidP="005E4981">
            <w:pPr>
              <w:rPr>
                <w:color w:val="000000"/>
                <w:szCs w:val="22"/>
                <w:lang w:val="hr-HR"/>
              </w:rPr>
            </w:pPr>
            <w:r w:rsidRPr="00510442">
              <w:rPr>
                <w:color w:val="000000"/>
                <w:szCs w:val="22"/>
                <w:lang w:val="hr-HR"/>
              </w:rPr>
              <w:t xml:space="preserve">Puh/Tel: </w:t>
            </w:r>
            <w:r w:rsidRPr="00510442">
              <w:rPr>
                <w:color w:val="000000"/>
                <w:szCs w:val="22"/>
                <w:lang w:val="hr-HR" w:bidi="he-IL"/>
              </w:rPr>
              <w:t>+358 (0)10 6133 200</w:t>
            </w:r>
          </w:p>
          <w:p w14:paraId="6E7E74A6" w14:textId="77777777" w:rsidR="00146472" w:rsidRPr="00510442" w:rsidRDefault="00146472" w:rsidP="005E4981">
            <w:pPr>
              <w:rPr>
                <w:color w:val="000000"/>
                <w:szCs w:val="22"/>
                <w:lang w:val="hr-HR"/>
              </w:rPr>
            </w:pPr>
          </w:p>
        </w:tc>
      </w:tr>
      <w:tr w:rsidR="00146472" w:rsidRPr="00F410C8" w14:paraId="72231A54" w14:textId="77777777" w:rsidTr="00DB4410">
        <w:trPr>
          <w:cantSplit/>
        </w:trPr>
        <w:tc>
          <w:tcPr>
            <w:tcW w:w="4650" w:type="dxa"/>
          </w:tcPr>
          <w:p w14:paraId="40351F38" w14:textId="77777777" w:rsidR="00146472" w:rsidRPr="00510442" w:rsidRDefault="00146472" w:rsidP="005E4981">
            <w:pPr>
              <w:rPr>
                <w:b/>
                <w:color w:val="000000"/>
                <w:szCs w:val="22"/>
                <w:lang w:val="hr-HR"/>
              </w:rPr>
            </w:pPr>
            <w:r w:rsidRPr="00510442">
              <w:rPr>
                <w:b/>
                <w:color w:val="000000"/>
                <w:szCs w:val="22"/>
                <w:lang w:val="hr-HR"/>
              </w:rPr>
              <w:t>Κύπρος</w:t>
            </w:r>
          </w:p>
          <w:p w14:paraId="50FB7186" w14:textId="77777777" w:rsidR="00146472" w:rsidRPr="00510442" w:rsidRDefault="00146472" w:rsidP="005E4981">
            <w:pPr>
              <w:rPr>
                <w:color w:val="000000"/>
                <w:szCs w:val="22"/>
                <w:lang w:val="hr-HR"/>
              </w:rPr>
            </w:pPr>
            <w:r w:rsidRPr="00510442">
              <w:rPr>
                <w:color w:val="000000"/>
                <w:szCs w:val="22"/>
                <w:lang w:val="hr-HR" w:bidi="he-IL"/>
              </w:rPr>
              <w:t>Novartis Pharma Services Inc.</w:t>
            </w:r>
          </w:p>
          <w:p w14:paraId="593EF4C6" w14:textId="77777777" w:rsidR="00146472" w:rsidRPr="00510442" w:rsidRDefault="00146472" w:rsidP="005E4981">
            <w:pPr>
              <w:rPr>
                <w:color w:val="000000"/>
                <w:szCs w:val="22"/>
                <w:lang w:val="hr-HR"/>
              </w:rPr>
            </w:pPr>
            <w:r w:rsidRPr="00510442">
              <w:rPr>
                <w:color w:val="000000"/>
                <w:szCs w:val="22"/>
                <w:lang w:val="hr-HR"/>
              </w:rPr>
              <w:t>Τηλ: +357 22 690 690</w:t>
            </w:r>
          </w:p>
          <w:p w14:paraId="5F413AA0" w14:textId="77777777" w:rsidR="00146472" w:rsidRPr="00510442" w:rsidRDefault="00146472" w:rsidP="005E4981">
            <w:pPr>
              <w:rPr>
                <w:b/>
                <w:color w:val="000000"/>
                <w:szCs w:val="22"/>
                <w:lang w:val="hr-HR"/>
              </w:rPr>
            </w:pPr>
          </w:p>
        </w:tc>
        <w:tc>
          <w:tcPr>
            <w:tcW w:w="4650" w:type="dxa"/>
          </w:tcPr>
          <w:p w14:paraId="6472FF23" w14:textId="77777777" w:rsidR="00146472" w:rsidRPr="00510442" w:rsidRDefault="00146472" w:rsidP="005E4981">
            <w:pPr>
              <w:rPr>
                <w:b/>
                <w:color w:val="000000"/>
                <w:szCs w:val="22"/>
                <w:lang w:val="hr-HR"/>
              </w:rPr>
            </w:pPr>
            <w:r w:rsidRPr="00510442">
              <w:rPr>
                <w:b/>
                <w:color w:val="000000"/>
                <w:szCs w:val="22"/>
                <w:lang w:val="hr-HR"/>
              </w:rPr>
              <w:t>Sverige</w:t>
            </w:r>
          </w:p>
          <w:p w14:paraId="2AB2DAF3" w14:textId="77777777" w:rsidR="00146472" w:rsidRPr="00510442" w:rsidRDefault="00146472" w:rsidP="005E4981">
            <w:pPr>
              <w:rPr>
                <w:color w:val="000000"/>
                <w:szCs w:val="22"/>
                <w:lang w:val="hr-HR"/>
              </w:rPr>
            </w:pPr>
            <w:r w:rsidRPr="00510442">
              <w:rPr>
                <w:color w:val="000000"/>
                <w:szCs w:val="22"/>
                <w:lang w:val="hr-HR"/>
              </w:rPr>
              <w:t>Novartis Sverige AB</w:t>
            </w:r>
          </w:p>
          <w:p w14:paraId="2A867212" w14:textId="77777777" w:rsidR="00146472" w:rsidRPr="00510442" w:rsidRDefault="00146472" w:rsidP="005E4981">
            <w:pPr>
              <w:rPr>
                <w:color w:val="000000"/>
                <w:szCs w:val="22"/>
                <w:lang w:val="hr-HR"/>
              </w:rPr>
            </w:pPr>
            <w:r w:rsidRPr="00510442">
              <w:rPr>
                <w:color w:val="000000"/>
                <w:szCs w:val="22"/>
                <w:lang w:val="hr-HR"/>
              </w:rPr>
              <w:t>Tel: +46 8 732 32 00</w:t>
            </w:r>
          </w:p>
          <w:p w14:paraId="02D2F58F" w14:textId="77777777" w:rsidR="00146472" w:rsidRPr="00510442" w:rsidRDefault="00146472" w:rsidP="005E4981">
            <w:pPr>
              <w:rPr>
                <w:color w:val="000000"/>
                <w:szCs w:val="22"/>
                <w:lang w:val="hr-HR"/>
              </w:rPr>
            </w:pPr>
          </w:p>
        </w:tc>
      </w:tr>
      <w:tr w:rsidR="00146472" w:rsidRPr="00510442" w14:paraId="0547A4E0" w14:textId="77777777" w:rsidTr="00DB4410">
        <w:trPr>
          <w:cantSplit/>
        </w:trPr>
        <w:tc>
          <w:tcPr>
            <w:tcW w:w="4650" w:type="dxa"/>
          </w:tcPr>
          <w:p w14:paraId="47B60F3D" w14:textId="77777777" w:rsidR="00146472" w:rsidRPr="00510442" w:rsidRDefault="00146472" w:rsidP="005E4981">
            <w:pPr>
              <w:rPr>
                <w:b/>
                <w:color w:val="000000"/>
                <w:szCs w:val="22"/>
                <w:lang w:val="hr-HR"/>
              </w:rPr>
            </w:pPr>
            <w:r w:rsidRPr="00510442">
              <w:rPr>
                <w:b/>
                <w:color w:val="000000"/>
                <w:szCs w:val="22"/>
                <w:lang w:val="hr-HR"/>
              </w:rPr>
              <w:t>Latvija</w:t>
            </w:r>
          </w:p>
          <w:p w14:paraId="2E737858" w14:textId="530CAA4F" w:rsidR="00146472" w:rsidRPr="00510442" w:rsidRDefault="0049284D" w:rsidP="005E4981">
            <w:pPr>
              <w:rPr>
                <w:color w:val="000000"/>
                <w:szCs w:val="22"/>
                <w:lang w:val="hr-HR"/>
              </w:rPr>
            </w:pPr>
            <w:r w:rsidRPr="00510442">
              <w:rPr>
                <w:szCs w:val="22"/>
                <w:lang w:val="hr-HR"/>
              </w:rPr>
              <w:t>SIA Novartis Baltics</w:t>
            </w:r>
          </w:p>
          <w:p w14:paraId="1EDC9200" w14:textId="77777777" w:rsidR="00146472" w:rsidRPr="00510442" w:rsidRDefault="00146472" w:rsidP="005E4981">
            <w:pPr>
              <w:rPr>
                <w:color w:val="000000"/>
                <w:szCs w:val="22"/>
                <w:lang w:val="hr-HR"/>
              </w:rPr>
            </w:pPr>
            <w:r w:rsidRPr="00510442">
              <w:rPr>
                <w:color w:val="000000"/>
                <w:szCs w:val="22"/>
                <w:lang w:val="hr-HR"/>
              </w:rPr>
              <w:t>Tel: +371 67 887 070</w:t>
            </w:r>
          </w:p>
          <w:p w14:paraId="0ED9CF2A" w14:textId="77777777" w:rsidR="00146472" w:rsidRPr="00510442" w:rsidRDefault="00146472" w:rsidP="005E4981">
            <w:pPr>
              <w:rPr>
                <w:b/>
                <w:color w:val="000000"/>
                <w:szCs w:val="22"/>
                <w:lang w:val="hr-HR"/>
              </w:rPr>
            </w:pPr>
          </w:p>
        </w:tc>
        <w:tc>
          <w:tcPr>
            <w:tcW w:w="4650" w:type="dxa"/>
          </w:tcPr>
          <w:p w14:paraId="54ED2478" w14:textId="77777777" w:rsidR="00146472" w:rsidRPr="00510442" w:rsidRDefault="00146472" w:rsidP="005E4981">
            <w:pPr>
              <w:rPr>
                <w:b/>
                <w:color w:val="000000"/>
                <w:szCs w:val="22"/>
                <w:lang w:val="hr-HR"/>
              </w:rPr>
            </w:pPr>
            <w:r w:rsidRPr="00510442">
              <w:rPr>
                <w:b/>
                <w:color w:val="000000"/>
                <w:szCs w:val="22"/>
                <w:lang w:val="hr-HR"/>
              </w:rPr>
              <w:t>United Kingdom</w:t>
            </w:r>
          </w:p>
          <w:p w14:paraId="289D01DC" w14:textId="77777777" w:rsidR="00146472" w:rsidRPr="00510442" w:rsidRDefault="00146472" w:rsidP="005E4981">
            <w:pPr>
              <w:rPr>
                <w:color w:val="000000"/>
                <w:szCs w:val="22"/>
                <w:lang w:val="hr-HR"/>
              </w:rPr>
            </w:pPr>
            <w:r w:rsidRPr="00510442">
              <w:rPr>
                <w:color w:val="000000"/>
                <w:szCs w:val="22"/>
                <w:lang w:val="hr-HR"/>
              </w:rPr>
              <w:t>Novartis Pharmaceuticals UK Ltd.</w:t>
            </w:r>
          </w:p>
          <w:p w14:paraId="2A5D2ED6" w14:textId="77777777" w:rsidR="00146472" w:rsidRPr="00510442" w:rsidRDefault="00146472" w:rsidP="005E4981">
            <w:pPr>
              <w:rPr>
                <w:color w:val="000000"/>
                <w:szCs w:val="22"/>
                <w:lang w:val="hr-HR"/>
              </w:rPr>
            </w:pPr>
            <w:r w:rsidRPr="00510442">
              <w:rPr>
                <w:color w:val="000000"/>
                <w:szCs w:val="22"/>
                <w:lang w:val="hr-HR"/>
              </w:rPr>
              <w:t>Tel: +44 1276 698370</w:t>
            </w:r>
          </w:p>
          <w:p w14:paraId="53DAA062" w14:textId="77777777" w:rsidR="00146472" w:rsidRPr="00510442" w:rsidRDefault="00146472" w:rsidP="005E4981">
            <w:pPr>
              <w:rPr>
                <w:color w:val="000000"/>
                <w:szCs w:val="22"/>
                <w:lang w:val="hr-HR"/>
              </w:rPr>
            </w:pPr>
          </w:p>
        </w:tc>
      </w:tr>
    </w:tbl>
    <w:p w14:paraId="288CCD9D" w14:textId="77777777" w:rsidR="00146472" w:rsidRPr="00510442" w:rsidRDefault="00146472" w:rsidP="00146472">
      <w:pPr>
        <w:widowControl w:val="0"/>
        <w:tabs>
          <w:tab w:val="clear" w:pos="567"/>
        </w:tabs>
        <w:spacing w:line="240" w:lineRule="auto"/>
        <w:ind w:right="-449"/>
        <w:rPr>
          <w:color w:val="000000"/>
          <w:szCs w:val="22"/>
          <w:lang w:val="hr-HR"/>
        </w:rPr>
      </w:pPr>
    </w:p>
    <w:p w14:paraId="3CB8C844" w14:textId="77777777" w:rsidR="00146472" w:rsidRPr="00510442" w:rsidRDefault="00146472" w:rsidP="00146472">
      <w:pPr>
        <w:widowControl w:val="0"/>
        <w:numPr>
          <w:ilvl w:val="12"/>
          <w:numId w:val="0"/>
        </w:numPr>
        <w:tabs>
          <w:tab w:val="clear" w:pos="567"/>
        </w:tabs>
        <w:spacing w:line="240" w:lineRule="auto"/>
        <w:ind w:right="-2"/>
        <w:rPr>
          <w:b/>
          <w:color w:val="000000"/>
          <w:szCs w:val="22"/>
          <w:lang w:val="hr-HR"/>
        </w:rPr>
      </w:pPr>
      <w:r w:rsidRPr="00510442">
        <w:rPr>
          <w:b/>
          <w:szCs w:val="22"/>
          <w:lang w:val="hr-HR"/>
        </w:rPr>
        <w:t>Ova uputa je zadnji puta revidirana u</w:t>
      </w:r>
    </w:p>
    <w:p w14:paraId="17E7B671" w14:textId="77777777" w:rsidR="00146472" w:rsidRPr="00510442" w:rsidRDefault="00146472" w:rsidP="00146472">
      <w:pPr>
        <w:pStyle w:val="Date"/>
        <w:rPr>
          <w:color w:val="000000"/>
          <w:szCs w:val="22"/>
          <w:lang w:val="hr-HR"/>
        </w:rPr>
      </w:pPr>
    </w:p>
    <w:p w14:paraId="2F4EC972" w14:textId="77777777" w:rsidR="00146472" w:rsidRPr="00510442" w:rsidRDefault="00D345CE" w:rsidP="00911837">
      <w:pPr>
        <w:keepNext/>
        <w:spacing w:line="240" w:lineRule="auto"/>
        <w:rPr>
          <w:b/>
          <w:szCs w:val="22"/>
          <w:lang w:val="hr-HR"/>
        </w:rPr>
      </w:pPr>
      <w:r w:rsidRPr="00510442">
        <w:rPr>
          <w:b/>
          <w:iCs/>
          <w:szCs w:val="22"/>
          <w:lang w:val="hr-HR"/>
        </w:rPr>
        <w:t xml:space="preserve">Ostali </w:t>
      </w:r>
      <w:r w:rsidR="00146472" w:rsidRPr="00510442">
        <w:rPr>
          <w:b/>
          <w:iCs/>
          <w:szCs w:val="22"/>
          <w:lang w:val="hr-HR"/>
        </w:rPr>
        <w:t>izvori informacija</w:t>
      </w:r>
    </w:p>
    <w:p w14:paraId="7C92DD52" w14:textId="77777777" w:rsidR="00146472" w:rsidRPr="00510442" w:rsidRDefault="00146472" w:rsidP="00146472">
      <w:pPr>
        <w:spacing w:line="240" w:lineRule="auto"/>
        <w:rPr>
          <w:szCs w:val="22"/>
          <w:lang w:val="hr-HR"/>
        </w:rPr>
      </w:pPr>
      <w:r w:rsidRPr="00510442">
        <w:rPr>
          <w:iCs/>
          <w:szCs w:val="22"/>
          <w:lang w:val="hr-HR"/>
        </w:rPr>
        <w:t xml:space="preserve">Detaljnije informacije o ovom lijeku dostupne su na </w:t>
      </w:r>
      <w:r w:rsidR="00D345CE" w:rsidRPr="00510442">
        <w:rPr>
          <w:iCs/>
          <w:szCs w:val="22"/>
          <w:lang w:val="hr-HR"/>
        </w:rPr>
        <w:t xml:space="preserve">internetskoj </w:t>
      </w:r>
      <w:r w:rsidRPr="00510442">
        <w:rPr>
          <w:iCs/>
          <w:szCs w:val="22"/>
          <w:lang w:val="hr-HR"/>
        </w:rPr>
        <w:t xml:space="preserve">stranici Europske agencije za lijekove: </w:t>
      </w:r>
      <w:hyperlink r:id="rId22" w:history="1">
        <w:r w:rsidR="00D345CE" w:rsidRPr="00510442">
          <w:rPr>
            <w:rStyle w:val="Hyperlink"/>
            <w:szCs w:val="22"/>
            <w:lang w:val="hr-HR"/>
          </w:rPr>
          <w:t>http://www.ema.europa.eu</w:t>
        </w:r>
      </w:hyperlink>
      <w:r w:rsidRPr="00510442">
        <w:rPr>
          <w:szCs w:val="22"/>
          <w:lang w:val="hr-HR"/>
        </w:rPr>
        <w:t>.</w:t>
      </w:r>
    </w:p>
    <w:p w14:paraId="3EA40108" w14:textId="32C37A4C" w:rsidR="00C330F6" w:rsidRPr="00307897" w:rsidRDefault="00C330F6" w:rsidP="009B5630">
      <w:pPr>
        <w:spacing w:line="240" w:lineRule="auto"/>
        <w:rPr>
          <w:szCs w:val="22"/>
          <w:lang w:val="hr-HR"/>
        </w:rPr>
      </w:pPr>
    </w:p>
    <w:sectPr w:rsidR="00C330F6" w:rsidRPr="00307897" w:rsidSect="00762045">
      <w:headerReference w:type="even" r:id="rId23"/>
      <w:headerReference w:type="default" r:id="rId24"/>
      <w:footerReference w:type="even" r:id="rId25"/>
      <w:footerReference w:type="default" r:id="rId26"/>
      <w:headerReference w:type="first" r:id="rId27"/>
      <w:footerReference w:type="first" r:id="rId28"/>
      <w:endnotePr>
        <w:numFmt w:val="decimal"/>
      </w:endnotePr>
      <w:pgSz w:w="11907" w:h="16840" w:code="9"/>
      <w:pgMar w:top="1134" w:right="1418" w:bottom="1134" w:left="1418" w:header="737" w:footer="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949480" w14:textId="77777777" w:rsidR="00547367" w:rsidRDefault="00547367" w:rsidP="00D174E8">
      <w:pPr>
        <w:spacing w:line="240" w:lineRule="auto"/>
      </w:pPr>
      <w:r>
        <w:separator/>
      </w:r>
    </w:p>
  </w:endnote>
  <w:endnote w:type="continuationSeparator" w:id="0">
    <w:p w14:paraId="72CD4C48" w14:textId="77777777" w:rsidR="00547367" w:rsidRDefault="00547367" w:rsidP="00D174E8">
      <w:pPr>
        <w:spacing w:line="240" w:lineRule="auto"/>
      </w:pPr>
      <w:r>
        <w:continuationSeparator/>
      </w:r>
    </w:p>
  </w:endnote>
  <w:endnote w:type="continuationNotice" w:id="1">
    <w:p w14:paraId="6235D2AF" w14:textId="77777777" w:rsidR="00547367" w:rsidRDefault="0054736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NewRoman">
    <w:altName w:val="MS Mincho"/>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ADCF7" w14:textId="77777777" w:rsidR="00547367" w:rsidRDefault="005473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891060" w14:textId="3E0B30F7" w:rsidR="00547367" w:rsidRPr="00762045" w:rsidRDefault="00547367">
    <w:pPr>
      <w:pStyle w:val="Footer"/>
      <w:tabs>
        <w:tab w:val="clear" w:pos="8930"/>
        <w:tab w:val="right" w:pos="8931"/>
      </w:tabs>
      <w:ind w:right="96"/>
      <w:jc w:val="center"/>
      <w:rPr>
        <w:rFonts w:ascii="Arial" w:hAnsi="Arial" w:cs="Arial"/>
      </w:rPr>
    </w:pPr>
    <w:r>
      <w:fldChar w:fldCharType="begin"/>
    </w:r>
    <w:r>
      <w:instrText xml:space="preserve"> EQ </w:instrText>
    </w:r>
    <w:r>
      <w:fldChar w:fldCharType="end"/>
    </w:r>
    <w:r w:rsidRPr="00762045">
      <w:rPr>
        <w:rStyle w:val="PageNumber"/>
        <w:rFonts w:ascii="Arial" w:hAnsi="Arial" w:cs="Arial"/>
      </w:rPr>
      <w:fldChar w:fldCharType="begin"/>
    </w:r>
    <w:r w:rsidRPr="00762045">
      <w:rPr>
        <w:rStyle w:val="PageNumber"/>
        <w:rFonts w:ascii="Arial" w:hAnsi="Arial" w:cs="Arial"/>
      </w:rPr>
      <w:instrText xml:space="preserve">PAGE  </w:instrText>
    </w:r>
    <w:r w:rsidRPr="00762045">
      <w:rPr>
        <w:rStyle w:val="PageNumber"/>
        <w:rFonts w:ascii="Arial" w:hAnsi="Arial" w:cs="Arial"/>
      </w:rPr>
      <w:fldChar w:fldCharType="separate"/>
    </w:r>
    <w:r w:rsidR="008C0CD2">
      <w:rPr>
        <w:rStyle w:val="PageNumber"/>
        <w:rFonts w:ascii="Arial" w:hAnsi="Arial" w:cs="Arial"/>
        <w:noProof/>
      </w:rPr>
      <w:t>100</w:t>
    </w:r>
    <w:r w:rsidRPr="00762045">
      <w:rPr>
        <w:rStyle w:val="PageNumbe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6AE2BF" w14:textId="77777777" w:rsidR="00547367" w:rsidRDefault="00547367" w:rsidP="007620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48981C4" w14:textId="77777777" w:rsidR="00547367" w:rsidRDefault="00547367">
    <w:pPr>
      <w:pStyle w:val="Footer"/>
      <w:tabs>
        <w:tab w:val="clear" w:pos="8930"/>
        <w:tab w:val="right" w:pos="8931"/>
      </w:tabs>
      <w:ind w:right="96"/>
      <w:jc w:val="center"/>
    </w:pPr>
    <w:r>
      <w:fldChar w:fldCharType="begin"/>
    </w:r>
    <w:r>
      <w:instrText xml:space="preserve"> EQ </w:instrTex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9D7A9D" w14:textId="77777777" w:rsidR="00547367" w:rsidRDefault="00547367" w:rsidP="00D174E8">
      <w:pPr>
        <w:spacing w:line="240" w:lineRule="auto"/>
      </w:pPr>
      <w:r>
        <w:separator/>
      </w:r>
    </w:p>
  </w:footnote>
  <w:footnote w:type="continuationSeparator" w:id="0">
    <w:p w14:paraId="6364D82B" w14:textId="77777777" w:rsidR="00547367" w:rsidRDefault="00547367" w:rsidP="00D174E8">
      <w:pPr>
        <w:spacing w:line="240" w:lineRule="auto"/>
      </w:pPr>
      <w:r>
        <w:continuationSeparator/>
      </w:r>
    </w:p>
  </w:footnote>
  <w:footnote w:type="continuationNotice" w:id="1">
    <w:p w14:paraId="7535C889" w14:textId="77777777" w:rsidR="00547367" w:rsidRDefault="0054736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1A1937" w14:textId="77777777" w:rsidR="00547367" w:rsidRDefault="005473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61883" w14:textId="77777777" w:rsidR="00547367" w:rsidRDefault="005473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3961BA" w14:textId="77777777" w:rsidR="00547367" w:rsidRDefault="005473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75pt;height:13.5pt;visibility:visible" o:bullet="t">
        <v:imagedata r:id="rId1" o:title="BT_1000x858px"/>
      </v:shape>
    </w:pict>
  </w:numPicBullet>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9E4F06"/>
    <w:multiLevelType w:val="hybridMultilevel"/>
    <w:tmpl w:val="C010B570"/>
    <w:lvl w:ilvl="0" w:tplc="F24C0F76">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0AD26A1"/>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07AB"/>
    <w:multiLevelType w:val="hybridMultilevel"/>
    <w:tmpl w:val="C7F0CD38"/>
    <w:lvl w:ilvl="0" w:tplc="04090001">
      <w:start w:val="1"/>
      <w:numFmt w:val="bullet"/>
      <w:lvlText w:val=""/>
      <w:lvlJc w:val="left"/>
      <w:pPr>
        <w:tabs>
          <w:tab w:val="num" w:pos="927"/>
        </w:tabs>
        <w:ind w:left="92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485E6A"/>
    <w:multiLevelType w:val="hybridMultilevel"/>
    <w:tmpl w:val="C1B24C64"/>
    <w:lvl w:ilvl="0" w:tplc="5DD064FC">
      <w:start w:val="1"/>
      <w:numFmt w:val="bullet"/>
      <w:lvlText w:val=""/>
      <w:lvlJc w:val="left"/>
      <w:pPr>
        <w:tabs>
          <w:tab w:val="num" w:pos="717"/>
        </w:tabs>
        <w:ind w:left="717" w:hanging="357"/>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F5D04E8"/>
    <w:multiLevelType w:val="hybridMultilevel"/>
    <w:tmpl w:val="B5C0F43A"/>
    <w:lvl w:ilvl="0" w:tplc="04090001">
      <w:start w:val="1"/>
      <w:numFmt w:val="bullet"/>
      <w:lvlText w:val=""/>
      <w:lvlJc w:val="left"/>
      <w:pPr>
        <w:tabs>
          <w:tab w:val="num" w:pos="927"/>
        </w:tabs>
        <w:ind w:left="92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7" w15:restartNumberingAfterBreak="0">
    <w:nsid w:val="0FA30B05"/>
    <w:multiLevelType w:val="hybridMultilevel"/>
    <w:tmpl w:val="F70C3C58"/>
    <w:lvl w:ilvl="0" w:tplc="23443C8A">
      <w:start w:val="1"/>
      <w:numFmt w:val="bullet"/>
      <w:lvlText w:val=""/>
      <w:lvlJc w:val="left"/>
      <w:pPr>
        <w:tabs>
          <w:tab w:val="num" w:pos="357"/>
        </w:tabs>
        <w:ind w:left="357" w:hanging="357"/>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06F380F"/>
    <w:multiLevelType w:val="hybridMultilevel"/>
    <w:tmpl w:val="C3B48592"/>
    <w:lvl w:ilvl="0" w:tplc="FFFFFFFF">
      <w:start w:val="1"/>
      <w:numFmt w:val="bullet"/>
      <w:lvlText w:val="-"/>
      <w:legacy w:legacy="1" w:legacySpace="0" w:legacyIndent="360"/>
      <w:lvlJc w:val="left"/>
      <w:pPr>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39034C3"/>
    <w:multiLevelType w:val="hybridMultilevel"/>
    <w:tmpl w:val="3A5093DC"/>
    <w:lvl w:ilvl="0" w:tplc="C72A4312">
      <w:start w:val="1"/>
      <w:numFmt w:val="bullet"/>
      <w:lvlText w:val=""/>
      <w:lvlJc w:val="left"/>
      <w:pPr>
        <w:tabs>
          <w:tab w:val="num" w:pos="227"/>
        </w:tabs>
        <w:ind w:left="227"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67E196B"/>
    <w:multiLevelType w:val="hybridMultilevel"/>
    <w:tmpl w:val="A964D06C"/>
    <w:lvl w:ilvl="0" w:tplc="23443C8A">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95460B7"/>
    <w:multiLevelType w:val="hybridMultilevel"/>
    <w:tmpl w:val="323CA61A"/>
    <w:lvl w:ilvl="0" w:tplc="E3608AC0">
      <w:start w:val="2"/>
      <w:numFmt w:val="bullet"/>
      <w:lvlText w:val="-"/>
      <w:lvlJc w:val="left"/>
      <w:pPr>
        <w:tabs>
          <w:tab w:val="num" w:pos="1197"/>
        </w:tabs>
        <w:ind w:left="1197" w:hanging="570"/>
      </w:pPr>
      <w:rPr>
        <w:rFonts w:hint="default"/>
        <w:b w:val="0"/>
        <w:i w:val="0"/>
      </w:rPr>
    </w:lvl>
    <w:lvl w:ilvl="1" w:tplc="FFFFFFFF">
      <w:start w:val="1"/>
      <w:numFmt w:val="bullet"/>
      <w:lvlText w:val="-"/>
      <w:legacy w:legacy="1" w:legacySpace="6" w:legacyIndent="360"/>
      <w:lvlJc w:val="left"/>
      <w:pPr>
        <w:ind w:left="2061" w:hanging="360"/>
      </w:pPr>
      <w:rPr>
        <w:rFonts w:hint="default"/>
        <w:b w:val="0"/>
        <w:i w:val="0"/>
      </w:rPr>
    </w:lvl>
    <w:lvl w:ilvl="2" w:tplc="04090005" w:tentative="1">
      <w:start w:val="1"/>
      <w:numFmt w:val="bullet"/>
      <w:lvlText w:val=""/>
      <w:lvlJc w:val="left"/>
      <w:pPr>
        <w:tabs>
          <w:tab w:val="num" w:pos="2781"/>
        </w:tabs>
        <w:ind w:left="2781" w:hanging="360"/>
      </w:pPr>
      <w:rPr>
        <w:rFonts w:ascii="Wingdings" w:hAnsi="Wingdings" w:hint="default"/>
      </w:rPr>
    </w:lvl>
    <w:lvl w:ilvl="3" w:tplc="04090001" w:tentative="1">
      <w:start w:val="1"/>
      <w:numFmt w:val="bullet"/>
      <w:lvlText w:val=""/>
      <w:lvlJc w:val="left"/>
      <w:pPr>
        <w:tabs>
          <w:tab w:val="num" w:pos="3501"/>
        </w:tabs>
        <w:ind w:left="3501" w:hanging="360"/>
      </w:pPr>
      <w:rPr>
        <w:rFonts w:ascii="Symbol" w:hAnsi="Symbol" w:hint="default"/>
      </w:rPr>
    </w:lvl>
    <w:lvl w:ilvl="4" w:tplc="04090003" w:tentative="1">
      <w:start w:val="1"/>
      <w:numFmt w:val="bullet"/>
      <w:lvlText w:val="o"/>
      <w:lvlJc w:val="left"/>
      <w:pPr>
        <w:tabs>
          <w:tab w:val="num" w:pos="4221"/>
        </w:tabs>
        <w:ind w:left="4221" w:hanging="360"/>
      </w:pPr>
      <w:rPr>
        <w:rFonts w:ascii="Courier New" w:hAnsi="Courier New" w:cs="Courier New" w:hint="default"/>
      </w:rPr>
    </w:lvl>
    <w:lvl w:ilvl="5" w:tplc="04090005" w:tentative="1">
      <w:start w:val="1"/>
      <w:numFmt w:val="bullet"/>
      <w:lvlText w:val=""/>
      <w:lvlJc w:val="left"/>
      <w:pPr>
        <w:tabs>
          <w:tab w:val="num" w:pos="4941"/>
        </w:tabs>
        <w:ind w:left="4941" w:hanging="360"/>
      </w:pPr>
      <w:rPr>
        <w:rFonts w:ascii="Wingdings" w:hAnsi="Wingdings" w:hint="default"/>
      </w:rPr>
    </w:lvl>
    <w:lvl w:ilvl="6" w:tplc="04090001" w:tentative="1">
      <w:start w:val="1"/>
      <w:numFmt w:val="bullet"/>
      <w:lvlText w:val=""/>
      <w:lvlJc w:val="left"/>
      <w:pPr>
        <w:tabs>
          <w:tab w:val="num" w:pos="5661"/>
        </w:tabs>
        <w:ind w:left="5661" w:hanging="360"/>
      </w:pPr>
      <w:rPr>
        <w:rFonts w:ascii="Symbol" w:hAnsi="Symbol" w:hint="default"/>
      </w:rPr>
    </w:lvl>
    <w:lvl w:ilvl="7" w:tplc="04090003" w:tentative="1">
      <w:start w:val="1"/>
      <w:numFmt w:val="bullet"/>
      <w:lvlText w:val="o"/>
      <w:lvlJc w:val="left"/>
      <w:pPr>
        <w:tabs>
          <w:tab w:val="num" w:pos="6381"/>
        </w:tabs>
        <w:ind w:left="6381" w:hanging="360"/>
      </w:pPr>
      <w:rPr>
        <w:rFonts w:ascii="Courier New" w:hAnsi="Courier New" w:cs="Courier New" w:hint="default"/>
      </w:rPr>
    </w:lvl>
    <w:lvl w:ilvl="8" w:tplc="04090005" w:tentative="1">
      <w:start w:val="1"/>
      <w:numFmt w:val="bullet"/>
      <w:lvlText w:val=""/>
      <w:lvlJc w:val="left"/>
      <w:pPr>
        <w:tabs>
          <w:tab w:val="num" w:pos="7101"/>
        </w:tabs>
        <w:ind w:left="7101" w:hanging="360"/>
      </w:pPr>
      <w:rPr>
        <w:rFonts w:ascii="Wingdings" w:hAnsi="Wingdings" w:hint="default"/>
      </w:rPr>
    </w:lvl>
  </w:abstractNum>
  <w:abstractNum w:abstractNumId="12" w15:restartNumberingAfterBreak="0">
    <w:nsid w:val="204E76AF"/>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712"/>
        </w:tabs>
        <w:ind w:left="712"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2204392B"/>
    <w:multiLevelType w:val="hybridMultilevel"/>
    <w:tmpl w:val="9DD0B6C4"/>
    <w:lvl w:ilvl="0" w:tplc="D588565C">
      <w:start w:val="1"/>
      <w:numFmt w:val="bullet"/>
      <w:lvlText w:val=""/>
      <w:lvlJc w:val="left"/>
      <w:pPr>
        <w:tabs>
          <w:tab w:val="num" w:pos="567"/>
        </w:tabs>
        <w:ind w:left="567" w:hanging="56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E4130BA"/>
    <w:multiLevelType w:val="hybridMultilevel"/>
    <w:tmpl w:val="122EBCCE"/>
    <w:lvl w:ilvl="0" w:tplc="FFFFFFFF">
      <w:start w:val="1"/>
      <w:numFmt w:val="bullet"/>
      <w:lvlText w:val="-"/>
      <w:legacy w:legacy="1" w:legacySpace="0" w:legacyIndent="360"/>
      <w:lvlJc w:val="left"/>
      <w:pPr>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EB63049"/>
    <w:multiLevelType w:val="hybridMultilevel"/>
    <w:tmpl w:val="1366A3C8"/>
    <w:lvl w:ilvl="0" w:tplc="BEAA04CE">
      <w:start w:val="1"/>
      <w:numFmt w:val="bullet"/>
      <w:lvlText w:val=""/>
      <w:lvlJc w:val="left"/>
      <w:pPr>
        <w:tabs>
          <w:tab w:val="num" w:pos="357"/>
        </w:tabs>
        <w:ind w:left="357" w:hanging="357"/>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58A2CD3"/>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FEE5B4C"/>
    <w:multiLevelType w:val="hybridMultilevel"/>
    <w:tmpl w:val="8DE069A2"/>
    <w:lvl w:ilvl="0" w:tplc="B4D4A7CA">
      <w:start w:val="1"/>
      <w:numFmt w:val="bullet"/>
      <w:lvlText w:val=""/>
      <w:lvlJc w:val="left"/>
      <w:pPr>
        <w:tabs>
          <w:tab w:val="num" w:pos="357"/>
        </w:tabs>
        <w:ind w:left="357" w:hanging="35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0E41A5F"/>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4361985"/>
    <w:multiLevelType w:val="hybridMultilevel"/>
    <w:tmpl w:val="534E4E7E"/>
    <w:lvl w:ilvl="0" w:tplc="C72A4312">
      <w:start w:val="1"/>
      <w:numFmt w:val="bullet"/>
      <w:lvlText w:val=""/>
      <w:lvlJc w:val="left"/>
      <w:pPr>
        <w:tabs>
          <w:tab w:val="num" w:pos="227"/>
        </w:tabs>
        <w:ind w:left="227"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0407C81"/>
    <w:multiLevelType w:val="hybridMultilevel"/>
    <w:tmpl w:val="0ADE52C2"/>
    <w:lvl w:ilvl="0" w:tplc="E3608AC0">
      <w:start w:val="2"/>
      <w:numFmt w:val="bullet"/>
      <w:lvlText w:val="-"/>
      <w:lvlJc w:val="left"/>
      <w:pPr>
        <w:tabs>
          <w:tab w:val="num" w:pos="576"/>
        </w:tabs>
        <w:ind w:left="576" w:hanging="570"/>
      </w:pPr>
      <w:rPr>
        <w:rFonts w:hint="default"/>
        <w:b w:val="0"/>
        <w:i w:val="0"/>
      </w:rPr>
    </w:lvl>
    <w:lvl w:ilvl="1" w:tplc="FB76711C">
      <w:start w:val="1"/>
      <w:numFmt w:val="bullet"/>
      <w:lvlText w:val=""/>
      <w:lvlJc w:val="left"/>
      <w:pPr>
        <w:tabs>
          <w:tab w:val="num" w:pos="1440"/>
        </w:tabs>
        <w:ind w:left="1440" w:hanging="360"/>
      </w:pPr>
      <w:rPr>
        <w:rFonts w:ascii="Symbol" w:hAnsi="Symbol" w:hint="default"/>
        <w:b w:val="0"/>
        <w:i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1BE3006"/>
    <w:multiLevelType w:val="hybridMultilevel"/>
    <w:tmpl w:val="9CD662A2"/>
    <w:lvl w:ilvl="0" w:tplc="FFFFFFFF">
      <w:start w:val="1"/>
      <w:numFmt w:val="bullet"/>
      <w:lvlText w:val="-"/>
      <w:legacy w:legacy="1" w:legacySpace="0" w:legacyIndent="360"/>
      <w:lvlJc w:val="left"/>
      <w:pPr>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3605ACF"/>
    <w:multiLevelType w:val="hybridMultilevel"/>
    <w:tmpl w:val="3CFC0450"/>
    <w:lvl w:ilvl="0" w:tplc="38B85D9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E548ED"/>
    <w:multiLevelType w:val="hybridMultilevel"/>
    <w:tmpl w:val="0574A6E2"/>
    <w:lvl w:ilvl="0" w:tplc="FFFFFFFF">
      <w:start w:val="1"/>
      <w:numFmt w:val="bullet"/>
      <w:lvlText w:val="-"/>
      <w:legacy w:legacy="1" w:legacySpace="0" w:legacyIndent="360"/>
      <w:lvlJc w:val="left"/>
      <w:pPr>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526644C"/>
    <w:multiLevelType w:val="hybridMultilevel"/>
    <w:tmpl w:val="FF8E949E"/>
    <w:lvl w:ilvl="0" w:tplc="B4D4A7CA">
      <w:start w:val="1"/>
      <w:numFmt w:val="bullet"/>
      <w:lvlText w:val=""/>
      <w:lvlJc w:val="left"/>
      <w:pPr>
        <w:tabs>
          <w:tab w:val="num" w:pos="357"/>
        </w:tabs>
        <w:ind w:left="357" w:hanging="35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CEA4BE9"/>
    <w:multiLevelType w:val="hybridMultilevel"/>
    <w:tmpl w:val="768066A8"/>
    <w:lvl w:ilvl="0" w:tplc="FB76711C">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5CD451C"/>
    <w:multiLevelType w:val="hybridMultilevel"/>
    <w:tmpl w:val="018A7F76"/>
    <w:lvl w:ilvl="0" w:tplc="FFFFFFFF">
      <w:start w:val="1"/>
      <w:numFmt w:val="bullet"/>
      <w:lvlText w:val="-"/>
      <w:legacy w:legacy="1" w:legacySpace="0" w:legacyIndent="360"/>
      <w:lvlJc w:val="left"/>
      <w:pPr>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7125C81"/>
    <w:multiLevelType w:val="hybridMultilevel"/>
    <w:tmpl w:val="0FEC4686"/>
    <w:lvl w:ilvl="0" w:tplc="FFFFFFFF">
      <w:start w:val="1"/>
      <w:numFmt w:val="bullet"/>
      <w:lvlText w:val="-"/>
      <w:legacy w:legacy="1" w:legacySpace="0" w:legacyIndent="360"/>
      <w:lvlJc w:val="left"/>
      <w:pPr>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B014835"/>
    <w:multiLevelType w:val="multilevel"/>
    <w:tmpl w:val="CFACB26E"/>
    <w:lvl w:ilvl="0">
      <w:start w:val="4"/>
      <w:numFmt w:val="decimal"/>
      <w:lvlText w:val="%1"/>
      <w:lvlJc w:val="left"/>
      <w:pPr>
        <w:tabs>
          <w:tab w:val="num" w:pos="570"/>
        </w:tabs>
        <w:ind w:left="570" w:hanging="570"/>
      </w:pPr>
      <w:rPr>
        <w:rFonts w:hint="default"/>
      </w:rPr>
    </w:lvl>
    <w:lvl w:ilvl="1">
      <w:start w:val="8"/>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9" w15:restartNumberingAfterBreak="0">
    <w:nsid w:val="6DD0206C"/>
    <w:multiLevelType w:val="hybridMultilevel"/>
    <w:tmpl w:val="4EB6253A"/>
    <w:lvl w:ilvl="0" w:tplc="FB76711C">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3A13D0C"/>
    <w:multiLevelType w:val="hybridMultilevel"/>
    <w:tmpl w:val="C9E62438"/>
    <w:lvl w:ilvl="0" w:tplc="FFFFFFFF">
      <w:start w:val="1"/>
      <w:numFmt w:val="bullet"/>
      <w:lvlText w:val="-"/>
      <w:legacy w:legacy="1" w:legacySpace="0" w:legacyIndent="360"/>
      <w:lvlJc w:val="left"/>
      <w:pPr>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EC77669"/>
    <w:multiLevelType w:val="hybridMultilevel"/>
    <w:tmpl w:val="BADACE8C"/>
    <w:lvl w:ilvl="0" w:tplc="5DD064FC">
      <w:start w:val="1"/>
      <w:numFmt w:val="bullet"/>
      <w:lvlText w:val=""/>
      <w:lvlJc w:val="left"/>
      <w:pPr>
        <w:tabs>
          <w:tab w:val="num" w:pos="717"/>
        </w:tabs>
        <w:ind w:left="717" w:hanging="357"/>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lvl>
    </w:lvlOverride>
  </w:num>
  <w:num w:numId="2">
    <w:abstractNumId w:val="16"/>
  </w:num>
  <w:num w:numId="3">
    <w:abstractNumId w:val="2"/>
  </w:num>
  <w:num w:numId="4">
    <w:abstractNumId w:val="18"/>
  </w:num>
  <w:num w:numId="5">
    <w:abstractNumId w:val="4"/>
  </w:num>
  <w:num w:numId="6">
    <w:abstractNumId w:val="6"/>
  </w:num>
  <w:num w:numId="7">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8">
    <w:abstractNumId w:val="13"/>
  </w:num>
  <w:num w:numId="9">
    <w:abstractNumId w:val="20"/>
  </w:num>
  <w:num w:numId="10">
    <w:abstractNumId w:val="9"/>
  </w:num>
  <w:num w:numId="11">
    <w:abstractNumId w:val="19"/>
  </w:num>
  <w:num w:numId="12">
    <w:abstractNumId w:val="11"/>
  </w:num>
  <w:num w:numId="13">
    <w:abstractNumId w:val="1"/>
  </w:num>
  <w:num w:numId="14">
    <w:abstractNumId w:val="26"/>
  </w:num>
  <w:num w:numId="15">
    <w:abstractNumId w:val="31"/>
  </w:num>
  <w:num w:numId="16">
    <w:abstractNumId w:val="27"/>
  </w:num>
  <w:num w:numId="17">
    <w:abstractNumId w:val="23"/>
  </w:num>
  <w:num w:numId="18">
    <w:abstractNumId w:val="14"/>
  </w:num>
  <w:num w:numId="19">
    <w:abstractNumId w:val="21"/>
  </w:num>
  <w:num w:numId="20">
    <w:abstractNumId w:val="5"/>
  </w:num>
  <w:num w:numId="21">
    <w:abstractNumId w:val="32"/>
  </w:num>
  <w:num w:numId="22">
    <w:abstractNumId w:val="10"/>
  </w:num>
  <w:num w:numId="23">
    <w:abstractNumId w:val="15"/>
  </w:num>
  <w:num w:numId="24">
    <w:abstractNumId w:val="17"/>
  </w:num>
  <w:num w:numId="25">
    <w:abstractNumId w:val="24"/>
  </w:num>
  <w:num w:numId="26">
    <w:abstractNumId w:val="8"/>
  </w:num>
  <w:num w:numId="27">
    <w:abstractNumId w:val="7"/>
  </w:num>
  <w:num w:numId="28">
    <w:abstractNumId w:val="29"/>
  </w:num>
  <w:num w:numId="29">
    <w:abstractNumId w:val="25"/>
  </w:num>
  <w:num w:numId="30">
    <w:abstractNumId w:val="12"/>
  </w:num>
  <w:num w:numId="31">
    <w:abstractNumId w:val="28"/>
  </w:num>
  <w:num w:numId="32">
    <w:abstractNumId w:val="22"/>
  </w:num>
  <w:num w:numId="33">
    <w:abstractNumId w:val="30"/>
  </w:num>
  <w:num w:numId="34">
    <w:abstractNumId w:val="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de-CH" w:vendorID="64" w:dllVersion="6" w:nlCheck="1" w:checkStyle="0"/>
  <w:activeWritingStyle w:appName="MSWord" w:lang="fr-FR" w:vendorID="64" w:dllVersion="6" w:nlCheck="1" w:checkStyle="1"/>
  <w:activeWritingStyle w:appName="MSWord" w:lang="de-DE" w:vendorID="64" w:dllVersion="6" w:nlCheck="1" w:checkStyle="0"/>
  <w:activeWritingStyle w:appName="MSWord" w:lang="fr-CH" w:vendorID="64" w:dllVersion="6" w:nlCheck="1" w:checkStyle="0"/>
  <w:activeWritingStyle w:appName="MSWord" w:lang="en-GB" w:vendorID="8" w:dllVersion="513" w:checkStyle="1"/>
  <w:activeWritingStyle w:appName="MSWord" w:lang="it-IT" w:vendorID="3" w:dllVersion="512" w:checkStyle="1"/>
  <w:activeWritingStyle w:appName="MSWord" w:lang="en-AU" w:vendorID="8" w:dllVersion="513" w:checkStyle="1"/>
  <w:activeWritingStyle w:appName="MSWord" w:lang="es-ES" w:vendorID="9" w:dllVersion="512" w:checkStyle="1"/>
  <w:activeWritingStyle w:appName="MSWord" w:lang="es-ES_tradnl" w:vendorID="9" w:dllVersion="512" w:checkStyle="1"/>
  <w:activeWritingStyle w:appName="MSWord" w:lang="en-US" w:vendorID="8" w:dllVersion="513" w:checkStyle="1"/>
  <w:activeWritingStyle w:appName="MSWord" w:lang="it-IT" w:vendorID="3" w:dllVersion="517" w:checkStyle="1"/>
  <w:activeWritingStyle w:appName="MSWord" w:lang="pt-BR" w:vendorID="1" w:dllVersion="513" w:checkStyle="1"/>
  <w:activeWritingStyle w:appName="MSWord" w:lang="pt-PT" w:vendorID="13"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Registered" w:val="-1"/>
    <w:docVar w:name="Version" w:val="0"/>
  </w:docVars>
  <w:rsids>
    <w:rsidRoot w:val="00787672"/>
    <w:rsid w:val="000009A1"/>
    <w:rsid w:val="00001E7B"/>
    <w:rsid w:val="00002BD9"/>
    <w:rsid w:val="00002FC5"/>
    <w:rsid w:val="000036B6"/>
    <w:rsid w:val="00003B63"/>
    <w:rsid w:val="00004FA1"/>
    <w:rsid w:val="00005B66"/>
    <w:rsid w:val="000061F3"/>
    <w:rsid w:val="00006D3C"/>
    <w:rsid w:val="000076A6"/>
    <w:rsid w:val="0001298A"/>
    <w:rsid w:val="00012BFE"/>
    <w:rsid w:val="000135E1"/>
    <w:rsid w:val="00013DD4"/>
    <w:rsid w:val="0001455F"/>
    <w:rsid w:val="00014AD2"/>
    <w:rsid w:val="00015051"/>
    <w:rsid w:val="000152B5"/>
    <w:rsid w:val="00020202"/>
    <w:rsid w:val="000207EA"/>
    <w:rsid w:val="00021B32"/>
    <w:rsid w:val="0002261D"/>
    <w:rsid w:val="00023876"/>
    <w:rsid w:val="00024D12"/>
    <w:rsid w:val="00025E3E"/>
    <w:rsid w:val="00027466"/>
    <w:rsid w:val="000277C8"/>
    <w:rsid w:val="00027B26"/>
    <w:rsid w:val="00030569"/>
    <w:rsid w:val="00030747"/>
    <w:rsid w:val="00030F0A"/>
    <w:rsid w:val="00030F93"/>
    <w:rsid w:val="00030FC3"/>
    <w:rsid w:val="00031711"/>
    <w:rsid w:val="000319BC"/>
    <w:rsid w:val="00031DE1"/>
    <w:rsid w:val="00033E76"/>
    <w:rsid w:val="00034942"/>
    <w:rsid w:val="00034F58"/>
    <w:rsid w:val="00036A6B"/>
    <w:rsid w:val="00036AAE"/>
    <w:rsid w:val="00036CC8"/>
    <w:rsid w:val="00041CA2"/>
    <w:rsid w:val="00041F0B"/>
    <w:rsid w:val="00042731"/>
    <w:rsid w:val="00042875"/>
    <w:rsid w:val="00043FD1"/>
    <w:rsid w:val="00044326"/>
    <w:rsid w:val="0004466E"/>
    <w:rsid w:val="00044E85"/>
    <w:rsid w:val="00045B17"/>
    <w:rsid w:val="00045F05"/>
    <w:rsid w:val="0004668E"/>
    <w:rsid w:val="00046ECC"/>
    <w:rsid w:val="000479D2"/>
    <w:rsid w:val="00047A0E"/>
    <w:rsid w:val="00050935"/>
    <w:rsid w:val="00050FB1"/>
    <w:rsid w:val="0005105D"/>
    <w:rsid w:val="000519CC"/>
    <w:rsid w:val="000524A9"/>
    <w:rsid w:val="00052EB9"/>
    <w:rsid w:val="00053DEC"/>
    <w:rsid w:val="00053ECB"/>
    <w:rsid w:val="00054B64"/>
    <w:rsid w:val="00056DBB"/>
    <w:rsid w:val="000571E7"/>
    <w:rsid w:val="00060628"/>
    <w:rsid w:val="00061025"/>
    <w:rsid w:val="00061442"/>
    <w:rsid w:val="00063B6B"/>
    <w:rsid w:val="0006472C"/>
    <w:rsid w:val="00064AAC"/>
    <w:rsid w:val="00064C6F"/>
    <w:rsid w:val="0006749E"/>
    <w:rsid w:val="000677BE"/>
    <w:rsid w:val="00067CEC"/>
    <w:rsid w:val="00070576"/>
    <w:rsid w:val="000713D4"/>
    <w:rsid w:val="000718B5"/>
    <w:rsid w:val="00071AD6"/>
    <w:rsid w:val="00072823"/>
    <w:rsid w:val="000757D4"/>
    <w:rsid w:val="00080696"/>
    <w:rsid w:val="00081996"/>
    <w:rsid w:val="00083917"/>
    <w:rsid w:val="00083AC4"/>
    <w:rsid w:val="00084499"/>
    <w:rsid w:val="000875B4"/>
    <w:rsid w:val="000876E7"/>
    <w:rsid w:val="00087DD3"/>
    <w:rsid w:val="00092A42"/>
    <w:rsid w:val="00092B98"/>
    <w:rsid w:val="00094B7E"/>
    <w:rsid w:val="00094CDB"/>
    <w:rsid w:val="0009525D"/>
    <w:rsid w:val="00096D82"/>
    <w:rsid w:val="00096EA6"/>
    <w:rsid w:val="000979CD"/>
    <w:rsid w:val="000979DA"/>
    <w:rsid w:val="00097E67"/>
    <w:rsid w:val="000A0197"/>
    <w:rsid w:val="000A1373"/>
    <w:rsid w:val="000A164C"/>
    <w:rsid w:val="000A2B04"/>
    <w:rsid w:val="000A321A"/>
    <w:rsid w:val="000A3998"/>
    <w:rsid w:val="000A39DE"/>
    <w:rsid w:val="000A3C2A"/>
    <w:rsid w:val="000A57E2"/>
    <w:rsid w:val="000A5CA3"/>
    <w:rsid w:val="000A5E83"/>
    <w:rsid w:val="000A6464"/>
    <w:rsid w:val="000A6648"/>
    <w:rsid w:val="000A72F8"/>
    <w:rsid w:val="000B04DD"/>
    <w:rsid w:val="000B1647"/>
    <w:rsid w:val="000B1F27"/>
    <w:rsid w:val="000B217E"/>
    <w:rsid w:val="000B2609"/>
    <w:rsid w:val="000B3957"/>
    <w:rsid w:val="000B51EB"/>
    <w:rsid w:val="000B54CA"/>
    <w:rsid w:val="000B6E81"/>
    <w:rsid w:val="000B7728"/>
    <w:rsid w:val="000C0A1E"/>
    <w:rsid w:val="000C1669"/>
    <w:rsid w:val="000C2FDC"/>
    <w:rsid w:val="000C48CC"/>
    <w:rsid w:val="000C5055"/>
    <w:rsid w:val="000C64B1"/>
    <w:rsid w:val="000C66C5"/>
    <w:rsid w:val="000C6C34"/>
    <w:rsid w:val="000C703E"/>
    <w:rsid w:val="000D0343"/>
    <w:rsid w:val="000D137D"/>
    <w:rsid w:val="000D141F"/>
    <w:rsid w:val="000D1E38"/>
    <w:rsid w:val="000D2060"/>
    <w:rsid w:val="000D340A"/>
    <w:rsid w:val="000D6098"/>
    <w:rsid w:val="000D74C0"/>
    <w:rsid w:val="000D7EEE"/>
    <w:rsid w:val="000E0362"/>
    <w:rsid w:val="000E15F1"/>
    <w:rsid w:val="000E1EBB"/>
    <w:rsid w:val="000E23FA"/>
    <w:rsid w:val="000E3E08"/>
    <w:rsid w:val="000E58FA"/>
    <w:rsid w:val="000E594B"/>
    <w:rsid w:val="000F0232"/>
    <w:rsid w:val="000F119E"/>
    <w:rsid w:val="000F13A8"/>
    <w:rsid w:val="000F29F0"/>
    <w:rsid w:val="000F3064"/>
    <w:rsid w:val="000F3069"/>
    <w:rsid w:val="000F324D"/>
    <w:rsid w:val="000F50C3"/>
    <w:rsid w:val="000F722B"/>
    <w:rsid w:val="000F7857"/>
    <w:rsid w:val="000F7F72"/>
    <w:rsid w:val="0010149A"/>
    <w:rsid w:val="00101A8F"/>
    <w:rsid w:val="00101F1B"/>
    <w:rsid w:val="00102943"/>
    <w:rsid w:val="001036F8"/>
    <w:rsid w:val="00103C2F"/>
    <w:rsid w:val="001045C5"/>
    <w:rsid w:val="00104D01"/>
    <w:rsid w:val="00104EEE"/>
    <w:rsid w:val="00106953"/>
    <w:rsid w:val="0010741C"/>
    <w:rsid w:val="001074F0"/>
    <w:rsid w:val="00107CF9"/>
    <w:rsid w:val="00107E67"/>
    <w:rsid w:val="0011008C"/>
    <w:rsid w:val="001103B7"/>
    <w:rsid w:val="00110523"/>
    <w:rsid w:val="00110C04"/>
    <w:rsid w:val="0011170E"/>
    <w:rsid w:val="001129D8"/>
    <w:rsid w:val="00112AD1"/>
    <w:rsid w:val="00113DF0"/>
    <w:rsid w:val="00113E7A"/>
    <w:rsid w:val="001150EE"/>
    <w:rsid w:val="00117190"/>
    <w:rsid w:val="00117E4A"/>
    <w:rsid w:val="00117F49"/>
    <w:rsid w:val="00120018"/>
    <w:rsid w:val="001202A6"/>
    <w:rsid w:val="00120F58"/>
    <w:rsid w:val="00122F9A"/>
    <w:rsid w:val="0012380E"/>
    <w:rsid w:val="001246EC"/>
    <w:rsid w:val="0012560F"/>
    <w:rsid w:val="00125A98"/>
    <w:rsid w:val="00125D03"/>
    <w:rsid w:val="00126302"/>
    <w:rsid w:val="00126ADB"/>
    <w:rsid w:val="00131169"/>
    <w:rsid w:val="00132233"/>
    <w:rsid w:val="0013274D"/>
    <w:rsid w:val="001337A2"/>
    <w:rsid w:val="00134D02"/>
    <w:rsid w:val="00135694"/>
    <w:rsid w:val="00135877"/>
    <w:rsid w:val="00137A3C"/>
    <w:rsid w:val="00140A01"/>
    <w:rsid w:val="00141587"/>
    <w:rsid w:val="00141FDE"/>
    <w:rsid w:val="00142DE1"/>
    <w:rsid w:val="00143339"/>
    <w:rsid w:val="00143A23"/>
    <w:rsid w:val="001442E5"/>
    <w:rsid w:val="00144823"/>
    <w:rsid w:val="00144E5A"/>
    <w:rsid w:val="00146472"/>
    <w:rsid w:val="0014652B"/>
    <w:rsid w:val="001500AD"/>
    <w:rsid w:val="00150DE6"/>
    <w:rsid w:val="00152411"/>
    <w:rsid w:val="00152EF0"/>
    <w:rsid w:val="001535ED"/>
    <w:rsid w:val="00153D64"/>
    <w:rsid w:val="0015543B"/>
    <w:rsid w:val="00155C9C"/>
    <w:rsid w:val="00155D91"/>
    <w:rsid w:val="00155EF9"/>
    <w:rsid w:val="00155FBC"/>
    <w:rsid w:val="00156DF4"/>
    <w:rsid w:val="001579DE"/>
    <w:rsid w:val="001614E6"/>
    <w:rsid w:val="00161919"/>
    <w:rsid w:val="00162210"/>
    <w:rsid w:val="00162ACF"/>
    <w:rsid w:val="00163258"/>
    <w:rsid w:val="00163A1D"/>
    <w:rsid w:val="00163E38"/>
    <w:rsid w:val="00164D14"/>
    <w:rsid w:val="00166B15"/>
    <w:rsid w:val="00166C19"/>
    <w:rsid w:val="00167EDE"/>
    <w:rsid w:val="00170C5B"/>
    <w:rsid w:val="00170D47"/>
    <w:rsid w:val="00171564"/>
    <w:rsid w:val="00171FAC"/>
    <w:rsid w:val="001730DC"/>
    <w:rsid w:val="00173983"/>
    <w:rsid w:val="00174389"/>
    <w:rsid w:val="001756BA"/>
    <w:rsid w:val="00175E85"/>
    <w:rsid w:val="0017601F"/>
    <w:rsid w:val="001779FC"/>
    <w:rsid w:val="00181F8F"/>
    <w:rsid w:val="00182293"/>
    <w:rsid w:val="00182DB5"/>
    <w:rsid w:val="00183530"/>
    <w:rsid w:val="001835E7"/>
    <w:rsid w:val="00183AD9"/>
    <w:rsid w:val="0018498E"/>
    <w:rsid w:val="00186C1D"/>
    <w:rsid w:val="001870DB"/>
    <w:rsid w:val="001871C8"/>
    <w:rsid w:val="00187A7D"/>
    <w:rsid w:val="00187F4C"/>
    <w:rsid w:val="00190E6C"/>
    <w:rsid w:val="00192C30"/>
    <w:rsid w:val="00194356"/>
    <w:rsid w:val="0019538E"/>
    <w:rsid w:val="00196A83"/>
    <w:rsid w:val="00196B07"/>
    <w:rsid w:val="001973AB"/>
    <w:rsid w:val="00197E16"/>
    <w:rsid w:val="001A006E"/>
    <w:rsid w:val="001A0418"/>
    <w:rsid w:val="001A1AA9"/>
    <w:rsid w:val="001A22F5"/>
    <w:rsid w:val="001A2797"/>
    <w:rsid w:val="001A3271"/>
    <w:rsid w:val="001A5084"/>
    <w:rsid w:val="001A67CD"/>
    <w:rsid w:val="001A7F2B"/>
    <w:rsid w:val="001B0362"/>
    <w:rsid w:val="001B0777"/>
    <w:rsid w:val="001B166E"/>
    <w:rsid w:val="001B1D96"/>
    <w:rsid w:val="001B3283"/>
    <w:rsid w:val="001B427A"/>
    <w:rsid w:val="001B4AB6"/>
    <w:rsid w:val="001B4F5E"/>
    <w:rsid w:val="001B6547"/>
    <w:rsid w:val="001B7168"/>
    <w:rsid w:val="001B77C9"/>
    <w:rsid w:val="001B7EDA"/>
    <w:rsid w:val="001C00BD"/>
    <w:rsid w:val="001C198F"/>
    <w:rsid w:val="001C4A41"/>
    <w:rsid w:val="001C4ED0"/>
    <w:rsid w:val="001C572B"/>
    <w:rsid w:val="001C654B"/>
    <w:rsid w:val="001D05C9"/>
    <w:rsid w:val="001D3842"/>
    <w:rsid w:val="001D386C"/>
    <w:rsid w:val="001D445B"/>
    <w:rsid w:val="001D4DBF"/>
    <w:rsid w:val="001D4DF6"/>
    <w:rsid w:val="001D623C"/>
    <w:rsid w:val="001D7FEA"/>
    <w:rsid w:val="001E1052"/>
    <w:rsid w:val="001E1155"/>
    <w:rsid w:val="001E1469"/>
    <w:rsid w:val="001E2B75"/>
    <w:rsid w:val="001E3C76"/>
    <w:rsid w:val="001E42D3"/>
    <w:rsid w:val="001E4371"/>
    <w:rsid w:val="001E444B"/>
    <w:rsid w:val="001E4474"/>
    <w:rsid w:val="001E4820"/>
    <w:rsid w:val="001E4C85"/>
    <w:rsid w:val="001E599C"/>
    <w:rsid w:val="001E5C13"/>
    <w:rsid w:val="001E5E70"/>
    <w:rsid w:val="001E68BF"/>
    <w:rsid w:val="001E7036"/>
    <w:rsid w:val="001E76F3"/>
    <w:rsid w:val="001F0567"/>
    <w:rsid w:val="001F0AD8"/>
    <w:rsid w:val="001F1CAA"/>
    <w:rsid w:val="001F21A3"/>
    <w:rsid w:val="001F26B2"/>
    <w:rsid w:val="001F2868"/>
    <w:rsid w:val="001F2D3F"/>
    <w:rsid w:val="001F3335"/>
    <w:rsid w:val="001F36D5"/>
    <w:rsid w:val="001F56E1"/>
    <w:rsid w:val="001F6305"/>
    <w:rsid w:val="001F729F"/>
    <w:rsid w:val="001F7A61"/>
    <w:rsid w:val="00200866"/>
    <w:rsid w:val="00201DEF"/>
    <w:rsid w:val="0020274C"/>
    <w:rsid w:val="0020349C"/>
    <w:rsid w:val="002044E9"/>
    <w:rsid w:val="00204719"/>
    <w:rsid w:val="002050F5"/>
    <w:rsid w:val="00205B08"/>
    <w:rsid w:val="00205D08"/>
    <w:rsid w:val="00205E68"/>
    <w:rsid w:val="00206E2D"/>
    <w:rsid w:val="002101A3"/>
    <w:rsid w:val="0021039B"/>
    <w:rsid w:val="002116F8"/>
    <w:rsid w:val="0021220C"/>
    <w:rsid w:val="00213348"/>
    <w:rsid w:val="0021399D"/>
    <w:rsid w:val="0021410A"/>
    <w:rsid w:val="00214F66"/>
    <w:rsid w:val="00216354"/>
    <w:rsid w:val="0022016D"/>
    <w:rsid w:val="00221F0E"/>
    <w:rsid w:val="002228A4"/>
    <w:rsid w:val="00223B6F"/>
    <w:rsid w:val="00223E77"/>
    <w:rsid w:val="00224533"/>
    <w:rsid w:val="002252CD"/>
    <w:rsid w:val="00225584"/>
    <w:rsid w:val="00225594"/>
    <w:rsid w:val="0022650E"/>
    <w:rsid w:val="002265B1"/>
    <w:rsid w:val="00226B5C"/>
    <w:rsid w:val="00227C51"/>
    <w:rsid w:val="00230B88"/>
    <w:rsid w:val="00232F47"/>
    <w:rsid w:val="00233746"/>
    <w:rsid w:val="00233871"/>
    <w:rsid w:val="00234521"/>
    <w:rsid w:val="00235282"/>
    <w:rsid w:val="0023552E"/>
    <w:rsid w:val="002355CD"/>
    <w:rsid w:val="002361DC"/>
    <w:rsid w:val="00236564"/>
    <w:rsid w:val="002367DC"/>
    <w:rsid w:val="00236BD7"/>
    <w:rsid w:val="00236C73"/>
    <w:rsid w:val="00236E0E"/>
    <w:rsid w:val="00236ED5"/>
    <w:rsid w:val="00237C03"/>
    <w:rsid w:val="002408BB"/>
    <w:rsid w:val="002409B7"/>
    <w:rsid w:val="00240A30"/>
    <w:rsid w:val="00241B33"/>
    <w:rsid w:val="002425A0"/>
    <w:rsid w:val="00242DA0"/>
    <w:rsid w:val="00243226"/>
    <w:rsid w:val="00243F2F"/>
    <w:rsid w:val="00245725"/>
    <w:rsid w:val="00245C2C"/>
    <w:rsid w:val="00245D20"/>
    <w:rsid w:val="00245F08"/>
    <w:rsid w:val="00246C62"/>
    <w:rsid w:val="00247EDE"/>
    <w:rsid w:val="002500DA"/>
    <w:rsid w:val="0025067D"/>
    <w:rsid w:val="00251291"/>
    <w:rsid w:val="002515AD"/>
    <w:rsid w:val="002516ED"/>
    <w:rsid w:val="002522D7"/>
    <w:rsid w:val="00254208"/>
    <w:rsid w:val="00254336"/>
    <w:rsid w:val="00255C5D"/>
    <w:rsid w:val="00256026"/>
    <w:rsid w:val="00257730"/>
    <w:rsid w:val="0025785C"/>
    <w:rsid w:val="00257B62"/>
    <w:rsid w:val="00261E6B"/>
    <w:rsid w:val="00262DC0"/>
    <w:rsid w:val="002636D9"/>
    <w:rsid w:val="002639D2"/>
    <w:rsid w:val="002644FF"/>
    <w:rsid w:val="002648C1"/>
    <w:rsid w:val="00264D77"/>
    <w:rsid w:val="00264DA0"/>
    <w:rsid w:val="00265C2E"/>
    <w:rsid w:val="002664DE"/>
    <w:rsid w:val="0026681F"/>
    <w:rsid w:val="0026700D"/>
    <w:rsid w:val="00267118"/>
    <w:rsid w:val="002671C1"/>
    <w:rsid w:val="00267D64"/>
    <w:rsid w:val="00267F1C"/>
    <w:rsid w:val="002705D4"/>
    <w:rsid w:val="002719D5"/>
    <w:rsid w:val="00273494"/>
    <w:rsid w:val="002739FF"/>
    <w:rsid w:val="00273FDB"/>
    <w:rsid w:val="002742DF"/>
    <w:rsid w:val="00276653"/>
    <w:rsid w:val="00276E76"/>
    <w:rsid w:val="002802A0"/>
    <w:rsid w:val="00281099"/>
    <w:rsid w:val="002817B3"/>
    <w:rsid w:val="0028285E"/>
    <w:rsid w:val="00283606"/>
    <w:rsid w:val="00283851"/>
    <w:rsid w:val="00283CB5"/>
    <w:rsid w:val="00284874"/>
    <w:rsid w:val="00284C75"/>
    <w:rsid w:val="002859C0"/>
    <w:rsid w:val="00285A8A"/>
    <w:rsid w:val="00286082"/>
    <w:rsid w:val="00286B6C"/>
    <w:rsid w:val="00287711"/>
    <w:rsid w:val="00287CF9"/>
    <w:rsid w:val="00290694"/>
    <w:rsid w:val="00291441"/>
    <w:rsid w:val="00291858"/>
    <w:rsid w:val="002921F6"/>
    <w:rsid w:val="00292862"/>
    <w:rsid w:val="00292B77"/>
    <w:rsid w:val="00294F69"/>
    <w:rsid w:val="002950E0"/>
    <w:rsid w:val="00295156"/>
    <w:rsid w:val="00295800"/>
    <w:rsid w:val="00295AB9"/>
    <w:rsid w:val="00296BA8"/>
    <w:rsid w:val="00296DB7"/>
    <w:rsid w:val="00297D31"/>
    <w:rsid w:val="00297E68"/>
    <w:rsid w:val="002A1677"/>
    <w:rsid w:val="002A1B53"/>
    <w:rsid w:val="002A31FF"/>
    <w:rsid w:val="002A3AC4"/>
    <w:rsid w:val="002A44F6"/>
    <w:rsid w:val="002A52BA"/>
    <w:rsid w:val="002A5AB0"/>
    <w:rsid w:val="002A5B79"/>
    <w:rsid w:val="002A62BE"/>
    <w:rsid w:val="002A7435"/>
    <w:rsid w:val="002A743B"/>
    <w:rsid w:val="002A7527"/>
    <w:rsid w:val="002B0A90"/>
    <w:rsid w:val="002B0D5C"/>
    <w:rsid w:val="002B200D"/>
    <w:rsid w:val="002B32E8"/>
    <w:rsid w:val="002B368E"/>
    <w:rsid w:val="002B43F2"/>
    <w:rsid w:val="002B4A0C"/>
    <w:rsid w:val="002B4CBC"/>
    <w:rsid w:val="002B5150"/>
    <w:rsid w:val="002B5ED4"/>
    <w:rsid w:val="002B7699"/>
    <w:rsid w:val="002C1058"/>
    <w:rsid w:val="002C3486"/>
    <w:rsid w:val="002C5C14"/>
    <w:rsid w:val="002C5CC7"/>
    <w:rsid w:val="002C5F93"/>
    <w:rsid w:val="002C626C"/>
    <w:rsid w:val="002C67C5"/>
    <w:rsid w:val="002C74EB"/>
    <w:rsid w:val="002C75DC"/>
    <w:rsid w:val="002C778C"/>
    <w:rsid w:val="002C7B2D"/>
    <w:rsid w:val="002D0DDD"/>
    <w:rsid w:val="002D2380"/>
    <w:rsid w:val="002D2F20"/>
    <w:rsid w:val="002D3A17"/>
    <w:rsid w:val="002D48D9"/>
    <w:rsid w:val="002D524A"/>
    <w:rsid w:val="002D57EE"/>
    <w:rsid w:val="002D600A"/>
    <w:rsid w:val="002D671D"/>
    <w:rsid w:val="002D7783"/>
    <w:rsid w:val="002D779E"/>
    <w:rsid w:val="002E028E"/>
    <w:rsid w:val="002E1476"/>
    <w:rsid w:val="002E1526"/>
    <w:rsid w:val="002E1E1B"/>
    <w:rsid w:val="002E1FCE"/>
    <w:rsid w:val="002E2278"/>
    <w:rsid w:val="002E2EC5"/>
    <w:rsid w:val="002E2F39"/>
    <w:rsid w:val="002E45F6"/>
    <w:rsid w:val="002E4C30"/>
    <w:rsid w:val="002E51FF"/>
    <w:rsid w:val="002E56D6"/>
    <w:rsid w:val="002E608B"/>
    <w:rsid w:val="002E65D1"/>
    <w:rsid w:val="002E6FBD"/>
    <w:rsid w:val="002E70AE"/>
    <w:rsid w:val="002F0206"/>
    <w:rsid w:val="002F1159"/>
    <w:rsid w:val="002F2805"/>
    <w:rsid w:val="002F2A44"/>
    <w:rsid w:val="002F3958"/>
    <w:rsid w:val="002F45F3"/>
    <w:rsid w:val="002F4624"/>
    <w:rsid w:val="002F4D89"/>
    <w:rsid w:val="002F5282"/>
    <w:rsid w:val="002F5E1A"/>
    <w:rsid w:val="002F61D5"/>
    <w:rsid w:val="002F65E8"/>
    <w:rsid w:val="002F7195"/>
    <w:rsid w:val="0030049C"/>
    <w:rsid w:val="00302077"/>
    <w:rsid w:val="0030222B"/>
    <w:rsid w:val="00302E8C"/>
    <w:rsid w:val="003032E4"/>
    <w:rsid w:val="003034A0"/>
    <w:rsid w:val="00304332"/>
    <w:rsid w:val="0030485F"/>
    <w:rsid w:val="0030654B"/>
    <w:rsid w:val="003066C4"/>
    <w:rsid w:val="00306988"/>
    <w:rsid w:val="003071B0"/>
    <w:rsid w:val="00307897"/>
    <w:rsid w:val="003113B7"/>
    <w:rsid w:val="0031290D"/>
    <w:rsid w:val="003129E5"/>
    <w:rsid w:val="003136E6"/>
    <w:rsid w:val="003157E2"/>
    <w:rsid w:val="003172BC"/>
    <w:rsid w:val="003173A9"/>
    <w:rsid w:val="00317823"/>
    <w:rsid w:val="003179A4"/>
    <w:rsid w:val="00317D04"/>
    <w:rsid w:val="00321153"/>
    <w:rsid w:val="00321654"/>
    <w:rsid w:val="00321877"/>
    <w:rsid w:val="003218D7"/>
    <w:rsid w:val="00322408"/>
    <w:rsid w:val="00322A77"/>
    <w:rsid w:val="00323424"/>
    <w:rsid w:val="003239AA"/>
    <w:rsid w:val="00325D91"/>
    <w:rsid w:val="003267DA"/>
    <w:rsid w:val="003268EB"/>
    <w:rsid w:val="003274FE"/>
    <w:rsid w:val="00331088"/>
    <w:rsid w:val="0033165B"/>
    <w:rsid w:val="003328C2"/>
    <w:rsid w:val="00332A53"/>
    <w:rsid w:val="003330E7"/>
    <w:rsid w:val="00333230"/>
    <w:rsid w:val="00333AF1"/>
    <w:rsid w:val="003346B2"/>
    <w:rsid w:val="003358E4"/>
    <w:rsid w:val="00335A6E"/>
    <w:rsid w:val="00335AFC"/>
    <w:rsid w:val="00336043"/>
    <w:rsid w:val="00336AC3"/>
    <w:rsid w:val="0034145F"/>
    <w:rsid w:val="003415E0"/>
    <w:rsid w:val="00341991"/>
    <w:rsid w:val="00341BF4"/>
    <w:rsid w:val="0034213E"/>
    <w:rsid w:val="003428C1"/>
    <w:rsid w:val="00342ABE"/>
    <w:rsid w:val="0034380D"/>
    <w:rsid w:val="0034395B"/>
    <w:rsid w:val="00343DCC"/>
    <w:rsid w:val="003445B4"/>
    <w:rsid w:val="0034498E"/>
    <w:rsid w:val="00344E20"/>
    <w:rsid w:val="003458D3"/>
    <w:rsid w:val="00345FA8"/>
    <w:rsid w:val="00346E5E"/>
    <w:rsid w:val="00346FAE"/>
    <w:rsid w:val="00347055"/>
    <w:rsid w:val="0034730B"/>
    <w:rsid w:val="00347578"/>
    <w:rsid w:val="003476E3"/>
    <w:rsid w:val="0035057D"/>
    <w:rsid w:val="00350746"/>
    <w:rsid w:val="003511A5"/>
    <w:rsid w:val="0035198D"/>
    <w:rsid w:val="00351A2B"/>
    <w:rsid w:val="00352425"/>
    <w:rsid w:val="00352803"/>
    <w:rsid w:val="0035299B"/>
    <w:rsid w:val="00352C18"/>
    <w:rsid w:val="0035309C"/>
    <w:rsid w:val="0035372F"/>
    <w:rsid w:val="00353847"/>
    <w:rsid w:val="00353D3F"/>
    <w:rsid w:val="00353E9F"/>
    <w:rsid w:val="00354455"/>
    <w:rsid w:val="00354916"/>
    <w:rsid w:val="00355212"/>
    <w:rsid w:val="00356344"/>
    <w:rsid w:val="00356F51"/>
    <w:rsid w:val="00360CD7"/>
    <w:rsid w:val="00361930"/>
    <w:rsid w:val="0036259B"/>
    <w:rsid w:val="00362732"/>
    <w:rsid w:val="0036337E"/>
    <w:rsid w:val="00363525"/>
    <w:rsid w:val="00363CD4"/>
    <w:rsid w:val="003659CE"/>
    <w:rsid w:val="00366687"/>
    <w:rsid w:val="00366A4C"/>
    <w:rsid w:val="003671EC"/>
    <w:rsid w:val="0036730A"/>
    <w:rsid w:val="0036765D"/>
    <w:rsid w:val="003707D0"/>
    <w:rsid w:val="0037123F"/>
    <w:rsid w:val="00374277"/>
    <w:rsid w:val="0037519C"/>
    <w:rsid w:val="0037618F"/>
    <w:rsid w:val="0037650C"/>
    <w:rsid w:val="00377438"/>
    <w:rsid w:val="0037744A"/>
    <w:rsid w:val="0037757A"/>
    <w:rsid w:val="00377E84"/>
    <w:rsid w:val="00380A0E"/>
    <w:rsid w:val="00380DB6"/>
    <w:rsid w:val="003829DB"/>
    <w:rsid w:val="00382B11"/>
    <w:rsid w:val="003830D4"/>
    <w:rsid w:val="00383791"/>
    <w:rsid w:val="003839C5"/>
    <w:rsid w:val="003865A6"/>
    <w:rsid w:val="003865C5"/>
    <w:rsid w:val="0038669B"/>
    <w:rsid w:val="00386EC6"/>
    <w:rsid w:val="0038764D"/>
    <w:rsid w:val="003914B4"/>
    <w:rsid w:val="00391717"/>
    <w:rsid w:val="00391FA4"/>
    <w:rsid w:val="00393359"/>
    <w:rsid w:val="003937AD"/>
    <w:rsid w:val="00393F8E"/>
    <w:rsid w:val="00393F9C"/>
    <w:rsid w:val="0039442B"/>
    <w:rsid w:val="00394E9C"/>
    <w:rsid w:val="0039525E"/>
    <w:rsid w:val="00397859"/>
    <w:rsid w:val="003A10BC"/>
    <w:rsid w:val="003A1A7D"/>
    <w:rsid w:val="003A2166"/>
    <w:rsid w:val="003A274D"/>
    <w:rsid w:val="003A3137"/>
    <w:rsid w:val="003A34B6"/>
    <w:rsid w:val="003A35AD"/>
    <w:rsid w:val="003A42D7"/>
    <w:rsid w:val="003A4327"/>
    <w:rsid w:val="003A43EB"/>
    <w:rsid w:val="003A5B6A"/>
    <w:rsid w:val="003A71CC"/>
    <w:rsid w:val="003B02CC"/>
    <w:rsid w:val="003B0626"/>
    <w:rsid w:val="003B1592"/>
    <w:rsid w:val="003B1661"/>
    <w:rsid w:val="003B190A"/>
    <w:rsid w:val="003B2202"/>
    <w:rsid w:val="003B339C"/>
    <w:rsid w:val="003B3918"/>
    <w:rsid w:val="003B398F"/>
    <w:rsid w:val="003B443C"/>
    <w:rsid w:val="003B47C2"/>
    <w:rsid w:val="003B6316"/>
    <w:rsid w:val="003B68A4"/>
    <w:rsid w:val="003B6BEA"/>
    <w:rsid w:val="003B72CF"/>
    <w:rsid w:val="003C0256"/>
    <w:rsid w:val="003C0900"/>
    <w:rsid w:val="003C0A50"/>
    <w:rsid w:val="003C191B"/>
    <w:rsid w:val="003C197D"/>
    <w:rsid w:val="003C1B90"/>
    <w:rsid w:val="003C25DA"/>
    <w:rsid w:val="003C3596"/>
    <w:rsid w:val="003C3C4E"/>
    <w:rsid w:val="003C6A7B"/>
    <w:rsid w:val="003C7355"/>
    <w:rsid w:val="003C76D4"/>
    <w:rsid w:val="003C7C0B"/>
    <w:rsid w:val="003D0248"/>
    <w:rsid w:val="003D0E64"/>
    <w:rsid w:val="003D1BA9"/>
    <w:rsid w:val="003D1E9E"/>
    <w:rsid w:val="003D32EA"/>
    <w:rsid w:val="003D3678"/>
    <w:rsid w:val="003D3E19"/>
    <w:rsid w:val="003D3F5C"/>
    <w:rsid w:val="003D6B8E"/>
    <w:rsid w:val="003D70FE"/>
    <w:rsid w:val="003D79B4"/>
    <w:rsid w:val="003E0200"/>
    <w:rsid w:val="003E04C1"/>
    <w:rsid w:val="003E2B6E"/>
    <w:rsid w:val="003E2B81"/>
    <w:rsid w:val="003E4103"/>
    <w:rsid w:val="003E5952"/>
    <w:rsid w:val="003E7468"/>
    <w:rsid w:val="003F0D40"/>
    <w:rsid w:val="003F18EF"/>
    <w:rsid w:val="003F1A18"/>
    <w:rsid w:val="003F1B96"/>
    <w:rsid w:val="003F217A"/>
    <w:rsid w:val="003F261A"/>
    <w:rsid w:val="003F35A0"/>
    <w:rsid w:val="003F46A8"/>
    <w:rsid w:val="003F4E67"/>
    <w:rsid w:val="003F5DD0"/>
    <w:rsid w:val="003F6008"/>
    <w:rsid w:val="003F6295"/>
    <w:rsid w:val="003F7CCE"/>
    <w:rsid w:val="003F7D18"/>
    <w:rsid w:val="004007D1"/>
    <w:rsid w:val="00400C5C"/>
    <w:rsid w:val="00401842"/>
    <w:rsid w:val="00401F2C"/>
    <w:rsid w:val="00401FE2"/>
    <w:rsid w:val="00402302"/>
    <w:rsid w:val="004028B9"/>
    <w:rsid w:val="00402EC6"/>
    <w:rsid w:val="004032FF"/>
    <w:rsid w:val="004045D4"/>
    <w:rsid w:val="00406283"/>
    <w:rsid w:val="00406F88"/>
    <w:rsid w:val="00407EB5"/>
    <w:rsid w:val="00411CFC"/>
    <w:rsid w:val="004126A4"/>
    <w:rsid w:val="004136C9"/>
    <w:rsid w:val="00413C1A"/>
    <w:rsid w:val="00414B52"/>
    <w:rsid w:val="00415150"/>
    <w:rsid w:val="00415635"/>
    <w:rsid w:val="00416124"/>
    <w:rsid w:val="00417EC6"/>
    <w:rsid w:val="004203CA"/>
    <w:rsid w:val="0042125E"/>
    <w:rsid w:val="004217D3"/>
    <w:rsid w:val="00422F71"/>
    <w:rsid w:val="004233A7"/>
    <w:rsid w:val="0042349D"/>
    <w:rsid w:val="0042381E"/>
    <w:rsid w:val="00423DD3"/>
    <w:rsid w:val="00425AAE"/>
    <w:rsid w:val="0042611B"/>
    <w:rsid w:val="00427433"/>
    <w:rsid w:val="00427DD2"/>
    <w:rsid w:val="0043013C"/>
    <w:rsid w:val="00430152"/>
    <w:rsid w:val="00430F01"/>
    <w:rsid w:val="00431387"/>
    <w:rsid w:val="00431628"/>
    <w:rsid w:val="00432191"/>
    <w:rsid w:val="0043292F"/>
    <w:rsid w:val="004329EE"/>
    <w:rsid w:val="00432D3D"/>
    <w:rsid w:val="00433E94"/>
    <w:rsid w:val="004361DC"/>
    <w:rsid w:val="00436200"/>
    <w:rsid w:val="00436D50"/>
    <w:rsid w:val="00437304"/>
    <w:rsid w:val="0044103E"/>
    <w:rsid w:val="00442DB0"/>
    <w:rsid w:val="00442E4D"/>
    <w:rsid w:val="004442FF"/>
    <w:rsid w:val="00444A27"/>
    <w:rsid w:val="0044597E"/>
    <w:rsid w:val="00446CE2"/>
    <w:rsid w:val="00447888"/>
    <w:rsid w:val="004503B6"/>
    <w:rsid w:val="004507CE"/>
    <w:rsid w:val="0045212B"/>
    <w:rsid w:val="004525D2"/>
    <w:rsid w:val="00453DBC"/>
    <w:rsid w:val="004542DA"/>
    <w:rsid w:val="00454A81"/>
    <w:rsid w:val="00454DBC"/>
    <w:rsid w:val="00456A2C"/>
    <w:rsid w:val="00456BB9"/>
    <w:rsid w:val="00456FBF"/>
    <w:rsid w:val="00457295"/>
    <w:rsid w:val="00460398"/>
    <w:rsid w:val="00460690"/>
    <w:rsid w:val="00462257"/>
    <w:rsid w:val="00462F96"/>
    <w:rsid w:val="00464A5C"/>
    <w:rsid w:val="004652C8"/>
    <w:rsid w:val="004652DA"/>
    <w:rsid w:val="00465662"/>
    <w:rsid w:val="004664CE"/>
    <w:rsid w:val="004674EB"/>
    <w:rsid w:val="00470CA1"/>
    <w:rsid w:val="00471955"/>
    <w:rsid w:val="00472719"/>
    <w:rsid w:val="00474E00"/>
    <w:rsid w:val="004751E8"/>
    <w:rsid w:val="00480990"/>
    <w:rsid w:val="00482352"/>
    <w:rsid w:val="0048286C"/>
    <w:rsid w:val="00484870"/>
    <w:rsid w:val="0048609B"/>
    <w:rsid w:val="0048619C"/>
    <w:rsid w:val="0048664B"/>
    <w:rsid w:val="00487685"/>
    <w:rsid w:val="0048785C"/>
    <w:rsid w:val="00487E97"/>
    <w:rsid w:val="00490021"/>
    <w:rsid w:val="00490D10"/>
    <w:rsid w:val="00490F66"/>
    <w:rsid w:val="0049284D"/>
    <w:rsid w:val="00492EC4"/>
    <w:rsid w:val="0049334F"/>
    <w:rsid w:val="004942C3"/>
    <w:rsid w:val="004944D6"/>
    <w:rsid w:val="00494B42"/>
    <w:rsid w:val="00494B5A"/>
    <w:rsid w:val="00495E7C"/>
    <w:rsid w:val="00497841"/>
    <w:rsid w:val="004A0137"/>
    <w:rsid w:val="004A0DDD"/>
    <w:rsid w:val="004A3191"/>
    <w:rsid w:val="004A31E8"/>
    <w:rsid w:val="004A41ED"/>
    <w:rsid w:val="004A452B"/>
    <w:rsid w:val="004A466E"/>
    <w:rsid w:val="004A4ACA"/>
    <w:rsid w:val="004A58DC"/>
    <w:rsid w:val="004A5978"/>
    <w:rsid w:val="004A6F49"/>
    <w:rsid w:val="004A73C2"/>
    <w:rsid w:val="004B08BD"/>
    <w:rsid w:val="004B0B92"/>
    <w:rsid w:val="004B0F61"/>
    <w:rsid w:val="004B0F80"/>
    <w:rsid w:val="004B1294"/>
    <w:rsid w:val="004B219C"/>
    <w:rsid w:val="004B23C5"/>
    <w:rsid w:val="004B25C5"/>
    <w:rsid w:val="004B3C1A"/>
    <w:rsid w:val="004B5202"/>
    <w:rsid w:val="004B57BD"/>
    <w:rsid w:val="004C0C32"/>
    <w:rsid w:val="004C1359"/>
    <w:rsid w:val="004C1607"/>
    <w:rsid w:val="004C1CCA"/>
    <w:rsid w:val="004C3E4C"/>
    <w:rsid w:val="004C3F43"/>
    <w:rsid w:val="004C4804"/>
    <w:rsid w:val="004C5C42"/>
    <w:rsid w:val="004C7699"/>
    <w:rsid w:val="004C77F2"/>
    <w:rsid w:val="004C7C6B"/>
    <w:rsid w:val="004D0C52"/>
    <w:rsid w:val="004D0E4C"/>
    <w:rsid w:val="004D16F9"/>
    <w:rsid w:val="004D1FA1"/>
    <w:rsid w:val="004D26BE"/>
    <w:rsid w:val="004D297E"/>
    <w:rsid w:val="004D4C3A"/>
    <w:rsid w:val="004D4E6E"/>
    <w:rsid w:val="004D53F4"/>
    <w:rsid w:val="004D5831"/>
    <w:rsid w:val="004D775F"/>
    <w:rsid w:val="004D7B1F"/>
    <w:rsid w:val="004D7EB8"/>
    <w:rsid w:val="004E0E71"/>
    <w:rsid w:val="004E1888"/>
    <w:rsid w:val="004E18A8"/>
    <w:rsid w:val="004E1A61"/>
    <w:rsid w:val="004E3104"/>
    <w:rsid w:val="004E375C"/>
    <w:rsid w:val="004E42F3"/>
    <w:rsid w:val="004E4A30"/>
    <w:rsid w:val="004E4A5E"/>
    <w:rsid w:val="004F00BA"/>
    <w:rsid w:val="004F09D9"/>
    <w:rsid w:val="004F0CCA"/>
    <w:rsid w:val="004F1046"/>
    <w:rsid w:val="004F11E4"/>
    <w:rsid w:val="004F1646"/>
    <w:rsid w:val="004F1B89"/>
    <w:rsid w:val="004F238F"/>
    <w:rsid w:val="004F5568"/>
    <w:rsid w:val="004F6C6B"/>
    <w:rsid w:val="004F6EC8"/>
    <w:rsid w:val="004F77BB"/>
    <w:rsid w:val="004F7B91"/>
    <w:rsid w:val="00501142"/>
    <w:rsid w:val="0050545F"/>
    <w:rsid w:val="00505A96"/>
    <w:rsid w:val="00505B2B"/>
    <w:rsid w:val="00506621"/>
    <w:rsid w:val="00507081"/>
    <w:rsid w:val="00507A2F"/>
    <w:rsid w:val="005100FD"/>
    <w:rsid w:val="00510442"/>
    <w:rsid w:val="0051085C"/>
    <w:rsid w:val="00511D5A"/>
    <w:rsid w:val="00512481"/>
    <w:rsid w:val="00513D26"/>
    <w:rsid w:val="00521316"/>
    <w:rsid w:val="00521948"/>
    <w:rsid w:val="00522355"/>
    <w:rsid w:val="00522CFD"/>
    <w:rsid w:val="00522EE9"/>
    <w:rsid w:val="005238B7"/>
    <w:rsid w:val="00526068"/>
    <w:rsid w:val="00526912"/>
    <w:rsid w:val="005271CB"/>
    <w:rsid w:val="0053122B"/>
    <w:rsid w:val="00534488"/>
    <w:rsid w:val="00534814"/>
    <w:rsid w:val="005349E4"/>
    <w:rsid w:val="00536F82"/>
    <w:rsid w:val="0054160A"/>
    <w:rsid w:val="00541C00"/>
    <w:rsid w:val="00541D18"/>
    <w:rsid w:val="00542EAB"/>
    <w:rsid w:val="0054393E"/>
    <w:rsid w:val="00544516"/>
    <w:rsid w:val="005469C0"/>
    <w:rsid w:val="00547367"/>
    <w:rsid w:val="005473DA"/>
    <w:rsid w:val="00547903"/>
    <w:rsid w:val="00547FD7"/>
    <w:rsid w:val="00550520"/>
    <w:rsid w:val="00550C91"/>
    <w:rsid w:val="005522DC"/>
    <w:rsid w:val="005529F5"/>
    <w:rsid w:val="00552ED6"/>
    <w:rsid w:val="00552F6D"/>
    <w:rsid w:val="005545AE"/>
    <w:rsid w:val="00554D55"/>
    <w:rsid w:val="00554FA4"/>
    <w:rsid w:val="00555103"/>
    <w:rsid w:val="0055678E"/>
    <w:rsid w:val="00556FDC"/>
    <w:rsid w:val="00557184"/>
    <w:rsid w:val="005572C7"/>
    <w:rsid w:val="005600D0"/>
    <w:rsid w:val="00561038"/>
    <w:rsid w:val="00561375"/>
    <w:rsid w:val="00561566"/>
    <w:rsid w:val="00561B4E"/>
    <w:rsid w:val="00561D31"/>
    <w:rsid w:val="005632B0"/>
    <w:rsid w:val="00563498"/>
    <w:rsid w:val="00563733"/>
    <w:rsid w:val="00564328"/>
    <w:rsid w:val="0056496E"/>
    <w:rsid w:val="005650E5"/>
    <w:rsid w:val="00565B6B"/>
    <w:rsid w:val="00566998"/>
    <w:rsid w:val="0056790C"/>
    <w:rsid w:val="00567A89"/>
    <w:rsid w:val="00567FFD"/>
    <w:rsid w:val="005701BF"/>
    <w:rsid w:val="0057061F"/>
    <w:rsid w:val="00571399"/>
    <w:rsid w:val="00572EB3"/>
    <w:rsid w:val="00576112"/>
    <w:rsid w:val="005777D7"/>
    <w:rsid w:val="00577E95"/>
    <w:rsid w:val="00580B10"/>
    <w:rsid w:val="00581741"/>
    <w:rsid w:val="00581E00"/>
    <w:rsid w:val="0058214F"/>
    <w:rsid w:val="00583433"/>
    <w:rsid w:val="00586CCC"/>
    <w:rsid w:val="00590697"/>
    <w:rsid w:val="005918A1"/>
    <w:rsid w:val="00591A68"/>
    <w:rsid w:val="0059223B"/>
    <w:rsid w:val="00592982"/>
    <w:rsid w:val="00594294"/>
    <w:rsid w:val="005942AF"/>
    <w:rsid w:val="00594EDC"/>
    <w:rsid w:val="00595F3E"/>
    <w:rsid w:val="00596EC8"/>
    <w:rsid w:val="005979C5"/>
    <w:rsid w:val="00597B37"/>
    <w:rsid w:val="00597DC9"/>
    <w:rsid w:val="005A073A"/>
    <w:rsid w:val="005A0778"/>
    <w:rsid w:val="005A0BB6"/>
    <w:rsid w:val="005A1902"/>
    <w:rsid w:val="005A3589"/>
    <w:rsid w:val="005A35B3"/>
    <w:rsid w:val="005A39E2"/>
    <w:rsid w:val="005A3BF1"/>
    <w:rsid w:val="005A3C04"/>
    <w:rsid w:val="005A468F"/>
    <w:rsid w:val="005A56FB"/>
    <w:rsid w:val="005A726A"/>
    <w:rsid w:val="005B0780"/>
    <w:rsid w:val="005B16C9"/>
    <w:rsid w:val="005B2733"/>
    <w:rsid w:val="005B41AE"/>
    <w:rsid w:val="005B4DAF"/>
    <w:rsid w:val="005B4FD0"/>
    <w:rsid w:val="005B6585"/>
    <w:rsid w:val="005B6879"/>
    <w:rsid w:val="005B6B99"/>
    <w:rsid w:val="005B6DF7"/>
    <w:rsid w:val="005B7A57"/>
    <w:rsid w:val="005B7EFE"/>
    <w:rsid w:val="005C11BC"/>
    <w:rsid w:val="005C1E8C"/>
    <w:rsid w:val="005C33D4"/>
    <w:rsid w:val="005C3AFA"/>
    <w:rsid w:val="005C3F72"/>
    <w:rsid w:val="005C43A6"/>
    <w:rsid w:val="005C6BB3"/>
    <w:rsid w:val="005C6DE3"/>
    <w:rsid w:val="005C7D20"/>
    <w:rsid w:val="005D0A4D"/>
    <w:rsid w:val="005D1522"/>
    <w:rsid w:val="005D1BCD"/>
    <w:rsid w:val="005D2D13"/>
    <w:rsid w:val="005D3B00"/>
    <w:rsid w:val="005D47BD"/>
    <w:rsid w:val="005D6159"/>
    <w:rsid w:val="005D633A"/>
    <w:rsid w:val="005D75AF"/>
    <w:rsid w:val="005D78E4"/>
    <w:rsid w:val="005D7A3B"/>
    <w:rsid w:val="005E0002"/>
    <w:rsid w:val="005E1CDC"/>
    <w:rsid w:val="005E288A"/>
    <w:rsid w:val="005E33F3"/>
    <w:rsid w:val="005E477C"/>
    <w:rsid w:val="005E4981"/>
    <w:rsid w:val="005E4E2B"/>
    <w:rsid w:val="005F02D5"/>
    <w:rsid w:val="005F2055"/>
    <w:rsid w:val="005F2D69"/>
    <w:rsid w:val="005F53EB"/>
    <w:rsid w:val="005F6F3C"/>
    <w:rsid w:val="005F7CE8"/>
    <w:rsid w:val="006005E5"/>
    <w:rsid w:val="006010C6"/>
    <w:rsid w:val="006028C6"/>
    <w:rsid w:val="00602A14"/>
    <w:rsid w:val="00602DA1"/>
    <w:rsid w:val="00603010"/>
    <w:rsid w:val="00603554"/>
    <w:rsid w:val="00605153"/>
    <w:rsid w:val="006055C3"/>
    <w:rsid w:val="00605885"/>
    <w:rsid w:val="006064D7"/>
    <w:rsid w:val="006074C2"/>
    <w:rsid w:val="006106A2"/>
    <w:rsid w:val="00610775"/>
    <w:rsid w:val="006117AD"/>
    <w:rsid w:val="00613FFC"/>
    <w:rsid w:val="00614DEB"/>
    <w:rsid w:val="00616012"/>
    <w:rsid w:val="00616310"/>
    <w:rsid w:val="00617A17"/>
    <w:rsid w:val="00621BDD"/>
    <w:rsid w:val="00621D0D"/>
    <w:rsid w:val="0062214C"/>
    <w:rsid w:val="00622558"/>
    <w:rsid w:val="00622C00"/>
    <w:rsid w:val="00622E03"/>
    <w:rsid w:val="006234D7"/>
    <w:rsid w:val="006237AB"/>
    <w:rsid w:val="00623800"/>
    <w:rsid w:val="00623E81"/>
    <w:rsid w:val="00625456"/>
    <w:rsid w:val="00625777"/>
    <w:rsid w:val="00626144"/>
    <w:rsid w:val="006273CD"/>
    <w:rsid w:val="0063006E"/>
    <w:rsid w:val="00631BEB"/>
    <w:rsid w:val="00632833"/>
    <w:rsid w:val="00633416"/>
    <w:rsid w:val="00633C4F"/>
    <w:rsid w:val="0063520D"/>
    <w:rsid w:val="006353CB"/>
    <w:rsid w:val="0063591E"/>
    <w:rsid w:val="006360BE"/>
    <w:rsid w:val="00636FF7"/>
    <w:rsid w:val="00637B47"/>
    <w:rsid w:val="00637CCA"/>
    <w:rsid w:val="0064000A"/>
    <w:rsid w:val="00640815"/>
    <w:rsid w:val="00640DFF"/>
    <w:rsid w:val="00640E4F"/>
    <w:rsid w:val="00640E62"/>
    <w:rsid w:val="00641477"/>
    <w:rsid w:val="00641A8D"/>
    <w:rsid w:val="00642AF4"/>
    <w:rsid w:val="00642B32"/>
    <w:rsid w:val="0064383E"/>
    <w:rsid w:val="00644119"/>
    <w:rsid w:val="00644688"/>
    <w:rsid w:val="00645918"/>
    <w:rsid w:val="006461E0"/>
    <w:rsid w:val="00646539"/>
    <w:rsid w:val="00647D9C"/>
    <w:rsid w:val="00647EA1"/>
    <w:rsid w:val="006503A2"/>
    <w:rsid w:val="00650582"/>
    <w:rsid w:val="0065152B"/>
    <w:rsid w:val="006518B5"/>
    <w:rsid w:val="006532C8"/>
    <w:rsid w:val="006537C9"/>
    <w:rsid w:val="006540B4"/>
    <w:rsid w:val="00654E1F"/>
    <w:rsid w:val="00655175"/>
    <w:rsid w:val="0065708E"/>
    <w:rsid w:val="006570E8"/>
    <w:rsid w:val="00657308"/>
    <w:rsid w:val="00657A7E"/>
    <w:rsid w:val="00657B9B"/>
    <w:rsid w:val="00657FAB"/>
    <w:rsid w:val="0066002D"/>
    <w:rsid w:val="00660AA7"/>
    <w:rsid w:val="00661905"/>
    <w:rsid w:val="006620C5"/>
    <w:rsid w:val="00662A3F"/>
    <w:rsid w:val="00663FCF"/>
    <w:rsid w:val="00664496"/>
    <w:rsid w:val="006655D1"/>
    <w:rsid w:val="00671FFD"/>
    <w:rsid w:val="00672649"/>
    <w:rsid w:val="0067296D"/>
    <w:rsid w:val="00673434"/>
    <w:rsid w:val="00673EB5"/>
    <w:rsid w:val="00674E0C"/>
    <w:rsid w:val="00675A30"/>
    <w:rsid w:val="006760E1"/>
    <w:rsid w:val="00676D5B"/>
    <w:rsid w:val="00676D6B"/>
    <w:rsid w:val="00677F93"/>
    <w:rsid w:val="00681006"/>
    <w:rsid w:val="006813D4"/>
    <w:rsid w:val="00681D97"/>
    <w:rsid w:val="00682F20"/>
    <w:rsid w:val="00683916"/>
    <w:rsid w:val="00683B56"/>
    <w:rsid w:val="006841F9"/>
    <w:rsid w:val="006851FE"/>
    <w:rsid w:val="00685C52"/>
    <w:rsid w:val="006866BD"/>
    <w:rsid w:val="00686BC3"/>
    <w:rsid w:val="00691AE2"/>
    <w:rsid w:val="00692277"/>
    <w:rsid w:val="00692703"/>
    <w:rsid w:val="00692D50"/>
    <w:rsid w:val="00694271"/>
    <w:rsid w:val="00694368"/>
    <w:rsid w:val="00695044"/>
    <w:rsid w:val="00695349"/>
    <w:rsid w:val="00695397"/>
    <w:rsid w:val="0069549B"/>
    <w:rsid w:val="00696372"/>
    <w:rsid w:val="0069678A"/>
    <w:rsid w:val="00696A24"/>
    <w:rsid w:val="006976DF"/>
    <w:rsid w:val="006A0A11"/>
    <w:rsid w:val="006A157F"/>
    <w:rsid w:val="006A1C51"/>
    <w:rsid w:val="006A23DF"/>
    <w:rsid w:val="006A3D19"/>
    <w:rsid w:val="006A5AAB"/>
    <w:rsid w:val="006A69E5"/>
    <w:rsid w:val="006A7286"/>
    <w:rsid w:val="006B1CCE"/>
    <w:rsid w:val="006B2C70"/>
    <w:rsid w:val="006B347B"/>
    <w:rsid w:val="006B3936"/>
    <w:rsid w:val="006B3A0B"/>
    <w:rsid w:val="006B58A4"/>
    <w:rsid w:val="006B64C0"/>
    <w:rsid w:val="006B68DD"/>
    <w:rsid w:val="006B6A18"/>
    <w:rsid w:val="006B6B37"/>
    <w:rsid w:val="006B706C"/>
    <w:rsid w:val="006B732B"/>
    <w:rsid w:val="006B74EA"/>
    <w:rsid w:val="006B7AF5"/>
    <w:rsid w:val="006B7F18"/>
    <w:rsid w:val="006C075C"/>
    <w:rsid w:val="006C15F7"/>
    <w:rsid w:val="006C19D3"/>
    <w:rsid w:val="006C1EF6"/>
    <w:rsid w:val="006C4037"/>
    <w:rsid w:val="006C447E"/>
    <w:rsid w:val="006C683C"/>
    <w:rsid w:val="006C6C57"/>
    <w:rsid w:val="006C6D4D"/>
    <w:rsid w:val="006C7008"/>
    <w:rsid w:val="006C702E"/>
    <w:rsid w:val="006C73C3"/>
    <w:rsid w:val="006C748A"/>
    <w:rsid w:val="006C7CC9"/>
    <w:rsid w:val="006D1C2C"/>
    <w:rsid w:val="006D205E"/>
    <w:rsid w:val="006D2962"/>
    <w:rsid w:val="006D37AA"/>
    <w:rsid w:val="006D5BC0"/>
    <w:rsid w:val="006D6023"/>
    <w:rsid w:val="006D6C07"/>
    <w:rsid w:val="006D6ED6"/>
    <w:rsid w:val="006D7714"/>
    <w:rsid w:val="006D79CC"/>
    <w:rsid w:val="006D7D90"/>
    <w:rsid w:val="006E050C"/>
    <w:rsid w:val="006E1170"/>
    <w:rsid w:val="006E18B0"/>
    <w:rsid w:val="006E1E9E"/>
    <w:rsid w:val="006E2B23"/>
    <w:rsid w:val="006E4052"/>
    <w:rsid w:val="006E43C6"/>
    <w:rsid w:val="006E496F"/>
    <w:rsid w:val="006E5D15"/>
    <w:rsid w:val="006E5D7E"/>
    <w:rsid w:val="006E682D"/>
    <w:rsid w:val="006E7273"/>
    <w:rsid w:val="006E7941"/>
    <w:rsid w:val="006F0288"/>
    <w:rsid w:val="006F17F8"/>
    <w:rsid w:val="006F1BFB"/>
    <w:rsid w:val="006F27F5"/>
    <w:rsid w:val="006F505F"/>
    <w:rsid w:val="006F6794"/>
    <w:rsid w:val="006F7FFC"/>
    <w:rsid w:val="00701E9B"/>
    <w:rsid w:val="00702C9A"/>
    <w:rsid w:val="00703061"/>
    <w:rsid w:val="00704527"/>
    <w:rsid w:val="00704FA3"/>
    <w:rsid w:val="00705049"/>
    <w:rsid w:val="007054E3"/>
    <w:rsid w:val="00707431"/>
    <w:rsid w:val="00710015"/>
    <w:rsid w:val="007100B3"/>
    <w:rsid w:val="007109D6"/>
    <w:rsid w:val="00711421"/>
    <w:rsid w:val="00712026"/>
    <w:rsid w:val="0071204C"/>
    <w:rsid w:val="007124B6"/>
    <w:rsid w:val="00713F71"/>
    <w:rsid w:val="00714003"/>
    <w:rsid w:val="00715080"/>
    <w:rsid w:val="0071522A"/>
    <w:rsid w:val="00716259"/>
    <w:rsid w:val="007179B9"/>
    <w:rsid w:val="007201F5"/>
    <w:rsid w:val="00722FFD"/>
    <w:rsid w:val="00723AB5"/>
    <w:rsid w:val="00723B99"/>
    <w:rsid w:val="00723FDA"/>
    <w:rsid w:val="00725FFF"/>
    <w:rsid w:val="00726956"/>
    <w:rsid w:val="0072750A"/>
    <w:rsid w:val="007302D4"/>
    <w:rsid w:val="007303D8"/>
    <w:rsid w:val="00732A28"/>
    <w:rsid w:val="00732EB0"/>
    <w:rsid w:val="007344D2"/>
    <w:rsid w:val="007347FD"/>
    <w:rsid w:val="00734CB2"/>
    <w:rsid w:val="00735353"/>
    <w:rsid w:val="00735388"/>
    <w:rsid w:val="00736138"/>
    <w:rsid w:val="00736838"/>
    <w:rsid w:val="00737007"/>
    <w:rsid w:val="0073738D"/>
    <w:rsid w:val="007403A7"/>
    <w:rsid w:val="00740EEE"/>
    <w:rsid w:val="00741689"/>
    <w:rsid w:val="00741BC4"/>
    <w:rsid w:val="007429FA"/>
    <w:rsid w:val="00742B76"/>
    <w:rsid w:val="00742BFC"/>
    <w:rsid w:val="00742D63"/>
    <w:rsid w:val="007432E4"/>
    <w:rsid w:val="00744714"/>
    <w:rsid w:val="0074531F"/>
    <w:rsid w:val="00746713"/>
    <w:rsid w:val="00746CBE"/>
    <w:rsid w:val="00750228"/>
    <w:rsid w:val="007513A5"/>
    <w:rsid w:val="00751A4B"/>
    <w:rsid w:val="00751AD6"/>
    <w:rsid w:val="0075357A"/>
    <w:rsid w:val="0075401E"/>
    <w:rsid w:val="00755318"/>
    <w:rsid w:val="0075564B"/>
    <w:rsid w:val="00755B93"/>
    <w:rsid w:val="007565D7"/>
    <w:rsid w:val="007569BA"/>
    <w:rsid w:val="00756AFD"/>
    <w:rsid w:val="00757DFD"/>
    <w:rsid w:val="00760469"/>
    <w:rsid w:val="007616E4"/>
    <w:rsid w:val="00761831"/>
    <w:rsid w:val="00762045"/>
    <w:rsid w:val="007627D8"/>
    <w:rsid w:val="00763451"/>
    <w:rsid w:val="007651A8"/>
    <w:rsid w:val="007651FC"/>
    <w:rsid w:val="00765B18"/>
    <w:rsid w:val="007662D4"/>
    <w:rsid w:val="00766AA0"/>
    <w:rsid w:val="007670FC"/>
    <w:rsid w:val="00767676"/>
    <w:rsid w:val="0076781A"/>
    <w:rsid w:val="00767D40"/>
    <w:rsid w:val="00770213"/>
    <w:rsid w:val="00772344"/>
    <w:rsid w:val="0077258C"/>
    <w:rsid w:val="0077478D"/>
    <w:rsid w:val="00776450"/>
    <w:rsid w:val="00776BFD"/>
    <w:rsid w:val="007774B7"/>
    <w:rsid w:val="0077796E"/>
    <w:rsid w:val="00781C79"/>
    <w:rsid w:val="007823C3"/>
    <w:rsid w:val="00782728"/>
    <w:rsid w:val="00782EEE"/>
    <w:rsid w:val="007848E7"/>
    <w:rsid w:val="00785166"/>
    <w:rsid w:val="00785CAB"/>
    <w:rsid w:val="00785F25"/>
    <w:rsid w:val="007863DD"/>
    <w:rsid w:val="00786FC3"/>
    <w:rsid w:val="00787672"/>
    <w:rsid w:val="0078783A"/>
    <w:rsid w:val="00787AAA"/>
    <w:rsid w:val="00790209"/>
    <w:rsid w:val="0079090C"/>
    <w:rsid w:val="00791378"/>
    <w:rsid w:val="007914C7"/>
    <w:rsid w:val="0079251A"/>
    <w:rsid w:val="00792848"/>
    <w:rsid w:val="007929D0"/>
    <w:rsid w:val="00792BD9"/>
    <w:rsid w:val="007931B5"/>
    <w:rsid w:val="00793390"/>
    <w:rsid w:val="00795094"/>
    <w:rsid w:val="0079594B"/>
    <w:rsid w:val="00795AD9"/>
    <w:rsid w:val="00795C86"/>
    <w:rsid w:val="00795EE1"/>
    <w:rsid w:val="00797090"/>
    <w:rsid w:val="007A200C"/>
    <w:rsid w:val="007A24A7"/>
    <w:rsid w:val="007A3456"/>
    <w:rsid w:val="007A3FD1"/>
    <w:rsid w:val="007A4771"/>
    <w:rsid w:val="007A5BFF"/>
    <w:rsid w:val="007A5DAB"/>
    <w:rsid w:val="007A652F"/>
    <w:rsid w:val="007A6657"/>
    <w:rsid w:val="007A7041"/>
    <w:rsid w:val="007A7188"/>
    <w:rsid w:val="007B0C48"/>
    <w:rsid w:val="007B0DA8"/>
    <w:rsid w:val="007B18F1"/>
    <w:rsid w:val="007B2FBC"/>
    <w:rsid w:val="007B45C6"/>
    <w:rsid w:val="007B5123"/>
    <w:rsid w:val="007B60C3"/>
    <w:rsid w:val="007B678D"/>
    <w:rsid w:val="007B73BE"/>
    <w:rsid w:val="007B7C7E"/>
    <w:rsid w:val="007C011C"/>
    <w:rsid w:val="007C0331"/>
    <w:rsid w:val="007C2786"/>
    <w:rsid w:val="007C371D"/>
    <w:rsid w:val="007C3A12"/>
    <w:rsid w:val="007C419D"/>
    <w:rsid w:val="007C439B"/>
    <w:rsid w:val="007C4744"/>
    <w:rsid w:val="007C4AB0"/>
    <w:rsid w:val="007C4C31"/>
    <w:rsid w:val="007C5803"/>
    <w:rsid w:val="007C58BF"/>
    <w:rsid w:val="007C636B"/>
    <w:rsid w:val="007C663A"/>
    <w:rsid w:val="007C6697"/>
    <w:rsid w:val="007C74A7"/>
    <w:rsid w:val="007C7583"/>
    <w:rsid w:val="007D0548"/>
    <w:rsid w:val="007D0E05"/>
    <w:rsid w:val="007D1099"/>
    <w:rsid w:val="007D1254"/>
    <w:rsid w:val="007D1557"/>
    <w:rsid w:val="007D18D8"/>
    <w:rsid w:val="007D3B69"/>
    <w:rsid w:val="007D448F"/>
    <w:rsid w:val="007D51A2"/>
    <w:rsid w:val="007D6AD2"/>
    <w:rsid w:val="007D7273"/>
    <w:rsid w:val="007E08BA"/>
    <w:rsid w:val="007E0B02"/>
    <w:rsid w:val="007E0B43"/>
    <w:rsid w:val="007E0E9A"/>
    <w:rsid w:val="007E1607"/>
    <w:rsid w:val="007E17B4"/>
    <w:rsid w:val="007E1D1E"/>
    <w:rsid w:val="007E2D86"/>
    <w:rsid w:val="007E343D"/>
    <w:rsid w:val="007E5201"/>
    <w:rsid w:val="007E73D8"/>
    <w:rsid w:val="007E7623"/>
    <w:rsid w:val="007E790D"/>
    <w:rsid w:val="007E7C55"/>
    <w:rsid w:val="007F087A"/>
    <w:rsid w:val="007F1047"/>
    <w:rsid w:val="007F1BD0"/>
    <w:rsid w:val="007F22BD"/>
    <w:rsid w:val="007F2E5C"/>
    <w:rsid w:val="007F3FBA"/>
    <w:rsid w:val="007F4AB1"/>
    <w:rsid w:val="007F566C"/>
    <w:rsid w:val="007F5760"/>
    <w:rsid w:val="007F5B22"/>
    <w:rsid w:val="007F63BB"/>
    <w:rsid w:val="007F69A8"/>
    <w:rsid w:val="007F7202"/>
    <w:rsid w:val="00802424"/>
    <w:rsid w:val="0080269B"/>
    <w:rsid w:val="008026BE"/>
    <w:rsid w:val="00803A1B"/>
    <w:rsid w:val="00804CCE"/>
    <w:rsid w:val="00805125"/>
    <w:rsid w:val="008052CA"/>
    <w:rsid w:val="00806737"/>
    <w:rsid w:val="0080673F"/>
    <w:rsid w:val="0080729A"/>
    <w:rsid w:val="0081011F"/>
    <w:rsid w:val="00810892"/>
    <w:rsid w:val="008115D6"/>
    <w:rsid w:val="0081208E"/>
    <w:rsid w:val="00815E5E"/>
    <w:rsid w:val="00816CB5"/>
    <w:rsid w:val="008201B7"/>
    <w:rsid w:val="00820965"/>
    <w:rsid w:val="00823116"/>
    <w:rsid w:val="00824406"/>
    <w:rsid w:val="0082580F"/>
    <w:rsid w:val="00827B7C"/>
    <w:rsid w:val="008302E9"/>
    <w:rsid w:val="00830F9C"/>
    <w:rsid w:val="0083164E"/>
    <w:rsid w:val="00833053"/>
    <w:rsid w:val="008333BA"/>
    <w:rsid w:val="00833C58"/>
    <w:rsid w:val="00833CCB"/>
    <w:rsid w:val="00834576"/>
    <w:rsid w:val="0083482A"/>
    <w:rsid w:val="00835607"/>
    <w:rsid w:val="00835C72"/>
    <w:rsid w:val="00836591"/>
    <w:rsid w:val="00836920"/>
    <w:rsid w:val="008376F8"/>
    <w:rsid w:val="008377D1"/>
    <w:rsid w:val="00837F4C"/>
    <w:rsid w:val="008405AF"/>
    <w:rsid w:val="00841E54"/>
    <w:rsid w:val="00841EE8"/>
    <w:rsid w:val="00842344"/>
    <w:rsid w:val="00842681"/>
    <w:rsid w:val="00843570"/>
    <w:rsid w:val="0084505D"/>
    <w:rsid w:val="00845693"/>
    <w:rsid w:val="008464E4"/>
    <w:rsid w:val="00847818"/>
    <w:rsid w:val="00847932"/>
    <w:rsid w:val="00850966"/>
    <w:rsid w:val="00850CF6"/>
    <w:rsid w:val="00851DE8"/>
    <w:rsid w:val="008531EC"/>
    <w:rsid w:val="008552F5"/>
    <w:rsid w:val="00855B27"/>
    <w:rsid w:val="008565E9"/>
    <w:rsid w:val="008571EB"/>
    <w:rsid w:val="00860EBC"/>
    <w:rsid w:val="00861282"/>
    <w:rsid w:val="008613F4"/>
    <w:rsid w:val="00861BD1"/>
    <w:rsid w:val="00861E70"/>
    <w:rsid w:val="0086386E"/>
    <w:rsid w:val="00865AF7"/>
    <w:rsid w:val="00865B2D"/>
    <w:rsid w:val="00865F8E"/>
    <w:rsid w:val="00866A35"/>
    <w:rsid w:val="00866FDE"/>
    <w:rsid w:val="00870FCA"/>
    <w:rsid w:val="00871AF9"/>
    <w:rsid w:val="00871E0C"/>
    <w:rsid w:val="00872A6C"/>
    <w:rsid w:val="00873A29"/>
    <w:rsid w:val="00873E74"/>
    <w:rsid w:val="008741AE"/>
    <w:rsid w:val="008742D8"/>
    <w:rsid w:val="008746C8"/>
    <w:rsid w:val="00875C01"/>
    <w:rsid w:val="008760B2"/>
    <w:rsid w:val="00876338"/>
    <w:rsid w:val="008765FD"/>
    <w:rsid w:val="00876D4F"/>
    <w:rsid w:val="008816A8"/>
    <w:rsid w:val="00881832"/>
    <w:rsid w:val="00882861"/>
    <w:rsid w:val="00883ADB"/>
    <w:rsid w:val="00884E7F"/>
    <w:rsid w:val="00886051"/>
    <w:rsid w:val="00886AC7"/>
    <w:rsid w:val="00886EB1"/>
    <w:rsid w:val="00886F68"/>
    <w:rsid w:val="00887BA2"/>
    <w:rsid w:val="008905F9"/>
    <w:rsid w:val="008913F7"/>
    <w:rsid w:val="00891EFB"/>
    <w:rsid w:val="0089230A"/>
    <w:rsid w:val="00895FBF"/>
    <w:rsid w:val="00896B4C"/>
    <w:rsid w:val="008A03BF"/>
    <w:rsid w:val="008A04A6"/>
    <w:rsid w:val="008A1AF5"/>
    <w:rsid w:val="008A1B05"/>
    <w:rsid w:val="008A1EEB"/>
    <w:rsid w:val="008A3E73"/>
    <w:rsid w:val="008A48D5"/>
    <w:rsid w:val="008A6576"/>
    <w:rsid w:val="008A7CC5"/>
    <w:rsid w:val="008B0347"/>
    <w:rsid w:val="008B1CA8"/>
    <w:rsid w:val="008B2049"/>
    <w:rsid w:val="008B32CE"/>
    <w:rsid w:val="008B3CFF"/>
    <w:rsid w:val="008B3FFC"/>
    <w:rsid w:val="008B5E49"/>
    <w:rsid w:val="008B6103"/>
    <w:rsid w:val="008B62E7"/>
    <w:rsid w:val="008B6A91"/>
    <w:rsid w:val="008B73B3"/>
    <w:rsid w:val="008C0309"/>
    <w:rsid w:val="008C0663"/>
    <w:rsid w:val="008C0CD2"/>
    <w:rsid w:val="008C2CD1"/>
    <w:rsid w:val="008C33AB"/>
    <w:rsid w:val="008C4ADB"/>
    <w:rsid w:val="008C547E"/>
    <w:rsid w:val="008C643B"/>
    <w:rsid w:val="008C6863"/>
    <w:rsid w:val="008C7058"/>
    <w:rsid w:val="008C73DB"/>
    <w:rsid w:val="008D00F3"/>
    <w:rsid w:val="008D044A"/>
    <w:rsid w:val="008D0BBB"/>
    <w:rsid w:val="008D0E69"/>
    <w:rsid w:val="008D1571"/>
    <w:rsid w:val="008D2D01"/>
    <w:rsid w:val="008D403E"/>
    <w:rsid w:val="008D40D2"/>
    <w:rsid w:val="008D45F6"/>
    <w:rsid w:val="008D469C"/>
    <w:rsid w:val="008D5C25"/>
    <w:rsid w:val="008D6C98"/>
    <w:rsid w:val="008D6F5C"/>
    <w:rsid w:val="008D7F87"/>
    <w:rsid w:val="008E025A"/>
    <w:rsid w:val="008E0D9A"/>
    <w:rsid w:val="008E119D"/>
    <w:rsid w:val="008E13B1"/>
    <w:rsid w:val="008E1F0E"/>
    <w:rsid w:val="008E2475"/>
    <w:rsid w:val="008E3D97"/>
    <w:rsid w:val="008E3E00"/>
    <w:rsid w:val="008E44FC"/>
    <w:rsid w:val="008E6740"/>
    <w:rsid w:val="008E6A03"/>
    <w:rsid w:val="008E7A2E"/>
    <w:rsid w:val="008F0219"/>
    <w:rsid w:val="008F0ED7"/>
    <w:rsid w:val="008F1C56"/>
    <w:rsid w:val="008F38FC"/>
    <w:rsid w:val="008F3F2E"/>
    <w:rsid w:val="008F6980"/>
    <w:rsid w:val="008F6AED"/>
    <w:rsid w:val="008F6C1B"/>
    <w:rsid w:val="008F726D"/>
    <w:rsid w:val="0090046D"/>
    <w:rsid w:val="00900BD3"/>
    <w:rsid w:val="00901762"/>
    <w:rsid w:val="00901EE4"/>
    <w:rsid w:val="0090373B"/>
    <w:rsid w:val="00906B40"/>
    <w:rsid w:val="0091051E"/>
    <w:rsid w:val="00910535"/>
    <w:rsid w:val="00910E53"/>
    <w:rsid w:val="00911837"/>
    <w:rsid w:val="00911C9E"/>
    <w:rsid w:val="00912D77"/>
    <w:rsid w:val="0091504F"/>
    <w:rsid w:val="009165E8"/>
    <w:rsid w:val="00916784"/>
    <w:rsid w:val="00917012"/>
    <w:rsid w:val="0091773C"/>
    <w:rsid w:val="009208C0"/>
    <w:rsid w:val="0092226E"/>
    <w:rsid w:val="00923F45"/>
    <w:rsid w:val="00924731"/>
    <w:rsid w:val="00927291"/>
    <w:rsid w:val="00927AA3"/>
    <w:rsid w:val="00931948"/>
    <w:rsid w:val="0093232B"/>
    <w:rsid w:val="00936EF9"/>
    <w:rsid w:val="009372C7"/>
    <w:rsid w:val="009374FE"/>
    <w:rsid w:val="0094062F"/>
    <w:rsid w:val="00940B66"/>
    <w:rsid w:val="00943760"/>
    <w:rsid w:val="00944752"/>
    <w:rsid w:val="00944A87"/>
    <w:rsid w:val="00945C62"/>
    <w:rsid w:val="009465D7"/>
    <w:rsid w:val="00947ACB"/>
    <w:rsid w:val="00947C06"/>
    <w:rsid w:val="00951360"/>
    <w:rsid w:val="009516DB"/>
    <w:rsid w:val="00951DBB"/>
    <w:rsid w:val="00952C5A"/>
    <w:rsid w:val="00952F36"/>
    <w:rsid w:val="00954FF7"/>
    <w:rsid w:val="00955BD0"/>
    <w:rsid w:val="00957282"/>
    <w:rsid w:val="00957F11"/>
    <w:rsid w:val="00960218"/>
    <w:rsid w:val="009609E0"/>
    <w:rsid w:val="00961B9F"/>
    <w:rsid w:val="00962241"/>
    <w:rsid w:val="0096564F"/>
    <w:rsid w:val="00966018"/>
    <w:rsid w:val="00966A15"/>
    <w:rsid w:val="00966F38"/>
    <w:rsid w:val="0097057C"/>
    <w:rsid w:val="009721FB"/>
    <w:rsid w:val="00973729"/>
    <w:rsid w:val="00973BDD"/>
    <w:rsid w:val="00973E74"/>
    <w:rsid w:val="00975A28"/>
    <w:rsid w:val="00976543"/>
    <w:rsid w:val="00976A00"/>
    <w:rsid w:val="009778DA"/>
    <w:rsid w:val="009819BE"/>
    <w:rsid w:val="0098266B"/>
    <w:rsid w:val="00982A28"/>
    <w:rsid w:val="00982EF9"/>
    <w:rsid w:val="009832F9"/>
    <w:rsid w:val="00983E9B"/>
    <w:rsid w:val="009845D2"/>
    <w:rsid w:val="009848B3"/>
    <w:rsid w:val="00984AAC"/>
    <w:rsid w:val="00986918"/>
    <w:rsid w:val="0098768E"/>
    <w:rsid w:val="00987B41"/>
    <w:rsid w:val="00990A25"/>
    <w:rsid w:val="00990BE2"/>
    <w:rsid w:val="0099188A"/>
    <w:rsid w:val="009924D7"/>
    <w:rsid w:val="0099292A"/>
    <w:rsid w:val="009941BD"/>
    <w:rsid w:val="00996377"/>
    <w:rsid w:val="009975D6"/>
    <w:rsid w:val="00997C9B"/>
    <w:rsid w:val="009A0102"/>
    <w:rsid w:val="009A0EC4"/>
    <w:rsid w:val="009A1DCA"/>
    <w:rsid w:val="009A47CF"/>
    <w:rsid w:val="009A4DF7"/>
    <w:rsid w:val="009A5088"/>
    <w:rsid w:val="009A794C"/>
    <w:rsid w:val="009B01F0"/>
    <w:rsid w:val="009B0436"/>
    <w:rsid w:val="009B0F54"/>
    <w:rsid w:val="009B2B09"/>
    <w:rsid w:val="009B357A"/>
    <w:rsid w:val="009B3C4C"/>
    <w:rsid w:val="009B4426"/>
    <w:rsid w:val="009B512E"/>
    <w:rsid w:val="009B5630"/>
    <w:rsid w:val="009B57ED"/>
    <w:rsid w:val="009B5815"/>
    <w:rsid w:val="009B6775"/>
    <w:rsid w:val="009C1229"/>
    <w:rsid w:val="009C1C87"/>
    <w:rsid w:val="009C2339"/>
    <w:rsid w:val="009C3C5C"/>
    <w:rsid w:val="009C46A4"/>
    <w:rsid w:val="009C4CF1"/>
    <w:rsid w:val="009C5EB0"/>
    <w:rsid w:val="009C6D5A"/>
    <w:rsid w:val="009C7F42"/>
    <w:rsid w:val="009D0033"/>
    <w:rsid w:val="009D0422"/>
    <w:rsid w:val="009D0FEA"/>
    <w:rsid w:val="009D12DB"/>
    <w:rsid w:val="009D162A"/>
    <w:rsid w:val="009D293D"/>
    <w:rsid w:val="009D38D9"/>
    <w:rsid w:val="009D3F81"/>
    <w:rsid w:val="009D52EC"/>
    <w:rsid w:val="009D58C1"/>
    <w:rsid w:val="009D5F1D"/>
    <w:rsid w:val="009D6704"/>
    <w:rsid w:val="009D6EBB"/>
    <w:rsid w:val="009D7F9F"/>
    <w:rsid w:val="009E0EB0"/>
    <w:rsid w:val="009E1758"/>
    <w:rsid w:val="009E1FA1"/>
    <w:rsid w:val="009E4B45"/>
    <w:rsid w:val="009E4DD6"/>
    <w:rsid w:val="009E709C"/>
    <w:rsid w:val="009E7652"/>
    <w:rsid w:val="009E7FEF"/>
    <w:rsid w:val="009F157E"/>
    <w:rsid w:val="009F1EAE"/>
    <w:rsid w:val="009F1EE5"/>
    <w:rsid w:val="009F29A1"/>
    <w:rsid w:val="009F3775"/>
    <w:rsid w:val="009F3A93"/>
    <w:rsid w:val="009F3B5A"/>
    <w:rsid w:val="009F3E73"/>
    <w:rsid w:val="009F4CC5"/>
    <w:rsid w:val="009F4CF9"/>
    <w:rsid w:val="009F4D9A"/>
    <w:rsid w:val="009F4E83"/>
    <w:rsid w:val="009F6127"/>
    <w:rsid w:val="009F6FC2"/>
    <w:rsid w:val="009F7639"/>
    <w:rsid w:val="009F7DBF"/>
    <w:rsid w:val="00A00164"/>
    <w:rsid w:val="00A00AD2"/>
    <w:rsid w:val="00A00C99"/>
    <w:rsid w:val="00A0159B"/>
    <w:rsid w:val="00A0171A"/>
    <w:rsid w:val="00A0200E"/>
    <w:rsid w:val="00A043E0"/>
    <w:rsid w:val="00A050AC"/>
    <w:rsid w:val="00A054C3"/>
    <w:rsid w:val="00A05791"/>
    <w:rsid w:val="00A06EDB"/>
    <w:rsid w:val="00A07240"/>
    <w:rsid w:val="00A11805"/>
    <w:rsid w:val="00A12C35"/>
    <w:rsid w:val="00A1330E"/>
    <w:rsid w:val="00A15EB2"/>
    <w:rsid w:val="00A165EC"/>
    <w:rsid w:val="00A1720A"/>
    <w:rsid w:val="00A175B2"/>
    <w:rsid w:val="00A208F7"/>
    <w:rsid w:val="00A21327"/>
    <w:rsid w:val="00A2153B"/>
    <w:rsid w:val="00A21AF3"/>
    <w:rsid w:val="00A2476B"/>
    <w:rsid w:val="00A2786F"/>
    <w:rsid w:val="00A300D5"/>
    <w:rsid w:val="00A30513"/>
    <w:rsid w:val="00A33189"/>
    <w:rsid w:val="00A337EC"/>
    <w:rsid w:val="00A33FF4"/>
    <w:rsid w:val="00A34AFA"/>
    <w:rsid w:val="00A34F5C"/>
    <w:rsid w:val="00A35ED4"/>
    <w:rsid w:val="00A35F96"/>
    <w:rsid w:val="00A364C3"/>
    <w:rsid w:val="00A36A10"/>
    <w:rsid w:val="00A36C70"/>
    <w:rsid w:val="00A373EF"/>
    <w:rsid w:val="00A37F74"/>
    <w:rsid w:val="00A40B1E"/>
    <w:rsid w:val="00A40BA1"/>
    <w:rsid w:val="00A40BB6"/>
    <w:rsid w:val="00A422F6"/>
    <w:rsid w:val="00A425A3"/>
    <w:rsid w:val="00A4314F"/>
    <w:rsid w:val="00A43561"/>
    <w:rsid w:val="00A43A81"/>
    <w:rsid w:val="00A44369"/>
    <w:rsid w:val="00A44823"/>
    <w:rsid w:val="00A46CE3"/>
    <w:rsid w:val="00A4787E"/>
    <w:rsid w:val="00A478EA"/>
    <w:rsid w:val="00A509D8"/>
    <w:rsid w:val="00A50F5C"/>
    <w:rsid w:val="00A52384"/>
    <w:rsid w:val="00A52C3A"/>
    <w:rsid w:val="00A52C73"/>
    <w:rsid w:val="00A53328"/>
    <w:rsid w:val="00A53747"/>
    <w:rsid w:val="00A544B2"/>
    <w:rsid w:val="00A54568"/>
    <w:rsid w:val="00A54DFA"/>
    <w:rsid w:val="00A56F29"/>
    <w:rsid w:val="00A57A5B"/>
    <w:rsid w:val="00A6005D"/>
    <w:rsid w:val="00A61129"/>
    <w:rsid w:val="00A6136B"/>
    <w:rsid w:val="00A61816"/>
    <w:rsid w:val="00A622A7"/>
    <w:rsid w:val="00A67FD2"/>
    <w:rsid w:val="00A70413"/>
    <w:rsid w:val="00A7084C"/>
    <w:rsid w:val="00A70BB1"/>
    <w:rsid w:val="00A71340"/>
    <w:rsid w:val="00A71FEF"/>
    <w:rsid w:val="00A72812"/>
    <w:rsid w:val="00A7319D"/>
    <w:rsid w:val="00A73EB4"/>
    <w:rsid w:val="00A742FC"/>
    <w:rsid w:val="00A746D6"/>
    <w:rsid w:val="00A74BB8"/>
    <w:rsid w:val="00A74D02"/>
    <w:rsid w:val="00A752CC"/>
    <w:rsid w:val="00A76122"/>
    <w:rsid w:val="00A76839"/>
    <w:rsid w:val="00A76BD5"/>
    <w:rsid w:val="00A76CAD"/>
    <w:rsid w:val="00A7727C"/>
    <w:rsid w:val="00A77A20"/>
    <w:rsid w:val="00A80181"/>
    <w:rsid w:val="00A80797"/>
    <w:rsid w:val="00A80BB0"/>
    <w:rsid w:val="00A81047"/>
    <w:rsid w:val="00A822C0"/>
    <w:rsid w:val="00A84314"/>
    <w:rsid w:val="00A84AFD"/>
    <w:rsid w:val="00A850EF"/>
    <w:rsid w:val="00A85104"/>
    <w:rsid w:val="00A8632E"/>
    <w:rsid w:val="00A86C4D"/>
    <w:rsid w:val="00A878EA"/>
    <w:rsid w:val="00A87B81"/>
    <w:rsid w:val="00A918FA"/>
    <w:rsid w:val="00A91C07"/>
    <w:rsid w:val="00A91D8E"/>
    <w:rsid w:val="00A92122"/>
    <w:rsid w:val="00A92246"/>
    <w:rsid w:val="00A932E5"/>
    <w:rsid w:val="00A9397E"/>
    <w:rsid w:val="00A94359"/>
    <w:rsid w:val="00A94C52"/>
    <w:rsid w:val="00A95A1E"/>
    <w:rsid w:val="00A96646"/>
    <w:rsid w:val="00AA0468"/>
    <w:rsid w:val="00AA10D7"/>
    <w:rsid w:val="00AA13D1"/>
    <w:rsid w:val="00AA246D"/>
    <w:rsid w:val="00AA272F"/>
    <w:rsid w:val="00AA2DE2"/>
    <w:rsid w:val="00AA30BA"/>
    <w:rsid w:val="00AA48AB"/>
    <w:rsid w:val="00AA4EE6"/>
    <w:rsid w:val="00AA4FCA"/>
    <w:rsid w:val="00AA52D6"/>
    <w:rsid w:val="00AA54AB"/>
    <w:rsid w:val="00AA5950"/>
    <w:rsid w:val="00AA5E6C"/>
    <w:rsid w:val="00AA700A"/>
    <w:rsid w:val="00AB04AB"/>
    <w:rsid w:val="00AB0B1A"/>
    <w:rsid w:val="00AB1182"/>
    <w:rsid w:val="00AB1E3F"/>
    <w:rsid w:val="00AB22D3"/>
    <w:rsid w:val="00AB2EE9"/>
    <w:rsid w:val="00AB3AFE"/>
    <w:rsid w:val="00AB40A2"/>
    <w:rsid w:val="00AB673D"/>
    <w:rsid w:val="00AB7A8B"/>
    <w:rsid w:val="00AB7DFB"/>
    <w:rsid w:val="00AC030E"/>
    <w:rsid w:val="00AC0ADE"/>
    <w:rsid w:val="00AC0B43"/>
    <w:rsid w:val="00AC0C51"/>
    <w:rsid w:val="00AC1934"/>
    <w:rsid w:val="00AC2C24"/>
    <w:rsid w:val="00AC2E3D"/>
    <w:rsid w:val="00AC3649"/>
    <w:rsid w:val="00AC38EA"/>
    <w:rsid w:val="00AC3F90"/>
    <w:rsid w:val="00AC446E"/>
    <w:rsid w:val="00AC4479"/>
    <w:rsid w:val="00AC4503"/>
    <w:rsid w:val="00AC4A3D"/>
    <w:rsid w:val="00AC5AA6"/>
    <w:rsid w:val="00AC6029"/>
    <w:rsid w:val="00AC64C7"/>
    <w:rsid w:val="00AC6B5A"/>
    <w:rsid w:val="00AC6E92"/>
    <w:rsid w:val="00AC7556"/>
    <w:rsid w:val="00AC769D"/>
    <w:rsid w:val="00AC7760"/>
    <w:rsid w:val="00AD102E"/>
    <w:rsid w:val="00AD183D"/>
    <w:rsid w:val="00AD1C4E"/>
    <w:rsid w:val="00AD1CB6"/>
    <w:rsid w:val="00AD22BB"/>
    <w:rsid w:val="00AD304D"/>
    <w:rsid w:val="00AD3117"/>
    <w:rsid w:val="00AD35F4"/>
    <w:rsid w:val="00AD3D75"/>
    <w:rsid w:val="00AD5CF8"/>
    <w:rsid w:val="00AD7E74"/>
    <w:rsid w:val="00AE028B"/>
    <w:rsid w:val="00AE0540"/>
    <w:rsid w:val="00AE1D1F"/>
    <w:rsid w:val="00AE1D76"/>
    <w:rsid w:val="00AE2957"/>
    <w:rsid w:val="00AE2C97"/>
    <w:rsid w:val="00AE2EF6"/>
    <w:rsid w:val="00AE31D3"/>
    <w:rsid w:val="00AE389E"/>
    <w:rsid w:val="00AE3BDB"/>
    <w:rsid w:val="00AE3C81"/>
    <w:rsid w:val="00AE4483"/>
    <w:rsid w:val="00AE493C"/>
    <w:rsid w:val="00AE5189"/>
    <w:rsid w:val="00AE68E4"/>
    <w:rsid w:val="00AE768B"/>
    <w:rsid w:val="00AE7C83"/>
    <w:rsid w:val="00AE7F79"/>
    <w:rsid w:val="00AF0004"/>
    <w:rsid w:val="00AF03E1"/>
    <w:rsid w:val="00AF07F8"/>
    <w:rsid w:val="00AF125F"/>
    <w:rsid w:val="00AF12F3"/>
    <w:rsid w:val="00AF141F"/>
    <w:rsid w:val="00AF145F"/>
    <w:rsid w:val="00AF1561"/>
    <w:rsid w:val="00AF1D36"/>
    <w:rsid w:val="00AF1EDB"/>
    <w:rsid w:val="00AF3A95"/>
    <w:rsid w:val="00AF4083"/>
    <w:rsid w:val="00AF4525"/>
    <w:rsid w:val="00AF4700"/>
    <w:rsid w:val="00AF6D5D"/>
    <w:rsid w:val="00B006AC"/>
    <w:rsid w:val="00B014D4"/>
    <w:rsid w:val="00B0187E"/>
    <w:rsid w:val="00B01DC1"/>
    <w:rsid w:val="00B01F5D"/>
    <w:rsid w:val="00B02CE9"/>
    <w:rsid w:val="00B02D97"/>
    <w:rsid w:val="00B03443"/>
    <w:rsid w:val="00B03541"/>
    <w:rsid w:val="00B0413B"/>
    <w:rsid w:val="00B04502"/>
    <w:rsid w:val="00B0477E"/>
    <w:rsid w:val="00B06DF7"/>
    <w:rsid w:val="00B111F3"/>
    <w:rsid w:val="00B113FB"/>
    <w:rsid w:val="00B114F5"/>
    <w:rsid w:val="00B120EF"/>
    <w:rsid w:val="00B13984"/>
    <w:rsid w:val="00B14B4E"/>
    <w:rsid w:val="00B15196"/>
    <w:rsid w:val="00B1593B"/>
    <w:rsid w:val="00B171A5"/>
    <w:rsid w:val="00B2094D"/>
    <w:rsid w:val="00B209D0"/>
    <w:rsid w:val="00B20F7E"/>
    <w:rsid w:val="00B22A97"/>
    <w:rsid w:val="00B249C4"/>
    <w:rsid w:val="00B24DD3"/>
    <w:rsid w:val="00B26EE8"/>
    <w:rsid w:val="00B2798D"/>
    <w:rsid w:val="00B27A2B"/>
    <w:rsid w:val="00B304C7"/>
    <w:rsid w:val="00B306EC"/>
    <w:rsid w:val="00B31026"/>
    <w:rsid w:val="00B31046"/>
    <w:rsid w:val="00B31B02"/>
    <w:rsid w:val="00B3237D"/>
    <w:rsid w:val="00B32623"/>
    <w:rsid w:val="00B33120"/>
    <w:rsid w:val="00B3500D"/>
    <w:rsid w:val="00B358BA"/>
    <w:rsid w:val="00B35E52"/>
    <w:rsid w:val="00B36BF4"/>
    <w:rsid w:val="00B36D20"/>
    <w:rsid w:val="00B3731B"/>
    <w:rsid w:val="00B37508"/>
    <w:rsid w:val="00B3758B"/>
    <w:rsid w:val="00B37F7A"/>
    <w:rsid w:val="00B37FD8"/>
    <w:rsid w:val="00B40593"/>
    <w:rsid w:val="00B40E37"/>
    <w:rsid w:val="00B41DF4"/>
    <w:rsid w:val="00B42C3F"/>
    <w:rsid w:val="00B42EBA"/>
    <w:rsid w:val="00B440E4"/>
    <w:rsid w:val="00B4457B"/>
    <w:rsid w:val="00B45200"/>
    <w:rsid w:val="00B45790"/>
    <w:rsid w:val="00B458ED"/>
    <w:rsid w:val="00B45DF7"/>
    <w:rsid w:val="00B464AC"/>
    <w:rsid w:val="00B46653"/>
    <w:rsid w:val="00B46AB0"/>
    <w:rsid w:val="00B46C91"/>
    <w:rsid w:val="00B50716"/>
    <w:rsid w:val="00B50ACE"/>
    <w:rsid w:val="00B5199F"/>
    <w:rsid w:val="00B51C67"/>
    <w:rsid w:val="00B5249E"/>
    <w:rsid w:val="00B52E73"/>
    <w:rsid w:val="00B5385D"/>
    <w:rsid w:val="00B54310"/>
    <w:rsid w:val="00B56471"/>
    <w:rsid w:val="00B56810"/>
    <w:rsid w:val="00B56BA6"/>
    <w:rsid w:val="00B602CC"/>
    <w:rsid w:val="00B60884"/>
    <w:rsid w:val="00B6130A"/>
    <w:rsid w:val="00B624B7"/>
    <w:rsid w:val="00B62E43"/>
    <w:rsid w:val="00B655F5"/>
    <w:rsid w:val="00B65603"/>
    <w:rsid w:val="00B657BE"/>
    <w:rsid w:val="00B713DA"/>
    <w:rsid w:val="00B71AEB"/>
    <w:rsid w:val="00B7229D"/>
    <w:rsid w:val="00B72699"/>
    <w:rsid w:val="00B733D7"/>
    <w:rsid w:val="00B7409C"/>
    <w:rsid w:val="00B744FD"/>
    <w:rsid w:val="00B74583"/>
    <w:rsid w:val="00B76009"/>
    <w:rsid w:val="00B76186"/>
    <w:rsid w:val="00B80EC1"/>
    <w:rsid w:val="00B820C4"/>
    <w:rsid w:val="00B822B4"/>
    <w:rsid w:val="00B822DB"/>
    <w:rsid w:val="00B83401"/>
    <w:rsid w:val="00B83798"/>
    <w:rsid w:val="00B84273"/>
    <w:rsid w:val="00B84977"/>
    <w:rsid w:val="00B84DE1"/>
    <w:rsid w:val="00B9093C"/>
    <w:rsid w:val="00B90C51"/>
    <w:rsid w:val="00B91916"/>
    <w:rsid w:val="00B91B77"/>
    <w:rsid w:val="00B92CBB"/>
    <w:rsid w:val="00B93409"/>
    <w:rsid w:val="00B934A5"/>
    <w:rsid w:val="00B93651"/>
    <w:rsid w:val="00B94FA7"/>
    <w:rsid w:val="00B95C87"/>
    <w:rsid w:val="00B95DDE"/>
    <w:rsid w:val="00B95F95"/>
    <w:rsid w:val="00B96A46"/>
    <w:rsid w:val="00B971BD"/>
    <w:rsid w:val="00B9788E"/>
    <w:rsid w:val="00B97A77"/>
    <w:rsid w:val="00BA0099"/>
    <w:rsid w:val="00BA1643"/>
    <w:rsid w:val="00BA335F"/>
    <w:rsid w:val="00BA3DE9"/>
    <w:rsid w:val="00BA68B4"/>
    <w:rsid w:val="00BA7BD2"/>
    <w:rsid w:val="00BB0685"/>
    <w:rsid w:val="00BB2ACC"/>
    <w:rsid w:val="00BB2B5C"/>
    <w:rsid w:val="00BB2F7A"/>
    <w:rsid w:val="00BB30F2"/>
    <w:rsid w:val="00BB32E0"/>
    <w:rsid w:val="00BB34D8"/>
    <w:rsid w:val="00BB38B5"/>
    <w:rsid w:val="00BB3A65"/>
    <w:rsid w:val="00BB3F83"/>
    <w:rsid w:val="00BB56BB"/>
    <w:rsid w:val="00BB5E95"/>
    <w:rsid w:val="00BB6AC6"/>
    <w:rsid w:val="00BB776F"/>
    <w:rsid w:val="00BB7BC6"/>
    <w:rsid w:val="00BB7FBF"/>
    <w:rsid w:val="00BC0C17"/>
    <w:rsid w:val="00BC1920"/>
    <w:rsid w:val="00BC2556"/>
    <w:rsid w:val="00BC2A87"/>
    <w:rsid w:val="00BC4896"/>
    <w:rsid w:val="00BC5318"/>
    <w:rsid w:val="00BC5A51"/>
    <w:rsid w:val="00BC7538"/>
    <w:rsid w:val="00BC7D5F"/>
    <w:rsid w:val="00BD089A"/>
    <w:rsid w:val="00BD0C9E"/>
    <w:rsid w:val="00BD17B5"/>
    <w:rsid w:val="00BD2B57"/>
    <w:rsid w:val="00BD5387"/>
    <w:rsid w:val="00BD5BB7"/>
    <w:rsid w:val="00BD7C09"/>
    <w:rsid w:val="00BE07F5"/>
    <w:rsid w:val="00BE0981"/>
    <w:rsid w:val="00BE0FA4"/>
    <w:rsid w:val="00BE1674"/>
    <w:rsid w:val="00BE1A0D"/>
    <w:rsid w:val="00BE1ED5"/>
    <w:rsid w:val="00BE2245"/>
    <w:rsid w:val="00BE2B68"/>
    <w:rsid w:val="00BE384C"/>
    <w:rsid w:val="00BE4168"/>
    <w:rsid w:val="00BE41B8"/>
    <w:rsid w:val="00BE4EC4"/>
    <w:rsid w:val="00BE5255"/>
    <w:rsid w:val="00BE52AA"/>
    <w:rsid w:val="00BE550B"/>
    <w:rsid w:val="00BE7113"/>
    <w:rsid w:val="00BE7570"/>
    <w:rsid w:val="00BE76E1"/>
    <w:rsid w:val="00BE77AD"/>
    <w:rsid w:val="00BF0470"/>
    <w:rsid w:val="00BF0A0C"/>
    <w:rsid w:val="00BF13F3"/>
    <w:rsid w:val="00BF149F"/>
    <w:rsid w:val="00BF39FB"/>
    <w:rsid w:val="00BF429F"/>
    <w:rsid w:val="00BF47AA"/>
    <w:rsid w:val="00BF4C70"/>
    <w:rsid w:val="00BF5E31"/>
    <w:rsid w:val="00BF6183"/>
    <w:rsid w:val="00BF6E21"/>
    <w:rsid w:val="00BF7303"/>
    <w:rsid w:val="00C00697"/>
    <w:rsid w:val="00C01270"/>
    <w:rsid w:val="00C01309"/>
    <w:rsid w:val="00C03214"/>
    <w:rsid w:val="00C0396A"/>
    <w:rsid w:val="00C0522E"/>
    <w:rsid w:val="00C0579F"/>
    <w:rsid w:val="00C0636E"/>
    <w:rsid w:val="00C06D6A"/>
    <w:rsid w:val="00C076A2"/>
    <w:rsid w:val="00C10A8F"/>
    <w:rsid w:val="00C1129D"/>
    <w:rsid w:val="00C114B4"/>
    <w:rsid w:val="00C11599"/>
    <w:rsid w:val="00C11938"/>
    <w:rsid w:val="00C11D72"/>
    <w:rsid w:val="00C1235A"/>
    <w:rsid w:val="00C1291A"/>
    <w:rsid w:val="00C147BF"/>
    <w:rsid w:val="00C14BD7"/>
    <w:rsid w:val="00C15E23"/>
    <w:rsid w:val="00C161E7"/>
    <w:rsid w:val="00C16B17"/>
    <w:rsid w:val="00C1785A"/>
    <w:rsid w:val="00C2005B"/>
    <w:rsid w:val="00C2099C"/>
    <w:rsid w:val="00C20F82"/>
    <w:rsid w:val="00C210A6"/>
    <w:rsid w:val="00C21A0B"/>
    <w:rsid w:val="00C21C4E"/>
    <w:rsid w:val="00C21C82"/>
    <w:rsid w:val="00C2471E"/>
    <w:rsid w:val="00C248D6"/>
    <w:rsid w:val="00C2493E"/>
    <w:rsid w:val="00C25517"/>
    <w:rsid w:val="00C260D8"/>
    <w:rsid w:val="00C26911"/>
    <w:rsid w:val="00C26DBC"/>
    <w:rsid w:val="00C272A9"/>
    <w:rsid w:val="00C27DBD"/>
    <w:rsid w:val="00C31F1A"/>
    <w:rsid w:val="00C32BC9"/>
    <w:rsid w:val="00C330F6"/>
    <w:rsid w:val="00C34236"/>
    <w:rsid w:val="00C3453A"/>
    <w:rsid w:val="00C3626E"/>
    <w:rsid w:val="00C36B69"/>
    <w:rsid w:val="00C3718E"/>
    <w:rsid w:val="00C402AD"/>
    <w:rsid w:val="00C4078B"/>
    <w:rsid w:val="00C407D7"/>
    <w:rsid w:val="00C42547"/>
    <w:rsid w:val="00C4263F"/>
    <w:rsid w:val="00C42ABE"/>
    <w:rsid w:val="00C43206"/>
    <w:rsid w:val="00C43419"/>
    <w:rsid w:val="00C4405E"/>
    <w:rsid w:val="00C449FF"/>
    <w:rsid w:val="00C45DE5"/>
    <w:rsid w:val="00C47B01"/>
    <w:rsid w:val="00C47C0F"/>
    <w:rsid w:val="00C500A7"/>
    <w:rsid w:val="00C5034E"/>
    <w:rsid w:val="00C517E0"/>
    <w:rsid w:val="00C51EC7"/>
    <w:rsid w:val="00C51F8E"/>
    <w:rsid w:val="00C52056"/>
    <w:rsid w:val="00C52327"/>
    <w:rsid w:val="00C5266A"/>
    <w:rsid w:val="00C52B45"/>
    <w:rsid w:val="00C52C2E"/>
    <w:rsid w:val="00C53057"/>
    <w:rsid w:val="00C53BAB"/>
    <w:rsid w:val="00C54001"/>
    <w:rsid w:val="00C5421C"/>
    <w:rsid w:val="00C562A2"/>
    <w:rsid w:val="00C56453"/>
    <w:rsid w:val="00C5669F"/>
    <w:rsid w:val="00C568F1"/>
    <w:rsid w:val="00C578B6"/>
    <w:rsid w:val="00C64340"/>
    <w:rsid w:val="00C644F4"/>
    <w:rsid w:val="00C6490C"/>
    <w:rsid w:val="00C64CE5"/>
    <w:rsid w:val="00C65032"/>
    <w:rsid w:val="00C6515D"/>
    <w:rsid w:val="00C655DA"/>
    <w:rsid w:val="00C65CDC"/>
    <w:rsid w:val="00C66D2D"/>
    <w:rsid w:val="00C67282"/>
    <w:rsid w:val="00C703BD"/>
    <w:rsid w:val="00C71047"/>
    <w:rsid w:val="00C712C6"/>
    <w:rsid w:val="00C73259"/>
    <w:rsid w:val="00C73E53"/>
    <w:rsid w:val="00C7485C"/>
    <w:rsid w:val="00C7570B"/>
    <w:rsid w:val="00C759DD"/>
    <w:rsid w:val="00C76B4F"/>
    <w:rsid w:val="00C775AF"/>
    <w:rsid w:val="00C77D80"/>
    <w:rsid w:val="00C77F48"/>
    <w:rsid w:val="00C80240"/>
    <w:rsid w:val="00C804FD"/>
    <w:rsid w:val="00C8078C"/>
    <w:rsid w:val="00C80BBA"/>
    <w:rsid w:val="00C80FA6"/>
    <w:rsid w:val="00C81915"/>
    <w:rsid w:val="00C82234"/>
    <w:rsid w:val="00C82420"/>
    <w:rsid w:val="00C830D4"/>
    <w:rsid w:val="00C83929"/>
    <w:rsid w:val="00C83CB4"/>
    <w:rsid w:val="00C85F13"/>
    <w:rsid w:val="00C860F5"/>
    <w:rsid w:val="00C8617C"/>
    <w:rsid w:val="00C86AFD"/>
    <w:rsid w:val="00C86EA1"/>
    <w:rsid w:val="00C87E48"/>
    <w:rsid w:val="00C902E9"/>
    <w:rsid w:val="00C9079D"/>
    <w:rsid w:val="00C91303"/>
    <w:rsid w:val="00C91855"/>
    <w:rsid w:val="00C931A5"/>
    <w:rsid w:val="00C93D59"/>
    <w:rsid w:val="00C9530B"/>
    <w:rsid w:val="00C95617"/>
    <w:rsid w:val="00C95A89"/>
    <w:rsid w:val="00C96502"/>
    <w:rsid w:val="00C96A77"/>
    <w:rsid w:val="00C97574"/>
    <w:rsid w:val="00CA0085"/>
    <w:rsid w:val="00CA02F1"/>
    <w:rsid w:val="00CA03D7"/>
    <w:rsid w:val="00CA0C9D"/>
    <w:rsid w:val="00CA10D3"/>
    <w:rsid w:val="00CA2158"/>
    <w:rsid w:val="00CA270B"/>
    <w:rsid w:val="00CA29E4"/>
    <w:rsid w:val="00CA3330"/>
    <w:rsid w:val="00CA5C09"/>
    <w:rsid w:val="00CA7764"/>
    <w:rsid w:val="00CB044A"/>
    <w:rsid w:val="00CB2688"/>
    <w:rsid w:val="00CB2B8E"/>
    <w:rsid w:val="00CB30C5"/>
    <w:rsid w:val="00CB35B3"/>
    <w:rsid w:val="00CB36B5"/>
    <w:rsid w:val="00CB5712"/>
    <w:rsid w:val="00CB5E4B"/>
    <w:rsid w:val="00CB6585"/>
    <w:rsid w:val="00CB66CC"/>
    <w:rsid w:val="00CB6746"/>
    <w:rsid w:val="00CB70C1"/>
    <w:rsid w:val="00CC0254"/>
    <w:rsid w:val="00CC0562"/>
    <w:rsid w:val="00CC0B5F"/>
    <w:rsid w:val="00CC2634"/>
    <w:rsid w:val="00CC2AB0"/>
    <w:rsid w:val="00CC2B18"/>
    <w:rsid w:val="00CC2DD3"/>
    <w:rsid w:val="00CC329A"/>
    <w:rsid w:val="00CC352C"/>
    <w:rsid w:val="00CC3A63"/>
    <w:rsid w:val="00CC52E3"/>
    <w:rsid w:val="00CC6126"/>
    <w:rsid w:val="00CC7787"/>
    <w:rsid w:val="00CD072B"/>
    <w:rsid w:val="00CD1451"/>
    <w:rsid w:val="00CD1C7D"/>
    <w:rsid w:val="00CD26AF"/>
    <w:rsid w:val="00CD5BCB"/>
    <w:rsid w:val="00CD67F8"/>
    <w:rsid w:val="00CD689B"/>
    <w:rsid w:val="00CD7A92"/>
    <w:rsid w:val="00CE0CC7"/>
    <w:rsid w:val="00CE2E2B"/>
    <w:rsid w:val="00CE30BA"/>
    <w:rsid w:val="00CE3410"/>
    <w:rsid w:val="00CE4752"/>
    <w:rsid w:val="00CE49B2"/>
    <w:rsid w:val="00CE4E6A"/>
    <w:rsid w:val="00CE5D6B"/>
    <w:rsid w:val="00CE7139"/>
    <w:rsid w:val="00CF1E3C"/>
    <w:rsid w:val="00CF258E"/>
    <w:rsid w:val="00CF29C4"/>
    <w:rsid w:val="00CF4A74"/>
    <w:rsid w:val="00CF5273"/>
    <w:rsid w:val="00CF5645"/>
    <w:rsid w:val="00CF70C4"/>
    <w:rsid w:val="00CF74CF"/>
    <w:rsid w:val="00CF79CC"/>
    <w:rsid w:val="00CF7BDD"/>
    <w:rsid w:val="00D008C4"/>
    <w:rsid w:val="00D00D76"/>
    <w:rsid w:val="00D01B2F"/>
    <w:rsid w:val="00D0208A"/>
    <w:rsid w:val="00D0218A"/>
    <w:rsid w:val="00D02353"/>
    <w:rsid w:val="00D02FCC"/>
    <w:rsid w:val="00D03133"/>
    <w:rsid w:val="00D03F3E"/>
    <w:rsid w:val="00D04540"/>
    <w:rsid w:val="00D04A3F"/>
    <w:rsid w:val="00D04C47"/>
    <w:rsid w:val="00D0555F"/>
    <w:rsid w:val="00D05C30"/>
    <w:rsid w:val="00D0639E"/>
    <w:rsid w:val="00D078F6"/>
    <w:rsid w:val="00D07ADF"/>
    <w:rsid w:val="00D101E5"/>
    <w:rsid w:val="00D10776"/>
    <w:rsid w:val="00D119F9"/>
    <w:rsid w:val="00D11C69"/>
    <w:rsid w:val="00D11E9A"/>
    <w:rsid w:val="00D12B5E"/>
    <w:rsid w:val="00D12E45"/>
    <w:rsid w:val="00D13BB8"/>
    <w:rsid w:val="00D1481D"/>
    <w:rsid w:val="00D15584"/>
    <w:rsid w:val="00D16E2F"/>
    <w:rsid w:val="00D17034"/>
    <w:rsid w:val="00D174E8"/>
    <w:rsid w:val="00D1778A"/>
    <w:rsid w:val="00D2235A"/>
    <w:rsid w:val="00D22366"/>
    <w:rsid w:val="00D24758"/>
    <w:rsid w:val="00D24793"/>
    <w:rsid w:val="00D249AE"/>
    <w:rsid w:val="00D26BB8"/>
    <w:rsid w:val="00D27FF2"/>
    <w:rsid w:val="00D30A0C"/>
    <w:rsid w:val="00D30B0B"/>
    <w:rsid w:val="00D30BBF"/>
    <w:rsid w:val="00D318EB"/>
    <w:rsid w:val="00D3324F"/>
    <w:rsid w:val="00D335E2"/>
    <w:rsid w:val="00D33A31"/>
    <w:rsid w:val="00D345CE"/>
    <w:rsid w:val="00D353B9"/>
    <w:rsid w:val="00D364D7"/>
    <w:rsid w:val="00D36CA2"/>
    <w:rsid w:val="00D37830"/>
    <w:rsid w:val="00D40EFA"/>
    <w:rsid w:val="00D4200D"/>
    <w:rsid w:val="00D42BC1"/>
    <w:rsid w:val="00D4368B"/>
    <w:rsid w:val="00D43D51"/>
    <w:rsid w:val="00D44559"/>
    <w:rsid w:val="00D447CC"/>
    <w:rsid w:val="00D465CB"/>
    <w:rsid w:val="00D46775"/>
    <w:rsid w:val="00D46E4E"/>
    <w:rsid w:val="00D50367"/>
    <w:rsid w:val="00D50A60"/>
    <w:rsid w:val="00D50F9F"/>
    <w:rsid w:val="00D51040"/>
    <w:rsid w:val="00D528F4"/>
    <w:rsid w:val="00D54B6B"/>
    <w:rsid w:val="00D54DEA"/>
    <w:rsid w:val="00D54FB2"/>
    <w:rsid w:val="00D55171"/>
    <w:rsid w:val="00D553B0"/>
    <w:rsid w:val="00D5549B"/>
    <w:rsid w:val="00D56C82"/>
    <w:rsid w:val="00D57A17"/>
    <w:rsid w:val="00D57BD5"/>
    <w:rsid w:val="00D601B2"/>
    <w:rsid w:val="00D60F7D"/>
    <w:rsid w:val="00D61499"/>
    <w:rsid w:val="00D61994"/>
    <w:rsid w:val="00D63913"/>
    <w:rsid w:val="00D63BE0"/>
    <w:rsid w:val="00D64201"/>
    <w:rsid w:val="00D64A2F"/>
    <w:rsid w:val="00D64EB9"/>
    <w:rsid w:val="00D65241"/>
    <w:rsid w:val="00D65EF8"/>
    <w:rsid w:val="00D66D37"/>
    <w:rsid w:val="00D66E28"/>
    <w:rsid w:val="00D6702F"/>
    <w:rsid w:val="00D671A8"/>
    <w:rsid w:val="00D70B50"/>
    <w:rsid w:val="00D70B5C"/>
    <w:rsid w:val="00D70DF9"/>
    <w:rsid w:val="00D71BA9"/>
    <w:rsid w:val="00D71E33"/>
    <w:rsid w:val="00D7204A"/>
    <w:rsid w:val="00D73D21"/>
    <w:rsid w:val="00D749EE"/>
    <w:rsid w:val="00D74AFF"/>
    <w:rsid w:val="00D7589E"/>
    <w:rsid w:val="00D75BB4"/>
    <w:rsid w:val="00D77574"/>
    <w:rsid w:val="00D77F29"/>
    <w:rsid w:val="00D8039B"/>
    <w:rsid w:val="00D808E2"/>
    <w:rsid w:val="00D80B40"/>
    <w:rsid w:val="00D81D1F"/>
    <w:rsid w:val="00D83953"/>
    <w:rsid w:val="00D84EF9"/>
    <w:rsid w:val="00D86130"/>
    <w:rsid w:val="00D872EE"/>
    <w:rsid w:val="00D87646"/>
    <w:rsid w:val="00D876D1"/>
    <w:rsid w:val="00D90667"/>
    <w:rsid w:val="00D90F47"/>
    <w:rsid w:val="00D91A9E"/>
    <w:rsid w:val="00D9279F"/>
    <w:rsid w:val="00D92C04"/>
    <w:rsid w:val="00D93C80"/>
    <w:rsid w:val="00D94FAD"/>
    <w:rsid w:val="00D96800"/>
    <w:rsid w:val="00D96F4D"/>
    <w:rsid w:val="00D974BB"/>
    <w:rsid w:val="00D97E76"/>
    <w:rsid w:val="00DA0566"/>
    <w:rsid w:val="00DA0E52"/>
    <w:rsid w:val="00DA1524"/>
    <w:rsid w:val="00DA1E60"/>
    <w:rsid w:val="00DA1EC4"/>
    <w:rsid w:val="00DA30F8"/>
    <w:rsid w:val="00DA354D"/>
    <w:rsid w:val="00DA3AD1"/>
    <w:rsid w:val="00DA4CB8"/>
    <w:rsid w:val="00DA6D88"/>
    <w:rsid w:val="00DA7255"/>
    <w:rsid w:val="00DB028B"/>
    <w:rsid w:val="00DB133E"/>
    <w:rsid w:val="00DB1645"/>
    <w:rsid w:val="00DB1682"/>
    <w:rsid w:val="00DB2A2A"/>
    <w:rsid w:val="00DB4410"/>
    <w:rsid w:val="00DB57C7"/>
    <w:rsid w:val="00DB6B10"/>
    <w:rsid w:val="00DB7D03"/>
    <w:rsid w:val="00DB7E76"/>
    <w:rsid w:val="00DC0821"/>
    <w:rsid w:val="00DC169D"/>
    <w:rsid w:val="00DC16FD"/>
    <w:rsid w:val="00DC1D09"/>
    <w:rsid w:val="00DC2705"/>
    <w:rsid w:val="00DC3681"/>
    <w:rsid w:val="00DC3E38"/>
    <w:rsid w:val="00DC40A1"/>
    <w:rsid w:val="00DC4268"/>
    <w:rsid w:val="00DC624A"/>
    <w:rsid w:val="00DC6518"/>
    <w:rsid w:val="00DC65B2"/>
    <w:rsid w:val="00DC6F2F"/>
    <w:rsid w:val="00DC7B78"/>
    <w:rsid w:val="00DD0BA2"/>
    <w:rsid w:val="00DD0D32"/>
    <w:rsid w:val="00DD131E"/>
    <w:rsid w:val="00DD1A56"/>
    <w:rsid w:val="00DD1A73"/>
    <w:rsid w:val="00DD2380"/>
    <w:rsid w:val="00DD2592"/>
    <w:rsid w:val="00DD3502"/>
    <w:rsid w:val="00DD53E9"/>
    <w:rsid w:val="00DD74BD"/>
    <w:rsid w:val="00DD7AAD"/>
    <w:rsid w:val="00DE0B6D"/>
    <w:rsid w:val="00DE144A"/>
    <w:rsid w:val="00DE2FA8"/>
    <w:rsid w:val="00DE3745"/>
    <w:rsid w:val="00DE38DF"/>
    <w:rsid w:val="00DE400A"/>
    <w:rsid w:val="00DE42B7"/>
    <w:rsid w:val="00DE495C"/>
    <w:rsid w:val="00DE5864"/>
    <w:rsid w:val="00DE60D8"/>
    <w:rsid w:val="00DE6421"/>
    <w:rsid w:val="00DF030E"/>
    <w:rsid w:val="00DF172C"/>
    <w:rsid w:val="00DF1F2A"/>
    <w:rsid w:val="00DF4E96"/>
    <w:rsid w:val="00DF52EE"/>
    <w:rsid w:val="00DF6AC4"/>
    <w:rsid w:val="00E00128"/>
    <w:rsid w:val="00E005CD"/>
    <w:rsid w:val="00E00D14"/>
    <w:rsid w:val="00E011E6"/>
    <w:rsid w:val="00E02C0F"/>
    <w:rsid w:val="00E02C42"/>
    <w:rsid w:val="00E03498"/>
    <w:rsid w:val="00E03E3F"/>
    <w:rsid w:val="00E04238"/>
    <w:rsid w:val="00E04426"/>
    <w:rsid w:val="00E05233"/>
    <w:rsid w:val="00E0583D"/>
    <w:rsid w:val="00E106B0"/>
    <w:rsid w:val="00E1279B"/>
    <w:rsid w:val="00E145E9"/>
    <w:rsid w:val="00E14BB7"/>
    <w:rsid w:val="00E15DE1"/>
    <w:rsid w:val="00E166CE"/>
    <w:rsid w:val="00E1727E"/>
    <w:rsid w:val="00E17B26"/>
    <w:rsid w:val="00E212FF"/>
    <w:rsid w:val="00E214DC"/>
    <w:rsid w:val="00E237E3"/>
    <w:rsid w:val="00E24CAD"/>
    <w:rsid w:val="00E24E3D"/>
    <w:rsid w:val="00E257AC"/>
    <w:rsid w:val="00E257E2"/>
    <w:rsid w:val="00E25918"/>
    <w:rsid w:val="00E25B5C"/>
    <w:rsid w:val="00E25F3F"/>
    <w:rsid w:val="00E27339"/>
    <w:rsid w:val="00E27663"/>
    <w:rsid w:val="00E30204"/>
    <w:rsid w:val="00E3085D"/>
    <w:rsid w:val="00E31678"/>
    <w:rsid w:val="00E319CC"/>
    <w:rsid w:val="00E32E93"/>
    <w:rsid w:val="00E33708"/>
    <w:rsid w:val="00E3504C"/>
    <w:rsid w:val="00E3529D"/>
    <w:rsid w:val="00E368A2"/>
    <w:rsid w:val="00E40CF9"/>
    <w:rsid w:val="00E4180A"/>
    <w:rsid w:val="00E421E1"/>
    <w:rsid w:val="00E42323"/>
    <w:rsid w:val="00E430D8"/>
    <w:rsid w:val="00E439FF"/>
    <w:rsid w:val="00E443E5"/>
    <w:rsid w:val="00E44AA4"/>
    <w:rsid w:val="00E45536"/>
    <w:rsid w:val="00E46287"/>
    <w:rsid w:val="00E46BD8"/>
    <w:rsid w:val="00E46FC5"/>
    <w:rsid w:val="00E47DEA"/>
    <w:rsid w:val="00E501B6"/>
    <w:rsid w:val="00E510EE"/>
    <w:rsid w:val="00E52485"/>
    <w:rsid w:val="00E52894"/>
    <w:rsid w:val="00E539BC"/>
    <w:rsid w:val="00E53AD8"/>
    <w:rsid w:val="00E53D3E"/>
    <w:rsid w:val="00E54B5E"/>
    <w:rsid w:val="00E55AC3"/>
    <w:rsid w:val="00E55B81"/>
    <w:rsid w:val="00E55E04"/>
    <w:rsid w:val="00E55F42"/>
    <w:rsid w:val="00E560DA"/>
    <w:rsid w:val="00E56B37"/>
    <w:rsid w:val="00E577B4"/>
    <w:rsid w:val="00E57D81"/>
    <w:rsid w:val="00E6130C"/>
    <w:rsid w:val="00E634A0"/>
    <w:rsid w:val="00E636F4"/>
    <w:rsid w:val="00E63F0B"/>
    <w:rsid w:val="00E64AB1"/>
    <w:rsid w:val="00E6522C"/>
    <w:rsid w:val="00E65265"/>
    <w:rsid w:val="00E656B3"/>
    <w:rsid w:val="00E65B63"/>
    <w:rsid w:val="00E7083A"/>
    <w:rsid w:val="00E710A0"/>
    <w:rsid w:val="00E7142D"/>
    <w:rsid w:val="00E73AC9"/>
    <w:rsid w:val="00E73B2B"/>
    <w:rsid w:val="00E745BA"/>
    <w:rsid w:val="00E749AB"/>
    <w:rsid w:val="00E74D30"/>
    <w:rsid w:val="00E7584C"/>
    <w:rsid w:val="00E76BF2"/>
    <w:rsid w:val="00E76D3D"/>
    <w:rsid w:val="00E771D6"/>
    <w:rsid w:val="00E8071E"/>
    <w:rsid w:val="00E8172A"/>
    <w:rsid w:val="00E81AEA"/>
    <w:rsid w:val="00E81C0F"/>
    <w:rsid w:val="00E81E3F"/>
    <w:rsid w:val="00E842F2"/>
    <w:rsid w:val="00E84541"/>
    <w:rsid w:val="00E8461D"/>
    <w:rsid w:val="00E861AB"/>
    <w:rsid w:val="00E863ED"/>
    <w:rsid w:val="00E8695C"/>
    <w:rsid w:val="00E86B0F"/>
    <w:rsid w:val="00E86C02"/>
    <w:rsid w:val="00E87349"/>
    <w:rsid w:val="00E90D9A"/>
    <w:rsid w:val="00E92824"/>
    <w:rsid w:val="00E92B2B"/>
    <w:rsid w:val="00E93233"/>
    <w:rsid w:val="00E940D1"/>
    <w:rsid w:val="00E945C1"/>
    <w:rsid w:val="00E948D0"/>
    <w:rsid w:val="00E95A4E"/>
    <w:rsid w:val="00E95AA6"/>
    <w:rsid w:val="00E95D24"/>
    <w:rsid w:val="00E95FB4"/>
    <w:rsid w:val="00E9727D"/>
    <w:rsid w:val="00E9799C"/>
    <w:rsid w:val="00E979A4"/>
    <w:rsid w:val="00E97CD1"/>
    <w:rsid w:val="00EA118E"/>
    <w:rsid w:val="00EA14DB"/>
    <w:rsid w:val="00EA2419"/>
    <w:rsid w:val="00EA2562"/>
    <w:rsid w:val="00EA3C06"/>
    <w:rsid w:val="00EA474C"/>
    <w:rsid w:val="00EA497E"/>
    <w:rsid w:val="00EA76F0"/>
    <w:rsid w:val="00EB044B"/>
    <w:rsid w:val="00EB15D1"/>
    <w:rsid w:val="00EB1A6B"/>
    <w:rsid w:val="00EB21C1"/>
    <w:rsid w:val="00EB4AD2"/>
    <w:rsid w:val="00EB5799"/>
    <w:rsid w:val="00EB5AC1"/>
    <w:rsid w:val="00EB5C92"/>
    <w:rsid w:val="00EB62F1"/>
    <w:rsid w:val="00EB6756"/>
    <w:rsid w:val="00EB6DFA"/>
    <w:rsid w:val="00EB6F31"/>
    <w:rsid w:val="00EB755E"/>
    <w:rsid w:val="00EB7C09"/>
    <w:rsid w:val="00EC0756"/>
    <w:rsid w:val="00EC0B83"/>
    <w:rsid w:val="00EC1162"/>
    <w:rsid w:val="00EC14D9"/>
    <w:rsid w:val="00EC14E0"/>
    <w:rsid w:val="00EC1512"/>
    <w:rsid w:val="00EC1BCB"/>
    <w:rsid w:val="00EC1D47"/>
    <w:rsid w:val="00EC26D6"/>
    <w:rsid w:val="00EC3052"/>
    <w:rsid w:val="00EC3323"/>
    <w:rsid w:val="00EC34BF"/>
    <w:rsid w:val="00EC3606"/>
    <w:rsid w:val="00EC47E3"/>
    <w:rsid w:val="00EC499F"/>
    <w:rsid w:val="00EC4E67"/>
    <w:rsid w:val="00EC6425"/>
    <w:rsid w:val="00EC7527"/>
    <w:rsid w:val="00ED0287"/>
    <w:rsid w:val="00ED365C"/>
    <w:rsid w:val="00ED4F39"/>
    <w:rsid w:val="00ED5658"/>
    <w:rsid w:val="00ED598A"/>
    <w:rsid w:val="00ED6559"/>
    <w:rsid w:val="00ED692C"/>
    <w:rsid w:val="00ED6BC2"/>
    <w:rsid w:val="00ED6F08"/>
    <w:rsid w:val="00ED7C14"/>
    <w:rsid w:val="00EE24BE"/>
    <w:rsid w:val="00EE2638"/>
    <w:rsid w:val="00EE2854"/>
    <w:rsid w:val="00EE2B53"/>
    <w:rsid w:val="00EE2C25"/>
    <w:rsid w:val="00EE2C5E"/>
    <w:rsid w:val="00EE3722"/>
    <w:rsid w:val="00EE395F"/>
    <w:rsid w:val="00EE454F"/>
    <w:rsid w:val="00EE4B13"/>
    <w:rsid w:val="00EE5566"/>
    <w:rsid w:val="00EE5D89"/>
    <w:rsid w:val="00EE60C2"/>
    <w:rsid w:val="00EE6169"/>
    <w:rsid w:val="00EF0922"/>
    <w:rsid w:val="00EF2300"/>
    <w:rsid w:val="00EF247A"/>
    <w:rsid w:val="00EF396D"/>
    <w:rsid w:val="00EF4190"/>
    <w:rsid w:val="00EF6481"/>
    <w:rsid w:val="00F00A1F"/>
    <w:rsid w:val="00F00A4B"/>
    <w:rsid w:val="00F023A8"/>
    <w:rsid w:val="00F0437B"/>
    <w:rsid w:val="00F057DB"/>
    <w:rsid w:val="00F06833"/>
    <w:rsid w:val="00F072A8"/>
    <w:rsid w:val="00F07532"/>
    <w:rsid w:val="00F1010D"/>
    <w:rsid w:val="00F10396"/>
    <w:rsid w:val="00F11614"/>
    <w:rsid w:val="00F1218D"/>
    <w:rsid w:val="00F121FF"/>
    <w:rsid w:val="00F134E4"/>
    <w:rsid w:val="00F13E9E"/>
    <w:rsid w:val="00F156E5"/>
    <w:rsid w:val="00F15B98"/>
    <w:rsid w:val="00F15DAA"/>
    <w:rsid w:val="00F16921"/>
    <w:rsid w:val="00F1692A"/>
    <w:rsid w:val="00F20569"/>
    <w:rsid w:val="00F2274F"/>
    <w:rsid w:val="00F2378A"/>
    <w:rsid w:val="00F25133"/>
    <w:rsid w:val="00F2565D"/>
    <w:rsid w:val="00F25BEC"/>
    <w:rsid w:val="00F26824"/>
    <w:rsid w:val="00F27901"/>
    <w:rsid w:val="00F27EFB"/>
    <w:rsid w:val="00F27F81"/>
    <w:rsid w:val="00F301A4"/>
    <w:rsid w:val="00F306DC"/>
    <w:rsid w:val="00F30C03"/>
    <w:rsid w:val="00F31E21"/>
    <w:rsid w:val="00F32000"/>
    <w:rsid w:val="00F324A3"/>
    <w:rsid w:val="00F324E4"/>
    <w:rsid w:val="00F32857"/>
    <w:rsid w:val="00F34803"/>
    <w:rsid w:val="00F34E4B"/>
    <w:rsid w:val="00F358A5"/>
    <w:rsid w:val="00F359F3"/>
    <w:rsid w:val="00F36112"/>
    <w:rsid w:val="00F36498"/>
    <w:rsid w:val="00F374C0"/>
    <w:rsid w:val="00F37C66"/>
    <w:rsid w:val="00F37DE6"/>
    <w:rsid w:val="00F410C8"/>
    <w:rsid w:val="00F42199"/>
    <w:rsid w:val="00F42711"/>
    <w:rsid w:val="00F42861"/>
    <w:rsid w:val="00F428C6"/>
    <w:rsid w:val="00F440DA"/>
    <w:rsid w:val="00F442BF"/>
    <w:rsid w:val="00F442FE"/>
    <w:rsid w:val="00F45A86"/>
    <w:rsid w:val="00F50149"/>
    <w:rsid w:val="00F5290A"/>
    <w:rsid w:val="00F53949"/>
    <w:rsid w:val="00F54776"/>
    <w:rsid w:val="00F54F79"/>
    <w:rsid w:val="00F56038"/>
    <w:rsid w:val="00F5615E"/>
    <w:rsid w:val="00F56C36"/>
    <w:rsid w:val="00F57A24"/>
    <w:rsid w:val="00F6076A"/>
    <w:rsid w:val="00F619BD"/>
    <w:rsid w:val="00F61D9C"/>
    <w:rsid w:val="00F61E28"/>
    <w:rsid w:val="00F62AF9"/>
    <w:rsid w:val="00F62D90"/>
    <w:rsid w:val="00F63A0F"/>
    <w:rsid w:val="00F645F7"/>
    <w:rsid w:val="00F64724"/>
    <w:rsid w:val="00F649A2"/>
    <w:rsid w:val="00F656A6"/>
    <w:rsid w:val="00F666C3"/>
    <w:rsid w:val="00F669B9"/>
    <w:rsid w:val="00F70A4E"/>
    <w:rsid w:val="00F71787"/>
    <w:rsid w:val="00F729A6"/>
    <w:rsid w:val="00F73A3D"/>
    <w:rsid w:val="00F73A79"/>
    <w:rsid w:val="00F74A44"/>
    <w:rsid w:val="00F74A6C"/>
    <w:rsid w:val="00F74B5E"/>
    <w:rsid w:val="00F751FF"/>
    <w:rsid w:val="00F75F2C"/>
    <w:rsid w:val="00F76DB2"/>
    <w:rsid w:val="00F80628"/>
    <w:rsid w:val="00F807A7"/>
    <w:rsid w:val="00F8149A"/>
    <w:rsid w:val="00F8224F"/>
    <w:rsid w:val="00F85AB5"/>
    <w:rsid w:val="00F8762D"/>
    <w:rsid w:val="00F91A5F"/>
    <w:rsid w:val="00F91D38"/>
    <w:rsid w:val="00F9285E"/>
    <w:rsid w:val="00F936AD"/>
    <w:rsid w:val="00F9588D"/>
    <w:rsid w:val="00F96666"/>
    <w:rsid w:val="00F967D0"/>
    <w:rsid w:val="00F96B02"/>
    <w:rsid w:val="00F97F57"/>
    <w:rsid w:val="00FA118B"/>
    <w:rsid w:val="00FA12B9"/>
    <w:rsid w:val="00FA16F5"/>
    <w:rsid w:val="00FA4A26"/>
    <w:rsid w:val="00FB11E4"/>
    <w:rsid w:val="00FB178E"/>
    <w:rsid w:val="00FB33EF"/>
    <w:rsid w:val="00FB43A8"/>
    <w:rsid w:val="00FB4E6C"/>
    <w:rsid w:val="00FB56AA"/>
    <w:rsid w:val="00FB58F0"/>
    <w:rsid w:val="00FB59EA"/>
    <w:rsid w:val="00FB6841"/>
    <w:rsid w:val="00FB6F17"/>
    <w:rsid w:val="00FB7B27"/>
    <w:rsid w:val="00FC0478"/>
    <w:rsid w:val="00FC0D5E"/>
    <w:rsid w:val="00FC10E8"/>
    <w:rsid w:val="00FC1F63"/>
    <w:rsid w:val="00FC21EE"/>
    <w:rsid w:val="00FC3E42"/>
    <w:rsid w:val="00FC4309"/>
    <w:rsid w:val="00FC44E0"/>
    <w:rsid w:val="00FC4C26"/>
    <w:rsid w:val="00FC60AA"/>
    <w:rsid w:val="00FC72FB"/>
    <w:rsid w:val="00FC7F04"/>
    <w:rsid w:val="00FC7FD0"/>
    <w:rsid w:val="00FD119A"/>
    <w:rsid w:val="00FD1AD8"/>
    <w:rsid w:val="00FD37F6"/>
    <w:rsid w:val="00FD3828"/>
    <w:rsid w:val="00FD43BB"/>
    <w:rsid w:val="00FD5155"/>
    <w:rsid w:val="00FD5462"/>
    <w:rsid w:val="00FD7079"/>
    <w:rsid w:val="00FD78DB"/>
    <w:rsid w:val="00FD78EF"/>
    <w:rsid w:val="00FD7981"/>
    <w:rsid w:val="00FD7ECE"/>
    <w:rsid w:val="00FE046A"/>
    <w:rsid w:val="00FE0B42"/>
    <w:rsid w:val="00FE1066"/>
    <w:rsid w:val="00FE2265"/>
    <w:rsid w:val="00FE2381"/>
    <w:rsid w:val="00FE2DC1"/>
    <w:rsid w:val="00FE4628"/>
    <w:rsid w:val="00FE50A1"/>
    <w:rsid w:val="00FE546E"/>
    <w:rsid w:val="00FE5863"/>
    <w:rsid w:val="00FE5D87"/>
    <w:rsid w:val="00FE686C"/>
    <w:rsid w:val="00FE6F9B"/>
    <w:rsid w:val="00FE7EAE"/>
    <w:rsid w:val="00FF0FCE"/>
    <w:rsid w:val="00FF36E6"/>
    <w:rsid w:val="00FF4C3C"/>
    <w:rsid w:val="00FF4FD7"/>
    <w:rsid w:val="00FF5600"/>
    <w:rsid w:val="00FF625F"/>
    <w:rsid w:val="00FF6FC3"/>
    <w:rsid w:val="00FF71A2"/>
    <w:rsid w:val="00FF79B9"/>
    <w:rsid w:val="00FF7B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1F5A0158"/>
  <w15:chartTrackingRefBased/>
  <w15:docId w15:val="{689BD79F-1AEE-48E5-9F83-7440C2AF9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775"/>
    <w:pPr>
      <w:tabs>
        <w:tab w:val="left" w:pos="567"/>
      </w:tabs>
      <w:spacing w:line="260" w:lineRule="exact"/>
    </w:pPr>
    <w:rPr>
      <w:sz w:val="22"/>
      <w:lang w:eastAsia="en-US"/>
    </w:rPr>
  </w:style>
  <w:style w:type="paragraph" w:styleId="Heading1">
    <w:name w:val="heading 1"/>
    <w:basedOn w:val="Normal"/>
    <w:next w:val="Normal"/>
    <w:qFormat/>
    <w:pPr>
      <w:spacing w:before="240" w:after="120"/>
      <w:ind w:left="357" w:hanging="357"/>
      <w:outlineLvl w:val="0"/>
    </w:pPr>
    <w:rPr>
      <w:b/>
      <w:caps/>
      <w:sz w:val="26"/>
      <w:lang w:val="en-US"/>
    </w:rPr>
  </w:style>
  <w:style w:type="paragraph" w:styleId="Heading2">
    <w:name w:val="heading 2"/>
    <w:basedOn w:val="Normal"/>
    <w:next w:val="Normal"/>
    <w:qFormat/>
    <w:pPr>
      <w:keepNext/>
      <w:spacing w:before="240" w:after="60"/>
      <w:outlineLvl w:val="1"/>
    </w:pPr>
    <w:rPr>
      <w:rFonts w:ascii="Helvetica" w:hAnsi="Helvetica"/>
      <w:b/>
      <w:i/>
      <w:sz w:val="24"/>
    </w:rPr>
  </w:style>
  <w:style w:type="paragraph" w:styleId="Heading3">
    <w:name w:val="heading 3"/>
    <w:basedOn w:val="Normal"/>
    <w:next w:val="Normal"/>
    <w:qFormat/>
    <w:pPr>
      <w:keepNext/>
      <w:keepLines/>
      <w:spacing w:before="120" w:after="80"/>
      <w:outlineLvl w:val="2"/>
    </w:pPr>
    <w:rPr>
      <w:b/>
      <w:kern w:val="28"/>
      <w:sz w:val="24"/>
      <w:lang w:val="en-US"/>
    </w:rPr>
  </w:style>
  <w:style w:type="paragraph" w:styleId="Heading4">
    <w:name w:val="heading 4"/>
    <w:basedOn w:val="Normal"/>
    <w:next w:val="Normal"/>
    <w:qFormat/>
    <w:pPr>
      <w:keepNext/>
      <w:jc w:val="both"/>
      <w:outlineLvl w:val="3"/>
    </w:pPr>
    <w:rPr>
      <w:b/>
      <w:noProof/>
    </w:rPr>
  </w:style>
  <w:style w:type="paragraph" w:styleId="Heading5">
    <w:name w:val="heading 5"/>
    <w:basedOn w:val="Normal"/>
    <w:next w:val="Normal"/>
    <w:qFormat/>
    <w:pPr>
      <w:keepNext/>
      <w:jc w:val="both"/>
      <w:outlineLvl w:val="4"/>
    </w:pPr>
    <w:rPr>
      <w:noProof/>
    </w:rPr>
  </w:style>
  <w:style w:type="paragraph" w:styleId="Heading6">
    <w:name w:val="heading 6"/>
    <w:basedOn w:val="Normal"/>
    <w:next w:val="Normal"/>
    <w:qFormat/>
    <w:pPr>
      <w:keepNext/>
      <w:tabs>
        <w:tab w:val="left" w:pos="-720"/>
        <w:tab w:val="left" w:pos="4536"/>
      </w:tabs>
      <w:suppressAutoHyphens/>
      <w:outlineLvl w:val="5"/>
    </w:pPr>
    <w:rPr>
      <w:i/>
    </w:rPr>
  </w:style>
  <w:style w:type="paragraph" w:styleId="Heading7">
    <w:name w:val="heading 7"/>
    <w:basedOn w:val="Normal"/>
    <w:next w:val="Normal"/>
    <w:qFormat/>
    <w:pPr>
      <w:keepNext/>
      <w:tabs>
        <w:tab w:val="left" w:pos="-720"/>
        <w:tab w:val="left" w:pos="4536"/>
      </w:tabs>
      <w:suppressAutoHyphens/>
      <w:jc w:val="both"/>
      <w:outlineLvl w:val="6"/>
    </w:pPr>
    <w:rPr>
      <w:i/>
    </w:rPr>
  </w:style>
  <w:style w:type="paragraph" w:styleId="Heading8">
    <w:name w:val="heading 8"/>
    <w:basedOn w:val="Normal"/>
    <w:next w:val="Normal"/>
    <w:qFormat/>
    <w:pPr>
      <w:keepNext/>
      <w:ind w:left="567" w:hanging="567"/>
      <w:jc w:val="both"/>
      <w:outlineLvl w:val="7"/>
    </w:pPr>
    <w:rPr>
      <w:b/>
      <w:i/>
    </w:rPr>
  </w:style>
  <w:style w:type="paragraph" w:styleId="Heading9">
    <w:name w:val="heading 9"/>
    <w:basedOn w:val="Normal"/>
    <w:next w:val="Normal"/>
    <w:qFormat/>
    <w:pPr>
      <w:keepNext/>
      <w:jc w:val="both"/>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spacing w:line="240" w:lineRule="auto"/>
    </w:pPr>
    <w:rPr>
      <w:rFonts w:ascii="Helvetica" w:hAnsi="Helvetica"/>
      <w:sz w:val="20"/>
    </w:rPr>
  </w:style>
  <w:style w:type="paragraph" w:styleId="Footer">
    <w:name w:val="footer"/>
    <w:basedOn w:val="Normal"/>
    <w:pPr>
      <w:tabs>
        <w:tab w:val="center" w:pos="4536"/>
        <w:tab w:val="center" w:pos="8930"/>
      </w:tabs>
      <w:spacing w:line="240" w:lineRule="auto"/>
    </w:pPr>
    <w:rPr>
      <w:rFonts w:ascii="Helvetica" w:hAnsi="Helvetica"/>
      <w:sz w:val="16"/>
    </w:rPr>
  </w:style>
  <w:style w:type="character" w:styleId="PageNumber">
    <w:name w:val="page number"/>
    <w:basedOn w:val="DefaultParagraphFont"/>
  </w:style>
  <w:style w:type="paragraph" w:styleId="EndnoteText">
    <w:name w:val="endnote text"/>
    <w:basedOn w:val="Normal"/>
    <w:link w:val="EndnoteTextChar"/>
    <w:semiHidden/>
    <w:pPr>
      <w:spacing w:line="240" w:lineRule="auto"/>
    </w:pPr>
  </w:style>
  <w:style w:type="character" w:styleId="EndnoteReference">
    <w:name w:val="endnote reference"/>
    <w:semiHidden/>
    <w:rPr>
      <w:vertAlign w:val="superscript"/>
    </w:rPr>
  </w:style>
  <w:style w:type="character" w:styleId="CommentReference">
    <w:name w:val="annotation reference"/>
    <w:semiHidden/>
    <w:rPr>
      <w:sz w:val="16"/>
    </w:rPr>
  </w:style>
  <w:style w:type="paragraph" w:styleId="CommentText">
    <w:name w:val="annotation text"/>
    <w:aliases w:val="Comment Text Char1 Char,Comment Text Char Char Char,Comment Text Char1"/>
    <w:basedOn w:val="Normal"/>
    <w:link w:val="CommentTextChar"/>
    <w:uiPriority w:val="99"/>
    <w:rPr>
      <w:sz w:val="20"/>
      <w:lang w:eastAsia="x-none"/>
    </w:rPr>
  </w:style>
  <w:style w:type="paragraph" w:customStyle="1" w:styleId="BodyText22">
    <w:name w:val="Body Text 22"/>
    <w:basedOn w:val="Normal"/>
    <w:pPr>
      <w:tabs>
        <w:tab w:val="left" w:pos="4536"/>
      </w:tabs>
      <w:jc w:val="both"/>
    </w:pPr>
    <w:rPr>
      <w:b/>
    </w:rPr>
  </w:style>
  <w:style w:type="paragraph" w:styleId="BodyText">
    <w:name w:val="Body Text"/>
    <w:basedOn w:val="Normal"/>
    <w:rPr>
      <w:b/>
      <w:i/>
    </w:rPr>
  </w:style>
  <w:style w:type="paragraph" w:styleId="BodyText3">
    <w:name w:val="Body Text 3"/>
    <w:basedOn w:val="Normal"/>
    <w:pPr>
      <w:jc w:val="both"/>
    </w:pPr>
    <w:rPr>
      <w:b/>
      <w:i/>
    </w:rPr>
  </w:style>
  <w:style w:type="paragraph" w:styleId="BodyTextIndent2">
    <w:name w:val="Body Text Indent 2"/>
    <w:basedOn w:val="Normal"/>
    <w:pPr>
      <w:ind w:left="567" w:hanging="567"/>
      <w:jc w:val="both"/>
    </w:pPr>
    <w:rPr>
      <w:b/>
    </w:rPr>
  </w:style>
  <w:style w:type="paragraph" w:customStyle="1" w:styleId="BodyText21">
    <w:name w:val="Body Text 21"/>
    <w:basedOn w:val="Normal"/>
    <w:pPr>
      <w:tabs>
        <w:tab w:val="left" w:pos="4536"/>
      </w:tabs>
      <w:jc w:val="both"/>
    </w:pPr>
    <w:rPr>
      <w:b/>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BodyTextIndent3">
    <w:name w:val="Body Text Indent 3"/>
    <w:basedOn w:val="Normal"/>
    <w:pPr>
      <w:ind w:left="567" w:hanging="567"/>
    </w:pPr>
    <w:rPr>
      <w:i/>
      <w:color w:val="008000"/>
    </w:rPr>
  </w:style>
  <w:style w:type="paragraph" w:styleId="BodyText2">
    <w:name w:val="Body Text 2"/>
    <w:basedOn w:val="Normal"/>
    <w:pPr>
      <w:tabs>
        <w:tab w:val="clear" w:pos="567"/>
      </w:tabs>
      <w:spacing w:line="240" w:lineRule="auto"/>
      <w:ind w:left="567" w:hanging="567"/>
    </w:pPr>
    <w:rPr>
      <w:b/>
    </w:rPr>
  </w:style>
  <w:style w:type="paragraph" w:styleId="BlockText">
    <w:name w:val="Block Text"/>
    <w:basedOn w:val="Normal"/>
    <w:pPr>
      <w:tabs>
        <w:tab w:val="clear" w:pos="567"/>
        <w:tab w:val="left" w:pos="2657"/>
      </w:tabs>
      <w:spacing w:before="120" w:line="240" w:lineRule="auto"/>
      <w:ind w:left="-37" w:right="-28"/>
    </w:pPr>
  </w:style>
  <w:style w:type="paragraph" w:styleId="BodyTextIndent">
    <w:name w:val="Body Text Indent"/>
    <w:basedOn w:val="Normal"/>
    <w:pPr>
      <w:tabs>
        <w:tab w:val="clear" w:pos="567"/>
      </w:tabs>
      <w:spacing w:line="240" w:lineRule="auto"/>
      <w:ind w:left="567" w:hanging="567"/>
    </w:pPr>
    <w:rPr>
      <w:b/>
      <w:color w:val="80808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ext">
    <w:name w:val="Text"/>
    <w:basedOn w:val="Normal"/>
    <w:link w:val="TextChar"/>
    <w:pPr>
      <w:tabs>
        <w:tab w:val="clear" w:pos="567"/>
      </w:tabs>
      <w:spacing w:before="120" w:line="240" w:lineRule="auto"/>
      <w:jc w:val="both"/>
    </w:pPr>
    <w:rPr>
      <w:sz w:val="24"/>
      <w:lang w:val="en-US"/>
    </w:rPr>
  </w:style>
  <w:style w:type="paragraph" w:customStyle="1" w:styleId="Table">
    <w:name w:val="Table"/>
    <w:basedOn w:val="Normal"/>
    <w:link w:val="TableChar"/>
    <w:pPr>
      <w:keepNext/>
      <w:keepLines/>
      <w:tabs>
        <w:tab w:val="clear" w:pos="567"/>
        <w:tab w:val="left" w:pos="284"/>
      </w:tabs>
      <w:spacing w:before="40" w:after="20" w:line="240" w:lineRule="auto"/>
    </w:pPr>
    <w:rPr>
      <w:rFonts w:ascii="Arial" w:hAnsi="Arial"/>
      <w:sz w:val="20"/>
      <w:lang w:val="en-US"/>
    </w:rPr>
  </w:style>
  <w:style w:type="paragraph" w:customStyle="1" w:styleId="Listlevel2">
    <w:name w:val="List level 2"/>
    <w:basedOn w:val="Normal"/>
    <w:pPr>
      <w:tabs>
        <w:tab w:val="clear" w:pos="567"/>
      </w:tabs>
      <w:spacing w:before="40" w:after="20" w:line="240" w:lineRule="auto"/>
      <w:ind w:left="850" w:hanging="425"/>
    </w:pPr>
    <w:rPr>
      <w:sz w:val="24"/>
      <w:lang w:val="en-US"/>
    </w:rPr>
  </w:style>
  <w:style w:type="paragraph" w:customStyle="1" w:styleId="Listlevel1">
    <w:name w:val="List level 1"/>
    <w:basedOn w:val="Normal"/>
    <w:pPr>
      <w:tabs>
        <w:tab w:val="clear" w:pos="567"/>
      </w:tabs>
      <w:spacing w:before="40" w:after="20" w:line="240" w:lineRule="auto"/>
      <w:ind w:left="425" w:hanging="425"/>
    </w:pPr>
    <w:rPr>
      <w:sz w:val="24"/>
      <w:lang w:val="en-US"/>
    </w:rPr>
  </w:style>
  <w:style w:type="paragraph" w:customStyle="1" w:styleId="Authors">
    <w:name w:val="Authors"/>
    <w:basedOn w:val="Normal"/>
    <w:pPr>
      <w:keepNext/>
      <w:tabs>
        <w:tab w:val="clear" w:pos="567"/>
        <w:tab w:val="left" w:pos="2268"/>
      </w:tabs>
      <w:spacing w:before="240" w:line="240" w:lineRule="auto"/>
    </w:pPr>
    <w:rPr>
      <w:rFonts w:ascii="Arial" w:hAnsi="Arial"/>
      <w:lang w:val="en-US"/>
    </w:rPr>
  </w:style>
  <w:style w:type="paragraph" w:customStyle="1" w:styleId="Releasedate">
    <w:name w:val="Releasedate"/>
    <w:basedOn w:val="Normal"/>
    <w:pPr>
      <w:keepNext/>
      <w:tabs>
        <w:tab w:val="clear" w:pos="567"/>
      </w:tabs>
      <w:spacing w:before="240" w:line="240" w:lineRule="auto"/>
    </w:pPr>
    <w:rPr>
      <w:rFonts w:ascii="Arial" w:hAnsi="Arial"/>
    </w:rPr>
  </w:style>
  <w:style w:type="paragraph" w:styleId="TOC6">
    <w:name w:val="toc 6"/>
    <w:basedOn w:val="Normal"/>
    <w:autoRedefine/>
    <w:semiHidden/>
    <w:rsid w:val="00FF5600"/>
    <w:pPr>
      <w:keepNext/>
      <w:tabs>
        <w:tab w:val="clear" w:pos="567"/>
        <w:tab w:val="right" w:leader="dot" w:pos="9061"/>
      </w:tabs>
      <w:spacing w:line="240" w:lineRule="auto"/>
      <w:ind w:left="992" w:right="227" w:hanging="992"/>
    </w:pPr>
    <w:rPr>
      <w:szCs w:val="22"/>
      <w:u w:val="single"/>
    </w:rPr>
  </w:style>
  <w:style w:type="paragraph" w:styleId="BalloonText">
    <w:name w:val="Balloon Text"/>
    <w:basedOn w:val="Normal"/>
    <w:semiHidden/>
    <w:rsid w:val="006237AB"/>
    <w:rPr>
      <w:rFonts w:ascii="Tahoma" w:hAnsi="Tahoma" w:cs="Tahoma"/>
      <w:sz w:val="16"/>
      <w:szCs w:val="16"/>
    </w:rPr>
  </w:style>
  <w:style w:type="paragraph" w:styleId="CommentSubject">
    <w:name w:val="annotation subject"/>
    <w:basedOn w:val="CommentText"/>
    <w:next w:val="CommentText"/>
    <w:semiHidden/>
    <w:rsid w:val="006237AB"/>
    <w:rPr>
      <w:b/>
      <w:bCs/>
    </w:rPr>
  </w:style>
  <w:style w:type="character" w:styleId="Strong">
    <w:name w:val="Strong"/>
    <w:qFormat/>
    <w:rsid w:val="00356F51"/>
    <w:rPr>
      <w:b/>
    </w:rPr>
  </w:style>
  <w:style w:type="character" w:customStyle="1" w:styleId="TextChar">
    <w:name w:val="Text Char"/>
    <w:link w:val="Text"/>
    <w:rsid w:val="002A44F6"/>
    <w:rPr>
      <w:sz w:val="24"/>
      <w:lang w:val="en-US" w:eastAsia="en-US" w:bidi="ar-SA"/>
    </w:rPr>
  </w:style>
  <w:style w:type="paragraph" w:customStyle="1" w:styleId="Nottoc-headings">
    <w:name w:val="Not toc-headings"/>
    <w:basedOn w:val="Normal"/>
    <w:next w:val="Text"/>
    <w:link w:val="Nottoc-headingsChar"/>
    <w:rsid w:val="00363CD4"/>
    <w:pPr>
      <w:keepNext/>
      <w:keepLines/>
      <w:tabs>
        <w:tab w:val="clear" w:pos="567"/>
      </w:tabs>
      <w:spacing w:before="240" w:after="60" w:line="240" w:lineRule="auto"/>
      <w:ind w:left="1701" w:hanging="1701"/>
    </w:pPr>
    <w:rPr>
      <w:rFonts w:ascii="Arial" w:hAnsi="Arial"/>
      <w:b/>
      <w:sz w:val="24"/>
      <w:lang w:val="en-US"/>
    </w:rPr>
  </w:style>
  <w:style w:type="table" w:styleId="TableGrid">
    <w:name w:val="Table Grid"/>
    <w:basedOn w:val="TableNormal"/>
    <w:rsid w:val="00363CD4"/>
    <w:pPr>
      <w:tabs>
        <w:tab w:val="left" w:pos="567"/>
      </w:tabs>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Char">
    <w:name w:val="Table Char"/>
    <w:link w:val="Table"/>
    <w:rsid w:val="008F1C56"/>
    <w:rPr>
      <w:rFonts w:ascii="Arial" w:hAnsi="Arial"/>
      <w:lang w:val="en-US" w:eastAsia="en-US" w:bidi="ar-SA"/>
    </w:rPr>
  </w:style>
  <w:style w:type="character" w:customStyle="1" w:styleId="Nottoc-headingsChar">
    <w:name w:val="Not toc-headings Char"/>
    <w:link w:val="Nottoc-headings"/>
    <w:rsid w:val="004C5C42"/>
    <w:rPr>
      <w:rFonts w:ascii="Arial" w:hAnsi="Arial"/>
      <w:b/>
      <w:sz w:val="24"/>
      <w:lang w:val="en-US" w:eastAsia="en-US" w:bidi="ar-SA"/>
    </w:rPr>
  </w:style>
  <w:style w:type="character" w:customStyle="1" w:styleId="EndnoteTextChar">
    <w:name w:val="Endnote Text Char"/>
    <w:link w:val="EndnoteText"/>
    <w:rsid w:val="00DC1D09"/>
    <w:rPr>
      <w:sz w:val="22"/>
      <w:lang w:val="en-GB" w:eastAsia="en-US" w:bidi="ar-SA"/>
    </w:rPr>
  </w:style>
  <w:style w:type="character" w:customStyle="1" w:styleId="Char">
    <w:name w:val="Char"/>
    <w:rsid w:val="002B0D5C"/>
    <w:rPr>
      <w:sz w:val="22"/>
      <w:lang w:val="en-GB" w:eastAsia="en-US" w:bidi="ar-SA"/>
    </w:rPr>
  </w:style>
  <w:style w:type="paragraph" w:customStyle="1" w:styleId="SAStext">
    <w:name w:val="SAS text"/>
    <w:rsid w:val="00E940D1"/>
    <w:rPr>
      <w:rFonts w:ascii="Courier New" w:eastAsia="MS Mincho" w:hAnsi="Courier New"/>
      <w:spacing w:val="-10"/>
      <w:lang w:val="en-US" w:eastAsia="en-US"/>
    </w:rPr>
  </w:style>
  <w:style w:type="paragraph" w:customStyle="1" w:styleId="Style">
    <w:name w:val="Style"/>
    <w:basedOn w:val="Normal"/>
    <w:rsid w:val="00297E68"/>
    <w:pPr>
      <w:tabs>
        <w:tab w:val="clear" w:pos="567"/>
      </w:tabs>
      <w:spacing w:after="160" w:line="240" w:lineRule="exact"/>
    </w:pPr>
    <w:rPr>
      <w:rFonts w:ascii="Verdana" w:hAnsi="Verdana" w:cs="Verdana"/>
      <w:sz w:val="20"/>
    </w:rPr>
  </w:style>
  <w:style w:type="paragraph" w:customStyle="1" w:styleId="CharCharCharCharChar1CharCharCharCharCharChar">
    <w:name w:val="Char Char Char Char Char1 Char Char Char Char Char Char"/>
    <w:basedOn w:val="Normal"/>
    <w:rsid w:val="00982EF9"/>
    <w:pPr>
      <w:tabs>
        <w:tab w:val="clear" w:pos="567"/>
      </w:tabs>
      <w:spacing w:after="160" w:line="240" w:lineRule="exact"/>
    </w:pPr>
    <w:rPr>
      <w:rFonts w:ascii="Tahoma" w:hAnsi="Tahoma"/>
      <w:sz w:val="20"/>
      <w:lang w:val="en-US"/>
    </w:rPr>
  </w:style>
  <w:style w:type="paragraph" w:customStyle="1" w:styleId="CharCharCharCharCharChar">
    <w:name w:val="Char Char Char Char Char Char"/>
    <w:basedOn w:val="Normal"/>
    <w:rsid w:val="00D50367"/>
    <w:pPr>
      <w:tabs>
        <w:tab w:val="clear" w:pos="567"/>
      </w:tabs>
      <w:spacing w:after="160" w:line="240" w:lineRule="exact"/>
    </w:pPr>
    <w:rPr>
      <w:rFonts w:ascii="Tahoma" w:eastAsia="MS Mincho" w:hAnsi="Tahoma"/>
      <w:sz w:val="20"/>
      <w:lang w:val="en-US"/>
    </w:rPr>
  </w:style>
  <w:style w:type="paragraph" w:customStyle="1" w:styleId="CharChar">
    <w:name w:val="Char Char"/>
    <w:basedOn w:val="Normal"/>
    <w:rsid w:val="002A52BA"/>
    <w:pPr>
      <w:tabs>
        <w:tab w:val="clear" w:pos="567"/>
      </w:tabs>
      <w:spacing w:after="160" w:line="240" w:lineRule="exact"/>
    </w:pPr>
    <w:rPr>
      <w:rFonts w:ascii="Verdana" w:hAnsi="Verdana" w:cs="Verdana"/>
      <w:sz w:val="20"/>
      <w:lang w:val="en-US"/>
    </w:rPr>
  </w:style>
  <w:style w:type="paragraph" w:styleId="Date">
    <w:name w:val="Date"/>
    <w:basedOn w:val="Normal"/>
    <w:next w:val="Normal"/>
    <w:rsid w:val="004E4A30"/>
    <w:pPr>
      <w:tabs>
        <w:tab w:val="clear" w:pos="567"/>
      </w:tabs>
      <w:spacing w:line="240" w:lineRule="auto"/>
    </w:pPr>
  </w:style>
  <w:style w:type="character" w:customStyle="1" w:styleId="CommentTextChar">
    <w:name w:val="Comment Text Char"/>
    <w:aliases w:val="Comment Text Char1 Char Char,Comment Text Char Char Char Char,Comment Text Char1 Char1"/>
    <w:link w:val="CommentText"/>
    <w:uiPriority w:val="99"/>
    <w:rsid w:val="00E8172A"/>
    <w:rPr>
      <w:lang w:val="en-GB"/>
    </w:rPr>
  </w:style>
  <w:style w:type="paragraph" w:customStyle="1" w:styleId="Default">
    <w:name w:val="Default"/>
    <w:rsid w:val="00644688"/>
    <w:pPr>
      <w:autoSpaceDE w:val="0"/>
      <w:autoSpaceDN w:val="0"/>
      <w:adjustRightInd w:val="0"/>
    </w:pPr>
    <w:rPr>
      <w:rFonts w:eastAsia="SimSun"/>
      <w:color w:val="000000"/>
      <w:sz w:val="24"/>
      <w:szCs w:val="24"/>
      <w:lang w:val="en-US" w:eastAsia="zh-CN"/>
    </w:rPr>
  </w:style>
  <w:style w:type="character" w:styleId="Emphasis">
    <w:name w:val="Emphasis"/>
    <w:qFormat/>
    <w:rsid w:val="004C0C32"/>
    <w:rPr>
      <w:b/>
      <w:bCs/>
      <w:i w:val="0"/>
      <w:iCs w:val="0"/>
    </w:rPr>
  </w:style>
  <w:style w:type="paragraph" w:styleId="DocumentMap">
    <w:name w:val="Document Map"/>
    <w:basedOn w:val="Normal"/>
    <w:link w:val="DocumentMapChar"/>
    <w:semiHidden/>
    <w:rsid w:val="009F4E83"/>
    <w:pPr>
      <w:shd w:val="clear" w:color="auto" w:fill="000080"/>
      <w:tabs>
        <w:tab w:val="clear" w:pos="567"/>
      </w:tabs>
      <w:spacing w:line="240" w:lineRule="auto"/>
    </w:pPr>
    <w:rPr>
      <w:rFonts w:ascii="Tahoma" w:hAnsi="Tahoma"/>
      <w:sz w:val="20"/>
      <w:lang w:val="hr-HR" w:eastAsia="hr-HR"/>
    </w:rPr>
  </w:style>
  <w:style w:type="character" w:customStyle="1" w:styleId="DocumentMapChar">
    <w:name w:val="Document Map Char"/>
    <w:link w:val="DocumentMap"/>
    <w:semiHidden/>
    <w:rsid w:val="009F4E83"/>
    <w:rPr>
      <w:rFonts w:ascii="Tahoma" w:hAnsi="Tahoma" w:cs="Tahoma"/>
      <w:shd w:val="clear" w:color="auto" w:fill="000080"/>
      <w:lang w:val="hr-HR" w:eastAsia="hr-HR"/>
    </w:rPr>
  </w:style>
  <w:style w:type="paragraph" w:styleId="Revision">
    <w:name w:val="Revision"/>
    <w:hidden/>
    <w:uiPriority w:val="99"/>
    <w:semiHidden/>
    <w:rsid w:val="00204719"/>
    <w:rPr>
      <w:sz w:val="22"/>
      <w:lang w:eastAsia="en-US"/>
    </w:rPr>
  </w:style>
  <w:style w:type="character" w:customStyle="1" w:styleId="NormalAgencyChar">
    <w:name w:val="Normal (Agency) Char"/>
    <w:link w:val="NormalAgency"/>
    <w:locked/>
    <w:rsid w:val="002671C1"/>
    <w:rPr>
      <w:rFonts w:ascii="Verdana" w:hAnsi="Verdana"/>
    </w:rPr>
  </w:style>
  <w:style w:type="paragraph" w:customStyle="1" w:styleId="NormalAgency">
    <w:name w:val="Normal (Agency)"/>
    <w:basedOn w:val="Normal"/>
    <w:link w:val="NormalAgencyChar"/>
    <w:rsid w:val="002671C1"/>
    <w:pPr>
      <w:tabs>
        <w:tab w:val="clear" w:pos="567"/>
      </w:tabs>
      <w:spacing w:line="240" w:lineRule="auto"/>
    </w:pPr>
    <w:rPr>
      <w:rFonts w:ascii="Verdana" w:hAnsi="Verdana"/>
      <w:sz w:val="20"/>
      <w:lang w:val="en-US"/>
    </w:rPr>
  </w:style>
  <w:style w:type="paragraph" w:customStyle="1" w:styleId="BodytextAgency">
    <w:name w:val="Body text (Agency)"/>
    <w:basedOn w:val="Normal"/>
    <w:link w:val="BodytextAgencyChar"/>
    <w:qFormat/>
    <w:rsid w:val="00C330F6"/>
    <w:pPr>
      <w:tabs>
        <w:tab w:val="clear" w:pos="567"/>
      </w:tabs>
      <w:spacing w:after="140" w:line="280" w:lineRule="atLeast"/>
    </w:pPr>
    <w:rPr>
      <w:rFonts w:ascii="Verdana" w:eastAsia="Verdana" w:hAnsi="Verdana" w:cs="Verdana"/>
      <w:sz w:val="18"/>
      <w:szCs w:val="18"/>
      <w:lang w:eastAsia="en-GB"/>
    </w:rPr>
  </w:style>
  <w:style w:type="character" w:customStyle="1" w:styleId="BodytextAgencyChar">
    <w:name w:val="Body text (Agency) Char"/>
    <w:link w:val="BodytextAgency"/>
    <w:qFormat/>
    <w:locked/>
    <w:rsid w:val="00C330F6"/>
    <w:rPr>
      <w:rFonts w:ascii="Verdana" w:eastAsia="Verdana" w:hAnsi="Verdana" w:cs="Verdana"/>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965657">
      <w:bodyDiv w:val="1"/>
      <w:marLeft w:val="0"/>
      <w:marRight w:val="0"/>
      <w:marTop w:val="0"/>
      <w:marBottom w:val="0"/>
      <w:divBdr>
        <w:top w:val="none" w:sz="0" w:space="0" w:color="auto"/>
        <w:left w:val="none" w:sz="0" w:space="0" w:color="auto"/>
        <w:bottom w:val="none" w:sz="0" w:space="0" w:color="auto"/>
        <w:right w:val="none" w:sz="0" w:space="0" w:color="auto"/>
      </w:divBdr>
    </w:div>
    <w:div w:id="745153661">
      <w:bodyDiv w:val="1"/>
      <w:marLeft w:val="0"/>
      <w:marRight w:val="0"/>
      <w:marTop w:val="0"/>
      <w:marBottom w:val="0"/>
      <w:divBdr>
        <w:top w:val="none" w:sz="0" w:space="0" w:color="auto"/>
        <w:left w:val="none" w:sz="0" w:space="0" w:color="auto"/>
        <w:bottom w:val="none" w:sz="0" w:space="0" w:color="auto"/>
        <w:right w:val="none" w:sz="0" w:space="0" w:color="auto"/>
      </w:divBdr>
    </w:div>
    <w:div w:id="1426337710">
      <w:bodyDiv w:val="1"/>
      <w:marLeft w:val="0"/>
      <w:marRight w:val="0"/>
      <w:marTop w:val="0"/>
      <w:marBottom w:val="0"/>
      <w:divBdr>
        <w:top w:val="none" w:sz="0" w:space="0" w:color="auto"/>
        <w:left w:val="none" w:sz="0" w:space="0" w:color="auto"/>
        <w:bottom w:val="none" w:sz="0" w:space="0" w:color="auto"/>
        <w:right w:val="none" w:sz="0" w:space="0" w:color="auto"/>
      </w:divBdr>
    </w:div>
    <w:div w:id="193458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hyperlink" Target="http://www.ema.europa.eu"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www.ema.europa.eu/docs/en_GB/document_library/Template_or_form/2013/03/WC500139752.doc" TargetMode="External"/><Relationship Id="rId7"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www.ema.europa.eu/docs/en_GB/document_library/Template_or_form/2013/03/WC500139752.doc"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ema.europa.eu" TargetMode="External"/><Relationship Id="rId20" Type="http://schemas.openxmlformats.org/officeDocument/2006/relationships/hyperlink" Target="http://www.ema.europa.eu"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hyperlink" Target="http://www.ema.europa.eu/docs/en_GB/document_library/Template_or_form/2013/03/WC500139752.doc"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www.ema.europa.eu" TargetMode="External"/><Relationship Id="rId27" Type="http://schemas.openxmlformats.org/officeDocument/2006/relationships/header" Target="header3.xm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887280-EADE-43E0-AFD2-B87CCCC3457B}"/>
</file>

<file path=customXml/itemProps2.xml><?xml version="1.0" encoding="utf-8"?>
<ds:datastoreItem xmlns:ds="http://schemas.openxmlformats.org/officeDocument/2006/customXml" ds:itemID="{A33937AA-B846-4013-BA25-4E336D348A94}">
  <ds:schemaRefs>
    <ds:schemaRef ds:uri="http://schemas.microsoft.com/sharepoint/v3/contenttype/forms"/>
  </ds:schemaRefs>
</ds:datastoreItem>
</file>

<file path=customXml/itemProps3.xml><?xml version="1.0" encoding="utf-8"?>
<ds:datastoreItem xmlns:ds="http://schemas.openxmlformats.org/officeDocument/2006/customXml" ds:itemID="{E5F09E9E-ADE3-4F1A-8250-959911A00515}">
  <ds:schemaRefs>
    <ds:schemaRef ds:uri="http://purl.org/dc/elements/1.1/"/>
    <ds:schemaRef ds:uri="http://schemas.microsoft.com/office/2006/metadata/properties"/>
    <ds:schemaRef ds:uri="08c21c09-beba-4072-8000-1dca26330969"/>
    <ds:schemaRef ds:uri="http://purl.org/dc/terms/"/>
    <ds:schemaRef ds:uri="http://schemas.openxmlformats.org/package/2006/metadata/core-properties"/>
    <ds:schemaRef ds:uri="http://schemas.microsoft.com/office/2006/documentManagement/types"/>
    <ds:schemaRef ds:uri="e84aa060-13d4-4ddd-8d65-c3aafff2663b"/>
    <ds:schemaRef ds:uri="http://schemas.microsoft.com/office/infopath/2007/PartnerControls"/>
    <ds:schemaRef ds:uri="http://www.w3.org/XML/1998/namespace"/>
    <ds:schemaRef ds:uri="http://purl.org/dc/dcmitype/"/>
  </ds:schemaRefs>
</ds:datastoreItem>
</file>

<file path=customXml/itemProps4.xml><?xml version="1.0" encoding="utf-8"?>
<ds:datastoreItem xmlns:ds="http://schemas.openxmlformats.org/officeDocument/2006/customXml" ds:itemID="{C20D6C4C-6B76-4A09-A71B-B41409806D60}">
  <ds:schemaRefs>
    <ds:schemaRef ds:uri="http://schemas.openxmlformats.org/officeDocument/2006/bibliography"/>
  </ds:schemaRefs>
</ds:datastoreItem>
</file>

<file path=customXml/itemProps5.xml><?xml version="1.0" encoding="utf-8"?>
<ds:datastoreItem xmlns:ds="http://schemas.openxmlformats.org/officeDocument/2006/customXml" ds:itemID="{4711946E-C127-4A4E-8852-69E6E1B78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100</Pages>
  <Words>38901</Words>
  <Characters>229603</Characters>
  <Application>Microsoft Office Word</Application>
  <DocSecurity>0</DocSecurity>
  <Lines>1913</Lines>
  <Paragraphs>535</Paragraphs>
  <ScaleCrop>false</ScaleCrop>
  <HeadingPairs>
    <vt:vector size="2" baseType="variant">
      <vt:variant>
        <vt:lpstr>Title</vt:lpstr>
      </vt:variant>
      <vt:variant>
        <vt:i4>1</vt:i4>
      </vt:variant>
    </vt:vector>
  </HeadingPairs>
  <TitlesOfParts>
    <vt:vector size="1" baseType="lpstr">
      <vt:lpstr>Glivec, INN-imatinib</vt:lpstr>
    </vt:vector>
  </TitlesOfParts>
  <Company>Novartis</Company>
  <LinksUpToDate>false</LinksUpToDate>
  <CharactersWithSpaces>267969</CharactersWithSpaces>
  <SharedDoc>false</SharedDoc>
  <HLinks>
    <vt:vector size="72" baseType="variant">
      <vt:variant>
        <vt:i4>1245197</vt:i4>
      </vt:variant>
      <vt:variant>
        <vt:i4>33</vt:i4>
      </vt:variant>
      <vt:variant>
        <vt:i4>0</vt:i4>
      </vt:variant>
      <vt:variant>
        <vt:i4>5</vt:i4>
      </vt:variant>
      <vt:variant>
        <vt:lpwstr>http://www.ema.europa.eu/</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1245197</vt:i4>
      </vt:variant>
      <vt:variant>
        <vt:i4>27</vt:i4>
      </vt:variant>
      <vt:variant>
        <vt:i4>0</vt:i4>
      </vt:variant>
      <vt:variant>
        <vt:i4>5</vt:i4>
      </vt:variant>
      <vt:variant>
        <vt:lpwstr>http://www.ema.europa.eu/</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1245197</vt:i4>
      </vt:variant>
      <vt:variant>
        <vt:i4>21</vt:i4>
      </vt:variant>
      <vt:variant>
        <vt:i4>0</vt:i4>
      </vt:variant>
      <vt:variant>
        <vt:i4>5</vt:i4>
      </vt:variant>
      <vt:variant>
        <vt:lpwstr>http://www.ema.europa.eu/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Glivec, INN-imatinib</dc:title>
  <dc:subject>EPAR</dc:subject>
  <dc:creator>CHMP</dc:creator>
  <cp:keywords>Glivec, INN-imatinib</cp:keywords>
  <cp:lastModifiedBy>Lupescu Diana</cp:lastModifiedBy>
  <cp:revision>6</cp:revision>
  <cp:lastPrinted>2016-11-07T13:43:00Z</cp:lastPrinted>
  <dcterms:created xsi:type="dcterms:W3CDTF">2021-01-28T14:36:00Z</dcterms:created>
  <dcterms:modified xsi:type="dcterms:W3CDTF">2021-05-21T16:02:00Z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929bff8-5b33-42aa-95d2-28f72e792cb0_Enabled">
    <vt:lpwstr>True</vt:lpwstr>
  </property>
  <property fmtid="{D5CDD505-2E9C-101B-9397-08002B2CF9AE}" pid="3" name="MSIP_Label_4929bff8-5b33-42aa-95d2-28f72e792cb0_SiteId">
    <vt:lpwstr>f35a6974-607f-47d4-82d7-ff31d7dc53a5</vt:lpwstr>
  </property>
  <property fmtid="{D5CDD505-2E9C-101B-9397-08002B2CF9AE}" pid="4" name="MSIP_Label_4929bff8-5b33-42aa-95d2-28f72e792cb0_SetDate">
    <vt:lpwstr>2019-01-23T09:54:48.5158367Z</vt:lpwstr>
  </property>
  <property fmtid="{D5CDD505-2E9C-101B-9397-08002B2CF9AE}" pid="5" name="MSIP_Label_4929bff8-5b33-42aa-95d2-28f72e792cb0_Name">
    <vt:lpwstr>Business Use Only</vt:lpwstr>
  </property>
  <property fmtid="{D5CDD505-2E9C-101B-9397-08002B2CF9AE}" pid="6" name="MSIP_Label_4929bff8-5b33-42aa-95d2-28f72e792cb0_Extended_MSFT_Method">
    <vt:lpwstr>Automatic</vt:lpwstr>
  </property>
  <property fmtid="{D5CDD505-2E9C-101B-9397-08002B2CF9AE}" pid="7" name="Confidentiality">
    <vt:lpwstr>Business Use Only</vt:lpwstr>
  </property>
  <property fmtid="{D5CDD505-2E9C-101B-9397-08002B2CF9AE}" pid="8" name="ContentTypeId">
    <vt:lpwstr>0x010100726F91DD1AE57B44B1BCEB7F1056F5D0</vt:lpwstr>
  </property>
  <property fmtid="{D5CDD505-2E9C-101B-9397-08002B2CF9AE}" pid="9" name="MSIP_Label_0eea11ca-d417-4147-80ed-01a58412c458_Enabled">
    <vt:lpwstr>true</vt:lpwstr>
  </property>
  <property fmtid="{D5CDD505-2E9C-101B-9397-08002B2CF9AE}" pid="10" name="MSIP_Label_0eea11ca-d417-4147-80ed-01a58412c458_SetDate">
    <vt:lpwstr>2021-05-21T16:02:37Z</vt:lpwstr>
  </property>
  <property fmtid="{D5CDD505-2E9C-101B-9397-08002B2CF9AE}" pid="11" name="MSIP_Label_0eea11ca-d417-4147-80ed-01a58412c458_Method">
    <vt:lpwstr>Standard</vt:lpwstr>
  </property>
  <property fmtid="{D5CDD505-2E9C-101B-9397-08002B2CF9AE}" pid="12" name="MSIP_Label_0eea11ca-d417-4147-80ed-01a58412c458_Name">
    <vt:lpwstr>0eea11ca-d417-4147-80ed-01a58412c458</vt:lpwstr>
  </property>
  <property fmtid="{D5CDD505-2E9C-101B-9397-08002B2CF9AE}" pid="13" name="MSIP_Label_0eea11ca-d417-4147-80ed-01a58412c458_SiteId">
    <vt:lpwstr>bc9dc15c-61bc-4f03-b60b-e5b6d8922839</vt:lpwstr>
  </property>
  <property fmtid="{D5CDD505-2E9C-101B-9397-08002B2CF9AE}" pid="14" name="MSIP_Label_0eea11ca-d417-4147-80ed-01a58412c458_ActionId">
    <vt:lpwstr>299ae3a6-cbe7-4f36-8cfd-f5ed320a1b47</vt:lpwstr>
  </property>
  <property fmtid="{D5CDD505-2E9C-101B-9397-08002B2CF9AE}" pid="15" name="MSIP_Label_0eea11ca-d417-4147-80ed-01a58412c458_ContentBits">
    <vt:lpwstr>2</vt:lpwstr>
  </property>
</Properties>
</file>