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A15C" w14:textId="77777777" w:rsidR="00910FC8" w:rsidRPr="00AC5AC0" w:rsidRDefault="00910FC8">
      <w:pPr>
        <w:spacing w:line="240" w:lineRule="auto"/>
        <w:rPr>
          <w:color w:val="000000"/>
          <w:lang w:val="hu-HU"/>
        </w:rPr>
      </w:pPr>
    </w:p>
    <w:p w14:paraId="4AC325E1" w14:textId="77777777" w:rsidR="00910FC8" w:rsidRPr="00FB2BD1" w:rsidRDefault="00910FC8">
      <w:pPr>
        <w:spacing w:line="240" w:lineRule="auto"/>
        <w:rPr>
          <w:color w:val="000000"/>
          <w:lang w:val="hu-HU"/>
        </w:rPr>
      </w:pPr>
    </w:p>
    <w:p w14:paraId="3B911276" w14:textId="77777777" w:rsidR="00910FC8" w:rsidRPr="00FB2BD1" w:rsidRDefault="00910FC8">
      <w:pPr>
        <w:spacing w:line="240" w:lineRule="auto"/>
        <w:rPr>
          <w:color w:val="000000"/>
          <w:lang w:val="hu-HU"/>
        </w:rPr>
      </w:pPr>
    </w:p>
    <w:p w14:paraId="477E1E05" w14:textId="77777777" w:rsidR="00910FC8" w:rsidRPr="00FB2BD1" w:rsidRDefault="00910FC8">
      <w:pPr>
        <w:spacing w:line="240" w:lineRule="auto"/>
        <w:rPr>
          <w:color w:val="000000"/>
          <w:lang w:val="hu-HU"/>
        </w:rPr>
      </w:pPr>
    </w:p>
    <w:p w14:paraId="4C5287E6" w14:textId="77777777" w:rsidR="00910FC8" w:rsidRPr="00FB2BD1" w:rsidRDefault="00910FC8">
      <w:pPr>
        <w:spacing w:line="240" w:lineRule="auto"/>
        <w:rPr>
          <w:color w:val="000000"/>
          <w:lang w:val="hu-HU"/>
        </w:rPr>
      </w:pPr>
    </w:p>
    <w:p w14:paraId="1534537B" w14:textId="77777777" w:rsidR="00910FC8" w:rsidRPr="00FB2BD1" w:rsidRDefault="00910FC8">
      <w:pPr>
        <w:spacing w:line="240" w:lineRule="auto"/>
        <w:rPr>
          <w:color w:val="000000"/>
          <w:lang w:val="hu-HU"/>
        </w:rPr>
      </w:pPr>
    </w:p>
    <w:p w14:paraId="13734FC2" w14:textId="77777777" w:rsidR="00910FC8" w:rsidRPr="00FB2BD1" w:rsidRDefault="00910FC8">
      <w:pPr>
        <w:spacing w:line="240" w:lineRule="auto"/>
        <w:rPr>
          <w:color w:val="000000"/>
          <w:lang w:val="hu-HU"/>
        </w:rPr>
      </w:pPr>
    </w:p>
    <w:p w14:paraId="49C7702F" w14:textId="77777777" w:rsidR="00910FC8" w:rsidRPr="00FB2BD1" w:rsidRDefault="00910FC8">
      <w:pPr>
        <w:spacing w:line="240" w:lineRule="auto"/>
        <w:rPr>
          <w:color w:val="000000"/>
          <w:lang w:val="hu-HU"/>
        </w:rPr>
      </w:pPr>
    </w:p>
    <w:p w14:paraId="0327A973" w14:textId="77777777" w:rsidR="00910FC8" w:rsidRPr="00FB2BD1" w:rsidRDefault="00910FC8">
      <w:pPr>
        <w:spacing w:line="240" w:lineRule="auto"/>
        <w:rPr>
          <w:color w:val="000000"/>
          <w:lang w:val="hu-HU"/>
        </w:rPr>
      </w:pPr>
    </w:p>
    <w:p w14:paraId="239C433F" w14:textId="77777777" w:rsidR="00910FC8" w:rsidRPr="00FB2BD1" w:rsidRDefault="00910FC8">
      <w:pPr>
        <w:spacing w:line="240" w:lineRule="auto"/>
        <w:rPr>
          <w:color w:val="000000"/>
          <w:lang w:val="hu-HU"/>
        </w:rPr>
      </w:pPr>
    </w:p>
    <w:p w14:paraId="3CCC90A5" w14:textId="77777777" w:rsidR="00910FC8" w:rsidRPr="00FB2BD1" w:rsidRDefault="00910FC8">
      <w:pPr>
        <w:spacing w:line="240" w:lineRule="auto"/>
        <w:rPr>
          <w:color w:val="000000"/>
          <w:lang w:val="hu-HU"/>
        </w:rPr>
      </w:pPr>
    </w:p>
    <w:p w14:paraId="0ED5E2BC" w14:textId="77777777" w:rsidR="00910FC8" w:rsidRPr="00FB2BD1" w:rsidRDefault="00910FC8">
      <w:pPr>
        <w:spacing w:line="240" w:lineRule="auto"/>
        <w:rPr>
          <w:color w:val="000000"/>
          <w:lang w:val="hu-HU"/>
        </w:rPr>
      </w:pPr>
    </w:p>
    <w:p w14:paraId="3E680324" w14:textId="77777777" w:rsidR="00910FC8" w:rsidRPr="00FB2BD1" w:rsidRDefault="00910FC8">
      <w:pPr>
        <w:spacing w:line="240" w:lineRule="auto"/>
        <w:rPr>
          <w:color w:val="000000"/>
          <w:lang w:val="hu-HU"/>
        </w:rPr>
      </w:pPr>
    </w:p>
    <w:p w14:paraId="374D4270" w14:textId="77777777" w:rsidR="00910FC8" w:rsidRPr="00FB2BD1" w:rsidRDefault="00910FC8">
      <w:pPr>
        <w:spacing w:line="240" w:lineRule="auto"/>
        <w:rPr>
          <w:color w:val="000000"/>
          <w:lang w:val="hu-HU"/>
        </w:rPr>
      </w:pPr>
    </w:p>
    <w:p w14:paraId="29FA8BAB" w14:textId="77777777" w:rsidR="00910FC8" w:rsidRPr="00FB2BD1" w:rsidRDefault="00910FC8">
      <w:pPr>
        <w:spacing w:line="240" w:lineRule="auto"/>
        <w:rPr>
          <w:color w:val="000000"/>
          <w:lang w:val="hu-HU"/>
        </w:rPr>
      </w:pPr>
    </w:p>
    <w:p w14:paraId="0BCCF5D1" w14:textId="77777777" w:rsidR="00910FC8" w:rsidRPr="00FB2BD1" w:rsidRDefault="00910FC8">
      <w:pPr>
        <w:spacing w:line="240" w:lineRule="auto"/>
        <w:rPr>
          <w:color w:val="000000"/>
          <w:lang w:val="hu-HU"/>
        </w:rPr>
      </w:pPr>
    </w:p>
    <w:p w14:paraId="50FF0C78" w14:textId="77777777" w:rsidR="00910FC8" w:rsidRPr="00FB2BD1" w:rsidRDefault="00910FC8">
      <w:pPr>
        <w:spacing w:line="240" w:lineRule="auto"/>
        <w:rPr>
          <w:color w:val="000000"/>
          <w:lang w:val="hu-HU"/>
        </w:rPr>
      </w:pPr>
    </w:p>
    <w:p w14:paraId="638E449D" w14:textId="77777777" w:rsidR="00910FC8" w:rsidRPr="00FB2BD1" w:rsidRDefault="00910FC8">
      <w:pPr>
        <w:spacing w:line="240" w:lineRule="auto"/>
        <w:rPr>
          <w:color w:val="000000"/>
          <w:lang w:val="hu-HU"/>
        </w:rPr>
      </w:pPr>
    </w:p>
    <w:p w14:paraId="63EB1FE3" w14:textId="77777777" w:rsidR="00910FC8" w:rsidRPr="00FB2BD1" w:rsidRDefault="00910FC8">
      <w:pPr>
        <w:spacing w:line="240" w:lineRule="auto"/>
        <w:rPr>
          <w:color w:val="000000"/>
          <w:lang w:val="hu-HU"/>
        </w:rPr>
      </w:pPr>
    </w:p>
    <w:p w14:paraId="4E333409" w14:textId="77777777" w:rsidR="00910FC8" w:rsidRPr="00FB2BD1" w:rsidRDefault="00910FC8">
      <w:pPr>
        <w:spacing w:line="240" w:lineRule="auto"/>
        <w:rPr>
          <w:color w:val="000000"/>
          <w:lang w:val="hu-HU"/>
        </w:rPr>
      </w:pPr>
    </w:p>
    <w:p w14:paraId="1D601EAE" w14:textId="77777777" w:rsidR="00910FC8" w:rsidRPr="00FB2BD1" w:rsidRDefault="00910FC8">
      <w:pPr>
        <w:spacing w:line="240" w:lineRule="auto"/>
        <w:rPr>
          <w:color w:val="000000"/>
          <w:lang w:val="hu-HU"/>
        </w:rPr>
      </w:pPr>
    </w:p>
    <w:p w14:paraId="0B85B1C9" w14:textId="77777777" w:rsidR="00910FC8" w:rsidRPr="00FB2BD1" w:rsidRDefault="00910FC8">
      <w:pPr>
        <w:spacing w:line="240" w:lineRule="auto"/>
        <w:rPr>
          <w:color w:val="000000"/>
          <w:lang w:val="hu-HU"/>
        </w:rPr>
      </w:pPr>
    </w:p>
    <w:p w14:paraId="230224D1" w14:textId="77777777" w:rsidR="00910FC8" w:rsidRPr="00FB2BD1" w:rsidRDefault="00910FC8">
      <w:pPr>
        <w:spacing w:line="240" w:lineRule="auto"/>
        <w:rPr>
          <w:color w:val="000000"/>
          <w:lang w:val="hu-HU"/>
        </w:rPr>
      </w:pPr>
    </w:p>
    <w:p w14:paraId="244B33A1" w14:textId="77777777" w:rsidR="00910FC8" w:rsidRPr="00556B9B" w:rsidRDefault="00910FC8">
      <w:pPr>
        <w:spacing w:line="240" w:lineRule="auto"/>
        <w:jc w:val="center"/>
        <w:rPr>
          <w:b/>
          <w:color w:val="000000"/>
          <w:lang w:val="hu-HU"/>
        </w:rPr>
      </w:pPr>
      <w:r w:rsidRPr="00556B9B">
        <w:rPr>
          <w:b/>
          <w:color w:val="000000"/>
          <w:lang w:val="hu-HU"/>
        </w:rPr>
        <w:t>I. MELLÉKLET</w:t>
      </w:r>
    </w:p>
    <w:p w14:paraId="740868D3" w14:textId="77777777" w:rsidR="00910FC8" w:rsidRPr="00556B9B" w:rsidRDefault="00910FC8">
      <w:pPr>
        <w:spacing w:line="240" w:lineRule="auto"/>
        <w:jc w:val="center"/>
        <w:rPr>
          <w:color w:val="000000"/>
          <w:lang w:val="hu-HU"/>
        </w:rPr>
      </w:pPr>
    </w:p>
    <w:p w14:paraId="01AA4F7B" w14:textId="77777777" w:rsidR="00910FC8" w:rsidRPr="00556B9B" w:rsidRDefault="00910FC8" w:rsidP="00102042">
      <w:pPr>
        <w:spacing w:line="240" w:lineRule="auto"/>
        <w:jc w:val="center"/>
        <w:rPr>
          <w:color w:val="000000"/>
          <w:lang w:val="hu-HU"/>
        </w:rPr>
      </w:pPr>
      <w:r w:rsidRPr="00556B9B">
        <w:rPr>
          <w:b/>
          <w:color w:val="000000"/>
          <w:lang w:val="hu-HU"/>
        </w:rPr>
        <w:t>ALKALMAZÁSI ELŐÍRÁS</w:t>
      </w:r>
    </w:p>
    <w:p w14:paraId="7DB7D9A7" w14:textId="77777777" w:rsidR="00F5672A" w:rsidRPr="00556B9B" w:rsidRDefault="00102042" w:rsidP="00F5672A">
      <w:pPr>
        <w:widowControl w:val="0"/>
        <w:spacing w:line="240" w:lineRule="auto"/>
        <w:rPr>
          <w:rFonts w:cs="Times New Roman"/>
          <w:szCs w:val="22"/>
          <w:lang w:val="hu-HU" w:eastAsia="en-US" w:bidi="ar-SA"/>
        </w:rPr>
      </w:pPr>
      <w:r w:rsidRPr="00556B9B">
        <w:rPr>
          <w:b/>
          <w:color w:val="000000"/>
          <w:lang w:val="hu-HU"/>
        </w:rPr>
        <w:br w:type="page"/>
      </w:r>
      <w:r w:rsidR="003D6257" w:rsidRPr="00556B9B">
        <w:rPr>
          <w:rFonts w:cs="Times New Roman"/>
          <w:noProof/>
          <w:szCs w:val="22"/>
          <w:lang w:val="en-US" w:eastAsia="en-US" w:bidi="ar-SA"/>
        </w:rPr>
        <w:lastRenderedPageBreak/>
        <w:drawing>
          <wp:inline distT="0" distB="0" distL="0" distR="0" wp14:anchorId="2654568B" wp14:editId="0C88E7C5">
            <wp:extent cx="198755" cy="174625"/>
            <wp:effectExtent l="0" t="0" r="0" b="0"/>
            <wp:docPr id="5"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F5672A" w:rsidRPr="00556B9B">
        <w:rPr>
          <w:rFonts w:cs="Times New Roman"/>
          <w:szCs w:val="22"/>
          <w:lang w:val="hu-HU" w:eastAsia="en-US" w:bidi="ar-SA"/>
        </w:rPr>
        <w:t>Ez a gyógyszer fokozott felügyelet alatt áll, mely lehetővé teszi az új gyógyszerbiztonsági információk gyors azonosítását. Az egészségügyi szakembereket arra kérjük, hogy jelentsenek bármilyen feltételezett mellékhatást. A mellékhatások jelentésének módjairól a 4.8</w:t>
      </w:r>
      <w:r w:rsidR="002975BE" w:rsidRPr="00556B9B">
        <w:rPr>
          <w:rFonts w:cs="Times New Roman"/>
          <w:szCs w:val="22"/>
          <w:lang w:val="hu-HU" w:eastAsia="en-US" w:bidi="ar-SA"/>
        </w:rPr>
        <w:t> </w:t>
      </w:r>
      <w:r w:rsidR="00F5672A" w:rsidRPr="00556B9B">
        <w:rPr>
          <w:rFonts w:cs="Times New Roman"/>
          <w:szCs w:val="22"/>
          <w:lang w:val="hu-HU" w:eastAsia="en-US" w:bidi="ar-SA"/>
        </w:rPr>
        <w:t>pontban kaphatnak további tájékoztatást.</w:t>
      </w:r>
    </w:p>
    <w:p w14:paraId="1125CFD0" w14:textId="77777777" w:rsidR="00F5672A" w:rsidRPr="00556B9B" w:rsidRDefault="00F5672A" w:rsidP="00F5672A">
      <w:pPr>
        <w:widowControl w:val="0"/>
        <w:tabs>
          <w:tab w:val="left" w:pos="567"/>
        </w:tabs>
        <w:suppressAutoHyphens w:val="0"/>
        <w:spacing w:line="240" w:lineRule="auto"/>
        <w:rPr>
          <w:rFonts w:cs="Times New Roman"/>
          <w:szCs w:val="22"/>
          <w:lang w:val="hu-HU" w:eastAsia="en-US" w:bidi="ar-SA"/>
        </w:rPr>
      </w:pPr>
    </w:p>
    <w:p w14:paraId="72A20C0B" w14:textId="77777777" w:rsidR="00F5672A" w:rsidRPr="00556B9B" w:rsidRDefault="00F5672A" w:rsidP="00F5672A">
      <w:pPr>
        <w:widowControl w:val="0"/>
        <w:tabs>
          <w:tab w:val="left" w:pos="567"/>
        </w:tabs>
        <w:suppressAutoHyphens w:val="0"/>
        <w:spacing w:line="240" w:lineRule="auto"/>
        <w:rPr>
          <w:rFonts w:cs="Times New Roman"/>
          <w:szCs w:val="22"/>
          <w:lang w:val="hu-HU" w:eastAsia="en-US" w:bidi="ar-SA"/>
        </w:rPr>
      </w:pPr>
    </w:p>
    <w:p w14:paraId="4DB4E5A6" w14:textId="77777777" w:rsidR="00910FC8" w:rsidRPr="00556B9B" w:rsidRDefault="00910FC8">
      <w:pPr>
        <w:spacing w:line="240" w:lineRule="auto"/>
        <w:ind w:left="567" w:hanging="567"/>
        <w:rPr>
          <w:b/>
          <w:color w:val="000000"/>
          <w:lang w:val="hu-HU"/>
        </w:rPr>
      </w:pPr>
      <w:r w:rsidRPr="00556B9B">
        <w:rPr>
          <w:b/>
          <w:color w:val="000000"/>
          <w:lang w:val="hu-HU"/>
        </w:rPr>
        <w:t>1.</w:t>
      </w:r>
      <w:r w:rsidRPr="00556B9B">
        <w:rPr>
          <w:b/>
          <w:color w:val="000000"/>
          <w:lang w:val="hu-HU"/>
        </w:rPr>
        <w:tab/>
        <w:t>A GYÓGYSZER NEV</w:t>
      </w:r>
      <w:r w:rsidR="005D798D" w:rsidRPr="00556B9B">
        <w:rPr>
          <w:b/>
          <w:color w:val="000000"/>
          <w:lang w:val="hu-HU"/>
        </w:rPr>
        <w:t>E</w:t>
      </w:r>
    </w:p>
    <w:p w14:paraId="2FDB01A0" w14:textId="77777777" w:rsidR="00910FC8" w:rsidRPr="00556B9B" w:rsidRDefault="00910FC8">
      <w:pPr>
        <w:spacing w:line="240" w:lineRule="auto"/>
        <w:rPr>
          <w:color w:val="000000"/>
          <w:lang w:val="hu-HU"/>
        </w:rPr>
      </w:pPr>
    </w:p>
    <w:p w14:paraId="6C70951F" w14:textId="77777777" w:rsidR="00217583" w:rsidRPr="00556B9B" w:rsidRDefault="00217583">
      <w:pPr>
        <w:spacing w:line="240" w:lineRule="auto"/>
        <w:rPr>
          <w:color w:val="000000"/>
          <w:lang w:val="hu-HU"/>
        </w:rPr>
      </w:pPr>
      <w:r w:rsidRPr="00556B9B">
        <w:rPr>
          <w:color w:val="000000"/>
          <w:lang w:val="hu-HU"/>
        </w:rPr>
        <w:t>Glivec 100</w:t>
      </w:r>
      <w:r w:rsidR="00562988" w:rsidRPr="00556B9B">
        <w:rPr>
          <w:color w:val="000000"/>
          <w:lang w:val="hu-HU"/>
        </w:rPr>
        <w:t> </w:t>
      </w:r>
      <w:r w:rsidRPr="00556B9B">
        <w:rPr>
          <w:color w:val="000000"/>
          <w:lang w:val="hu-HU"/>
        </w:rPr>
        <w:t>mg kemény kapszula</w:t>
      </w:r>
    </w:p>
    <w:p w14:paraId="3615B83B" w14:textId="77777777" w:rsidR="00910FC8" w:rsidRPr="00556B9B" w:rsidRDefault="00910FC8">
      <w:pPr>
        <w:spacing w:line="240" w:lineRule="auto"/>
        <w:rPr>
          <w:color w:val="000000"/>
          <w:lang w:val="hu-HU"/>
        </w:rPr>
      </w:pPr>
    </w:p>
    <w:p w14:paraId="7A496D8C" w14:textId="77777777" w:rsidR="00910FC8" w:rsidRPr="00556B9B" w:rsidRDefault="00910FC8">
      <w:pPr>
        <w:spacing w:line="240" w:lineRule="auto"/>
        <w:rPr>
          <w:color w:val="000000"/>
          <w:lang w:val="hu-HU"/>
        </w:rPr>
      </w:pPr>
    </w:p>
    <w:p w14:paraId="6DFC83F3"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2.</w:t>
      </w:r>
      <w:r w:rsidRPr="00556B9B">
        <w:rPr>
          <w:b/>
          <w:color w:val="000000"/>
          <w:lang w:val="hu-HU"/>
        </w:rPr>
        <w:tab/>
        <w:t>MINŐSÉGI ÉS MENNYISÉGI ÖSSZETÉTEL</w:t>
      </w:r>
    </w:p>
    <w:p w14:paraId="0B5EF74B" w14:textId="77777777" w:rsidR="00910FC8" w:rsidRPr="00556B9B" w:rsidRDefault="00910FC8" w:rsidP="006B29EF">
      <w:pPr>
        <w:keepNext/>
        <w:spacing w:line="240" w:lineRule="auto"/>
        <w:rPr>
          <w:color w:val="000000"/>
          <w:lang w:val="hu-HU"/>
        </w:rPr>
      </w:pPr>
    </w:p>
    <w:p w14:paraId="764DF3F7" w14:textId="77777777" w:rsidR="00217583" w:rsidRPr="00556B9B" w:rsidRDefault="00217583">
      <w:pPr>
        <w:pStyle w:val="Trgymutat"/>
        <w:suppressLineNumbers w:val="0"/>
        <w:spacing w:line="240" w:lineRule="auto"/>
        <w:rPr>
          <w:color w:val="000000"/>
          <w:lang w:val="hu-HU"/>
        </w:rPr>
      </w:pPr>
      <w:r w:rsidRPr="00556B9B">
        <w:rPr>
          <w:color w:val="000000"/>
          <w:lang w:val="hu-HU"/>
        </w:rPr>
        <w:t>100 mg imatinib (imatinib</w:t>
      </w:r>
      <w:r w:rsidRPr="00556B9B">
        <w:rPr>
          <w:color w:val="000000"/>
          <w:lang w:val="hu-HU"/>
        </w:rPr>
        <w:noBreakHyphen/>
        <w:t>mezilát formájában) kapszulánként.</w:t>
      </w:r>
    </w:p>
    <w:p w14:paraId="27954B29" w14:textId="77777777" w:rsidR="00217583" w:rsidRPr="00556B9B" w:rsidRDefault="00217583">
      <w:pPr>
        <w:pStyle w:val="Trgymutat"/>
        <w:suppressLineNumbers w:val="0"/>
        <w:spacing w:line="240" w:lineRule="auto"/>
        <w:rPr>
          <w:color w:val="000000"/>
          <w:lang w:val="hu-HU"/>
        </w:rPr>
      </w:pPr>
    </w:p>
    <w:p w14:paraId="25712443" w14:textId="77777777" w:rsidR="00910FC8" w:rsidRPr="00556B9B" w:rsidRDefault="00910FC8">
      <w:pPr>
        <w:pStyle w:val="WW-NormlWeb"/>
        <w:spacing w:before="0" w:after="0" w:line="240" w:lineRule="auto"/>
        <w:rPr>
          <w:rFonts w:ascii="Times New Roman" w:hAnsi="Times New Roman"/>
          <w:color w:val="000000"/>
          <w:sz w:val="22"/>
        </w:rPr>
      </w:pPr>
      <w:r w:rsidRPr="00556B9B">
        <w:rPr>
          <w:rFonts w:ascii="Times New Roman" w:hAnsi="Times New Roman"/>
          <w:color w:val="000000"/>
          <w:sz w:val="22"/>
        </w:rPr>
        <w:t xml:space="preserve">A segédanyagok teljes </w:t>
      </w:r>
      <w:r w:rsidR="00545C0D" w:rsidRPr="00556B9B">
        <w:rPr>
          <w:rFonts w:ascii="Times New Roman" w:hAnsi="Times New Roman"/>
          <w:color w:val="000000"/>
          <w:sz w:val="22"/>
        </w:rPr>
        <w:t xml:space="preserve">felsorolását </w:t>
      </w:r>
      <w:r w:rsidRPr="00556B9B">
        <w:rPr>
          <w:rFonts w:ascii="Times New Roman" w:hAnsi="Times New Roman"/>
          <w:color w:val="000000"/>
          <w:sz w:val="22"/>
        </w:rPr>
        <w:t>lásd a 6.1 pontban.</w:t>
      </w:r>
    </w:p>
    <w:p w14:paraId="0088D2F2" w14:textId="77777777" w:rsidR="00910FC8" w:rsidRPr="00556B9B" w:rsidRDefault="00910FC8">
      <w:pPr>
        <w:pStyle w:val="Trgymutat"/>
        <w:suppressLineNumbers w:val="0"/>
        <w:spacing w:line="240" w:lineRule="auto"/>
        <w:rPr>
          <w:color w:val="000000"/>
          <w:lang w:val="hu-HU"/>
        </w:rPr>
      </w:pPr>
    </w:p>
    <w:p w14:paraId="1C112EA9" w14:textId="77777777" w:rsidR="00910FC8" w:rsidRPr="00556B9B" w:rsidRDefault="00910FC8">
      <w:pPr>
        <w:spacing w:line="240" w:lineRule="auto"/>
        <w:rPr>
          <w:color w:val="000000"/>
          <w:lang w:val="hu-HU"/>
        </w:rPr>
      </w:pPr>
    </w:p>
    <w:p w14:paraId="5A37CB55"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3.</w:t>
      </w:r>
      <w:r w:rsidRPr="00556B9B">
        <w:rPr>
          <w:b/>
          <w:color w:val="000000"/>
          <w:lang w:val="hu-HU"/>
        </w:rPr>
        <w:tab/>
        <w:t>GYÓGYSZERFORMA</w:t>
      </w:r>
    </w:p>
    <w:p w14:paraId="29805B3A" w14:textId="77777777" w:rsidR="00910FC8" w:rsidRPr="00556B9B" w:rsidRDefault="00910FC8" w:rsidP="006B29EF">
      <w:pPr>
        <w:keepNext/>
        <w:spacing w:line="240" w:lineRule="auto"/>
        <w:rPr>
          <w:color w:val="000000"/>
          <w:lang w:val="hu-HU"/>
        </w:rPr>
      </w:pPr>
    </w:p>
    <w:p w14:paraId="3C388C0C" w14:textId="77777777" w:rsidR="00217583" w:rsidRPr="00556B9B" w:rsidRDefault="00910FC8">
      <w:pPr>
        <w:spacing w:line="240" w:lineRule="auto"/>
        <w:rPr>
          <w:color w:val="000000"/>
          <w:lang w:val="hu-HU"/>
        </w:rPr>
      </w:pPr>
      <w:r w:rsidRPr="00556B9B">
        <w:rPr>
          <w:color w:val="000000"/>
          <w:lang w:val="hu-HU"/>
        </w:rPr>
        <w:t>Kemény kapszula.</w:t>
      </w:r>
    </w:p>
    <w:p w14:paraId="6061893D" w14:textId="77777777" w:rsidR="00217583" w:rsidRPr="00556B9B" w:rsidRDefault="00217583">
      <w:pPr>
        <w:spacing w:line="240" w:lineRule="auto"/>
        <w:rPr>
          <w:color w:val="000000"/>
          <w:u w:val="single"/>
          <w:lang w:val="hu-HU"/>
        </w:rPr>
      </w:pPr>
    </w:p>
    <w:p w14:paraId="3A75836D" w14:textId="77777777" w:rsidR="00217583" w:rsidRPr="00556B9B" w:rsidRDefault="00217583" w:rsidP="00217583">
      <w:pPr>
        <w:spacing w:line="240" w:lineRule="auto"/>
        <w:rPr>
          <w:color w:val="000000"/>
          <w:lang w:val="hu-HU"/>
        </w:rPr>
      </w:pPr>
      <w:r w:rsidRPr="00556B9B">
        <w:rPr>
          <w:color w:val="000000"/>
          <w:lang w:val="hu-HU"/>
        </w:rPr>
        <w:t>Fehér vagy sárgás por narancssárga </w:t>
      </w:r>
      <w:r w:rsidRPr="00556B9B">
        <w:rPr>
          <w:color w:val="000000"/>
          <w:lang w:val="hu-HU"/>
        </w:rPr>
        <w:noBreakHyphen/>
        <w:t> szürkés narancssárga, átlátszatlan kapszulában, mely „</w:t>
      </w:r>
      <w:smartTag w:uri="urn:schemas-microsoft-com:office:smarttags" w:element="stockticker">
        <w:r w:rsidRPr="00556B9B">
          <w:rPr>
            <w:color w:val="000000"/>
            <w:lang w:val="hu-HU"/>
          </w:rPr>
          <w:t>NVR</w:t>
        </w:r>
      </w:smartTag>
      <w:r w:rsidRPr="00556B9B">
        <w:rPr>
          <w:color w:val="000000"/>
          <w:lang w:val="hu-HU"/>
        </w:rPr>
        <w:t> SI” felirattal van ellátva.</w:t>
      </w:r>
    </w:p>
    <w:p w14:paraId="493FBDBF" w14:textId="77777777" w:rsidR="00910FC8" w:rsidRPr="00556B9B" w:rsidRDefault="00910FC8">
      <w:pPr>
        <w:spacing w:line="240" w:lineRule="auto"/>
        <w:rPr>
          <w:color w:val="000000"/>
          <w:lang w:val="hu-HU"/>
        </w:rPr>
      </w:pPr>
    </w:p>
    <w:p w14:paraId="2D5F175D" w14:textId="77777777" w:rsidR="00910FC8" w:rsidRPr="00556B9B" w:rsidRDefault="00910FC8">
      <w:pPr>
        <w:spacing w:line="240" w:lineRule="auto"/>
        <w:rPr>
          <w:color w:val="000000"/>
          <w:lang w:val="hu-HU"/>
        </w:rPr>
      </w:pPr>
    </w:p>
    <w:p w14:paraId="34100F7F" w14:textId="77777777" w:rsidR="00910FC8" w:rsidRPr="00556B9B" w:rsidRDefault="00910FC8" w:rsidP="005C6E7A">
      <w:pPr>
        <w:keepNext/>
        <w:spacing w:line="240" w:lineRule="auto"/>
        <w:ind w:left="567" w:hanging="567"/>
        <w:rPr>
          <w:b/>
          <w:caps/>
          <w:color w:val="000000"/>
          <w:lang w:val="hu-HU"/>
        </w:rPr>
      </w:pPr>
      <w:r w:rsidRPr="00556B9B">
        <w:rPr>
          <w:b/>
          <w:caps/>
          <w:color w:val="000000"/>
          <w:lang w:val="hu-HU"/>
        </w:rPr>
        <w:t>4.</w:t>
      </w:r>
      <w:r w:rsidRPr="00556B9B">
        <w:rPr>
          <w:b/>
          <w:caps/>
          <w:color w:val="000000"/>
          <w:lang w:val="hu-HU"/>
        </w:rPr>
        <w:tab/>
        <w:t>KLINIKAI JELLEMZŐK</w:t>
      </w:r>
    </w:p>
    <w:p w14:paraId="672F4444" w14:textId="77777777" w:rsidR="00910FC8" w:rsidRPr="00556B9B" w:rsidRDefault="00910FC8" w:rsidP="005C6E7A">
      <w:pPr>
        <w:pStyle w:val="EndnoteText"/>
        <w:keepNext/>
        <w:spacing w:line="240" w:lineRule="auto"/>
        <w:rPr>
          <w:color w:val="000000"/>
          <w:lang w:val="hu-HU"/>
        </w:rPr>
      </w:pPr>
    </w:p>
    <w:p w14:paraId="1B5AC956" w14:textId="77777777" w:rsidR="00910FC8" w:rsidRPr="00556B9B" w:rsidRDefault="00910FC8" w:rsidP="005C6E7A">
      <w:pPr>
        <w:keepNext/>
        <w:spacing w:line="240" w:lineRule="auto"/>
        <w:ind w:left="567" w:hanging="567"/>
        <w:rPr>
          <w:b/>
          <w:color w:val="000000"/>
          <w:lang w:val="hu-HU"/>
        </w:rPr>
      </w:pPr>
      <w:r w:rsidRPr="00556B9B">
        <w:rPr>
          <w:b/>
          <w:color w:val="000000"/>
          <w:lang w:val="hu-HU"/>
        </w:rPr>
        <w:t>4.1</w:t>
      </w:r>
      <w:r w:rsidRPr="00556B9B">
        <w:rPr>
          <w:b/>
          <w:color w:val="000000"/>
          <w:lang w:val="hu-HU"/>
        </w:rPr>
        <w:tab/>
        <w:t>Terápiás javallatok</w:t>
      </w:r>
    </w:p>
    <w:p w14:paraId="04EA998D" w14:textId="77777777" w:rsidR="00910FC8" w:rsidRPr="00556B9B" w:rsidRDefault="00910FC8" w:rsidP="005C6E7A">
      <w:pPr>
        <w:keepNext/>
        <w:spacing w:line="240" w:lineRule="auto"/>
        <w:rPr>
          <w:color w:val="000000"/>
          <w:lang w:val="hu-HU"/>
        </w:rPr>
      </w:pPr>
    </w:p>
    <w:p w14:paraId="37115744" w14:textId="77777777" w:rsidR="00910FC8" w:rsidRPr="00556B9B" w:rsidRDefault="00910FC8" w:rsidP="005C6E7A">
      <w:pPr>
        <w:pStyle w:val="WW-BodyText2"/>
        <w:keepNext/>
        <w:rPr>
          <w:color w:val="000000"/>
          <w:sz w:val="22"/>
        </w:rPr>
      </w:pPr>
      <w:r w:rsidRPr="00556B9B">
        <w:rPr>
          <w:color w:val="000000"/>
          <w:sz w:val="22"/>
        </w:rPr>
        <w:t>A Glivec terápiás javallatai:</w:t>
      </w:r>
    </w:p>
    <w:p w14:paraId="2F4DA984" w14:textId="666C2099" w:rsidR="00910FC8" w:rsidRPr="00E72BFA" w:rsidRDefault="00910FC8" w:rsidP="00B91C98">
      <w:pPr>
        <w:pStyle w:val="WW-BodyText2"/>
        <w:numPr>
          <w:ilvl w:val="0"/>
          <w:numId w:val="14"/>
        </w:numPr>
        <w:tabs>
          <w:tab w:val="clear" w:pos="360"/>
        </w:tabs>
        <w:ind w:left="567" w:hanging="567"/>
        <w:rPr>
          <w:color w:val="000000"/>
          <w:sz w:val="22"/>
        </w:rPr>
      </w:pPr>
      <w:r w:rsidRPr="00556B9B">
        <w:rPr>
          <w:color w:val="000000"/>
          <w:sz w:val="22"/>
        </w:rPr>
        <w:t>újonnan diagnosztizált Philadelphia kromoszóma (bcr</w:t>
      </w:r>
      <w:r w:rsidRPr="00E72BFA">
        <w:rPr>
          <w:color w:val="000000"/>
          <w:sz w:val="22"/>
        </w:rPr>
        <w:noBreakHyphen/>
        <w:t>abl) pozitív (Ph+) krónikus myeloid leukaemiás (CML) felnőttek</w:t>
      </w:r>
      <w:r w:rsidR="00C209C3" w:rsidRPr="00E72BFA">
        <w:rPr>
          <w:color w:val="000000"/>
          <w:sz w:val="22"/>
        </w:rPr>
        <w:t xml:space="preserve">, </w:t>
      </w:r>
      <w:r w:rsidRPr="00E72BFA">
        <w:rPr>
          <w:color w:val="000000"/>
          <w:sz w:val="22"/>
        </w:rPr>
        <w:t xml:space="preserve">gyermekek </w:t>
      </w:r>
      <w:r w:rsidR="00CA44B7" w:rsidRPr="00E72BFA">
        <w:rPr>
          <w:color w:val="000000"/>
          <w:sz w:val="22"/>
        </w:rPr>
        <w:t xml:space="preserve">és serdülők </w:t>
      </w:r>
      <w:r w:rsidRPr="00E72BFA">
        <w:rPr>
          <w:color w:val="000000"/>
          <w:sz w:val="22"/>
        </w:rPr>
        <w:t>kezelése, akiknek a csontvelő</w:t>
      </w:r>
      <w:r w:rsidRPr="00E72BFA">
        <w:rPr>
          <w:color w:val="000000"/>
          <w:sz w:val="22"/>
        </w:rPr>
        <w:noBreakHyphen/>
        <w:t>transzplantáció elsővonalbeli kezelésként nem jön szóba.</w:t>
      </w:r>
    </w:p>
    <w:p w14:paraId="516CF050" w14:textId="5D2B8504" w:rsidR="00910FC8" w:rsidRPr="00E72BFA" w:rsidRDefault="00910FC8" w:rsidP="00B91C98">
      <w:pPr>
        <w:numPr>
          <w:ilvl w:val="0"/>
          <w:numId w:val="14"/>
        </w:numPr>
        <w:tabs>
          <w:tab w:val="clear" w:pos="360"/>
        </w:tabs>
        <w:spacing w:line="240" w:lineRule="auto"/>
        <w:ind w:left="567" w:hanging="567"/>
        <w:rPr>
          <w:color w:val="000000"/>
          <w:lang w:val="hu-HU"/>
        </w:rPr>
      </w:pPr>
      <w:r w:rsidRPr="00E72BFA">
        <w:rPr>
          <w:color w:val="000000"/>
          <w:lang w:val="hu-HU"/>
        </w:rPr>
        <w:t>Ph+ CML</w:t>
      </w:r>
      <w:r w:rsidRPr="00E72BFA">
        <w:rPr>
          <w:color w:val="000000"/>
          <w:lang w:val="hu-HU"/>
        </w:rPr>
        <w:noBreakHyphen/>
        <w:t>es, sikertelen alfa interferon</w:t>
      </w:r>
      <w:r w:rsidRPr="00E72BFA">
        <w:rPr>
          <w:color w:val="000000"/>
          <w:lang w:val="hu-HU"/>
        </w:rPr>
        <w:noBreakHyphen/>
        <w:t>kezelésen átesett krónikus fázisban, valamint akcelerált fázisban vagy blasztos krízisben levő felnőttek</w:t>
      </w:r>
      <w:r w:rsidR="00CA44B7" w:rsidRPr="00E72BFA">
        <w:rPr>
          <w:color w:val="000000"/>
          <w:lang w:val="hu-HU"/>
        </w:rPr>
        <w:t>,</w:t>
      </w:r>
      <w:r w:rsidRPr="00E72BFA">
        <w:rPr>
          <w:color w:val="000000"/>
          <w:lang w:val="hu-HU"/>
        </w:rPr>
        <w:t xml:space="preserve"> gyermekek</w:t>
      </w:r>
      <w:r w:rsidR="00CA44B7" w:rsidRPr="00E72BFA">
        <w:rPr>
          <w:color w:val="000000"/>
          <w:lang w:val="hu-HU"/>
        </w:rPr>
        <w:t xml:space="preserve"> és serdülők</w:t>
      </w:r>
      <w:r w:rsidRPr="00E72BFA">
        <w:rPr>
          <w:color w:val="000000"/>
          <w:lang w:val="hu-HU"/>
        </w:rPr>
        <w:t xml:space="preserve"> kezelése.</w:t>
      </w:r>
    </w:p>
    <w:p w14:paraId="5B4C1237" w14:textId="250C80B3" w:rsidR="00910FC8" w:rsidRPr="00E72BFA" w:rsidRDefault="00910FC8" w:rsidP="00B91C98">
      <w:pPr>
        <w:numPr>
          <w:ilvl w:val="0"/>
          <w:numId w:val="14"/>
        </w:numPr>
        <w:tabs>
          <w:tab w:val="clear" w:pos="360"/>
        </w:tabs>
        <w:spacing w:line="240" w:lineRule="auto"/>
        <w:ind w:left="567" w:hanging="567"/>
        <w:rPr>
          <w:color w:val="000000"/>
          <w:lang w:val="hu-HU"/>
        </w:rPr>
      </w:pPr>
      <w:r w:rsidRPr="00E72BFA">
        <w:rPr>
          <w:color w:val="000000"/>
          <w:lang w:val="hu-HU"/>
        </w:rPr>
        <w:t>újonnan diagnosztizált Philadelphia kromoszóma pozitív akut lymphoblastos leukaemiás (Ph+</w:t>
      </w:r>
      <w:smartTag w:uri="urn:schemas-microsoft-com:office:smarttags" w:element="stockticker">
        <w:r w:rsidRPr="00E72BFA">
          <w:rPr>
            <w:color w:val="000000"/>
            <w:lang w:val="hu-HU"/>
          </w:rPr>
          <w:t>ALL</w:t>
        </w:r>
      </w:smartTag>
      <w:r w:rsidRPr="00E72BFA">
        <w:rPr>
          <w:color w:val="000000"/>
          <w:lang w:val="hu-HU"/>
        </w:rPr>
        <w:t>) felnőtt</w:t>
      </w:r>
      <w:r w:rsidR="00C209C3" w:rsidRPr="00E72BFA">
        <w:rPr>
          <w:color w:val="000000"/>
          <w:lang w:val="hu-HU"/>
        </w:rPr>
        <w:t xml:space="preserve">ek, </w:t>
      </w:r>
      <w:r w:rsidR="00B1168C" w:rsidRPr="00E72BFA">
        <w:rPr>
          <w:color w:val="000000"/>
          <w:lang w:val="hu-HU"/>
        </w:rPr>
        <w:t>gyermek</w:t>
      </w:r>
      <w:r w:rsidR="00C209C3" w:rsidRPr="00E72BFA">
        <w:rPr>
          <w:color w:val="000000"/>
          <w:lang w:val="hu-HU"/>
        </w:rPr>
        <w:t>ek</w:t>
      </w:r>
      <w:r w:rsidR="00B1168C" w:rsidRPr="00E72BFA">
        <w:rPr>
          <w:color w:val="000000"/>
          <w:lang w:val="hu-HU"/>
        </w:rPr>
        <w:t xml:space="preserve"> </w:t>
      </w:r>
      <w:r w:rsidR="00CA44B7" w:rsidRPr="00E72BFA">
        <w:rPr>
          <w:color w:val="000000"/>
          <w:lang w:val="hu-HU"/>
        </w:rPr>
        <w:t xml:space="preserve">és serdülők </w:t>
      </w:r>
      <w:r w:rsidRPr="00E72BFA">
        <w:rPr>
          <w:color w:val="000000"/>
          <w:lang w:val="hu-HU"/>
        </w:rPr>
        <w:t>kezelése, kemoterápiával kiegészítve.</w:t>
      </w:r>
    </w:p>
    <w:p w14:paraId="1063AA11" w14:textId="6BB21FFA" w:rsidR="00910FC8" w:rsidRPr="00E72BFA" w:rsidRDefault="00910FC8" w:rsidP="00B91C98">
      <w:pPr>
        <w:numPr>
          <w:ilvl w:val="0"/>
          <w:numId w:val="14"/>
        </w:numPr>
        <w:tabs>
          <w:tab w:val="clear" w:pos="360"/>
        </w:tabs>
        <w:spacing w:line="240" w:lineRule="auto"/>
        <w:ind w:left="567" w:hanging="567"/>
        <w:rPr>
          <w:color w:val="000000"/>
          <w:lang w:val="hu-HU"/>
        </w:rPr>
      </w:pPr>
      <w:r w:rsidRPr="00E72BFA">
        <w:rPr>
          <w:color w:val="000000"/>
          <w:lang w:val="hu-HU"/>
        </w:rPr>
        <w:t xml:space="preserve">recidivált vagy refrakter Ph+ </w:t>
      </w:r>
      <w:smartTag w:uri="urn:schemas-microsoft-com:office:smarttags" w:element="stockticker">
        <w:r w:rsidRPr="00E72BFA">
          <w:rPr>
            <w:color w:val="000000"/>
            <w:lang w:val="hu-HU"/>
          </w:rPr>
          <w:t>ALL</w:t>
        </w:r>
      </w:smartTag>
      <w:r w:rsidRPr="00E72BFA">
        <w:rPr>
          <w:color w:val="000000"/>
          <w:lang w:val="hu-HU"/>
        </w:rPr>
        <w:noBreakHyphen/>
        <w:t>es felnőtt betegek kezelése, monoterápiaként.</w:t>
      </w:r>
    </w:p>
    <w:p w14:paraId="5A7FF8BC" w14:textId="2B81A891" w:rsidR="00910FC8" w:rsidRPr="00E72BFA" w:rsidRDefault="00910FC8" w:rsidP="00B91C98">
      <w:pPr>
        <w:numPr>
          <w:ilvl w:val="0"/>
          <w:numId w:val="14"/>
        </w:numPr>
        <w:tabs>
          <w:tab w:val="clear" w:pos="360"/>
        </w:tabs>
        <w:spacing w:line="240" w:lineRule="auto"/>
        <w:ind w:left="567" w:hanging="567"/>
        <w:rPr>
          <w:color w:val="000000"/>
          <w:lang w:val="hu-HU"/>
        </w:rPr>
      </w:pPr>
      <w:r w:rsidRPr="00E72BFA">
        <w:rPr>
          <w:color w:val="000000"/>
          <w:lang w:val="hu-HU"/>
        </w:rPr>
        <w:t>PDGFR („platelet derived growth factor receptor”) génátrendeződéssel társuló myelodysplasiás/myeloproliferatív betegségben (</w:t>
      </w:r>
      <w:smartTag w:uri="urn:schemas-microsoft-com:office:smarttags" w:element="stockticker">
        <w:r w:rsidRPr="00E72BFA">
          <w:rPr>
            <w:color w:val="000000"/>
            <w:lang w:val="hu-HU"/>
          </w:rPr>
          <w:t>MDS</w:t>
        </w:r>
      </w:smartTag>
      <w:r w:rsidRPr="00E72BFA">
        <w:rPr>
          <w:color w:val="000000"/>
          <w:lang w:val="hu-HU"/>
        </w:rPr>
        <w:t>/MPD) szenvedő felnőtt betegek kezelése.</w:t>
      </w:r>
    </w:p>
    <w:p w14:paraId="7A7624BA" w14:textId="282C8823" w:rsidR="00910FC8" w:rsidRPr="00556B9B" w:rsidRDefault="00910FC8" w:rsidP="00B91C98">
      <w:pPr>
        <w:numPr>
          <w:ilvl w:val="0"/>
          <w:numId w:val="14"/>
        </w:numPr>
        <w:tabs>
          <w:tab w:val="clear" w:pos="360"/>
        </w:tabs>
        <w:spacing w:line="240" w:lineRule="auto"/>
        <w:ind w:left="567" w:hanging="567"/>
        <w:rPr>
          <w:color w:val="000000"/>
          <w:lang w:val="hu-HU"/>
        </w:rPr>
      </w:pPr>
      <w:r w:rsidRPr="00E72BFA">
        <w:rPr>
          <w:color w:val="000000"/>
          <w:lang w:val="hu-HU"/>
        </w:rPr>
        <w:t>FIP1L1-PDGFR</w:t>
      </w:r>
      <w:r w:rsidRPr="00E72BFA">
        <w:rPr>
          <w:color w:val="000000"/>
        </w:rPr>
        <w:sym w:font="Symbol" w:char="F061"/>
      </w:r>
      <w:r w:rsidRPr="00E72BFA">
        <w:rPr>
          <w:color w:val="000000"/>
          <w:lang w:val="hu-HU"/>
        </w:rPr>
        <w:t xml:space="preserve"> átrendeződéssel járó, előrehaladott hypereosinophilia szindrómában (HES) és/vagy krónikus eosin</w:t>
      </w:r>
      <w:r w:rsidR="00C209C3" w:rsidRPr="00E72BFA">
        <w:rPr>
          <w:color w:val="000000"/>
          <w:lang w:val="hu-HU"/>
        </w:rPr>
        <w:t>o</w:t>
      </w:r>
      <w:r w:rsidRPr="00E72BFA">
        <w:rPr>
          <w:color w:val="000000"/>
          <w:lang w:val="hu-HU"/>
        </w:rPr>
        <w:t>philiás leukémiá</w:t>
      </w:r>
      <w:r w:rsidRPr="00556B9B">
        <w:rPr>
          <w:color w:val="000000"/>
          <w:lang w:val="hu-HU"/>
        </w:rPr>
        <w:t>ban (</w:t>
      </w:r>
      <w:smartTag w:uri="urn:schemas-microsoft-com:office:smarttags" w:element="stockticker">
        <w:r w:rsidRPr="00556B9B">
          <w:rPr>
            <w:color w:val="000000"/>
            <w:lang w:val="hu-HU"/>
          </w:rPr>
          <w:t>CEL</w:t>
        </w:r>
      </w:smartTag>
      <w:r w:rsidRPr="00556B9B">
        <w:rPr>
          <w:color w:val="000000"/>
          <w:lang w:val="hu-HU"/>
        </w:rPr>
        <w:t>) szenvedő felnőttek kezelése.</w:t>
      </w:r>
    </w:p>
    <w:p w14:paraId="216BEB02" w14:textId="77777777" w:rsidR="00910FC8" w:rsidRPr="00556B9B" w:rsidRDefault="00910FC8">
      <w:pPr>
        <w:spacing w:line="240" w:lineRule="auto"/>
        <w:rPr>
          <w:color w:val="000000"/>
          <w:lang w:val="hu-HU"/>
        </w:rPr>
      </w:pPr>
    </w:p>
    <w:p w14:paraId="442373E2" w14:textId="77777777" w:rsidR="00910FC8" w:rsidRPr="00556B9B" w:rsidRDefault="00910FC8">
      <w:pPr>
        <w:spacing w:line="240" w:lineRule="auto"/>
        <w:rPr>
          <w:color w:val="000000"/>
          <w:lang w:val="hu-HU"/>
        </w:rPr>
      </w:pPr>
      <w:r w:rsidRPr="00556B9B">
        <w:rPr>
          <w:color w:val="000000"/>
          <w:lang w:val="hu-HU"/>
        </w:rPr>
        <w:t>A Glivec hatása a csontvelő-transzplantáció kimenetelére még nincs meghatározva.</w:t>
      </w:r>
    </w:p>
    <w:p w14:paraId="1F217BDF" w14:textId="77777777" w:rsidR="00910FC8" w:rsidRPr="00556B9B" w:rsidRDefault="00910FC8">
      <w:pPr>
        <w:spacing w:line="240" w:lineRule="auto"/>
        <w:rPr>
          <w:color w:val="000000"/>
          <w:lang w:val="hu-HU"/>
        </w:rPr>
      </w:pPr>
    </w:p>
    <w:p w14:paraId="6299DA86" w14:textId="77777777" w:rsidR="00D37E84" w:rsidRPr="00556B9B" w:rsidRDefault="00D37E84" w:rsidP="005C6E7A">
      <w:pPr>
        <w:pStyle w:val="BodyText"/>
        <w:keepNext/>
        <w:suppressAutoHyphens w:val="0"/>
        <w:spacing w:line="240" w:lineRule="auto"/>
        <w:rPr>
          <w:b w:val="0"/>
          <w:i w:val="0"/>
          <w:color w:val="000000"/>
          <w:lang w:val="hu-HU"/>
        </w:rPr>
      </w:pPr>
      <w:r w:rsidRPr="00556B9B">
        <w:rPr>
          <w:b w:val="0"/>
          <w:i w:val="0"/>
          <w:color w:val="000000"/>
          <w:lang w:val="hu-HU"/>
        </w:rPr>
        <w:t>A Glivec alkalmazása javallott:</w:t>
      </w:r>
    </w:p>
    <w:p w14:paraId="43612F94" w14:textId="77777777" w:rsidR="00D37E84" w:rsidRPr="00556B9B" w:rsidRDefault="00D37E84" w:rsidP="00B91C98">
      <w:pPr>
        <w:pStyle w:val="BodyText"/>
        <w:numPr>
          <w:ilvl w:val="0"/>
          <w:numId w:val="16"/>
        </w:numPr>
        <w:tabs>
          <w:tab w:val="clear" w:pos="360"/>
        </w:tabs>
        <w:spacing w:line="240" w:lineRule="auto"/>
        <w:ind w:left="567" w:hanging="567"/>
        <w:rPr>
          <w:b w:val="0"/>
          <w:i w:val="0"/>
          <w:color w:val="000000"/>
          <w:lang w:val="hu-HU"/>
        </w:rPr>
      </w:pPr>
      <w:r w:rsidRPr="00556B9B">
        <w:rPr>
          <w:b w:val="0"/>
          <w:i w:val="0"/>
          <w:color w:val="000000"/>
          <w:lang w:val="hu-HU"/>
        </w:rPr>
        <w:t>felnőttek Kit (CD 117) pozitív, nem reszekábilis és/vagy metasztatikus malignus gastrointestinalis stromalis daganatainak (GIST) kezelésére.</w:t>
      </w:r>
    </w:p>
    <w:p w14:paraId="026B25FF" w14:textId="77777777" w:rsidR="00D37E84" w:rsidRPr="00E72BFA" w:rsidRDefault="00D37E84" w:rsidP="00B91C98">
      <w:pPr>
        <w:pStyle w:val="BodyText"/>
        <w:numPr>
          <w:ilvl w:val="0"/>
          <w:numId w:val="16"/>
        </w:numPr>
        <w:tabs>
          <w:tab w:val="clear" w:pos="360"/>
        </w:tabs>
        <w:spacing w:line="240" w:lineRule="auto"/>
        <w:ind w:left="567" w:hanging="567"/>
        <w:rPr>
          <w:b w:val="0"/>
          <w:i w:val="0"/>
          <w:color w:val="000000"/>
          <w:lang w:val="hu-HU"/>
        </w:rPr>
      </w:pPr>
      <w:r w:rsidRPr="00556B9B">
        <w:rPr>
          <w:b w:val="0"/>
          <w:i w:val="0"/>
          <w:color w:val="000000"/>
          <w:lang w:val="hu-HU"/>
        </w:rPr>
        <w:t>olyan felnőtt betegek Kit (CD 117) pozitív gastrointestinalis stromalis daganatainak (GIST) reszekcióját követő adjuváns kezelés</w:t>
      </w:r>
      <w:r w:rsidR="00826797" w:rsidRPr="00556B9B">
        <w:rPr>
          <w:b w:val="0"/>
          <w:i w:val="0"/>
          <w:color w:val="000000"/>
          <w:lang w:val="hu-HU"/>
        </w:rPr>
        <w:t>é</w:t>
      </w:r>
      <w:r w:rsidRPr="00556B9B">
        <w:rPr>
          <w:b w:val="0"/>
          <w:i w:val="0"/>
          <w:color w:val="000000"/>
          <w:lang w:val="hu-HU"/>
        </w:rPr>
        <w:t xml:space="preserve">re, akiknél jelentős a relapszus kockázata. </w:t>
      </w:r>
      <w:r w:rsidR="00880375" w:rsidRPr="00556B9B">
        <w:rPr>
          <w:b w:val="0"/>
          <w:i w:val="0"/>
          <w:color w:val="000000"/>
          <w:lang w:val="hu-HU"/>
        </w:rPr>
        <w:t>Nem kaphatnak adjuváns kezelést a</w:t>
      </w:r>
      <w:r w:rsidR="00D87659" w:rsidRPr="00556B9B">
        <w:rPr>
          <w:b w:val="0"/>
          <w:i w:val="0"/>
          <w:color w:val="000000"/>
          <w:lang w:val="hu-HU"/>
        </w:rPr>
        <w:t xml:space="preserve">zok a </w:t>
      </w:r>
      <w:r w:rsidR="00491530" w:rsidRPr="00556B9B">
        <w:rPr>
          <w:b w:val="0"/>
          <w:i w:val="0"/>
          <w:color w:val="000000"/>
          <w:lang w:val="hu-HU"/>
        </w:rPr>
        <w:t>betegek</w:t>
      </w:r>
      <w:r w:rsidR="00D87659" w:rsidRPr="00556B9B">
        <w:rPr>
          <w:b w:val="0"/>
          <w:i w:val="0"/>
          <w:color w:val="000000"/>
          <w:lang w:val="hu-HU"/>
        </w:rPr>
        <w:t xml:space="preserve">, akiknél a kiújulás </w:t>
      </w:r>
      <w:r w:rsidR="00D87659" w:rsidRPr="00E72BFA">
        <w:rPr>
          <w:b w:val="0"/>
          <w:i w:val="0"/>
          <w:color w:val="000000"/>
          <w:lang w:val="hu-HU"/>
        </w:rPr>
        <w:t>kockázata alacsony vagy nagyon alacsony.</w:t>
      </w:r>
    </w:p>
    <w:p w14:paraId="639D6A52" w14:textId="77777777" w:rsidR="00D37E84" w:rsidRPr="00E72BFA" w:rsidRDefault="00D37E84" w:rsidP="00B91C98">
      <w:pPr>
        <w:pStyle w:val="BodyText"/>
        <w:numPr>
          <w:ilvl w:val="0"/>
          <w:numId w:val="16"/>
        </w:numPr>
        <w:tabs>
          <w:tab w:val="clear" w:pos="360"/>
        </w:tabs>
        <w:spacing w:line="240" w:lineRule="auto"/>
        <w:ind w:left="567" w:hanging="567"/>
        <w:rPr>
          <w:b w:val="0"/>
          <w:i w:val="0"/>
          <w:color w:val="000000"/>
          <w:lang w:val="hu-HU"/>
        </w:rPr>
      </w:pPr>
      <w:r w:rsidRPr="00E72BFA">
        <w:rPr>
          <w:b w:val="0"/>
          <w:i w:val="0"/>
          <w:color w:val="000000"/>
          <w:lang w:val="hu-HU"/>
        </w:rPr>
        <w:t>nem reszekábilis dermatofibrosarcoma protuberans (DFSP), valamint recidiváló és/vagy metasztatikus DFSP</w:t>
      </w:r>
      <w:r w:rsidRPr="00E72BFA">
        <w:rPr>
          <w:b w:val="0"/>
          <w:i w:val="0"/>
          <w:color w:val="000000"/>
          <w:lang w:val="hu-HU"/>
        </w:rPr>
        <w:noBreakHyphen/>
        <w:t>ben szenvedő, műtétre nem alkalmas felnőtt betegek kezelésére.</w:t>
      </w:r>
    </w:p>
    <w:p w14:paraId="2904BEF5" w14:textId="77777777" w:rsidR="00D37E84" w:rsidRPr="00E72BFA" w:rsidRDefault="00D37E84" w:rsidP="00D37E84">
      <w:pPr>
        <w:pStyle w:val="BodyText"/>
        <w:spacing w:line="240" w:lineRule="auto"/>
        <w:rPr>
          <w:b w:val="0"/>
          <w:i w:val="0"/>
          <w:color w:val="000000"/>
          <w:lang w:val="hu-HU"/>
        </w:rPr>
      </w:pPr>
    </w:p>
    <w:p w14:paraId="361E8E74" w14:textId="290A3307" w:rsidR="00D37E84" w:rsidRPr="00556B9B" w:rsidRDefault="00D37E84" w:rsidP="00D37E84">
      <w:pPr>
        <w:spacing w:line="240" w:lineRule="auto"/>
        <w:rPr>
          <w:color w:val="000000"/>
          <w:lang w:val="hu-HU"/>
        </w:rPr>
      </w:pPr>
      <w:r w:rsidRPr="00E72BFA">
        <w:rPr>
          <w:color w:val="000000"/>
          <w:lang w:val="hu-HU"/>
        </w:rPr>
        <w:lastRenderedPageBreak/>
        <w:t>Felnőtt és gyermekgyógyászati betegek</w:t>
      </w:r>
      <w:r w:rsidR="00CA44B7" w:rsidRPr="00E72BFA">
        <w:rPr>
          <w:color w:val="000000"/>
          <w:lang w:val="hu-HU"/>
        </w:rPr>
        <w:t>nél</w:t>
      </w:r>
      <w:r w:rsidRPr="00E72BFA">
        <w:rPr>
          <w:color w:val="000000"/>
          <w:lang w:val="hu-HU"/>
        </w:rPr>
        <w:t xml:space="preserve"> a Glivec hatékonyságát CML</w:t>
      </w:r>
      <w:r w:rsidRPr="00E72BFA">
        <w:rPr>
          <w:color w:val="000000"/>
          <w:lang w:val="hu-HU"/>
        </w:rPr>
        <w:noBreakHyphen/>
        <w:t xml:space="preserve">ben a teljes hematológiai és cytogenetikai válaszarány és a progressziómentes túlélés, Ph+ </w:t>
      </w:r>
      <w:smartTag w:uri="urn:schemas-microsoft-com:office:smarttags" w:element="stockticker">
        <w:r w:rsidRPr="00E72BFA">
          <w:rPr>
            <w:color w:val="000000"/>
            <w:lang w:val="hu-HU"/>
          </w:rPr>
          <w:t>ALL</w:t>
        </w:r>
      </w:smartTag>
      <w:r w:rsidRPr="00E72BFA">
        <w:rPr>
          <w:color w:val="000000"/>
          <w:lang w:val="hu-HU"/>
        </w:rPr>
        <w:noBreakHyphen/>
        <w:t xml:space="preserve">ben és </w:t>
      </w:r>
      <w:smartTag w:uri="urn:schemas-microsoft-com:office:smarttags" w:element="stockticker">
        <w:r w:rsidRPr="00E72BFA">
          <w:rPr>
            <w:color w:val="000000"/>
            <w:lang w:val="hu-HU"/>
          </w:rPr>
          <w:t>MDS</w:t>
        </w:r>
      </w:smartTag>
      <w:r w:rsidRPr="00E72BFA">
        <w:rPr>
          <w:color w:val="000000"/>
          <w:lang w:val="hu-HU"/>
        </w:rPr>
        <w:t>/MPD</w:t>
      </w:r>
      <w:r w:rsidRPr="00E72BFA">
        <w:rPr>
          <w:color w:val="000000"/>
          <w:lang w:val="hu-HU"/>
        </w:rPr>
        <w:noBreakHyphen/>
        <w:t>ben a hematológiai és cytogenetikai válaszarány, HES/</w:t>
      </w:r>
      <w:smartTag w:uri="urn:schemas-microsoft-com:office:smarttags" w:element="stockticker">
        <w:r w:rsidRPr="00E72BFA">
          <w:rPr>
            <w:color w:val="000000"/>
            <w:lang w:val="hu-HU"/>
          </w:rPr>
          <w:t>CEL</w:t>
        </w:r>
      </w:smartTag>
      <w:r w:rsidRPr="00E72BFA">
        <w:rPr>
          <w:color w:val="000000"/>
          <w:lang w:val="hu-HU"/>
        </w:rPr>
        <w:noBreakHyphen/>
        <w:t>ben a hematológiai válaszarány, nem reszekábilis és/vagy metasztatikus GIST</w:t>
      </w:r>
      <w:r w:rsidRPr="00E72BFA">
        <w:rPr>
          <w:color w:val="000000"/>
          <w:lang w:val="hu-HU"/>
        </w:rPr>
        <w:noBreakHyphen/>
        <w:t>ben és DFSP</w:t>
      </w:r>
      <w:r w:rsidRPr="00E72BFA">
        <w:rPr>
          <w:color w:val="000000"/>
          <w:lang w:val="hu-HU"/>
        </w:rPr>
        <w:noBreakHyphen/>
        <w:t>ben szenvedő felnőttek</w:t>
      </w:r>
      <w:r w:rsidR="00266C93" w:rsidRPr="00E72BFA">
        <w:rPr>
          <w:color w:val="000000"/>
          <w:lang w:val="hu-HU"/>
        </w:rPr>
        <w:t>nél</w:t>
      </w:r>
      <w:r w:rsidRPr="00E72BFA">
        <w:rPr>
          <w:color w:val="000000"/>
          <w:lang w:val="hu-HU"/>
        </w:rPr>
        <w:t xml:space="preserve"> az objektív válaszarány, a GIST adjuváns kezelésében pedig a kiújulás</w:t>
      </w:r>
      <w:r w:rsidRPr="00E72BFA">
        <w:rPr>
          <w:color w:val="000000"/>
          <w:lang w:val="hu-HU"/>
        </w:rPr>
        <w:noBreakHyphen/>
        <w:t xml:space="preserve">mentes túlélés határozza meg. PDGFR génátrendeződéssel társuló </w:t>
      </w:r>
      <w:smartTag w:uri="urn:schemas-microsoft-com:office:smarttags" w:element="stockticker">
        <w:r w:rsidRPr="00E72BFA">
          <w:rPr>
            <w:color w:val="000000"/>
            <w:lang w:val="hu-HU"/>
          </w:rPr>
          <w:t>MDS</w:t>
        </w:r>
      </w:smartTag>
      <w:r w:rsidRPr="00E72BFA">
        <w:rPr>
          <w:color w:val="000000"/>
          <w:lang w:val="hu-HU"/>
        </w:rPr>
        <w:t>/MPD</w:t>
      </w:r>
      <w:r w:rsidRPr="00E72BFA">
        <w:rPr>
          <w:color w:val="000000"/>
          <w:lang w:val="hu-HU"/>
        </w:rPr>
        <w:noBreakHyphen/>
        <w:t>ben szenvedő betegek Glivec</w:t>
      </w:r>
      <w:r w:rsidRPr="00E72BFA">
        <w:rPr>
          <w:color w:val="000000"/>
          <w:lang w:val="hu-HU"/>
        </w:rPr>
        <w:noBreakHyphen/>
        <w:t>kezelésére vonatkozóan nagyon korlátozott számú tapasztalat</w:t>
      </w:r>
      <w:r w:rsidRPr="00E72BFA" w:rsidDel="00934607">
        <w:rPr>
          <w:color w:val="000000"/>
          <w:lang w:val="hu-HU"/>
        </w:rPr>
        <w:t xml:space="preserve"> </w:t>
      </w:r>
      <w:r w:rsidRPr="00E72BFA">
        <w:rPr>
          <w:color w:val="000000"/>
          <w:lang w:val="hu-HU"/>
        </w:rPr>
        <w:t>áll rendelkezésre (lásd 5.1 pont). Az újonnan diagnosztizált, krónikus fázisú CML kivételével nincsenek olyan kontroll</w:t>
      </w:r>
      <w:r w:rsidR="00266C93" w:rsidRPr="00E72BFA">
        <w:rPr>
          <w:color w:val="000000"/>
          <w:lang w:val="hu-HU"/>
        </w:rPr>
        <w:t>os</w:t>
      </w:r>
      <w:r w:rsidRPr="00E72BFA">
        <w:rPr>
          <w:color w:val="000000"/>
          <w:lang w:val="hu-HU"/>
        </w:rPr>
        <w:t xml:space="preserve"> vizsgálatok, amelyek klinikai előnyt, vagy meghosszabbodott túlélést igazolnának e betegségek bármelyikében.</w:t>
      </w:r>
    </w:p>
    <w:p w14:paraId="4D4BBCA0" w14:textId="77777777" w:rsidR="00D37E84" w:rsidRPr="00556B9B" w:rsidRDefault="00D37E84" w:rsidP="00D37E84">
      <w:pPr>
        <w:spacing w:line="240" w:lineRule="auto"/>
        <w:rPr>
          <w:color w:val="000000"/>
          <w:lang w:val="hu-HU"/>
        </w:rPr>
      </w:pPr>
    </w:p>
    <w:p w14:paraId="6D9020B6" w14:textId="77777777" w:rsidR="00910FC8" w:rsidRPr="00E72BFA" w:rsidRDefault="00910FC8" w:rsidP="005C6E7A">
      <w:pPr>
        <w:keepNext/>
        <w:suppressAutoHyphens w:val="0"/>
        <w:spacing w:line="240" w:lineRule="auto"/>
        <w:ind w:left="567" w:hanging="567"/>
        <w:rPr>
          <w:b/>
          <w:color w:val="000000"/>
          <w:lang w:val="hu-HU"/>
        </w:rPr>
      </w:pPr>
      <w:r w:rsidRPr="00E72BFA">
        <w:rPr>
          <w:b/>
          <w:color w:val="000000"/>
          <w:lang w:val="hu-HU"/>
        </w:rPr>
        <w:t>4.2</w:t>
      </w:r>
      <w:r w:rsidRPr="00E72BFA">
        <w:rPr>
          <w:b/>
          <w:color w:val="000000"/>
          <w:lang w:val="hu-HU"/>
        </w:rPr>
        <w:tab/>
        <w:t>Adagolás és alkalmazás</w:t>
      </w:r>
    </w:p>
    <w:p w14:paraId="4D43D71C" w14:textId="77777777" w:rsidR="00910FC8" w:rsidRPr="00E72BFA" w:rsidRDefault="00910FC8" w:rsidP="005C6E7A">
      <w:pPr>
        <w:keepNext/>
        <w:suppressAutoHyphens w:val="0"/>
        <w:spacing w:line="240" w:lineRule="auto"/>
        <w:rPr>
          <w:color w:val="000000"/>
          <w:lang w:val="hu-HU"/>
        </w:rPr>
      </w:pPr>
    </w:p>
    <w:p w14:paraId="3EA023B7" w14:textId="07545E1A" w:rsidR="00910FC8" w:rsidRPr="00556B9B" w:rsidRDefault="00910FC8">
      <w:pPr>
        <w:spacing w:line="240" w:lineRule="auto"/>
        <w:rPr>
          <w:color w:val="000000"/>
          <w:lang w:val="hu-HU"/>
        </w:rPr>
      </w:pPr>
      <w:r w:rsidRPr="00E72BFA">
        <w:rPr>
          <w:color w:val="000000"/>
          <w:lang w:val="hu-HU"/>
        </w:rPr>
        <w:t xml:space="preserve">A terápiát </w:t>
      </w:r>
      <w:r w:rsidR="00CA44B7" w:rsidRPr="00E72BFA">
        <w:rPr>
          <w:color w:val="000000"/>
          <w:lang w:val="hu-HU"/>
        </w:rPr>
        <w:noBreakHyphen/>
        <w:t xml:space="preserve"> a betegségtől függően </w:t>
      </w:r>
      <w:r w:rsidR="00CA44B7" w:rsidRPr="00E72BFA">
        <w:rPr>
          <w:color w:val="000000"/>
          <w:lang w:val="hu-HU"/>
        </w:rPr>
        <w:noBreakHyphen/>
        <w:t xml:space="preserve"> </w:t>
      </w:r>
      <w:r w:rsidRPr="00E72BFA">
        <w:rPr>
          <w:color w:val="000000"/>
          <w:lang w:val="hu-HU"/>
        </w:rPr>
        <w:t>a hematológiai</w:t>
      </w:r>
      <w:r w:rsidRPr="00556B9B">
        <w:rPr>
          <w:color w:val="000000"/>
          <w:lang w:val="hu-HU"/>
        </w:rPr>
        <w:t xml:space="preserve"> malignitások vagy malignus sarcomák kezelésében jártas orvosnak kell megkezdenie.</w:t>
      </w:r>
    </w:p>
    <w:p w14:paraId="2086F574" w14:textId="77777777" w:rsidR="00910FC8" w:rsidRPr="00556B9B" w:rsidRDefault="00910FC8">
      <w:pPr>
        <w:spacing w:line="240" w:lineRule="auto"/>
        <w:rPr>
          <w:color w:val="000000"/>
          <w:lang w:val="hu-HU"/>
        </w:rPr>
      </w:pPr>
    </w:p>
    <w:p w14:paraId="7483320A" w14:textId="77777777" w:rsidR="00910FC8" w:rsidRPr="00556B9B" w:rsidRDefault="00910FC8">
      <w:pPr>
        <w:spacing w:line="240" w:lineRule="auto"/>
        <w:rPr>
          <w:color w:val="000000"/>
          <w:lang w:val="hu-HU"/>
        </w:rPr>
      </w:pPr>
      <w:r w:rsidRPr="00556B9B">
        <w:rPr>
          <w:color w:val="000000"/>
          <w:lang w:val="hu-HU"/>
        </w:rPr>
        <w:t xml:space="preserve">Az előírt adagot </w:t>
      </w:r>
      <w:r w:rsidRPr="00556B9B">
        <w:rPr>
          <w:i/>
          <w:color w:val="000000"/>
          <w:lang w:val="hu-HU"/>
        </w:rPr>
        <w:t>per os</w:t>
      </w:r>
      <w:r w:rsidRPr="00556B9B">
        <w:rPr>
          <w:color w:val="000000"/>
          <w:lang w:val="hu-HU"/>
        </w:rPr>
        <w:t>, étkezés közben, egy nagy pohárnyi vízzel kell bevenni, a gyomor</w:t>
      </w:r>
      <w:r w:rsidRPr="00556B9B">
        <w:rPr>
          <w:color w:val="000000"/>
          <w:lang w:val="hu-HU"/>
        </w:rPr>
        <w:noBreakHyphen/>
        <w:t>bélrendszeri irritáció kockázatának csökkentése érdekében. A 400 mg</w:t>
      </w:r>
      <w:r w:rsidRPr="00556B9B">
        <w:rPr>
          <w:color w:val="000000"/>
          <w:lang w:val="hu-HU"/>
        </w:rPr>
        <w:noBreakHyphen/>
        <w:t>os és 600 mg</w:t>
      </w:r>
      <w:r w:rsidRPr="00556B9B">
        <w:rPr>
          <w:color w:val="000000"/>
          <w:lang w:val="hu-HU"/>
        </w:rPr>
        <w:noBreakHyphen/>
        <w:t>os adagokat naponta egyszer kell adagolni, míg a 800 mg</w:t>
      </w:r>
      <w:r w:rsidRPr="00556B9B">
        <w:rPr>
          <w:color w:val="000000"/>
          <w:lang w:val="hu-HU"/>
        </w:rPr>
        <w:noBreakHyphen/>
        <w:t>os napi adagot két részre elosztva, reggel és este kell bevenni. Ha a beteg (pl. gyermek) nem tudja a kapszulákat lenyelni, annak tartalma feloldható egy pohárnyi vízben vagy almalében. Az állatkísérletekben észlelt reprodukciós toxicitás miatt, illetve mivel nem ismerjük a humán foetusra gyakorolt hatását, a reproduktív korban lévő nők figyelmét fel kell arra hívni, hogy amennyiben ők nyitják fel a kapszulát, tartalmával legyenek óvatosak, kerüljék annak bőrre</w:t>
      </w:r>
      <w:r w:rsidRPr="00556B9B">
        <w:rPr>
          <w:color w:val="000000"/>
          <w:lang w:val="hu-HU"/>
        </w:rPr>
        <w:noBreakHyphen/>
        <w:t>szembe kerülését, illetve belégzését (lásd 4.6 pont). A kapszulák felnyitása után azonnal kezet kell mosni.</w:t>
      </w:r>
    </w:p>
    <w:p w14:paraId="68238DBC" w14:textId="77777777" w:rsidR="00910FC8" w:rsidRPr="00556B9B" w:rsidRDefault="00910FC8">
      <w:pPr>
        <w:spacing w:line="240" w:lineRule="auto"/>
        <w:rPr>
          <w:color w:val="000000"/>
          <w:lang w:val="hu-HU"/>
        </w:rPr>
      </w:pPr>
    </w:p>
    <w:p w14:paraId="370158E9" w14:textId="77777777" w:rsidR="00910FC8" w:rsidRPr="00556B9B" w:rsidRDefault="00910FC8" w:rsidP="005C6E7A">
      <w:pPr>
        <w:pStyle w:val="Heading1"/>
        <w:keepNext/>
        <w:suppressAutoHyphens w:val="0"/>
        <w:spacing w:before="0" w:after="0" w:line="240" w:lineRule="auto"/>
        <w:rPr>
          <w:b w:val="0"/>
          <w:caps w:val="0"/>
          <w:color w:val="000000"/>
          <w:sz w:val="22"/>
          <w:u w:val="single"/>
          <w:lang w:val="hu-HU"/>
        </w:rPr>
      </w:pPr>
      <w:r w:rsidRPr="00556B9B">
        <w:rPr>
          <w:b w:val="0"/>
          <w:caps w:val="0"/>
          <w:color w:val="000000"/>
          <w:sz w:val="22"/>
          <w:u w:val="single"/>
          <w:lang w:val="hu-HU"/>
        </w:rPr>
        <w:t>Adagolás CML</w:t>
      </w:r>
      <w:r w:rsidRPr="00556B9B">
        <w:rPr>
          <w:b w:val="0"/>
          <w:caps w:val="0"/>
          <w:color w:val="000000"/>
          <w:sz w:val="22"/>
          <w:u w:val="single"/>
          <w:lang w:val="hu-HU"/>
        </w:rPr>
        <w:noBreakHyphen/>
        <w:t>es felnőttek számára</w:t>
      </w:r>
    </w:p>
    <w:p w14:paraId="49BCC6E6" w14:textId="77777777" w:rsidR="00910FC8" w:rsidRPr="00556B9B" w:rsidRDefault="00910FC8">
      <w:pPr>
        <w:spacing w:line="240" w:lineRule="auto"/>
        <w:rPr>
          <w:color w:val="000000"/>
          <w:lang w:val="hu-HU"/>
        </w:rPr>
      </w:pPr>
      <w:r w:rsidRPr="00556B9B">
        <w:rPr>
          <w:color w:val="000000"/>
          <w:lang w:val="hu-HU"/>
        </w:rPr>
        <w:t>A krónikus fázisban levő CML</w:t>
      </w:r>
      <w:r w:rsidRPr="00556B9B">
        <w:rPr>
          <w:color w:val="000000"/>
          <w:lang w:val="hu-HU"/>
        </w:rPr>
        <w:noBreakHyphen/>
        <w:t xml:space="preserve">es </w:t>
      </w:r>
      <w:r w:rsidR="000A3E39" w:rsidRPr="00556B9B">
        <w:rPr>
          <w:color w:val="000000"/>
          <w:lang w:val="hu-HU"/>
        </w:rPr>
        <w:t xml:space="preserve">felnőtt </w:t>
      </w:r>
      <w:r w:rsidRPr="00556B9B">
        <w:rPr>
          <w:color w:val="000000"/>
          <w:lang w:val="hu-HU"/>
        </w:rPr>
        <w:t>betegeknek a Glivec ajánlott adagja 400 mg/nap. A CML krónikus fázisa az alábbi kritériumok egyidejű előfordulásakor áll fenn: blastsejtek előfordulása &lt; 15% a vérben és a csontvelőben, basophil sejtek előfordulása a perifériás vérképben &lt; 20%, thrombocytaszám: &gt; 100 x 10</w:t>
      </w:r>
      <w:r w:rsidRPr="00556B9B">
        <w:rPr>
          <w:color w:val="000000"/>
          <w:vertAlign w:val="superscript"/>
          <w:lang w:val="hu-HU"/>
        </w:rPr>
        <w:t>9</w:t>
      </w:r>
      <w:r w:rsidRPr="00556B9B">
        <w:rPr>
          <w:color w:val="000000"/>
          <w:lang w:val="hu-HU"/>
        </w:rPr>
        <w:t>/l.</w:t>
      </w:r>
    </w:p>
    <w:p w14:paraId="6A2740BD" w14:textId="77777777" w:rsidR="00910FC8" w:rsidRPr="00556B9B" w:rsidRDefault="00910FC8">
      <w:pPr>
        <w:spacing w:line="240" w:lineRule="auto"/>
        <w:rPr>
          <w:color w:val="000000"/>
          <w:u w:val="single"/>
          <w:lang w:val="hu-HU"/>
        </w:rPr>
      </w:pPr>
    </w:p>
    <w:p w14:paraId="7EEB9508" w14:textId="77777777" w:rsidR="00910FC8" w:rsidRPr="00556B9B" w:rsidRDefault="00910FC8">
      <w:pPr>
        <w:spacing w:line="240" w:lineRule="auto"/>
        <w:rPr>
          <w:color w:val="000000"/>
          <w:lang w:val="hu-HU"/>
        </w:rPr>
      </w:pPr>
      <w:r w:rsidRPr="00556B9B">
        <w:rPr>
          <w:color w:val="000000"/>
          <w:lang w:val="hu-HU"/>
        </w:rPr>
        <w:t xml:space="preserve">Akcelerált fázisban levő </w:t>
      </w:r>
      <w:r w:rsidR="000A3E39" w:rsidRPr="00556B9B">
        <w:rPr>
          <w:color w:val="000000"/>
          <w:lang w:val="hu-HU"/>
        </w:rPr>
        <w:t xml:space="preserve">felnőtt </w:t>
      </w:r>
      <w:r w:rsidRPr="00556B9B">
        <w:rPr>
          <w:color w:val="000000"/>
          <w:lang w:val="hu-HU"/>
        </w:rPr>
        <w:t xml:space="preserve">betegeknek a Glivec ajánlott adagja 600 mg/nap. Akcelerált fázisról beszélünk az alábbi kritériumok bármelyikének fennállásakor: blastsejtek előfordulása a vérben vagy a csontvelőben </w:t>
      </w:r>
      <w:r w:rsidRPr="00556B9B">
        <w:rPr>
          <w:color w:val="000000"/>
          <w:lang w:val="hu-HU"/>
        </w:rPr>
        <w:sym w:font="Symbol" w:char="F0B3"/>
      </w:r>
      <w:r w:rsidRPr="00556B9B">
        <w:rPr>
          <w:color w:val="000000"/>
          <w:lang w:val="hu-HU"/>
        </w:rPr>
        <w:t xml:space="preserve"> 15%, de &lt; 30%, blastsejtek és promyelocyták együttes előfordulása a vérben vagy a csontvelőben </w:t>
      </w:r>
      <w:r w:rsidRPr="00556B9B">
        <w:rPr>
          <w:color w:val="000000"/>
          <w:lang w:val="hu-HU"/>
        </w:rPr>
        <w:sym w:font="Symbol" w:char="F0B3"/>
      </w:r>
      <w:r w:rsidRPr="00556B9B">
        <w:rPr>
          <w:color w:val="000000"/>
          <w:lang w:val="hu-HU"/>
        </w:rPr>
        <w:t xml:space="preserve"> 30% (feltéve, hogy a blastsejtek száma &lt; 30%), a basophil sejtek előfordulása a perifériás vérképben </w:t>
      </w:r>
      <w:r w:rsidRPr="00556B9B">
        <w:rPr>
          <w:color w:val="000000"/>
          <w:lang w:val="hu-HU"/>
        </w:rPr>
        <w:sym w:font="Symbol" w:char="F0B3"/>
      </w:r>
      <w:r w:rsidRPr="00556B9B">
        <w:rPr>
          <w:color w:val="000000"/>
          <w:lang w:val="hu-HU"/>
        </w:rPr>
        <w:t> 20%, thrombocytaszám &lt; 100 x 10</w:t>
      </w:r>
      <w:r w:rsidRPr="00556B9B">
        <w:rPr>
          <w:color w:val="000000"/>
          <w:vertAlign w:val="superscript"/>
          <w:lang w:val="hu-HU"/>
        </w:rPr>
        <w:t>9</w:t>
      </w:r>
      <w:r w:rsidRPr="00556B9B">
        <w:rPr>
          <w:color w:val="000000"/>
          <w:lang w:val="hu-HU"/>
        </w:rPr>
        <w:t>/l a terápiától függetlenül.</w:t>
      </w:r>
    </w:p>
    <w:p w14:paraId="2EC15635" w14:textId="77777777" w:rsidR="00910FC8" w:rsidRPr="00556B9B" w:rsidRDefault="00910FC8">
      <w:pPr>
        <w:spacing w:line="240" w:lineRule="auto"/>
        <w:rPr>
          <w:color w:val="000000"/>
          <w:lang w:val="hu-HU"/>
        </w:rPr>
      </w:pPr>
    </w:p>
    <w:p w14:paraId="4A15044C" w14:textId="77777777" w:rsidR="00910FC8" w:rsidRPr="00556B9B" w:rsidRDefault="00910FC8">
      <w:pPr>
        <w:spacing w:line="240" w:lineRule="auto"/>
        <w:rPr>
          <w:color w:val="000000"/>
          <w:lang w:val="hu-HU"/>
        </w:rPr>
      </w:pPr>
      <w:r w:rsidRPr="00556B9B">
        <w:rPr>
          <w:color w:val="000000"/>
          <w:lang w:val="hu-HU"/>
        </w:rPr>
        <w:t xml:space="preserve">Blasztos krízisben levő </w:t>
      </w:r>
      <w:r w:rsidR="000A3E39" w:rsidRPr="00556B9B">
        <w:rPr>
          <w:color w:val="000000"/>
          <w:lang w:val="hu-HU"/>
        </w:rPr>
        <w:t xml:space="preserve">felnőtt </w:t>
      </w:r>
      <w:r w:rsidRPr="00556B9B">
        <w:rPr>
          <w:color w:val="000000"/>
          <w:lang w:val="hu-HU"/>
        </w:rPr>
        <w:t xml:space="preserve">betegeknek a Glivec ajánlott adagja 600 mg/nap. Blasztos krízisről beszélünk, ha a blastsejtek száma a vérben vagy a csontvelőben </w:t>
      </w:r>
      <w:r w:rsidRPr="00556B9B">
        <w:rPr>
          <w:color w:val="000000"/>
          <w:lang w:val="hu-HU"/>
        </w:rPr>
        <w:sym w:font="Symbol" w:char="F0B3"/>
      </w:r>
      <w:r w:rsidRPr="00556B9B">
        <w:rPr>
          <w:color w:val="000000"/>
          <w:lang w:val="hu-HU"/>
        </w:rPr>
        <w:t> 30%, vagy hepatosplenomegalián kívül más extramedulláris betegség áll fenn.</w:t>
      </w:r>
    </w:p>
    <w:p w14:paraId="2352B7AB" w14:textId="77777777" w:rsidR="00910FC8" w:rsidRPr="00556B9B" w:rsidRDefault="00910FC8">
      <w:pPr>
        <w:spacing w:line="240" w:lineRule="auto"/>
        <w:rPr>
          <w:color w:val="000000"/>
          <w:lang w:val="hu-HU"/>
        </w:rPr>
      </w:pPr>
    </w:p>
    <w:p w14:paraId="375CEFB7" w14:textId="6650FD0C" w:rsidR="00910FC8" w:rsidRPr="00E72BFA" w:rsidRDefault="00910FC8">
      <w:pPr>
        <w:spacing w:line="240" w:lineRule="auto"/>
        <w:rPr>
          <w:color w:val="000000"/>
          <w:lang w:val="hu-HU"/>
        </w:rPr>
      </w:pPr>
      <w:r w:rsidRPr="00E72BFA">
        <w:rPr>
          <w:color w:val="000000"/>
          <w:lang w:val="hu-HU"/>
        </w:rPr>
        <w:t>A kezelés időtartama: klinikai vizsgálatokban a Glivec</w:t>
      </w:r>
      <w:r w:rsidRPr="00E72BFA">
        <w:rPr>
          <w:color w:val="000000"/>
          <w:lang w:val="hu-HU"/>
        </w:rPr>
        <w:noBreakHyphen/>
        <w:t xml:space="preserve">kezelést a betegség progressziójáig folytatták. A </w:t>
      </w:r>
      <w:r w:rsidR="00DB26F5" w:rsidRPr="00E72BFA">
        <w:rPr>
          <w:color w:val="000000"/>
          <w:lang w:val="hu-HU"/>
        </w:rPr>
        <w:t>kezelés leállításának hatását</w:t>
      </w:r>
      <w:r w:rsidR="00FA5798">
        <w:rPr>
          <w:color w:val="000000"/>
          <w:lang w:val="hu-HU"/>
        </w:rPr>
        <w:t>,</w:t>
      </w:r>
      <w:r w:rsidR="00DB26F5" w:rsidRPr="00E72BFA">
        <w:rPr>
          <w:color w:val="000000"/>
          <w:lang w:val="hu-HU"/>
        </w:rPr>
        <w:t xml:space="preserve"> </w:t>
      </w:r>
      <w:r w:rsidR="00E439D9" w:rsidRPr="00E72BFA">
        <w:rPr>
          <w:color w:val="000000"/>
          <w:lang w:val="hu-HU"/>
        </w:rPr>
        <w:t xml:space="preserve">ha az </w:t>
      </w:r>
      <w:r w:rsidR="00DB26F5" w:rsidRPr="00E72BFA">
        <w:rPr>
          <w:color w:val="000000"/>
          <w:lang w:val="hu-HU"/>
        </w:rPr>
        <w:t xml:space="preserve">a </w:t>
      </w:r>
      <w:r w:rsidRPr="00E72BFA">
        <w:rPr>
          <w:color w:val="000000"/>
          <w:lang w:val="hu-HU"/>
        </w:rPr>
        <w:t>teljes cytogenetikai válasz elérése után</w:t>
      </w:r>
      <w:r w:rsidR="00E439D9" w:rsidRPr="00E72BFA">
        <w:rPr>
          <w:color w:val="000000"/>
          <w:lang w:val="hu-HU"/>
        </w:rPr>
        <w:t xml:space="preserve"> történt</w:t>
      </w:r>
      <w:r w:rsidR="00DB26F5" w:rsidRPr="00E72BFA">
        <w:rPr>
          <w:color w:val="000000"/>
          <w:lang w:val="hu-HU"/>
        </w:rPr>
        <w:t xml:space="preserve">, </w:t>
      </w:r>
      <w:r w:rsidRPr="00E72BFA">
        <w:rPr>
          <w:color w:val="000000"/>
          <w:lang w:val="hu-HU"/>
        </w:rPr>
        <w:t xml:space="preserve">nem </w:t>
      </w:r>
      <w:r w:rsidR="00A156F3" w:rsidRPr="00E72BFA">
        <w:rPr>
          <w:color w:val="000000"/>
          <w:lang w:val="hu-HU"/>
        </w:rPr>
        <w:t>vizsgálták</w:t>
      </w:r>
      <w:r w:rsidRPr="00E72BFA">
        <w:rPr>
          <w:color w:val="000000"/>
          <w:lang w:val="hu-HU"/>
        </w:rPr>
        <w:t>.</w:t>
      </w:r>
    </w:p>
    <w:p w14:paraId="03651C19" w14:textId="77777777" w:rsidR="00910FC8" w:rsidRPr="00E72BFA" w:rsidRDefault="00910FC8">
      <w:pPr>
        <w:spacing w:line="240" w:lineRule="auto"/>
        <w:rPr>
          <w:color w:val="000000"/>
          <w:lang w:val="hu-HU"/>
        </w:rPr>
      </w:pPr>
    </w:p>
    <w:p w14:paraId="58F38BAD" w14:textId="03279E23" w:rsidR="00910FC8" w:rsidRPr="00556B9B" w:rsidRDefault="00910FC8">
      <w:pPr>
        <w:spacing w:line="240" w:lineRule="auto"/>
        <w:rPr>
          <w:color w:val="000000"/>
          <w:lang w:val="hu-HU"/>
        </w:rPr>
      </w:pPr>
      <w:r w:rsidRPr="00E72BFA">
        <w:rPr>
          <w:color w:val="000000"/>
          <w:lang w:val="hu-HU"/>
        </w:rPr>
        <w:t>Krónikus fázisban lévő betegek</w:t>
      </w:r>
      <w:r w:rsidR="00A156F3" w:rsidRPr="00E72BFA">
        <w:rPr>
          <w:color w:val="000000"/>
          <w:lang w:val="hu-HU"/>
        </w:rPr>
        <w:t>nél</w:t>
      </w:r>
      <w:r w:rsidRPr="00E72BFA">
        <w:rPr>
          <w:color w:val="000000"/>
          <w:lang w:val="hu-HU"/>
        </w:rPr>
        <w:t xml:space="preserve"> a</w:t>
      </w:r>
      <w:r w:rsidR="00A156F3" w:rsidRPr="00E72BFA">
        <w:rPr>
          <w:color w:val="000000"/>
          <w:lang w:val="hu-HU"/>
        </w:rPr>
        <w:t xml:space="preserve"> dózis</w:t>
      </w:r>
      <w:r w:rsidRPr="00E72BFA">
        <w:rPr>
          <w:color w:val="000000"/>
          <w:lang w:val="hu-HU"/>
        </w:rPr>
        <w:t xml:space="preserve"> 400 mg</w:t>
      </w:r>
      <w:r w:rsidRPr="00E72BFA">
        <w:rPr>
          <w:color w:val="000000"/>
          <w:lang w:val="hu-HU"/>
        </w:rPr>
        <w:noBreakHyphen/>
        <w:t>ról 600 mg</w:t>
      </w:r>
      <w:r w:rsidRPr="00E72BFA">
        <w:rPr>
          <w:color w:val="000000"/>
          <w:lang w:val="hu-HU"/>
        </w:rPr>
        <w:noBreakHyphen/>
        <w:t>ra vagy 800 mg</w:t>
      </w:r>
      <w:r w:rsidRPr="00E72BFA">
        <w:rPr>
          <w:color w:val="000000"/>
          <w:lang w:val="hu-HU"/>
        </w:rPr>
        <w:noBreakHyphen/>
        <w:t>ra, akcelerált fázisban, ill. blasztos krízisben pedig 600 mg</w:t>
      </w:r>
      <w:r w:rsidRPr="00E72BFA">
        <w:rPr>
          <w:color w:val="000000"/>
          <w:lang w:val="hu-HU"/>
        </w:rPr>
        <w:noBreakHyphen/>
        <w:t>ról a maximális 800 mg</w:t>
      </w:r>
      <w:r w:rsidRPr="00E72BFA">
        <w:rPr>
          <w:color w:val="000000"/>
          <w:lang w:val="hu-HU"/>
        </w:rPr>
        <w:noBreakHyphen/>
        <w:t>ra (naponta 2 x 400 mg formájában) emelhető, ha nincs súlyos mellékhatás, ill. súlyos – nem a leukaemiával összefüggő – neutropenia vagy thrombocytopenia az alábbi esetekben: betegség</w:t>
      </w:r>
      <w:r w:rsidRPr="00556B9B">
        <w:rPr>
          <w:color w:val="000000"/>
          <w:lang w:val="hu-HU"/>
        </w:rPr>
        <w:noBreakHyphen/>
        <w:t>progresszió (bármikor); legalább 3 hónapos kezelés után sincs megfelelő hematológiai válasz; 12 hónapos kezelés után sincs cytogenetikai válasz; vagy a korábban elért hematológiai és/vagy cytogenetikai válasz megszűnése. Dózisemeléskor a betegek szoros monitorozása szükséges, mivel magasabb dózisokban a mellékhatások előfordulásának kockázata fokozódik.</w:t>
      </w:r>
    </w:p>
    <w:p w14:paraId="12424637" w14:textId="77777777" w:rsidR="00910FC8" w:rsidRPr="00556B9B" w:rsidRDefault="00910FC8">
      <w:pPr>
        <w:spacing w:line="240" w:lineRule="auto"/>
        <w:rPr>
          <w:color w:val="000000"/>
          <w:lang w:val="hu-HU"/>
        </w:rPr>
      </w:pPr>
    </w:p>
    <w:p w14:paraId="138C61B5" w14:textId="78AAD313" w:rsidR="00910FC8" w:rsidRPr="00556B9B" w:rsidRDefault="00910FC8" w:rsidP="005C6E7A">
      <w:pPr>
        <w:keepNext/>
        <w:suppressAutoHyphens w:val="0"/>
        <w:spacing w:line="240" w:lineRule="auto"/>
        <w:rPr>
          <w:color w:val="000000"/>
          <w:u w:val="single"/>
          <w:lang w:val="hu-HU"/>
        </w:rPr>
      </w:pPr>
      <w:r w:rsidRPr="00556B9B">
        <w:rPr>
          <w:color w:val="000000"/>
          <w:u w:val="single"/>
          <w:lang w:val="hu-HU"/>
        </w:rPr>
        <w:t>Adagolás CML</w:t>
      </w:r>
      <w:r w:rsidRPr="00556B9B">
        <w:rPr>
          <w:color w:val="000000"/>
          <w:u w:val="single"/>
          <w:lang w:val="hu-HU"/>
        </w:rPr>
        <w:noBreakHyphen/>
        <w:t>es gyermekek számára</w:t>
      </w:r>
    </w:p>
    <w:p w14:paraId="0B8D194D" w14:textId="1396160F" w:rsidR="00910FC8" w:rsidRPr="00556B9B" w:rsidRDefault="00910FC8">
      <w:pPr>
        <w:spacing w:line="240" w:lineRule="auto"/>
        <w:rPr>
          <w:color w:val="000000"/>
          <w:lang w:val="hu-HU"/>
        </w:rPr>
      </w:pPr>
      <w:r w:rsidRPr="00556B9B">
        <w:rPr>
          <w:color w:val="000000"/>
          <w:lang w:val="hu-HU"/>
        </w:rPr>
        <w:t>Gyermekek adagja a testfelszín (mg/m</w:t>
      </w:r>
      <w:r w:rsidRPr="00556B9B">
        <w:rPr>
          <w:color w:val="000000"/>
          <w:vertAlign w:val="superscript"/>
          <w:lang w:val="hu-HU"/>
        </w:rPr>
        <w:t>2</w:t>
      </w:r>
      <w:r w:rsidRPr="00556B9B">
        <w:rPr>
          <w:color w:val="000000"/>
          <w:lang w:val="hu-HU"/>
        </w:rPr>
        <w:t>) alapján számolandó. Gyermekek krónikus, ill. előrehaladott fázisú CML</w:t>
      </w:r>
      <w:r w:rsidRPr="00556B9B">
        <w:rPr>
          <w:color w:val="000000"/>
          <w:lang w:val="hu-HU"/>
        </w:rPr>
        <w:noBreakHyphen/>
        <w:t>ében napi 340 mg/m</w:t>
      </w:r>
      <w:r w:rsidRPr="00556B9B">
        <w:rPr>
          <w:color w:val="000000"/>
          <w:vertAlign w:val="superscript"/>
          <w:lang w:val="hu-HU"/>
        </w:rPr>
        <w:t>2</w:t>
      </w:r>
      <w:r w:rsidRPr="00556B9B">
        <w:rPr>
          <w:color w:val="000000"/>
          <w:lang w:val="hu-HU"/>
        </w:rPr>
        <w:t xml:space="preserve"> adag javasolt (a teljes dózis nem haladhatja meg a 800 mg</w:t>
      </w:r>
      <w:r w:rsidRPr="00556B9B">
        <w:rPr>
          <w:color w:val="000000"/>
          <w:lang w:val="hu-HU"/>
        </w:rPr>
        <w:noBreakHyphen/>
        <w:t xml:space="preserve">ot). A kezelés napi egyszeri vagy alternatívaként a napi adag 2 (reggeli és esti) részre osztott bevételével </w:t>
      </w:r>
      <w:r w:rsidRPr="00556B9B">
        <w:rPr>
          <w:color w:val="000000"/>
          <w:lang w:val="hu-HU"/>
        </w:rPr>
        <w:lastRenderedPageBreak/>
        <w:t>történhet. Az adagolási javaslat jelenleg még kisszámú pediátriai kezelt adatára támaszkodik (lásd 5.1 és 5.2 pont). 2 éves kor alatti gyermekek kezelésére vonatkozóan nincs tapasztalat.</w:t>
      </w:r>
    </w:p>
    <w:p w14:paraId="3F104975" w14:textId="77777777" w:rsidR="00910FC8" w:rsidRPr="00556B9B" w:rsidRDefault="00910FC8">
      <w:pPr>
        <w:spacing w:line="240" w:lineRule="auto"/>
        <w:rPr>
          <w:color w:val="000000"/>
          <w:lang w:val="hu-HU"/>
        </w:rPr>
      </w:pPr>
    </w:p>
    <w:p w14:paraId="6EDEE6F7" w14:textId="77777777" w:rsidR="00910FC8" w:rsidRPr="00556B9B" w:rsidRDefault="00910FC8">
      <w:pPr>
        <w:spacing w:line="240" w:lineRule="auto"/>
        <w:rPr>
          <w:color w:val="000000"/>
          <w:lang w:val="hu-HU"/>
        </w:rPr>
      </w:pPr>
      <w:r w:rsidRPr="00556B9B">
        <w:rPr>
          <w:color w:val="000000"/>
          <w:lang w:val="hu-HU"/>
        </w:rPr>
        <w:t xml:space="preserve">A napi adag </w:t>
      </w:r>
      <w:r w:rsidRPr="00556B9B">
        <w:rPr>
          <w:color w:val="000000"/>
          <w:szCs w:val="22"/>
          <w:lang w:val="hu-HU"/>
        </w:rPr>
        <w:t>340 mg/m</w:t>
      </w:r>
      <w:r w:rsidRPr="00556B9B">
        <w:rPr>
          <w:color w:val="000000"/>
          <w:szCs w:val="22"/>
          <w:vertAlign w:val="superscript"/>
          <w:lang w:val="hu-HU"/>
        </w:rPr>
        <w:t>2</w:t>
      </w:r>
      <w:r w:rsidRPr="00556B9B">
        <w:rPr>
          <w:color w:val="000000"/>
          <w:szCs w:val="22"/>
          <w:lang w:val="hu-HU"/>
        </w:rPr>
        <w:noBreakHyphen/>
        <w:t>ról 570 mg/m</w:t>
      </w:r>
      <w:r w:rsidRPr="00556B9B">
        <w:rPr>
          <w:color w:val="000000"/>
          <w:szCs w:val="22"/>
          <w:vertAlign w:val="superscript"/>
          <w:lang w:val="hu-HU"/>
        </w:rPr>
        <w:t>2</w:t>
      </w:r>
      <w:r w:rsidRPr="00556B9B">
        <w:rPr>
          <w:color w:val="000000"/>
          <w:szCs w:val="22"/>
          <w:lang w:val="hu-HU"/>
        </w:rPr>
        <w:noBreakHyphen/>
        <w:t xml:space="preserve">ra </w:t>
      </w:r>
      <w:r w:rsidRPr="00556B9B">
        <w:rPr>
          <w:color w:val="000000"/>
          <w:lang w:val="hu-HU"/>
        </w:rPr>
        <w:t>(a teljes dózis nem haladhatja meg a 800 mg</w:t>
      </w:r>
      <w:r w:rsidRPr="00556B9B">
        <w:rPr>
          <w:color w:val="000000"/>
          <w:lang w:val="hu-HU"/>
        </w:rPr>
        <w:noBreakHyphen/>
        <w:t>ot) emelhető, ha nincs súlyos mellékhatás, ill. súlyos – nem a leukaemiával összefüggő – neutropenia vagy thrombocytopenia az alábbi esetekben: betegség</w:t>
      </w:r>
      <w:r w:rsidRPr="00556B9B">
        <w:rPr>
          <w:color w:val="000000"/>
          <w:lang w:val="hu-HU"/>
        </w:rPr>
        <w:noBreakHyphen/>
        <w:t>progresszió (bármikor); legalább 3 hónapos kezelés után sincs megfelelő hematológiai válasz; 12 hónapos kezelés után sincs cytogenetikai válasz; vagy a korábban elért hematológiai és/vagy cytogenetikai válasz megszűnése. Dózisemeléskor a betegek szoros monitorozása szükséges, mivel magasabb dózisokban a mellékhatások előfordulásának kockázata fokozódik.</w:t>
      </w:r>
    </w:p>
    <w:p w14:paraId="784F8D49" w14:textId="77777777" w:rsidR="00910FC8" w:rsidRPr="00556B9B" w:rsidRDefault="00910FC8">
      <w:pPr>
        <w:spacing w:line="240" w:lineRule="auto"/>
        <w:rPr>
          <w:color w:val="000000"/>
          <w:lang w:val="hu-HU"/>
        </w:rPr>
      </w:pPr>
    </w:p>
    <w:p w14:paraId="1EEC1797" w14:textId="77777777" w:rsidR="00910FC8" w:rsidRPr="00556B9B" w:rsidRDefault="00910FC8" w:rsidP="005C6E7A">
      <w:pPr>
        <w:keepNext/>
        <w:suppressAutoHyphens w:val="0"/>
        <w:spacing w:line="240" w:lineRule="auto"/>
        <w:rPr>
          <w:color w:val="000000"/>
          <w:lang w:val="hu-HU"/>
        </w:rPr>
      </w:pPr>
      <w:r w:rsidRPr="00556B9B">
        <w:rPr>
          <w:color w:val="000000"/>
          <w:u w:val="single"/>
          <w:lang w:val="hu-HU"/>
        </w:rPr>
        <w:t>Adagolás Ph+</w:t>
      </w:r>
      <w:smartTag w:uri="urn:schemas-microsoft-com:office:smarttags" w:element="stockticker">
        <w:r w:rsidRPr="00556B9B">
          <w:rPr>
            <w:color w:val="000000"/>
            <w:u w:val="single"/>
            <w:lang w:val="hu-HU"/>
          </w:rPr>
          <w:t>ALL</w:t>
        </w:r>
      </w:smartTag>
      <w:r w:rsidRPr="00556B9B">
        <w:rPr>
          <w:color w:val="000000"/>
          <w:u w:val="single"/>
          <w:lang w:val="hu-HU"/>
        </w:rPr>
        <w:noBreakHyphen/>
      </w:r>
      <w:r w:rsidR="00B1168C" w:rsidRPr="00556B9B">
        <w:rPr>
          <w:color w:val="000000"/>
          <w:u w:val="single"/>
          <w:lang w:val="hu-HU"/>
        </w:rPr>
        <w:t>es felnőtt betegek számára</w:t>
      </w:r>
    </w:p>
    <w:p w14:paraId="6251CF40" w14:textId="77777777" w:rsidR="00910FC8" w:rsidRPr="00556B9B" w:rsidRDefault="00910FC8">
      <w:pPr>
        <w:spacing w:line="240" w:lineRule="auto"/>
        <w:rPr>
          <w:color w:val="000000"/>
          <w:lang w:val="hu-HU"/>
        </w:rPr>
      </w:pPr>
      <w:r w:rsidRPr="00556B9B">
        <w:rPr>
          <w:color w:val="000000"/>
          <w:lang w:val="hu-HU"/>
        </w:rPr>
        <w:t>Ph+</w:t>
      </w:r>
      <w:smartTag w:uri="urn:schemas-microsoft-com:office:smarttags" w:element="stockticker">
        <w:r w:rsidRPr="00556B9B">
          <w:rPr>
            <w:color w:val="000000"/>
            <w:lang w:val="hu-HU"/>
          </w:rPr>
          <w:t>ALL</w:t>
        </w:r>
      </w:smartTag>
      <w:r w:rsidRPr="00556B9B">
        <w:rPr>
          <w:color w:val="000000"/>
          <w:lang w:val="hu-HU"/>
        </w:rPr>
        <w:noBreakHyphen/>
        <w:t xml:space="preserve">ben szenvedő </w:t>
      </w:r>
      <w:r w:rsidR="000A3E39" w:rsidRPr="00556B9B">
        <w:rPr>
          <w:color w:val="000000"/>
          <w:lang w:val="hu-HU"/>
        </w:rPr>
        <w:t xml:space="preserve">felnőtt </w:t>
      </w:r>
      <w:r w:rsidRPr="00556B9B">
        <w:rPr>
          <w:color w:val="000000"/>
          <w:lang w:val="hu-HU"/>
        </w:rPr>
        <w:t>betegeknek a Glivec ajánlott adagja 600 mg/nap. A kezelést minden fázisban az ezen kórkép kezelésében jártas hematológus szakorvos felügyelje.</w:t>
      </w:r>
    </w:p>
    <w:p w14:paraId="7788AA74" w14:textId="77777777" w:rsidR="00910FC8" w:rsidRPr="00556B9B" w:rsidRDefault="00910FC8">
      <w:pPr>
        <w:spacing w:line="240" w:lineRule="auto"/>
        <w:rPr>
          <w:color w:val="000000"/>
          <w:u w:val="single"/>
          <w:lang w:val="hu-HU"/>
        </w:rPr>
      </w:pPr>
    </w:p>
    <w:p w14:paraId="51002D09" w14:textId="77777777" w:rsidR="00910FC8" w:rsidRPr="00556B9B" w:rsidRDefault="00910FC8">
      <w:pPr>
        <w:spacing w:line="240" w:lineRule="auto"/>
        <w:rPr>
          <w:color w:val="000000"/>
          <w:lang w:val="hu-HU"/>
        </w:rPr>
      </w:pPr>
      <w:r w:rsidRPr="00556B9B">
        <w:rPr>
          <w:color w:val="000000"/>
          <w:lang w:val="hu-HU"/>
        </w:rPr>
        <w:t xml:space="preserve">Kezelési protokoll: a rendelkezésre álló adatok alapján a Glivec hatékonyan és biztonsággal adható újonnan diagnosztizált Ph+ </w:t>
      </w:r>
      <w:smartTag w:uri="urn:schemas-microsoft-com:office:smarttags" w:element="stockticker">
        <w:r w:rsidRPr="00556B9B">
          <w:rPr>
            <w:color w:val="000000"/>
            <w:lang w:val="hu-HU"/>
          </w:rPr>
          <w:t>ALL</w:t>
        </w:r>
      </w:smartTag>
      <w:r w:rsidRPr="00556B9B">
        <w:rPr>
          <w:color w:val="000000"/>
          <w:lang w:val="hu-HU"/>
        </w:rPr>
        <w:noBreakHyphen/>
        <w:t>es felnőtt betegeknek kemoterápiával egyidejűleg a kemoterápia indukciós, konszolidációs és fenntartó fázisában (lásd 5.1 pont) 600 mg/nap adagban. A Glivec</w:t>
      </w:r>
      <w:r w:rsidRPr="00556B9B">
        <w:rPr>
          <w:color w:val="000000"/>
          <w:lang w:val="hu-HU"/>
        </w:rPr>
        <w:noBreakHyphen/>
        <w:t>kezelés időtartama a választott kezelési program függvényében változhat, de a hosszabb Glivec</w:t>
      </w:r>
      <w:r w:rsidRPr="00556B9B">
        <w:rPr>
          <w:color w:val="000000"/>
          <w:lang w:val="hu-HU"/>
        </w:rPr>
        <w:noBreakHyphen/>
        <w:t>kezelés általában jobb eredményekkel járt.</w:t>
      </w:r>
    </w:p>
    <w:p w14:paraId="0ECC86B8" w14:textId="77777777" w:rsidR="00910FC8" w:rsidRPr="00556B9B" w:rsidRDefault="00910FC8">
      <w:pPr>
        <w:spacing w:line="240" w:lineRule="auto"/>
        <w:rPr>
          <w:color w:val="000000"/>
          <w:u w:val="single"/>
          <w:lang w:val="hu-HU"/>
        </w:rPr>
      </w:pPr>
    </w:p>
    <w:p w14:paraId="5758E927" w14:textId="77777777" w:rsidR="00910FC8" w:rsidRPr="00E72BFA" w:rsidRDefault="00910FC8">
      <w:pPr>
        <w:spacing w:line="240" w:lineRule="auto"/>
        <w:rPr>
          <w:color w:val="000000"/>
          <w:lang w:val="hu-HU"/>
        </w:rPr>
      </w:pPr>
      <w:r w:rsidRPr="00556B9B">
        <w:rPr>
          <w:color w:val="000000"/>
          <w:lang w:val="hu-HU"/>
        </w:rPr>
        <w:t xml:space="preserve">Recidiváló vagy refrakter Ph+ </w:t>
      </w:r>
      <w:smartTag w:uri="urn:schemas-microsoft-com:office:smarttags" w:element="stockticker">
        <w:r w:rsidRPr="00556B9B">
          <w:rPr>
            <w:color w:val="000000"/>
            <w:lang w:val="hu-HU"/>
          </w:rPr>
          <w:t>ALL</w:t>
        </w:r>
      </w:smartTag>
      <w:r w:rsidRPr="00556B9B">
        <w:rPr>
          <w:color w:val="000000"/>
          <w:lang w:val="hu-HU"/>
        </w:rPr>
        <w:noBreakHyphen/>
        <w:t xml:space="preserve">ben szenvedő felnőtt betegek esetében a Glivec monoterápia 600 mg/nap adaggal biztonságos, hatékony és a betegség </w:t>
      </w:r>
      <w:r w:rsidRPr="00E72BFA">
        <w:rPr>
          <w:color w:val="000000"/>
          <w:lang w:val="hu-HU"/>
        </w:rPr>
        <w:t>progressziójáig alkalmazható.</w:t>
      </w:r>
    </w:p>
    <w:p w14:paraId="08F572BC" w14:textId="77777777" w:rsidR="00910FC8" w:rsidRPr="00E72BFA" w:rsidRDefault="00910FC8">
      <w:pPr>
        <w:spacing w:line="240" w:lineRule="auto"/>
        <w:rPr>
          <w:color w:val="000000"/>
          <w:lang w:val="hu-HU"/>
        </w:rPr>
      </w:pPr>
    </w:p>
    <w:p w14:paraId="4B3F498C" w14:textId="672E9EBF" w:rsidR="00726E29" w:rsidRPr="00E72BFA" w:rsidRDefault="00726E29" w:rsidP="005C6E7A">
      <w:pPr>
        <w:keepNext/>
        <w:suppressAutoHyphens w:val="0"/>
        <w:rPr>
          <w:rFonts w:eastAsia="MS Mincho"/>
          <w:color w:val="000000"/>
          <w:u w:val="single"/>
          <w:lang w:val="hu-HU"/>
        </w:rPr>
      </w:pPr>
      <w:r w:rsidRPr="00E72BFA">
        <w:rPr>
          <w:color w:val="000000"/>
          <w:u w:val="single"/>
          <w:lang w:val="hu-HU" w:eastAsia="hu-HU"/>
        </w:rPr>
        <w:t>Adagolás Ph+ALL</w:t>
      </w:r>
      <w:r w:rsidRPr="00E72BFA">
        <w:rPr>
          <w:color w:val="000000"/>
          <w:u w:val="single"/>
          <w:lang w:val="hu-HU"/>
        </w:rPr>
        <w:noBreakHyphen/>
        <w:t>es</w:t>
      </w:r>
      <w:r w:rsidRPr="00E72BFA">
        <w:rPr>
          <w:color w:val="000000"/>
          <w:u w:val="single"/>
          <w:lang w:val="hu-HU" w:eastAsia="hu-HU"/>
        </w:rPr>
        <w:t xml:space="preserve"> gyermekek</w:t>
      </w:r>
      <w:r w:rsidRPr="00E72BFA">
        <w:rPr>
          <w:color w:val="000000"/>
          <w:u w:val="single"/>
          <w:lang w:val="hu-HU"/>
        </w:rPr>
        <w:t xml:space="preserve"> számára</w:t>
      </w:r>
    </w:p>
    <w:p w14:paraId="55F562FD" w14:textId="21EA6083" w:rsidR="00726E29" w:rsidRPr="00556B9B" w:rsidRDefault="00726E29" w:rsidP="00726E29">
      <w:pPr>
        <w:rPr>
          <w:color w:val="000000"/>
          <w:lang w:val="hu-HU"/>
        </w:rPr>
      </w:pPr>
      <w:r w:rsidRPr="00E72BFA">
        <w:rPr>
          <w:lang w:val="hu-HU" w:eastAsia="hu-HU"/>
        </w:rPr>
        <w:t>Gyermekeknél az adagolás</w:t>
      </w:r>
      <w:r w:rsidR="00E439D9" w:rsidRPr="00E72BFA">
        <w:rPr>
          <w:lang w:val="hu-HU" w:eastAsia="hu-HU"/>
        </w:rPr>
        <w:t>t</w:t>
      </w:r>
      <w:r w:rsidRPr="00E72BFA">
        <w:rPr>
          <w:lang w:val="hu-HU" w:eastAsia="hu-HU"/>
        </w:rPr>
        <w:t xml:space="preserve"> a testfelszín alapján kell </w:t>
      </w:r>
      <w:r w:rsidR="00E439D9" w:rsidRPr="00E72BFA">
        <w:rPr>
          <w:lang w:val="hu-HU" w:eastAsia="hu-HU"/>
        </w:rPr>
        <w:t>kiszámolni</w:t>
      </w:r>
      <w:r w:rsidRPr="00E72BFA">
        <w:rPr>
          <w:lang w:val="hu-HU" w:eastAsia="hu-HU"/>
        </w:rPr>
        <w:t xml:space="preserve"> </w:t>
      </w:r>
      <w:r w:rsidRPr="00E72BFA">
        <w:rPr>
          <w:color w:val="000000"/>
          <w:lang w:val="hu-HU" w:eastAsia="hu-HU"/>
        </w:rPr>
        <w:t>(mg/</w:t>
      </w:r>
      <w:r w:rsidRPr="00556B9B">
        <w:rPr>
          <w:color w:val="000000"/>
          <w:lang w:val="hu-HU" w:eastAsia="hu-HU"/>
        </w:rPr>
        <w:t>m</w:t>
      </w:r>
      <w:r w:rsidRPr="00556B9B">
        <w:rPr>
          <w:color w:val="000000"/>
          <w:vertAlign w:val="superscript"/>
          <w:lang w:val="hu-HU" w:eastAsia="hu-HU"/>
        </w:rPr>
        <w:t>2</w:t>
      </w:r>
      <w:r w:rsidRPr="00556B9B">
        <w:rPr>
          <w:color w:val="000000"/>
          <w:lang w:val="hu-HU" w:eastAsia="hu-HU"/>
        </w:rPr>
        <w:t xml:space="preserve">). </w:t>
      </w:r>
      <w:r w:rsidRPr="00556B9B">
        <w:rPr>
          <w:lang w:val="hu-HU" w:eastAsia="hu-HU"/>
        </w:rPr>
        <w:t>A Ph+ALL</w:t>
      </w:r>
      <w:r w:rsidRPr="00556B9B">
        <w:rPr>
          <w:lang w:val="hu-HU"/>
        </w:rPr>
        <w:noBreakHyphen/>
      </w:r>
      <w:r w:rsidRPr="00556B9B">
        <w:rPr>
          <w:lang w:val="hu-HU" w:eastAsia="hu-HU"/>
        </w:rPr>
        <w:t>ben szenvedő gyermekeknél</w:t>
      </w:r>
      <w:r w:rsidR="003820A7" w:rsidRPr="00556B9B">
        <w:rPr>
          <w:lang w:val="hu-HU"/>
        </w:rPr>
        <w:t xml:space="preserve"> </w:t>
      </w:r>
      <w:r w:rsidRPr="00556B9B">
        <w:rPr>
          <w:lang w:val="hu-HU"/>
        </w:rPr>
        <w:t>nap</w:t>
      </w:r>
      <w:r w:rsidRPr="00556B9B">
        <w:rPr>
          <w:lang w:val="hu-HU" w:eastAsia="hu-HU"/>
        </w:rPr>
        <w:t xml:space="preserve">i </w:t>
      </w:r>
      <w:r w:rsidRPr="00556B9B">
        <w:rPr>
          <w:color w:val="000000"/>
          <w:lang w:val="hu-HU" w:eastAsia="hu-HU"/>
        </w:rPr>
        <w:t>340</w:t>
      </w:r>
      <w:r w:rsidRPr="00556B9B">
        <w:rPr>
          <w:color w:val="000000"/>
          <w:lang w:val="hu-HU"/>
        </w:rPr>
        <w:t> mg</w:t>
      </w:r>
      <w:r w:rsidRPr="00556B9B">
        <w:rPr>
          <w:color w:val="000000"/>
          <w:lang w:val="hu-HU" w:eastAsia="hu-HU"/>
        </w:rPr>
        <w:t>/m</w:t>
      </w:r>
      <w:r w:rsidRPr="00556B9B">
        <w:rPr>
          <w:color w:val="000000"/>
          <w:vertAlign w:val="superscript"/>
          <w:lang w:val="hu-HU" w:eastAsia="hu-HU"/>
        </w:rPr>
        <w:t>2</w:t>
      </w:r>
      <w:r w:rsidRPr="00556B9B">
        <w:rPr>
          <w:color w:val="000000"/>
          <w:lang w:val="hu-HU"/>
        </w:rPr>
        <w:noBreakHyphen/>
      </w:r>
      <w:r w:rsidRPr="00556B9B">
        <w:rPr>
          <w:color w:val="000000"/>
          <w:lang w:val="hu-HU" w:eastAsia="hu-HU"/>
        </w:rPr>
        <w:t>es dózis javasolt (ami nem haladja meg a 600</w:t>
      </w:r>
      <w:r w:rsidRPr="00556B9B">
        <w:rPr>
          <w:color w:val="000000"/>
          <w:lang w:val="hu-HU"/>
        </w:rPr>
        <w:t> mg</w:t>
      </w:r>
      <w:r w:rsidRPr="00556B9B">
        <w:rPr>
          <w:color w:val="000000"/>
          <w:lang w:val="hu-HU"/>
        </w:rPr>
        <w:noBreakHyphen/>
      </w:r>
      <w:r w:rsidRPr="00556B9B">
        <w:rPr>
          <w:color w:val="000000"/>
          <w:lang w:val="hu-HU" w:eastAsia="hu-HU"/>
        </w:rPr>
        <w:t>os összdózist).</w:t>
      </w:r>
    </w:p>
    <w:p w14:paraId="41E369AA" w14:textId="77777777" w:rsidR="00726E29" w:rsidRPr="00556B9B" w:rsidRDefault="00726E29" w:rsidP="00726E29">
      <w:pPr>
        <w:rPr>
          <w:lang w:val="hu-HU"/>
        </w:rPr>
      </w:pPr>
    </w:p>
    <w:p w14:paraId="4C596BDC" w14:textId="77777777" w:rsidR="00910FC8" w:rsidRPr="00556B9B" w:rsidRDefault="00910FC8" w:rsidP="005C6E7A">
      <w:pPr>
        <w:keepNext/>
        <w:suppressAutoHyphens w:val="0"/>
        <w:spacing w:line="240" w:lineRule="auto"/>
        <w:rPr>
          <w:color w:val="000000"/>
          <w:lang w:val="hu-HU"/>
        </w:rPr>
      </w:pPr>
      <w:r w:rsidRPr="00556B9B">
        <w:rPr>
          <w:color w:val="000000"/>
          <w:u w:val="single"/>
          <w:lang w:val="hu-HU"/>
        </w:rPr>
        <w:t xml:space="preserve">Adagolás </w:t>
      </w:r>
      <w:smartTag w:uri="urn:schemas-microsoft-com:office:smarttags" w:element="stockticker">
        <w:r w:rsidRPr="00556B9B">
          <w:rPr>
            <w:color w:val="000000"/>
            <w:u w:val="single"/>
            <w:lang w:val="hu-HU"/>
          </w:rPr>
          <w:t>MDS</w:t>
        </w:r>
      </w:smartTag>
      <w:r w:rsidRPr="00556B9B">
        <w:rPr>
          <w:color w:val="000000"/>
          <w:u w:val="single"/>
          <w:lang w:val="hu-HU"/>
        </w:rPr>
        <w:t>/MPD</w:t>
      </w:r>
      <w:r w:rsidRPr="00556B9B">
        <w:rPr>
          <w:color w:val="000000"/>
          <w:u w:val="single"/>
          <w:lang w:val="hu-HU"/>
        </w:rPr>
        <w:noBreakHyphen/>
        <w:t>ben</w:t>
      </w:r>
    </w:p>
    <w:p w14:paraId="1D8BAD3E" w14:textId="77777777" w:rsidR="00910FC8" w:rsidRPr="00556B9B" w:rsidRDefault="00910FC8">
      <w:pPr>
        <w:spacing w:line="240" w:lineRule="auto"/>
        <w:rPr>
          <w:color w:val="000000"/>
          <w:lang w:val="hu-HU"/>
        </w:rPr>
      </w:pPr>
      <w:smartTag w:uri="urn:schemas-microsoft-com:office:smarttags" w:element="stockticker">
        <w:r w:rsidRPr="00556B9B">
          <w:rPr>
            <w:color w:val="000000"/>
            <w:lang w:val="hu-HU"/>
          </w:rPr>
          <w:t>MDS</w:t>
        </w:r>
      </w:smartTag>
      <w:r w:rsidRPr="00556B9B">
        <w:rPr>
          <w:color w:val="000000"/>
          <w:lang w:val="hu-HU"/>
        </w:rPr>
        <w:t>/MPD</w:t>
      </w:r>
      <w:r w:rsidRPr="00556B9B">
        <w:rPr>
          <w:color w:val="000000"/>
          <w:lang w:val="hu-HU"/>
        </w:rPr>
        <w:noBreakHyphen/>
        <w:t xml:space="preserve">ben szenvedő </w:t>
      </w:r>
      <w:r w:rsidR="000A3E39" w:rsidRPr="00556B9B">
        <w:rPr>
          <w:color w:val="000000"/>
          <w:lang w:val="hu-HU"/>
        </w:rPr>
        <w:t xml:space="preserve">felnőtt </w:t>
      </w:r>
      <w:r w:rsidRPr="00556B9B">
        <w:rPr>
          <w:color w:val="000000"/>
          <w:lang w:val="hu-HU"/>
        </w:rPr>
        <w:t>betegeknek a Glivec ajánlott adagja 400 mg/nap.</w:t>
      </w:r>
    </w:p>
    <w:p w14:paraId="1281E098" w14:textId="77777777" w:rsidR="00910FC8" w:rsidRPr="00556B9B" w:rsidRDefault="00910FC8">
      <w:pPr>
        <w:spacing w:line="240" w:lineRule="auto"/>
        <w:rPr>
          <w:color w:val="000000"/>
          <w:lang w:val="hu-HU"/>
        </w:rPr>
      </w:pPr>
    </w:p>
    <w:p w14:paraId="1B91DC1F" w14:textId="77777777" w:rsidR="00910FC8" w:rsidRPr="00556B9B" w:rsidRDefault="00910FC8">
      <w:pPr>
        <w:spacing w:line="240" w:lineRule="auto"/>
        <w:rPr>
          <w:color w:val="000000"/>
          <w:lang w:val="hu-HU"/>
        </w:rPr>
      </w:pPr>
      <w:r w:rsidRPr="00556B9B">
        <w:rPr>
          <w:color w:val="000000"/>
          <w:lang w:val="hu-HU"/>
        </w:rPr>
        <w:t>A kezelés időtartama: Az ez ideig elvégzett egyetlen klinikai vizsgálatban a Glivec</w:t>
      </w:r>
      <w:r w:rsidRPr="00556B9B">
        <w:rPr>
          <w:color w:val="000000"/>
          <w:lang w:val="hu-HU"/>
        </w:rPr>
        <w:noBreakHyphen/>
        <w:t xml:space="preserve">kezelést a betegség progressziójáig folytatták (lásd 5.1 pont). Az analízis időpontjában a kezelés időtartamának mediánértéke 47 hónap (24 nap </w:t>
      </w:r>
      <w:r w:rsidRPr="00556B9B">
        <w:rPr>
          <w:color w:val="000000"/>
          <w:lang w:val="hu-HU"/>
        </w:rPr>
        <w:noBreakHyphen/>
        <w:t xml:space="preserve"> 60 hónap) volt.</w:t>
      </w:r>
    </w:p>
    <w:p w14:paraId="45B64DE1" w14:textId="77777777" w:rsidR="00910FC8" w:rsidRPr="00556B9B" w:rsidRDefault="00910FC8">
      <w:pPr>
        <w:spacing w:line="240" w:lineRule="auto"/>
        <w:rPr>
          <w:color w:val="000000"/>
          <w:u w:val="single"/>
          <w:lang w:val="hu-HU"/>
        </w:rPr>
      </w:pPr>
    </w:p>
    <w:p w14:paraId="7DD6888D" w14:textId="77777777" w:rsidR="00910FC8" w:rsidRPr="00556B9B" w:rsidRDefault="00910FC8" w:rsidP="005C6E7A">
      <w:pPr>
        <w:keepNext/>
        <w:spacing w:line="240" w:lineRule="auto"/>
        <w:rPr>
          <w:color w:val="000000"/>
          <w:u w:val="single"/>
          <w:lang w:val="hu-HU"/>
        </w:rPr>
      </w:pPr>
      <w:r w:rsidRPr="00556B9B">
        <w:rPr>
          <w:color w:val="000000"/>
          <w:u w:val="single"/>
          <w:lang w:val="hu-HU"/>
        </w:rPr>
        <w:t>Adagolás HES/</w:t>
      </w:r>
      <w:smartTag w:uri="urn:schemas-microsoft-com:office:smarttags" w:element="stockticker">
        <w:r w:rsidRPr="00556B9B">
          <w:rPr>
            <w:color w:val="000000"/>
            <w:u w:val="single"/>
            <w:lang w:val="hu-HU"/>
          </w:rPr>
          <w:t>CEL</w:t>
        </w:r>
      </w:smartTag>
      <w:r w:rsidRPr="00556B9B">
        <w:rPr>
          <w:color w:val="000000"/>
          <w:u w:val="single"/>
          <w:lang w:val="hu-HU"/>
        </w:rPr>
        <w:noBreakHyphen/>
        <w:t>ben</w:t>
      </w:r>
    </w:p>
    <w:p w14:paraId="2A4184EE" w14:textId="77777777" w:rsidR="00910FC8" w:rsidRPr="00556B9B" w:rsidRDefault="00910FC8">
      <w:pPr>
        <w:spacing w:line="240" w:lineRule="auto"/>
        <w:rPr>
          <w:color w:val="000000"/>
          <w:lang w:val="hu-HU"/>
        </w:rPr>
      </w:pPr>
      <w:r w:rsidRPr="00556B9B">
        <w:rPr>
          <w:color w:val="000000"/>
          <w:lang w:val="hu-HU"/>
        </w:rPr>
        <w:t>HES/</w:t>
      </w:r>
      <w:smartTag w:uri="urn:schemas-microsoft-com:office:smarttags" w:element="stockticker">
        <w:r w:rsidRPr="00556B9B">
          <w:rPr>
            <w:color w:val="000000"/>
            <w:lang w:val="hu-HU"/>
          </w:rPr>
          <w:t>CEL</w:t>
        </w:r>
      </w:smartTag>
      <w:r w:rsidRPr="00556B9B">
        <w:rPr>
          <w:color w:val="000000"/>
          <w:lang w:val="hu-HU"/>
        </w:rPr>
        <w:noBreakHyphen/>
        <w:t xml:space="preserve">ben szenvedő </w:t>
      </w:r>
      <w:r w:rsidR="000A3E39" w:rsidRPr="00556B9B">
        <w:rPr>
          <w:color w:val="000000"/>
          <w:lang w:val="hu-HU"/>
        </w:rPr>
        <w:t xml:space="preserve">felnőtt </w:t>
      </w:r>
      <w:r w:rsidRPr="00556B9B">
        <w:rPr>
          <w:color w:val="000000"/>
          <w:lang w:val="hu-HU"/>
        </w:rPr>
        <w:t>betegeknek a Glivec ajánlott adagja 100 mg/nap.</w:t>
      </w:r>
    </w:p>
    <w:p w14:paraId="2E95741B" w14:textId="77777777" w:rsidR="00910FC8" w:rsidRPr="00556B9B" w:rsidRDefault="00910FC8">
      <w:pPr>
        <w:spacing w:line="240" w:lineRule="auto"/>
        <w:rPr>
          <w:color w:val="000000"/>
          <w:lang w:val="hu-HU"/>
        </w:rPr>
      </w:pPr>
    </w:p>
    <w:p w14:paraId="3693FAE3" w14:textId="77777777" w:rsidR="00910FC8" w:rsidRPr="00556B9B" w:rsidRDefault="00910FC8">
      <w:pPr>
        <w:spacing w:line="240" w:lineRule="auto"/>
        <w:rPr>
          <w:color w:val="000000"/>
          <w:lang w:val="hu-HU"/>
        </w:rPr>
      </w:pPr>
      <w:r w:rsidRPr="00556B9B">
        <w:rPr>
          <w:color w:val="000000"/>
          <w:lang w:val="hu-HU"/>
        </w:rPr>
        <w:t>Amennyiben az eredmények értékelése a terápiás válasz elégtelenségét mutatja, gyógyszermellékhatások hiányában megfontolható az adag 100 mg</w:t>
      </w:r>
      <w:r w:rsidRPr="00556B9B">
        <w:rPr>
          <w:color w:val="000000"/>
          <w:lang w:val="hu-HU"/>
        </w:rPr>
        <w:noBreakHyphen/>
        <w:t>ról 400 mg</w:t>
      </w:r>
      <w:r w:rsidRPr="00556B9B">
        <w:rPr>
          <w:color w:val="000000"/>
          <w:lang w:val="hu-HU"/>
        </w:rPr>
        <w:noBreakHyphen/>
        <w:t>ra történő emelése.</w:t>
      </w:r>
    </w:p>
    <w:p w14:paraId="660CB074" w14:textId="77777777" w:rsidR="009B66DB" w:rsidRPr="00556B9B" w:rsidRDefault="009B66DB">
      <w:pPr>
        <w:spacing w:line="240" w:lineRule="auto"/>
        <w:rPr>
          <w:color w:val="000000"/>
          <w:lang w:val="hu-HU"/>
        </w:rPr>
      </w:pPr>
    </w:p>
    <w:p w14:paraId="0FDA31C1" w14:textId="77777777" w:rsidR="009B66DB" w:rsidRPr="00556B9B" w:rsidRDefault="009B66DB">
      <w:pPr>
        <w:spacing w:line="240" w:lineRule="auto"/>
        <w:rPr>
          <w:color w:val="000000"/>
          <w:lang w:val="hu-HU"/>
        </w:rPr>
      </w:pPr>
      <w:r w:rsidRPr="00556B9B">
        <w:rPr>
          <w:color w:val="000000"/>
          <w:lang w:val="hu-HU"/>
        </w:rPr>
        <w:t>A kezelést mindaddig folytatni kell, amíg az a beteg számára előnyös.</w:t>
      </w:r>
    </w:p>
    <w:p w14:paraId="40B363E6" w14:textId="77777777" w:rsidR="00910FC8" w:rsidRPr="00556B9B" w:rsidRDefault="00910FC8">
      <w:pPr>
        <w:spacing w:line="240" w:lineRule="auto"/>
        <w:rPr>
          <w:color w:val="000000"/>
          <w:lang w:val="hu-HU"/>
        </w:rPr>
      </w:pPr>
    </w:p>
    <w:p w14:paraId="3D0C3D88" w14:textId="77777777" w:rsidR="00910FC8" w:rsidRPr="00556B9B" w:rsidRDefault="00910FC8" w:rsidP="005C6E7A">
      <w:pPr>
        <w:keepNext/>
        <w:spacing w:line="240" w:lineRule="auto"/>
        <w:rPr>
          <w:color w:val="000000"/>
          <w:u w:val="single"/>
          <w:lang w:val="hu-HU"/>
        </w:rPr>
      </w:pPr>
      <w:r w:rsidRPr="00556B9B">
        <w:rPr>
          <w:color w:val="000000"/>
          <w:u w:val="single"/>
          <w:lang w:val="hu-HU"/>
        </w:rPr>
        <w:t>Adagolás a GIST</w:t>
      </w:r>
      <w:r w:rsidRPr="00556B9B">
        <w:rPr>
          <w:color w:val="000000"/>
          <w:u w:val="single"/>
          <w:lang w:val="hu-HU"/>
        </w:rPr>
        <w:noBreakHyphen/>
        <w:t>ben</w:t>
      </w:r>
    </w:p>
    <w:p w14:paraId="19A14F1E" w14:textId="77777777" w:rsidR="00910FC8" w:rsidRPr="00556B9B" w:rsidRDefault="00910FC8">
      <w:pPr>
        <w:spacing w:line="240" w:lineRule="auto"/>
        <w:rPr>
          <w:color w:val="000000"/>
          <w:lang w:val="hu-HU"/>
        </w:rPr>
      </w:pPr>
      <w:r w:rsidRPr="00556B9B">
        <w:rPr>
          <w:color w:val="000000"/>
          <w:lang w:val="hu-HU"/>
        </w:rPr>
        <w:t>Nem műthető és/vagy metasztatikus malignus GIST</w:t>
      </w:r>
      <w:r w:rsidR="000A3E39" w:rsidRPr="00556B9B">
        <w:rPr>
          <w:color w:val="000000"/>
          <w:lang w:val="hu-HU"/>
        </w:rPr>
        <w:noBreakHyphen/>
        <w:t>ben szenvedő felnőtt</w:t>
      </w:r>
      <w:r w:rsidRPr="00556B9B">
        <w:rPr>
          <w:color w:val="000000"/>
          <w:lang w:val="hu-HU"/>
        </w:rPr>
        <w:t xml:space="preserve"> betegek kezelésére a Glivec ajánlott napi adagja 400 mg.</w:t>
      </w:r>
    </w:p>
    <w:p w14:paraId="5C64FB07" w14:textId="77777777" w:rsidR="00910FC8" w:rsidRPr="00556B9B" w:rsidRDefault="00910FC8">
      <w:pPr>
        <w:spacing w:line="240" w:lineRule="auto"/>
        <w:rPr>
          <w:color w:val="000000"/>
          <w:lang w:val="hu-HU"/>
        </w:rPr>
      </w:pPr>
    </w:p>
    <w:p w14:paraId="28FF202C" w14:textId="77777777" w:rsidR="00910FC8" w:rsidRPr="00556B9B" w:rsidRDefault="00910FC8">
      <w:pPr>
        <w:spacing w:line="240" w:lineRule="auto"/>
        <w:rPr>
          <w:color w:val="000000"/>
          <w:lang w:val="hu-HU"/>
        </w:rPr>
      </w:pPr>
      <w:r w:rsidRPr="00556B9B">
        <w:rPr>
          <w:color w:val="000000"/>
          <w:lang w:val="hu-HU"/>
        </w:rPr>
        <w:t>Kevés adat áll rendelkezése olyan betegekről, akiknek az adagját 400 mg</w:t>
      </w:r>
      <w:r w:rsidRPr="00556B9B">
        <w:rPr>
          <w:color w:val="000000"/>
          <w:lang w:val="hu-HU"/>
        </w:rPr>
        <w:noBreakHyphen/>
        <w:t>ról 600 mg</w:t>
      </w:r>
      <w:r w:rsidRPr="00556B9B">
        <w:rPr>
          <w:color w:val="000000"/>
          <w:lang w:val="hu-HU"/>
        </w:rPr>
        <w:noBreakHyphen/>
        <w:t>ra vagy 800 mg</w:t>
      </w:r>
      <w:r w:rsidRPr="00556B9B">
        <w:rPr>
          <w:color w:val="000000"/>
          <w:lang w:val="hu-HU"/>
        </w:rPr>
        <w:noBreakHyphen/>
        <w:t>ra emelték a kisebb dózis mellett észlelt progresszió miatt (lásd 5.1 pont).</w:t>
      </w:r>
    </w:p>
    <w:p w14:paraId="5E820FA6" w14:textId="77777777" w:rsidR="00910FC8" w:rsidRPr="00556B9B" w:rsidRDefault="00910FC8">
      <w:pPr>
        <w:spacing w:line="240" w:lineRule="auto"/>
        <w:rPr>
          <w:color w:val="000000"/>
          <w:lang w:val="hu-HU"/>
        </w:rPr>
      </w:pPr>
    </w:p>
    <w:p w14:paraId="3E9F4113" w14:textId="6EF06417" w:rsidR="00910FC8" w:rsidRPr="00E72BFA" w:rsidRDefault="00910FC8">
      <w:pPr>
        <w:spacing w:line="240" w:lineRule="auto"/>
        <w:rPr>
          <w:color w:val="000000"/>
          <w:lang w:val="hu-HU"/>
        </w:rPr>
      </w:pPr>
      <w:r w:rsidRPr="00556B9B">
        <w:rPr>
          <w:color w:val="000000"/>
          <w:lang w:val="hu-HU"/>
        </w:rPr>
        <w:t xml:space="preserve">A kezelés időtartama: GIST betegek klinikai vizsgálataiban a </w:t>
      </w:r>
      <w:r w:rsidRPr="00E72BFA">
        <w:rPr>
          <w:color w:val="000000"/>
          <w:lang w:val="hu-HU"/>
        </w:rPr>
        <w:t>Glivec</w:t>
      </w:r>
      <w:r w:rsidRPr="00E72BFA">
        <w:rPr>
          <w:color w:val="000000"/>
          <w:lang w:val="hu-HU"/>
        </w:rPr>
        <w:noBreakHyphen/>
        <w:t>kezelés a betegség progressziójáig tartott. A kiértékelés idején a kezelés medián ideje 7 hónap (7 nap</w:t>
      </w:r>
      <w:r w:rsidRPr="00E72BFA">
        <w:rPr>
          <w:color w:val="000000"/>
          <w:lang w:val="hu-HU"/>
        </w:rPr>
        <w:noBreakHyphen/>
        <w:t xml:space="preserve">13 hónap) volt. A </w:t>
      </w:r>
      <w:r w:rsidR="00E439D9" w:rsidRPr="00E72BFA">
        <w:rPr>
          <w:color w:val="000000"/>
          <w:lang w:val="hu-HU"/>
        </w:rPr>
        <w:t xml:space="preserve">kezelés leállításának a hatását, ha az a </w:t>
      </w:r>
      <w:r w:rsidRPr="00E72BFA">
        <w:rPr>
          <w:color w:val="000000"/>
          <w:lang w:val="hu-HU"/>
        </w:rPr>
        <w:t>terápiás válasz elérése után történ</w:t>
      </w:r>
      <w:r w:rsidR="00E439D9" w:rsidRPr="00E72BFA">
        <w:rPr>
          <w:color w:val="000000"/>
          <w:lang w:val="hu-HU"/>
        </w:rPr>
        <w:t>t,</w:t>
      </w:r>
      <w:r w:rsidRPr="00E72BFA">
        <w:rPr>
          <w:color w:val="000000"/>
          <w:lang w:val="hu-HU"/>
        </w:rPr>
        <w:t xml:space="preserve"> nem </w:t>
      </w:r>
      <w:r w:rsidR="00CD205A" w:rsidRPr="00E72BFA">
        <w:rPr>
          <w:color w:val="000000"/>
          <w:lang w:val="hu-HU"/>
        </w:rPr>
        <w:t>vizsgálták</w:t>
      </w:r>
      <w:r w:rsidRPr="00E72BFA">
        <w:rPr>
          <w:color w:val="000000"/>
          <w:lang w:val="hu-HU"/>
        </w:rPr>
        <w:t>.</w:t>
      </w:r>
    </w:p>
    <w:p w14:paraId="7E9053B6" w14:textId="77777777" w:rsidR="00910FC8" w:rsidRPr="00E72BFA" w:rsidRDefault="00910FC8">
      <w:pPr>
        <w:spacing w:line="240" w:lineRule="auto"/>
        <w:rPr>
          <w:color w:val="000000"/>
          <w:lang w:val="hu-HU"/>
        </w:rPr>
      </w:pPr>
    </w:p>
    <w:p w14:paraId="01E856D8" w14:textId="77777777" w:rsidR="00D37E84" w:rsidRPr="00556B9B" w:rsidRDefault="00D37E84" w:rsidP="00D37E84">
      <w:pPr>
        <w:spacing w:line="240" w:lineRule="auto"/>
        <w:rPr>
          <w:color w:val="000000"/>
          <w:lang w:val="hu-HU"/>
        </w:rPr>
      </w:pPr>
      <w:r w:rsidRPr="00E72BFA">
        <w:rPr>
          <w:color w:val="000000"/>
          <w:lang w:val="hu-HU"/>
        </w:rPr>
        <w:t>Felnőtt betegeknél adjuváns kezelésre a GIST reszekcióját követően</w:t>
      </w:r>
      <w:r w:rsidRPr="00556B9B">
        <w:rPr>
          <w:color w:val="000000"/>
          <w:lang w:val="hu-HU"/>
        </w:rPr>
        <w:t xml:space="preserve"> a Glivec javasolt adagja napi 400 mg. </w:t>
      </w:r>
      <w:r w:rsidR="00491530" w:rsidRPr="00556B9B">
        <w:rPr>
          <w:color w:val="000000"/>
          <w:lang w:val="hu-HU"/>
        </w:rPr>
        <w:t>A kezelés optimális időtartam</w:t>
      </w:r>
      <w:r w:rsidR="00732E4B" w:rsidRPr="00556B9B">
        <w:rPr>
          <w:color w:val="000000"/>
          <w:lang w:val="hu-HU"/>
        </w:rPr>
        <w:t xml:space="preserve">át még nem </w:t>
      </w:r>
      <w:r w:rsidR="00491530" w:rsidRPr="00556B9B">
        <w:rPr>
          <w:color w:val="000000"/>
          <w:lang w:val="hu-HU"/>
        </w:rPr>
        <w:t>állapított</w:t>
      </w:r>
      <w:r w:rsidR="00732E4B" w:rsidRPr="00556B9B">
        <w:rPr>
          <w:color w:val="000000"/>
          <w:lang w:val="hu-HU"/>
        </w:rPr>
        <w:t>ák meg</w:t>
      </w:r>
      <w:r w:rsidR="00491530" w:rsidRPr="00556B9B">
        <w:rPr>
          <w:color w:val="000000"/>
          <w:lang w:val="hu-HU"/>
        </w:rPr>
        <w:t xml:space="preserve">. Az indikációt alátámasztó klinikai vizsgálatokban a kezelés hossza </w:t>
      </w:r>
      <w:r w:rsidR="009B75A8" w:rsidRPr="00556B9B">
        <w:rPr>
          <w:color w:val="000000"/>
          <w:lang w:val="hu-HU"/>
        </w:rPr>
        <w:t>36</w:t>
      </w:r>
      <w:r w:rsidR="00491530" w:rsidRPr="00556B9B">
        <w:rPr>
          <w:color w:val="000000"/>
          <w:lang w:val="hu-HU"/>
        </w:rPr>
        <w:t> hónap volt</w:t>
      </w:r>
      <w:r w:rsidR="009B75A8" w:rsidRPr="00556B9B">
        <w:rPr>
          <w:color w:val="000000"/>
          <w:lang w:val="hu-HU"/>
        </w:rPr>
        <w:t xml:space="preserve"> (lásd 5.1 pont)</w:t>
      </w:r>
      <w:r w:rsidR="00491530" w:rsidRPr="00556B9B">
        <w:rPr>
          <w:color w:val="000000"/>
          <w:lang w:val="hu-HU"/>
        </w:rPr>
        <w:t>.</w:t>
      </w:r>
    </w:p>
    <w:p w14:paraId="49585B55" w14:textId="77777777" w:rsidR="00D37E84" w:rsidRPr="00556B9B" w:rsidRDefault="00D37E84" w:rsidP="00D37E84">
      <w:pPr>
        <w:spacing w:line="240" w:lineRule="auto"/>
        <w:rPr>
          <w:color w:val="000000"/>
          <w:u w:val="single"/>
          <w:lang w:val="hu-HU"/>
        </w:rPr>
      </w:pPr>
    </w:p>
    <w:p w14:paraId="5DB4B4EE" w14:textId="77777777" w:rsidR="00910FC8" w:rsidRPr="00556B9B" w:rsidRDefault="00910FC8" w:rsidP="005C6E7A">
      <w:pPr>
        <w:keepNext/>
        <w:spacing w:line="240" w:lineRule="auto"/>
        <w:rPr>
          <w:color w:val="000000"/>
          <w:lang w:val="hu-HU"/>
        </w:rPr>
      </w:pPr>
      <w:r w:rsidRPr="00556B9B">
        <w:rPr>
          <w:color w:val="000000"/>
          <w:u w:val="single"/>
          <w:lang w:val="hu-HU"/>
        </w:rPr>
        <w:t>Adagolás DFSP</w:t>
      </w:r>
      <w:r w:rsidRPr="00556B9B">
        <w:rPr>
          <w:color w:val="000000"/>
          <w:u w:val="single"/>
          <w:lang w:val="hu-HU"/>
        </w:rPr>
        <w:noBreakHyphen/>
        <w:t>ben</w:t>
      </w:r>
    </w:p>
    <w:p w14:paraId="788DF243" w14:textId="77777777" w:rsidR="00910FC8" w:rsidRPr="00E72BFA" w:rsidRDefault="00910FC8">
      <w:pPr>
        <w:spacing w:line="240" w:lineRule="auto"/>
        <w:rPr>
          <w:color w:val="000000"/>
          <w:lang w:val="hu-HU"/>
        </w:rPr>
      </w:pPr>
      <w:r w:rsidRPr="00556B9B">
        <w:rPr>
          <w:color w:val="000000"/>
          <w:lang w:val="hu-HU"/>
        </w:rPr>
        <w:t>DFSP</w:t>
      </w:r>
      <w:r w:rsidRPr="00556B9B">
        <w:rPr>
          <w:color w:val="000000"/>
          <w:lang w:val="hu-HU"/>
        </w:rPr>
        <w:noBreakHyphen/>
        <w:t xml:space="preserve">ben szenvedő </w:t>
      </w:r>
      <w:r w:rsidR="000A3E39" w:rsidRPr="00E72BFA">
        <w:rPr>
          <w:color w:val="000000"/>
          <w:lang w:val="hu-HU"/>
        </w:rPr>
        <w:t xml:space="preserve">felnőtt </w:t>
      </w:r>
      <w:r w:rsidRPr="00E72BFA">
        <w:rPr>
          <w:color w:val="000000"/>
          <w:lang w:val="hu-HU"/>
        </w:rPr>
        <w:t>betegeknek a Glivec ajánlott adagja 800 mg/nap.</w:t>
      </w:r>
    </w:p>
    <w:p w14:paraId="7893F271" w14:textId="77777777" w:rsidR="00910FC8" w:rsidRPr="00E72BFA" w:rsidRDefault="00910FC8">
      <w:pPr>
        <w:spacing w:line="240" w:lineRule="auto"/>
        <w:rPr>
          <w:color w:val="000000"/>
          <w:lang w:val="hu-HU"/>
        </w:rPr>
      </w:pPr>
    </w:p>
    <w:p w14:paraId="5EC8CDDD" w14:textId="173CC73D" w:rsidR="00910FC8" w:rsidRPr="00E72BFA" w:rsidRDefault="00910FC8" w:rsidP="0007763C">
      <w:pPr>
        <w:keepNext/>
        <w:widowControl w:val="0"/>
        <w:spacing w:line="240" w:lineRule="auto"/>
        <w:rPr>
          <w:color w:val="000000"/>
          <w:u w:val="single"/>
          <w:lang w:val="hu-HU"/>
        </w:rPr>
      </w:pPr>
      <w:r w:rsidRPr="00E72BFA">
        <w:rPr>
          <w:color w:val="000000"/>
          <w:u w:val="single"/>
          <w:lang w:val="hu-HU"/>
        </w:rPr>
        <w:t>Dózis</w:t>
      </w:r>
      <w:r w:rsidR="00E439D9" w:rsidRPr="00E72BFA">
        <w:rPr>
          <w:color w:val="000000"/>
          <w:u w:val="single"/>
          <w:lang w:val="hu-HU"/>
        </w:rPr>
        <w:t>módosítás</w:t>
      </w:r>
      <w:r w:rsidRPr="00E72BFA">
        <w:rPr>
          <w:color w:val="000000"/>
          <w:u w:val="single"/>
          <w:lang w:val="hu-HU"/>
        </w:rPr>
        <w:t xml:space="preserve"> mellékhatások esetén</w:t>
      </w:r>
    </w:p>
    <w:p w14:paraId="588E7804" w14:textId="11B4238A" w:rsidR="00910FC8" w:rsidRPr="00E72BFA" w:rsidRDefault="00910FC8" w:rsidP="0007763C">
      <w:pPr>
        <w:pStyle w:val="Heading6"/>
        <w:widowControl w:val="0"/>
        <w:numPr>
          <w:ilvl w:val="0"/>
          <w:numId w:val="0"/>
        </w:numPr>
        <w:tabs>
          <w:tab w:val="clear" w:pos="567"/>
          <w:tab w:val="clear" w:pos="4536"/>
        </w:tabs>
        <w:spacing w:line="240" w:lineRule="auto"/>
        <w:rPr>
          <w:color w:val="000000"/>
          <w:lang w:val="hu-HU"/>
        </w:rPr>
      </w:pPr>
      <w:r w:rsidRPr="00E72BFA">
        <w:rPr>
          <w:color w:val="000000"/>
          <w:lang w:val="hu-HU"/>
        </w:rPr>
        <w:t>Nem</w:t>
      </w:r>
      <w:r w:rsidR="00E439D9" w:rsidRPr="00E72BFA">
        <w:rPr>
          <w:color w:val="000000"/>
          <w:lang w:val="hu-HU"/>
        </w:rPr>
        <w:t xml:space="preserve"> </w:t>
      </w:r>
      <w:r w:rsidRPr="00E72BFA">
        <w:rPr>
          <w:color w:val="000000"/>
          <w:lang w:val="hu-HU"/>
        </w:rPr>
        <w:t>hematológiai mellékhatások</w:t>
      </w:r>
    </w:p>
    <w:p w14:paraId="6C9F1E65" w14:textId="46C41756" w:rsidR="00910FC8" w:rsidRPr="00E72BFA" w:rsidRDefault="00910FC8">
      <w:pPr>
        <w:spacing w:line="240" w:lineRule="auto"/>
        <w:rPr>
          <w:color w:val="000000"/>
          <w:lang w:val="hu-HU"/>
        </w:rPr>
      </w:pPr>
      <w:r w:rsidRPr="00E72BFA">
        <w:rPr>
          <w:color w:val="000000"/>
          <w:lang w:val="hu-HU"/>
        </w:rPr>
        <w:t>Ha súlyos, nem</w:t>
      </w:r>
      <w:r w:rsidR="00E439D9" w:rsidRPr="00E72BFA">
        <w:rPr>
          <w:color w:val="000000"/>
          <w:lang w:val="hu-HU"/>
        </w:rPr>
        <w:t xml:space="preserve"> </w:t>
      </w:r>
      <w:r w:rsidRPr="00E72BFA">
        <w:rPr>
          <w:color w:val="000000"/>
          <w:lang w:val="hu-HU"/>
        </w:rPr>
        <w:t>hematológiai mellékhatás lép fel a Glivec</w:t>
      </w:r>
      <w:r w:rsidRPr="00E72BFA">
        <w:rPr>
          <w:color w:val="000000"/>
          <w:lang w:val="hu-HU"/>
        </w:rPr>
        <w:noBreakHyphen/>
        <w:t>kezelés során, a kezelést fel kell függeszteni, amíg az állapot nem rendeződik. Ezután a kezelés szükség szerint újrakezdhető az esemény kezdeti súlyosságától függően.</w:t>
      </w:r>
    </w:p>
    <w:p w14:paraId="2F5E0CF1" w14:textId="77777777" w:rsidR="00910FC8" w:rsidRPr="00E72BFA" w:rsidRDefault="00910FC8">
      <w:pPr>
        <w:spacing w:line="240" w:lineRule="auto"/>
        <w:rPr>
          <w:color w:val="000000"/>
          <w:lang w:val="hu-HU"/>
        </w:rPr>
      </w:pPr>
    </w:p>
    <w:p w14:paraId="462343F4" w14:textId="41AE0338" w:rsidR="00910FC8" w:rsidRPr="00E72BFA" w:rsidRDefault="00910FC8">
      <w:pPr>
        <w:spacing w:line="240" w:lineRule="auto"/>
        <w:rPr>
          <w:color w:val="000000"/>
          <w:lang w:val="hu-HU"/>
        </w:rPr>
      </w:pPr>
      <w:r w:rsidRPr="00E72BFA">
        <w:rPr>
          <w:color w:val="000000"/>
          <w:lang w:val="hu-HU"/>
        </w:rPr>
        <w:t>Ha a bilirubinszint növekedése meghaladja a helyi normálérték felső</w:t>
      </w:r>
      <w:r w:rsidRPr="00556B9B">
        <w:rPr>
          <w:color w:val="000000"/>
          <w:lang w:val="hu-HU"/>
        </w:rPr>
        <w:t xml:space="preserve"> határának (IULN) háromszorosát, vagy a máj transzaminázok esetében az IULN ötszörösét, a Glivec</w:t>
      </w:r>
      <w:r w:rsidRPr="00556B9B">
        <w:rPr>
          <w:color w:val="000000"/>
          <w:lang w:val="hu-HU"/>
        </w:rPr>
        <w:noBreakHyphen/>
        <w:t>kezelést fel kell függeszteni addig, amíg a bilirubinszint lecsökken az IULN kevesebb mint 1,5</w:t>
      </w:r>
      <w:r w:rsidRPr="00556B9B">
        <w:rPr>
          <w:color w:val="000000"/>
          <w:lang w:val="hu-HU"/>
        </w:rPr>
        <w:noBreakHyphen/>
        <w:t>szeresére és a transzamináz érték az IULN kevesebb mint 2,5</w:t>
      </w:r>
      <w:r w:rsidRPr="00556B9B">
        <w:rPr>
          <w:color w:val="000000"/>
          <w:lang w:val="hu-HU"/>
        </w:rPr>
        <w:noBreakHyphen/>
        <w:t xml:space="preserve">szeresére. A Glivec </w:t>
      </w:r>
      <w:r w:rsidRPr="00E72BFA">
        <w:rPr>
          <w:color w:val="000000"/>
          <w:lang w:val="hu-HU"/>
        </w:rPr>
        <w:t>terápia ekkor csökkentett napi dózisokkal folytatható. Felnőttek esetében a dózis 400 mg</w:t>
      </w:r>
      <w:r w:rsidRPr="00E72BFA">
        <w:rPr>
          <w:color w:val="000000"/>
          <w:lang w:val="hu-HU"/>
        </w:rPr>
        <w:noBreakHyphen/>
        <w:t>ról 300 mg</w:t>
      </w:r>
      <w:r w:rsidRPr="00E72BFA">
        <w:rPr>
          <w:color w:val="000000"/>
          <w:lang w:val="hu-HU"/>
        </w:rPr>
        <w:noBreakHyphen/>
        <w:t>ra, 600 mg</w:t>
      </w:r>
      <w:r w:rsidRPr="00E72BFA">
        <w:rPr>
          <w:color w:val="000000"/>
          <w:lang w:val="hu-HU"/>
        </w:rPr>
        <w:noBreakHyphen/>
        <w:t>ról 400 mg</w:t>
      </w:r>
      <w:r w:rsidRPr="00E72BFA">
        <w:rPr>
          <w:color w:val="000000"/>
          <w:lang w:val="hu-HU"/>
        </w:rPr>
        <w:noBreakHyphen/>
        <w:t>ra vagy 800 mg</w:t>
      </w:r>
      <w:r w:rsidRPr="00E72BFA">
        <w:rPr>
          <w:color w:val="000000"/>
          <w:lang w:val="hu-HU"/>
        </w:rPr>
        <w:noBreakHyphen/>
        <w:t>ról 600 mg</w:t>
      </w:r>
      <w:r w:rsidRPr="00E72BFA">
        <w:rPr>
          <w:color w:val="000000"/>
          <w:lang w:val="hu-HU"/>
        </w:rPr>
        <w:noBreakHyphen/>
        <w:t>ra, gyermekeknél pedig 340 mg</w:t>
      </w:r>
      <w:r w:rsidR="00E439D9" w:rsidRPr="00E72BFA">
        <w:rPr>
          <w:color w:val="000000"/>
          <w:lang w:val="hu-HU"/>
        </w:rPr>
        <w:t>/m</w:t>
      </w:r>
      <w:r w:rsidR="00E439D9" w:rsidRPr="00E72BFA">
        <w:rPr>
          <w:color w:val="000000"/>
          <w:vertAlign w:val="superscript"/>
          <w:lang w:val="hu-HU"/>
        </w:rPr>
        <w:t>2</w:t>
      </w:r>
      <w:r w:rsidR="00E439D9" w:rsidRPr="00E72BFA">
        <w:rPr>
          <w:color w:val="000000"/>
          <w:lang w:val="hu-HU"/>
        </w:rPr>
        <w:t>/nap</w:t>
      </w:r>
      <w:r w:rsidRPr="00E72BFA">
        <w:rPr>
          <w:color w:val="000000"/>
          <w:lang w:val="hu-HU"/>
        </w:rPr>
        <w:t>ról 260 mg/m</w:t>
      </w:r>
      <w:r w:rsidRPr="00E72BFA">
        <w:rPr>
          <w:color w:val="000000"/>
          <w:vertAlign w:val="superscript"/>
          <w:lang w:val="hu-HU"/>
        </w:rPr>
        <w:t>2</w:t>
      </w:r>
      <w:r w:rsidRPr="00E72BFA">
        <w:rPr>
          <w:color w:val="000000"/>
          <w:lang w:val="hu-HU"/>
        </w:rPr>
        <w:t>/napra csökkentendő.</w:t>
      </w:r>
    </w:p>
    <w:p w14:paraId="51F2CFA4" w14:textId="77777777" w:rsidR="00910FC8" w:rsidRPr="00E72BFA" w:rsidRDefault="00910FC8">
      <w:pPr>
        <w:spacing w:line="240" w:lineRule="auto"/>
        <w:rPr>
          <w:color w:val="000000"/>
          <w:u w:val="single"/>
          <w:lang w:val="hu-HU"/>
        </w:rPr>
      </w:pPr>
    </w:p>
    <w:p w14:paraId="6B14A4E9" w14:textId="77777777" w:rsidR="00910FC8" w:rsidRPr="00E72BFA" w:rsidRDefault="00910FC8">
      <w:pPr>
        <w:pStyle w:val="Heading6"/>
        <w:numPr>
          <w:ilvl w:val="0"/>
          <w:numId w:val="0"/>
        </w:numPr>
        <w:tabs>
          <w:tab w:val="clear" w:pos="567"/>
          <w:tab w:val="clear" w:pos="4536"/>
        </w:tabs>
        <w:spacing w:line="240" w:lineRule="auto"/>
        <w:rPr>
          <w:color w:val="000000"/>
          <w:lang w:val="hu-HU"/>
        </w:rPr>
      </w:pPr>
      <w:r w:rsidRPr="00E72BFA">
        <w:rPr>
          <w:color w:val="000000"/>
          <w:lang w:val="hu-HU"/>
        </w:rPr>
        <w:t>Hematológiai mellékhatások</w:t>
      </w:r>
    </w:p>
    <w:p w14:paraId="120772C9" w14:textId="77777777" w:rsidR="00910FC8" w:rsidRPr="00556B9B" w:rsidRDefault="00910FC8">
      <w:pPr>
        <w:spacing w:line="240" w:lineRule="auto"/>
        <w:rPr>
          <w:color w:val="000000"/>
          <w:lang w:val="hu-HU"/>
        </w:rPr>
      </w:pPr>
      <w:r w:rsidRPr="00E72BFA">
        <w:rPr>
          <w:color w:val="000000"/>
          <w:lang w:val="hu-HU"/>
        </w:rPr>
        <w:t>Súlyos neutropenia és thrombocytopenia esetén</w:t>
      </w:r>
      <w:r w:rsidRPr="00556B9B">
        <w:rPr>
          <w:color w:val="000000"/>
          <w:lang w:val="hu-HU"/>
        </w:rPr>
        <w:t xml:space="preserve"> adagcsökkentés vagy a kezelés megszakítása javasolt az alábbi táblázat szerint.</w:t>
      </w:r>
    </w:p>
    <w:p w14:paraId="42CB517A" w14:textId="77777777" w:rsidR="00910FC8" w:rsidRPr="00556B9B" w:rsidRDefault="00910FC8">
      <w:pPr>
        <w:spacing w:line="240" w:lineRule="auto"/>
        <w:rPr>
          <w:color w:val="000000"/>
          <w:lang w:val="hu-HU"/>
        </w:rPr>
      </w:pPr>
    </w:p>
    <w:p w14:paraId="0D01819A" w14:textId="77777777" w:rsidR="00910FC8" w:rsidRPr="00556B9B" w:rsidRDefault="00910FC8" w:rsidP="005C6E7A">
      <w:pPr>
        <w:keepNext/>
        <w:spacing w:line="240" w:lineRule="auto"/>
        <w:rPr>
          <w:bCs/>
          <w:color w:val="000000"/>
          <w:lang w:val="hu-HU"/>
        </w:rPr>
      </w:pPr>
      <w:r w:rsidRPr="00556B9B">
        <w:rPr>
          <w:bCs/>
          <w:color w:val="000000"/>
          <w:lang w:val="hu-HU"/>
        </w:rPr>
        <w:t>Dózismódosítás neutropenia és thrombocytopenia esetén:</w:t>
      </w:r>
    </w:p>
    <w:p w14:paraId="0DD5A0FA" w14:textId="77777777" w:rsidR="00910FC8" w:rsidRPr="00556B9B" w:rsidRDefault="00910FC8" w:rsidP="005C6E7A">
      <w:pPr>
        <w:keepNext/>
        <w:spacing w:line="240" w:lineRule="auto"/>
        <w:rPr>
          <w:bCs/>
          <w:color w:val="000000"/>
          <w:lang w:val="hu-HU"/>
        </w:rPr>
      </w:pPr>
    </w:p>
    <w:tbl>
      <w:tblPr>
        <w:tblW w:w="9215" w:type="dxa"/>
        <w:tblLayout w:type="fixed"/>
        <w:tblCellMar>
          <w:left w:w="0" w:type="dxa"/>
          <w:right w:w="0" w:type="dxa"/>
        </w:tblCellMar>
        <w:tblLook w:val="0000" w:firstRow="0" w:lastRow="0" w:firstColumn="0" w:lastColumn="0" w:noHBand="0" w:noVBand="0"/>
      </w:tblPr>
      <w:tblGrid>
        <w:gridCol w:w="6"/>
        <w:gridCol w:w="2370"/>
        <w:gridCol w:w="2303"/>
        <w:gridCol w:w="4536"/>
      </w:tblGrid>
      <w:tr w:rsidR="00B3525B" w:rsidRPr="001D3D33" w14:paraId="6036EFF2" w14:textId="77777777" w:rsidTr="005C6E7A">
        <w:trPr>
          <w:cantSplit/>
        </w:trPr>
        <w:tc>
          <w:tcPr>
            <w:tcW w:w="2376" w:type="dxa"/>
            <w:gridSpan w:val="2"/>
          </w:tcPr>
          <w:p w14:paraId="578D5ADB" w14:textId="77777777" w:rsidR="00910FC8" w:rsidRPr="00556B9B" w:rsidRDefault="00910FC8">
            <w:pPr>
              <w:spacing w:line="240" w:lineRule="auto"/>
              <w:ind w:left="108"/>
              <w:rPr>
                <w:color w:val="000000"/>
                <w:lang w:val="hu-HU"/>
              </w:rPr>
            </w:pPr>
            <w:r w:rsidRPr="00556B9B">
              <w:rPr>
                <w:color w:val="000000"/>
                <w:lang w:val="hu-HU"/>
              </w:rPr>
              <w:t>HES/</w:t>
            </w:r>
            <w:smartTag w:uri="urn:schemas-microsoft-com:office:smarttags" w:element="stockticker">
              <w:r w:rsidRPr="00556B9B">
                <w:rPr>
                  <w:color w:val="000000"/>
                  <w:lang w:val="hu-HU"/>
                </w:rPr>
                <w:t>CEL</w:t>
              </w:r>
            </w:smartTag>
            <w:r w:rsidRPr="00556B9B">
              <w:rPr>
                <w:color w:val="000000"/>
                <w:lang w:val="hu-HU"/>
              </w:rPr>
              <w:t xml:space="preserve"> (kezdő adag 100 mg)</w:t>
            </w:r>
          </w:p>
        </w:tc>
        <w:tc>
          <w:tcPr>
            <w:tcW w:w="2303" w:type="dxa"/>
          </w:tcPr>
          <w:p w14:paraId="64E35AB3" w14:textId="77777777" w:rsidR="00910FC8" w:rsidRPr="00556B9B" w:rsidRDefault="00910FC8">
            <w:pPr>
              <w:spacing w:line="240" w:lineRule="auto"/>
              <w:ind w:left="142"/>
              <w:rPr>
                <w:color w:val="000000"/>
                <w:lang w:val="hu-HU"/>
              </w:rPr>
            </w:pPr>
            <w:r w:rsidRPr="00556B9B">
              <w:rPr>
                <w:color w:val="000000"/>
                <w:lang w:val="hu-HU"/>
              </w:rPr>
              <w:t>ANC &lt; 1,0 x 10</w:t>
            </w:r>
            <w:r w:rsidRPr="00556B9B">
              <w:rPr>
                <w:color w:val="000000"/>
                <w:vertAlign w:val="superscript"/>
                <w:lang w:val="hu-HU"/>
              </w:rPr>
              <w:t>9</w:t>
            </w:r>
            <w:r w:rsidRPr="00556B9B">
              <w:rPr>
                <w:color w:val="000000"/>
                <w:lang w:val="hu-HU"/>
              </w:rPr>
              <w:t>/l</w:t>
            </w:r>
          </w:p>
          <w:p w14:paraId="011B6863" w14:textId="77777777" w:rsidR="00910FC8" w:rsidRPr="00556B9B" w:rsidRDefault="00910FC8">
            <w:pPr>
              <w:spacing w:line="240" w:lineRule="auto"/>
              <w:ind w:left="142"/>
              <w:rPr>
                <w:color w:val="000000"/>
                <w:lang w:val="hu-HU"/>
              </w:rPr>
            </w:pPr>
            <w:r w:rsidRPr="00556B9B">
              <w:rPr>
                <w:color w:val="000000"/>
                <w:lang w:val="hu-HU"/>
              </w:rPr>
              <w:t>és/vagy</w:t>
            </w:r>
          </w:p>
          <w:p w14:paraId="13804BE6" w14:textId="77777777" w:rsidR="00910FC8" w:rsidRPr="00556B9B" w:rsidRDefault="00910FC8">
            <w:pPr>
              <w:spacing w:line="240" w:lineRule="auto"/>
              <w:ind w:left="142"/>
              <w:rPr>
                <w:color w:val="000000"/>
                <w:lang w:val="hu-HU"/>
              </w:rPr>
            </w:pPr>
            <w:r w:rsidRPr="00556B9B">
              <w:rPr>
                <w:color w:val="000000"/>
                <w:lang w:val="hu-HU"/>
              </w:rPr>
              <w:t>thrombocytaszám</w:t>
            </w:r>
          </w:p>
          <w:p w14:paraId="3BEC774B" w14:textId="77777777" w:rsidR="00910FC8" w:rsidRPr="00556B9B" w:rsidRDefault="00910FC8">
            <w:pPr>
              <w:spacing w:line="240" w:lineRule="auto"/>
              <w:ind w:left="142"/>
              <w:rPr>
                <w:color w:val="000000"/>
                <w:lang w:val="hu-HU"/>
              </w:rPr>
            </w:pPr>
            <w:r w:rsidRPr="00556B9B">
              <w:rPr>
                <w:color w:val="000000"/>
                <w:lang w:val="hu-HU"/>
              </w:rPr>
              <w:t>&lt; 50 x 10</w:t>
            </w:r>
            <w:r w:rsidRPr="00556B9B">
              <w:rPr>
                <w:color w:val="000000"/>
                <w:vertAlign w:val="superscript"/>
                <w:lang w:val="hu-HU"/>
              </w:rPr>
              <w:t>9</w:t>
            </w:r>
            <w:r w:rsidRPr="00556B9B">
              <w:rPr>
                <w:color w:val="000000"/>
                <w:lang w:val="hu-HU"/>
              </w:rPr>
              <w:t>/l</w:t>
            </w:r>
          </w:p>
        </w:tc>
        <w:tc>
          <w:tcPr>
            <w:tcW w:w="4536" w:type="dxa"/>
          </w:tcPr>
          <w:p w14:paraId="79A95B30"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1</w:t>
            </w:r>
            <w:r w:rsidR="00CD28C7" w:rsidRPr="00556B9B">
              <w:rPr>
                <w:color w:val="000000"/>
                <w:lang w:val="hu-HU"/>
              </w:rPr>
              <w:t>.</w:t>
            </w:r>
            <w:r w:rsidRPr="00556B9B">
              <w:rPr>
                <w:color w:val="000000"/>
                <w:lang w:val="hu-HU"/>
              </w:rPr>
              <w:tab/>
            </w:r>
            <w:r w:rsidR="00910FC8" w:rsidRPr="00556B9B">
              <w:rPr>
                <w:color w:val="000000"/>
                <w:lang w:val="hu-HU"/>
              </w:rPr>
              <w:t>Állítsa le a Glivec</w:t>
            </w:r>
            <w:r w:rsidR="00910FC8" w:rsidRPr="00556B9B">
              <w:rPr>
                <w:color w:val="000000"/>
                <w:lang w:val="hu-HU"/>
              </w:rPr>
              <w:noBreakHyphen/>
              <w:t xml:space="preserve">kezelést, amíg az ANC </w:t>
            </w:r>
            <w:r w:rsidR="00910FC8" w:rsidRPr="00556B9B">
              <w:rPr>
                <w:color w:val="000000"/>
                <w:lang w:val="hu-HU"/>
              </w:rPr>
              <w:sym w:font="Symbol" w:char="F0B3"/>
            </w:r>
            <w:r w:rsidR="00910FC8" w:rsidRPr="00556B9B">
              <w:rPr>
                <w:color w:val="000000"/>
                <w:lang w:val="hu-HU"/>
              </w:rPr>
              <w:t> 1,5 x 10</w:t>
            </w:r>
            <w:r w:rsidR="00910FC8" w:rsidRPr="00556B9B">
              <w:rPr>
                <w:color w:val="000000"/>
                <w:vertAlign w:val="superscript"/>
                <w:lang w:val="hu-HU"/>
              </w:rPr>
              <w:t>9</w:t>
            </w:r>
            <w:r w:rsidR="00910FC8" w:rsidRPr="00556B9B">
              <w:rPr>
                <w:color w:val="000000"/>
                <w:lang w:val="hu-HU"/>
              </w:rPr>
              <w:t xml:space="preserve">/l és a thrombocytaszám </w:t>
            </w:r>
            <w:r w:rsidR="00910FC8" w:rsidRPr="00556B9B">
              <w:rPr>
                <w:color w:val="000000"/>
                <w:lang w:val="hu-HU"/>
              </w:rPr>
              <w:sym w:font="Symbol" w:char="F0B3"/>
            </w:r>
            <w:r w:rsidR="00910FC8" w:rsidRPr="00556B9B">
              <w:rPr>
                <w:color w:val="000000"/>
                <w:lang w:val="hu-HU"/>
              </w:rPr>
              <w:t> 75 x 10</w:t>
            </w:r>
            <w:r w:rsidR="00910FC8" w:rsidRPr="00556B9B">
              <w:rPr>
                <w:color w:val="000000"/>
                <w:vertAlign w:val="superscript"/>
                <w:lang w:val="hu-HU"/>
              </w:rPr>
              <w:t>9</w:t>
            </w:r>
            <w:r w:rsidR="00910FC8" w:rsidRPr="00556B9B">
              <w:rPr>
                <w:color w:val="000000"/>
                <w:lang w:val="hu-HU"/>
              </w:rPr>
              <w:t>/l.</w:t>
            </w:r>
          </w:p>
          <w:p w14:paraId="711C27FC"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2.</w:t>
            </w:r>
            <w:r w:rsidRPr="00556B9B">
              <w:rPr>
                <w:color w:val="000000"/>
                <w:lang w:val="hu-HU"/>
              </w:rPr>
              <w:tab/>
            </w:r>
            <w:r w:rsidR="00910FC8" w:rsidRPr="00556B9B">
              <w:rPr>
                <w:color w:val="000000"/>
                <w:lang w:val="hu-HU"/>
              </w:rPr>
              <w:t>Kezdje újra a Glivec-kezelést a korábban (tehát a súlyos mellékhatás megjelenése előtt) alkalmazott adaggal.</w:t>
            </w:r>
          </w:p>
        </w:tc>
      </w:tr>
      <w:tr w:rsidR="00B3525B" w:rsidRPr="001D3D33" w14:paraId="17808B67" w14:textId="77777777" w:rsidTr="005C6E7A">
        <w:trPr>
          <w:cantSplit/>
        </w:trPr>
        <w:tc>
          <w:tcPr>
            <w:tcW w:w="2376" w:type="dxa"/>
            <w:gridSpan w:val="2"/>
          </w:tcPr>
          <w:p w14:paraId="36A00B6E" w14:textId="77777777" w:rsidR="00910FC8" w:rsidRPr="00E72BFA" w:rsidRDefault="00910FC8">
            <w:pPr>
              <w:spacing w:line="240" w:lineRule="auto"/>
              <w:ind w:left="108"/>
              <w:rPr>
                <w:color w:val="000000"/>
                <w:lang w:val="hu-HU"/>
              </w:rPr>
            </w:pPr>
            <w:r w:rsidRPr="00E72BFA">
              <w:rPr>
                <w:color w:val="000000"/>
                <w:lang w:val="hu-HU"/>
              </w:rPr>
              <w:t xml:space="preserve">CML krónikus fázis, </w:t>
            </w:r>
            <w:smartTag w:uri="urn:schemas-microsoft-com:office:smarttags" w:element="stockticker">
              <w:r w:rsidRPr="00E72BFA">
                <w:rPr>
                  <w:color w:val="000000"/>
                  <w:lang w:val="hu-HU"/>
                </w:rPr>
                <w:t>MDS</w:t>
              </w:r>
            </w:smartTag>
            <w:r w:rsidRPr="00E72BFA">
              <w:rPr>
                <w:color w:val="000000"/>
                <w:lang w:val="hu-HU"/>
              </w:rPr>
              <w:t>/MPD és GIST (kezdő adag 400 mg)</w:t>
            </w:r>
          </w:p>
          <w:p w14:paraId="34E33FBF" w14:textId="77777777" w:rsidR="00910FC8" w:rsidRPr="00E72BFA" w:rsidRDefault="00910FC8">
            <w:pPr>
              <w:spacing w:line="240" w:lineRule="auto"/>
              <w:ind w:left="108"/>
              <w:rPr>
                <w:color w:val="000000"/>
                <w:lang w:val="hu-HU"/>
              </w:rPr>
            </w:pPr>
            <w:r w:rsidRPr="00E72BFA">
              <w:rPr>
                <w:color w:val="000000"/>
                <w:lang w:val="hu-HU"/>
              </w:rPr>
              <w:t>HES/</w:t>
            </w:r>
            <w:smartTag w:uri="urn:schemas-microsoft-com:office:smarttags" w:element="stockticker">
              <w:r w:rsidRPr="00E72BFA">
                <w:rPr>
                  <w:color w:val="000000"/>
                  <w:lang w:val="hu-HU"/>
                </w:rPr>
                <w:t>CEL</w:t>
              </w:r>
            </w:smartTag>
            <w:r w:rsidRPr="00E72BFA">
              <w:rPr>
                <w:color w:val="000000"/>
                <w:lang w:val="hu-HU"/>
              </w:rPr>
              <w:t xml:space="preserve"> (400 mg</w:t>
            </w:r>
            <w:r w:rsidRPr="00E72BFA">
              <w:rPr>
                <w:color w:val="000000"/>
                <w:lang w:val="hu-HU"/>
              </w:rPr>
              <w:noBreakHyphen/>
              <w:t>os adag)</w:t>
            </w:r>
          </w:p>
        </w:tc>
        <w:tc>
          <w:tcPr>
            <w:tcW w:w="2303" w:type="dxa"/>
          </w:tcPr>
          <w:p w14:paraId="0D11527D" w14:textId="77777777" w:rsidR="00910FC8" w:rsidRPr="00556B9B" w:rsidRDefault="00910FC8">
            <w:pPr>
              <w:spacing w:line="240" w:lineRule="auto"/>
              <w:ind w:left="142"/>
              <w:rPr>
                <w:color w:val="000000"/>
                <w:lang w:val="hu-HU"/>
              </w:rPr>
            </w:pPr>
            <w:r w:rsidRPr="00556B9B">
              <w:rPr>
                <w:color w:val="000000"/>
                <w:lang w:val="hu-HU"/>
              </w:rPr>
              <w:t>ANC &lt; 1,0 x 10</w:t>
            </w:r>
            <w:r w:rsidRPr="00556B9B">
              <w:rPr>
                <w:color w:val="000000"/>
                <w:vertAlign w:val="superscript"/>
                <w:lang w:val="hu-HU"/>
              </w:rPr>
              <w:t>9</w:t>
            </w:r>
            <w:r w:rsidRPr="00556B9B">
              <w:rPr>
                <w:color w:val="000000"/>
                <w:lang w:val="hu-HU"/>
              </w:rPr>
              <w:t>/l</w:t>
            </w:r>
          </w:p>
          <w:p w14:paraId="6C963F8D" w14:textId="77777777" w:rsidR="00910FC8" w:rsidRPr="00556B9B" w:rsidRDefault="00910FC8">
            <w:pPr>
              <w:spacing w:line="240" w:lineRule="auto"/>
              <w:ind w:left="142"/>
              <w:rPr>
                <w:color w:val="000000"/>
                <w:lang w:val="hu-HU"/>
              </w:rPr>
            </w:pPr>
            <w:r w:rsidRPr="00556B9B">
              <w:rPr>
                <w:color w:val="000000"/>
                <w:lang w:val="hu-HU"/>
              </w:rPr>
              <w:t>és/vagy</w:t>
            </w:r>
          </w:p>
          <w:p w14:paraId="5B1102A0" w14:textId="77777777" w:rsidR="00910FC8" w:rsidRPr="00556B9B" w:rsidRDefault="00910FC8">
            <w:pPr>
              <w:spacing w:line="240" w:lineRule="auto"/>
              <w:ind w:left="142"/>
              <w:rPr>
                <w:color w:val="000000"/>
                <w:lang w:val="hu-HU"/>
              </w:rPr>
            </w:pPr>
            <w:r w:rsidRPr="00556B9B">
              <w:rPr>
                <w:color w:val="000000"/>
                <w:lang w:val="hu-HU"/>
              </w:rPr>
              <w:t>thrombocytaszám</w:t>
            </w:r>
          </w:p>
          <w:p w14:paraId="369E9E73" w14:textId="77777777" w:rsidR="00910FC8" w:rsidRPr="00556B9B" w:rsidRDefault="00910FC8">
            <w:pPr>
              <w:spacing w:line="240" w:lineRule="auto"/>
              <w:ind w:left="142"/>
              <w:rPr>
                <w:color w:val="000000"/>
                <w:lang w:val="hu-HU"/>
              </w:rPr>
            </w:pPr>
            <w:r w:rsidRPr="00556B9B">
              <w:rPr>
                <w:color w:val="000000"/>
                <w:lang w:val="hu-HU"/>
              </w:rPr>
              <w:t>&lt; 50 x 10</w:t>
            </w:r>
            <w:r w:rsidRPr="00556B9B">
              <w:rPr>
                <w:color w:val="000000"/>
                <w:vertAlign w:val="superscript"/>
                <w:lang w:val="hu-HU"/>
              </w:rPr>
              <w:t>9</w:t>
            </w:r>
            <w:r w:rsidRPr="00556B9B">
              <w:rPr>
                <w:color w:val="000000"/>
                <w:lang w:val="hu-HU"/>
              </w:rPr>
              <w:t>/l</w:t>
            </w:r>
          </w:p>
        </w:tc>
        <w:tc>
          <w:tcPr>
            <w:tcW w:w="4536" w:type="dxa"/>
          </w:tcPr>
          <w:p w14:paraId="7E3171F2"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1.</w:t>
            </w:r>
            <w:r w:rsidRPr="00556B9B">
              <w:rPr>
                <w:color w:val="000000"/>
                <w:lang w:val="hu-HU"/>
              </w:rPr>
              <w:tab/>
            </w:r>
            <w:r w:rsidR="00910FC8" w:rsidRPr="00556B9B">
              <w:rPr>
                <w:color w:val="000000"/>
                <w:lang w:val="hu-HU"/>
              </w:rPr>
              <w:t>Állítsa le a Glivec</w:t>
            </w:r>
            <w:r w:rsidR="00910FC8" w:rsidRPr="00556B9B">
              <w:rPr>
                <w:color w:val="000000"/>
                <w:lang w:val="hu-HU"/>
              </w:rPr>
              <w:noBreakHyphen/>
              <w:t xml:space="preserve">kezelést, amíg az ANC </w:t>
            </w:r>
            <w:r w:rsidR="00910FC8" w:rsidRPr="00556B9B">
              <w:rPr>
                <w:color w:val="000000"/>
                <w:lang w:val="hu-HU"/>
              </w:rPr>
              <w:sym w:font="Symbol" w:char="F0B3"/>
            </w:r>
            <w:r w:rsidR="00910FC8" w:rsidRPr="00556B9B">
              <w:rPr>
                <w:color w:val="000000"/>
                <w:lang w:val="hu-HU"/>
              </w:rPr>
              <w:t> 1,5 x 10</w:t>
            </w:r>
            <w:r w:rsidR="00910FC8" w:rsidRPr="00556B9B">
              <w:rPr>
                <w:color w:val="000000"/>
                <w:vertAlign w:val="superscript"/>
                <w:lang w:val="hu-HU"/>
              </w:rPr>
              <w:t>9</w:t>
            </w:r>
            <w:r w:rsidR="00910FC8" w:rsidRPr="00556B9B">
              <w:rPr>
                <w:color w:val="000000"/>
                <w:lang w:val="hu-HU"/>
              </w:rPr>
              <w:t xml:space="preserve">/l és a thrombocytaszám </w:t>
            </w:r>
            <w:r w:rsidR="00910FC8" w:rsidRPr="00556B9B">
              <w:rPr>
                <w:color w:val="000000"/>
                <w:lang w:val="hu-HU"/>
              </w:rPr>
              <w:sym w:font="Symbol" w:char="F0B3"/>
            </w:r>
            <w:r w:rsidR="00910FC8" w:rsidRPr="00556B9B">
              <w:rPr>
                <w:color w:val="000000"/>
                <w:lang w:val="hu-HU"/>
              </w:rPr>
              <w:t> 75 x 10</w:t>
            </w:r>
            <w:r w:rsidR="00910FC8" w:rsidRPr="00556B9B">
              <w:rPr>
                <w:color w:val="000000"/>
                <w:vertAlign w:val="superscript"/>
                <w:lang w:val="hu-HU"/>
              </w:rPr>
              <w:t>9</w:t>
            </w:r>
            <w:r w:rsidR="00910FC8" w:rsidRPr="00556B9B">
              <w:rPr>
                <w:color w:val="000000"/>
                <w:lang w:val="hu-HU"/>
              </w:rPr>
              <w:t>/l.</w:t>
            </w:r>
          </w:p>
          <w:p w14:paraId="49ED5EC1"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2.</w:t>
            </w:r>
            <w:r w:rsidRPr="00556B9B">
              <w:rPr>
                <w:color w:val="000000"/>
                <w:lang w:val="hu-HU"/>
              </w:rPr>
              <w:tab/>
            </w:r>
            <w:r w:rsidR="00910FC8" w:rsidRPr="00556B9B">
              <w:rPr>
                <w:color w:val="000000"/>
                <w:lang w:val="hu-HU"/>
              </w:rPr>
              <w:t>Kezdje újra a Glivec</w:t>
            </w:r>
            <w:r w:rsidR="00910FC8" w:rsidRPr="00556B9B">
              <w:rPr>
                <w:color w:val="000000"/>
                <w:lang w:val="hu-HU"/>
              </w:rPr>
              <w:noBreakHyphen/>
              <w:t>kezelést a korábban (tehát a súlyos mellékhatás megjelenése előtt) alkalmazott adaggal.</w:t>
            </w:r>
          </w:p>
          <w:p w14:paraId="3258E61C"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3.</w:t>
            </w:r>
            <w:r w:rsidRPr="00556B9B">
              <w:rPr>
                <w:color w:val="000000"/>
                <w:lang w:val="hu-HU"/>
              </w:rPr>
              <w:tab/>
            </w:r>
            <w:r w:rsidR="00910FC8" w:rsidRPr="00556B9B">
              <w:rPr>
                <w:color w:val="000000"/>
                <w:lang w:val="hu-HU"/>
              </w:rPr>
              <w:t>Ha az ANC ismét &lt; 1,0 x 10</w:t>
            </w:r>
            <w:r w:rsidR="00910FC8" w:rsidRPr="00556B9B">
              <w:rPr>
                <w:color w:val="000000"/>
                <w:vertAlign w:val="superscript"/>
                <w:lang w:val="hu-HU"/>
              </w:rPr>
              <w:t>9</w:t>
            </w:r>
            <w:r w:rsidR="00910FC8" w:rsidRPr="00556B9B">
              <w:rPr>
                <w:color w:val="000000"/>
                <w:lang w:val="hu-HU"/>
              </w:rPr>
              <w:t>/l, és/vagy a thrombocytaszám ismét &lt; 50 x 10</w:t>
            </w:r>
            <w:r w:rsidR="00910FC8" w:rsidRPr="00556B9B">
              <w:rPr>
                <w:color w:val="000000"/>
                <w:vertAlign w:val="superscript"/>
                <w:lang w:val="hu-HU"/>
              </w:rPr>
              <w:t>9</w:t>
            </w:r>
            <w:r w:rsidR="00910FC8" w:rsidRPr="00556B9B">
              <w:rPr>
                <w:color w:val="000000"/>
                <w:lang w:val="hu-HU"/>
              </w:rPr>
              <w:t>/l, az 1. pont szerint járjon el, majd a Glivec</w:t>
            </w:r>
            <w:r w:rsidR="00910FC8" w:rsidRPr="00556B9B">
              <w:rPr>
                <w:color w:val="000000"/>
                <w:lang w:val="hu-HU"/>
              </w:rPr>
              <w:noBreakHyphen/>
              <w:t>kezelést 300 mg</w:t>
            </w:r>
            <w:r w:rsidR="00910FC8" w:rsidRPr="00556B9B">
              <w:rPr>
                <w:color w:val="000000"/>
                <w:lang w:val="hu-HU"/>
              </w:rPr>
              <w:noBreakHyphen/>
              <w:t>ra csökkentett adaggal kezdje újra.</w:t>
            </w:r>
          </w:p>
        </w:tc>
      </w:tr>
      <w:tr w:rsidR="00B3525B" w:rsidRPr="001D3D33" w14:paraId="7E4F8F6F" w14:textId="77777777" w:rsidTr="005C6E7A">
        <w:trPr>
          <w:cantSplit/>
        </w:trPr>
        <w:tc>
          <w:tcPr>
            <w:tcW w:w="2376" w:type="dxa"/>
            <w:gridSpan w:val="2"/>
          </w:tcPr>
          <w:p w14:paraId="3970AFFB" w14:textId="740A1679" w:rsidR="00910FC8" w:rsidRPr="00E72BFA" w:rsidRDefault="00910FC8">
            <w:pPr>
              <w:spacing w:line="240" w:lineRule="auto"/>
              <w:ind w:left="108"/>
              <w:rPr>
                <w:color w:val="000000"/>
                <w:lang w:val="hu-HU"/>
              </w:rPr>
            </w:pPr>
            <w:r w:rsidRPr="00E72BFA">
              <w:rPr>
                <w:color w:val="000000"/>
                <w:lang w:val="hu-HU"/>
              </w:rPr>
              <w:t>Gyermek</w:t>
            </w:r>
            <w:r w:rsidR="00CC60EF" w:rsidRPr="00E72BFA">
              <w:rPr>
                <w:color w:val="000000"/>
                <w:lang w:val="hu-HU"/>
              </w:rPr>
              <w:t>- és serdülő</w:t>
            </w:r>
            <w:r w:rsidRPr="00E72BFA">
              <w:rPr>
                <w:color w:val="000000"/>
                <w:lang w:val="hu-HU"/>
              </w:rPr>
              <w:t>kori CML krónikus fázis</w:t>
            </w:r>
          </w:p>
          <w:p w14:paraId="331C078D" w14:textId="77777777" w:rsidR="00910FC8" w:rsidRPr="00E72BFA" w:rsidRDefault="00910FC8">
            <w:pPr>
              <w:spacing w:line="240" w:lineRule="auto"/>
              <w:ind w:left="108"/>
              <w:rPr>
                <w:color w:val="000000"/>
                <w:lang w:val="hu-HU"/>
              </w:rPr>
            </w:pPr>
            <w:r w:rsidRPr="00E72BFA">
              <w:rPr>
                <w:color w:val="000000"/>
                <w:lang w:val="hu-HU"/>
              </w:rPr>
              <w:t>(340 mg/m</w:t>
            </w:r>
            <w:r w:rsidRPr="00E72BFA">
              <w:rPr>
                <w:color w:val="000000"/>
                <w:vertAlign w:val="superscript"/>
                <w:lang w:val="hu-HU"/>
              </w:rPr>
              <w:t>2</w:t>
            </w:r>
            <w:r w:rsidRPr="00E72BFA">
              <w:rPr>
                <w:color w:val="000000"/>
                <w:lang w:val="hu-HU"/>
              </w:rPr>
              <w:t xml:space="preserve"> adagban)</w:t>
            </w:r>
          </w:p>
        </w:tc>
        <w:tc>
          <w:tcPr>
            <w:tcW w:w="2303" w:type="dxa"/>
          </w:tcPr>
          <w:p w14:paraId="555A7E1E" w14:textId="77777777" w:rsidR="00910FC8" w:rsidRPr="00556B9B" w:rsidRDefault="00910FC8">
            <w:pPr>
              <w:spacing w:line="240" w:lineRule="auto"/>
              <w:ind w:left="142"/>
              <w:rPr>
                <w:color w:val="000000"/>
                <w:lang w:val="hu-HU"/>
              </w:rPr>
            </w:pPr>
            <w:r w:rsidRPr="00556B9B">
              <w:rPr>
                <w:color w:val="000000"/>
                <w:lang w:val="hu-HU"/>
              </w:rPr>
              <w:t>ANC &lt; 1,0 x 10</w:t>
            </w:r>
            <w:r w:rsidRPr="00556B9B">
              <w:rPr>
                <w:color w:val="000000"/>
                <w:vertAlign w:val="superscript"/>
                <w:lang w:val="hu-HU"/>
              </w:rPr>
              <w:t>9</w:t>
            </w:r>
            <w:r w:rsidRPr="00556B9B">
              <w:rPr>
                <w:color w:val="000000"/>
                <w:lang w:val="hu-HU"/>
              </w:rPr>
              <w:t>/l</w:t>
            </w:r>
          </w:p>
          <w:p w14:paraId="0BA53332" w14:textId="77777777" w:rsidR="00910FC8" w:rsidRPr="00556B9B" w:rsidRDefault="00910FC8">
            <w:pPr>
              <w:spacing w:line="240" w:lineRule="auto"/>
              <w:ind w:left="142"/>
              <w:rPr>
                <w:color w:val="000000"/>
                <w:lang w:val="hu-HU"/>
              </w:rPr>
            </w:pPr>
            <w:r w:rsidRPr="00556B9B">
              <w:rPr>
                <w:color w:val="000000"/>
                <w:lang w:val="hu-HU"/>
              </w:rPr>
              <w:t>és/vagy</w:t>
            </w:r>
          </w:p>
          <w:p w14:paraId="5BA9C706" w14:textId="77777777" w:rsidR="00910FC8" w:rsidRPr="00556B9B" w:rsidRDefault="00910FC8">
            <w:pPr>
              <w:spacing w:line="240" w:lineRule="auto"/>
              <w:ind w:left="142"/>
              <w:rPr>
                <w:color w:val="000000"/>
                <w:lang w:val="hu-HU"/>
              </w:rPr>
            </w:pPr>
            <w:r w:rsidRPr="00556B9B">
              <w:rPr>
                <w:color w:val="000000"/>
                <w:lang w:val="hu-HU"/>
              </w:rPr>
              <w:t>thrombocytaszám &lt; 50 x 10</w:t>
            </w:r>
            <w:r w:rsidRPr="00556B9B">
              <w:rPr>
                <w:color w:val="000000"/>
                <w:vertAlign w:val="superscript"/>
                <w:lang w:val="hu-HU"/>
              </w:rPr>
              <w:t>9</w:t>
            </w:r>
            <w:r w:rsidRPr="00556B9B">
              <w:rPr>
                <w:color w:val="000000"/>
                <w:lang w:val="hu-HU"/>
              </w:rPr>
              <w:t>/l</w:t>
            </w:r>
          </w:p>
        </w:tc>
        <w:tc>
          <w:tcPr>
            <w:tcW w:w="4536" w:type="dxa"/>
          </w:tcPr>
          <w:p w14:paraId="1B45246C" w14:textId="77777777" w:rsidR="00910FC8" w:rsidRPr="00556B9B" w:rsidRDefault="00326CFC" w:rsidP="00326CFC">
            <w:pPr>
              <w:pStyle w:val="Table"/>
              <w:keepNext w:val="0"/>
              <w:tabs>
                <w:tab w:val="clear" w:pos="284"/>
                <w:tab w:val="left" w:pos="709"/>
              </w:tabs>
              <w:spacing w:before="0" w:after="0"/>
              <w:ind w:left="726" w:hanging="584"/>
              <w:rPr>
                <w:rFonts w:ascii="Times New Roman" w:hAnsi="Times New Roman"/>
                <w:color w:val="000000"/>
                <w:sz w:val="22"/>
                <w:szCs w:val="22"/>
                <w:lang w:val="hu-HU"/>
              </w:rPr>
            </w:pPr>
            <w:r w:rsidRPr="00556B9B">
              <w:rPr>
                <w:rFonts w:ascii="Times New Roman" w:hAnsi="Times New Roman"/>
                <w:color w:val="000000"/>
                <w:sz w:val="22"/>
                <w:szCs w:val="22"/>
                <w:lang w:val="hu-HU"/>
              </w:rPr>
              <w:t>1.</w:t>
            </w:r>
            <w:r w:rsidRPr="00556B9B">
              <w:rPr>
                <w:rFonts w:ascii="Times New Roman" w:hAnsi="Times New Roman"/>
                <w:color w:val="000000"/>
                <w:sz w:val="22"/>
                <w:szCs w:val="22"/>
                <w:lang w:val="hu-HU"/>
              </w:rPr>
              <w:tab/>
            </w:r>
            <w:r w:rsidR="00910FC8" w:rsidRPr="00556B9B">
              <w:rPr>
                <w:rFonts w:ascii="Times New Roman" w:hAnsi="Times New Roman"/>
                <w:color w:val="000000"/>
                <w:sz w:val="22"/>
                <w:szCs w:val="22"/>
                <w:lang w:val="hu-HU"/>
              </w:rPr>
              <w:t>Állítsa le a Glivec</w:t>
            </w:r>
            <w:r w:rsidR="00910FC8" w:rsidRPr="00556B9B">
              <w:rPr>
                <w:rFonts w:ascii="Times New Roman" w:hAnsi="Times New Roman"/>
                <w:color w:val="000000"/>
                <w:sz w:val="22"/>
                <w:szCs w:val="22"/>
                <w:lang w:val="hu-HU"/>
              </w:rPr>
              <w:noBreakHyphen/>
              <w:t>kezelést, amíg az ANC </w:t>
            </w:r>
            <w:r w:rsidR="00910FC8" w:rsidRPr="00556B9B">
              <w:rPr>
                <w:rFonts w:ascii="Times New Roman" w:hAnsi="Times New Roman"/>
                <w:color w:val="000000"/>
                <w:sz w:val="22"/>
                <w:szCs w:val="22"/>
                <w:lang w:val="en-GB"/>
              </w:rPr>
              <w:sym w:font="Symbol" w:char="F0B3"/>
            </w:r>
            <w:r w:rsidR="00910FC8" w:rsidRPr="00556B9B">
              <w:rPr>
                <w:rFonts w:ascii="Times New Roman" w:hAnsi="Times New Roman"/>
                <w:color w:val="000000"/>
                <w:sz w:val="22"/>
                <w:szCs w:val="22"/>
                <w:lang w:val="hu-HU"/>
              </w:rPr>
              <w:t> 1,5 x 10</w:t>
            </w:r>
            <w:r w:rsidR="00910FC8" w:rsidRPr="00556B9B">
              <w:rPr>
                <w:rFonts w:ascii="Times New Roman" w:hAnsi="Times New Roman"/>
                <w:color w:val="000000"/>
                <w:sz w:val="22"/>
                <w:szCs w:val="22"/>
                <w:vertAlign w:val="superscript"/>
                <w:lang w:val="hu-HU"/>
              </w:rPr>
              <w:t>9</w:t>
            </w:r>
            <w:r w:rsidR="00910FC8" w:rsidRPr="00556B9B">
              <w:rPr>
                <w:rFonts w:ascii="Times New Roman" w:hAnsi="Times New Roman"/>
                <w:color w:val="000000"/>
                <w:sz w:val="22"/>
                <w:szCs w:val="22"/>
                <w:lang w:val="hu-HU"/>
              </w:rPr>
              <w:t>/l és a thrombocytaszám </w:t>
            </w:r>
            <w:r w:rsidR="00910FC8" w:rsidRPr="00556B9B">
              <w:rPr>
                <w:rFonts w:ascii="Times New Roman" w:hAnsi="Times New Roman"/>
                <w:color w:val="000000"/>
                <w:sz w:val="22"/>
                <w:szCs w:val="22"/>
                <w:lang w:val="en-GB"/>
              </w:rPr>
              <w:sym w:font="Symbol" w:char="F0B3"/>
            </w:r>
            <w:r w:rsidR="00910FC8" w:rsidRPr="00556B9B">
              <w:rPr>
                <w:rFonts w:ascii="Times New Roman" w:hAnsi="Times New Roman"/>
                <w:color w:val="000000"/>
                <w:sz w:val="22"/>
                <w:szCs w:val="22"/>
                <w:lang w:val="hu-HU"/>
              </w:rPr>
              <w:t> 75 x 10</w:t>
            </w:r>
            <w:r w:rsidR="00910FC8" w:rsidRPr="00556B9B">
              <w:rPr>
                <w:rFonts w:ascii="Times New Roman" w:hAnsi="Times New Roman"/>
                <w:color w:val="000000"/>
                <w:sz w:val="22"/>
                <w:szCs w:val="22"/>
                <w:vertAlign w:val="superscript"/>
                <w:lang w:val="hu-HU"/>
              </w:rPr>
              <w:t>9</w:t>
            </w:r>
            <w:r w:rsidR="00910FC8" w:rsidRPr="00556B9B">
              <w:rPr>
                <w:rFonts w:ascii="Times New Roman" w:hAnsi="Times New Roman"/>
                <w:color w:val="000000"/>
                <w:sz w:val="22"/>
                <w:szCs w:val="22"/>
                <w:lang w:val="hu-HU"/>
              </w:rPr>
              <w:t>/l.</w:t>
            </w:r>
          </w:p>
          <w:p w14:paraId="469304A6" w14:textId="77777777" w:rsidR="00910FC8" w:rsidRPr="00556B9B" w:rsidRDefault="00326CFC" w:rsidP="00326CFC">
            <w:pPr>
              <w:pStyle w:val="Table"/>
              <w:keepNext w:val="0"/>
              <w:tabs>
                <w:tab w:val="clear" w:pos="284"/>
                <w:tab w:val="left" w:pos="709"/>
              </w:tabs>
              <w:spacing w:before="0" w:after="0"/>
              <w:ind w:left="726" w:hanging="584"/>
              <w:rPr>
                <w:rFonts w:ascii="Times New Roman" w:hAnsi="Times New Roman"/>
                <w:color w:val="000000"/>
                <w:sz w:val="22"/>
                <w:szCs w:val="22"/>
                <w:lang w:val="hu-HU"/>
              </w:rPr>
            </w:pPr>
            <w:r w:rsidRPr="00556B9B">
              <w:rPr>
                <w:rFonts w:ascii="Times New Roman" w:hAnsi="Times New Roman"/>
                <w:color w:val="000000"/>
                <w:sz w:val="22"/>
                <w:szCs w:val="22"/>
                <w:lang w:val="hu-HU"/>
              </w:rPr>
              <w:t>2.</w:t>
            </w:r>
            <w:r w:rsidRPr="00556B9B">
              <w:rPr>
                <w:rFonts w:ascii="Times New Roman" w:hAnsi="Times New Roman"/>
                <w:color w:val="000000"/>
                <w:sz w:val="22"/>
                <w:szCs w:val="22"/>
                <w:lang w:val="hu-HU"/>
              </w:rPr>
              <w:tab/>
            </w:r>
            <w:r w:rsidR="00910FC8" w:rsidRPr="00556B9B">
              <w:rPr>
                <w:rFonts w:ascii="Times New Roman" w:hAnsi="Times New Roman"/>
                <w:color w:val="000000"/>
                <w:sz w:val="22"/>
                <w:szCs w:val="22"/>
                <w:lang w:val="hu-HU"/>
              </w:rPr>
              <w:t>Kezdje újra a Glivec</w:t>
            </w:r>
            <w:r w:rsidR="00910FC8" w:rsidRPr="00556B9B">
              <w:rPr>
                <w:rFonts w:ascii="Times New Roman" w:hAnsi="Times New Roman"/>
                <w:color w:val="000000"/>
                <w:sz w:val="22"/>
                <w:szCs w:val="22"/>
                <w:lang w:val="hu-HU"/>
              </w:rPr>
              <w:noBreakHyphen/>
              <w:t>kezelést a korábban (azaz a súlyos mellékhatás megjelenése előtt) alkalmazott adaggal.</w:t>
            </w:r>
          </w:p>
          <w:p w14:paraId="11261DBD" w14:textId="77777777" w:rsidR="00910FC8" w:rsidRPr="00556B9B" w:rsidRDefault="00326CFC" w:rsidP="00326CFC">
            <w:pPr>
              <w:tabs>
                <w:tab w:val="left" w:pos="709"/>
              </w:tabs>
              <w:spacing w:line="240" w:lineRule="auto"/>
              <w:ind w:left="726" w:hanging="584"/>
              <w:rPr>
                <w:color w:val="000000"/>
                <w:lang w:val="hu-HU"/>
              </w:rPr>
            </w:pPr>
            <w:r w:rsidRPr="00556B9B">
              <w:rPr>
                <w:color w:val="000000"/>
                <w:szCs w:val="22"/>
                <w:lang w:val="hu-HU"/>
              </w:rPr>
              <w:t>3.</w:t>
            </w:r>
            <w:r w:rsidRPr="00556B9B">
              <w:rPr>
                <w:color w:val="000000"/>
                <w:szCs w:val="22"/>
                <w:lang w:val="hu-HU"/>
              </w:rPr>
              <w:tab/>
            </w:r>
            <w:r w:rsidR="00910FC8" w:rsidRPr="00556B9B">
              <w:rPr>
                <w:color w:val="000000"/>
                <w:szCs w:val="22"/>
                <w:lang w:val="hu-HU"/>
              </w:rPr>
              <w:t>Ha az ANC ismét &lt; 1,0 x10</w:t>
            </w:r>
            <w:r w:rsidR="00910FC8" w:rsidRPr="00556B9B">
              <w:rPr>
                <w:color w:val="000000"/>
                <w:szCs w:val="22"/>
                <w:vertAlign w:val="superscript"/>
                <w:lang w:val="hu-HU"/>
              </w:rPr>
              <w:t>9</w:t>
            </w:r>
            <w:r w:rsidR="00910FC8" w:rsidRPr="00556B9B">
              <w:rPr>
                <w:color w:val="000000"/>
                <w:szCs w:val="22"/>
                <w:lang w:val="hu-HU"/>
              </w:rPr>
              <w:t>/l és/vagy a thrombocytaszám &lt; 50 x10</w:t>
            </w:r>
            <w:r w:rsidR="00910FC8" w:rsidRPr="00556B9B">
              <w:rPr>
                <w:color w:val="000000"/>
                <w:szCs w:val="22"/>
                <w:vertAlign w:val="superscript"/>
                <w:lang w:val="hu-HU"/>
              </w:rPr>
              <w:t>9</w:t>
            </w:r>
            <w:r w:rsidR="00910FC8" w:rsidRPr="00556B9B">
              <w:rPr>
                <w:color w:val="000000"/>
                <w:szCs w:val="22"/>
                <w:lang w:val="hu-HU"/>
              </w:rPr>
              <w:t>/l, az 1. pont szerint járjon el, majd a Glivec</w:t>
            </w:r>
            <w:r w:rsidR="00910FC8" w:rsidRPr="00556B9B">
              <w:rPr>
                <w:color w:val="000000"/>
                <w:szCs w:val="22"/>
                <w:lang w:val="hu-HU"/>
              </w:rPr>
              <w:noBreakHyphen/>
              <w:t>kezelést 260 mg/m</w:t>
            </w:r>
            <w:r w:rsidR="00910FC8" w:rsidRPr="00556B9B">
              <w:rPr>
                <w:color w:val="000000"/>
                <w:szCs w:val="22"/>
                <w:vertAlign w:val="superscript"/>
                <w:lang w:val="hu-HU"/>
              </w:rPr>
              <w:t>2</w:t>
            </w:r>
            <w:r w:rsidR="00910FC8" w:rsidRPr="00556B9B">
              <w:rPr>
                <w:color w:val="000000"/>
                <w:szCs w:val="22"/>
                <w:lang w:val="hu-HU"/>
              </w:rPr>
              <w:noBreakHyphen/>
              <w:t>ra csökkentett adaggal kezdje újra.</w:t>
            </w:r>
          </w:p>
        </w:tc>
      </w:tr>
      <w:tr w:rsidR="00B3525B" w:rsidRPr="001D3D33" w14:paraId="20A8B2BC" w14:textId="77777777" w:rsidTr="005C6E7A">
        <w:trPr>
          <w:cantSplit/>
        </w:trPr>
        <w:tc>
          <w:tcPr>
            <w:tcW w:w="2376" w:type="dxa"/>
            <w:gridSpan w:val="2"/>
          </w:tcPr>
          <w:p w14:paraId="4D3E82DE" w14:textId="77777777" w:rsidR="00910FC8" w:rsidRPr="00E72BFA" w:rsidRDefault="00910FC8">
            <w:pPr>
              <w:spacing w:line="240" w:lineRule="auto"/>
              <w:ind w:left="108"/>
              <w:rPr>
                <w:color w:val="000000"/>
                <w:lang w:val="hu-HU"/>
              </w:rPr>
            </w:pPr>
            <w:r w:rsidRPr="00E72BFA">
              <w:rPr>
                <w:color w:val="000000"/>
                <w:lang w:val="hu-HU"/>
              </w:rPr>
              <w:lastRenderedPageBreak/>
              <w:t xml:space="preserve">CML akcelerált fázis és blasztos krízis és Ph+ </w:t>
            </w:r>
            <w:smartTag w:uri="urn:schemas-microsoft-com:office:smarttags" w:element="stockticker">
              <w:r w:rsidRPr="00E72BFA">
                <w:rPr>
                  <w:color w:val="000000"/>
                  <w:lang w:val="hu-HU"/>
                </w:rPr>
                <w:t>ALL</w:t>
              </w:r>
            </w:smartTag>
            <w:r w:rsidRPr="00E72BFA">
              <w:rPr>
                <w:color w:val="000000"/>
                <w:lang w:val="hu-HU"/>
              </w:rPr>
              <w:t xml:space="preserve"> (kezdő adag: 600 mg)</w:t>
            </w:r>
          </w:p>
        </w:tc>
        <w:tc>
          <w:tcPr>
            <w:tcW w:w="2303" w:type="dxa"/>
          </w:tcPr>
          <w:p w14:paraId="722F6E10" w14:textId="77777777" w:rsidR="00910FC8" w:rsidRPr="00556B9B" w:rsidRDefault="00910FC8">
            <w:pPr>
              <w:spacing w:line="240" w:lineRule="auto"/>
              <w:ind w:left="142"/>
              <w:rPr>
                <w:color w:val="000000"/>
                <w:lang w:val="hu-HU"/>
              </w:rPr>
            </w:pPr>
            <w:r w:rsidRPr="00556B9B">
              <w:rPr>
                <w:color w:val="000000"/>
                <w:vertAlign w:val="superscript"/>
                <w:lang w:val="hu-HU"/>
              </w:rPr>
              <w:t>a</w:t>
            </w:r>
            <w:r w:rsidRPr="00556B9B">
              <w:rPr>
                <w:color w:val="000000"/>
                <w:lang w:val="hu-HU"/>
              </w:rPr>
              <w:t>ANC</w:t>
            </w:r>
            <w:r w:rsidRPr="00556B9B">
              <w:rPr>
                <w:color w:val="000000"/>
                <w:vertAlign w:val="superscript"/>
                <w:lang w:val="hu-HU"/>
              </w:rPr>
              <w:t xml:space="preserve"> </w:t>
            </w:r>
            <w:r w:rsidRPr="00556B9B">
              <w:rPr>
                <w:color w:val="000000"/>
                <w:lang w:val="hu-HU"/>
              </w:rPr>
              <w:t>&lt; 0,5 x 10</w:t>
            </w:r>
            <w:r w:rsidRPr="00556B9B">
              <w:rPr>
                <w:color w:val="000000"/>
                <w:vertAlign w:val="superscript"/>
                <w:lang w:val="hu-HU"/>
              </w:rPr>
              <w:t>9</w:t>
            </w:r>
            <w:r w:rsidRPr="00556B9B">
              <w:rPr>
                <w:color w:val="000000"/>
                <w:lang w:val="hu-HU"/>
              </w:rPr>
              <w:t>/l</w:t>
            </w:r>
          </w:p>
          <w:p w14:paraId="209E5FD7" w14:textId="77777777" w:rsidR="00910FC8" w:rsidRPr="00556B9B" w:rsidRDefault="00910FC8">
            <w:pPr>
              <w:spacing w:line="240" w:lineRule="auto"/>
              <w:ind w:left="142"/>
              <w:rPr>
                <w:color w:val="000000"/>
                <w:lang w:val="hu-HU"/>
              </w:rPr>
            </w:pPr>
            <w:r w:rsidRPr="00556B9B">
              <w:rPr>
                <w:color w:val="000000"/>
                <w:lang w:val="hu-HU"/>
              </w:rPr>
              <w:t>és/vagy thrombocytaszám</w:t>
            </w:r>
          </w:p>
          <w:p w14:paraId="76CF70AD" w14:textId="77777777" w:rsidR="00910FC8" w:rsidRPr="00556B9B" w:rsidRDefault="00910FC8">
            <w:pPr>
              <w:spacing w:line="240" w:lineRule="auto"/>
              <w:ind w:left="142"/>
              <w:rPr>
                <w:color w:val="000000"/>
                <w:lang w:val="hu-HU"/>
              </w:rPr>
            </w:pPr>
            <w:r w:rsidRPr="00556B9B">
              <w:rPr>
                <w:color w:val="000000"/>
                <w:lang w:val="hu-HU"/>
              </w:rPr>
              <w:t>&lt; 10 x 10</w:t>
            </w:r>
            <w:r w:rsidRPr="00556B9B">
              <w:rPr>
                <w:color w:val="000000"/>
                <w:vertAlign w:val="superscript"/>
                <w:lang w:val="hu-HU"/>
              </w:rPr>
              <w:t>9</w:t>
            </w:r>
            <w:r w:rsidRPr="00556B9B">
              <w:rPr>
                <w:color w:val="000000"/>
                <w:lang w:val="hu-HU"/>
              </w:rPr>
              <w:t>/l</w:t>
            </w:r>
          </w:p>
        </w:tc>
        <w:tc>
          <w:tcPr>
            <w:tcW w:w="4536" w:type="dxa"/>
          </w:tcPr>
          <w:p w14:paraId="0F22982F"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1.</w:t>
            </w:r>
            <w:r w:rsidRPr="00556B9B">
              <w:rPr>
                <w:color w:val="000000"/>
                <w:lang w:val="hu-HU"/>
              </w:rPr>
              <w:tab/>
            </w:r>
            <w:r w:rsidR="00910FC8" w:rsidRPr="00556B9B">
              <w:rPr>
                <w:color w:val="000000"/>
                <w:lang w:val="hu-HU"/>
              </w:rPr>
              <w:t>Ellenőrizni kell, hogy a cytopeniát nem a leukaemia okozza</w:t>
            </w:r>
            <w:r w:rsidR="00910FC8" w:rsidRPr="00556B9B">
              <w:rPr>
                <w:color w:val="000000"/>
                <w:lang w:val="hu-HU"/>
              </w:rPr>
              <w:noBreakHyphen/>
              <w:t>e (csontvelő aspiratio vagy biopsia).</w:t>
            </w:r>
          </w:p>
          <w:p w14:paraId="3D34F5F3"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2.</w:t>
            </w:r>
            <w:r w:rsidRPr="00556B9B">
              <w:rPr>
                <w:color w:val="000000"/>
                <w:lang w:val="hu-HU"/>
              </w:rPr>
              <w:tab/>
            </w:r>
            <w:r w:rsidR="00910FC8" w:rsidRPr="00556B9B">
              <w:rPr>
                <w:color w:val="000000"/>
                <w:lang w:val="hu-HU"/>
              </w:rPr>
              <w:t>Ha a cytopenia nem a leukaemiával kapcsolatos, csökkentse a Glivec adagját 400 mg</w:t>
            </w:r>
            <w:r w:rsidR="00910FC8" w:rsidRPr="00556B9B">
              <w:rPr>
                <w:color w:val="000000"/>
                <w:lang w:val="hu-HU"/>
              </w:rPr>
              <w:noBreakHyphen/>
              <w:t>ra.</w:t>
            </w:r>
          </w:p>
          <w:p w14:paraId="33CC51EE"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3.</w:t>
            </w:r>
            <w:r w:rsidRPr="00556B9B">
              <w:rPr>
                <w:color w:val="000000"/>
                <w:lang w:val="hu-HU"/>
              </w:rPr>
              <w:tab/>
            </w:r>
            <w:r w:rsidR="00910FC8" w:rsidRPr="00556B9B">
              <w:rPr>
                <w:color w:val="000000"/>
                <w:lang w:val="hu-HU"/>
              </w:rPr>
              <w:t>Ha a cytopenia 2 héten át tart, csökkentse tovább az adagot 300 mg</w:t>
            </w:r>
            <w:r w:rsidR="00910FC8" w:rsidRPr="00556B9B">
              <w:rPr>
                <w:color w:val="000000"/>
                <w:lang w:val="hu-HU"/>
              </w:rPr>
              <w:noBreakHyphen/>
              <w:t>ra.</w:t>
            </w:r>
          </w:p>
          <w:p w14:paraId="406FEB75" w14:textId="77777777" w:rsidR="00910FC8" w:rsidRPr="00556B9B" w:rsidRDefault="00326CFC" w:rsidP="00326CFC">
            <w:pPr>
              <w:tabs>
                <w:tab w:val="left" w:pos="709"/>
              </w:tabs>
              <w:spacing w:line="240" w:lineRule="auto"/>
              <w:ind w:left="726" w:hanging="584"/>
              <w:rPr>
                <w:color w:val="000000"/>
                <w:lang w:val="hu-HU"/>
              </w:rPr>
            </w:pPr>
            <w:r w:rsidRPr="00556B9B">
              <w:rPr>
                <w:color w:val="000000"/>
                <w:lang w:val="hu-HU"/>
              </w:rPr>
              <w:t>4.</w:t>
            </w:r>
            <w:r w:rsidRPr="00556B9B">
              <w:rPr>
                <w:color w:val="000000"/>
                <w:lang w:val="hu-HU"/>
              </w:rPr>
              <w:tab/>
            </w:r>
            <w:r w:rsidR="00910FC8" w:rsidRPr="00556B9B">
              <w:rPr>
                <w:color w:val="000000"/>
                <w:lang w:val="hu-HU"/>
              </w:rPr>
              <w:t>Ha a cytopenia 4 héten át tart és továbbra sem a leukaemiával kapcsolatos, állítsa le a Glivec</w:t>
            </w:r>
            <w:r w:rsidR="00910FC8" w:rsidRPr="00556B9B">
              <w:rPr>
                <w:color w:val="000000"/>
                <w:lang w:val="hu-HU"/>
              </w:rPr>
              <w:noBreakHyphen/>
              <w:t xml:space="preserve">kezelést, amíg az ANC </w:t>
            </w:r>
            <w:r w:rsidR="00910FC8" w:rsidRPr="00556B9B">
              <w:rPr>
                <w:color w:val="000000"/>
                <w:lang w:val="hu-HU"/>
              </w:rPr>
              <w:sym w:font="Symbol" w:char="F0B3"/>
            </w:r>
            <w:r w:rsidR="00910FC8" w:rsidRPr="00556B9B">
              <w:rPr>
                <w:color w:val="000000"/>
                <w:lang w:val="hu-HU"/>
              </w:rPr>
              <w:t> 1 x 10</w:t>
            </w:r>
            <w:r w:rsidR="00910FC8" w:rsidRPr="00556B9B">
              <w:rPr>
                <w:color w:val="000000"/>
                <w:vertAlign w:val="superscript"/>
                <w:lang w:val="hu-HU"/>
              </w:rPr>
              <w:t>9</w:t>
            </w:r>
            <w:r w:rsidR="00910FC8" w:rsidRPr="00556B9B">
              <w:rPr>
                <w:color w:val="000000"/>
                <w:lang w:val="hu-HU"/>
              </w:rPr>
              <w:t xml:space="preserve">/l és a thrombocytaszám </w:t>
            </w:r>
            <w:r w:rsidR="00910FC8" w:rsidRPr="00556B9B">
              <w:rPr>
                <w:color w:val="000000"/>
                <w:lang w:val="hu-HU"/>
              </w:rPr>
              <w:sym w:font="Symbol" w:char="F0B3"/>
            </w:r>
            <w:r w:rsidR="00910FC8" w:rsidRPr="00556B9B">
              <w:rPr>
                <w:color w:val="000000"/>
                <w:lang w:val="hu-HU"/>
              </w:rPr>
              <w:t> 20 x 10</w:t>
            </w:r>
            <w:r w:rsidR="00910FC8" w:rsidRPr="00556B9B">
              <w:rPr>
                <w:color w:val="000000"/>
                <w:vertAlign w:val="superscript"/>
                <w:lang w:val="hu-HU"/>
              </w:rPr>
              <w:t>9</w:t>
            </w:r>
            <w:r w:rsidR="00910FC8" w:rsidRPr="00556B9B">
              <w:rPr>
                <w:color w:val="000000"/>
                <w:lang w:val="hu-HU"/>
              </w:rPr>
              <w:t>/l lesz, majd kezdje újra a kezelést 300 mg</w:t>
            </w:r>
            <w:r w:rsidR="00910FC8" w:rsidRPr="00556B9B">
              <w:rPr>
                <w:color w:val="000000"/>
                <w:lang w:val="hu-HU"/>
              </w:rPr>
              <w:noBreakHyphen/>
              <w:t>mal.</w:t>
            </w:r>
          </w:p>
        </w:tc>
      </w:tr>
      <w:tr w:rsidR="00B3525B" w:rsidRPr="001D3D33" w14:paraId="72C55F16" w14:textId="77777777" w:rsidTr="005C6E7A">
        <w:trPr>
          <w:cantSplit/>
        </w:trPr>
        <w:tc>
          <w:tcPr>
            <w:tcW w:w="2376" w:type="dxa"/>
            <w:gridSpan w:val="2"/>
          </w:tcPr>
          <w:p w14:paraId="02DD97DD" w14:textId="420D070F" w:rsidR="00910FC8" w:rsidRPr="00E72BFA" w:rsidRDefault="00910FC8">
            <w:pPr>
              <w:spacing w:line="240" w:lineRule="auto"/>
              <w:ind w:left="108"/>
              <w:rPr>
                <w:color w:val="000000"/>
                <w:lang w:val="hu-HU"/>
              </w:rPr>
            </w:pPr>
            <w:r w:rsidRPr="00E72BFA">
              <w:rPr>
                <w:color w:val="000000"/>
                <w:lang w:val="hu-HU"/>
              </w:rPr>
              <w:t>Gyermek</w:t>
            </w:r>
            <w:r w:rsidR="00CC60EF" w:rsidRPr="00E72BFA">
              <w:rPr>
                <w:color w:val="000000"/>
                <w:lang w:val="hu-HU"/>
              </w:rPr>
              <w:t>-és serdülő</w:t>
            </w:r>
            <w:r w:rsidRPr="00E72BFA">
              <w:rPr>
                <w:color w:val="000000"/>
                <w:lang w:val="hu-HU"/>
              </w:rPr>
              <w:t>kori CML akcelerált fázis és blasztos krízis (kezdő adag: 340 mg/m</w:t>
            </w:r>
            <w:r w:rsidRPr="00E72BFA">
              <w:rPr>
                <w:color w:val="000000"/>
                <w:vertAlign w:val="superscript"/>
                <w:lang w:val="hu-HU"/>
              </w:rPr>
              <w:t>2</w:t>
            </w:r>
            <w:r w:rsidRPr="00E72BFA">
              <w:rPr>
                <w:color w:val="000000"/>
                <w:lang w:val="hu-HU"/>
              </w:rPr>
              <w:t>)</w:t>
            </w:r>
          </w:p>
        </w:tc>
        <w:tc>
          <w:tcPr>
            <w:tcW w:w="2303" w:type="dxa"/>
          </w:tcPr>
          <w:p w14:paraId="0A17AA4B" w14:textId="77777777" w:rsidR="00910FC8" w:rsidRPr="00556B9B" w:rsidRDefault="00910FC8">
            <w:pPr>
              <w:spacing w:line="240" w:lineRule="auto"/>
              <w:ind w:left="142"/>
              <w:rPr>
                <w:color w:val="000000"/>
                <w:lang w:val="hu-HU"/>
              </w:rPr>
            </w:pPr>
            <w:r w:rsidRPr="00556B9B">
              <w:rPr>
                <w:color w:val="000000"/>
                <w:vertAlign w:val="superscript"/>
                <w:lang w:val="hu-HU"/>
              </w:rPr>
              <w:t>a</w:t>
            </w:r>
            <w:r w:rsidRPr="00556B9B">
              <w:rPr>
                <w:color w:val="000000"/>
                <w:lang w:val="hu-HU"/>
              </w:rPr>
              <w:t>ANC</w:t>
            </w:r>
            <w:r w:rsidRPr="00556B9B">
              <w:rPr>
                <w:color w:val="000000"/>
                <w:vertAlign w:val="superscript"/>
                <w:lang w:val="hu-HU"/>
              </w:rPr>
              <w:t xml:space="preserve"> </w:t>
            </w:r>
            <w:r w:rsidRPr="00556B9B">
              <w:rPr>
                <w:color w:val="000000"/>
                <w:lang w:val="hu-HU"/>
              </w:rPr>
              <w:t>&lt; 0,5 x 10</w:t>
            </w:r>
            <w:r w:rsidRPr="00556B9B">
              <w:rPr>
                <w:color w:val="000000"/>
                <w:vertAlign w:val="superscript"/>
                <w:lang w:val="hu-HU"/>
              </w:rPr>
              <w:t>9</w:t>
            </w:r>
            <w:r w:rsidRPr="00556B9B">
              <w:rPr>
                <w:color w:val="000000"/>
                <w:lang w:val="hu-HU"/>
              </w:rPr>
              <w:t>/l</w:t>
            </w:r>
          </w:p>
          <w:p w14:paraId="48ECAAC8" w14:textId="77777777" w:rsidR="00910FC8" w:rsidRPr="00556B9B" w:rsidRDefault="00910FC8">
            <w:pPr>
              <w:spacing w:line="240" w:lineRule="auto"/>
              <w:ind w:left="142"/>
              <w:rPr>
                <w:color w:val="000000"/>
                <w:lang w:val="hu-HU"/>
              </w:rPr>
            </w:pPr>
            <w:r w:rsidRPr="00556B9B">
              <w:rPr>
                <w:color w:val="000000"/>
                <w:lang w:val="hu-HU"/>
              </w:rPr>
              <w:t>és/vagy thrombocytaszám</w:t>
            </w:r>
          </w:p>
          <w:p w14:paraId="3A609995" w14:textId="77777777" w:rsidR="00910FC8" w:rsidRPr="00556B9B" w:rsidRDefault="00910FC8">
            <w:pPr>
              <w:spacing w:line="240" w:lineRule="auto"/>
              <w:ind w:left="142"/>
              <w:rPr>
                <w:color w:val="000000"/>
                <w:vertAlign w:val="superscript"/>
                <w:lang w:val="hu-HU"/>
              </w:rPr>
            </w:pPr>
            <w:r w:rsidRPr="00556B9B">
              <w:rPr>
                <w:color w:val="000000"/>
                <w:lang w:val="hu-HU"/>
              </w:rPr>
              <w:t>&lt; 10 x 10</w:t>
            </w:r>
            <w:r w:rsidRPr="00556B9B">
              <w:rPr>
                <w:color w:val="000000"/>
                <w:vertAlign w:val="superscript"/>
                <w:lang w:val="hu-HU"/>
              </w:rPr>
              <w:t>9</w:t>
            </w:r>
            <w:r w:rsidRPr="00556B9B">
              <w:rPr>
                <w:color w:val="000000"/>
                <w:lang w:val="hu-HU"/>
              </w:rPr>
              <w:t>/l</w:t>
            </w:r>
          </w:p>
        </w:tc>
        <w:tc>
          <w:tcPr>
            <w:tcW w:w="4536" w:type="dxa"/>
          </w:tcPr>
          <w:p w14:paraId="26F0B901" w14:textId="77777777" w:rsidR="00910FC8" w:rsidRPr="00556B9B" w:rsidRDefault="00326CFC" w:rsidP="00326CFC">
            <w:pPr>
              <w:spacing w:line="240" w:lineRule="auto"/>
              <w:ind w:left="726" w:hanging="584"/>
              <w:rPr>
                <w:color w:val="000000"/>
                <w:lang w:val="hu-HU"/>
              </w:rPr>
            </w:pPr>
            <w:r w:rsidRPr="00556B9B">
              <w:rPr>
                <w:color w:val="000000"/>
                <w:lang w:val="hu-HU"/>
              </w:rPr>
              <w:t>1.</w:t>
            </w:r>
            <w:r w:rsidRPr="00556B9B">
              <w:rPr>
                <w:color w:val="000000"/>
                <w:lang w:val="hu-HU"/>
              </w:rPr>
              <w:tab/>
            </w:r>
            <w:r w:rsidR="00910FC8" w:rsidRPr="00556B9B">
              <w:rPr>
                <w:color w:val="000000"/>
                <w:lang w:val="hu-HU"/>
              </w:rPr>
              <w:t>Ellenőrizni kell, hogy a cytopeniát nem a leukaemia okozza</w:t>
            </w:r>
            <w:r w:rsidR="00910FC8" w:rsidRPr="00556B9B">
              <w:rPr>
                <w:color w:val="000000"/>
                <w:lang w:val="hu-HU"/>
              </w:rPr>
              <w:noBreakHyphen/>
              <w:t>e (csontvelő aspiratio vagy biopsia).</w:t>
            </w:r>
          </w:p>
          <w:p w14:paraId="7BF626F6" w14:textId="77777777" w:rsidR="00910FC8" w:rsidRPr="00556B9B" w:rsidRDefault="00326CFC" w:rsidP="00326CFC">
            <w:pPr>
              <w:spacing w:line="240" w:lineRule="auto"/>
              <w:ind w:left="726" w:hanging="584"/>
              <w:rPr>
                <w:color w:val="000000"/>
                <w:lang w:val="hu-HU"/>
              </w:rPr>
            </w:pPr>
            <w:r w:rsidRPr="00556B9B">
              <w:rPr>
                <w:color w:val="000000"/>
                <w:lang w:val="hu-HU"/>
              </w:rPr>
              <w:t>2.</w:t>
            </w:r>
            <w:r w:rsidRPr="00556B9B">
              <w:rPr>
                <w:color w:val="000000"/>
                <w:lang w:val="hu-HU"/>
              </w:rPr>
              <w:tab/>
            </w:r>
            <w:r w:rsidR="00910FC8" w:rsidRPr="00556B9B">
              <w:rPr>
                <w:color w:val="000000"/>
                <w:lang w:val="hu-HU"/>
              </w:rPr>
              <w:t>Ha a cytopenia nem a leukaemiával kapcsolatos, csökkentse a Glivec adagját 260 mg/m</w:t>
            </w:r>
            <w:r w:rsidR="00910FC8" w:rsidRPr="00556B9B">
              <w:rPr>
                <w:color w:val="000000"/>
                <w:vertAlign w:val="superscript"/>
                <w:lang w:val="hu-HU"/>
              </w:rPr>
              <w:t>2</w:t>
            </w:r>
            <w:r w:rsidR="00910FC8" w:rsidRPr="00556B9B">
              <w:rPr>
                <w:color w:val="000000"/>
                <w:lang w:val="hu-HU"/>
              </w:rPr>
              <w:noBreakHyphen/>
              <w:t>re.</w:t>
            </w:r>
          </w:p>
          <w:p w14:paraId="2D41B623" w14:textId="77777777" w:rsidR="00910FC8" w:rsidRPr="00556B9B" w:rsidRDefault="00326CFC" w:rsidP="00326CFC">
            <w:pPr>
              <w:spacing w:line="240" w:lineRule="auto"/>
              <w:ind w:left="726" w:hanging="584"/>
              <w:rPr>
                <w:color w:val="000000"/>
                <w:lang w:val="hu-HU"/>
              </w:rPr>
            </w:pPr>
            <w:r w:rsidRPr="00556B9B">
              <w:rPr>
                <w:color w:val="000000"/>
                <w:lang w:val="hu-HU"/>
              </w:rPr>
              <w:t>3.</w:t>
            </w:r>
            <w:r w:rsidRPr="00556B9B">
              <w:rPr>
                <w:color w:val="000000"/>
                <w:lang w:val="hu-HU"/>
              </w:rPr>
              <w:tab/>
            </w:r>
            <w:r w:rsidR="00910FC8" w:rsidRPr="00556B9B">
              <w:rPr>
                <w:color w:val="000000"/>
                <w:lang w:val="hu-HU"/>
              </w:rPr>
              <w:t>Ha a cytopenia 2 héten át tart, csökkentse tovább 200 mg/m</w:t>
            </w:r>
            <w:r w:rsidR="00910FC8" w:rsidRPr="00556B9B">
              <w:rPr>
                <w:color w:val="000000"/>
                <w:vertAlign w:val="superscript"/>
                <w:lang w:val="hu-HU"/>
              </w:rPr>
              <w:t>2</w:t>
            </w:r>
            <w:r w:rsidR="00910FC8" w:rsidRPr="00556B9B">
              <w:rPr>
                <w:color w:val="000000"/>
                <w:lang w:val="hu-HU"/>
              </w:rPr>
              <w:noBreakHyphen/>
              <w:t>re.</w:t>
            </w:r>
          </w:p>
          <w:p w14:paraId="4CF51F7A" w14:textId="77777777" w:rsidR="00910FC8" w:rsidRPr="00556B9B" w:rsidRDefault="00326CFC" w:rsidP="00326CFC">
            <w:pPr>
              <w:spacing w:line="240" w:lineRule="auto"/>
              <w:ind w:left="726" w:hanging="584"/>
              <w:rPr>
                <w:color w:val="000000"/>
                <w:lang w:val="hu-HU"/>
              </w:rPr>
            </w:pPr>
            <w:r w:rsidRPr="00556B9B">
              <w:rPr>
                <w:color w:val="000000"/>
                <w:lang w:val="hu-HU"/>
              </w:rPr>
              <w:t>4.</w:t>
            </w:r>
            <w:r w:rsidRPr="00556B9B">
              <w:rPr>
                <w:color w:val="000000"/>
                <w:lang w:val="hu-HU"/>
              </w:rPr>
              <w:tab/>
            </w:r>
            <w:r w:rsidR="00910FC8" w:rsidRPr="00556B9B">
              <w:rPr>
                <w:color w:val="000000"/>
                <w:lang w:val="hu-HU"/>
              </w:rPr>
              <w:t>Ha a cytopenia 4 héten át tart és továbbra sem a leukaemiával kapcsolatos, állítsa le a Glivec</w:t>
            </w:r>
            <w:r w:rsidR="00910FC8" w:rsidRPr="00556B9B">
              <w:rPr>
                <w:color w:val="000000"/>
                <w:lang w:val="hu-HU"/>
              </w:rPr>
              <w:noBreakHyphen/>
              <w:t xml:space="preserve">kezelést, amíg az ANC </w:t>
            </w:r>
            <w:r w:rsidR="00910FC8" w:rsidRPr="00556B9B">
              <w:rPr>
                <w:color w:val="000000"/>
                <w:lang w:val="hu-HU"/>
              </w:rPr>
              <w:sym w:font="Symbol" w:char="F0B3"/>
            </w:r>
            <w:r w:rsidR="00910FC8" w:rsidRPr="00556B9B">
              <w:rPr>
                <w:color w:val="000000"/>
                <w:lang w:val="hu-HU"/>
              </w:rPr>
              <w:t> 1 x 10</w:t>
            </w:r>
            <w:r w:rsidR="00910FC8" w:rsidRPr="00556B9B">
              <w:rPr>
                <w:color w:val="000000"/>
                <w:vertAlign w:val="superscript"/>
                <w:lang w:val="hu-HU"/>
              </w:rPr>
              <w:t>9</w:t>
            </w:r>
            <w:r w:rsidR="00910FC8" w:rsidRPr="00556B9B">
              <w:rPr>
                <w:color w:val="000000"/>
                <w:lang w:val="hu-HU"/>
              </w:rPr>
              <w:t xml:space="preserve">/l és a thrombocytaszám </w:t>
            </w:r>
            <w:r w:rsidR="00910FC8" w:rsidRPr="00556B9B">
              <w:rPr>
                <w:color w:val="000000"/>
                <w:lang w:val="hu-HU"/>
              </w:rPr>
              <w:sym w:font="Symbol" w:char="F0B3"/>
            </w:r>
            <w:r w:rsidR="00910FC8" w:rsidRPr="00556B9B">
              <w:rPr>
                <w:color w:val="000000"/>
                <w:lang w:val="hu-HU"/>
              </w:rPr>
              <w:t> 20 x 10</w:t>
            </w:r>
            <w:r w:rsidR="00910FC8" w:rsidRPr="00556B9B">
              <w:rPr>
                <w:color w:val="000000"/>
                <w:vertAlign w:val="superscript"/>
                <w:lang w:val="hu-HU"/>
              </w:rPr>
              <w:t>9</w:t>
            </w:r>
            <w:r w:rsidR="00910FC8" w:rsidRPr="00556B9B">
              <w:rPr>
                <w:color w:val="000000"/>
                <w:lang w:val="hu-HU"/>
              </w:rPr>
              <w:t>/l lesz, majd kezdje újra a kezelést 200 mg/m</w:t>
            </w:r>
            <w:r w:rsidR="00910FC8" w:rsidRPr="00556B9B">
              <w:rPr>
                <w:color w:val="000000"/>
                <w:vertAlign w:val="superscript"/>
                <w:lang w:val="hu-HU"/>
              </w:rPr>
              <w:t>2</w:t>
            </w:r>
            <w:r w:rsidR="00910FC8" w:rsidRPr="00556B9B">
              <w:rPr>
                <w:color w:val="000000"/>
                <w:lang w:val="hu-HU"/>
              </w:rPr>
              <w:noBreakHyphen/>
              <w:t>rel.</w:t>
            </w:r>
          </w:p>
        </w:tc>
      </w:tr>
      <w:tr w:rsidR="00B3525B" w:rsidRPr="001D3D33" w14:paraId="37980C1C" w14:textId="77777777" w:rsidTr="005C6E7A">
        <w:trPr>
          <w:cantSplit/>
        </w:trPr>
        <w:tc>
          <w:tcPr>
            <w:tcW w:w="2376" w:type="dxa"/>
            <w:gridSpan w:val="2"/>
          </w:tcPr>
          <w:p w14:paraId="18DDD20B" w14:textId="77777777" w:rsidR="00910FC8" w:rsidRPr="00556B9B" w:rsidRDefault="00910FC8" w:rsidP="005C6E7A">
            <w:pPr>
              <w:keepNext/>
              <w:suppressAutoHyphens w:val="0"/>
              <w:spacing w:line="240" w:lineRule="auto"/>
              <w:ind w:left="108"/>
              <w:rPr>
                <w:color w:val="000000"/>
                <w:lang w:val="hu-HU"/>
              </w:rPr>
            </w:pPr>
            <w:r w:rsidRPr="00556B9B">
              <w:rPr>
                <w:color w:val="000000"/>
                <w:lang w:val="hu-HU"/>
              </w:rPr>
              <w:t>DFSP</w:t>
            </w:r>
          </w:p>
          <w:p w14:paraId="10CFBE00" w14:textId="77777777" w:rsidR="00910FC8" w:rsidRPr="00556B9B" w:rsidRDefault="00910FC8" w:rsidP="005C6E7A">
            <w:pPr>
              <w:keepNext/>
              <w:suppressAutoHyphens w:val="0"/>
              <w:spacing w:line="240" w:lineRule="auto"/>
              <w:ind w:left="108"/>
              <w:rPr>
                <w:color w:val="000000"/>
                <w:lang w:val="hu-HU"/>
              </w:rPr>
            </w:pPr>
            <w:r w:rsidRPr="00556B9B">
              <w:rPr>
                <w:color w:val="000000"/>
                <w:lang w:val="hu-HU"/>
              </w:rPr>
              <w:t>(800 mg-os adagban)</w:t>
            </w:r>
          </w:p>
        </w:tc>
        <w:tc>
          <w:tcPr>
            <w:tcW w:w="2303" w:type="dxa"/>
          </w:tcPr>
          <w:p w14:paraId="0CB8BCDA" w14:textId="77777777" w:rsidR="00910FC8" w:rsidRPr="00556B9B" w:rsidRDefault="00910FC8" w:rsidP="005C6E7A">
            <w:pPr>
              <w:keepNext/>
              <w:suppressAutoHyphens w:val="0"/>
              <w:spacing w:line="240" w:lineRule="auto"/>
              <w:ind w:left="142"/>
              <w:rPr>
                <w:color w:val="000000"/>
                <w:lang w:val="hu-HU"/>
              </w:rPr>
            </w:pPr>
            <w:r w:rsidRPr="00556B9B">
              <w:rPr>
                <w:color w:val="000000"/>
                <w:lang w:val="hu-HU"/>
              </w:rPr>
              <w:t>ANC</w:t>
            </w:r>
            <w:r w:rsidRPr="00556B9B">
              <w:rPr>
                <w:color w:val="000000"/>
                <w:vertAlign w:val="superscript"/>
                <w:lang w:val="hu-HU"/>
              </w:rPr>
              <w:t xml:space="preserve"> </w:t>
            </w:r>
            <w:r w:rsidRPr="00556B9B">
              <w:rPr>
                <w:color w:val="000000"/>
                <w:lang w:val="hu-HU"/>
              </w:rPr>
              <w:t>&lt; 1,0 x 10</w:t>
            </w:r>
            <w:r w:rsidRPr="00556B9B">
              <w:rPr>
                <w:color w:val="000000"/>
                <w:vertAlign w:val="superscript"/>
                <w:lang w:val="hu-HU"/>
              </w:rPr>
              <w:t>9</w:t>
            </w:r>
            <w:r w:rsidRPr="00556B9B">
              <w:rPr>
                <w:color w:val="000000"/>
                <w:lang w:val="hu-HU"/>
              </w:rPr>
              <w:t>/l</w:t>
            </w:r>
          </w:p>
          <w:p w14:paraId="2631A92D" w14:textId="77777777" w:rsidR="00910FC8" w:rsidRPr="00556B9B" w:rsidRDefault="00910FC8" w:rsidP="005C6E7A">
            <w:pPr>
              <w:keepNext/>
              <w:suppressAutoHyphens w:val="0"/>
              <w:spacing w:line="240" w:lineRule="auto"/>
              <w:ind w:left="142"/>
              <w:rPr>
                <w:color w:val="000000"/>
                <w:lang w:val="hu-HU"/>
              </w:rPr>
            </w:pPr>
            <w:r w:rsidRPr="00556B9B">
              <w:rPr>
                <w:color w:val="000000"/>
                <w:lang w:val="hu-HU"/>
              </w:rPr>
              <w:t>és/vagy thrombocytaszám</w:t>
            </w:r>
          </w:p>
          <w:p w14:paraId="5A33DCBE" w14:textId="77777777" w:rsidR="00910FC8" w:rsidRPr="00556B9B" w:rsidRDefault="00910FC8" w:rsidP="005C6E7A">
            <w:pPr>
              <w:keepNext/>
              <w:suppressAutoHyphens w:val="0"/>
              <w:spacing w:line="240" w:lineRule="auto"/>
              <w:ind w:left="142"/>
              <w:rPr>
                <w:color w:val="000000"/>
                <w:vertAlign w:val="superscript"/>
                <w:lang w:val="hu-HU"/>
              </w:rPr>
            </w:pPr>
            <w:r w:rsidRPr="00556B9B">
              <w:rPr>
                <w:color w:val="000000"/>
                <w:lang w:val="hu-HU"/>
              </w:rPr>
              <w:t>&lt; 50 x 10</w:t>
            </w:r>
            <w:r w:rsidRPr="00556B9B">
              <w:rPr>
                <w:color w:val="000000"/>
                <w:vertAlign w:val="superscript"/>
                <w:lang w:val="hu-HU"/>
              </w:rPr>
              <w:t>9</w:t>
            </w:r>
            <w:r w:rsidRPr="00556B9B">
              <w:rPr>
                <w:color w:val="000000"/>
                <w:lang w:val="hu-HU"/>
              </w:rPr>
              <w:t>/l</w:t>
            </w:r>
          </w:p>
        </w:tc>
        <w:tc>
          <w:tcPr>
            <w:tcW w:w="4536" w:type="dxa"/>
          </w:tcPr>
          <w:p w14:paraId="12A8441C" w14:textId="77777777" w:rsidR="00910FC8" w:rsidRPr="00556B9B" w:rsidRDefault="00326CFC" w:rsidP="005C6E7A">
            <w:pPr>
              <w:keepNext/>
              <w:suppressAutoHyphens w:val="0"/>
              <w:spacing w:line="240" w:lineRule="auto"/>
              <w:ind w:left="726" w:hanging="584"/>
              <w:rPr>
                <w:color w:val="000000"/>
                <w:lang w:val="hu-HU"/>
              </w:rPr>
            </w:pPr>
            <w:r w:rsidRPr="00556B9B">
              <w:rPr>
                <w:color w:val="000000"/>
                <w:lang w:val="hu-HU"/>
              </w:rPr>
              <w:t>1.</w:t>
            </w:r>
            <w:r w:rsidRPr="00556B9B">
              <w:rPr>
                <w:color w:val="000000"/>
                <w:lang w:val="hu-HU"/>
              </w:rPr>
              <w:tab/>
            </w:r>
            <w:r w:rsidR="00910FC8" w:rsidRPr="00556B9B">
              <w:rPr>
                <w:color w:val="000000"/>
                <w:lang w:val="hu-HU"/>
              </w:rPr>
              <w:t>Állítsa le a Glivec</w:t>
            </w:r>
            <w:r w:rsidR="00910FC8" w:rsidRPr="00556B9B">
              <w:rPr>
                <w:color w:val="000000"/>
                <w:lang w:val="hu-HU"/>
              </w:rPr>
              <w:noBreakHyphen/>
              <w:t xml:space="preserve">kezelést, amíg az ANC </w:t>
            </w:r>
            <w:r w:rsidR="00910FC8" w:rsidRPr="00556B9B">
              <w:rPr>
                <w:color w:val="000000"/>
                <w:lang w:val="hu-HU"/>
              </w:rPr>
              <w:sym w:font="Symbol" w:char="F0B3"/>
            </w:r>
            <w:r w:rsidR="00910FC8" w:rsidRPr="00556B9B">
              <w:rPr>
                <w:color w:val="000000"/>
                <w:lang w:val="hu-HU"/>
              </w:rPr>
              <w:t> 1,5 x 10</w:t>
            </w:r>
            <w:r w:rsidR="00910FC8" w:rsidRPr="00556B9B">
              <w:rPr>
                <w:color w:val="000000"/>
                <w:vertAlign w:val="superscript"/>
                <w:lang w:val="hu-HU"/>
              </w:rPr>
              <w:t>9</w:t>
            </w:r>
            <w:r w:rsidR="00910FC8" w:rsidRPr="00556B9B">
              <w:rPr>
                <w:color w:val="000000"/>
                <w:lang w:val="hu-HU"/>
              </w:rPr>
              <w:t xml:space="preserve">/l és a thrombocytaszám </w:t>
            </w:r>
            <w:r w:rsidR="00910FC8" w:rsidRPr="00556B9B">
              <w:rPr>
                <w:color w:val="000000"/>
                <w:lang w:val="hu-HU"/>
              </w:rPr>
              <w:sym w:font="Symbol" w:char="F0B3"/>
            </w:r>
            <w:r w:rsidR="00910FC8" w:rsidRPr="00556B9B">
              <w:rPr>
                <w:color w:val="000000"/>
                <w:lang w:val="hu-HU"/>
              </w:rPr>
              <w:t> 75 x 10</w:t>
            </w:r>
            <w:r w:rsidR="00910FC8" w:rsidRPr="00556B9B">
              <w:rPr>
                <w:color w:val="000000"/>
                <w:vertAlign w:val="superscript"/>
                <w:lang w:val="hu-HU"/>
              </w:rPr>
              <w:t>9</w:t>
            </w:r>
            <w:r w:rsidR="00910FC8" w:rsidRPr="00556B9B">
              <w:rPr>
                <w:color w:val="000000"/>
                <w:lang w:val="hu-HU"/>
              </w:rPr>
              <w:t>/l.</w:t>
            </w:r>
          </w:p>
          <w:p w14:paraId="5C49ACE7" w14:textId="77777777" w:rsidR="00910FC8" w:rsidRPr="00556B9B" w:rsidRDefault="00326CFC" w:rsidP="005C6E7A">
            <w:pPr>
              <w:keepNext/>
              <w:suppressAutoHyphens w:val="0"/>
              <w:spacing w:line="240" w:lineRule="auto"/>
              <w:ind w:left="726" w:hanging="584"/>
              <w:rPr>
                <w:color w:val="000000"/>
                <w:lang w:val="hu-HU"/>
              </w:rPr>
            </w:pPr>
            <w:r w:rsidRPr="00556B9B">
              <w:rPr>
                <w:color w:val="000000"/>
                <w:lang w:val="hu-HU"/>
              </w:rPr>
              <w:t>2.</w:t>
            </w:r>
            <w:r w:rsidRPr="00556B9B">
              <w:rPr>
                <w:color w:val="000000"/>
                <w:lang w:val="hu-HU"/>
              </w:rPr>
              <w:tab/>
            </w:r>
            <w:r w:rsidR="00910FC8" w:rsidRPr="00556B9B">
              <w:rPr>
                <w:color w:val="000000"/>
                <w:lang w:val="hu-HU"/>
              </w:rPr>
              <w:t>Kezdje újra a Glivec</w:t>
            </w:r>
            <w:r w:rsidR="00910FC8" w:rsidRPr="00556B9B">
              <w:rPr>
                <w:color w:val="000000"/>
                <w:lang w:val="hu-HU"/>
              </w:rPr>
              <w:noBreakHyphen/>
              <w:t>kezelést 600 mg</w:t>
            </w:r>
            <w:r w:rsidR="00910FC8" w:rsidRPr="00556B9B">
              <w:rPr>
                <w:color w:val="000000"/>
                <w:lang w:val="hu-HU"/>
              </w:rPr>
              <w:noBreakHyphen/>
              <w:t>os adaggal.</w:t>
            </w:r>
          </w:p>
          <w:p w14:paraId="117B05BE" w14:textId="77777777" w:rsidR="00910FC8" w:rsidRPr="00556B9B" w:rsidRDefault="00326CFC" w:rsidP="005C6E7A">
            <w:pPr>
              <w:keepNext/>
              <w:suppressAutoHyphens w:val="0"/>
              <w:spacing w:line="240" w:lineRule="auto"/>
              <w:ind w:left="726" w:hanging="584"/>
              <w:rPr>
                <w:color w:val="000000"/>
                <w:lang w:val="hu-HU"/>
              </w:rPr>
            </w:pPr>
            <w:r w:rsidRPr="00556B9B">
              <w:rPr>
                <w:color w:val="000000"/>
                <w:lang w:val="hu-HU"/>
              </w:rPr>
              <w:t>3.</w:t>
            </w:r>
            <w:r w:rsidRPr="00556B9B">
              <w:rPr>
                <w:color w:val="000000"/>
                <w:lang w:val="hu-HU"/>
              </w:rPr>
              <w:tab/>
            </w:r>
            <w:r w:rsidR="00910FC8" w:rsidRPr="00556B9B">
              <w:rPr>
                <w:color w:val="000000"/>
                <w:lang w:val="hu-HU"/>
              </w:rPr>
              <w:t>Ha az ANC ismét &lt; 1,0 x 10</w:t>
            </w:r>
            <w:r w:rsidR="00910FC8" w:rsidRPr="00556B9B">
              <w:rPr>
                <w:color w:val="000000"/>
                <w:vertAlign w:val="superscript"/>
                <w:lang w:val="hu-HU"/>
              </w:rPr>
              <w:t>9</w:t>
            </w:r>
            <w:r w:rsidR="00910FC8" w:rsidRPr="00556B9B">
              <w:rPr>
                <w:color w:val="000000"/>
                <w:lang w:val="hu-HU"/>
              </w:rPr>
              <w:t>/l, és/vagy a thrombocytaszám ismét &lt; 50 x 10</w:t>
            </w:r>
            <w:r w:rsidR="00910FC8" w:rsidRPr="00556B9B">
              <w:rPr>
                <w:color w:val="000000"/>
                <w:vertAlign w:val="superscript"/>
                <w:lang w:val="hu-HU"/>
              </w:rPr>
              <w:t>9</w:t>
            </w:r>
            <w:r w:rsidR="00910FC8" w:rsidRPr="00556B9B">
              <w:rPr>
                <w:color w:val="000000"/>
                <w:lang w:val="hu-HU"/>
              </w:rPr>
              <w:t>/l, az 1. pont szerint járjon el, majd a Glivec</w:t>
            </w:r>
            <w:r w:rsidR="00910FC8" w:rsidRPr="00556B9B">
              <w:rPr>
                <w:color w:val="000000"/>
                <w:lang w:val="hu-HU"/>
              </w:rPr>
              <w:noBreakHyphen/>
              <w:t>kezelést 400 mg</w:t>
            </w:r>
            <w:r w:rsidR="00910FC8" w:rsidRPr="00556B9B">
              <w:rPr>
                <w:color w:val="000000"/>
                <w:lang w:val="hu-HU"/>
              </w:rPr>
              <w:noBreakHyphen/>
              <w:t>ra</w:t>
            </w:r>
            <w:r w:rsidR="00910FC8" w:rsidRPr="00556B9B">
              <w:rPr>
                <w:color w:val="000000"/>
                <w:vertAlign w:val="superscript"/>
                <w:lang w:val="hu-HU"/>
              </w:rPr>
              <w:t xml:space="preserve"> </w:t>
            </w:r>
            <w:r w:rsidR="00910FC8" w:rsidRPr="00556B9B">
              <w:rPr>
                <w:color w:val="000000"/>
                <w:lang w:val="hu-HU"/>
              </w:rPr>
              <w:t>csökkentett adaggal kezdje újra.</w:t>
            </w:r>
          </w:p>
        </w:tc>
      </w:tr>
      <w:tr w:rsidR="00B3525B" w:rsidRPr="001D3D33" w14:paraId="1DD246A4" w14:textId="77777777" w:rsidTr="005C6E7A">
        <w:trPr>
          <w:gridBefore w:val="1"/>
          <w:wBefore w:w="6" w:type="dxa"/>
          <w:cantSplit/>
        </w:trPr>
        <w:tc>
          <w:tcPr>
            <w:tcW w:w="9209" w:type="dxa"/>
            <w:gridSpan w:val="3"/>
          </w:tcPr>
          <w:p w14:paraId="5F156FF4" w14:textId="77777777" w:rsidR="00910FC8" w:rsidRPr="00556B9B" w:rsidRDefault="00910FC8">
            <w:pPr>
              <w:spacing w:line="240" w:lineRule="auto"/>
              <w:ind w:left="102"/>
              <w:rPr>
                <w:color w:val="000000"/>
                <w:lang w:val="hu-HU"/>
              </w:rPr>
            </w:pPr>
            <w:r w:rsidRPr="00556B9B">
              <w:rPr>
                <w:color w:val="000000"/>
                <w:lang w:val="hu-HU"/>
              </w:rPr>
              <w:t>ANC = abszolút neutrofilszám</w:t>
            </w:r>
          </w:p>
          <w:p w14:paraId="5474BF0D" w14:textId="77777777" w:rsidR="00910FC8" w:rsidRPr="00556B9B" w:rsidRDefault="00910FC8">
            <w:pPr>
              <w:spacing w:line="240" w:lineRule="auto"/>
              <w:ind w:left="102"/>
              <w:rPr>
                <w:color w:val="000000"/>
                <w:lang w:val="hu-HU"/>
              </w:rPr>
            </w:pPr>
            <w:r w:rsidRPr="00556B9B">
              <w:rPr>
                <w:color w:val="000000"/>
                <w:vertAlign w:val="superscript"/>
                <w:lang w:val="hu-HU"/>
              </w:rPr>
              <w:t xml:space="preserve">a </w:t>
            </w:r>
            <w:r w:rsidRPr="00556B9B">
              <w:rPr>
                <w:color w:val="000000"/>
                <w:lang w:val="hu-HU"/>
              </w:rPr>
              <w:t>legalább egy hónapos kezelés után</w:t>
            </w:r>
          </w:p>
        </w:tc>
      </w:tr>
    </w:tbl>
    <w:p w14:paraId="26ECD127" w14:textId="77777777" w:rsidR="00910FC8" w:rsidRPr="00556B9B" w:rsidRDefault="00910FC8">
      <w:pPr>
        <w:spacing w:line="240" w:lineRule="auto"/>
        <w:rPr>
          <w:color w:val="000000"/>
          <w:lang w:val="hu-HU"/>
        </w:rPr>
      </w:pPr>
    </w:p>
    <w:p w14:paraId="66209B42" w14:textId="4BBE4333" w:rsidR="000A3E39" w:rsidRPr="00E72BFA" w:rsidRDefault="000A3E39" w:rsidP="005C6E7A">
      <w:pPr>
        <w:keepNext/>
        <w:suppressAutoHyphens w:val="0"/>
        <w:spacing w:line="240" w:lineRule="auto"/>
        <w:rPr>
          <w:color w:val="000000"/>
          <w:u w:val="single"/>
          <w:lang w:val="hu-HU"/>
        </w:rPr>
      </w:pPr>
      <w:r w:rsidRPr="00E72BFA">
        <w:rPr>
          <w:color w:val="000000"/>
          <w:u w:val="single"/>
          <w:lang w:val="hu-HU"/>
        </w:rPr>
        <w:t xml:space="preserve">Speciális </w:t>
      </w:r>
      <w:r w:rsidR="00CC60EF" w:rsidRPr="00E72BFA">
        <w:rPr>
          <w:color w:val="000000"/>
          <w:u w:val="single"/>
          <w:lang w:val="hu-HU"/>
        </w:rPr>
        <w:t>betegcsoportok</w:t>
      </w:r>
    </w:p>
    <w:p w14:paraId="0BF127DE" w14:textId="6A36DC04" w:rsidR="00910FC8" w:rsidRPr="00556B9B" w:rsidRDefault="00414456">
      <w:pPr>
        <w:spacing w:line="240" w:lineRule="auto"/>
        <w:rPr>
          <w:color w:val="000000"/>
          <w:lang w:val="hu-HU"/>
        </w:rPr>
      </w:pPr>
      <w:r w:rsidRPr="00E72BFA">
        <w:rPr>
          <w:i/>
          <w:color w:val="000000"/>
          <w:lang w:val="hu-HU"/>
        </w:rPr>
        <w:t>Alkalmazás gyermekeknél és serdülőknél</w:t>
      </w:r>
      <w:r w:rsidR="00910FC8" w:rsidRPr="00E72BFA">
        <w:rPr>
          <w:i/>
          <w:color w:val="000000"/>
          <w:lang w:val="hu-HU"/>
        </w:rPr>
        <w:t xml:space="preserve">: </w:t>
      </w:r>
      <w:r w:rsidR="00910FC8" w:rsidRPr="00E72BFA">
        <w:rPr>
          <w:color w:val="000000"/>
          <w:lang w:val="hu-HU"/>
        </w:rPr>
        <w:t>2 éves kor alatti CML</w:t>
      </w:r>
      <w:r w:rsidR="00910FC8" w:rsidRPr="00E72BFA">
        <w:rPr>
          <w:color w:val="000000"/>
          <w:lang w:val="hu-HU"/>
        </w:rPr>
        <w:noBreakHyphen/>
        <w:t xml:space="preserve">ben szenvedő gyermekek </w:t>
      </w:r>
      <w:r w:rsidR="00D6722F" w:rsidRPr="00E72BFA">
        <w:rPr>
          <w:color w:val="000000"/>
          <w:lang w:val="hu-HU"/>
        </w:rPr>
        <w:t xml:space="preserve">és 1 éves kor alatti </w:t>
      </w:r>
      <w:r w:rsidR="00D6722F" w:rsidRPr="00E72BFA">
        <w:rPr>
          <w:color w:val="000000"/>
          <w:lang w:val="hu-HU" w:eastAsia="hu-HU"/>
        </w:rPr>
        <w:t>Ph+ALL</w:t>
      </w:r>
      <w:r w:rsidR="00D6722F" w:rsidRPr="00E72BFA">
        <w:rPr>
          <w:color w:val="000000"/>
          <w:lang w:val="hu-HU"/>
        </w:rPr>
        <w:noBreakHyphen/>
        <w:t xml:space="preserve">ben szenvedő gyermekek </w:t>
      </w:r>
      <w:r w:rsidR="00910FC8" w:rsidRPr="00E72BFA">
        <w:rPr>
          <w:color w:val="000000"/>
          <w:lang w:val="hu-HU"/>
        </w:rPr>
        <w:t>esetében nincs tapasztalat (lásd 5.1 pont). MDS/MPD</w:t>
      </w:r>
      <w:r w:rsidR="00910FC8" w:rsidRPr="00E72BFA">
        <w:rPr>
          <w:color w:val="000000"/>
          <w:lang w:val="hu-HU"/>
        </w:rPr>
        <w:noBreakHyphen/>
        <w:t>ben,</w:t>
      </w:r>
      <w:r w:rsidR="00910FC8" w:rsidRPr="00556B9B">
        <w:rPr>
          <w:color w:val="000000"/>
          <w:lang w:val="hu-HU"/>
        </w:rPr>
        <w:t xml:space="preserve"> DFSP</w:t>
      </w:r>
      <w:r w:rsidR="00910FC8" w:rsidRPr="00556B9B">
        <w:rPr>
          <w:color w:val="000000"/>
          <w:lang w:val="hu-HU"/>
        </w:rPr>
        <w:noBreakHyphen/>
        <w:t>ben</w:t>
      </w:r>
      <w:r w:rsidR="00BE6F1C" w:rsidRPr="00556B9B">
        <w:rPr>
          <w:color w:val="000000"/>
          <w:lang w:val="hu-HU"/>
        </w:rPr>
        <w:t>,</w:t>
      </w:r>
      <w:r w:rsidR="00910FC8" w:rsidRPr="00556B9B">
        <w:rPr>
          <w:color w:val="000000"/>
          <w:lang w:val="hu-HU"/>
        </w:rPr>
        <w:t xml:space="preserve"> </w:t>
      </w:r>
      <w:r w:rsidR="00BE6F1C" w:rsidRPr="00556B9B">
        <w:rPr>
          <w:color w:val="000000"/>
          <w:lang w:val="hu-HU"/>
        </w:rPr>
        <w:t>GIST</w:t>
      </w:r>
      <w:r w:rsidR="00BE6F1C" w:rsidRPr="00556B9B">
        <w:rPr>
          <w:color w:val="000000"/>
          <w:lang w:val="hu-HU"/>
        </w:rPr>
        <w:noBreakHyphen/>
        <w:t>ben, illetve HES/</w:t>
      </w:r>
      <w:smartTag w:uri="urn:schemas-microsoft-com:office:smarttags" w:element="stockticker">
        <w:r w:rsidR="00BE6F1C" w:rsidRPr="00556B9B">
          <w:rPr>
            <w:color w:val="000000"/>
            <w:lang w:val="hu-HU"/>
          </w:rPr>
          <w:t>CEL</w:t>
        </w:r>
      </w:smartTag>
      <w:r w:rsidR="00BE6F1C" w:rsidRPr="00556B9B">
        <w:rPr>
          <w:color w:val="000000"/>
          <w:lang w:val="hu-HU"/>
        </w:rPr>
        <w:noBreakHyphen/>
        <w:t xml:space="preserve">ben </w:t>
      </w:r>
      <w:r w:rsidR="00910FC8" w:rsidRPr="00556B9B">
        <w:rPr>
          <w:color w:val="000000"/>
          <w:lang w:val="hu-HU"/>
        </w:rPr>
        <w:t>szenvedő gyermekek esetében nagyon kevés tapasztalat áll rendelkezésre.</w:t>
      </w:r>
    </w:p>
    <w:p w14:paraId="3D9330E9" w14:textId="77777777" w:rsidR="00910FC8" w:rsidRPr="00556B9B" w:rsidRDefault="00910FC8">
      <w:pPr>
        <w:spacing w:line="240" w:lineRule="auto"/>
        <w:rPr>
          <w:color w:val="000000"/>
          <w:u w:val="single"/>
          <w:lang w:val="hu-HU"/>
        </w:rPr>
      </w:pPr>
    </w:p>
    <w:p w14:paraId="52C83C80" w14:textId="1AA2A8F3" w:rsidR="00C871EE" w:rsidRPr="00556B9B" w:rsidRDefault="00C871EE" w:rsidP="00C871EE">
      <w:pPr>
        <w:rPr>
          <w:color w:val="000000"/>
          <w:szCs w:val="22"/>
          <w:lang w:val="hu-HU"/>
        </w:rPr>
      </w:pPr>
      <w:r w:rsidRPr="00556B9B">
        <w:rPr>
          <w:lang w:val="hu-HU" w:eastAsia="hu-HU"/>
        </w:rPr>
        <w:t xml:space="preserve">Az imatinib biztonságosságát és </w:t>
      </w:r>
      <w:r w:rsidRPr="00E72BFA">
        <w:rPr>
          <w:lang w:val="hu-HU" w:eastAsia="hu-HU"/>
        </w:rPr>
        <w:t>hatásosságát MDS/MPD, DFSP, GIST és HES/CEL</w:t>
      </w:r>
      <w:r w:rsidRPr="00E72BFA">
        <w:rPr>
          <w:lang w:val="hu-HU"/>
        </w:rPr>
        <w:noBreakHyphen/>
      </w:r>
      <w:r w:rsidRPr="00E72BFA">
        <w:rPr>
          <w:lang w:val="hu-HU" w:eastAsia="hu-HU"/>
        </w:rPr>
        <w:t>ben szenvedő, 18</w:t>
      </w:r>
      <w:r w:rsidRPr="00E72BFA">
        <w:rPr>
          <w:lang w:val="hu-HU"/>
        </w:rPr>
        <w:t> év</w:t>
      </w:r>
      <w:r w:rsidRPr="00E72BFA">
        <w:rPr>
          <w:lang w:val="hu-HU" w:eastAsia="hu-HU"/>
        </w:rPr>
        <w:t xml:space="preserve">esnél fiatalabb gyermekeknél </w:t>
      </w:r>
      <w:r w:rsidR="00414456" w:rsidRPr="00E72BFA">
        <w:rPr>
          <w:lang w:val="hu-HU" w:eastAsia="hu-HU"/>
        </w:rPr>
        <w:t xml:space="preserve">és serdülőknél </w:t>
      </w:r>
      <w:r w:rsidRPr="00E72BFA">
        <w:rPr>
          <w:lang w:val="hu-HU" w:eastAsia="hu-HU"/>
        </w:rPr>
        <w:t>klinikai vizsgálatokban nem igazolták.</w:t>
      </w:r>
      <w:r w:rsidRPr="00E72BFA">
        <w:rPr>
          <w:color w:val="000000"/>
          <w:lang w:val="hu-HU" w:eastAsia="hu-HU"/>
        </w:rPr>
        <w:t xml:space="preserve"> A jelenleg rendelkezésre álló, publikált adatok leirata a</w:t>
      </w:r>
      <w:r w:rsidR="00535318" w:rsidRPr="00E72BFA">
        <w:rPr>
          <w:color w:val="000000"/>
          <w:lang w:val="hu-HU" w:eastAsia="hu-HU"/>
        </w:rPr>
        <w:t>z</w:t>
      </w:r>
      <w:r w:rsidRPr="00E72BFA">
        <w:rPr>
          <w:color w:val="000000"/>
          <w:lang w:val="hu-HU" w:eastAsia="hu-HU"/>
        </w:rPr>
        <w:t xml:space="preserve"> 5.1</w:t>
      </w:r>
      <w:r w:rsidRPr="00E72BFA">
        <w:rPr>
          <w:color w:val="000000"/>
          <w:lang w:val="hu-HU"/>
        </w:rPr>
        <w:t> pont</w:t>
      </w:r>
      <w:r w:rsidRPr="00E72BFA">
        <w:rPr>
          <w:color w:val="000000"/>
          <w:lang w:val="hu-HU" w:eastAsia="hu-HU"/>
        </w:rPr>
        <w:t>ban van összefoglalva, de nincs az adagolásra vonatkozó javallat.</w:t>
      </w:r>
    </w:p>
    <w:p w14:paraId="66C5DCE1" w14:textId="77777777" w:rsidR="00C871EE" w:rsidRPr="00556B9B" w:rsidRDefault="00C871EE" w:rsidP="00C871EE">
      <w:pPr>
        <w:rPr>
          <w:lang w:val="hu-HU"/>
        </w:rPr>
      </w:pPr>
    </w:p>
    <w:p w14:paraId="4FB79089" w14:textId="69C9ED63" w:rsidR="00910FC8" w:rsidRPr="00E72BFA" w:rsidRDefault="00910FC8">
      <w:pPr>
        <w:spacing w:line="240" w:lineRule="auto"/>
        <w:rPr>
          <w:color w:val="000000"/>
          <w:lang w:val="hu-HU"/>
        </w:rPr>
      </w:pPr>
      <w:r w:rsidRPr="00556B9B">
        <w:rPr>
          <w:i/>
          <w:color w:val="000000"/>
          <w:lang w:val="hu-HU"/>
        </w:rPr>
        <w:t>Májelégtelenség:</w:t>
      </w:r>
      <w:r w:rsidRPr="00556B9B">
        <w:rPr>
          <w:color w:val="000000"/>
          <w:lang w:val="hu-HU"/>
        </w:rPr>
        <w:t xml:space="preserve"> Az imatinib </w:t>
      </w:r>
      <w:r w:rsidRPr="00E72BFA">
        <w:rPr>
          <w:color w:val="000000"/>
          <w:lang w:val="hu-HU"/>
        </w:rPr>
        <w:t>főként a májon keresztül metabolizálódik. Enyhe, mérsékelt vagy súlyos mértékben károsodott májfunkciójú betegek esetében a legkisebb javasolt adag (napi 400 mg) alkalmazandó. Az adag csökkenthető, ha a beteg nem jól tolerálja (lásd 4.4, 4.8, és 5.2 pontok).</w:t>
      </w:r>
    </w:p>
    <w:p w14:paraId="5030A7B8" w14:textId="77777777" w:rsidR="00910FC8" w:rsidRPr="00E72BFA" w:rsidRDefault="00910FC8">
      <w:pPr>
        <w:spacing w:line="240" w:lineRule="auto"/>
        <w:rPr>
          <w:color w:val="000000"/>
          <w:lang w:val="hu-HU"/>
        </w:rPr>
      </w:pPr>
    </w:p>
    <w:p w14:paraId="759F1069" w14:textId="55A36CDA" w:rsidR="00910FC8" w:rsidRPr="00E72BFA" w:rsidRDefault="00910FC8" w:rsidP="005C6E7A">
      <w:pPr>
        <w:keepNext/>
        <w:suppressAutoHyphens w:val="0"/>
        <w:spacing w:line="240" w:lineRule="auto"/>
        <w:rPr>
          <w:bCs/>
          <w:color w:val="000000"/>
          <w:lang w:val="hu-HU"/>
        </w:rPr>
      </w:pPr>
      <w:r w:rsidRPr="00E72BFA">
        <w:rPr>
          <w:bCs/>
          <w:color w:val="000000"/>
          <w:lang w:val="hu-HU"/>
        </w:rPr>
        <w:lastRenderedPageBreak/>
        <w:t>A májkárosodás osztályozása:</w:t>
      </w:r>
    </w:p>
    <w:p w14:paraId="724592CA" w14:textId="77777777" w:rsidR="00910FC8" w:rsidRPr="00E72BFA" w:rsidRDefault="00910FC8" w:rsidP="005C6E7A">
      <w:pPr>
        <w:keepNext/>
        <w:suppressAutoHyphens w:val="0"/>
        <w:spacing w:line="240" w:lineRule="auto"/>
        <w:rPr>
          <w:color w:val="00000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8"/>
        <w:gridCol w:w="5917"/>
      </w:tblGrid>
      <w:tr w:rsidR="00910FC8" w:rsidRPr="00556B9B" w14:paraId="4A75BC9D" w14:textId="77777777" w:rsidTr="005C6E7A">
        <w:trPr>
          <w:cantSplit/>
        </w:trPr>
        <w:tc>
          <w:tcPr>
            <w:tcW w:w="3368" w:type="dxa"/>
          </w:tcPr>
          <w:p w14:paraId="721D38F4" w14:textId="7993DA82" w:rsidR="00910FC8" w:rsidRPr="00E72BFA" w:rsidRDefault="00910FC8" w:rsidP="005C6E7A">
            <w:pPr>
              <w:pStyle w:val="Text"/>
              <w:keepNext/>
              <w:spacing w:before="0"/>
              <w:jc w:val="left"/>
              <w:rPr>
                <w:color w:val="000000"/>
                <w:sz w:val="22"/>
                <w:lang w:val="hu-HU"/>
              </w:rPr>
            </w:pPr>
            <w:r w:rsidRPr="00E72BFA">
              <w:rPr>
                <w:color w:val="000000"/>
                <w:sz w:val="22"/>
                <w:lang w:val="hu-HU"/>
              </w:rPr>
              <w:t>Májkárosodás</w:t>
            </w:r>
          </w:p>
        </w:tc>
        <w:tc>
          <w:tcPr>
            <w:tcW w:w="5917" w:type="dxa"/>
          </w:tcPr>
          <w:p w14:paraId="661EE64B" w14:textId="77777777" w:rsidR="00910FC8" w:rsidRPr="00556B9B" w:rsidRDefault="00910FC8" w:rsidP="005C6E7A">
            <w:pPr>
              <w:pStyle w:val="Text"/>
              <w:keepNext/>
              <w:spacing w:before="0"/>
              <w:jc w:val="left"/>
              <w:rPr>
                <w:color w:val="000000"/>
                <w:sz w:val="22"/>
                <w:lang w:val="hu-HU"/>
              </w:rPr>
            </w:pPr>
            <w:r w:rsidRPr="00E72BFA">
              <w:rPr>
                <w:color w:val="000000"/>
                <w:sz w:val="22"/>
                <w:lang w:val="hu-HU"/>
              </w:rPr>
              <w:t>Májfunkciós vizsgálatok</w:t>
            </w:r>
          </w:p>
        </w:tc>
      </w:tr>
      <w:tr w:rsidR="00910FC8" w:rsidRPr="001D3D33" w14:paraId="1ED41987" w14:textId="77777777" w:rsidTr="005C6E7A">
        <w:trPr>
          <w:cantSplit/>
        </w:trPr>
        <w:tc>
          <w:tcPr>
            <w:tcW w:w="3368" w:type="dxa"/>
          </w:tcPr>
          <w:p w14:paraId="21D1A60F" w14:textId="77777777" w:rsidR="00910FC8" w:rsidRPr="00556B9B" w:rsidRDefault="00910FC8" w:rsidP="005C6E7A">
            <w:pPr>
              <w:pStyle w:val="Text"/>
              <w:keepNext/>
              <w:spacing w:before="0"/>
              <w:jc w:val="left"/>
              <w:rPr>
                <w:color w:val="000000"/>
                <w:sz w:val="22"/>
                <w:lang w:val="de-CH"/>
              </w:rPr>
            </w:pPr>
            <w:r w:rsidRPr="00556B9B">
              <w:rPr>
                <w:color w:val="000000"/>
                <w:sz w:val="22"/>
                <w:lang w:val="de-CH"/>
              </w:rPr>
              <w:t>Enyhe</w:t>
            </w:r>
          </w:p>
        </w:tc>
        <w:tc>
          <w:tcPr>
            <w:tcW w:w="5917" w:type="dxa"/>
          </w:tcPr>
          <w:p w14:paraId="02DC4AD2" w14:textId="77777777" w:rsidR="00910FC8" w:rsidRPr="00556B9B" w:rsidRDefault="00910FC8" w:rsidP="005C6E7A">
            <w:pPr>
              <w:keepNext/>
              <w:suppressAutoHyphens w:val="0"/>
              <w:spacing w:line="240" w:lineRule="auto"/>
              <w:rPr>
                <w:snapToGrid w:val="0"/>
                <w:color w:val="000000"/>
                <w:lang w:val="de-CH"/>
              </w:rPr>
            </w:pPr>
            <w:r w:rsidRPr="00556B9B">
              <w:rPr>
                <w:snapToGrid w:val="0"/>
                <w:color w:val="000000"/>
                <w:lang w:val="de-CH"/>
              </w:rPr>
              <w:t>Összbilirubin: = 1,5 ULN</w:t>
            </w:r>
          </w:p>
          <w:p w14:paraId="582F04B3" w14:textId="77777777" w:rsidR="00910FC8" w:rsidRPr="00556B9B" w:rsidRDefault="00910FC8" w:rsidP="005C6E7A">
            <w:pPr>
              <w:pStyle w:val="Text"/>
              <w:keepNext/>
              <w:spacing w:before="0"/>
              <w:jc w:val="left"/>
              <w:rPr>
                <w:color w:val="000000"/>
                <w:sz w:val="22"/>
                <w:lang w:val="de-CH"/>
              </w:rPr>
            </w:pPr>
            <w:smartTag w:uri="urn:schemas-microsoft-com:office:smarttags" w:element="stockticker">
              <w:r w:rsidRPr="00556B9B">
                <w:rPr>
                  <w:snapToGrid w:val="0"/>
                  <w:color w:val="000000"/>
                  <w:sz w:val="22"/>
                  <w:lang w:val="de-CH"/>
                </w:rPr>
                <w:t>GOT</w:t>
              </w:r>
            </w:smartTag>
            <w:r w:rsidRPr="00556B9B">
              <w:rPr>
                <w:snapToGrid w:val="0"/>
                <w:color w:val="000000"/>
                <w:sz w:val="22"/>
                <w:lang w:val="de-CH"/>
              </w:rPr>
              <w:t>: &gt; ULN (lehet normális vagy &lt; ULN, ha az</w:t>
            </w:r>
            <w:r w:rsidRPr="00556B9B">
              <w:rPr>
                <w:snapToGrid w:val="0"/>
                <w:color w:val="000000"/>
                <w:sz w:val="22"/>
                <w:lang w:val="hu-HU"/>
              </w:rPr>
              <w:t xml:space="preserve"> összbilirubin</w:t>
            </w:r>
            <w:r w:rsidRPr="00556B9B">
              <w:rPr>
                <w:snapToGrid w:val="0"/>
                <w:color w:val="000000"/>
                <w:sz w:val="22"/>
                <w:lang w:val="de-CH"/>
              </w:rPr>
              <w:t xml:space="preserve"> &gt; ULN)</w:t>
            </w:r>
          </w:p>
        </w:tc>
      </w:tr>
      <w:tr w:rsidR="00910FC8" w:rsidRPr="00556B9B" w14:paraId="6A6E3207" w14:textId="77777777" w:rsidTr="005C6E7A">
        <w:trPr>
          <w:cantSplit/>
        </w:trPr>
        <w:tc>
          <w:tcPr>
            <w:tcW w:w="3368" w:type="dxa"/>
          </w:tcPr>
          <w:p w14:paraId="49E419FF" w14:textId="77777777" w:rsidR="00910FC8" w:rsidRPr="00556B9B" w:rsidRDefault="00910FC8" w:rsidP="005C6E7A">
            <w:pPr>
              <w:pStyle w:val="Text"/>
              <w:keepNext/>
              <w:spacing w:before="0"/>
              <w:jc w:val="left"/>
              <w:rPr>
                <w:color w:val="000000"/>
                <w:sz w:val="22"/>
                <w:lang w:val="de-CH"/>
              </w:rPr>
            </w:pPr>
            <w:r w:rsidRPr="00556B9B">
              <w:rPr>
                <w:color w:val="000000"/>
                <w:sz w:val="22"/>
                <w:lang w:val="hu-HU"/>
              </w:rPr>
              <w:t>Mérsékelt</w:t>
            </w:r>
          </w:p>
        </w:tc>
        <w:tc>
          <w:tcPr>
            <w:tcW w:w="5917" w:type="dxa"/>
          </w:tcPr>
          <w:p w14:paraId="4EC63031" w14:textId="77777777" w:rsidR="00910FC8" w:rsidRPr="00556B9B" w:rsidRDefault="00910FC8" w:rsidP="005C6E7A">
            <w:pPr>
              <w:keepNext/>
              <w:suppressAutoHyphens w:val="0"/>
              <w:spacing w:line="240" w:lineRule="auto"/>
              <w:rPr>
                <w:snapToGrid w:val="0"/>
                <w:color w:val="000000"/>
                <w:lang w:val="de-CH"/>
              </w:rPr>
            </w:pPr>
            <w:r w:rsidRPr="00556B9B">
              <w:rPr>
                <w:snapToGrid w:val="0"/>
                <w:color w:val="000000"/>
                <w:lang w:val="de-CH"/>
              </w:rPr>
              <w:t>Összbilirubin: &gt; 1,5</w:t>
            </w:r>
            <w:r w:rsidRPr="00556B9B">
              <w:rPr>
                <w:color w:val="000000"/>
                <w:lang w:val="de-CH"/>
              </w:rPr>
              <w:t>–</w:t>
            </w:r>
            <w:r w:rsidRPr="00556B9B">
              <w:rPr>
                <w:snapToGrid w:val="0"/>
                <w:color w:val="000000"/>
                <w:lang w:val="de-CH"/>
              </w:rPr>
              <w:t>3,0 ULN</w:t>
            </w:r>
          </w:p>
          <w:p w14:paraId="24339880" w14:textId="77777777" w:rsidR="00910FC8" w:rsidRPr="00556B9B" w:rsidRDefault="00910FC8" w:rsidP="005C6E7A">
            <w:pPr>
              <w:pStyle w:val="Text"/>
              <w:keepNext/>
              <w:spacing w:before="0"/>
              <w:jc w:val="left"/>
              <w:rPr>
                <w:color w:val="000000"/>
                <w:sz w:val="22"/>
                <w:lang w:val="en-GB"/>
              </w:rPr>
            </w:pPr>
            <w:smartTag w:uri="urn:schemas-microsoft-com:office:smarttags" w:element="stockticker">
              <w:r w:rsidRPr="00556B9B">
                <w:rPr>
                  <w:snapToGrid w:val="0"/>
                  <w:color w:val="000000"/>
                  <w:sz w:val="22"/>
                </w:rPr>
                <w:t>GOT</w:t>
              </w:r>
            </w:smartTag>
            <w:r w:rsidRPr="00556B9B">
              <w:rPr>
                <w:snapToGrid w:val="0"/>
                <w:color w:val="000000"/>
                <w:sz w:val="22"/>
              </w:rPr>
              <w:t>:</w:t>
            </w:r>
            <w:r w:rsidRPr="00556B9B">
              <w:rPr>
                <w:snapToGrid w:val="0"/>
                <w:color w:val="000000"/>
                <w:sz w:val="22"/>
                <w:lang w:val="hu-HU"/>
              </w:rPr>
              <w:t xml:space="preserve"> bármennyi</w:t>
            </w:r>
          </w:p>
        </w:tc>
      </w:tr>
      <w:tr w:rsidR="00910FC8" w:rsidRPr="00556B9B" w14:paraId="4C99273F" w14:textId="77777777" w:rsidTr="005C6E7A">
        <w:trPr>
          <w:cantSplit/>
        </w:trPr>
        <w:tc>
          <w:tcPr>
            <w:tcW w:w="3368" w:type="dxa"/>
          </w:tcPr>
          <w:p w14:paraId="208213FB" w14:textId="77777777" w:rsidR="00910FC8" w:rsidRPr="00556B9B" w:rsidRDefault="00910FC8" w:rsidP="005C6E7A">
            <w:pPr>
              <w:pStyle w:val="Text"/>
              <w:keepNext/>
              <w:spacing w:before="0"/>
              <w:jc w:val="left"/>
              <w:rPr>
                <w:color w:val="000000"/>
                <w:sz w:val="22"/>
                <w:lang w:val="de-CH"/>
              </w:rPr>
            </w:pPr>
            <w:r w:rsidRPr="00556B9B">
              <w:rPr>
                <w:color w:val="000000"/>
                <w:sz w:val="22"/>
                <w:lang w:val="hu-HU"/>
              </w:rPr>
              <w:t>Súlyos</w:t>
            </w:r>
          </w:p>
        </w:tc>
        <w:tc>
          <w:tcPr>
            <w:tcW w:w="5917" w:type="dxa"/>
          </w:tcPr>
          <w:p w14:paraId="39454B11" w14:textId="77777777" w:rsidR="00910FC8" w:rsidRPr="00556B9B" w:rsidRDefault="00910FC8" w:rsidP="005C6E7A">
            <w:pPr>
              <w:keepNext/>
              <w:suppressAutoHyphens w:val="0"/>
              <w:spacing w:line="240" w:lineRule="auto"/>
              <w:rPr>
                <w:snapToGrid w:val="0"/>
                <w:color w:val="000000"/>
                <w:lang w:val="de-CH"/>
              </w:rPr>
            </w:pPr>
            <w:r w:rsidRPr="00556B9B">
              <w:rPr>
                <w:snapToGrid w:val="0"/>
                <w:color w:val="000000"/>
                <w:lang w:val="de-CH"/>
              </w:rPr>
              <w:t>Összbilirubin: &gt; 3</w:t>
            </w:r>
            <w:r w:rsidRPr="00556B9B">
              <w:rPr>
                <w:color w:val="000000"/>
                <w:lang w:val="de-CH"/>
              </w:rPr>
              <w:t>–</w:t>
            </w:r>
            <w:r w:rsidRPr="00556B9B">
              <w:rPr>
                <w:snapToGrid w:val="0"/>
                <w:color w:val="000000"/>
                <w:lang w:val="de-CH"/>
              </w:rPr>
              <w:t>10 ULN</w:t>
            </w:r>
          </w:p>
          <w:p w14:paraId="325D9E92" w14:textId="77777777" w:rsidR="00910FC8" w:rsidRPr="00556B9B" w:rsidRDefault="00910FC8" w:rsidP="005C6E7A">
            <w:pPr>
              <w:pStyle w:val="Text"/>
              <w:keepNext/>
              <w:spacing w:before="0"/>
              <w:jc w:val="left"/>
              <w:rPr>
                <w:color w:val="000000"/>
                <w:sz w:val="22"/>
                <w:lang w:val="en-GB"/>
              </w:rPr>
            </w:pPr>
            <w:smartTag w:uri="urn:schemas-microsoft-com:office:smarttags" w:element="stockticker">
              <w:r w:rsidRPr="00556B9B">
                <w:rPr>
                  <w:snapToGrid w:val="0"/>
                  <w:color w:val="000000"/>
                  <w:sz w:val="22"/>
                </w:rPr>
                <w:t>GOT</w:t>
              </w:r>
            </w:smartTag>
            <w:r w:rsidRPr="00556B9B">
              <w:rPr>
                <w:snapToGrid w:val="0"/>
                <w:color w:val="000000"/>
                <w:sz w:val="22"/>
              </w:rPr>
              <w:t>: bármennyi</w:t>
            </w:r>
          </w:p>
        </w:tc>
      </w:tr>
    </w:tbl>
    <w:p w14:paraId="2A837E6B" w14:textId="77777777" w:rsidR="00910FC8" w:rsidRPr="00556B9B" w:rsidRDefault="00910FC8" w:rsidP="005C6E7A">
      <w:pPr>
        <w:pStyle w:val="Text"/>
        <w:keepNext/>
        <w:spacing w:before="0"/>
        <w:jc w:val="left"/>
        <w:rPr>
          <w:color w:val="000000"/>
          <w:sz w:val="22"/>
        </w:rPr>
      </w:pPr>
      <w:r w:rsidRPr="00556B9B">
        <w:rPr>
          <w:color w:val="000000"/>
          <w:sz w:val="22"/>
        </w:rPr>
        <w:t>ULN = az adott intézményben alkalmazott normál tartomány felső határa</w:t>
      </w:r>
    </w:p>
    <w:p w14:paraId="1195A33E" w14:textId="77777777" w:rsidR="00910FC8" w:rsidRPr="00556B9B" w:rsidRDefault="00910FC8">
      <w:pPr>
        <w:autoSpaceDE w:val="0"/>
        <w:autoSpaceDN w:val="0"/>
        <w:adjustRightInd w:val="0"/>
        <w:spacing w:line="240" w:lineRule="auto"/>
        <w:ind w:left="993" w:hanging="993"/>
        <w:rPr>
          <w:rFonts w:eastAsia="MS Mincho"/>
          <w:color w:val="000000"/>
          <w:lang w:eastAsia="ja-JP"/>
        </w:rPr>
      </w:pPr>
      <w:smartTag w:uri="urn:schemas-microsoft-com:office:smarttags" w:element="stockticker">
        <w:r w:rsidRPr="00556B9B">
          <w:rPr>
            <w:rFonts w:eastAsia="MS Mincho"/>
            <w:color w:val="000000"/>
            <w:lang w:eastAsia="ja-JP"/>
          </w:rPr>
          <w:t>GOT</w:t>
        </w:r>
      </w:smartTag>
      <w:r w:rsidRPr="00556B9B">
        <w:rPr>
          <w:rFonts w:eastAsia="MS Mincho"/>
          <w:color w:val="000000"/>
          <w:lang w:eastAsia="ja-JP"/>
        </w:rPr>
        <w:t xml:space="preserve"> = </w:t>
      </w:r>
      <w:r w:rsidRPr="00556B9B">
        <w:rPr>
          <w:color w:val="000000"/>
        </w:rPr>
        <w:t>glutaminsav-oxálecetsav transzamináz</w:t>
      </w:r>
    </w:p>
    <w:p w14:paraId="34A4493B" w14:textId="77777777" w:rsidR="00910FC8" w:rsidRPr="00556B9B" w:rsidRDefault="00910FC8">
      <w:pPr>
        <w:spacing w:line="240" w:lineRule="auto"/>
        <w:rPr>
          <w:color w:val="000000"/>
          <w:lang w:val="hu-HU"/>
        </w:rPr>
      </w:pPr>
    </w:p>
    <w:p w14:paraId="1D9A2FC2" w14:textId="089664EB" w:rsidR="00910FC8" w:rsidRPr="0019063C" w:rsidRDefault="00910FC8">
      <w:pPr>
        <w:spacing w:line="240" w:lineRule="auto"/>
        <w:rPr>
          <w:color w:val="000000"/>
          <w:lang w:val="hu-HU"/>
        </w:rPr>
      </w:pPr>
      <w:r w:rsidRPr="0019063C">
        <w:rPr>
          <w:i/>
          <w:color w:val="000000"/>
          <w:lang w:val="hu-HU"/>
        </w:rPr>
        <w:t>Veseelégtelenség:</w:t>
      </w:r>
      <w:r w:rsidRPr="0019063C">
        <w:rPr>
          <w:color w:val="000000"/>
          <w:lang w:val="hu-HU"/>
        </w:rPr>
        <w:t xml:space="preserve"> </w:t>
      </w:r>
      <w:r w:rsidR="000A3E39" w:rsidRPr="0019063C">
        <w:rPr>
          <w:color w:val="000000"/>
          <w:lang w:val="hu-HU"/>
        </w:rPr>
        <w:t>A</w:t>
      </w:r>
      <w:r w:rsidRPr="0019063C">
        <w:rPr>
          <w:color w:val="000000"/>
          <w:lang w:val="hu-HU"/>
        </w:rPr>
        <w:t xml:space="preserve"> </w:t>
      </w:r>
      <w:r w:rsidR="00E543EF" w:rsidRPr="0019063C">
        <w:rPr>
          <w:color w:val="000000"/>
          <w:lang w:val="hu-HU"/>
        </w:rPr>
        <w:t>vesekárosodásban szenvedő</w:t>
      </w:r>
      <w:r w:rsidR="000A3E39" w:rsidRPr="0019063C">
        <w:rPr>
          <w:color w:val="000000"/>
          <w:lang w:val="hu-HU"/>
        </w:rPr>
        <w:t xml:space="preserve"> vagy dializált</w:t>
      </w:r>
      <w:r w:rsidRPr="0019063C">
        <w:rPr>
          <w:color w:val="000000"/>
          <w:lang w:val="hu-HU"/>
        </w:rPr>
        <w:t xml:space="preserve"> betegek kezelését a legalacsonyabb ajánlott kezdő adaggal (400 mg) kell megkezdeni. Ezeknél a betegeknél azonban fokozott óvatosság ajánlott. Az adag csökkenthető, ha a beteg nem jól tolerálja</w:t>
      </w:r>
      <w:r w:rsidR="00575D84" w:rsidRPr="0019063C">
        <w:rPr>
          <w:color w:val="000000"/>
          <w:lang w:val="hu-HU"/>
        </w:rPr>
        <w:t>. Ha a beteg tolerálja</w:t>
      </w:r>
      <w:r w:rsidRPr="0019063C">
        <w:rPr>
          <w:color w:val="000000"/>
          <w:lang w:val="hu-HU"/>
        </w:rPr>
        <w:t>, hatástalanság esetén</w:t>
      </w:r>
      <w:r w:rsidR="002B2068" w:rsidRPr="0019063C">
        <w:rPr>
          <w:color w:val="000000"/>
          <w:lang w:val="hu-HU"/>
        </w:rPr>
        <w:t xml:space="preserve"> </w:t>
      </w:r>
      <w:r w:rsidR="00FD21E8" w:rsidRPr="0019063C">
        <w:rPr>
          <w:color w:val="000000"/>
          <w:lang w:val="hu-HU"/>
        </w:rPr>
        <w:t xml:space="preserve">az adag </w:t>
      </w:r>
      <w:r w:rsidR="002B2068" w:rsidRPr="0019063C">
        <w:rPr>
          <w:color w:val="000000"/>
          <w:lang w:val="hu-HU"/>
        </w:rPr>
        <w:t>emelhető</w:t>
      </w:r>
      <w:r w:rsidRPr="0019063C">
        <w:rPr>
          <w:color w:val="000000"/>
          <w:lang w:val="hu-HU"/>
        </w:rPr>
        <w:t xml:space="preserve"> (lásd 4.4 és 5.2 pont).</w:t>
      </w:r>
    </w:p>
    <w:p w14:paraId="3F26D85A" w14:textId="77777777" w:rsidR="00910FC8" w:rsidRPr="0019063C" w:rsidRDefault="00910FC8">
      <w:pPr>
        <w:spacing w:line="240" w:lineRule="auto"/>
        <w:rPr>
          <w:color w:val="000000"/>
          <w:lang w:val="hu-HU"/>
        </w:rPr>
      </w:pPr>
    </w:p>
    <w:p w14:paraId="5046DB59" w14:textId="0CAA4D76" w:rsidR="00910FC8" w:rsidRPr="00556B9B" w:rsidRDefault="000C7192">
      <w:pPr>
        <w:spacing w:line="240" w:lineRule="auto"/>
        <w:rPr>
          <w:color w:val="000000"/>
          <w:lang w:val="hu-HU"/>
        </w:rPr>
      </w:pPr>
      <w:r w:rsidRPr="0019063C">
        <w:rPr>
          <w:i/>
          <w:color w:val="000000"/>
          <w:lang w:val="hu-HU"/>
        </w:rPr>
        <w:t>Idősek</w:t>
      </w:r>
      <w:r w:rsidR="00910FC8" w:rsidRPr="0019063C">
        <w:rPr>
          <w:i/>
          <w:color w:val="000000"/>
          <w:lang w:val="hu-HU"/>
        </w:rPr>
        <w:t>:</w:t>
      </w:r>
      <w:r w:rsidR="00910FC8" w:rsidRPr="0019063C">
        <w:rPr>
          <w:color w:val="000000"/>
          <w:lang w:val="hu-HU"/>
        </w:rPr>
        <w:t xml:space="preserve"> nem végeztek specifikus vizsgálatokat az imatinib farmakokinetikájára vonatkozóan </w:t>
      </w:r>
      <w:r w:rsidRPr="0019063C">
        <w:rPr>
          <w:color w:val="000000"/>
          <w:lang w:val="hu-HU"/>
        </w:rPr>
        <w:t>időseknél</w:t>
      </w:r>
      <w:r w:rsidR="00910FC8" w:rsidRPr="0019063C">
        <w:rPr>
          <w:color w:val="000000"/>
          <w:lang w:val="hu-HU"/>
        </w:rPr>
        <w:t xml:space="preserve">. Klinikai vizsgálatokban, felnőtt kezeltekben </w:t>
      </w:r>
      <w:r w:rsidR="00910FC8" w:rsidRPr="0019063C">
        <w:rPr>
          <w:color w:val="000000"/>
          <w:lang w:val="hu-HU"/>
        </w:rPr>
        <w:noBreakHyphen/>
        <w:t> amelyekben több mint 20%</w:t>
      </w:r>
      <w:r w:rsidR="00910FC8" w:rsidRPr="0019063C">
        <w:rPr>
          <w:color w:val="000000"/>
          <w:lang w:val="hu-HU"/>
        </w:rPr>
        <w:noBreakHyphen/>
        <w:t>ban 65 éves, illetve idősebb betegek vettek részt </w:t>
      </w:r>
      <w:r w:rsidR="00910FC8" w:rsidRPr="0019063C">
        <w:rPr>
          <w:color w:val="000000"/>
          <w:lang w:val="hu-HU"/>
        </w:rPr>
        <w:noBreakHyphen/>
        <w:t xml:space="preserve"> nem tapasztaltak jelentős, korhoz kötött farmakokinetikai különbségeket. Nem szükséges specifikus </w:t>
      </w:r>
      <w:r w:rsidR="00E543EF" w:rsidRPr="0019063C">
        <w:rPr>
          <w:color w:val="000000"/>
          <w:lang w:val="hu-HU"/>
        </w:rPr>
        <w:t>dózis</w:t>
      </w:r>
      <w:r w:rsidR="00910FC8" w:rsidRPr="0019063C">
        <w:rPr>
          <w:color w:val="000000"/>
          <w:lang w:val="hu-HU"/>
        </w:rPr>
        <w:t>módosítás időskorban</w:t>
      </w:r>
      <w:r w:rsidR="00910FC8" w:rsidRPr="00556B9B">
        <w:rPr>
          <w:color w:val="000000"/>
          <w:lang w:val="hu-HU"/>
        </w:rPr>
        <w:t>.</w:t>
      </w:r>
    </w:p>
    <w:p w14:paraId="4959B954" w14:textId="77777777" w:rsidR="00910FC8" w:rsidRPr="00556B9B" w:rsidRDefault="00910FC8">
      <w:pPr>
        <w:spacing w:line="240" w:lineRule="auto"/>
        <w:rPr>
          <w:color w:val="000000"/>
          <w:lang w:val="hu-HU"/>
        </w:rPr>
      </w:pPr>
    </w:p>
    <w:p w14:paraId="122796BF" w14:textId="77777777" w:rsidR="00910FC8" w:rsidRPr="00556B9B" w:rsidRDefault="00910FC8" w:rsidP="005C6E7A">
      <w:pPr>
        <w:keepNext/>
        <w:spacing w:line="240" w:lineRule="auto"/>
        <w:ind w:left="567" w:hanging="567"/>
        <w:rPr>
          <w:b/>
          <w:color w:val="000000"/>
          <w:lang w:val="hu-HU"/>
        </w:rPr>
      </w:pPr>
      <w:r w:rsidRPr="00556B9B">
        <w:rPr>
          <w:b/>
          <w:color w:val="000000"/>
          <w:lang w:val="hu-HU"/>
        </w:rPr>
        <w:t>4.3</w:t>
      </w:r>
      <w:r w:rsidRPr="00556B9B">
        <w:rPr>
          <w:b/>
          <w:color w:val="000000"/>
          <w:lang w:val="hu-HU"/>
        </w:rPr>
        <w:tab/>
        <w:t>Ellenjavallatok</w:t>
      </w:r>
    </w:p>
    <w:p w14:paraId="13CEDEF4" w14:textId="77777777" w:rsidR="00910FC8" w:rsidRPr="00556B9B" w:rsidRDefault="00910FC8" w:rsidP="005C6E7A">
      <w:pPr>
        <w:keepNext/>
        <w:spacing w:line="240" w:lineRule="auto"/>
        <w:rPr>
          <w:color w:val="000000"/>
          <w:lang w:val="hu-HU"/>
        </w:rPr>
      </w:pPr>
    </w:p>
    <w:p w14:paraId="024BE7A6" w14:textId="77777777" w:rsidR="00910FC8" w:rsidRPr="00556B9B" w:rsidRDefault="00910FC8">
      <w:pPr>
        <w:spacing w:line="240" w:lineRule="auto"/>
        <w:rPr>
          <w:color w:val="000000"/>
          <w:lang w:val="hu-HU"/>
        </w:rPr>
      </w:pPr>
      <w:r w:rsidRPr="00556B9B">
        <w:rPr>
          <w:color w:val="000000"/>
          <w:lang w:val="hu-HU"/>
        </w:rPr>
        <w:t>A készítmény hatóanyagával vagy</w:t>
      </w:r>
      <w:r w:rsidR="00545C0D" w:rsidRPr="00556B9B">
        <w:rPr>
          <w:noProof/>
          <w:szCs w:val="22"/>
          <w:lang w:val="hu-HU" w:eastAsia="en-US"/>
        </w:rPr>
        <w:t xml:space="preserve"> a 6.1 pontban felsorolt</w:t>
      </w:r>
      <w:r w:rsidRPr="00556B9B">
        <w:rPr>
          <w:color w:val="000000"/>
          <w:lang w:val="hu-HU"/>
        </w:rPr>
        <w:t xml:space="preserve"> </w:t>
      </w:r>
      <w:r w:rsidR="006351D8" w:rsidRPr="00556B9B">
        <w:rPr>
          <w:color w:val="000000"/>
          <w:lang w:val="hu-HU"/>
        </w:rPr>
        <w:t xml:space="preserve">bármely </w:t>
      </w:r>
      <w:r w:rsidRPr="00556B9B">
        <w:rPr>
          <w:color w:val="000000"/>
          <w:lang w:val="hu-HU"/>
        </w:rPr>
        <w:t>segédanyagával szembeni túlérzékenység.</w:t>
      </w:r>
    </w:p>
    <w:p w14:paraId="350276D7" w14:textId="77777777" w:rsidR="00910FC8" w:rsidRPr="00556B9B" w:rsidRDefault="00910FC8">
      <w:pPr>
        <w:spacing w:line="240" w:lineRule="auto"/>
        <w:ind w:left="567" w:hanging="567"/>
        <w:rPr>
          <w:color w:val="000000"/>
          <w:lang w:val="hu-HU"/>
        </w:rPr>
      </w:pPr>
    </w:p>
    <w:p w14:paraId="3A95DE0A" w14:textId="77777777" w:rsidR="00910FC8" w:rsidRPr="0019063C" w:rsidRDefault="00910FC8" w:rsidP="005C6E7A">
      <w:pPr>
        <w:keepNext/>
        <w:spacing w:line="240" w:lineRule="auto"/>
        <w:ind w:left="567" w:hanging="567"/>
        <w:rPr>
          <w:b/>
          <w:color w:val="000000"/>
          <w:lang w:val="hu-HU"/>
        </w:rPr>
      </w:pPr>
      <w:r w:rsidRPr="00556B9B">
        <w:rPr>
          <w:b/>
          <w:color w:val="000000"/>
          <w:lang w:val="hu-HU"/>
        </w:rPr>
        <w:t>4.4</w:t>
      </w:r>
      <w:r w:rsidRPr="00556B9B">
        <w:rPr>
          <w:b/>
          <w:color w:val="000000"/>
          <w:lang w:val="hu-HU"/>
        </w:rPr>
        <w:tab/>
        <w:t xml:space="preserve">Különleges </w:t>
      </w:r>
      <w:r w:rsidRPr="0019063C">
        <w:rPr>
          <w:b/>
          <w:color w:val="000000"/>
          <w:lang w:val="hu-HU"/>
        </w:rPr>
        <w:t>figyelmeztetések és az alkalmazással kapcsolatos óvintézkedések</w:t>
      </w:r>
    </w:p>
    <w:p w14:paraId="2273FE80" w14:textId="77777777" w:rsidR="00910FC8" w:rsidRPr="0019063C" w:rsidRDefault="00910FC8" w:rsidP="005C6E7A">
      <w:pPr>
        <w:keepNext/>
        <w:spacing w:line="240" w:lineRule="auto"/>
        <w:rPr>
          <w:color w:val="000000"/>
          <w:lang w:val="hu-HU"/>
        </w:rPr>
      </w:pPr>
    </w:p>
    <w:p w14:paraId="56F7384F" w14:textId="12961562" w:rsidR="00910FC8" w:rsidRPr="00556B9B" w:rsidRDefault="00A07FAA">
      <w:pPr>
        <w:spacing w:line="240" w:lineRule="auto"/>
        <w:rPr>
          <w:color w:val="000000"/>
          <w:lang w:val="hu-HU"/>
        </w:rPr>
      </w:pPr>
      <w:r w:rsidRPr="0019063C">
        <w:rPr>
          <w:color w:val="000000"/>
          <w:lang w:val="hu-HU"/>
        </w:rPr>
        <w:t>Ha a</w:t>
      </w:r>
      <w:r w:rsidR="00910FC8" w:rsidRPr="0019063C">
        <w:rPr>
          <w:color w:val="000000"/>
          <w:lang w:val="hu-HU"/>
        </w:rPr>
        <w:t xml:space="preserve"> Glivec</w:t>
      </w:r>
      <w:r w:rsidR="00910FC8" w:rsidRPr="0019063C">
        <w:rPr>
          <w:color w:val="000000"/>
          <w:lang w:val="hu-HU"/>
        </w:rPr>
        <w:noBreakHyphen/>
        <w:t>et egyéb gyógyszerekkel adják egyidejűleg, számolni kell a gyógyszerkölcsönhatások kialakulásának lehetőségével.</w:t>
      </w:r>
      <w:r w:rsidR="002B2068" w:rsidRPr="0019063C">
        <w:rPr>
          <w:color w:val="000000"/>
          <w:lang w:val="hu-HU"/>
        </w:rPr>
        <w:t xml:space="preserve"> </w:t>
      </w:r>
      <w:r w:rsidR="002B2068" w:rsidRPr="0019063C">
        <w:rPr>
          <w:lang w:val="hu-HU"/>
        </w:rPr>
        <w:t>Elővigyázatosság szükséges, ha a Glivec</w:t>
      </w:r>
      <w:r w:rsidR="002B2068" w:rsidRPr="0019063C">
        <w:rPr>
          <w:lang w:val="hu-HU"/>
        </w:rPr>
        <w:noBreakHyphen/>
        <w:t xml:space="preserve">et </w:t>
      </w:r>
      <w:r w:rsidR="0045121B" w:rsidRPr="0019063C">
        <w:rPr>
          <w:lang w:val="hu-HU"/>
        </w:rPr>
        <w:t>proteáz</w:t>
      </w:r>
      <w:r w:rsidR="00374A79" w:rsidRPr="0019063C">
        <w:rPr>
          <w:lang w:val="hu-HU"/>
        </w:rPr>
        <w:noBreakHyphen/>
      </w:r>
      <w:r w:rsidR="0045121B" w:rsidRPr="0019063C">
        <w:rPr>
          <w:lang w:val="hu-HU"/>
        </w:rPr>
        <w:t>inhib</w:t>
      </w:r>
      <w:r w:rsidRPr="0019063C">
        <w:rPr>
          <w:lang w:val="hu-HU"/>
        </w:rPr>
        <w:t>i</w:t>
      </w:r>
      <w:r w:rsidR="0045121B" w:rsidRPr="0019063C">
        <w:rPr>
          <w:lang w:val="hu-HU"/>
        </w:rPr>
        <w:t>torokkal, azol</w:t>
      </w:r>
      <w:r w:rsidRPr="0019063C">
        <w:rPr>
          <w:lang w:val="hu-HU"/>
        </w:rPr>
        <w:t>-típusú</w:t>
      </w:r>
      <w:r w:rsidR="0045121B" w:rsidRPr="0019063C">
        <w:rPr>
          <w:lang w:val="hu-HU"/>
        </w:rPr>
        <w:t xml:space="preserve"> gombaellenes szerekkel, egyes makrolidokkal (lásd </w:t>
      </w:r>
      <w:r w:rsidR="00374A79" w:rsidRPr="0019063C">
        <w:rPr>
          <w:lang w:val="hu-HU"/>
        </w:rPr>
        <w:t>4.5 pont)</w:t>
      </w:r>
      <w:r w:rsidR="002B2068" w:rsidRPr="0019063C">
        <w:rPr>
          <w:lang w:val="hu-HU"/>
        </w:rPr>
        <w:t>, szűk terápiás ablakú CYP3A4</w:t>
      </w:r>
      <w:r w:rsidR="002B2068" w:rsidRPr="0019063C">
        <w:rPr>
          <w:lang w:val="hu-HU"/>
        </w:rPr>
        <w:noBreakHyphen/>
        <w:t>szubsztráttal (pl. ciklosporin</w:t>
      </w:r>
      <w:r w:rsidR="00374A79" w:rsidRPr="0019063C">
        <w:rPr>
          <w:lang w:val="hu-HU"/>
        </w:rPr>
        <w:t>,</w:t>
      </w:r>
      <w:r w:rsidR="002B2068" w:rsidRPr="0019063C">
        <w:rPr>
          <w:lang w:val="hu-HU"/>
        </w:rPr>
        <w:t xml:space="preserve"> pimozid</w:t>
      </w:r>
      <w:r w:rsidR="00374A79" w:rsidRPr="0019063C">
        <w:rPr>
          <w:lang w:val="hu-HU"/>
        </w:rPr>
        <w:t xml:space="preserve">, </w:t>
      </w:r>
      <w:r w:rsidR="00374A79" w:rsidRPr="0019063C">
        <w:rPr>
          <w:color w:val="000000"/>
          <w:szCs w:val="22"/>
          <w:lang w:val="hu-HU"/>
        </w:rPr>
        <w:t>takrolimus</w:t>
      </w:r>
      <w:r w:rsidR="007F6AA9" w:rsidRPr="0019063C">
        <w:rPr>
          <w:color w:val="000000"/>
          <w:szCs w:val="22"/>
          <w:lang w:val="hu-HU"/>
        </w:rPr>
        <w:t>z</w:t>
      </w:r>
      <w:r w:rsidR="00374A79" w:rsidRPr="0019063C">
        <w:rPr>
          <w:color w:val="000000"/>
          <w:szCs w:val="22"/>
          <w:lang w:val="hu-HU"/>
        </w:rPr>
        <w:t>, szirolimusz, ergotamin, diergotamin, fentan</w:t>
      </w:r>
      <w:r w:rsidR="008D3EB1" w:rsidRPr="0019063C">
        <w:rPr>
          <w:color w:val="000000"/>
          <w:szCs w:val="22"/>
          <w:lang w:val="hu-HU"/>
        </w:rPr>
        <w:t>i</w:t>
      </w:r>
      <w:r w:rsidR="00374A79" w:rsidRPr="0019063C">
        <w:rPr>
          <w:color w:val="000000"/>
          <w:szCs w:val="22"/>
          <w:lang w:val="hu-HU"/>
        </w:rPr>
        <w:t>l, alfentanil, terfenadin, bortezomib</w:t>
      </w:r>
      <w:r w:rsidR="00374A79" w:rsidRPr="00556B9B">
        <w:rPr>
          <w:color w:val="000000"/>
          <w:szCs w:val="22"/>
          <w:lang w:val="hu-HU"/>
        </w:rPr>
        <w:t>, docetaxel, kinidin</w:t>
      </w:r>
      <w:r w:rsidR="002B2068" w:rsidRPr="00556B9B">
        <w:rPr>
          <w:lang w:val="hu-HU"/>
        </w:rPr>
        <w:t>) vagy warfarin</w:t>
      </w:r>
      <w:r w:rsidR="00374A79" w:rsidRPr="00556B9B">
        <w:rPr>
          <w:lang w:val="hu-HU"/>
        </w:rPr>
        <w:t>nal</w:t>
      </w:r>
      <w:r w:rsidR="002B2068" w:rsidRPr="00556B9B">
        <w:rPr>
          <w:lang w:val="hu-HU"/>
        </w:rPr>
        <w:t xml:space="preserve"> és egyéb kumarin</w:t>
      </w:r>
      <w:r w:rsidR="0084606B" w:rsidRPr="00556B9B">
        <w:rPr>
          <w:lang w:val="hu-HU"/>
        </w:rPr>
        <w:noBreakHyphen/>
      </w:r>
      <w:r w:rsidR="002B2068" w:rsidRPr="00556B9B">
        <w:rPr>
          <w:lang w:val="hu-HU"/>
        </w:rPr>
        <w:t>származékok</w:t>
      </w:r>
      <w:r w:rsidR="00374A79" w:rsidRPr="00556B9B">
        <w:rPr>
          <w:lang w:val="hu-HU"/>
        </w:rPr>
        <w:t>kal</w:t>
      </w:r>
      <w:r w:rsidR="002B2068" w:rsidRPr="00556B9B">
        <w:rPr>
          <w:lang w:val="hu-HU"/>
        </w:rPr>
        <w:t xml:space="preserve"> együtt szedik (lásd 4.5 pont).</w:t>
      </w:r>
    </w:p>
    <w:p w14:paraId="6538174C" w14:textId="77777777" w:rsidR="00910FC8" w:rsidRPr="00556B9B" w:rsidRDefault="00910FC8">
      <w:pPr>
        <w:pStyle w:val="BodyText"/>
        <w:spacing w:line="240" w:lineRule="auto"/>
        <w:rPr>
          <w:b w:val="0"/>
          <w:i w:val="0"/>
          <w:color w:val="000000"/>
          <w:lang w:val="hu-HU"/>
        </w:rPr>
      </w:pPr>
    </w:p>
    <w:p w14:paraId="33E2AE54" w14:textId="22BEF9D0" w:rsidR="00910FC8" w:rsidRPr="00556B9B" w:rsidRDefault="00910FC8">
      <w:pPr>
        <w:pStyle w:val="BodyText"/>
        <w:spacing w:line="240" w:lineRule="auto"/>
        <w:rPr>
          <w:b w:val="0"/>
          <w:i w:val="0"/>
          <w:color w:val="000000"/>
          <w:lang w:val="hu-HU"/>
        </w:rPr>
      </w:pPr>
      <w:r w:rsidRPr="0019063C">
        <w:rPr>
          <w:b w:val="0"/>
          <w:i w:val="0"/>
          <w:color w:val="000000"/>
          <w:lang w:val="hu-HU"/>
        </w:rPr>
        <w:t>Az imatinib és a CYP3A4</w:t>
      </w:r>
      <w:r w:rsidRPr="0019063C">
        <w:rPr>
          <w:b w:val="0"/>
          <w:i w:val="0"/>
          <w:color w:val="000000"/>
          <w:lang w:val="hu-HU"/>
        </w:rPr>
        <w:noBreakHyphen/>
        <w:t xml:space="preserve">et indukáló gyógyszerek (pl dexametazon, fenitoin, karbamazepin, rifampicin, fenobarbitál, vagy </w:t>
      </w:r>
      <w:r w:rsidRPr="0019063C">
        <w:rPr>
          <w:b w:val="0"/>
          <w:color w:val="000000"/>
          <w:lang w:val="hu-HU"/>
        </w:rPr>
        <w:t>Hypericum perforatum,</w:t>
      </w:r>
      <w:r w:rsidRPr="0019063C">
        <w:rPr>
          <w:b w:val="0"/>
          <w:i w:val="0"/>
          <w:color w:val="000000"/>
          <w:lang w:val="hu-HU"/>
        </w:rPr>
        <w:t xml:space="preserve"> másnéven </w:t>
      </w:r>
      <w:r w:rsidR="00510D23" w:rsidRPr="0019063C">
        <w:rPr>
          <w:b w:val="0"/>
          <w:i w:val="0"/>
          <w:color w:val="000000"/>
          <w:lang w:val="hu-HU"/>
        </w:rPr>
        <w:t xml:space="preserve">közönséges </w:t>
      </w:r>
      <w:r w:rsidRPr="0019063C">
        <w:rPr>
          <w:b w:val="0"/>
          <w:i w:val="0"/>
          <w:color w:val="000000"/>
          <w:lang w:val="hu-HU"/>
        </w:rPr>
        <w:t>orbáncfű) egyidejű alkalmazásakor jelentősen csökkenhet a Glivec expozíció, potenciálisan fokozva</w:t>
      </w:r>
      <w:r w:rsidRPr="00556B9B">
        <w:rPr>
          <w:b w:val="0"/>
          <w:i w:val="0"/>
          <w:color w:val="000000"/>
          <w:lang w:val="hu-HU"/>
        </w:rPr>
        <w:t xml:space="preserve"> a terápiás elégtelenség kockázatát. Ezért kerülni kell az erős CYP3A4 induktorok és az imatinib együttadását (lásd 4.5 pont).</w:t>
      </w:r>
    </w:p>
    <w:p w14:paraId="1A469FB0" w14:textId="77777777" w:rsidR="00910FC8" w:rsidRPr="00556B9B" w:rsidRDefault="00910FC8">
      <w:pPr>
        <w:spacing w:line="240" w:lineRule="auto"/>
        <w:rPr>
          <w:color w:val="000000"/>
          <w:lang w:val="hu-HU"/>
        </w:rPr>
      </w:pPr>
    </w:p>
    <w:p w14:paraId="2268EE3E" w14:textId="77777777" w:rsidR="00545C0D" w:rsidRPr="00556B9B" w:rsidRDefault="00545C0D" w:rsidP="00545C0D">
      <w:pPr>
        <w:pStyle w:val="EndnoteText"/>
        <w:keepNext/>
        <w:widowControl w:val="0"/>
        <w:tabs>
          <w:tab w:val="left" w:pos="7655"/>
        </w:tabs>
        <w:rPr>
          <w:color w:val="000000"/>
          <w:szCs w:val="22"/>
          <w:u w:val="single"/>
          <w:lang w:val="hu-HU"/>
        </w:rPr>
      </w:pPr>
      <w:r w:rsidRPr="00556B9B">
        <w:rPr>
          <w:color w:val="000000"/>
          <w:u w:val="single"/>
          <w:lang w:val="hu-HU"/>
        </w:rPr>
        <w:t>Hypothyreosis</w:t>
      </w:r>
    </w:p>
    <w:p w14:paraId="2E88890E" w14:textId="0F0ED98F" w:rsidR="00910FC8" w:rsidRPr="00556B9B" w:rsidRDefault="00910FC8">
      <w:pPr>
        <w:spacing w:line="240" w:lineRule="auto"/>
        <w:rPr>
          <w:color w:val="000000"/>
          <w:lang w:val="hu-HU"/>
        </w:rPr>
      </w:pPr>
      <w:r w:rsidRPr="00556B9B">
        <w:rPr>
          <w:color w:val="000000"/>
          <w:lang w:val="hu-HU"/>
        </w:rPr>
        <w:t xml:space="preserve">Thyreoidectomián </w:t>
      </w:r>
      <w:r w:rsidRPr="0019063C">
        <w:rPr>
          <w:color w:val="000000"/>
          <w:lang w:val="hu-HU"/>
        </w:rPr>
        <w:t>átesett, levotiroxin</w:t>
      </w:r>
      <w:r w:rsidR="00510D23" w:rsidRPr="0019063C">
        <w:rPr>
          <w:color w:val="000000"/>
          <w:lang w:val="hu-HU"/>
        </w:rPr>
        <w:t>-</w:t>
      </w:r>
      <w:r w:rsidRPr="0019063C">
        <w:rPr>
          <w:color w:val="000000"/>
          <w:lang w:val="hu-HU"/>
        </w:rPr>
        <w:t>pótlás alatt álló betegek Glivec</w:t>
      </w:r>
      <w:r w:rsidRPr="0019063C">
        <w:rPr>
          <w:color w:val="000000"/>
          <w:lang w:val="hu-HU"/>
        </w:rPr>
        <w:noBreakHyphen/>
        <w:t>kezelése során beszámoltak h</w:t>
      </w:r>
      <w:r w:rsidR="00510D23" w:rsidRPr="0019063C">
        <w:rPr>
          <w:color w:val="000000"/>
          <w:lang w:val="hu-HU"/>
        </w:rPr>
        <w:t>ypothyreosis</w:t>
      </w:r>
      <w:r w:rsidRPr="0019063C">
        <w:rPr>
          <w:color w:val="000000"/>
          <w:lang w:val="hu-HU"/>
        </w:rPr>
        <w:t xml:space="preserve"> klinikai tüneteivel járó esetekről (lásd 4.5 pont). Ebben a betegcsoportban a </w:t>
      </w:r>
      <w:r w:rsidR="002B2068" w:rsidRPr="0019063C">
        <w:rPr>
          <w:color w:val="000000"/>
          <w:lang w:val="hu-HU"/>
        </w:rPr>
        <w:t>pajzsmirigyserkentő</w:t>
      </w:r>
      <w:r w:rsidR="002B2068" w:rsidRPr="0019063C">
        <w:rPr>
          <w:color w:val="000000"/>
          <w:lang w:val="hu-HU"/>
        </w:rPr>
        <w:noBreakHyphen/>
        <w:t>hormon</w:t>
      </w:r>
      <w:r w:rsidR="00B74C90" w:rsidRPr="00556B9B">
        <w:rPr>
          <w:color w:val="000000"/>
          <w:lang w:val="hu-HU"/>
        </w:rPr>
        <w:t xml:space="preserve"> </w:t>
      </w:r>
      <w:r w:rsidR="002B2068" w:rsidRPr="00556B9B">
        <w:rPr>
          <w:color w:val="000000"/>
          <w:lang w:val="hu-HU"/>
        </w:rPr>
        <w:t>(</w:t>
      </w:r>
      <w:r w:rsidRPr="00556B9B">
        <w:rPr>
          <w:color w:val="000000"/>
          <w:lang w:val="hu-HU"/>
        </w:rPr>
        <w:t>TSH</w:t>
      </w:r>
      <w:r w:rsidR="00B74C90" w:rsidRPr="00556B9B">
        <w:rPr>
          <w:color w:val="000000"/>
          <w:lang w:val="hu-HU"/>
        </w:rPr>
        <w:t xml:space="preserve">) </w:t>
      </w:r>
      <w:r w:rsidRPr="00556B9B">
        <w:rPr>
          <w:color w:val="000000"/>
          <w:lang w:val="hu-HU"/>
        </w:rPr>
        <w:t>szinteket szorosan ellenőrizni kell.</w:t>
      </w:r>
    </w:p>
    <w:p w14:paraId="46FEB155" w14:textId="77777777" w:rsidR="00910FC8" w:rsidRPr="00556B9B" w:rsidRDefault="00910FC8">
      <w:pPr>
        <w:spacing w:line="240" w:lineRule="auto"/>
        <w:rPr>
          <w:color w:val="000000"/>
          <w:lang w:val="hu-HU"/>
        </w:rPr>
      </w:pPr>
    </w:p>
    <w:p w14:paraId="33E5DC27" w14:textId="77777777" w:rsidR="00545C0D" w:rsidRPr="00556B9B" w:rsidRDefault="00545C0D" w:rsidP="005C6E7A">
      <w:pPr>
        <w:pStyle w:val="EndnoteText"/>
        <w:keepNext/>
        <w:widowControl w:val="0"/>
        <w:tabs>
          <w:tab w:val="left" w:pos="7655"/>
        </w:tabs>
        <w:rPr>
          <w:color w:val="000000"/>
          <w:szCs w:val="22"/>
          <w:u w:val="single"/>
          <w:lang w:val="hu-HU"/>
        </w:rPr>
      </w:pPr>
      <w:r w:rsidRPr="00556B9B">
        <w:rPr>
          <w:color w:val="000000"/>
          <w:u w:val="single"/>
          <w:lang w:val="hu-HU"/>
        </w:rPr>
        <w:t>Hepatotoxicitás</w:t>
      </w:r>
    </w:p>
    <w:p w14:paraId="143B8895" w14:textId="47BD0436" w:rsidR="00910FC8" w:rsidRPr="00556B9B" w:rsidRDefault="00910FC8">
      <w:pPr>
        <w:spacing w:line="240" w:lineRule="auto"/>
        <w:rPr>
          <w:color w:val="000000"/>
          <w:lang w:val="hu-HU"/>
        </w:rPr>
      </w:pPr>
      <w:r w:rsidRPr="00556B9B">
        <w:rPr>
          <w:color w:val="000000"/>
          <w:lang w:val="hu-HU"/>
        </w:rPr>
        <w:t>A Glivec főként a májon keresztül metabolizálódik, csak 13%</w:t>
      </w:r>
      <w:r w:rsidRPr="00556B9B">
        <w:rPr>
          <w:color w:val="000000"/>
          <w:lang w:val="hu-HU"/>
        </w:rPr>
        <w:noBreakHyphen/>
        <w:t xml:space="preserve">a ürül </w:t>
      </w:r>
      <w:r w:rsidRPr="0019063C">
        <w:rPr>
          <w:color w:val="000000"/>
          <w:lang w:val="hu-HU"/>
        </w:rPr>
        <w:t>a vesén keresztül. Enyhe, mérsékelt vagy súlyos mértékben károsodott májfunkciójú betegek</w:t>
      </w:r>
      <w:r w:rsidR="0041250E" w:rsidRPr="0019063C">
        <w:rPr>
          <w:color w:val="000000"/>
          <w:lang w:val="hu-HU"/>
        </w:rPr>
        <w:t>nél</w:t>
      </w:r>
      <w:r w:rsidRPr="0019063C">
        <w:rPr>
          <w:color w:val="000000"/>
          <w:lang w:val="hu-HU"/>
        </w:rPr>
        <w:t xml:space="preserve"> a perifériás vérképet és a májenzimeket gondosan monitorozni kell (lásd 4.2, 4.8 és 5.2 pontok). Megjegyzendő</w:t>
      </w:r>
      <w:r w:rsidRPr="00556B9B">
        <w:rPr>
          <w:color w:val="000000"/>
          <w:lang w:val="hu-HU"/>
        </w:rPr>
        <w:t>, hogy GIST</w:t>
      </w:r>
      <w:r w:rsidRPr="00556B9B">
        <w:rPr>
          <w:color w:val="000000"/>
          <w:lang w:val="hu-HU"/>
        </w:rPr>
        <w:noBreakHyphen/>
        <w:t>es betegeknek májmetasztázisa is lehet, ami májelégtelenséghez vezethet.</w:t>
      </w:r>
    </w:p>
    <w:p w14:paraId="4AF36963" w14:textId="77777777" w:rsidR="00910FC8" w:rsidRPr="00556B9B" w:rsidRDefault="00910FC8">
      <w:pPr>
        <w:spacing w:line="240" w:lineRule="auto"/>
        <w:rPr>
          <w:color w:val="000000"/>
          <w:lang w:val="hu-HU"/>
        </w:rPr>
      </w:pPr>
    </w:p>
    <w:p w14:paraId="771EC9B6" w14:textId="77777777" w:rsidR="00910FC8" w:rsidRPr="00556B9B" w:rsidRDefault="00910FC8">
      <w:pPr>
        <w:spacing w:line="240" w:lineRule="auto"/>
        <w:rPr>
          <w:color w:val="000000"/>
          <w:lang w:val="hu-HU"/>
        </w:rPr>
      </w:pPr>
      <w:r w:rsidRPr="00556B9B">
        <w:rPr>
          <w:color w:val="000000"/>
          <w:lang w:val="hu-HU"/>
        </w:rPr>
        <w:t xml:space="preserve">Májkárosodás eseteit – beleértve a májelégtelenséget és a májnekrózist – figyelték meg az imatinib alkalmazása mellett. Ha az imatinibet nagy dózisú kemoterápiás kezeléssel kombinációban alkalmazzák, a súlyos májreakciók gyakoriságának növekedését figyelték meg. A májfunkciót </w:t>
      </w:r>
      <w:r w:rsidRPr="00556B9B">
        <w:rPr>
          <w:color w:val="000000"/>
          <w:lang w:val="hu-HU"/>
        </w:rPr>
        <w:lastRenderedPageBreak/>
        <w:t>gondosan ellenőrizni kell, ha az imatinibet olyan kemoterápiás protokollal alkalmazzák kombinációban, amely ismerten a májfunkció zavaraival járhat (lásd 4.5 és 4.8 pont).</w:t>
      </w:r>
    </w:p>
    <w:p w14:paraId="732D47A5" w14:textId="77777777" w:rsidR="00910FC8" w:rsidRPr="00556B9B" w:rsidRDefault="00910FC8">
      <w:pPr>
        <w:spacing w:line="240" w:lineRule="auto"/>
        <w:rPr>
          <w:color w:val="000000"/>
          <w:lang w:val="hu-HU"/>
        </w:rPr>
      </w:pPr>
    </w:p>
    <w:p w14:paraId="2B2280F3" w14:textId="77777777" w:rsidR="00545C0D" w:rsidRPr="00556B9B" w:rsidRDefault="00545C0D" w:rsidP="005C6E7A">
      <w:pPr>
        <w:pStyle w:val="EndnoteText"/>
        <w:keepNext/>
        <w:widowControl w:val="0"/>
        <w:rPr>
          <w:color w:val="000000"/>
          <w:szCs w:val="22"/>
          <w:lang w:val="hu-HU"/>
        </w:rPr>
      </w:pPr>
      <w:r w:rsidRPr="00556B9B">
        <w:rPr>
          <w:color w:val="000000"/>
          <w:u w:val="single"/>
          <w:lang w:val="hu-HU"/>
        </w:rPr>
        <w:t>Folyadékretenció</w:t>
      </w:r>
    </w:p>
    <w:p w14:paraId="65B9B56E" w14:textId="39576D79" w:rsidR="00910FC8" w:rsidRPr="00556B9B" w:rsidRDefault="00910FC8">
      <w:pPr>
        <w:spacing w:line="240" w:lineRule="auto"/>
        <w:rPr>
          <w:color w:val="000000"/>
          <w:lang w:val="hu-HU"/>
        </w:rPr>
      </w:pPr>
      <w:r w:rsidRPr="00556B9B">
        <w:rPr>
          <w:color w:val="000000"/>
          <w:lang w:val="hu-HU"/>
        </w:rPr>
        <w:t>Súlyos folyadékretencióról (pleuralis folyadék, ödéma, tüdőödéma, ascites, felületes ödéma) a Glivec</w:t>
      </w:r>
      <w:r w:rsidRPr="00556B9B">
        <w:rPr>
          <w:color w:val="000000"/>
          <w:lang w:val="hu-HU"/>
        </w:rPr>
        <w:noBreakHyphen/>
        <w:t>et szedő újonnan diagnosztizált CML</w:t>
      </w:r>
      <w:r w:rsidRPr="00556B9B">
        <w:rPr>
          <w:color w:val="000000"/>
          <w:lang w:val="hu-HU"/>
        </w:rPr>
        <w:noBreakHyphen/>
        <w:t>es betegek 2,5%</w:t>
      </w:r>
      <w:r w:rsidRPr="00556B9B">
        <w:rPr>
          <w:color w:val="000000"/>
          <w:lang w:val="hu-HU"/>
        </w:rPr>
        <w:noBreakHyphen/>
        <w:t>ában számoltak be. Ezért kifejezetten javasolt a betegek súlyának rendszeres ellenőrzése. A váratlan, gyors testtömeg</w:t>
      </w:r>
      <w:r w:rsidRPr="00556B9B">
        <w:rPr>
          <w:color w:val="000000"/>
          <w:lang w:val="hu-HU"/>
        </w:rPr>
        <w:noBreakHyphen/>
        <w:t xml:space="preserve">gyarapodást gondosan ki kell vizsgálni, és amennyiben szükséges, mérlegelni kell a megfelelő szupportív ellátás és kezelés elkezdését. Klinikai vizsgálatokban ezen tünetek gyakorisága nagyobb volt az </w:t>
      </w:r>
      <w:r w:rsidRPr="0019063C">
        <w:rPr>
          <w:color w:val="000000"/>
          <w:lang w:val="hu-HU"/>
        </w:rPr>
        <w:t>idősebb betegekben, illetve azokban, akiknek az anamnézisében szívbetegség szerepelt. Ezért szívbetegek</w:t>
      </w:r>
      <w:r w:rsidR="0041250E" w:rsidRPr="0019063C">
        <w:rPr>
          <w:color w:val="000000"/>
          <w:lang w:val="hu-HU"/>
        </w:rPr>
        <w:t>nél</w:t>
      </w:r>
      <w:r w:rsidRPr="0019063C">
        <w:rPr>
          <w:color w:val="000000"/>
          <w:lang w:val="hu-HU"/>
        </w:rPr>
        <w:t xml:space="preserve"> elővigyázatosság szükséges.</w:t>
      </w:r>
    </w:p>
    <w:p w14:paraId="20721DEC" w14:textId="77777777" w:rsidR="00910FC8" w:rsidRPr="00556B9B" w:rsidRDefault="00910FC8">
      <w:pPr>
        <w:spacing w:line="240" w:lineRule="auto"/>
        <w:rPr>
          <w:color w:val="000000"/>
          <w:lang w:val="hu-HU"/>
        </w:rPr>
      </w:pPr>
    </w:p>
    <w:p w14:paraId="54F29BDC" w14:textId="77777777" w:rsidR="00545C0D" w:rsidRPr="00556B9B" w:rsidRDefault="00545C0D" w:rsidP="0007763C">
      <w:pPr>
        <w:pStyle w:val="EndnoteText"/>
        <w:keepNext/>
        <w:widowControl w:val="0"/>
        <w:rPr>
          <w:color w:val="000000"/>
          <w:lang w:val="hu-HU"/>
        </w:rPr>
      </w:pPr>
      <w:r w:rsidRPr="00556B9B">
        <w:rPr>
          <w:color w:val="000000"/>
          <w:u w:val="single"/>
          <w:lang w:val="hu-HU"/>
        </w:rPr>
        <w:t>Szívbetegségben szenvedő betegek</w:t>
      </w:r>
    </w:p>
    <w:p w14:paraId="7A521871" w14:textId="77777777" w:rsidR="00910FC8" w:rsidRPr="00556B9B" w:rsidRDefault="00910FC8">
      <w:pPr>
        <w:spacing w:line="240" w:lineRule="auto"/>
        <w:rPr>
          <w:color w:val="000000"/>
          <w:lang w:val="hu-HU"/>
        </w:rPr>
      </w:pPr>
      <w:r w:rsidRPr="00556B9B">
        <w:rPr>
          <w:color w:val="000000"/>
          <w:lang w:val="hu-HU"/>
        </w:rPr>
        <w:t>Szívbetegség</w:t>
      </w:r>
      <w:r w:rsidR="0057321F" w:rsidRPr="00556B9B">
        <w:rPr>
          <w:color w:val="000000"/>
          <w:lang w:val="hu-HU"/>
        </w:rPr>
        <w:t>,</w:t>
      </w:r>
      <w:r w:rsidRPr="00556B9B">
        <w:rPr>
          <w:color w:val="000000"/>
          <w:lang w:val="hu-HU"/>
        </w:rPr>
        <w:t xml:space="preserve"> a szívelégtelenség kockázati tényezőinek fennállása</w:t>
      </w:r>
      <w:r w:rsidR="0057321F" w:rsidRPr="00556B9B">
        <w:rPr>
          <w:color w:val="000000"/>
          <w:lang w:val="hu-HU"/>
        </w:rPr>
        <w:t xml:space="preserve"> vagy korábban fennálló veseelégtelenség</w:t>
      </w:r>
      <w:r w:rsidRPr="00556B9B">
        <w:rPr>
          <w:color w:val="000000"/>
          <w:lang w:val="hu-HU"/>
        </w:rPr>
        <w:t xml:space="preserve"> esetén a betegek gondos monitorozására van szükség. A szív</w:t>
      </w:r>
      <w:r w:rsidR="0057321F" w:rsidRPr="00556B9B">
        <w:rPr>
          <w:color w:val="000000"/>
          <w:lang w:val="hu-HU"/>
        </w:rPr>
        <w:t>- vagy vese</w:t>
      </w:r>
      <w:r w:rsidRPr="00556B9B">
        <w:rPr>
          <w:color w:val="000000"/>
          <w:lang w:val="hu-HU"/>
        </w:rPr>
        <w:t>elégtelenség tüneteit mutató betegeket ki kell vizsgálni és ennek megfelelően kell kezelni.</w:t>
      </w:r>
    </w:p>
    <w:p w14:paraId="3A8098DE" w14:textId="77777777" w:rsidR="00910FC8" w:rsidRPr="00556B9B" w:rsidRDefault="00910FC8">
      <w:pPr>
        <w:spacing w:line="240" w:lineRule="auto"/>
        <w:rPr>
          <w:color w:val="000000"/>
          <w:lang w:val="hu-HU"/>
        </w:rPr>
      </w:pPr>
    </w:p>
    <w:p w14:paraId="72755330" w14:textId="387A2495" w:rsidR="00374A79" w:rsidRPr="0019063C" w:rsidRDefault="00910FC8">
      <w:pPr>
        <w:spacing w:line="240" w:lineRule="auto"/>
        <w:rPr>
          <w:color w:val="000000"/>
          <w:lang w:val="hu-HU"/>
        </w:rPr>
      </w:pPr>
      <w:r w:rsidRPr="00556B9B">
        <w:rPr>
          <w:color w:val="000000"/>
          <w:lang w:val="hu-HU"/>
        </w:rPr>
        <w:t>A</w:t>
      </w:r>
      <w:r w:rsidR="00374A79" w:rsidRPr="00556B9B">
        <w:rPr>
          <w:color w:val="000000"/>
          <w:lang w:val="hu-HU"/>
        </w:rPr>
        <w:t xml:space="preserve"> HES sejtek szívizomba történő okkult infiltrációjával járó</w:t>
      </w:r>
      <w:r w:rsidRPr="00556B9B">
        <w:rPr>
          <w:color w:val="000000"/>
          <w:lang w:val="hu-HU"/>
        </w:rPr>
        <w:t xml:space="preserve"> </w:t>
      </w:r>
      <w:r w:rsidRPr="0019063C">
        <w:rPr>
          <w:color w:val="000000"/>
          <w:lang w:val="hu-HU"/>
        </w:rPr>
        <w:t>hypereosinophilia szindrómás (HES) betege</w:t>
      </w:r>
      <w:r w:rsidR="00AA1FF1" w:rsidRPr="0019063C">
        <w:rPr>
          <w:color w:val="000000"/>
          <w:lang w:val="hu-HU"/>
        </w:rPr>
        <w:t>knél</w:t>
      </w:r>
      <w:r w:rsidRPr="0019063C">
        <w:rPr>
          <w:color w:val="000000"/>
          <w:lang w:val="hu-HU"/>
        </w:rPr>
        <w:t xml:space="preserve"> </w:t>
      </w:r>
      <w:r w:rsidR="00AA1FF1" w:rsidRPr="0019063C">
        <w:rPr>
          <w:color w:val="000000"/>
          <w:lang w:val="hu-HU"/>
        </w:rPr>
        <w:t>izolált</w:t>
      </w:r>
      <w:r w:rsidRPr="0019063C">
        <w:rPr>
          <w:color w:val="000000"/>
          <w:lang w:val="hu-HU"/>
        </w:rPr>
        <w:t xml:space="preserve"> esetekben fellépő kardiogén sokk/balkamra dysfunctio </w:t>
      </w:r>
      <w:r w:rsidR="00AA1FF1" w:rsidRPr="0019063C">
        <w:rPr>
          <w:color w:val="000000"/>
          <w:lang w:val="hu-HU"/>
        </w:rPr>
        <w:t xml:space="preserve">összefüggésben volt </w:t>
      </w:r>
      <w:r w:rsidRPr="0019063C">
        <w:rPr>
          <w:color w:val="000000"/>
          <w:lang w:val="hu-HU"/>
        </w:rPr>
        <w:t>az imatinib</w:t>
      </w:r>
      <w:r w:rsidRPr="0019063C">
        <w:rPr>
          <w:color w:val="000000"/>
          <w:lang w:val="hu-HU"/>
        </w:rPr>
        <w:noBreakHyphen/>
        <w:t>kezelés megkezdés</w:t>
      </w:r>
      <w:r w:rsidR="00374A79" w:rsidRPr="0019063C">
        <w:rPr>
          <w:color w:val="000000"/>
          <w:lang w:val="hu-HU"/>
        </w:rPr>
        <w:t>ekor fellépő HES</w:t>
      </w:r>
      <w:r w:rsidR="00374A79" w:rsidRPr="0019063C">
        <w:rPr>
          <w:color w:val="000000"/>
          <w:lang w:val="hu-HU"/>
        </w:rPr>
        <w:noBreakHyphen/>
        <w:t>sejt degranulációval</w:t>
      </w:r>
      <w:r w:rsidRPr="0019063C">
        <w:rPr>
          <w:color w:val="000000"/>
          <w:lang w:val="hu-HU"/>
        </w:rPr>
        <w:t>. A beszámolók szerint a kórállapot szisztémás szteroidok adására, keringéstámogatásra és az imatinib-kezelés átmenetei felfüggesztésére reverzíbilisnek bizonyult. Mivel az imatinib alkalmazása kapcsán nem gyakran kardiális mellékhatásokat jelentettek, ezért a HES/</w:t>
      </w:r>
      <w:smartTag w:uri="urn:schemas-microsoft-com:office:smarttags" w:element="stockticker">
        <w:r w:rsidRPr="0019063C">
          <w:rPr>
            <w:color w:val="000000"/>
            <w:lang w:val="hu-HU"/>
          </w:rPr>
          <w:t>CEL</w:t>
        </w:r>
      </w:smartTag>
      <w:r w:rsidRPr="0019063C">
        <w:rPr>
          <w:color w:val="000000"/>
          <w:lang w:val="hu-HU"/>
        </w:rPr>
        <w:noBreakHyphen/>
        <w:t>ben szenvedő betegek esetében az imatinib</w:t>
      </w:r>
      <w:r w:rsidRPr="0019063C">
        <w:rPr>
          <w:color w:val="000000"/>
          <w:lang w:val="hu-HU"/>
        </w:rPr>
        <w:noBreakHyphen/>
        <w:t>kezelés megkezdése előtt figyelembe kell venni az előny/kockázat arányának gondos értékelését.</w:t>
      </w:r>
    </w:p>
    <w:p w14:paraId="1A0550C6" w14:textId="77777777" w:rsidR="00374A79" w:rsidRPr="0019063C" w:rsidRDefault="00374A79">
      <w:pPr>
        <w:spacing w:line="240" w:lineRule="auto"/>
        <w:rPr>
          <w:color w:val="000000"/>
          <w:lang w:val="hu-HU"/>
        </w:rPr>
      </w:pPr>
    </w:p>
    <w:p w14:paraId="58F88AFA" w14:textId="1986BB17" w:rsidR="00910FC8" w:rsidRPr="00556B9B" w:rsidRDefault="00910FC8">
      <w:pPr>
        <w:spacing w:line="240" w:lineRule="auto"/>
        <w:rPr>
          <w:color w:val="000000"/>
          <w:lang w:val="hu-HU"/>
        </w:rPr>
      </w:pPr>
      <w:r w:rsidRPr="0019063C">
        <w:rPr>
          <w:color w:val="000000"/>
          <w:lang w:val="hu-HU"/>
        </w:rPr>
        <w:t>A PDGFR génátrendeződéssel társuló myelodysplasiás/myeloproliferatív kórképek magas eosinophil-számmal járhatnak. Ennek megfelelően HES/</w:t>
      </w:r>
      <w:smartTag w:uri="urn:schemas-microsoft-com:office:smarttags" w:element="stockticker">
        <w:r w:rsidRPr="0019063C">
          <w:rPr>
            <w:color w:val="000000"/>
            <w:lang w:val="hu-HU"/>
          </w:rPr>
          <w:t>CEL</w:t>
        </w:r>
      </w:smartTag>
      <w:r w:rsidRPr="0019063C">
        <w:rPr>
          <w:color w:val="000000"/>
          <w:lang w:val="hu-HU"/>
        </w:rPr>
        <w:t xml:space="preserve">, illetve </w:t>
      </w:r>
      <w:smartTag w:uri="urn:schemas-microsoft-com:office:smarttags" w:element="stockticker">
        <w:r w:rsidRPr="0019063C">
          <w:rPr>
            <w:color w:val="000000"/>
            <w:lang w:val="hu-HU"/>
          </w:rPr>
          <w:t>MDS</w:t>
        </w:r>
      </w:smartTag>
      <w:r w:rsidRPr="0019063C">
        <w:rPr>
          <w:color w:val="000000"/>
          <w:lang w:val="hu-HU"/>
        </w:rPr>
        <w:t xml:space="preserve">/MPD </w:t>
      </w:r>
      <w:r w:rsidR="00AA1FF1" w:rsidRPr="0019063C">
        <w:rPr>
          <w:color w:val="000000"/>
          <w:lang w:val="hu-HU"/>
        </w:rPr>
        <w:t>miatt</w:t>
      </w:r>
      <w:r w:rsidRPr="0019063C">
        <w:rPr>
          <w:color w:val="000000"/>
          <w:lang w:val="hu-HU"/>
        </w:rPr>
        <w:t xml:space="preserve"> kezelt betegek</w:t>
      </w:r>
      <w:r w:rsidR="00AA1FF1" w:rsidRPr="0019063C">
        <w:rPr>
          <w:color w:val="000000"/>
          <w:lang w:val="hu-HU"/>
        </w:rPr>
        <w:t xml:space="preserve"> esetében</w:t>
      </w:r>
      <w:r w:rsidRPr="0019063C">
        <w:rPr>
          <w:color w:val="000000"/>
          <w:lang w:val="hu-HU"/>
        </w:rPr>
        <w:t xml:space="preserve"> magas eosinophil-szám esetén az imatinib</w:t>
      </w:r>
      <w:r w:rsidRPr="0019063C">
        <w:rPr>
          <w:color w:val="000000"/>
          <w:lang w:val="hu-HU"/>
        </w:rPr>
        <w:noBreakHyphen/>
        <w:t>kezelés megkezdése előtt megfontolandó a kardiológiai kivizsgálás, echocardiográfia elvégzése és a szérum-troponinszint meghatározása. Amennyiben</w:t>
      </w:r>
      <w:r w:rsidRPr="00556B9B">
        <w:rPr>
          <w:color w:val="000000"/>
          <w:lang w:val="hu-HU"/>
        </w:rPr>
        <w:t xml:space="preserve"> ezek bármelyike kóros, megfontolandó kardiológiai ellenőrző vizsgálatok elvégzése, valamint profilaktikus szisztémás szteroid (1</w:t>
      </w:r>
      <w:r w:rsidRPr="00556B9B">
        <w:rPr>
          <w:color w:val="000000"/>
          <w:szCs w:val="22"/>
          <w:lang w:val="hu-HU"/>
        </w:rPr>
        <w:noBreakHyphen/>
      </w:r>
      <w:r w:rsidRPr="00556B9B">
        <w:rPr>
          <w:color w:val="000000"/>
          <w:lang w:val="hu-HU"/>
        </w:rPr>
        <w:t>2 mg/kg) 1</w:t>
      </w:r>
      <w:r w:rsidRPr="00556B9B">
        <w:rPr>
          <w:color w:val="000000"/>
          <w:lang w:val="hu-HU"/>
        </w:rPr>
        <w:noBreakHyphen/>
        <w:t>2 hétig tartó egyidejű alkalmazása az imatinib</w:t>
      </w:r>
      <w:r w:rsidRPr="00556B9B">
        <w:rPr>
          <w:color w:val="000000"/>
          <w:lang w:val="hu-HU"/>
        </w:rPr>
        <w:noBreakHyphen/>
        <w:t>kezelés megkezdésekor.</w:t>
      </w:r>
    </w:p>
    <w:p w14:paraId="51F88ADC" w14:textId="77777777" w:rsidR="00910FC8" w:rsidRPr="00556B9B" w:rsidRDefault="00910FC8">
      <w:pPr>
        <w:spacing w:line="240" w:lineRule="auto"/>
        <w:rPr>
          <w:color w:val="000000"/>
          <w:lang w:val="hu-HU"/>
        </w:rPr>
      </w:pPr>
    </w:p>
    <w:p w14:paraId="46F4054B" w14:textId="77777777" w:rsidR="00545C0D" w:rsidRPr="00556B9B" w:rsidRDefault="00545C0D" w:rsidP="005C6E7A">
      <w:pPr>
        <w:pStyle w:val="EndnoteText"/>
        <w:keepNext/>
        <w:widowControl w:val="0"/>
        <w:suppressAutoHyphens w:val="0"/>
        <w:rPr>
          <w:color w:val="000000"/>
          <w:szCs w:val="22"/>
          <w:lang w:val="hu-HU"/>
        </w:rPr>
      </w:pPr>
      <w:r w:rsidRPr="00556B9B">
        <w:rPr>
          <w:color w:val="000000"/>
          <w:u w:val="single"/>
          <w:lang w:val="hu-HU"/>
        </w:rPr>
        <w:t>Gastrointestinalis vérzés</w:t>
      </w:r>
    </w:p>
    <w:p w14:paraId="1A7BF341" w14:textId="38442029" w:rsidR="00910FC8" w:rsidRPr="00556B9B" w:rsidRDefault="00D37E84">
      <w:pPr>
        <w:pStyle w:val="BodyText"/>
        <w:spacing w:line="240" w:lineRule="auto"/>
        <w:rPr>
          <w:b w:val="0"/>
          <w:i w:val="0"/>
          <w:color w:val="000000"/>
          <w:lang w:val="hu-HU"/>
        </w:rPr>
      </w:pPr>
      <w:r w:rsidRPr="00556B9B">
        <w:rPr>
          <w:b w:val="0"/>
          <w:i w:val="0"/>
          <w:color w:val="000000"/>
          <w:lang w:val="hu-HU"/>
        </w:rPr>
        <w:t>A nem reszekábilis és/vagy metasztatikus GIST</w:t>
      </w:r>
      <w:r w:rsidRPr="00556B9B">
        <w:rPr>
          <w:b w:val="0"/>
          <w:i w:val="0"/>
          <w:color w:val="000000"/>
          <w:lang w:val="hu-HU"/>
        </w:rPr>
        <w:noBreakHyphen/>
        <w:t>ben szenvedő betegek vizsgálata során mind gastrointestinalis, mind intratumoralis vérzésről beszámoltak (lásd 4.8 pont).</w:t>
      </w:r>
      <w:r w:rsidR="00910FC8" w:rsidRPr="00556B9B">
        <w:rPr>
          <w:b w:val="0"/>
          <w:i w:val="0"/>
          <w:color w:val="000000"/>
          <w:lang w:val="hu-HU"/>
        </w:rPr>
        <w:t xml:space="preserve"> A rendelkezésre álló adatok alapján nem azonosítottak olyan prediszponáló faktort (pl. a tumor mérete, lokalizációja, véralvadási zavarok), amely a GIST</w:t>
      </w:r>
      <w:r w:rsidR="00910FC8" w:rsidRPr="00556B9B">
        <w:rPr>
          <w:b w:val="0"/>
          <w:i w:val="0"/>
          <w:color w:val="000000"/>
          <w:lang w:val="hu-HU"/>
        </w:rPr>
        <w:noBreakHyphen/>
        <w:t>es betegekre nézve nagyobb kockázatot jelentene valamely típusú vérzésre. Mivel a vascularizáltság és vérzékenység eleve fokozott a GIST természetéből és klinikai lefolyásából adódóan, minden betegnél a szokásos gyakorlatot és eljárásokat kell követni a vérzés monitorozására és kezelésére.</w:t>
      </w:r>
    </w:p>
    <w:p w14:paraId="202FB266" w14:textId="77777777" w:rsidR="00BA141A" w:rsidRPr="00556B9B" w:rsidRDefault="00BA141A">
      <w:pPr>
        <w:pStyle w:val="BodyText"/>
        <w:spacing w:line="240" w:lineRule="auto"/>
        <w:rPr>
          <w:b w:val="0"/>
          <w:i w:val="0"/>
          <w:color w:val="000000"/>
          <w:lang w:val="hu-HU"/>
        </w:rPr>
      </w:pPr>
    </w:p>
    <w:p w14:paraId="60DBA5DB" w14:textId="77777777" w:rsidR="00FB55AD" w:rsidRPr="00556B9B" w:rsidRDefault="00FB55AD" w:rsidP="00FB55AD">
      <w:pPr>
        <w:spacing w:line="240" w:lineRule="auto"/>
        <w:rPr>
          <w:lang w:val="hu-HU"/>
        </w:rPr>
      </w:pPr>
      <w:r w:rsidRPr="00556B9B">
        <w:rPr>
          <w:lang w:val="hu-HU"/>
        </w:rPr>
        <w:t>Emellett a CML-ben, ALL-ben és egyéb betegségekben szenvedő betegeknél gastricus antralis vascularis ectasiáról (GAVE), a gastrointestinalis vérzés egy ritka okáról számoltak be a forgalomba hozatalt követően (lásd 4.8</w:t>
      </w:r>
      <w:r w:rsidR="00077D15" w:rsidRPr="00556B9B">
        <w:rPr>
          <w:lang w:val="hu-HU"/>
        </w:rPr>
        <w:t> </w:t>
      </w:r>
      <w:r w:rsidRPr="00556B9B">
        <w:rPr>
          <w:lang w:val="hu-HU"/>
        </w:rPr>
        <w:t xml:space="preserve">pont). Amikor szükséges, </w:t>
      </w:r>
      <w:r w:rsidR="00194602" w:rsidRPr="00556B9B">
        <w:rPr>
          <w:lang w:val="hu-HU"/>
        </w:rPr>
        <w:t>megfontol</w:t>
      </w:r>
      <w:r w:rsidR="000D629D" w:rsidRPr="00556B9B">
        <w:rPr>
          <w:lang w:val="hu-HU"/>
        </w:rPr>
        <w:t>hat</w:t>
      </w:r>
      <w:r w:rsidR="00194602" w:rsidRPr="00556B9B">
        <w:rPr>
          <w:lang w:val="hu-HU"/>
        </w:rPr>
        <w:t>ó</w:t>
      </w:r>
      <w:r w:rsidR="00077D15" w:rsidRPr="00556B9B">
        <w:rPr>
          <w:lang w:val="hu-HU"/>
        </w:rPr>
        <w:t xml:space="preserve"> </w:t>
      </w:r>
      <w:r w:rsidRPr="00556B9B">
        <w:rPr>
          <w:lang w:val="hu-HU"/>
        </w:rPr>
        <w:t>a Glivec-kezelés abbahagyása.</w:t>
      </w:r>
    </w:p>
    <w:p w14:paraId="6576A23D" w14:textId="77777777" w:rsidR="00FB55AD" w:rsidRPr="00556B9B" w:rsidRDefault="00FB55AD" w:rsidP="00FB55AD">
      <w:pPr>
        <w:spacing w:line="240" w:lineRule="auto"/>
        <w:rPr>
          <w:lang w:val="hu-HU"/>
        </w:rPr>
      </w:pPr>
    </w:p>
    <w:p w14:paraId="133AFCA4" w14:textId="348530B1" w:rsidR="00545C0D" w:rsidRPr="00556B9B" w:rsidRDefault="00545C0D" w:rsidP="005C6E7A">
      <w:pPr>
        <w:pStyle w:val="EndnoteText"/>
        <w:keepNext/>
        <w:widowControl w:val="0"/>
        <w:suppressAutoHyphens w:val="0"/>
        <w:rPr>
          <w:rFonts w:cs="Times New Roman"/>
          <w:snapToGrid w:val="0"/>
          <w:color w:val="000000"/>
          <w:szCs w:val="22"/>
          <w:lang w:val="hu-HU"/>
        </w:rPr>
      </w:pPr>
      <w:r w:rsidRPr="00556B9B">
        <w:rPr>
          <w:snapToGrid w:val="0"/>
          <w:color w:val="000000"/>
          <w:u w:val="single"/>
          <w:lang w:val="hu-HU"/>
        </w:rPr>
        <w:t>Tumor lízis szindróma</w:t>
      </w:r>
    </w:p>
    <w:p w14:paraId="58FAEA6E" w14:textId="159DBFC2" w:rsidR="00BA141A" w:rsidRPr="00556B9B" w:rsidRDefault="00BA141A" w:rsidP="00E6171E">
      <w:pPr>
        <w:pStyle w:val="BodyText"/>
        <w:spacing w:line="240" w:lineRule="auto"/>
        <w:rPr>
          <w:rFonts w:cs="Times New Roman"/>
          <w:b w:val="0"/>
          <w:i w:val="0"/>
          <w:color w:val="000000"/>
          <w:szCs w:val="22"/>
          <w:lang w:val="hu-HU"/>
        </w:rPr>
      </w:pPr>
      <w:r w:rsidRPr="00556B9B">
        <w:rPr>
          <w:rFonts w:cs="Times New Roman"/>
          <w:b w:val="0"/>
          <w:i w:val="0"/>
          <w:color w:val="000000"/>
          <w:szCs w:val="22"/>
          <w:lang w:val="hu-HU"/>
        </w:rPr>
        <w:t xml:space="preserve">A </w:t>
      </w:r>
      <w:r w:rsidRPr="00556B9B">
        <w:rPr>
          <w:rFonts w:cs="Times New Roman"/>
          <w:b w:val="0"/>
          <w:i w:val="0"/>
          <w:szCs w:val="22"/>
          <w:lang w:val="hu-HU"/>
        </w:rPr>
        <w:t>tumor</w:t>
      </w:r>
      <w:r w:rsidR="00C748C0" w:rsidRPr="00556B9B">
        <w:rPr>
          <w:rFonts w:cs="Times New Roman"/>
          <w:b w:val="0"/>
          <w:i w:val="0"/>
          <w:szCs w:val="22"/>
          <w:lang w:val="hu-HU"/>
        </w:rPr>
        <w:t xml:space="preserve"> lízis szindróma</w:t>
      </w:r>
      <w:r w:rsidRPr="00556B9B">
        <w:rPr>
          <w:rFonts w:cs="Times New Roman"/>
          <w:b w:val="0"/>
          <w:i w:val="0"/>
          <w:szCs w:val="22"/>
          <w:lang w:val="hu-HU"/>
        </w:rPr>
        <w:t xml:space="preserve"> (</w:t>
      </w:r>
      <w:r w:rsidRPr="00556B9B">
        <w:rPr>
          <w:rFonts w:cs="Times New Roman"/>
          <w:b w:val="0"/>
          <w:i w:val="0"/>
          <w:color w:val="000000"/>
          <w:szCs w:val="22"/>
          <w:lang w:val="hu-HU"/>
        </w:rPr>
        <w:t>tumour lysis syndrome</w:t>
      </w:r>
      <w:r w:rsidRPr="00556B9B">
        <w:rPr>
          <w:rFonts w:cs="Times New Roman"/>
          <w:b w:val="0"/>
          <w:i w:val="0"/>
          <w:snapToGrid w:val="0"/>
          <w:color w:val="000000"/>
          <w:szCs w:val="22"/>
          <w:lang w:val="hu-HU"/>
        </w:rPr>
        <w:t xml:space="preserve"> (TLS)) lehetséges előfordulása miatt a Glivec</w:t>
      </w:r>
      <w:r w:rsidR="00C748C0" w:rsidRPr="00556B9B">
        <w:rPr>
          <w:rFonts w:cs="Times New Roman"/>
          <w:b w:val="0"/>
          <w:i w:val="0"/>
          <w:snapToGrid w:val="0"/>
          <w:color w:val="000000"/>
          <w:szCs w:val="22"/>
          <w:lang w:val="hu-HU"/>
        </w:rPr>
        <w:noBreakHyphen/>
      </w:r>
      <w:r w:rsidRPr="00556B9B">
        <w:rPr>
          <w:rFonts w:cs="Times New Roman"/>
          <w:b w:val="0"/>
          <w:i w:val="0"/>
          <w:snapToGrid w:val="0"/>
          <w:color w:val="000000"/>
          <w:szCs w:val="22"/>
          <w:lang w:val="hu-HU"/>
        </w:rPr>
        <w:t>kezelés megkezdése előtt javasolt a klinikailag jelentős mérték</w:t>
      </w:r>
      <w:r w:rsidR="00DE6BBA" w:rsidRPr="00556B9B">
        <w:rPr>
          <w:rFonts w:cs="Times New Roman"/>
          <w:b w:val="0"/>
          <w:i w:val="0"/>
          <w:snapToGrid w:val="0"/>
          <w:color w:val="000000"/>
          <w:szCs w:val="22"/>
          <w:lang w:val="hu-HU"/>
        </w:rPr>
        <w:t>ű</w:t>
      </w:r>
      <w:r w:rsidRPr="00556B9B">
        <w:rPr>
          <w:rFonts w:cs="Times New Roman"/>
          <w:b w:val="0"/>
          <w:i w:val="0"/>
          <w:snapToGrid w:val="0"/>
          <w:color w:val="000000"/>
          <w:szCs w:val="22"/>
          <w:lang w:val="hu-HU"/>
        </w:rPr>
        <w:t xml:space="preserve"> dehidráció</w:t>
      </w:r>
      <w:r w:rsidR="00DE6BBA" w:rsidRPr="00556B9B">
        <w:rPr>
          <w:rFonts w:cs="Times New Roman"/>
          <w:b w:val="0"/>
          <w:i w:val="0"/>
          <w:snapToGrid w:val="0"/>
          <w:color w:val="000000"/>
          <w:szCs w:val="22"/>
          <w:lang w:val="hu-HU"/>
        </w:rPr>
        <w:t>t</w:t>
      </w:r>
      <w:r w:rsidRPr="00556B9B">
        <w:rPr>
          <w:rFonts w:cs="Times New Roman"/>
          <w:b w:val="0"/>
          <w:i w:val="0"/>
          <w:snapToGrid w:val="0"/>
          <w:color w:val="000000"/>
          <w:szCs w:val="22"/>
          <w:lang w:val="hu-HU"/>
        </w:rPr>
        <w:t xml:space="preserve"> korrigál</w:t>
      </w:r>
      <w:r w:rsidR="00DE6BBA" w:rsidRPr="00556B9B">
        <w:rPr>
          <w:rFonts w:cs="Times New Roman"/>
          <w:b w:val="0"/>
          <w:i w:val="0"/>
          <w:snapToGrid w:val="0"/>
          <w:color w:val="000000"/>
          <w:szCs w:val="22"/>
          <w:lang w:val="hu-HU"/>
        </w:rPr>
        <w:t>ni</w:t>
      </w:r>
      <w:r w:rsidRPr="00556B9B">
        <w:rPr>
          <w:rFonts w:cs="Times New Roman"/>
          <w:b w:val="0"/>
          <w:i w:val="0"/>
          <w:snapToGrid w:val="0"/>
          <w:color w:val="000000"/>
          <w:szCs w:val="22"/>
          <w:lang w:val="hu-HU"/>
        </w:rPr>
        <w:t>, illetve a magas húgysavszinte</w:t>
      </w:r>
      <w:r w:rsidR="00DE6BBA" w:rsidRPr="00556B9B">
        <w:rPr>
          <w:rFonts w:cs="Times New Roman"/>
          <w:b w:val="0"/>
          <w:i w:val="0"/>
          <w:snapToGrid w:val="0"/>
          <w:color w:val="000000"/>
          <w:szCs w:val="22"/>
          <w:lang w:val="hu-HU"/>
        </w:rPr>
        <w:t>t</w:t>
      </w:r>
      <w:r w:rsidRPr="00556B9B">
        <w:rPr>
          <w:rFonts w:cs="Times New Roman"/>
          <w:b w:val="0"/>
          <w:i w:val="0"/>
          <w:snapToGrid w:val="0"/>
          <w:color w:val="000000"/>
          <w:szCs w:val="22"/>
          <w:lang w:val="hu-HU"/>
        </w:rPr>
        <w:t xml:space="preserve"> kezel</w:t>
      </w:r>
      <w:r w:rsidR="00DE6BBA" w:rsidRPr="00556B9B">
        <w:rPr>
          <w:rFonts w:cs="Times New Roman"/>
          <w:b w:val="0"/>
          <w:i w:val="0"/>
          <w:snapToGrid w:val="0"/>
          <w:color w:val="000000"/>
          <w:szCs w:val="22"/>
          <w:lang w:val="hu-HU"/>
        </w:rPr>
        <w:t>ni</w:t>
      </w:r>
      <w:r w:rsidRPr="00556B9B">
        <w:rPr>
          <w:rFonts w:cs="Times New Roman"/>
          <w:b w:val="0"/>
          <w:i w:val="0"/>
          <w:snapToGrid w:val="0"/>
          <w:color w:val="000000"/>
          <w:szCs w:val="22"/>
          <w:lang w:val="hu-HU"/>
        </w:rPr>
        <w:t xml:space="preserve"> (lásd 4.8 pont).</w:t>
      </w:r>
    </w:p>
    <w:p w14:paraId="2D006969" w14:textId="77777777" w:rsidR="00E6171E" w:rsidRPr="00556B9B" w:rsidRDefault="00E6171E" w:rsidP="00E6171E">
      <w:pPr>
        <w:pStyle w:val="EndnoteText"/>
        <w:widowControl w:val="0"/>
        <w:rPr>
          <w:rFonts w:cs="Times New Roman"/>
          <w:snapToGrid w:val="0"/>
          <w:color w:val="000000"/>
          <w:szCs w:val="22"/>
          <w:lang w:val="hu-HU"/>
        </w:rPr>
      </w:pPr>
    </w:p>
    <w:p w14:paraId="03D8A6C2" w14:textId="77777777" w:rsidR="00E6171E" w:rsidRPr="00556B9B" w:rsidRDefault="00E6171E" w:rsidP="005C6E7A">
      <w:pPr>
        <w:pStyle w:val="Default"/>
        <w:keepNext/>
        <w:rPr>
          <w:rFonts w:ascii="Times New Roman" w:hAnsi="Times New Roman" w:cs="Times New Roman"/>
          <w:sz w:val="22"/>
          <w:szCs w:val="22"/>
          <w:u w:val="single"/>
          <w:lang w:val="hu-HU"/>
        </w:rPr>
      </w:pPr>
      <w:r w:rsidRPr="00556B9B">
        <w:rPr>
          <w:rFonts w:ascii="Times New Roman" w:hAnsi="Times New Roman" w:cs="Times New Roman"/>
          <w:sz w:val="22"/>
          <w:szCs w:val="22"/>
          <w:u w:val="single"/>
          <w:lang w:val="hu-HU"/>
        </w:rPr>
        <w:t>Hepatitis B reaktiváció</w:t>
      </w:r>
    </w:p>
    <w:p w14:paraId="29820A23" w14:textId="60C431FA" w:rsidR="00E6171E" w:rsidRPr="0019063C" w:rsidRDefault="00E6171E" w:rsidP="00E6171E">
      <w:pPr>
        <w:pStyle w:val="Default"/>
        <w:rPr>
          <w:rFonts w:ascii="Times New Roman" w:hAnsi="Times New Roman" w:cs="Times New Roman"/>
          <w:sz w:val="22"/>
          <w:szCs w:val="22"/>
          <w:lang w:val="hu-HU"/>
        </w:rPr>
      </w:pPr>
      <w:r w:rsidRPr="00556B9B">
        <w:rPr>
          <w:rFonts w:ascii="Times New Roman" w:hAnsi="Times New Roman" w:cs="Times New Roman"/>
          <w:sz w:val="22"/>
          <w:szCs w:val="22"/>
          <w:lang w:val="hu-HU"/>
        </w:rPr>
        <w:t xml:space="preserve">A hepatitis B reaktivációja fordult elő krónikus vírushordozó </w:t>
      </w:r>
      <w:r w:rsidRPr="0019063C">
        <w:rPr>
          <w:rFonts w:ascii="Times New Roman" w:hAnsi="Times New Roman" w:cs="Times New Roman"/>
          <w:sz w:val="22"/>
          <w:szCs w:val="22"/>
          <w:lang w:val="hu-HU"/>
        </w:rPr>
        <w:t>betegeknél, miután ezek a betegek BCR</w:t>
      </w:r>
      <w:r w:rsidRPr="0019063C">
        <w:rPr>
          <w:rFonts w:ascii="Times New Roman" w:hAnsi="Times New Roman" w:cs="Times New Roman"/>
          <w:sz w:val="22"/>
          <w:szCs w:val="22"/>
          <w:lang w:val="hu-HU"/>
        </w:rPr>
        <w:noBreakHyphen/>
        <w:t>ABL tirozin</w:t>
      </w:r>
      <w:r w:rsidRPr="0019063C">
        <w:rPr>
          <w:rFonts w:ascii="Times New Roman" w:hAnsi="Times New Roman" w:cs="Times New Roman"/>
          <w:sz w:val="22"/>
          <w:szCs w:val="22"/>
          <w:lang w:val="hu-HU"/>
        </w:rPr>
        <w:noBreakHyphen/>
        <w:t>kináz inhibitorokat kaptak. Egyes esetekben akut májelégtelenség vagy fulmináns hepatitis alakult ki, amely májtranszplantáció</w:t>
      </w:r>
      <w:r w:rsidR="00BF2947" w:rsidRPr="0019063C">
        <w:rPr>
          <w:rFonts w:ascii="Times New Roman" w:hAnsi="Times New Roman" w:cs="Times New Roman"/>
          <w:sz w:val="22"/>
          <w:szCs w:val="22"/>
          <w:lang w:val="hu-HU"/>
        </w:rPr>
        <w:t>t tett szükségessé</w:t>
      </w:r>
      <w:r w:rsidRPr="0019063C">
        <w:rPr>
          <w:rFonts w:ascii="Times New Roman" w:hAnsi="Times New Roman" w:cs="Times New Roman"/>
          <w:sz w:val="22"/>
          <w:szCs w:val="22"/>
          <w:lang w:val="hu-HU"/>
        </w:rPr>
        <w:t xml:space="preserve"> vagy a beteg halálához vezetett.</w:t>
      </w:r>
    </w:p>
    <w:p w14:paraId="7CCBBA40" w14:textId="77777777" w:rsidR="00E6171E" w:rsidRPr="0019063C" w:rsidRDefault="00E6171E" w:rsidP="00E6171E">
      <w:pPr>
        <w:pStyle w:val="Default"/>
        <w:rPr>
          <w:rFonts w:ascii="Times New Roman" w:hAnsi="Times New Roman" w:cs="Times New Roman"/>
          <w:sz w:val="22"/>
          <w:szCs w:val="22"/>
          <w:lang w:val="hu-HU"/>
        </w:rPr>
      </w:pPr>
    </w:p>
    <w:p w14:paraId="2EB52BC7" w14:textId="58141094" w:rsidR="00E6171E" w:rsidRPr="00556B9B" w:rsidRDefault="00E6171E" w:rsidP="00C63EC4">
      <w:pPr>
        <w:pStyle w:val="Default"/>
        <w:rPr>
          <w:rFonts w:ascii="Times New Roman" w:hAnsi="Times New Roman" w:cs="Times New Roman"/>
          <w:sz w:val="22"/>
          <w:szCs w:val="22"/>
          <w:lang w:val="hu-HU"/>
        </w:rPr>
      </w:pPr>
      <w:r w:rsidRPr="0019063C">
        <w:rPr>
          <w:rFonts w:ascii="Times New Roman" w:hAnsi="Times New Roman" w:cs="Times New Roman"/>
          <w:sz w:val="22"/>
          <w:szCs w:val="22"/>
          <w:lang w:val="hu-HU"/>
        </w:rPr>
        <w:lastRenderedPageBreak/>
        <w:t>A</w:t>
      </w:r>
      <w:r w:rsidR="001B1CF6" w:rsidRPr="0019063C">
        <w:rPr>
          <w:rFonts w:ascii="Times New Roman" w:hAnsi="Times New Roman" w:cs="Times New Roman"/>
          <w:sz w:val="22"/>
          <w:szCs w:val="22"/>
          <w:lang w:val="hu-HU"/>
        </w:rPr>
        <w:t xml:space="preserve"> </w:t>
      </w:r>
      <w:r w:rsidRPr="0019063C">
        <w:rPr>
          <w:rFonts w:ascii="Times New Roman" w:hAnsi="Times New Roman" w:cs="Times New Roman"/>
          <w:sz w:val="22"/>
          <w:szCs w:val="22"/>
          <w:lang w:val="hu-HU"/>
        </w:rPr>
        <w:t>Glivec</w:t>
      </w:r>
      <w:r w:rsidR="001F705D" w:rsidRPr="0019063C">
        <w:rPr>
          <w:rFonts w:ascii="Times New Roman" w:hAnsi="Times New Roman" w:cs="Times New Roman"/>
          <w:sz w:val="22"/>
          <w:szCs w:val="22"/>
          <w:lang w:val="hu-HU"/>
        </w:rPr>
        <w:t>-</w:t>
      </w:r>
      <w:r w:rsidRPr="0019063C">
        <w:rPr>
          <w:rFonts w:ascii="Times New Roman" w:hAnsi="Times New Roman" w:cs="Times New Roman"/>
          <w:sz w:val="22"/>
          <w:szCs w:val="22"/>
          <w:lang w:val="hu-HU"/>
        </w:rPr>
        <w:t>kezelés megkezdése előtt a betegeknél a HBV fertőzöttség kivizsgálására van szükség. A májbetegségek és a hepatitis B kezelés szakértőivel kell konzultálni a kezelés megkezdése előtt a pozitív hepatitis B szerológiájú betegeknél (beleértve az aktív betegséget is), valamint olyan betegek esetében, akiknél a kezelés közben derül ki a HBV fertőzés. A Glivec</w:t>
      </w:r>
      <w:r w:rsidR="001F705D" w:rsidRPr="0019063C">
        <w:rPr>
          <w:rFonts w:ascii="Times New Roman" w:hAnsi="Times New Roman" w:cs="Times New Roman"/>
          <w:sz w:val="22"/>
          <w:szCs w:val="22"/>
          <w:lang w:val="hu-HU"/>
        </w:rPr>
        <w:t>-</w:t>
      </w:r>
      <w:r w:rsidRPr="0019063C">
        <w:rPr>
          <w:rFonts w:ascii="Times New Roman" w:hAnsi="Times New Roman" w:cs="Times New Roman"/>
          <w:sz w:val="22"/>
          <w:szCs w:val="22"/>
          <w:lang w:val="hu-HU"/>
        </w:rPr>
        <w:t>kezelést igénylő HBV hordozókat szorosan ellenőrizni kell a kezelés közben, valamint a kezelés befejezését követően több hónapo</w:t>
      </w:r>
      <w:r w:rsidR="00C63EC4" w:rsidRPr="0019063C">
        <w:rPr>
          <w:rFonts w:ascii="Times New Roman" w:hAnsi="Times New Roman" w:cs="Times New Roman"/>
          <w:sz w:val="22"/>
          <w:szCs w:val="22"/>
          <w:lang w:val="hu-HU"/>
        </w:rPr>
        <w:t>n keresztül, hogy nem alakulnak</w:t>
      </w:r>
      <w:r w:rsidR="00C63EC4" w:rsidRPr="0019063C">
        <w:rPr>
          <w:rFonts w:ascii="Times New Roman" w:hAnsi="Times New Roman" w:cs="Times New Roman"/>
          <w:sz w:val="22"/>
          <w:szCs w:val="22"/>
          <w:lang w:val="hu-HU"/>
        </w:rPr>
        <w:noBreakHyphen/>
      </w:r>
      <w:r w:rsidRPr="0019063C">
        <w:rPr>
          <w:rFonts w:ascii="Times New Roman" w:hAnsi="Times New Roman" w:cs="Times New Roman"/>
          <w:sz w:val="22"/>
          <w:szCs w:val="22"/>
          <w:lang w:val="hu-HU"/>
        </w:rPr>
        <w:t>e ki az aktív HBV fertőzés jelei és tünetei</w:t>
      </w:r>
      <w:r w:rsidRPr="00556B9B">
        <w:rPr>
          <w:rFonts w:ascii="Times New Roman" w:hAnsi="Times New Roman" w:cs="Times New Roman"/>
          <w:sz w:val="22"/>
          <w:szCs w:val="22"/>
          <w:lang w:val="hu-HU"/>
        </w:rPr>
        <w:t xml:space="preserve"> (lásd 4.8 pont).</w:t>
      </w:r>
    </w:p>
    <w:p w14:paraId="775D34F3" w14:textId="77777777" w:rsidR="00CD2D43" w:rsidRPr="00556B9B" w:rsidRDefault="00CD2D43" w:rsidP="00C63EC4">
      <w:pPr>
        <w:pStyle w:val="Default"/>
        <w:rPr>
          <w:rFonts w:ascii="Times New Roman" w:hAnsi="Times New Roman" w:cs="Times New Roman"/>
          <w:sz w:val="22"/>
          <w:szCs w:val="22"/>
          <w:lang w:val="hu-HU"/>
        </w:rPr>
      </w:pPr>
    </w:p>
    <w:p w14:paraId="4DC54F4E" w14:textId="77777777" w:rsidR="00CD2D43" w:rsidRPr="00556B9B" w:rsidRDefault="00CD2D43" w:rsidP="00CD2D43">
      <w:pPr>
        <w:pStyle w:val="EndnoteText"/>
        <w:keepNext/>
        <w:widowControl w:val="0"/>
        <w:tabs>
          <w:tab w:val="left" w:pos="720"/>
        </w:tabs>
        <w:rPr>
          <w:snapToGrid w:val="0"/>
          <w:color w:val="000000"/>
          <w:szCs w:val="22"/>
          <w:u w:val="single"/>
          <w:lang w:val="hu-HU"/>
        </w:rPr>
      </w:pPr>
      <w:r w:rsidRPr="00556B9B">
        <w:rPr>
          <w:snapToGrid w:val="0"/>
          <w:color w:val="000000"/>
          <w:szCs w:val="22"/>
          <w:u w:val="single"/>
          <w:lang w:val="hu-HU"/>
        </w:rPr>
        <w:t>Fototoxicitás</w:t>
      </w:r>
    </w:p>
    <w:p w14:paraId="25803516" w14:textId="77777777" w:rsidR="00CD2D43" w:rsidRPr="0019063C" w:rsidRDefault="00CD2D43" w:rsidP="00CD2D43">
      <w:pPr>
        <w:pStyle w:val="EndnoteText"/>
        <w:widowControl w:val="0"/>
        <w:tabs>
          <w:tab w:val="left" w:pos="720"/>
        </w:tabs>
        <w:rPr>
          <w:snapToGrid w:val="0"/>
          <w:color w:val="000000"/>
          <w:szCs w:val="22"/>
          <w:lang w:val="hu-HU"/>
        </w:rPr>
      </w:pPr>
      <w:r w:rsidRPr="00556B9B">
        <w:rPr>
          <w:snapToGrid w:val="0"/>
          <w:color w:val="000000"/>
          <w:szCs w:val="22"/>
          <w:lang w:val="hu-HU"/>
        </w:rPr>
        <w:t>Az imatinib</w:t>
      </w:r>
      <w:r w:rsidR="000701E5" w:rsidRPr="00556B9B">
        <w:rPr>
          <w:snapToGrid w:val="0"/>
          <w:color w:val="000000"/>
          <w:szCs w:val="22"/>
          <w:lang w:val="hu-HU"/>
        </w:rPr>
        <w:noBreakHyphen/>
      </w:r>
      <w:r w:rsidRPr="00556B9B">
        <w:rPr>
          <w:snapToGrid w:val="0"/>
          <w:color w:val="000000"/>
          <w:szCs w:val="22"/>
          <w:lang w:val="hu-HU"/>
        </w:rPr>
        <w:t xml:space="preserve">kezeléssel összefüggő fototoxicitás kockázata miatt a </w:t>
      </w:r>
      <w:r w:rsidR="006B087A" w:rsidRPr="00556B9B">
        <w:rPr>
          <w:snapToGrid w:val="0"/>
          <w:color w:val="000000"/>
          <w:szCs w:val="22"/>
          <w:lang w:val="hu-HU"/>
        </w:rPr>
        <w:t xml:space="preserve">napfény általi </w:t>
      </w:r>
      <w:r w:rsidRPr="00556B9B">
        <w:rPr>
          <w:snapToGrid w:val="0"/>
          <w:color w:val="000000"/>
          <w:szCs w:val="22"/>
          <w:lang w:val="hu-HU"/>
        </w:rPr>
        <w:t xml:space="preserve">közvetlen </w:t>
      </w:r>
      <w:r w:rsidR="006B087A" w:rsidRPr="00556B9B">
        <w:rPr>
          <w:snapToGrid w:val="0"/>
          <w:color w:val="000000"/>
          <w:szCs w:val="22"/>
          <w:lang w:val="hu-HU"/>
        </w:rPr>
        <w:t xml:space="preserve">besugárzást kerülni vagy minimalizálni kell. </w:t>
      </w:r>
      <w:r w:rsidRPr="00556B9B">
        <w:rPr>
          <w:snapToGrid w:val="0"/>
          <w:color w:val="000000"/>
          <w:szCs w:val="22"/>
          <w:lang w:val="hu-HU"/>
        </w:rPr>
        <w:t>A betegek</w:t>
      </w:r>
      <w:r w:rsidR="006B087A" w:rsidRPr="00556B9B">
        <w:rPr>
          <w:snapToGrid w:val="0"/>
          <w:color w:val="000000"/>
          <w:szCs w:val="22"/>
          <w:lang w:val="hu-HU"/>
        </w:rPr>
        <w:t>et tájékoztatni kell arról, hogy</w:t>
      </w:r>
      <w:r w:rsidR="00986786" w:rsidRPr="00556B9B">
        <w:rPr>
          <w:snapToGrid w:val="0"/>
          <w:color w:val="000000"/>
          <w:szCs w:val="22"/>
          <w:lang w:val="hu-HU"/>
        </w:rPr>
        <w:t xml:space="preserve"> öltözékükkel védekezzenek</w:t>
      </w:r>
      <w:r w:rsidRPr="00556B9B">
        <w:rPr>
          <w:snapToGrid w:val="0"/>
          <w:color w:val="000000"/>
          <w:szCs w:val="22"/>
          <w:lang w:val="hu-HU"/>
        </w:rPr>
        <w:t xml:space="preserve"> és </w:t>
      </w:r>
      <w:r w:rsidR="00986786" w:rsidRPr="00556B9B">
        <w:rPr>
          <w:snapToGrid w:val="0"/>
          <w:color w:val="000000"/>
          <w:szCs w:val="22"/>
          <w:lang w:val="hu-HU"/>
        </w:rPr>
        <w:t xml:space="preserve">használjanak </w:t>
      </w:r>
      <w:r w:rsidRPr="00556B9B">
        <w:rPr>
          <w:snapToGrid w:val="0"/>
          <w:color w:val="000000"/>
          <w:szCs w:val="22"/>
          <w:lang w:val="hu-HU"/>
        </w:rPr>
        <w:t xml:space="preserve">magas fényvédő </w:t>
      </w:r>
      <w:r w:rsidRPr="0019063C">
        <w:rPr>
          <w:snapToGrid w:val="0"/>
          <w:color w:val="000000"/>
          <w:szCs w:val="22"/>
          <w:lang w:val="hu-HU"/>
        </w:rPr>
        <w:t>faktor</w:t>
      </w:r>
      <w:r w:rsidR="000701E5" w:rsidRPr="0019063C">
        <w:rPr>
          <w:snapToGrid w:val="0"/>
          <w:color w:val="000000"/>
          <w:szCs w:val="22"/>
          <w:lang w:val="hu-HU"/>
        </w:rPr>
        <w:t>szám</w:t>
      </w:r>
      <w:r w:rsidRPr="0019063C">
        <w:rPr>
          <w:snapToGrid w:val="0"/>
          <w:color w:val="000000"/>
          <w:szCs w:val="22"/>
          <w:lang w:val="hu-HU"/>
        </w:rPr>
        <w:t>ú naptejet</w:t>
      </w:r>
      <w:r w:rsidR="00E70CBF" w:rsidRPr="0019063C">
        <w:rPr>
          <w:snapToGrid w:val="0"/>
          <w:color w:val="000000"/>
          <w:szCs w:val="22"/>
          <w:lang w:val="hu-HU"/>
        </w:rPr>
        <w:t>.</w:t>
      </w:r>
    </w:p>
    <w:p w14:paraId="428146FD" w14:textId="77777777" w:rsidR="00743067" w:rsidRPr="0019063C" w:rsidRDefault="00743067" w:rsidP="00743067">
      <w:pPr>
        <w:pStyle w:val="EndnoteText"/>
        <w:widowControl w:val="0"/>
        <w:rPr>
          <w:snapToGrid w:val="0"/>
          <w:color w:val="000000"/>
          <w:szCs w:val="22"/>
          <w:lang w:val="hu-HU"/>
        </w:rPr>
      </w:pPr>
    </w:p>
    <w:p w14:paraId="748D2203" w14:textId="77777777" w:rsidR="00743067" w:rsidRPr="0019063C" w:rsidRDefault="00743067" w:rsidP="00743067">
      <w:pPr>
        <w:pStyle w:val="EndnoteText"/>
        <w:keepNext/>
        <w:widowControl w:val="0"/>
        <w:rPr>
          <w:snapToGrid w:val="0"/>
          <w:color w:val="000000"/>
          <w:szCs w:val="22"/>
          <w:u w:val="single"/>
          <w:lang w:val="hu-HU"/>
        </w:rPr>
      </w:pPr>
      <w:r w:rsidRPr="0019063C">
        <w:rPr>
          <w:snapToGrid w:val="0"/>
          <w:color w:val="000000"/>
          <w:szCs w:val="22"/>
          <w:u w:val="single"/>
          <w:lang w:val="hu-HU"/>
        </w:rPr>
        <w:t>Thromboticus microangiopathia</w:t>
      </w:r>
    </w:p>
    <w:p w14:paraId="655EBF94" w14:textId="05171D22" w:rsidR="00743067" w:rsidRPr="0019063C" w:rsidRDefault="00743067" w:rsidP="00743067">
      <w:pPr>
        <w:pStyle w:val="EndnoteText"/>
        <w:widowControl w:val="0"/>
        <w:rPr>
          <w:color w:val="000000"/>
          <w:szCs w:val="22"/>
          <w:lang w:val="hu-HU"/>
        </w:rPr>
      </w:pPr>
      <w:r w:rsidRPr="0019063C">
        <w:rPr>
          <w:rFonts w:cs="Times New Roman"/>
          <w:szCs w:val="22"/>
          <w:lang w:val="hu-HU"/>
        </w:rPr>
        <w:t>A BCR</w:t>
      </w:r>
      <w:r w:rsidRPr="0019063C">
        <w:rPr>
          <w:rFonts w:cs="Times New Roman"/>
          <w:szCs w:val="22"/>
          <w:lang w:val="hu-HU"/>
        </w:rPr>
        <w:noBreakHyphen/>
        <w:t>ABL tirozin</w:t>
      </w:r>
      <w:r w:rsidRPr="0019063C">
        <w:rPr>
          <w:rFonts w:cs="Times New Roman"/>
          <w:szCs w:val="22"/>
          <w:lang w:val="hu-HU"/>
        </w:rPr>
        <w:noBreakHyphen/>
        <w:t>kináz inhibitorok (TKI</w:t>
      </w:r>
      <w:r w:rsidRPr="0019063C">
        <w:rPr>
          <w:rFonts w:cs="Times New Roman"/>
          <w:szCs w:val="22"/>
          <w:lang w:val="hu-HU"/>
        </w:rPr>
        <w:noBreakHyphen/>
        <w:t xml:space="preserve">k) </w:t>
      </w:r>
      <w:r w:rsidR="00E416BE" w:rsidRPr="0019063C">
        <w:rPr>
          <w:rFonts w:cs="Times New Roman"/>
          <w:szCs w:val="22"/>
          <w:lang w:val="hu-HU"/>
        </w:rPr>
        <w:t>alkalmazása során</w:t>
      </w:r>
      <w:r w:rsidRPr="0019063C">
        <w:rPr>
          <w:rFonts w:cs="Times New Roman"/>
          <w:szCs w:val="22"/>
          <w:lang w:val="hu-HU"/>
        </w:rPr>
        <w:t xml:space="preserve"> </w:t>
      </w:r>
      <w:r w:rsidRPr="0019063C">
        <w:rPr>
          <w:color w:val="000000"/>
          <w:szCs w:val="22"/>
          <w:lang w:val="hu-HU"/>
        </w:rPr>
        <w:t>thromboticus microangiopathiá</w:t>
      </w:r>
      <w:r w:rsidR="00E416BE" w:rsidRPr="0019063C">
        <w:rPr>
          <w:color w:val="000000"/>
          <w:szCs w:val="22"/>
          <w:lang w:val="hu-HU"/>
        </w:rPr>
        <w:t>t</w:t>
      </w:r>
      <w:r w:rsidRPr="0019063C">
        <w:rPr>
          <w:color w:val="000000"/>
          <w:szCs w:val="22"/>
          <w:lang w:val="hu-HU"/>
        </w:rPr>
        <w:t xml:space="preserve"> (TMA) </w:t>
      </w:r>
      <w:r w:rsidR="00E416BE" w:rsidRPr="0019063C">
        <w:rPr>
          <w:color w:val="000000"/>
          <w:szCs w:val="22"/>
          <w:lang w:val="hu-HU"/>
        </w:rPr>
        <w:t>jelentettek</w:t>
      </w:r>
      <w:r w:rsidRPr="0019063C">
        <w:rPr>
          <w:color w:val="000000"/>
          <w:szCs w:val="22"/>
          <w:lang w:val="hu-HU"/>
        </w:rPr>
        <w:t>, beleértve a Glivec</w:t>
      </w:r>
      <w:r w:rsidRPr="0019063C">
        <w:rPr>
          <w:color w:val="000000"/>
          <w:szCs w:val="22"/>
          <w:lang w:val="hu-HU"/>
        </w:rPr>
        <w:noBreakHyphen/>
        <w:t>kel kapcsolatos egyedi esetjelentéseket (lásd 4.8 pont). Ha a Glivec</w:t>
      </w:r>
      <w:r w:rsidRPr="0019063C">
        <w:rPr>
          <w:color w:val="000000"/>
          <w:szCs w:val="22"/>
          <w:lang w:val="hu-HU"/>
        </w:rPr>
        <w:noBreakHyphen/>
      </w:r>
      <w:r w:rsidR="00597C7D" w:rsidRPr="0019063C">
        <w:rPr>
          <w:color w:val="000000"/>
          <w:szCs w:val="22"/>
          <w:lang w:val="hu-HU"/>
        </w:rPr>
        <w:t>k</w:t>
      </w:r>
      <w:r w:rsidRPr="0019063C">
        <w:rPr>
          <w:color w:val="000000"/>
          <w:szCs w:val="22"/>
          <w:lang w:val="hu-HU"/>
        </w:rPr>
        <w:t>e</w:t>
      </w:r>
      <w:r w:rsidR="00E416BE" w:rsidRPr="0019063C">
        <w:rPr>
          <w:color w:val="000000"/>
          <w:szCs w:val="22"/>
          <w:lang w:val="hu-HU"/>
        </w:rPr>
        <w:t>l kezelt</w:t>
      </w:r>
      <w:r w:rsidRPr="0019063C">
        <w:rPr>
          <w:color w:val="000000"/>
          <w:szCs w:val="22"/>
          <w:lang w:val="hu-HU"/>
        </w:rPr>
        <w:t xml:space="preserve"> betegnél a TMA laboratóriumi vagy klinikai jelei fordulnak elő, a kezelést fel kell függeszteni, és a TMA alapos kivizsgál</w:t>
      </w:r>
      <w:r w:rsidRPr="00BF3D9F">
        <w:rPr>
          <w:color w:val="000000"/>
          <w:szCs w:val="22"/>
          <w:lang w:val="hu-HU"/>
        </w:rPr>
        <w:t>ása szükséges, beleértve az ADAMTS13 aktivitást és az anti-ADAMTS13-antitest meghatározást. Ha az anti-ADAMTS13</w:t>
      </w:r>
      <w:r w:rsidRPr="0019063C">
        <w:rPr>
          <w:color w:val="000000"/>
          <w:szCs w:val="22"/>
          <w:lang w:val="hu-HU"/>
        </w:rPr>
        <w:t>-antitest szint magas és az ADAMTS13 aktivitás alacsony, a Glivec</w:t>
      </w:r>
      <w:r w:rsidRPr="0019063C">
        <w:rPr>
          <w:color w:val="000000"/>
          <w:szCs w:val="22"/>
          <w:lang w:val="hu-HU"/>
        </w:rPr>
        <w:noBreakHyphen/>
        <w:t>kezelést nem szabad folytatni.</w:t>
      </w:r>
    </w:p>
    <w:p w14:paraId="7EE87F95" w14:textId="77777777" w:rsidR="00910FC8" w:rsidRPr="0019063C" w:rsidRDefault="00910FC8" w:rsidP="00C63EC4">
      <w:pPr>
        <w:pStyle w:val="BodyText"/>
        <w:spacing w:line="240" w:lineRule="auto"/>
        <w:rPr>
          <w:rFonts w:cs="Times New Roman"/>
          <w:b w:val="0"/>
          <w:i w:val="0"/>
          <w:color w:val="000000"/>
          <w:szCs w:val="22"/>
          <w:lang w:val="hu-HU"/>
        </w:rPr>
      </w:pPr>
    </w:p>
    <w:p w14:paraId="387369C5" w14:textId="77777777" w:rsidR="00910FC8" w:rsidRPr="0019063C" w:rsidRDefault="00910FC8" w:rsidP="005C6E7A">
      <w:pPr>
        <w:keepNext/>
        <w:spacing w:line="240" w:lineRule="auto"/>
        <w:rPr>
          <w:rFonts w:cs="Times New Roman"/>
          <w:color w:val="000000"/>
          <w:szCs w:val="22"/>
          <w:u w:val="single"/>
          <w:lang w:val="hu-HU"/>
        </w:rPr>
      </w:pPr>
      <w:r w:rsidRPr="0019063C">
        <w:rPr>
          <w:rFonts w:cs="Times New Roman"/>
          <w:color w:val="000000"/>
          <w:szCs w:val="22"/>
          <w:u w:val="single"/>
          <w:lang w:val="hu-HU"/>
        </w:rPr>
        <w:t>Laboratóriumi vizsgálatok:</w:t>
      </w:r>
    </w:p>
    <w:p w14:paraId="3EAD811C" w14:textId="62C560F7" w:rsidR="00910FC8" w:rsidRPr="0019063C" w:rsidRDefault="00910FC8" w:rsidP="00C63EC4">
      <w:pPr>
        <w:spacing w:line="240" w:lineRule="auto"/>
        <w:rPr>
          <w:color w:val="000000"/>
          <w:lang w:val="hu-HU"/>
        </w:rPr>
      </w:pPr>
      <w:r w:rsidRPr="0019063C">
        <w:rPr>
          <w:rFonts w:cs="Times New Roman"/>
          <w:color w:val="000000"/>
          <w:szCs w:val="22"/>
          <w:lang w:val="hu-HU"/>
        </w:rPr>
        <w:t>A teljes vérkép rendszeresen ellenőrizendő a Glivec-kezelés során. A CML</w:t>
      </w:r>
      <w:r w:rsidR="00A87155" w:rsidRPr="0019063C">
        <w:rPr>
          <w:rFonts w:cs="Times New Roman"/>
          <w:color w:val="000000"/>
          <w:szCs w:val="22"/>
          <w:lang w:val="hu-HU"/>
        </w:rPr>
        <w:t>-es</w:t>
      </w:r>
      <w:r w:rsidRPr="0019063C">
        <w:rPr>
          <w:rFonts w:cs="Times New Roman"/>
          <w:color w:val="000000"/>
          <w:szCs w:val="22"/>
          <w:lang w:val="hu-HU"/>
        </w:rPr>
        <w:t xml:space="preserve"> betegek Glivec</w:t>
      </w:r>
      <w:r w:rsidRPr="0019063C">
        <w:rPr>
          <w:rFonts w:cs="Times New Roman"/>
          <w:color w:val="000000"/>
          <w:szCs w:val="22"/>
          <w:lang w:val="hu-HU"/>
        </w:rPr>
        <w:noBreakHyphen/>
        <w:t>kezelésekor neutropeniát vagy thrombocytopeniát figyeltek meg. Ezen cytopeniák előfordulása azonban valószínűleg a kezelendő betegség stádiumától függött, és sokkal gyakoribb volt az akcelerált fázisú CML</w:t>
      </w:r>
      <w:r w:rsidRPr="0019063C">
        <w:rPr>
          <w:rFonts w:cs="Times New Roman"/>
          <w:color w:val="000000"/>
          <w:szCs w:val="22"/>
          <w:lang w:val="hu-HU"/>
        </w:rPr>
        <w:noBreakHyphen/>
        <w:t>es betegekben vagy blasztos krízisben</w:t>
      </w:r>
      <w:r w:rsidRPr="0019063C">
        <w:rPr>
          <w:color w:val="000000"/>
          <w:lang w:val="hu-HU"/>
        </w:rPr>
        <w:t>, mint a krónikus fázisban. Ilyen esetben a Glivec</w:t>
      </w:r>
      <w:r w:rsidRPr="0019063C">
        <w:rPr>
          <w:color w:val="000000"/>
          <w:lang w:val="hu-HU"/>
        </w:rPr>
        <w:noBreakHyphen/>
        <w:t>kezelés abbahagyható, vagy az alkalmazott adag csökkenthető, amint az a 4.2 pontban javasolt.</w:t>
      </w:r>
    </w:p>
    <w:p w14:paraId="213EE125" w14:textId="77777777" w:rsidR="00910FC8" w:rsidRPr="0019063C" w:rsidRDefault="00910FC8" w:rsidP="0091747B">
      <w:pPr>
        <w:spacing w:line="240" w:lineRule="auto"/>
        <w:rPr>
          <w:color w:val="000000"/>
          <w:lang w:val="hu-HU"/>
        </w:rPr>
      </w:pPr>
    </w:p>
    <w:p w14:paraId="04501758" w14:textId="5F544496" w:rsidR="00910FC8" w:rsidRPr="007C3BCA" w:rsidRDefault="00910FC8">
      <w:pPr>
        <w:spacing w:line="240" w:lineRule="auto"/>
        <w:rPr>
          <w:color w:val="000000"/>
          <w:lang w:val="hu-HU"/>
        </w:rPr>
      </w:pPr>
      <w:r w:rsidRPr="007C3BCA">
        <w:rPr>
          <w:color w:val="000000"/>
          <w:lang w:val="hu-HU"/>
        </w:rPr>
        <w:t>A májfunkció</w:t>
      </w:r>
      <w:r w:rsidR="00341D2E" w:rsidRPr="007C3BCA">
        <w:rPr>
          <w:color w:val="000000"/>
          <w:lang w:val="hu-HU"/>
        </w:rPr>
        <w:t>t</w:t>
      </w:r>
      <w:r w:rsidRPr="007C3BCA">
        <w:rPr>
          <w:color w:val="000000"/>
          <w:lang w:val="hu-HU"/>
        </w:rPr>
        <w:t xml:space="preserve"> (transzaminázok, bilirubin, alkalikus foszfatáz) rendszeresen ellenőriz</w:t>
      </w:r>
      <w:r w:rsidR="00341D2E" w:rsidRPr="007C3BCA">
        <w:rPr>
          <w:color w:val="000000"/>
          <w:lang w:val="hu-HU"/>
        </w:rPr>
        <w:t>ni kell</w:t>
      </w:r>
      <w:r w:rsidRPr="007C3BCA">
        <w:rPr>
          <w:color w:val="000000"/>
          <w:lang w:val="hu-HU"/>
        </w:rPr>
        <w:t xml:space="preserve"> a Glivec</w:t>
      </w:r>
      <w:r w:rsidRPr="007C3BCA">
        <w:rPr>
          <w:color w:val="000000"/>
          <w:lang w:val="hu-HU"/>
        </w:rPr>
        <w:noBreakHyphen/>
        <w:t>kezelésben részesülő betegek</w:t>
      </w:r>
      <w:r w:rsidR="00341D2E" w:rsidRPr="007C3BCA">
        <w:rPr>
          <w:color w:val="000000"/>
          <w:lang w:val="hu-HU"/>
        </w:rPr>
        <w:t>nél</w:t>
      </w:r>
      <w:r w:rsidRPr="007C3BCA">
        <w:rPr>
          <w:color w:val="000000"/>
          <w:lang w:val="hu-HU"/>
        </w:rPr>
        <w:t>.</w:t>
      </w:r>
    </w:p>
    <w:p w14:paraId="0F9C48B7" w14:textId="77777777" w:rsidR="00910FC8" w:rsidRPr="007C3BCA" w:rsidRDefault="00910FC8">
      <w:pPr>
        <w:spacing w:line="240" w:lineRule="auto"/>
        <w:rPr>
          <w:color w:val="000000"/>
          <w:lang w:val="hu-HU"/>
        </w:rPr>
      </w:pPr>
    </w:p>
    <w:p w14:paraId="799E3B5D" w14:textId="6776A4C8" w:rsidR="00910FC8" w:rsidRPr="00556B9B" w:rsidRDefault="00341D2E">
      <w:pPr>
        <w:spacing w:line="240" w:lineRule="auto"/>
        <w:rPr>
          <w:color w:val="000000"/>
          <w:lang w:val="hu-HU"/>
        </w:rPr>
      </w:pPr>
      <w:r w:rsidRPr="007C3BCA">
        <w:rPr>
          <w:color w:val="000000"/>
          <w:lang w:val="hu-HU"/>
        </w:rPr>
        <w:t>Vesekárosodásban szenvedő</w:t>
      </w:r>
      <w:r w:rsidR="00910FC8" w:rsidRPr="007C3BCA">
        <w:rPr>
          <w:color w:val="000000"/>
          <w:lang w:val="hu-HU"/>
        </w:rPr>
        <w:t xml:space="preserve"> betegek</w:t>
      </w:r>
      <w:r w:rsidRPr="007C3BCA">
        <w:rPr>
          <w:color w:val="000000"/>
          <w:lang w:val="hu-HU"/>
        </w:rPr>
        <w:t>nél</w:t>
      </w:r>
      <w:r w:rsidR="00910FC8" w:rsidRPr="007C3BCA">
        <w:rPr>
          <w:color w:val="000000"/>
          <w:lang w:val="hu-HU"/>
        </w:rPr>
        <w:t xml:space="preserve"> az imatinib plazmaexpozíciója magasabb</w:t>
      </w:r>
      <w:r w:rsidRPr="007C3BCA">
        <w:rPr>
          <w:color w:val="000000"/>
          <w:lang w:val="hu-HU"/>
        </w:rPr>
        <w:t>n</w:t>
      </w:r>
      <w:r w:rsidR="00910FC8" w:rsidRPr="007C3BCA">
        <w:rPr>
          <w:color w:val="000000"/>
          <w:lang w:val="hu-HU"/>
        </w:rPr>
        <w:t>ak tűnik, mint az egészséges vesefunkciójú betegek</w:t>
      </w:r>
      <w:r w:rsidRPr="007C3BCA">
        <w:rPr>
          <w:color w:val="000000"/>
          <w:lang w:val="hu-HU"/>
        </w:rPr>
        <w:t>nél</w:t>
      </w:r>
      <w:r w:rsidR="00910FC8" w:rsidRPr="007C3BCA">
        <w:rPr>
          <w:color w:val="000000"/>
          <w:lang w:val="hu-HU"/>
        </w:rPr>
        <w:t>. Ennek oka valószínűleg az, hogy ezen betegekben megemelkedik az imatinibet megkötő savas</w:t>
      </w:r>
      <w:r w:rsidR="00910FC8" w:rsidRPr="0019063C">
        <w:rPr>
          <w:color w:val="000000"/>
          <w:lang w:val="hu-HU"/>
        </w:rPr>
        <w:t xml:space="preserve"> alfa glikoprotein (AGP) plazmaszintje. </w:t>
      </w:r>
      <w:r w:rsidRPr="0019063C">
        <w:rPr>
          <w:color w:val="000000"/>
          <w:lang w:val="hu-HU"/>
        </w:rPr>
        <w:t>Vesekárosodásban szenvedő</w:t>
      </w:r>
      <w:r w:rsidR="00910FC8" w:rsidRPr="0019063C">
        <w:rPr>
          <w:color w:val="000000"/>
          <w:lang w:val="hu-HU"/>
        </w:rPr>
        <w:t xml:space="preserve"> betegeknek a legkisebb kezdő adagot kell adni. Súlyos</w:t>
      </w:r>
      <w:r w:rsidRPr="0019063C">
        <w:rPr>
          <w:color w:val="000000"/>
          <w:lang w:val="hu-HU"/>
        </w:rPr>
        <w:t xml:space="preserve"> vesekárosodásban szenvedő</w:t>
      </w:r>
      <w:r w:rsidR="00910FC8" w:rsidRPr="0019063C">
        <w:rPr>
          <w:color w:val="000000"/>
          <w:lang w:val="hu-HU"/>
        </w:rPr>
        <w:t xml:space="preserve"> betegek</w:t>
      </w:r>
      <w:r w:rsidR="00910FC8" w:rsidRPr="00556B9B">
        <w:rPr>
          <w:color w:val="000000"/>
          <w:lang w:val="hu-HU"/>
        </w:rPr>
        <w:t xml:space="preserve"> kezelése óvatosságot igényel. Az adagot csökkenteni lehet, amennyiben azt a beteg nem jól tolerálja (lásd 4.2 és 5.2 pont).</w:t>
      </w:r>
    </w:p>
    <w:p w14:paraId="46586967" w14:textId="77777777" w:rsidR="00513CB8" w:rsidRPr="00556B9B" w:rsidRDefault="00513CB8">
      <w:pPr>
        <w:spacing w:line="240" w:lineRule="auto"/>
        <w:rPr>
          <w:color w:val="000000"/>
          <w:lang w:val="hu-HU"/>
        </w:rPr>
      </w:pPr>
    </w:p>
    <w:p w14:paraId="48D06FC1" w14:textId="0902CF0A" w:rsidR="00513CB8" w:rsidRPr="00556B9B" w:rsidRDefault="00523557" w:rsidP="00513CB8">
      <w:pPr>
        <w:pStyle w:val="EndnoteText"/>
        <w:widowControl w:val="0"/>
        <w:rPr>
          <w:color w:val="000000"/>
          <w:szCs w:val="22"/>
          <w:lang w:val="hu-HU"/>
        </w:rPr>
      </w:pPr>
      <w:r w:rsidRPr="00556B9B">
        <w:rPr>
          <w:color w:val="000000"/>
          <w:szCs w:val="22"/>
          <w:lang w:val="hu-HU"/>
        </w:rPr>
        <w:t>A h</w:t>
      </w:r>
      <w:r w:rsidR="00513CB8" w:rsidRPr="00556B9B">
        <w:rPr>
          <w:color w:val="000000"/>
          <w:szCs w:val="22"/>
          <w:lang w:val="hu-HU"/>
        </w:rPr>
        <w:t>osszú távú imatinib</w:t>
      </w:r>
      <w:r w:rsidR="00513CB8" w:rsidRPr="00556B9B">
        <w:rPr>
          <w:color w:val="000000"/>
          <w:szCs w:val="22"/>
          <w:lang w:val="hu-HU"/>
        </w:rPr>
        <w:noBreakHyphen/>
        <w:t xml:space="preserve">kezelés klinikailag jelentős vesefunkció romlást </w:t>
      </w:r>
      <w:r w:rsidR="00513CB8" w:rsidRPr="007C3BCA">
        <w:rPr>
          <w:color w:val="000000"/>
          <w:szCs w:val="22"/>
          <w:lang w:val="hu-HU"/>
        </w:rPr>
        <w:t>eredményezhet. Az imatinib</w:t>
      </w:r>
      <w:r w:rsidR="00513CB8" w:rsidRPr="007C3BCA">
        <w:rPr>
          <w:color w:val="000000"/>
          <w:szCs w:val="22"/>
          <w:lang w:val="hu-HU"/>
        </w:rPr>
        <w:noBreakHyphen/>
        <w:t>kezelés megkezdése előtt ezért a vesefunkciót vizsgálni,</w:t>
      </w:r>
      <w:r w:rsidR="00AA5FC6" w:rsidRPr="007C3BCA">
        <w:rPr>
          <w:color w:val="000000"/>
          <w:szCs w:val="22"/>
          <w:lang w:val="hu-HU"/>
        </w:rPr>
        <w:t xml:space="preserve"> </w:t>
      </w:r>
      <w:r w:rsidR="00513CB8" w:rsidRPr="007C3BCA">
        <w:rPr>
          <w:color w:val="000000"/>
          <w:szCs w:val="22"/>
          <w:lang w:val="hu-HU"/>
        </w:rPr>
        <w:t>valamint a kezelés során szorosan monitorozni kell, különös tekintettel a veseműködési zavar kockázat</w:t>
      </w:r>
      <w:r w:rsidR="00234233" w:rsidRPr="007C3BCA">
        <w:rPr>
          <w:color w:val="000000"/>
          <w:szCs w:val="22"/>
          <w:lang w:val="hu-HU"/>
        </w:rPr>
        <w:t>i</w:t>
      </w:r>
      <w:r w:rsidR="00A96450" w:rsidRPr="007C3BCA">
        <w:rPr>
          <w:color w:val="000000"/>
          <w:szCs w:val="22"/>
          <w:lang w:val="hu-HU"/>
        </w:rPr>
        <w:t xml:space="preserve"> tényezői</w:t>
      </w:r>
      <w:r w:rsidR="004652A2" w:rsidRPr="007C3BCA">
        <w:rPr>
          <w:color w:val="000000"/>
          <w:szCs w:val="22"/>
          <w:lang w:val="hu-HU"/>
        </w:rPr>
        <w:t>vel rendelkező</w:t>
      </w:r>
      <w:r w:rsidR="00513CB8" w:rsidRPr="007C3BCA">
        <w:rPr>
          <w:color w:val="000000"/>
          <w:szCs w:val="22"/>
          <w:lang w:val="hu-HU"/>
        </w:rPr>
        <w:t xml:space="preserve"> betegekre. Veseműködési zavar észlelése esetén megfelelő ellátást és kezelést kell elrendeni a standard</w:t>
      </w:r>
      <w:r w:rsidR="00513CB8" w:rsidRPr="00556B9B">
        <w:rPr>
          <w:color w:val="000000"/>
          <w:szCs w:val="22"/>
          <w:lang w:val="hu-HU"/>
        </w:rPr>
        <w:t xml:space="preserve"> kezelési </w:t>
      </w:r>
      <w:r w:rsidR="00034A6E" w:rsidRPr="00556B9B">
        <w:rPr>
          <w:color w:val="000000"/>
          <w:szCs w:val="22"/>
          <w:lang w:val="hu-HU"/>
        </w:rPr>
        <w:t>irányelvek</w:t>
      </w:r>
      <w:r w:rsidR="00513CB8" w:rsidRPr="00556B9B">
        <w:rPr>
          <w:color w:val="000000"/>
          <w:szCs w:val="22"/>
          <w:lang w:val="hu-HU"/>
        </w:rPr>
        <w:t xml:space="preserve"> szerint.</w:t>
      </w:r>
    </w:p>
    <w:p w14:paraId="7F5C290F" w14:textId="77777777" w:rsidR="00620759" w:rsidRPr="00556B9B" w:rsidRDefault="00620759">
      <w:pPr>
        <w:spacing w:line="240" w:lineRule="auto"/>
        <w:rPr>
          <w:color w:val="000000"/>
          <w:lang w:val="hu-HU"/>
        </w:rPr>
      </w:pPr>
    </w:p>
    <w:p w14:paraId="0DA01E83" w14:textId="77777777" w:rsidR="00545C0D" w:rsidRPr="00556B9B" w:rsidRDefault="00545C0D" w:rsidP="00694BDD">
      <w:pPr>
        <w:keepNext/>
        <w:spacing w:line="240" w:lineRule="auto"/>
        <w:rPr>
          <w:color w:val="000000"/>
          <w:u w:val="single"/>
          <w:lang w:val="hu-HU"/>
        </w:rPr>
      </w:pPr>
      <w:r w:rsidRPr="00556B9B">
        <w:rPr>
          <w:u w:val="single"/>
          <w:lang w:val="hu-HU"/>
        </w:rPr>
        <w:t>Gyermek</w:t>
      </w:r>
      <w:r w:rsidR="006351D8" w:rsidRPr="00556B9B">
        <w:rPr>
          <w:u w:val="single"/>
          <w:lang w:val="hu-HU"/>
        </w:rPr>
        <w:t>ek</w:t>
      </w:r>
      <w:r w:rsidR="008878B9" w:rsidRPr="00556B9B">
        <w:rPr>
          <w:u w:val="single"/>
          <w:lang w:val="hu-HU"/>
        </w:rPr>
        <w:t xml:space="preserve"> és serdülők</w:t>
      </w:r>
    </w:p>
    <w:p w14:paraId="52BF3705" w14:textId="048983B4" w:rsidR="00620759" w:rsidRPr="00556B9B" w:rsidRDefault="000F579D">
      <w:pPr>
        <w:spacing w:line="240" w:lineRule="auto"/>
        <w:rPr>
          <w:color w:val="000000"/>
          <w:lang w:val="hu-HU"/>
        </w:rPr>
      </w:pPr>
      <w:r w:rsidRPr="00347A1E">
        <w:rPr>
          <w:color w:val="000000"/>
          <w:lang w:val="hu-HU"/>
        </w:rPr>
        <w:t>A</w:t>
      </w:r>
      <w:r w:rsidR="00AE0C24" w:rsidRPr="00347A1E">
        <w:rPr>
          <w:color w:val="000000"/>
          <w:lang w:val="hu-HU"/>
        </w:rPr>
        <w:t xml:space="preserve">z </w:t>
      </w:r>
      <w:r w:rsidR="00620759" w:rsidRPr="00347A1E">
        <w:rPr>
          <w:color w:val="000000"/>
          <w:lang w:val="hu-HU"/>
        </w:rPr>
        <w:t>imatinib</w:t>
      </w:r>
      <w:r w:rsidR="00501A02" w:rsidRPr="00347A1E">
        <w:rPr>
          <w:color w:val="000000"/>
          <w:lang w:val="hu-HU"/>
        </w:rPr>
        <w:t>bel kezelt</w:t>
      </w:r>
      <w:r w:rsidR="00620759" w:rsidRPr="00347A1E">
        <w:rPr>
          <w:color w:val="000000"/>
          <w:lang w:val="hu-HU"/>
        </w:rPr>
        <w:t xml:space="preserve"> gyermekek</w:t>
      </w:r>
      <w:r w:rsidR="00AE0C24" w:rsidRPr="00347A1E">
        <w:rPr>
          <w:color w:val="000000"/>
          <w:lang w:val="hu-HU"/>
        </w:rPr>
        <w:t>nél</w:t>
      </w:r>
      <w:r w:rsidR="00620759" w:rsidRPr="00347A1E">
        <w:rPr>
          <w:color w:val="000000"/>
          <w:lang w:val="hu-HU"/>
        </w:rPr>
        <w:t xml:space="preserve"> és serdülőkor előtt állók</w:t>
      </w:r>
      <w:r w:rsidR="00AE0C24" w:rsidRPr="00347A1E">
        <w:rPr>
          <w:color w:val="000000"/>
          <w:lang w:val="hu-HU"/>
        </w:rPr>
        <w:t>nál</w:t>
      </w:r>
      <w:r w:rsidR="00620759" w:rsidRPr="00347A1E">
        <w:rPr>
          <w:color w:val="000000"/>
          <w:lang w:val="hu-HU"/>
        </w:rPr>
        <w:t xml:space="preserve"> </w:t>
      </w:r>
      <w:r w:rsidR="00AE0C24" w:rsidRPr="00347A1E">
        <w:rPr>
          <w:color w:val="000000"/>
          <w:lang w:val="hu-HU"/>
        </w:rPr>
        <w:t>növekedés</w:t>
      </w:r>
      <w:r w:rsidR="003D5BDB" w:rsidRPr="00347A1E">
        <w:rPr>
          <w:color w:val="000000"/>
          <w:lang w:val="hu-HU"/>
        </w:rPr>
        <w:t>i retardáció</w:t>
      </w:r>
      <w:r w:rsidR="00AE0C24" w:rsidRPr="00347A1E">
        <w:rPr>
          <w:color w:val="000000"/>
          <w:lang w:val="hu-HU"/>
        </w:rPr>
        <w:t xml:space="preserve"> kialakulásáról szóló esetismertetések</w:t>
      </w:r>
      <w:r w:rsidRPr="00347A1E">
        <w:rPr>
          <w:color w:val="000000"/>
          <w:lang w:val="hu-HU"/>
        </w:rPr>
        <w:t xml:space="preserve"> jelentek meg</w:t>
      </w:r>
      <w:r w:rsidR="00620759" w:rsidRPr="00347A1E">
        <w:rPr>
          <w:color w:val="000000"/>
          <w:lang w:val="hu-HU"/>
        </w:rPr>
        <w:t>.</w:t>
      </w:r>
      <w:r w:rsidR="00AE0C24" w:rsidRPr="00347A1E">
        <w:rPr>
          <w:color w:val="000000"/>
          <w:lang w:val="hu-HU"/>
        </w:rPr>
        <w:t xml:space="preserve"> </w:t>
      </w:r>
      <w:r w:rsidR="00DE1E04" w:rsidRPr="00347A1E">
        <w:rPr>
          <w:color w:val="000000"/>
          <w:lang w:val="hu-HU"/>
        </w:rPr>
        <w:t>Egy megfigyeléses vizsgálatban, 12 és 24 hónapos kezelés után, a CML</w:t>
      </w:r>
      <w:r w:rsidR="00DE1E04" w:rsidRPr="00347A1E">
        <w:rPr>
          <w:color w:val="000000"/>
          <w:lang w:val="hu-HU"/>
        </w:rPr>
        <w:noBreakHyphen/>
        <w:t xml:space="preserve">ben </w:t>
      </w:r>
      <w:r w:rsidR="00D74D78" w:rsidRPr="00347A1E">
        <w:rPr>
          <w:color w:val="000000"/>
          <w:lang w:val="hu-HU"/>
        </w:rPr>
        <w:t xml:space="preserve">szenvedő </w:t>
      </w:r>
      <w:r w:rsidR="007B32C6" w:rsidRPr="00347A1E">
        <w:rPr>
          <w:color w:val="000000"/>
          <w:lang w:val="hu-HU"/>
        </w:rPr>
        <w:t>gyermek</w:t>
      </w:r>
      <w:r w:rsidRPr="00347A1E">
        <w:rPr>
          <w:color w:val="000000"/>
          <w:lang w:val="hu-HU"/>
        </w:rPr>
        <w:t>ek és serdülők</w:t>
      </w:r>
      <w:r w:rsidR="00DE1E04" w:rsidRPr="00347A1E">
        <w:rPr>
          <w:color w:val="000000"/>
          <w:lang w:val="hu-HU"/>
        </w:rPr>
        <w:t xml:space="preserve"> két</w:t>
      </w:r>
      <w:r w:rsidR="00832EC7" w:rsidRPr="00347A1E">
        <w:rPr>
          <w:color w:val="000000"/>
          <w:lang w:val="hu-HU"/>
        </w:rPr>
        <w:t xml:space="preserve"> kisebb</w:t>
      </w:r>
      <w:r w:rsidR="005544FB" w:rsidRPr="00347A1E">
        <w:rPr>
          <w:color w:val="000000"/>
          <w:lang w:val="hu-HU"/>
        </w:rPr>
        <w:t>,</w:t>
      </w:r>
      <w:r w:rsidR="00DE1E04" w:rsidRPr="00347A1E">
        <w:rPr>
          <w:color w:val="000000"/>
          <w:lang w:val="hu-HU"/>
        </w:rPr>
        <w:t xml:space="preserve"> </w:t>
      </w:r>
      <w:r w:rsidR="005544FB" w:rsidRPr="00347A1E">
        <w:rPr>
          <w:color w:val="000000"/>
          <w:lang w:val="hu-HU"/>
        </w:rPr>
        <w:t>pubertás</w:t>
      </w:r>
      <w:r w:rsidR="00832EC7" w:rsidRPr="00347A1E">
        <w:rPr>
          <w:color w:val="000000"/>
          <w:lang w:val="hu-HU"/>
        </w:rPr>
        <w:t>-</w:t>
      </w:r>
      <w:r w:rsidR="005544FB" w:rsidRPr="00347A1E">
        <w:rPr>
          <w:color w:val="000000"/>
          <w:lang w:val="hu-HU"/>
        </w:rPr>
        <w:t>státusztól</w:t>
      </w:r>
      <w:r w:rsidR="005544FB" w:rsidRPr="00556B9B">
        <w:rPr>
          <w:color w:val="000000"/>
          <w:lang w:val="hu-HU"/>
        </w:rPr>
        <w:t xml:space="preserve"> és nemtől független </w:t>
      </w:r>
      <w:r w:rsidR="00DE1E04" w:rsidRPr="00347A1E">
        <w:rPr>
          <w:color w:val="000000"/>
          <w:lang w:val="hu-HU"/>
        </w:rPr>
        <w:t>alcsoport</w:t>
      </w:r>
      <w:r w:rsidR="00D74D78" w:rsidRPr="00347A1E">
        <w:rPr>
          <w:color w:val="000000"/>
          <w:lang w:val="hu-HU"/>
        </w:rPr>
        <w:t>já</w:t>
      </w:r>
      <w:r w:rsidR="00DE1E04" w:rsidRPr="00347A1E">
        <w:rPr>
          <w:color w:val="000000"/>
          <w:lang w:val="hu-HU"/>
        </w:rPr>
        <w:t>ban</w:t>
      </w:r>
      <w:r w:rsidR="00D74D78" w:rsidRPr="00347A1E">
        <w:rPr>
          <w:color w:val="000000"/>
          <w:lang w:val="hu-HU"/>
        </w:rPr>
        <w:t xml:space="preserve"> a medián </w:t>
      </w:r>
      <w:r w:rsidR="005544FB" w:rsidRPr="00347A1E">
        <w:rPr>
          <w:color w:val="000000"/>
          <w:lang w:val="hu-HU"/>
        </w:rPr>
        <w:t>testmagasságra vonatkozó</w:t>
      </w:r>
      <w:r w:rsidR="00D74D78" w:rsidRPr="00347A1E">
        <w:rPr>
          <w:color w:val="000000"/>
          <w:lang w:val="hu-HU"/>
        </w:rPr>
        <w:t xml:space="preserve"> standard deviációs pontszám </w:t>
      </w:r>
      <w:r w:rsidR="002458F5" w:rsidRPr="00347A1E">
        <w:rPr>
          <w:color w:val="000000"/>
          <w:lang w:val="hu-HU"/>
        </w:rPr>
        <w:t xml:space="preserve">statisztikailag szignifikáns </w:t>
      </w:r>
      <w:r w:rsidR="00D74D78" w:rsidRPr="00347A1E">
        <w:rPr>
          <w:color w:val="000000"/>
          <w:lang w:val="hu-HU"/>
        </w:rPr>
        <w:t>csökkenését jelentették</w:t>
      </w:r>
      <w:r w:rsidR="002458F5" w:rsidRPr="00347A1E">
        <w:rPr>
          <w:color w:val="000000"/>
          <w:lang w:val="hu-HU"/>
        </w:rPr>
        <w:t xml:space="preserve"> (melynek klinikai jelentősége bizonytalan)</w:t>
      </w:r>
      <w:r w:rsidR="00D74D78" w:rsidRPr="00347A1E">
        <w:rPr>
          <w:color w:val="000000"/>
          <w:lang w:val="hu-HU"/>
        </w:rPr>
        <w:t>.</w:t>
      </w:r>
      <w:r w:rsidR="00DE1E04" w:rsidRPr="00347A1E">
        <w:rPr>
          <w:color w:val="000000"/>
          <w:lang w:val="hu-HU"/>
        </w:rPr>
        <w:t xml:space="preserve"> A</w:t>
      </w:r>
      <w:r w:rsidR="00515332" w:rsidRPr="00347A1E">
        <w:rPr>
          <w:color w:val="000000"/>
          <w:lang w:val="hu-HU"/>
        </w:rPr>
        <w:t>z imatinib</w:t>
      </w:r>
      <w:r w:rsidR="00AE0C24" w:rsidRPr="00347A1E">
        <w:rPr>
          <w:color w:val="000000"/>
          <w:lang w:val="hu-HU"/>
        </w:rPr>
        <w:noBreakHyphen/>
      </w:r>
      <w:r w:rsidR="00515332" w:rsidRPr="00347A1E">
        <w:rPr>
          <w:color w:val="000000"/>
          <w:lang w:val="hu-HU"/>
        </w:rPr>
        <w:t>kezelés alatt álló gyermekek növekedésének</w:t>
      </w:r>
      <w:r w:rsidR="00C54823" w:rsidRPr="00347A1E">
        <w:rPr>
          <w:color w:val="000000"/>
          <w:lang w:val="hu-HU"/>
        </w:rPr>
        <w:t xml:space="preserve"> szoros</w:t>
      </w:r>
      <w:r w:rsidR="00515332" w:rsidRPr="00347A1E">
        <w:rPr>
          <w:color w:val="000000"/>
          <w:lang w:val="hu-HU"/>
        </w:rPr>
        <w:t xml:space="preserve"> </w:t>
      </w:r>
      <w:r w:rsidR="00AE0C24" w:rsidRPr="00347A1E">
        <w:rPr>
          <w:color w:val="000000"/>
          <w:lang w:val="hu-HU"/>
        </w:rPr>
        <w:t>ellenőrzése</w:t>
      </w:r>
      <w:r w:rsidR="00515332" w:rsidRPr="00347A1E">
        <w:rPr>
          <w:color w:val="000000"/>
          <w:lang w:val="hu-HU"/>
        </w:rPr>
        <w:t xml:space="preserve"> javasolt (lásd 4.8 pont).</w:t>
      </w:r>
    </w:p>
    <w:p w14:paraId="0CAE93D6" w14:textId="77777777" w:rsidR="00910FC8" w:rsidRPr="00556B9B" w:rsidRDefault="00910FC8">
      <w:pPr>
        <w:spacing w:line="240" w:lineRule="auto"/>
        <w:rPr>
          <w:color w:val="000000"/>
          <w:lang w:val="hu-HU"/>
        </w:rPr>
      </w:pPr>
    </w:p>
    <w:p w14:paraId="206A2421" w14:textId="77777777" w:rsidR="00910FC8" w:rsidRPr="00556B9B" w:rsidRDefault="00910FC8" w:rsidP="005C6E7A">
      <w:pPr>
        <w:keepNext/>
        <w:suppressAutoHyphens w:val="0"/>
        <w:spacing w:line="240" w:lineRule="auto"/>
        <w:ind w:left="567" w:hanging="567"/>
        <w:rPr>
          <w:b/>
          <w:color w:val="000000"/>
          <w:lang w:val="hu-HU"/>
        </w:rPr>
      </w:pPr>
      <w:r w:rsidRPr="00556B9B">
        <w:rPr>
          <w:b/>
          <w:color w:val="000000"/>
          <w:lang w:val="hu-HU"/>
        </w:rPr>
        <w:t>4.5</w:t>
      </w:r>
      <w:r w:rsidRPr="00556B9B">
        <w:rPr>
          <w:b/>
          <w:color w:val="000000"/>
          <w:lang w:val="hu-HU"/>
        </w:rPr>
        <w:tab/>
        <w:t>Gyógyszerkölcsönhatások és egyéb interakciók</w:t>
      </w:r>
    </w:p>
    <w:p w14:paraId="22F8BFFC" w14:textId="77777777" w:rsidR="00910FC8" w:rsidRPr="00556B9B" w:rsidRDefault="00910FC8" w:rsidP="005C6E7A">
      <w:pPr>
        <w:keepNext/>
        <w:suppressAutoHyphens w:val="0"/>
        <w:spacing w:line="240" w:lineRule="auto"/>
        <w:rPr>
          <w:color w:val="000000"/>
          <w:lang w:val="hu-HU"/>
        </w:rPr>
      </w:pPr>
    </w:p>
    <w:p w14:paraId="3BE9F0A7" w14:textId="77777777" w:rsidR="00910FC8" w:rsidRPr="00556B9B" w:rsidRDefault="00910FC8" w:rsidP="005C6E7A">
      <w:pPr>
        <w:keepNext/>
        <w:suppressAutoHyphens w:val="0"/>
        <w:spacing w:line="240" w:lineRule="auto"/>
        <w:rPr>
          <w:color w:val="000000"/>
          <w:u w:val="single"/>
          <w:lang w:val="hu-HU"/>
        </w:rPr>
      </w:pPr>
      <w:r w:rsidRPr="00556B9B">
        <w:rPr>
          <w:color w:val="000000"/>
          <w:u w:val="single"/>
          <w:lang w:val="hu-HU"/>
        </w:rPr>
        <w:t xml:space="preserve">Hatóanyagok, melyek </w:t>
      </w:r>
      <w:r w:rsidRPr="00556B9B">
        <w:rPr>
          <w:b/>
          <w:color w:val="000000"/>
          <w:u w:val="single"/>
          <w:lang w:val="hu-HU"/>
        </w:rPr>
        <w:t>növelhetik</w:t>
      </w:r>
      <w:r w:rsidRPr="00556B9B">
        <w:rPr>
          <w:color w:val="000000"/>
          <w:u w:val="single"/>
          <w:lang w:val="hu-HU"/>
        </w:rPr>
        <w:t xml:space="preserve"> az imatinib plazmakoncentrációját:</w:t>
      </w:r>
    </w:p>
    <w:p w14:paraId="18C202CC" w14:textId="77777777" w:rsidR="00910FC8" w:rsidRPr="007C3BCA" w:rsidRDefault="00910FC8">
      <w:pPr>
        <w:spacing w:line="240" w:lineRule="auto"/>
        <w:rPr>
          <w:color w:val="000000"/>
          <w:lang w:val="hu-HU"/>
        </w:rPr>
      </w:pPr>
      <w:r w:rsidRPr="00556B9B">
        <w:rPr>
          <w:color w:val="000000"/>
          <w:lang w:val="hu-HU"/>
        </w:rPr>
        <w:t xml:space="preserve">Azok az anyagok, melyek a citokróm P450 CYP3A4 izoenzim aktivitását gátolják (pl. </w:t>
      </w:r>
      <w:r w:rsidR="00AE73A5" w:rsidRPr="00556B9B">
        <w:rPr>
          <w:color w:val="000000"/>
          <w:szCs w:val="22"/>
          <w:lang w:val="hu-HU"/>
        </w:rPr>
        <w:t>prote</w:t>
      </w:r>
      <w:r w:rsidR="008D3EB1" w:rsidRPr="00556B9B">
        <w:rPr>
          <w:color w:val="000000"/>
          <w:szCs w:val="22"/>
          <w:lang w:val="hu-HU"/>
        </w:rPr>
        <w:t>áz</w:t>
      </w:r>
      <w:r w:rsidR="00AE73A5" w:rsidRPr="00556B9B">
        <w:rPr>
          <w:color w:val="000000"/>
          <w:szCs w:val="22"/>
          <w:lang w:val="hu-HU"/>
        </w:rPr>
        <w:noBreakHyphen/>
        <w:t>inhib</w:t>
      </w:r>
      <w:r w:rsidR="008D3EB1" w:rsidRPr="00556B9B">
        <w:rPr>
          <w:color w:val="000000"/>
          <w:szCs w:val="22"/>
          <w:lang w:val="hu-HU"/>
        </w:rPr>
        <w:t>i</w:t>
      </w:r>
      <w:r w:rsidR="00AE73A5" w:rsidRPr="00556B9B">
        <w:rPr>
          <w:color w:val="000000"/>
          <w:szCs w:val="22"/>
          <w:lang w:val="hu-HU"/>
        </w:rPr>
        <w:t xml:space="preserve">torok, mint </w:t>
      </w:r>
      <w:r w:rsidR="008D3EB1" w:rsidRPr="00556B9B">
        <w:rPr>
          <w:color w:val="000000"/>
          <w:szCs w:val="22"/>
          <w:lang w:val="hu-HU"/>
        </w:rPr>
        <w:t xml:space="preserve">az </w:t>
      </w:r>
      <w:r w:rsidR="00AE73A5" w:rsidRPr="00556B9B">
        <w:rPr>
          <w:color w:val="000000"/>
          <w:szCs w:val="22"/>
          <w:lang w:val="hu-HU"/>
        </w:rPr>
        <w:t xml:space="preserve">indinavir, lopinavir/ritonavir, ritonavir, szakinavir, telaprevir, nelfinavir, boceprevir; azol gombaellenes szerek, beleértve a </w:t>
      </w:r>
      <w:r w:rsidRPr="00556B9B">
        <w:rPr>
          <w:color w:val="000000"/>
          <w:lang w:val="hu-HU"/>
        </w:rPr>
        <w:t>ketokonazol</w:t>
      </w:r>
      <w:r w:rsidR="00AE73A5" w:rsidRPr="00556B9B">
        <w:rPr>
          <w:color w:val="000000"/>
          <w:lang w:val="hu-HU"/>
        </w:rPr>
        <w:t>t</w:t>
      </w:r>
      <w:r w:rsidRPr="00556B9B">
        <w:rPr>
          <w:color w:val="000000"/>
          <w:lang w:val="hu-HU"/>
        </w:rPr>
        <w:t>, itrakonazol</w:t>
      </w:r>
      <w:r w:rsidR="00AE73A5" w:rsidRPr="00556B9B">
        <w:rPr>
          <w:color w:val="000000"/>
          <w:lang w:val="hu-HU"/>
        </w:rPr>
        <w:t>t</w:t>
      </w:r>
      <w:r w:rsidRPr="00556B9B">
        <w:rPr>
          <w:color w:val="000000"/>
          <w:lang w:val="hu-HU"/>
        </w:rPr>
        <w:t xml:space="preserve">, </w:t>
      </w:r>
      <w:r w:rsidR="00AE73A5" w:rsidRPr="00556B9B">
        <w:rPr>
          <w:color w:val="000000"/>
          <w:szCs w:val="22"/>
          <w:lang w:val="hu-HU"/>
        </w:rPr>
        <w:t xml:space="preserve">poszakonazolt, </w:t>
      </w:r>
      <w:r w:rsidR="00AE73A5" w:rsidRPr="00556B9B">
        <w:rPr>
          <w:color w:val="000000"/>
          <w:szCs w:val="22"/>
          <w:lang w:val="hu-HU"/>
        </w:rPr>
        <w:lastRenderedPageBreak/>
        <w:t xml:space="preserve">vorikonazolt; egyes makrolidok, mint </w:t>
      </w:r>
      <w:r w:rsidR="008D3EB1" w:rsidRPr="00556B9B">
        <w:rPr>
          <w:color w:val="000000"/>
          <w:szCs w:val="22"/>
          <w:lang w:val="hu-HU"/>
        </w:rPr>
        <w:t xml:space="preserve">az </w:t>
      </w:r>
      <w:r w:rsidRPr="00556B9B">
        <w:rPr>
          <w:color w:val="000000"/>
          <w:lang w:val="hu-HU"/>
        </w:rPr>
        <w:t>eritromicin, klaritromicin</w:t>
      </w:r>
      <w:r w:rsidR="00AE73A5" w:rsidRPr="00556B9B">
        <w:rPr>
          <w:color w:val="000000"/>
          <w:lang w:val="hu-HU"/>
        </w:rPr>
        <w:t xml:space="preserve"> és telitromicin</w:t>
      </w:r>
      <w:r w:rsidRPr="00556B9B">
        <w:rPr>
          <w:color w:val="000000"/>
          <w:lang w:val="hu-HU"/>
        </w:rPr>
        <w:t>) csökkenthetik az imatinib metabolizmusát és növelhetik koncentrációját. Az imatinib expozíció szignifikáns növekedését (az imatinib átlagos C</w:t>
      </w:r>
      <w:r w:rsidRPr="00556B9B">
        <w:rPr>
          <w:color w:val="000000"/>
          <w:vertAlign w:val="subscript"/>
          <w:lang w:val="hu-HU"/>
        </w:rPr>
        <w:t>max</w:t>
      </w:r>
      <w:r w:rsidRPr="00556B9B">
        <w:rPr>
          <w:color w:val="000000"/>
          <w:lang w:val="hu-HU"/>
        </w:rPr>
        <w:t>- és AUC-értékei 26%, ill. 40%</w:t>
      </w:r>
      <w:r w:rsidRPr="00556B9B">
        <w:rPr>
          <w:color w:val="000000"/>
          <w:lang w:val="hu-HU"/>
        </w:rPr>
        <w:noBreakHyphen/>
        <w:t>kal nőttek) észlelték egészséges önkéntesekben egyszeri dózisú ketokonazol (CYP3A4 gátló) egyidejű adásakor. A Glivec és a CYP3A4</w:t>
      </w:r>
      <w:r w:rsidRPr="00556B9B">
        <w:rPr>
          <w:color w:val="000000"/>
          <w:lang w:val="hu-HU"/>
        </w:rPr>
        <w:noBreakHyphen/>
        <w:t xml:space="preserve">gátló tulajdonságú hatóanyagok együttes adásakor óvatosság </w:t>
      </w:r>
      <w:r w:rsidRPr="007C3BCA">
        <w:rPr>
          <w:color w:val="000000"/>
          <w:lang w:val="hu-HU"/>
        </w:rPr>
        <w:t>szükséges.</w:t>
      </w:r>
    </w:p>
    <w:p w14:paraId="65F21490" w14:textId="77777777" w:rsidR="00910FC8" w:rsidRPr="007C3BCA" w:rsidRDefault="00910FC8">
      <w:pPr>
        <w:spacing w:line="240" w:lineRule="auto"/>
        <w:rPr>
          <w:color w:val="000000"/>
          <w:lang w:val="hu-HU"/>
        </w:rPr>
      </w:pPr>
    </w:p>
    <w:p w14:paraId="130BCAF5" w14:textId="77777777" w:rsidR="00910FC8" w:rsidRPr="007C3BCA" w:rsidRDefault="00910FC8" w:rsidP="005C6E7A">
      <w:pPr>
        <w:keepNext/>
        <w:suppressAutoHyphens w:val="0"/>
        <w:spacing w:line="240" w:lineRule="auto"/>
        <w:rPr>
          <w:color w:val="000000"/>
          <w:u w:val="single"/>
          <w:lang w:val="hu-HU"/>
        </w:rPr>
      </w:pPr>
      <w:r w:rsidRPr="007C3BCA">
        <w:rPr>
          <w:color w:val="000000"/>
          <w:u w:val="single"/>
          <w:lang w:val="hu-HU"/>
        </w:rPr>
        <w:t xml:space="preserve">Hatóanyagok, melyek </w:t>
      </w:r>
      <w:r w:rsidRPr="007C3BCA">
        <w:rPr>
          <w:b/>
          <w:color w:val="000000"/>
          <w:u w:val="single"/>
          <w:lang w:val="hu-HU"/>
        </w:rPr>
        <w:t>csökkenthetik</w:t>
      </w:r>
      <w:r w:rsidRPr="007C3BCA">
        <w:rPr>
          <w:color w:val="000000"/>
          <w:u w:val="single"/>
          <w:lang w:val="hu-HU"/>
        </w:rPr>
        <w:t xml:space="preserve"> az imatinib plazmakoncentrációját:</w:t>
      </w:r>
    </w:p>
    <w:p w14:paraId="4675C908" w14:textId="1FEADE32" w:rsidR="00910FC8" w:rsidRPr="00556B9B" w:rsidRDefault="00910FC8">
      <w:pPr>
        <w:spacing w:line="240" w:lineRule="auto"/>
        <w:rPr>
          <w:color w:val="000000"/>
          <w:lang w:val="hu-HU"/>
        </w:rPr>
      </w:pPr>
      <w:r w:rsidRPr="007C3BCA">
        <w:rPr>
          <w:color w:val="000000"/>
          <w:lang w:val="hu-HU"/>
        </w:rPr>
        <w:t xml:space="preserve">A CYP3A4 aktivitását indukáló anyagok (pl. dexametazon, fenitoin, karbamazepin, rifampicin, fenobarbitál, foszfenitoin, primidon vagy a </w:t>
      </w:r>
      <w:r w:rsidRPr="007C3BCA">
        <w:rPr>
          <w:i/>
          <w:color w:val="000000"/>
          <w:lang w:val="hu-HU"/>
        </w:rPr>
        <w:t>Hypericum perforatum</w:t>
      </w:r>
      <w:r w:rsidRPr="007C3BCA">
        <w:rPr>
          <w:color w:val="000000"/>
          <w:lang w:val="hu-HU"/>
        </w:rPr>
        <w:t xml:space="preserve"> [</w:t>
      </w:r>
      <w:r w:rsidR="00F352C9" w:rsidRPr="007C3BCA">
        <w:rPr>
          <w:color w:val="000000"/>
          <w:lang w:val="hu-HU"/>
        </w:rPr>
        <w:t xml:space="preserve">közönséges </w:t>
      </w:r>
      <w:r w:rsidRPr="007C3BCA">
        <w:rPr>
          <w:color w:val="000000"/>
          <w:lang w:val="hu-HU"/>
        </w:rPr>
        <w:t>orbáncfű</w:t>
      </w:r>
      <w:r w:rsidRPr="00556B9B">
        <w:rPr>
          <w:color w:val="000000"/>
          <w:lang w:val="hu-HU"/>
        </w:rPr>
        <w:t>]) szignifikánsan csökkentheti</w:t>
      </w:r>
      <w:r w:rsidR="00B74C90" w:rsidRPr="00556B9B">
        <w:rPr>
          <w:color w:val="000000"/>
          <w:lang w:val="hu-HU"/>
        </w:rPr>
        <w:t>k</w:t>
      </w:r>
      <w:r w:rsidRPr="00556B9B">
        <w:rPr>
          <w:color w:val="000000"/>
          <w:lang w:val="hu-HU"/>
        </w:rPr>
        <w:t xml:space="preserve"> a Glivec expozíciót, potenciálisan növelve a terápiás elégtelenség lehetőségét. 600 mg</w:t>
      </w:r>
      <w:r w:rsidRPr="00556B9B">
        <w:rPr>
          <w:color w:val="000000"/>
          <w:lang w:val="hu-HU"/>
        </w:rPr>
        <w:noBreakHyphen/>
        <w:t>os, ismételt dózisú rifampicin előkezelést követő egyszeri 400 mg Glivec bevétele a C</w:t>
      </w:r>
      <w:r w:rsidRPr="00556B9B">
        <w:rPr>
          <w:color w:val="000000"/>
          <w:vertAlign w:val="subscript"/>
          <w:lang w:val="hu-HU"/>
        </w:rPr>
        <w:t>max</w:t>
      </w:r>
      <w:r w:rsidRPr="00556B9B">
        <w:rPr>
          <w:color w:val="000000"/>
          <w:lang w:val="hu-HU"/>
        </w:rPr>
        <w:t>-, ill. az AUC</w:t>
      </w:r>
      <w:r w:rsidRPr="00556B9B">
        <w:rPr>
          <w:color w:val="000000"/>
          <w:vertAlign w:val="subscript"/>
          <w:lang w:val="hu-HU"/>
        </w:rPr>
        <w:t>0-∞</w:t>
      </w:r>
      <w:r w:rsidRPr="00556B9B">
        <w:rPr>
          <w:color w:val="000000"/>
          <w:lang w:val="hu-HU"/>
        </w:rPr>
        <w:t>-értékeiben legalább 54%, ill. 74%</w:t>
      </w:r>
      <w:r w:rsidRPr="00556B9B">
        <w:rPr>
          <w:color w:val="000000"/>
          <w:lang w:val="hu-HU"/>
        </w:rPr>
        <w:noBreakHyphen/>
        <w:t>os csökkenést okozott a rifampicin nélküli kezeléshez képest. Hasonló eredményeket figyeltek meg azoknál a malignus gliómában szenvedő, Glivec</w:t>
      </w:r>
      <w:r w:rsidRPr="00556B9B">
        <w:rPr>
          <w:color w:val="000000"/>
          <w:lang w:val="hu-HU"/>
        </w:rPr>
        <w:noBreakHyphen/>
        <w:t xml:space="preserve">kel kezelt betegeknél, akik egyidejűleg enzimindukáló antiepileptikum (pl. karbamazepin, </w:t>
      </w:r>
      <w:r w:rsidR="00D37E84" w:rsidRPr="00556B9B">
        <w:rPr>
          <w:color w:val="000000"/>
          <w:lang w:val="hu-HU"/>
        </w:rPr>
        <w:t>oxkarbazepin</w:t>
      </w:r>
      <w:r w:rsidRPr="00556B9B">
        <w:rPr>
          <w:color w:val="000000"/>
          <w:lang w:val="hu-HU"/>
        </w:rPr>
        <w:t>, fenitoin) kezelésben részesültek. Az imatinib plazma AUC-értéke 73%</w:t>
      </w:r>
      <w:r w:rsidRPr="00556B9B">
        <w:rPr>
          <w:color w:val="000000"/>
          <w:lang w:val="hu-HU"/>
        </w:rPr>
        <w:noBreakHyphen/>
        <w:t>kal csökkent az enzimindukáló antiepileptikumot nem szedő betegekhez képest. A rifampicin vagy más erős CYP3A4 induktor és a Glivec egyidejű adását el kell kerülni.</w:t>
      </w:r>
    </w:p>
    <w:p w14:paraId="2FAE224E" w14:textId="77777777" w:rsidR="00910FC8" w:rsidRPr="00556B9B" w:rsidRDefault="00910FC8">
      <w:pPr>
        <w:spacing w:line="240" w:lineRule="auto"/>
        <w:rPr>
          <w:color w:val="000000"/>
          <w:lang w:val="hu-HU"/>
        </w:rPr>
      </w:pPr>
    </w:p>
    <w:p w14:paraId="4666E17A" w14:textId="77777777" w:rsidR="00910FC8" w:rsidRPr="00556B9B" w:rsidRDefault="00910FC8" w:rsidP="005C6E7A">
      <w:pPr>
        <w:keepNext/>
        <w:suppressAutoHyphens w:val="0"/>
        <w:spacing w:line="240" w:lineRule="auto"/>
        <w:rPr>
          <w:b/>
          <w:color w:val="000000"/>
          <w:lang w:val="hu-HU"/>
        </w:rPr>
      </w:pPr>
      <w:r w:rsidRPr="00556B9B">
        <w:rPr>
          <w:b/>
          <w:color w:val="000000"/>
          <w:lang w:val="hu-HU"/>
        </w:rPr>
        <w:t>Hatóanyagok, melyek plazmakoncentrációját a Glivec megváltoztathatja</w:t>
      </w:r>
    </w:p>
    <w:p w14:paraId="73E4E8AC" w14:textId="77777777" w:rsidR="00910FC8" w:rsidRPr="00556B9B" w:rsidRDefault="00910FC8">
      <w:pPr>
        <w:spacing w:line="240" w:lineRule="auto"/>
        <w:rPr>
          <w:color w:val="000000"/>
          <w:lang w:val="hu-HU"/>
        </w:rPr>
      </w:pPr>
      <w:r w:rsidRPr="00556B9B">
        <w:rPr>
          <w:color w:val="000000"/>
          <w:lang w:val="hu-HU"/>
        </w:rPr>
        <w:t>Az imatinib a szimvasztatin (CYP3A4 szubsztrát) átlagos C</w:t>
      </w:r>
      <w:r w:rsidRPr="00556B9B">
        <w:rPr>
          <w:color w:val="000000"/>
          <w:vertAlign w:val="subscript"/>
          <w:lang w:val="hu-HU"/>
        </w:rPr>
        <w:t>max</w:t>
      </w:r>
      <w:r w:rsidRPr="00556B9B">
        <w:rPr>
          <w:color w:val="000000"/>
          <w:lang w:val="hu-HU"/>
        </w:rPr>
        <w:t>-, ill. AUC-értékét 2-, ill. 3,5</w:t>
      </w:r>
      <w:r w:rsidRPr="00556B9B">
        <w:rPr>
          <w:color w:val="000000"/>
          <w:lang w:val="hu-HU"/>
        </w:rPr>
        <w:noBreakHyphen/>
        <w:t>szeresére növeli, ami arra utal, hogy az imatinib gátolja a CYP3A4 izoenzim aktivitását. Ezért óvatosság ajánlott, amikor a Glivec</w:t>
      </w:r>
      <w:r w:rsidRPr="00556B9B">
        <w:rPr>
          <w:color w:val="000000"/>
          <w:lang w:val="hu-HU"/>
        </w:rPr>
        <w:noBreakHyphen/>
        <w:t>et kicsiny terápiás szélességű CYP3A4 szubsztrátokkal (pl.ciklosporin</w:t>
      </w:r>
      <w:r w:rsidR="007F6AA9" w:rsidRPr="00556B9B">
        <w:rPr>
          <w:color w:val="000000"/>
          <w:lang w:val="hu-HU"/>
        </w:rPr>
        <w:t>,</w:t>
      </w:r>
      <w:r w:rsidRPr="00556B9B">
        <w:rPr>
          <w:color w:val="000000"/>
          <w:lang w:val="hu-HU"/>
        </w:rPr>
        <w:t xml:space="preserve"> pimozid</w:t>
      </w:r>
      <w:r w:rsidR="007F6AA9" w:rsidRPr="00556B9B">
        <w:rPr>
          <w:color w:val="000000"/>
          <w:szCs w:val="22"/>
          <w:lang w:val="hu-HU"/>
        </w:rPr>
        <w:t>, takrolimusz, szirolimusz, ergotamin, diergotamin, fentan</w:t>
      </w:r>
      <w:r w:rsidR="008D3EB1" w:rsidRPr="00556B9B">
        <w:rPr>
          <w:color w:val="000000"/>
          <w:szCs w:val="22"/>
          <w:lang w:val="hu-HU"/>
        </w:rPr>
        <w:t>i</w:t>
      </w:r>
      <w:r w:rsidR="007F6AA9" w:rsidRPr="00556B9B">
        <w:rPr>
          <w:color w:val="000000"/>
          <w:szCs w:val="22"/>
          <w:lang w:val="hu-HU"/>
        </w:rPr>
        <w:t>l, alfentanil, terfenadin, bortezomib, docetaxel és kinidin</w:t>
      </w:r>
      <w:r w:rsidRPr="00556B9B">
        <w:rPr>
          <w:color w:val="000000"/>
          <w:lang w:val="hu-HU"/>
        </w:rPr>
        <w:t>) adják együtt. A Glivec növelheti az egyéb, CYP3A4 enzimrendszeren keresztül metabolizálódó gyógyszerek (pl. triazolo</w:t>
      </w:r>
      <w:r w:rsidRPr="00556B9B">
        <w:rPr>
          <w:color w:val="000000"/>
          <w:lang w:val="hu-HU"/>
        </w:rPr>
        <w:noBreakHyphen/>
        <w:t>benzodiazepinek, dihidropiridin kalciumcsatorna</w:t>
      </w:r>
      <w:r w:rsidRPr="00556B9B">
        <w:rPr>
          <w:color w:val="000000"/>
          <w:lang w:val="hu-HU"/>
        </w:rPr>
        <w:noBreakHyphen/>
        <w:t xml:space="preserve">gátlók, egyes </w:t>
      </w:r>
      <w:smartTag w:uri="urn:schemas-microsoft-com:office:smarttags" w:element="stockticker">
        <w:r w:rsidRPr="00556B9B">
          <w:rPr>
            <w:color w:val="000000"/>
            <w:lang w:val="hu-HU"/>
          </w:rPr>
          <w:t>HMG</w:t>
        </w:r>
      </w:smartTag>
      <w:r w:rsidRPr="00556B9B">
        <w:rPr>
          <w:color w:val="000000"/>
          <w:lang w:val="hu-HU"/>
        </w:rPr>
        <w:t>-CoA reduktáz inhibitorok, pl. sztatinok stb.) plazmaszintjét.</w:t>
      </w:r>
    </w:p>
    <w:p w14:paraId="2FBF0925" w14:textId="77777777" w:rsidR="00910FC8" w:rsidRPr="00556B9B" w:rsidRDefault="00910FC8">
      <w:pPr>
        <w:spacing w:line="240" w:lineRule="auto"/>
        <w:rPr>
          <w:color w:val="000000"/>
          <w:lang w:val="hu-HU"/>
        </w:rPr>
      </w:pPr>
    </w:p>
    <w:p w14:paraId="4ECE9141" w14:textId="77777777" w:rsidR="00910FC8" w:rsidRPr="00556B9B" w:rsidRDefault="007F6AA9">
      <w:pPr>
        <w:spacing w:line="240" w:lineRule="auto"/>
        <w:rPr>
          <w:color w:val="000000"/>
          <w:lang w:val="hu-HU"/>
        </w:rPr>
      </w:pPr>
      <w:r w:rsidRPr="00556B9B">
        <w:rPr>
          <w:color w:val="000000"/>
          <w:lang w:val="hu-HU"/>
        </w:rPr>
        <w:t xml:space="preserve">Az imatinib </w:t>
      </w:r>
      <w:r w:rsidR="008D3EB1" w:rsidRPr="00556B9B">
        <w:rPr>
          <w:color w:val="000000"/>
          <w:lang w:val="hu-HU"/>
        </w:rPr>
        <w:t>alkalmazásával</w:t>
      </w:r>
      <w:r w:rsidRPr="00556B9B">
        <w:rPr>
          <w:color w:val="000000"/>
          <w:lang w:val="hu-HU"/>
        </w:rPr>
        <w:t xml:space="preserve"> együttjáró</w:t>
      </w:r>
      <w:r w:rsidR="00B44B7A" w:rsidRPr="00556B9B">
        <w:rPr>
          <w:color w:val="000000"/>
          <w:lang w:val="hu-HU"/>
        </w:rPr>
        <w:t>,</w:t>
      </w:r>
      <w:r w:rsidRPr="00556B9B">
        <w:rPr>
          <w:color w:val="000000"/>
          <w:lang w:val="hu-HU"/>
        </w:rPr>
        <w:t xml:space="preserve"> ismert</w:t>
      </w:r>
      <w:r w:rsidR="00B44B7A" w:rsidRPr="00556B9B">
        <w:rPr>
          <w:color w:val="000000"/>
          <w:lang w:val="hu-HU"/>
        </w:rPr>
        <w:t>en emelkedett</w:t>
      </w:r>
      <w:r w:rsidRPr="00556B9B">
        <w:rPr>
          <w:color w:val="000000"/>
          <w:lang w:val="hu-HU"/>
        </w:rPr>
        <w:t xml:space="preserve"> vérzés</w:t>
      </w:r>
      <w:r w:rsidR="00B44B7A" w:rsidRPr="00556B9B">
        <w:rPr>
          <w:color w:val="000000"/>
          <w:lang w:val="hu-HU"/>
        </w:rPr>
        <w:t>i</w:t>
      </w:r>
      <w:r w:rsidRPr="00556B9B">
        <w:rPr>
          <w:color w:val="000000"/>
          <w:lang w:val="hu-HU"/>
        </w:rPr>
        <w:t xml:space="preserve"> rizikó miatt (pl. haemorrhagia)</w:t>
      </w:r>
      <w:r w:rsidR="00910FC8" w:rsidRPr="00556B9B">
        <w:rPr>
          <w:color w:val="000000"/>
          <w:lang w:val="hu-HU"/>
        </w:rPr>
        <w:t xml:space="preserve"> antikoaguláns kezelésre szoruló betegeknek </w:t>
      </w:r>
      <w:r w:rsidRPr="00556B9B">
        <w:rPr>
          <w:color w:val="000000"/>
          <w:lang w:val="hu-HU"/>
        </w:rPr>
        <w:t>kumarin</w:t>
      </w:r>
      <w:r w:rsidRPr="00556B9B">
        <w:rPr>
          <w:color w:val="000000"/>
          <w:lang w:val="hu-HU"/>
        </w:rPr>
        <w:noBreakHyphen/>
        <w:t xml:space="preserve">származékok, </w:t>
      </w:r>
      <w:r w:rsidR="00B44B7A" w:rsidRPr="00556B9B">
        <w:rPr>
          <w:color w:val="000000"/>
          <w:lang w:val="hu-HU"/>
        </w:rPr>
        <w:t>például a</w:t>
      </w:r>
      <w:r w:rsidRPr="00556B9B">
        <w:rPr>
          <w:color w:val="000000"/>
          <w:lang w:val="hu-HU"/>
        </w:rPr>
        <w:t xml:space="preserve"> warfarin helyett </w:t>
      </w:r>
      <w:r w:rsidR="00910FC8" w:rsidRPr="00556B9B">
        <w:rPr>
          <w:color w:val="000000"/>
          <w:lang w:val="hu-HU"/>
        </w:rPr>
        <w:t>kis molekulatömegű vagy standard heparint kell kapniuk.</w:t>
      </w:r>
    </w:p>
    <w:p w14:paraId="65A74905" w14:textId="77777777" w:rsidR="00910FC8" w:rsidRPr="00556B9B" w:rsidRDefault="00910FC8">
      <w:pPr>
        <w:spacing w:line="240" w:lineRule="auto"/>
        <w:rPr>
          <w:color w:val="000000"/>
          <w:lang w:val="hu-HU"/>
        </w:rPr>
      </w:pPr>
    </w:p>
    <w:p w14:paraId="5DA93FEC" w14:textId="0768C0FC" w:rsidR="00910FC8" w:rsidRPr="007C3BCA" w:rsidRDefault="00910FC8">
      <w:pPr>
        <w:spacing w:line="240" w:lineRule="auto"/>
        <w:rPr>
          <w:color w:val="000000"/>
          <w:lang w:val="hu-HU"/>
        </w:rPr>
      </w:pPr>
      <w:r w:rsidRPr="00556B9B">
        <w:rPr>
          <w:i/>
          <w:color w:val="000000"/>
          <w:lang w:val="hu-HU"/>
        </w:rPr>
        <w:t>In vitro</w:t>
      </w:r>
      <w:r w:rsidRPr="00556B9B">
        <w:rPr>
          <w:color w:val="000000"/>
          <w:lang w:val="hu-HU"/>
        </w:rPr>
        <w:t xml:space="preserve"> a Glivec a citokróm P450 CYP2D6 izoenzim aktivitását azonos koncentrációkban gátolja, mint amelyek hatással vannak a CYP3A4 aktivitására. Az imatinib napi 2 x 400 mg adagban gátló hatást gyakorolt a metoprolol CYP2D6 által mediált metabolizmusára, melynek következtében a metoprolol C</w:t>
      </w:r>
      <w:r w:rsidRPr="00556B9B">
        <w:rPr>
          <w:color w:val="000000"/>
          <w:vertAlign w:val="subscript"/>
          <w:lang w:val="hu-HU"/>
        </w:rPr>
        <w:t>max</w:t>
      </w:r>
      <w:r w:rsidRPr="00556B9B">
        <w:rPr>
          <w:color w:val="000000"/>
          <w:lang w:val="hu-HU"/>
        </w:rPr>
        <w:t>- és AUC-értékei körülbelül 23%</w:t>
      </w:r>
      <w:r w:rsidRPr="00556B9B">
        <w:rPr>
          <w:color w:val="000000"/>
          <w:lang w:val="hu-HU"/>
        </w:rPr>
        <w:noBreakHyphen/>
        <w:t xml:space="preserve">kal növekedtek </w:t>
      </w:r>
      <w:r w:rsidRPr="00556B9B">
        <w:rPr>
          <w:color w:val="000000"/>
          <w:szCs w:val="22"/>
          <w:lang w:val="hu-HU"/>
        </w:rPr>
        <w:t>(90%CI [1,16</w:t>
      </w:r>
      <w:r w:rsidRPr="00556B9B">
        <w:rPr>
          <w:color w:val="000000"/>
          <w:szCs w:val="22"/>
          <w:lang w:val="hu-HU"/>
        </w:rPr>
        <w:noBreakHyphen/>
        <w:t xml:space="preserve">1,30]). Úgy tűnik, hogy az imatinib és a CYP2D6 szubsztrátok egyidejű alkalmazása esetén nincs szükség adagmódosításra, azonban óvatosság javasolt a szűk terápiás ablakú CYP2D6 szubsztrátok (pl. metoprolol) esetén. </w:t>
      </w:r>
      <w:r w:rsidR="001E7E44" w:rsidRPr="00556B9B">
        <w:rPr>
          <w:color w:val="000000"/>
          <w:szCs w:val="22"/>
          <w:lang w:val="hu-HU"/>
        </w:rPr>
        <w:t xml:space="preserve">Metoprolollal </w:t>
      </w:r>
      <w:r w:rsidRPr="00556B9B">
        <w:rPr>
          <w:color w:val="000000"/>
          <w:szCs w:val="22"/>
          <w:lang w:val="hu-HU"/>
        </w:rPr>
        <w:t xml:space="preserve">kezelt betegek esetében </w:t>
      </w:r>
      <w:r w:rsidRPr="007C3BCA">
        <w:rPr>
          <w:color w:val="000000"/>
          <w:szCs w:val="22"/>
          <w:lang w:val="hu-HU"/>
        </w:rPr>
        <w:t>megfontolandó a rendszeres klinikai ellenőrzés.</w:t>
      </w:r>
    </w:p>
    <w:p w14:paraId="41062B48" w14:textId="77777777" w:rsidR="008C1E11" w:rsidRPr="007C3BCA" w:rsidRDefault="008C1E11" w:rsidP="008C1E11">
      <w:pPr>
        <w:spacing w:line="240" w:lineRule="auto"/>
        <w:rPr>
          <w:color w:val="000000"/>
          <w:lang w:val="hu-HU"/>
        </w:rPr>
      </w:pPr>
    </w:p>
    <w:p w14:paraId="24B74E3D" w14:textId="2A8E32EF" w:rsidR="008C1E11" w:rsidRPr="00556B9B" w:rsidRDefault="008C1E11" w:rsidP="008C1E11">
      <w:pPr>
        <w:spacing w:line="240" w:lineRule="auto"/>
        <w:rPr>
          <w:color w:val="000000"/>
          <w:lang w:val="hu-HU"/>
        </w:rPr>
      </w:pPr>
      <w:r w:rsidRPr="007C3BCA">
        <w:rPr>
          <w:color w:val="000000"/>
          <w:lang w:val="hu-HU"/>
        </w:rPr>
        <w:t xml:space="preserve">A Glivec </w:t>
      </w:r>
      <w:r w:rsidRPr="007C3BCA">
        <w:rPr>
          <w:i/>
          <w:color w:val="000000"/>
          <w:lang w:val="hu-HU"/>
        </w:rPr>
        <w:t>in vitro</w:t>
      </w:r>
      <w:r w:rsidRPr="007C3BCA">
        <w:rPr>
          <w:color w:val="000000"/>
          <w:lang w:val="hu-HU"/>
        </w:rPr>
        <w:t xml:space="preserve"> gátolja a paracetamol O</w:t>
      </w:r>
      <w:r w:rsidRPr="007C3BCA">
        <w:rPr>
          <w:color w:val="000000"/>
          <w:lang w:val="hu-HU"/>
        </w:rPr>
        <w:noBreakHyphen/>
        <w:t>glukuronidációját 58,5 mi</w:t>
      </w:r>
      <w:r w:rsidR="00894BA2" w:rsidRPr="007C3BCA">
        <w:rPr>
          <w:color w:val="000000"/>
          <w:lang w:val="hu-HU"/>
        </w:rPr>
        <w:t>k</w:t>
      </w:r>
      <w:r w:rsidRPr="007C3BCA">
        <w:rPr>
          <w:color w:val="000000"/>
          <w:lang w:val="hu-HU"/>
        </w:rPr>
        <w:t>romol/l</w:t>
      </w:r>
      <w:r w:rsidR="00C300EA" w:rsidRPr="007C3BCA">
        <w:rPr>
          <w:color w:val="000000"/>
          <w:lang w:val="hu-HU"/>
        </w:rPr>
        <w:t xml:space="preserve"> Ki</w:t>
      </w:r>
      <w:r w:rsidR="00712E1C" w:rsidRPr="007C3BCA">
        <w:rPr>
          <w:color w:val="000000"/>
          <w:lang w:val="hu-HU"/>
        </w:rPr>
        <w:noBreakHyphen/>
      </w:r>
      <w:r w:rsidR="00C300EA" w:rsidRPr="007C3BCA">
        <w:rPr>
          <w:color w:val="000000"/>
          <w:lang w:val="hu-HU"/>
        </w:rPr>
        <w:t>érték mellett</w:t>
      </w:r>
      <w:r w:rsidRPr="007C3BCA">
        <w:rPr>
          <w:color w:val="000000"/>
          <w:lang w:val="hu-HU"/>
        </w:rPr>
        <w:t>.</w:t>
      </w:r>
      <w:r w:rsidR="00C300EA" w:rsidRPr="007C3BCA">
        <w:rPr>
          <w:color w:val="000000"/>
          <w:lang w:val="hu-HU"/>
        </w:rPr>
        <w:t xml:space="preserve"> Ez a gátló hatás </w:t>
      </w:r>
      <w:r w:rsidR="00C300EA" w:rsidRPr="007C3BCA">
        <w:rPr>
          <w:i/>
          <w:color w:val="000000"/>
          <w:lang w:val="hu-HU"/>
        </w:rPr>
        <w:t>in vivo</w:t>
      </w:r>
      <w:r w:rsidR="00C300EA" w:rsidRPr="007C3BCA">
        <w:rPr>
          <w:color w:val="000000"/>
          <w:lang w:val="hu-HU"/>
        </w:rPr>
        <w:t xml:space="preserve">, 400 mg Glivec és 1000 mg paracetamol </w:t>
      </w:r>
      <w:r w:rsidR="00BF25B9" w:rsidRPr="007C3BCA">
        <w:rPr>
          <w:color w:val="000000"/>
          <w:lang w:val="hu-HU"/>
        </w:rPr>
        <w:t>beadása után nem volt tapasztalható. Magasabb Glivec</w:t>
      </w:r>
      <w:r w:rsidR="00F352C9" w:rsidRPr="007C3BCA">
        <w:rPr>
          <w:color w:val="000000"/>
          <w:lang w:val="hu-HU"/>
        </w:rPr>
        <w:t>-</w:t>
      </w:r>
      <w:r w:rsidR="00BF25B9" w:rsidRPr="007C3BCA">
        <w:rPr>
          <w:color w:val="000000"/>
          <w:lang w:val="hu-HU"/>
        </w:rPr>
        <w:t xml:space="preserve"> és paracetamol dózist nem vizsgáltak.</w:t>
      </w:r>
    </w:p>
    <w:p w14:paraId="27412EE9" w14:textId="77777777" w:rsidR="008C1E11" w:rsidRPr="00556B9B" w:rsidRDefault="008C1E11" w:rsidP="008C1E11">
      <w:pPr>
        <w:spacing w:line="240" w:lineRule="auto"/>
        <w:rPr>
          <w:color w:val="000000"/>
          <w:lang w:val="hu-HU"/>
        </w:rPr>
      </w:pPr>
    </w:p>
    <w:p w14:paraId="0AB175B1" w14:textId="77777777" w:rsidR="008C1E11" w:rsidRPr="00556B9B" w:rsidRDefault="008C1E11" w:rsidP="008C1E11">
      <w:pPr>
        <w:spacing w:line="240" w:lineRule="auto"/>
        <w:rPr>
          <w:color w:val="000000"/>
          <w:lang w:val="hu-HU"/>
        </w:rPr>
      </w:pPr>
      <w:r w:rsidRPr="00556B9B">
        <w:rPr>
          <w:color w:val="000000"/>
          <w:lang w:val="hu-HU"/>
        </w:rPr>
        <w:t>Ezért a Glivec és a paracetamol egyidejű</w:t>
      </w:r>
      <w:r w:rsidR="00CB2559" w:rsidRPr="00556B9B">
        <w:rPr>
          <w:color w:val="000000"/>
          <w:lang w:val="hu-HU"/>
        </w:rPr>
        <w:t>, nagy dózisokban tö</w:t>
      </w:r>
      <w:r w:rsidR="00FA0FDF" w:rsidRPr="00556B9B">
        <w:rPr>
          <w:color w:val="000000"/>
          <w:lang w:val="hu-HU"/>
        </w:rPr>
        <w:t>rténő</w:t>
      </w:r>
      <w:r w:rsidRPr="00556B9B">
        <w:rPr>
          <w:color w:val="000000"/>
          <w:lang w:val="hu-HU"/>
        </w:rPr>
        <w:t xml:space="preserve"> alkalmazása során óvatosságra van szükség.</w:t>
      </w:r>
    </w:p>
    <w:p w14:paraId="54FCC0FF" w14:textId="77777777" w:rsidR="008C1E11" w:rsidRPr="00556B9B" w:rsidRDefault="008C1E11" w:rsidP="008C1E11">
      <w:pPr>
        <w:spacing w:line="240" w:lineRule="auto"/>
        <w:rPr>
          <w:color w:val="000000"/>
          <w:lang w:val="hu-HU"/>
        </w:rPr>
      </w:pPr>
    </w:p>
    <w:p w14:paraId="7F84CB3A" w14:textId="77777777" w:rsidR="00910FC8" w:rsidRPr="00556B9B" w:rsidRDefault="008C1E11" w:rsidP="008C1E11">
      <w:pPr>
        <w:spacing w:line="240" w:lineRule="auto"/>
        <w:rPr>
          <w:color w:val="000000"/>
          <w:lang w:val="hu-HU"/>
        </w:rPr>
      </w:pPr>
      <w:r w:rsidRPr="00556B9B">
        <w:rPr>
          <w:color w:val="000000"/>
          <w:lang w:val="hu-HU"/>
        </w:rPr>
        <w:t xml:space="preserve">Levotiroxin </w:t>
      </w:r>
      <w:r w:rsidR="00910FC8" w:rsidRPr="00556B9B">
        <w:rPr>
          <w:color w:val="000000"/>
          <w:lang w:val="hu-HU"/>
        </w:rPr>
        <w:t>kezelésben részesülő, thyreoidectomián átesett betegekben a levotiroxin plazma expozíciója csökkenhet Glivec egyidejű alkalmazása esetén (lásd 4.4 pont). Ezért ilyen esetben óvatosság javasolt. A megfigyelt interakció mechanizmusa azonban jelenleg nem ismert.</w:t>
      </w:r>
    </w:p>
    <w:p w14:paraId="2475730C" w14:textId="77777777" w:rsidR="00910FC8" w:rsidRPr="00556B9B" w:rsidRDefault="00910FC8">
      <w:pPr>
        <w:spacing w:line="240" w:lineRule="auto"/>
        <w:rPr>
          <w:color w:val="000000"/>
          <w:lang w:val="hu-HU"/>
        </w:rPr>
      </w:pPr>
    </w:p>
    <w:p w14:paraId="48CB5A51" w14:textId="77777777" w:rsidR="00910FC8" w:rsidRPr="00556B9B" w:rsidRDefault="00910FC8">
      <w:pPr>
        <w:spacing w:line="240" w:lineRule="auto"/>
        <w:rPr>
          <w:color w:val="000000"/>
          <w:lang w:val="hu-HU"/>
        </w:rPr>
      </w:pPr>
      <w:r w:rsidRPr="00556B9B">
        <w:rPr>
          <w:color w:val="000000"/>
          <w:lang w:val="hu-HU"/>
        </w:rPr>
        <w:t xml:space="preserve">Ph+ </w:t>
      </w:r>
      <w:smartTag w:uri="urn:schemas-microsoft-com:office:smarttags" w:element="stockticker">
        <w:r w:rsidRPr="00556B9B">
          <w:rPr>
            <w:color w:val="000000"/>
            <w:lang w:val="hu-HU"/>
          </w:rPr>
          <w:t>ALL</w:t>
        </w:r>
      </w:smartTag>
      <w:r w:rsidRPr="00556B9B">
        <w:rPr>
          <w:color w:val="000000"/>
          <w:lang w:val="hu-HU"/>
        </w:rPr>
        <w:noBreakHyphen/>
        <w:t>es betegek esetében a Glivec kemoterápiával történő egyidejű alkalmazására vonatkozóan rendelkezésre áll klinikai tapasztalat (lásd 5.1 pont), de az imatinib és a kemoterápiás szerek közötti gyógyszerkölcsönhatás nincs megfelelően meghatározva. Az imatinib által kiváltott nemkívánatos események (pl. hepatotoxicitás, myelosuppressio, stb) előfordulási gyakorisága megnövekedhet, valamint beszámoltak arról, hogy az imatinib L</w:t>
      </w:r>
      <w:r w:rsidRPr="00556B9B">
        <w:rPr>
          <w:color w:val="000000"/>
          <w:lang w:val="hu-HU"/>
        </w:rPr>
        <w:noBreakHyphen/>
        <w:t xml:space="preserve">aszparaginázzal történő egyidejű alkalmazása </w:t>
      </w:r>
      <w:r w:rsidRPr="00556B9B">
        <w:rPr>
          <w:color w:val="000000"/>
          <w:lang w:val="hu-HU"/>
        </w:rPr>
        <w:lastRenderedPageBreak/>
        <w:t>megnövekedett hepatotoxicitással járhat (lásd 4.8 pont). Ezért a Glivec kombinációban történő alkalmazása fokozott körültekintést igényel.</w:t>
      </w:r>
    </w:p>
    <w:p w14:paraId="3C54AFCA" w14:textId="77777777" w:rsidR="00910FC8" w:rsidRPr="00556B9B" w:rsidRDefault="00910FC8">
      <w:pPr>
        <w:spacing w:line="240" w:lineRule="auto"/>
        <w:rPr>
          <w:color w:val="000000"/>
          <w:lang w:val="hu-HU"/>
        </w:rPr>
      </w:pPr>
    </w:p>
    <w:p w14:paraId="17E8B479" w14:textId="77777777" w:rsidR="00910FC8" w:rsidRPr="00556B9B" w:rsidRDefault="00910FC8" w:rsidP="005C6E7A">
      <w:pPr>
        <w:keepNext/>
        <w:spacing w:line="240" w:lineRule="auto"/>
        <w:ind w:left="567" w:hanging="567"/>
        <w:rPr>
          <w:b/>
          <w:color w:val="000000"/>
          <w:lang w:val="hu-HU"/>
        </w:rPr>
      </w:pPr>
      <w:r w:rsidRPr="00556B9B">
        <w:rPr>
          <w:b/>
          <w:color w:val="000000"/>
          <w:lang w:val="hu-HU"/>
        </w:rPr>
        <w:t>4.6</w:t>
      </w:r>
      <w:r w:rsidRPr="00556B9B">
        <w:rPr>
          <w:b/>
          <w:color w:val="000000"/>
          <w:lang w:val="hu-HU"/>
        </w:rPr>
        <w:tab/>
      </w:r>
      <w:r w:rsidR="009A10DF" w:rsidRPr="00556B9B">
        <w:rPr>
          <w:b/>
          <w:noProof/>
          <w:color w:val="000000"/>
          <w:lang w:val="hu-HU"/>
        </w:rPr>
        <w:t>Termékenység, t</w:t>
      </w:r>
      <w:r w:rsidRPr="00556B9B">
        <w:rPr>
          <w:b/>
          <w:color w:val="000000"/>
          <w:lang w:val="hu-HU"/>
        </w:rPr>
        <w:t>erhesség és szoptatás</w:t>
      </w:r>
    </w:p>
    <w:p w14:paraId="55604280" w14:textId="77777777" w:rsidR="00910FC8" w:rsidRPr="00556B9B" w:rsidRDefault="00910FC8" w:rsidP="005C6E7A">
      <w:pPr>
        <w:keepNext/>
        <w:spacing w:line="240" w:lineRule="auto"/>
        <w:rPr>
          <w:color w:val="000000"/>
          <w:lang w:val="hu-HU"/>
        </w:rPr>
      </w:pPr>
    </w:p>
    <w:p w14:paraId="68E3F958" w14:textId="77777777" w:rsidR="00256B32" w:rsidRPr="007C3BCA" w:rsidRDefault="00FA0FDF" w:rsidP="005C6E7A">
      <w:pPr>
        <w:keepNext/>
        <w:spacing w:line="240" w:lineRule="auto"/>
        <w:rPr>
          <w:color w:val="000000"/>
          <w:lang w:val="hu-HU"/>
        </w:rPr>
      </w:pPr>
      <w:r w:rsidRPr="007C3BCA">
        <w:rPr>
          <w:color w:val="000000"/>
          <w:u w:val="single"/>
          <w:lang w:val="hu-HU"/>
        </w:rPr>
        <w:t>Fogamzóképes nők</w:t>
      </w:r>
    </w:p>
    <w:p w14:paraId="0CE1A4CD" w14:textId="661B40E3" w:rsidR="00E85080" w:rsidRPr="007C3BCA" w:rsidRDefault="00FA0FDF">
      <w:pPr>
        <w:spacing w:line="240" w:lineRule="auto"/>
        <w:rPr>
          <w:color w:val="000000"/>
          <w:u w:val="single"/>
          <w:lang w:val="hu-HU"/>
        </w:rPr>
      </w:pPr>
      <w:r w:rsidRPr="007C3BCA">
        <w:rPr>
          <w:color w:val="000000"/>
          <w:lang w:val="hu-HU"/>
        </w:rPr>
        <w:t xml:space="preserve">Fogamzóképes korban lévő nőknek </w:t>
      </w:r>
      <w:r w:rsidRPr="007C3BCA">
        <w:rPr>
          <w:szCs w:val="22"/>
          <w:lang w:val="hu-HU"/>
        </w:rPr>
        <w:t>azt kell javasolni, hogy</w:t>
      </w:r>
      <w:r w:rsidRPr="007C3BCA">
        <w:rPr>
          <w:color w:val="000000"/>
          <w:lang w:val="hu-HU"/>
        </w:rPr>
        <w:t xml:space="preserve"> </w:t>
      </w:r>
      <w:r w:rsidR="000F579D" w:rsidRPr="007C3BCA">
        <w:rPr>
          <w:color w:val="000000"/>
          <w:lang w:val="hu-HU"/>
        </w:rPr>
        <w:t xml:space="preserve">alkalmazzanak </w:t>
      </w:r>
      <w:r w:rsidRPr="007C3BCA">
        <w:rPr>
          <w:color w:val="000000"/>
          <w:lang w:val="hu-HU"/>
        </w:rPr>
        <w:t>hatékony fogamzásgátlást a kezelés alatt</w:t>
      </w:r>
      <w:r w:rsidR="000F579D" w:rsidRPr="007C3BCA">
        <w:rPr>
          <w:color w:val="000000"/>
          <w:lang w:val="hu-HU"/>
        </w:rPr>
        <w:t>,</w:t>
      </w:r>
      <w:r w:rsidR="005466A1" w:rsidRPr="007C3BCA">
        <w:rPr>
          <w:color w:val="000000"/>
          <w:lang w:val="hu-HU"/>
        </w:rPr>
        <w:t xml:space="preserve"> és még </w:t>
      </w:r>
      <w:r w:rsidR="007C3E20" w:rsidRPr="007C3BCA">
        <w:rPr>
          <w:color w:val="000000"/>
          <w:lang w:val="hu-HU"/>
        </w:rPr>
        <w:t>legalább</w:t>
      </w:r>
      <w:r w:rsidR="005466A1" w:rsidRPr="007C3BCA">
        <w:rPr>
          <w:color w:val="000000"/>
          <w:lang w:val="hu-HU"/>
        </w:rPr>
        <w:t xml:space="preserve"> 15 napig a Glivec</w:t>
      </w:r>
      <w:r w:rsidR="005466A1" w:rsidRPr="007C3BCA">
        <w:rPr>
          <w:color w:val="000000"/>
          <w:lang w:val="hu-HU"/>
        </w:rPr>
        <w:noBreakHyphen/>
        <w:t>kezelés befejezését követően</w:t>
      </w:r>
      <w:r w:rsidRPr="007C3BCA">
        <w:rPr>
          <w:color w:val="000000"/>
          <w:lang w:val="hu-HU"/>
        </w:rPr>
        <w:t>.</w:t>
      </w:r>
    </w:p>
    <w:p w14:paraId="477BFB4D" w14:textId="77777777" w:rsidR="00E85080" w:rsidRPr="007C3BCA" w:rsidRDefault="00E85080">
      <w:pPr>
        <w:spacing w:line="240" w:lineRule="auto"/>
        <w:rPr>
          <w:color w:val="000000"/>
          <w:u w:val="single"/>
          <w:lang w:val="hu-HU"/>
        </w:rPr>
      </w:pPr>
    </w:p>
    <w:p w14:paraId="7A64A6F7" w14:textId="77777777" w:rsidR="00910FC8" w:rsidRPr="007C3BCA" w:rsidRDefault="00910FC8" w:rsidP="005C6E7A">
      <w:pPr>
        <w:keepNext/>
        <w:spacing w:line="240" w:lineRule="auto"/>
        <w:rPr>
          <w:color w:val="000000"/>
          <w:u w:val="single"/>
          <w:lang w:val="hu-HU"/>
        </w:rPr>
      </w:pPr>
      <w:r w:rsidRPr="007C3BCA">
        <w:rPr>
          <w:color w:val="000000"/>
          <w:u w:val="single"/>
          <w:lang w:val="hu-HU"/>
        </w:rPr>
        <w:t>Terhesség</w:t>
      </w:r>
    </w:p>
    <w:p w14:paraId="02664473" w14:textId="75761C74" w:rsidR="00AA09C1" w:rsidRPr="00556B9B" w:rsidRDefault="00AA09C1">
      <w:pPr>
        <w:spacing w:line="240" w:lineRule="auto"/>
        <w:rPr>
          <w:color w:val="000000"/>
          <w:lang w:val="hu-HU"/>
        </w:rPr>
      </w:pPr>
      <w:r w:rsidRPr="007C3BCA">
        <w:rPr>
          <w:szCs w:val="22"/>
          <w:lang w:val="hu-HU"/>
        </w:rPr>
        <w:t xml:space="preserve">Az imatinib </w:t>
      </w:r>
      <w:r w:rsidRPr="007C3BCA">
        <w:rPr>
          <w:color w:val="000000"/>
          <w:lang w:val="hu-HU"/>
        </w:rPr>
        <w:t>t</w:t>
      </w:r>
      <w:r w:rsidR="00910FC8" w:rsidRPr="007C3BCA">
        <w:rPr>
          <w:color w:val="000000"/>
          <w:lang w:val="hu-HU"/>
        </w:rPr>
        <w:t>erhes nők</w:t>
      </w:r>
      <w:r w:rsidRPr="007C3BCA">
        <w:rPr>
          <w:color w:val="000000"/>
          <w:lang w:val="hu-HU"/>
        </w:rPr>
        <w:t>nél</w:t>
      </w:r>
      <w:r w:rsidR="00910FC8" w:rsidRPr="007C3BCA">
        <w:rPr>
          <w:color w:val="000000"/>
          <w:lang w:val="hu-HU"/>
        </w:rPr>
        <w:t xml:space="preserve"> történő alkalmazása tekintetében</w:t>
      </w:r>
      <w:r w:rsidRPr="007C3BCA">
        <w:rPr>
          <w:szCs w:val="22"/>
          <w:lang w:val="hu-HU"/>
        </w:rPr>
        <w:t xml:space="preserve"> korlátozott mennyiségű információ áll rendelkezésre</w:t>
      </w:r>
      <w:r w:rsidR="00910FC8" w:rsidRPr="007C3BCA">
        <w:rPr>
          <w:color w:val="000000"/>
          <w:lang w:val="hu-HU"/>
        </w:rPr>
        <w:t>.</w:t>
      </w:r>
      <w:r w:rsidR="002352AA" w:rsidRPr="007C3BCA">
        <w:rPr>
          <w:color w:val="000000"/>
          <w:lang w:val="hu-HU"/>
        </w:rPr>
        <w:t xml:space="preserve"> </w:t>
      </w:r>
      <w:r w:rsidR="00F62E7C" w:rsidRPr="007C3BCA">
        <w:rPr>
          <w:color w:val="000000"/>
          <w:lang w:val="hu-HU" w:bidi="hu-HU"/>
        </w:rPr>
        <w:t>Glivec</w:t>
      </w:r>
      <w:r w:rsidR="00F62E7C" w:rsidRPr="007C3BCA">
        <w:rPr>
          <w:color w:val="000000"/>
          <w:lang w:val="hu-HU" w:bidi="hu-HU"/>
        </w:rPr>
        <w:noBreakHyphen/>
        <w:t>et szedő nők</w:t>
      </w:r>
      <w:r w:rsidR="002352AA" w:rsidRPr="007C3BCA">
        <w:rPr>
          <w:color w:val="000000"/>
          <w:lang w:val="hu-HU" w:bidi="hu-HU"/>
        </w:rPr>
        <w:t xml:space="preserve"> esetében</w:t>
      </w:r>
      <w:r w:rsidR="001E0016" w:rsidRPr="007C3BCA">
        <w:rPr>
          <w:color w:val="000000"/>
          <w:lang w:val="hu-HU" w:bidi="hu-HU"/>
        </w:rPr>
        <w:t xml:space="preserve"> a forgalomba hozatalt követően</w:t>
      </w:r>
      <w:r w:rsidR="00F62E7C" w:rsidRPr="007C3BCA">
        <w:rPr>
          <w:color w:val="000000"/>
          <w:lang w:val="hu-HU" w:bidi="hu-HU"/>
        </w:rPr>
        <w:t xml:space="preserve"> </w:t>
      </w:r>
      <w:r w:rsidR="002352AA" w:rsidRPr="007C3BCA">
        <w:rPr>
          <w:color w:val="000000"/>
          <w:lang w:val="hu-HU" w:bidi="hu-HU"/>
        </w:rPr>
        <w:t xml:space="preserve">beszámoltak </w:t>
      </w:r>
      <w:r w:rsidR="00F62E7C" w:rsidRPr="007C3BCA">
        <w:rPr>
          <w:color w:val="000000"/>
          <w:lang w:val="hu-HU" w:bidi="hu-HU"/>
        </w:rPr>
        <w:t>spontán abortuszról</w:t>
      </w:r>
      <w:r w:rsidR="002352AA" w:rsidRPr="007C3BCA">
        <w:rPr>
          <w:color w:val="000000"/>
          <w:lang w:val="hu-HU" w:bidi="hu-HU"/>
        </w:rPr>
        <w:t>,</w:t>
      </w:r>
      <w:r w:rsidR="00F62E7C" w:rsidRPr="007C3BCA">
        <w:rPr>
          <w:color w:val="000000"/>
          <w:lang w:val="hu-HU" w:bidi="hu-HU"/>
        </w:rPr>
        <w:t xml:space="preserve"> és fejlődési rendellenességekkel született </w:t>
      </w:r>
      <w:r w:rsidR="002352AA" w:rsidRPr="007C3BCA">
        <w:rPr>
          <w:color w:val="000000"/>
          <w:lang w:val="hu-HU" w:bidi="hu-HU"/>
        </w:rPr>
        <w:t>újszülöttekről</w:t>
      </w:r>
      <w:r w:rsidR="00F62E7C" w:rsidRPr="007C3BCA">
        <w:rPr>
          <w:color w:val="000000"/>
          <w:lang w:val="hu-HU" w:bidi="hu-HU"/>
        </w:rPr>
        <w:t xml:space="preserve">. </w:t>
      </w:r>
      <w:r w:rsidR="0025514F" w:rsidRPr="007C3BCA">
        <w:rPr>
          <w:color w:val="000000"/>
          <w:lang w:val="hu-HU"/>
        </w:rPr>
        <w:t>Továbbá</w:t>
      </w:r>
      <w:r w:rsidR="00545C0D" w:rsidRPr="007C3BCA">
        <w:rPr>
          <w:color w:val="000000"/>
          <w:lang w:val="hu-HU"/>
        </w:rPr>
        <w:t>,</w:t>
      </w:r>
      <w:r w:rsidR="00910FC8" w:rsidRPr="007C3BCA">
        <w:rPr>
          <w:color w:val="000000"/>
          <w:lang w:val="hu-HU"/>
        </w:rPr>
        <w:t xml:space="preserve"> az </w:t>
      </w:r>
      <w:r w:rsidR="00832F28" w:rsidRPr="007C3BCA">
        <w:rPr>
          <w:szCs w:val="22"/>
          <w:lang w:val="hu-HU"/>
        </w:rPr>
        <w:t>állatkísérletek során</w:t>
      </w:r>
      <w:r w:rsidR="001E0016" w:rsidRPr="007C3BCA">
        <w:rPr>
          <w:szCs w:val="22"/>
          <w:lang w:val="hu-HU"/>
        </w:rPr>
        <w:t xml:space="preserve"> </w:t>
      </w:r>
      <w:r w:rsidR="00832F28" w:rsidRPr="007C3BCA">
        <w:rPr>
          <w:szCs w:val="22"/>
          <w:lang w:val="hu-HU"/>
        </w:rPr>
        <w:t>reproduktív toxicitást igazoltak</w:t>
      </w:r>
      <w:r w:rsidR="00832F28" w:rsidRPr="007C3BCA">
        <w:rPr>
          <w:color w:val="000000"/>
          <w:lang w:val="hu-HU"/>
        </w:rPr>
        <w:t xml:space="preserve"> </w:t>
      </w:r>
      <w:r w:rsidR="00910FC8" w:rsidRPr="007C3BCA">
        <w:rPr>
          <w:color w:val="000000"/>
          <w:lang w:val="hu-HU"/>
        </w:rPr>
        <w:t xml:space="preserve">(lásd 5.3 pont), </w:t>
      </w:r>
      <w:r w:rsidR="00832F28" w:rsidRPr="007C3BCA">
        <w:rPr>
          <w:color w:val="000000"/>
          <w:lang w:val="hu-HU"/>
        </w:rPr>
        <w:t xml:space="preserve">és </w:t>
      </w:r>
      <w:r w:rsidR="00910FC8" w:rsidRPr="007C3BCA">
        <w:rPr>
          <w:color w:val="000000"/>
          <w:lang w:val="hu-HU"/>
        </w:rPr>
        <w:t xml:space="preserve">a magzatra gyakorolt potenciális </w:t>
      </w:r>
      <w:r w:rsidR="002352AA" w:rsidRPr="007C3BCA">
        <w:rPr>
          <w:color w:val="000000"/>
          <w:lang w:val="hu-HU"/>
        </w:rPr>
        <w:t>kockázat</w:t>
      </w:r>
      <w:r w:rsidR="00910FC8" w:rsidRPr="007C3BCA">
        <w:rPr>
          <w:color w:val="000000"/>
          <w:lang w:val="hu-HU"/>
        </w:rPr>
        <w:t xml:space="preserve"> nem ismert. A Glivec</w:t>
      </w:r>
      <w:r w:rsidR="00832F28" w:rsidRPr="007C3BCA">
        <w:rPr>
          <w:noProof/>
          <w:szCs w:val="22"/>
          <w:lang w:val="hu-HU"/>
        </w:rPr>
        <w:t xml:space="preserve"> </w:t>
      </w:r>
      <w:r w:rsidR="002352AA" w:rsidRPr="007C3BCA">
        <w:rPr>
          <w:noProof/>
          <w:szCs w:val="22"/>
          <w:lang w:val="hu-HU"/>
        </w:rPr>
        <w:t>nem alkalmazható</w:t>
      </w:r>
      <w:r w:rsidR="00832F28" w:rsidRPr="007C3BCA">
        <w:rPr>
          <w:noProof/>
          <w:szCs w:val="22"/>
          <w:lang w:val="hu-HU"/>
        </w:rPr>
        <w:t xml:space="preserve"> </w:t>
      </w:r>
      <w:r w:rsidR="00832F28" w:rsidRPr="007C3BCA">
        <w:rPr>
          <w:szCs w:val="22"/>
          <w:lang w:val="hu-HU"/>
        </w:rPr>
        <w:t>terhesség alatt</w:t>
      </w:r>
      <w:r w:rsidR="00832F28" w:rsidRPr="007C3BCA">
        <w:rPr>
          <w:color w:val="000000"/>
          <w:lang w:val="hu-HU"/>
        </w:rPr>
        <w:t xml:space="preserve">, </w:t>
      </w:r>
      <w:r w:rsidR="00832F28" w:rsidRPr="007C3BCA">
        <w:rPr>
          <w:szCs w:val="22"/>
          <w:lang w:val="hu-HU"/>
        </w:rPr>
        <w:t>kivéve</w:t>
      </w:r>
      <w:r w:rsidR="00832F28" w:rsidRPr="007C3BCA">
        <w:rPr>
          <w:color w:val="000000"/>
          <w:lang w:val="hu-HU"/>
        </w:rPr>
        <w:t xml:space="preserve">, </w:t>
      </w:r>
      <w:r w:rsidR="00910FC8" w:rsidRPr="007C3BCA">
        <w:rPr>
          <w:color w:val="000000"/>
          <w:lang w:val="hu-HU"/>
        </w:rPr>
        <w:t>ha erre egyértelműen szükség van. Amennyiben terhesség során alkalmazzák, a beteg</w:t>
      </w:r>
      <w:r w:rsidR="002352AA" w:rsidRPr="007C3BCA">
        <w:rPr>
          <w:color w:val="000000"/>
          <w:lang w:val="hu-HU"/>
        </w:rPr>
        <w:t>et tájékoztatni kell</w:t>
      </w:r>
      <w:r w:rsidR="00910FC8" w:rsidRPr="007C3BCA">
        <w:rPr>
          <w:color w:val="000000"/>
          <w:lang w:val="hu-HU"/>
        </w:rPr>
        <w:t xml:space="preserve"> a foetusra gyakorolt potenciális kockázat</w:t>
      </w:r>
      <w:r w:rsidR="002352AA" w:rsidRPr="007C3BCA">
        <w:rPr>
          <w:color w:val="000000"/>
          <w:lang w:val="hu-HU"/>
        </w:rPr>
        <w:t>ról</w:t>
      </w:r>
      <w:r w:rsidR="00910FC8" w:rsidRPr="007C3BCA">
        <w:rPr>
          <w:color w:val="000000"/>
          <w:lang w:val="hu-HU"/>
        </w:rPr>
        <w:t>.</w:t>
      </w:r>
    </w:p>
    <w:p w14:paraId="285CA6DA" w14:textId="77777777" w:rsidR="00AA09C1" w:rsidRPr="00556B9B" w:rsidRDefault="00AA09C1">
      <w:pPr>
        <w:spacing w:line="240" w:lineRule="auto"/>
        <w:rPr>
          <w:color w:val="000000"/>
          <w:lang w:val="hu-HU"/>
        </w:rPr>
      </w:pPr>
    </w:p>
    <w:p w14:paraId="0579C015" w14:textId="77777777" w:rsidR="00910FC8" w:rsidRPr="00556B9B" w:rsidRDefault="00910FC8" w:rsidP="005C6E7A">
      <w:pPr>
        <w:keepNext/>
        <w:spacing w:line="240" w:lineRule="auto"/>
        <w:rPr>
          <w:color w:val="000000"/>
          <w:u w:val="single"/>
          <w:lang w:val="hu-HU"/>
        </w:rPr>
      </w:pPr>
      <w:r w:rsidRPr="00556B9B">
        <w:rPr>
          <w:color w:val="000000"/>
          <w:u w:val="single"/>
          <w:lang w:val="hu-HU"/>
        </w:rPr>
        <w:t>Szoptatás</w:t>
      </w:r>
    </w:p>
    <w:p w14:paraId="2ACAA9AA" w14:textId="4B685CA8" w:rsidR="00910FC8" w:rsidRPr="007C3BCA" w:rsidRDefault="00702FC0">
      <w:pPr>
        <w:spacing w:line="240" w:lineRule="auto"/>
        <w:rPr>
          <w:color w:val="000000"/>
          <w:lang w:val="hu-HU"/>
        </w:rPr>
      </w:pPr>
      <w:r w:rsidRPr="00556B9B">
        <w:rPr>
          <w:color w:val="000000"/>
          <w:lang w:val="hu-HU"/>
        </w:rPr>
        <w:t>Korlátozott információ áll rendelkezésre</w:t>
      </w:r>
      <w:r w:rsidR="009170ED" w:rsidRPr="00556B9B">
        <w:rPr>
          <w:color w:val="000000"/>
          <w:lang w:val="hu-HU"/>
        </w:rPr>
        <w:t xml:space="preserve"> </w:t>
      </w:r>
      <w:r w:rsidR="00857B13" w:rsidRPr="00556B9B">
        <w:rPr>
          <w:color w:val="000000"/>
          <w:lang w:val="hu-HU"/>
        </w:rPr>
        <w:t>az imatinib</w:t>
      </w:r>
      <w:r w:rsidRPr="00556B9B">
        <w:rPr>
          <w:color w:val="000000"/>
          <w:lang w:val="hu-HU"/>
        </w:rPr>
        <w:t xml:space="preserve"> </w:t>
      </w:r>
      <w:r w:rsidR="00732E4B" w:rsidRPr="00556B9B">
        <w:rPr>
          <w:color w:val="000000"/>
          <w:lang w:val="hu-HU"/>
        </w:rPr>
        <w:t>emberi</w:t>
      </w:r>
      <w:r w:rsidRPr="00556B9B">
        <w:rPr>
          <w:color w:val="000000"/>
          <w:lang w:val="hu-HU"/>
        </w:rPr>
        <w:t xml:space="preserve"> anyatejbe</w:t>
      </w:r>
      <w:r w:rsidR="00857B13" w:rsidRPr="00556B9B">
        <w:rPr>
          <w:color w:val="000000"/>
          <w:lang w:val="hu-HU"/>
        </w:rPr>
        <w:t xml:space="preserve"> történő </w:t>
      </w:r>
      <w:r w:rsidR="00880375" w:rsidRPr="00556B9B">
        <w:rPr>
          <w:color w:val="000000"/>
          <w:lang w:val="hu-HU"/>
        </w:rPr>
        <w:t>át</w:t>
      </w:r>
      <w:r w:rsidR="00857B13" w:rsidRPr="00556B9B">
        <w:rPr>
          <w:color w:val="000000"/>
          <w:lang w:val="hu-HU"/>
        </w:rPr>
        <w:t>jutásáról</w:t>
      </w:r>
      <w:r w:rsidR="009170ED" w:rsidRPr="00556B9B">
        <w:rPr>
          <w:color w:val="000000"/>
          <w:lang w:val="hu-HU"/>
        </w:rPr>
        <w:t>. Két szoptató nő bevonásával végzett vizsgálatok</w:t>
      </w:r>
      <w:r w:rsidR="00880375" w:rsidRPr="00556B9B">
        <w:rPr>
          <w:color w:val="000000"/>
          <w:lang w:val="hu-HU"/>
        </w:rPr>
        <w:t>ban</w:t>
      </w:r>
      <w:r w:rsidR="009170ED" w:rsidRPr="00556B9B">
        <w:rPr>
          <w:color w:val="000000"/>
          <w:lang w:val="hu-HU"/>
        </w:rPr>
        <w:t xml:space="preserve"> kimutatták, hogy m</w:t>
      </w:r>
      <w:r w:rsidR="006E035D" w:rsidRPr="00556B9B">
        <w:rPr>
          <w:color w:val="000000"/>
          <w:lang w:val="hu-HU"/>
        </w:rPr>
        <w:t xml:space="preserve">ind az imatinib, mind annak aktív metabolitja </w:t>
      </w:r>
      <w:r w:rsidR="00120E52" w:rsidRPr="00556B9B">
        <w:rPr>
          <w:color w:val="000000"/>
          <w:lang w:val="hu-HU"/>
        </w:rPr>
        <w:t>bejuthat az emberi anyatejbe. A tej – plazma arányt</w:t>
      </w:r>
      <w:r w:rsidR="009170ED" w:rsidRPr="00556B9B">
        <w:rPr>
          <w:color w:val="000000"/>
          <w:lang w:val="hu-HU"/>
        </w:rPr>
        <w:t>,</w:t>
      </w:r>
      <w:r w:rsidR="00732E4B" w:rsidRPr="00556B9B">
        <w:rPr>
          <w:color w:val="000000"/>
          <w:lang w:val="hu-HU"/>
        </w:rPr>
        <w:t xml:space="preserve"> melyet egyetlen betegnél</w:t>
      </w:r>
      <w:r w:rsidR="009170ED" w:rsidRPr="00556B9B">
        <w:rPr>
          <w:color w:val="000000"/>
          <w:lang w:val="hu-HU"/>
        </w:rPr>
        <w:t xml:space="preserve"> vizsgáltak</w:t>
      </w:r>
      <w:r w:rsidR="00FC2675" w:rsidRPr="00556B9B">
        <w:rPr>
          <w:color w:val="000000"/>
          <w:lang w:val="hu-HU"/>
        </w:rPr>
        <w:t>,</w:t>
      </w:r>
      <w:r w:rsidR="00120E52" w:rsidRPr="00556B9B">
        <w:rPr>
          <w:color w:val="000000"/>
          <w:lang w:val="hu-HU"/>
        </w:rPr>
        <w:t xml:space="preserve"> az imatinib esetén 0,5</w:t>
      </w:r>
      <w:r w:rsidR="00542731" w:rsidRPr="00556B9B">
        <w:rPr>
          <w:color w:val="000000"/>
          <w:lang w:val="hu-HU"/>
        </w:rPr>
        <w:noBreakHyphen/>
      </w:r>
      <w:r w:rsidR="00120E52" w:rsidRPr="00556B9B">
        <w:rPr>
          <w:color w:val="000000"/>
          <w:lang w:val="hu-HU"/>
        </w:rPr>
        <w:t>nek, metabolitja esetén 0,9</w:t>
      </w:r>
      <w:r w:rsidR="00542731" w:rsidRPr="00556B9B">
        <w:rPr>
          <w:color w:val="000000"/>
          <w:lang w:val="hu-HU"/>
        </w:rPr>
        <w:noBreakHyphen/>
      </w:r>
      <w:r w:rsidR="00120E52" w:rsidRPr="00556B9B">
        <w:rPr>
          <w:color w:val="000000"/>
          <w:lang w:val="hu-HU"/>
        </w:rPr>
        <w:t xml:space="preserve">nek </w:t>
      </w:r>
      <w:r w:rsidR="00221A73" w:rsidRPr="00556B9B">
        <w:rPr>
          <w:color w:val="000000"/>
          <w:lang w:val="hu-HU"/>
        </w:rPr>
        <w:t xml:space="preserve">mérték, ami arra utal, hogy a metabolit nagyobb mértékben </w:t>
      </w:r>
      <w:r w:rsidR="000E7662" w:rsidRPr="00556B9B">
        <w:rPr>
          <w:color w:val="000000"/>
          <w:lang w:val="hu-HU"/>
        </w:rPr>
        <w:t>jut be a tejbe</w:t>
      </w:r>
      <w:r w:rsidR="00221A73" w:rsidRPr="00556B9B">
        <w:rPr>
          <w:color w:val="000000"/>
          <w:lang w:val="hu-HU"/>
        </w:rPr>
        <w:t xml:space="preserve">. </w:t>
      </w:r>
      <w:r w:rsidR="000E7662" w:rsidRPr="00556B9B">
        <w:rPr>
          <w:color w:val="000000"/>
          <w:lang w:val="hu-HU"/>
        </w:rPr>
        <w:t xml:space="preserve">Tekintettel az imatinib </w:t>
      </w:r>
      <w:r w:rsidR="00FB049B" w:rsidRPr="00556B9B">
        <w:rPr>
          <w:color w:val="000000"/>
          <w:lang w:val="hu-HU"/>
        </w:rPr>
        <w:t xml:space="preserve">és a metabolit </w:t>
      </w:r>
      <w:r w:rsidR="000F2235" w:rsidRPr="00556B9B">
        <w:rPr>
          <w:color w:val="000000"/>
          <w:lang w:val="hu-HU"/>
        </w:rPr>
        <w:t>együttes</w:t>
      </w:r>
      <w:r w:rsidR="00FB049B" w:rsidRPr="00556B9B">
        <w:rPr>
          <w:color w:val="000000"/>
          <w:lang w:val="hu-HU"/>
        </w:rPr>
        <w:t xml:space="preserve"> koncentrációjára és </w:t>
      </w:r>
      <w:r w:rsidR="009F3BD3" w:rsidRPr="00556B9B">
        <w:rPr>
          <w:color w:val="000000"/>
          <w:lang w:val="hu-HU"/>
        </w:rPr>
        <w:t>a csecsemő</w:t>
      </w:r>
      <w:r w:rsidR="0007178E" w:rsidRPr="00556B9B">
        <w:rPr>
          <w:color w:val="000000"/>
          <w:lang w:val="hu-HU"/>
        </w:rPr>
        <w:t>k</w:t>
      </w:r>
      <w:r w:rsidR="009F3BD3" w:rsidRPr="00556B9B">
        <w:rPr>
          <w:color w:val="000000"/>
          <w:lang w:val="hu-HU"/>
        </w:rPr>
        <w:t xml:space="preserve"> napi maximális tejfogyasztására, </w:t>
      </w:r>
      <w:r w:rsidR="00620F0D" w:rsidRPr="00556B9B">
        <w:rPr>
          <w:color w:val="000000"/>
          <w:lang w:val="hu-HU"/>
        </w:rPr>
        <w:t xml:space="preserve">a teljes expozíció </w:t>
      </w:r>
      <w:r w:rsidR="00620F0D" w:rsidRPr="007C3BCA">
        <w:rPr>
          <w:color w:val="000000"/>
          <w:lang w:val="hu-HU"/>
        </w:rPr>
        <w:t>várhatóan alacsony lesz (a terápiás adag kb. 10%</w:t>
      </w:r>
      <w:r w:rsidR="00542731" w:rsidRPr="007C3BCA">
        <w:rPr>
          <w:color w:val="000000"/>
          <w:lang w:val="hu-HU"/>
        </w:rPr>
        <w:noBreakHyphen/>
      </w:r>
      <w:r w:rsidR="00620F0D" w:rsidRPr="007C3BCA">
        <w:rPr>
          <w:color w:val="000000"/>
          <w:lang w:val="hu-HU"/>
        </w:rPr>
        <w:t>a)</w:t>
      </w:r>
      <w:r w:rsidR="00221A73" w:rsidRPr="007C3BCA">
        <w:rPr>
          <w:color w:val="000000"/>
          <w:lang w:val="hu-HU"/>
        </w:rPr>
        <w:t xml:space="preserve">. </w:t>
      </w:r>
      <w:r w:rsidR="001F28E5" w:rsidRPr="007C3BCA">
        <w:rPr>
          <w:color w:val="000000"/>
          <w:lang w:val="hu-HU"/>
        </w:rPr>
        <w:t xml:space="preserve">Mivel azonban a csecsemő alacsony dózisú imatinib-expozíciójának hatása nem ismert, </w:t>
      </w:r>
      <w:r w:rsidR="005466A1" w:rsidRPr="007C3BCA">
        <w:rPr>
          <w:color w:val="000000"/>
          <w:lang w:val="hu-HU"/>
        </w:rPr>
        <w:t>a</w:t>
      </w:r>
      <w:r w:rsidR="00BA62A7" w:rsidRPr="007C3BCA">
        <w:rPr>
          <w:color w:val="000000"/>
          <w:lang w:val="hu-HU"/>
        </w:rPr>
        <w:t>z anya</w:t>
      </w:r>
      <w:r w:rsidR="005466A1" w:rsidRPr="007C3BCA">
        <w:rPr>
          <w:color w:val="000000"/>
          <w:lang w:val="hu-HU"/>
        </w:rPr>
        <w:t xml:space="preserve"> a kezelés alatt és a Glivec</w:t>
      </w:r>
      <w:r w:rsidR="005466A1" w:rsidRPr="007C3BCA">
        <w:rPr>
          <w:color w:val="000000"/>
          <w:lang w:val="hu-HU"/>
        </w:rPr>
        <w:noBreakHyphen/>
        <w:t>kezelés befejezését követően</w:t>
      </w:r>
      <w:r w:rsidR="00E117F4" w:rsidRPr="007C3BCA">
        <w:rPr>
          <w:color w:val="000000"/>
          <w:lang w:val="hu-HU"/>
        </w:rPr>
        <w:t xml:space="preserve"> </w:t>
      </w:r>
      <w:r w:rsidR="00EB2E61" w:rsidRPr="007C3BCA">
        <w:rPr>
          <w:color w:val="000000"/>
          <w:lang w:val="hu-HU"/>
        </w:rPr>
        <w:t xml:space="preserve">még legalább 15 napig </w:t>
      </w:r>
      <w:r w:rsidR="00E117F4" w:rsidRPr="007C3BCA">
        <w:rPr>
          <w:color w:val="000000"/>
          <w:lang w:val="hu-HU"/>
        </w:rPr>
        <w:t>nem szoptathat.</w:t>
      </w:r>
    </w:p>
    <w:p w14:paraId="3BDBB5E6" w14:textId="77777777" w:rsidR="00832F28" w:rsidRPr="007C3BCA" w:rsidRDefault="00832F28" w:rsidP="00832F28">
      <w:pPr>
        <w:spacing w:line="240" w:lineRule="auto"/>
        <w:rPr>
          <w:color w:val="000000"/>
          <w:lang w:val="hu-HU"/>
        </w:rPr>
      </w:pPr>
    </w:p>
    <w:p w14:paraId="76DE1BE8" w14:textId="77777777" w:rsidR="00832F28" w:rsidRPr="00556B9B" w:rsidRDefault="00832F28" w:rsidP="005C6E7A">
      <w:pPr>
        <w:pStyle w:val="EndnoteText"/>
        <w:keepNext/>
        <w:widowControl w:val="0"/>
        <w:rPr>
          <w:color w:val="000000"/>
          <w:u w:val="single"/>
          <w:lang w:val="hu-HU"/>
        </w:rPr>
      </w:pPr>
      <w:r w:rsidRPr="007C3BCA">
        <w:rPr>
          <w:color w:val="000000"/>
          <w:u w:val="single"/>
          <w:lang w:val="hu-HU"/>
        </w:rPr>
        <w:t>Termékenység</w:t>
      </w:r>
    </w:p>
    <w:p w14:paraId="41E18DF0" w14:textId="42D0EBF9" w:rsidR="00832F28" w:rsidRPr="00556B9B" w:rsidRDefault="00AA09C1" w:rsidP="00832F28">
      <w:pPr>
        <w:pStyle w:val="EndnoteText"/>
        <w:widowControl w:val="0"/>
        <w:rPr>
          <w:color w:val="000000"/>
          <w:lang w:val="hu-HU"/>
        </w:rPr>
      </w:pPr>
      <w:r w:rsidRPr="00556B9B">
        <w:rPr>
          <w:lang w:val="hu-HU"/>
        </w:rPr>
        <w:t>Nem</w:t>
      </w:r>
      <w:r w:rsidR="00AA3F48" w:rsidRPr="00556B9B">
        <w:rPr>
          <w:lang w:val="hu-HU"/>
        </w:rPr>
        <w:t xml:space="preserve"> </w:t>
      </w:r>
      <w:r w:rsidRPr="00556B9B">
        <w:rPr>
          <w:lang w:val="hu-HU"/>
        </w:rPr>
        <w:t>klinikai vizsgálatokban a hím és nőstény patkányok termékenysége nem változott</w:t>
      </w:r>
      <w:r w:rsidR="005466A1">
        <w:rPr>
          <w:lang w:val="hu-HU"/>
        </w:rPr>
        <w:t>, bár tapasztaltak a reproduktív paraméterekre kifejtett hatásokat</w:t>
      </w:r>
      <w:r w:rsidRPr="00556B9B">
        <w:rPr>
          <w:lang w:val="hu-HU"/>
        </w:rPr>
        <w:t xml:space="preserve"> (lásd 5.3 pont). </w:t>
      </w:r>
      <w:r w:rsidR="00832F28" w:rsidRPr="00556B9B">
        <w:rPr>
          <w:lang w:val="hu-HU"/>
        </w:rPr>
        <w:t>Glivec</w:t>
      </w:r>
      <w:r w:rsidR="00832F28" w:rsidRPr="00556B9B">
        <w:rPr>
          <w:lang w:val="hu-HU"/>
        </w:rPr>
        <w:noBreakHyphen/>
        <w:t xml:space="preserve">et kapó betegekkel, valamint annak a </w:t>
      </w:r>
      <w:r w:rsidR="00C018FA" w:rsidRPr="00556B9B">
        <w:rPr>
          <w:lang w:val="hu-HU"/>
        </w:rPr>
        <w:t>fertilitásra és a game</w:t>
      </w:r>
      <w:r w:rsidR="00832F28" w:rsidRPr="00556B9B">
        <w:rPr>
          <w:lang w:val="hu-HU"/>
        </w:rPr>
        <w:t>togenesisre gyakorolt hatásait értékelő vizsgálatokat nem végeztek. A Glivec</w:t>
      </w:r>
      <w:r w:rsidR="00832F28" w:rsidRPr="00556B9B">
        <w:rPr>
          <w:lang w:val="hu-HU"/>
        </w:rPr>
        <w:noBreakHyphen/>
        <w:t>kezelést kapó, a termékenységük miatt aggódó betegeknek beszélniük kell kezelőorvosukkal.</w:t>
      </w:r>
    </w:p>
    <w:p w14:paraId="050F175E" w14:textId="77777777" w:rsidR="00910FC8" w:rsidRPr="00556B9B" w:rsidRDefault="00910FC8">
      <w:pPr>
        <w:spacing w:line="240" w:lineRule="auto"/>
        <w:rPr>
          <w:color w:val="000000"/>
          <w:lang w:val="hu-HU"/>
        </w:rPr>
      </w:pPr>
    </w:p>
    <w:p w14:paraId="2F002932" w14:textId="77777777" w:rsidR="00910FC8" w:rsidRPr="00556B9B" w:rsidRDefault="00910FC8" w:rsidP="005C6E7A">
      <w:pPr>
        <w:keepNext/>
        <w:spacing w:line="240" w:lineRule="auto"/>
        <w:ind w:left="567" w:hanging="567"/>
        <w:rPr>
          <w:b/>
          <w:color w:val="000000"/>
          <w:lang w:val="hu-HU"/>
        </w:rPr>
      </w:pPr>
      <w:r w:rsidRPr="00556B9B">
        <w:rPr>
          <w:b/>
          <w:color w:val="000000"/>
          <w:lang w:val="hu-HU"/>
        </w:rPr>
        <w:t>4.7</w:t>
      </w:r>
      <w:r w:rsidRPr="00556B9B">
        <w:rPr>
          <w:b/>
          <w:color w:val="000000"/>
          <w:lang w:val="hu-HU"/>
        </w:rPr>
        <w:tab/>
        <w:t xml:space="preserve">A készítmény hatásai a gépjárművezetéshez és </w:t>
      </w:r>
      <w:r w:rsidR="00BB496D" w:rsidRPr="00556B9B">
        <w:rPr>
          <w:b/>
          <w:color w:val="000000"/>
          <w:lang w:val="hu-HU"/>
        </w:rPr>
        <w:t xml:space="preserve">a </w:t>
      </w:r>
      <w:r w:rsidRPr="00556B9B">
        <w:rPr>
          <w:b/>
          <w:color w:val="000000"/>
          <w:lang w:val="hu-HU"/>
        </w:rPr>
        <w:t>gépek kezeléséhez szükséges képességekre</w:t>
      </w:r>
    </w:p>
    <w:p w14:paraId="343937E9" w14:textId="77777777" w:rsidR="00910FC8" w:rsidRPr="00556B9B" w:rsidRDefault="00910FC8" w:rsidP="005C6E7A">
      <w:pPr>
        <w:keepNext/>
        <w:spacing w:line="240" w:lineRule="auto"/>
        <w:ind w:left="567" w:hanging="567"/>
        <w:rPr>
          <w:color w:val="000000"/>
          <w:lang w:val="hu-HU"/>
        </w:rPr>
      </w:pPr>
    </w:p>
    <w:p w14:paraId="1222A9D5" w14:textId="77777777" w:rsidR="00910FC8" w:rsidRPr="00556B9B" w:rsidRDefault="00910FC8">
      <w:pPr>
        <w:spacing w:line="240" w:lineRule="auto"/>
        <w:rPr>
          <w:color w:val="000000"/>
          <w:lang w:val="hu-HU"/>
        </w:rPr>
      </w:pPr>
      <w:r w:rsidRPr="00556B9B">
        <w:rPr>
          <w:color w:val="000000"/>
          <w:lang w:val="hu-HU"/>
        </w:rPr>
        <w:t xml:space="preserve">A betegeket figyelmeztetni kell, hogy </w:t>
      </w:r>
      <w:r w:rsidR="00832F28" w:rsidRPr="00556B9B">
        <w:rPr>
          <w:color w:val="000000"/>
          <w:lang w:val="hu-HU"/>
        </w:rPr>
        <w:t xml:space="preserve">az </w:t>
      </w:r>
      <w:r w:rsidRPr="00556B9B">
        <w:rPr>
          <w:color w:val="000000"/>
          <w:lang w:val="hu-HU"/>
        </w:rPr>
        <w:t>imatinib terápia ideje alatt mellékhatások, mint szédülés</w:t>
      </w:r>
      <w:r w:rsidR="00832F28" w:rsidRPr="00556B9B">
        <w:rPr>
          <w:color w:val="000000"/>
          <w:lang w:val="hu-HU"/>
        </w:rPr>
        <w:t>,</w:t>
      </w:r>
      <w:r w:rsidRPr="00556B9B">
        <w:rPr>
          <w:color w:val="000000"/>
          <w:lang w:val="hu-HU"/>
        </w:rPr>
        <w:t xml:space="preserve"> homályos látás </w:t>
      </w:r>
      <w:r w:rsidR="00832F28" w:rsidRPr="00556B9B">
        <w:rPr>
          <w:color w:val="000000"/>
          <w:lang w:val="hu-HU"/>
        </w:rPr>
        <w:t xml:space="preserve">és aluszékonyság </w:t>
      </w:r>
      <w:r w:rsidRPr="00556B9B">
        <w:rPr>
          <w:color w:val="000000"/>
          <w:lang w:val="hu-HU"/>
        </w:rPr>
        <w:t>előfordulhat. Ezért óvatosság javasolt gépjárművezetés és gépkezelés ideje alatt.</w:t>
      </w:r>
    </w:p>
    <w:p w14:paraId="56DA0F18" w14:textId="77777777" w:rsidR="00910FC8" w:rsidRPr="00556B9B" w:rsidRDefault="00910FC8">
      <w:pPr>
        <w:spacing w:line="240" w:lineRule="auto"/>
        <w:rPr>
          <w:color w:val="000000"/>
          <w:lang w:val="hu-HU"/>
        </w:rPr>
      </w:pPr>
    </w:p>
    <w:p w14:paraId="0681E6D6" w14:textId="77777777" w:rsidR="00910FC8" w:rsidRPr="007C3BCA" w:rsidRDefault="00910FC8" w:rsidP="005C6E7A">
      <w:pPr>
        <w:keepNext/>
        <w:spacing w:line="240" w:lineRule="auto"/>
        <w:ind w:left="567" w:hanging="567"/>
        <w:rPr>
          <w:b/>
          <w:color w:val="000000"/>
          <w:lang w:val="hu-HU"/>
        </w:rPr>
      </w:pPr>
      <w:r w:rsidRPr="00556B9B">
        <w:rPr>
          <w:b/>
          <w:color w:val="000000"/>
          <w:lang w:val="hu-HU"/>
        </w:rPr>
        <w:t>4.8</w:t>
      </w:r>
      <w:r w:rsidRPr="00556B9B">
        <w:rPr>
          <w:b/>
          <w:color w:val="000000"/>
          <w:lang w:val="hu-HU"/>
        </w:rPr>
        <w:tab/>
        <w:t xml:space="preserve">Nemkívánatos hatások, </w:t>
      </w:r>
      <w:r w:rsidRPr="007C3BCA">
        <w:rPr>
          <w:b/>
          <w:color w:val="000000"/>
          <w:lang w:val="hu-HU"/>
        </w:rPr>
        <w:t>mellékhatások</w:t>
      </w:r>
    </w:p>
    <w:p w14:paraId="40814E6C" w14:textId="77777777" w:rsidR="00910FC8" w:rsidRPr="007C3BCA" w:rsidRDefault="00910FC8" w:rsidP="005C6E7A">
      <w:pPr>
        <w:keepNext/>
        <w:spacing w:line="240" w:lineRule="auto"/>
        <w:ind w:left="567" w:hanging="567"/>
        <w:rPr>
          <w:color w:val="000000"/>
          <w:lang w:val="hu-HU"/>
        </w:rPr>
      </w:pPr>
    </w:p>
    <w:p w14:paraId="3BAA654B" w14:textId="1820F762" w:rsidR="00910FC8" w:rsidRPr="00556B9B" w:rsidRDefault="00910FC8">
      <w:pPr>
        <w:spacing w:line="240" w:lineRule="auto"/>
        <w:rPr>
          <w:color w:val="000000"/>
          <w:lang w:val="hu-HU"/>
        </w:rPr>
      </w:pPr>
      <w:r w:rsidRPr="007C3BCA">
        <w:rPr>
          <w:color w:val="000000"/>
          <w:lang w:val="hu-HU"/>
        </w:rPr>
        <w:t>Az előrehaladott stádiumú rosszindulatú betegségben szenvedő betegekn</w:t>
      </w:r>
      <w:r w:rsidR="000F579D" w:rsidRPr="007C3BCA">
        <w:rPr>
          <w:color w:val="000000"/>
          <w:lang w:val="hu-HU"/>
        </w:rPr>
        <w:t>él</w:t>
      </w:r>
      <w:r w:rsidRPr="007C3BCA">
        <w:rPr>
          <w:color w:val="000000"/>
          <w:lang w:val="hu-HU"/>
        </w:rPr>
        <w:t xml:space="preserve"> számos </w:t>
      </w:r>
      <w:r w:rsidR="000F579D" w:rsidRPr="007C3BCA">
        <w:rPr>
          <w:color w:val="000000"/>
          <w:lang w:val="hu-HU"/>
        </w:rPr>
        <w:t>olyan,</w:t>
      </w:r>
      <w:r w:rsidRPr="007C3BCA">
        <w:rPr>
          <w:color w:val="000000"/>
          <w:lang w:val="hu-HU"/>
        </w:rPr>
        <w:t xml:space="preserve"> orvosi kezelést igénylő problémája </w:t>
      </w:r>
      <w:r w:rsidR="000F579D" w:rsidRPr="007C3BCA">
        <w:rPr>
          <w:color w:val="000000"/>
          <w:lang w:val="hu-HU"/>
        </w:rPr>
        <w:t>jelentkezhet</w:t>
      </w:r>
      <w:r w:rsidRPr="007C3BCA">
        <w:rPr>
          <w:color w:val="000000"/>
          <w:lang w:val="hu-HU"/>
        </w:rPr>
        <w:t xml:space="preserve">, amelyek </w:t>
      </w:r>
      <w:r w:rsidR="000F579D" w:rsidRPr="007C3BCA">
        <w:rPr>
          <w:color w:val="000000"/>
          <w:lang w:val="hu-HU"/>
        </w:rPr>
        <w:t xml:space="preserve">megtévesztőek lehetnek, illetve megnehezítik </w:t>
      </w:r>
      <w:r w:rsidRPr="007C3BCA">
        <w:rPr>
          <w:color w:val="000000"/>
          <w:lang w:val="hu-HU"/>
        </w:rPr>
        <w:t>a mellékhatások ok</w:t>
      </w:r>
      <w:r w:rsidRPr="007C3BCA">
        <w:rPr>
          <w:color w:val="000000"/>
          <w:lang w:val="hu-HU"/>
        </w:rPr>
        <w:noBreakHyphen/>
        <w:t>okozati összefüggéseinek megállapítását, mivel a különböző tünetek</w:t>
      </w:r>
      <w:r w:rsidR="000F579D" w:rsidRPr="007C3BCA">
        <w:rPr>
          <w:color w:val="000000"/>
          <w:lang w:val="hu-HU"/>
        </w:rPr>
        <w:t>et</w:t>
      </w:r>
      <w:r w:rsidRPr="007C3BCA">
        <w:rPr>
          <w:color w:val="000000"/>
          <w:lang w:val="hu-HU"/>
        </w:rPr>
        <w:t xml:space="preserve"> az alapbetegség, a betegség progressziój</w:t>
      </w:r>
      <w:r w:rsidR="000F579D" w:rsidRPr="007C3BCA">
        <w:rPr>
          <w:color w:val="000000"/>
          <w:lang w:val="hu-HU"/>
        </w:rPr>
        <w:t>a</w:t>
      </w:r>
      <w:r w:rsidRPr="007C3BCA">
        <w:rPr>
          <w:color w:val="000000"/>
          <w:lang w:val="hu-HU"/>
        </w:rPr>
        <w:t xml:space="preserve">, illetve az egyidejűleg adott számos más gyógyszer is </w:t>
      </w:r>
      <w:r w:rsidR="000F579D" w:rsidRPr="007C3BCA">
        <w:rPr>
          <w:color w:val="000000"/>
          <w:lang w:val="hu-HU"/>
        </w:rPr>
        <w:t>okozhatja</w:t>
      </w:r>
      <w:r w:rsidRPr="007C3BCA">
        <w:rPr>
          <w:color w:val="000000"/>
          <w:lang w:val="hu-HU"/>
        </w:rPr>
        <w:t>.</w:t>
      </w:r>
    </w:p>
    <w:p w14:paraId="12FCC2D8" w14:textId="77777777" w:rsidR="00910FC8" w:rsidRPr="00556B9B" w:rsidRDefault="00910FC8">
      <w:pPr>
        <w:spacing w:line="240" w:lineRule="auto"/>
        <w:rPr>
          <w:color w:val="000000"/>
          <w:lang w:val="hu-HU"/>
        </w:rPr>
      </w:pPr>
    </w:p>
    <w:p w14:paraId="05CB8EB9" w14:textId="3112F7D0" w:rsidR="00910FC8" w:rsidRPr="00556B9B" w:rsidRDefault="00910FC8">
      <w:pPr>
        <w:spacing w:line="240" w:lineRule="auto"/>
        <w:rPr>
          <w:color w:val="000000"/>
          <w:lang w:val="hu-HU"/>
        </w:rPr>
      </w:pPr>
      <w:r w:rsidRPr="00556B9B">
        <w:rPr>
          <w:color w:val="000000"/>
          <w:lang w:val="hu-HU"/>
        </w:rPr>
        <w:t>CML</w:t>
      </w:r>
      <w:r w:rsidRPr="00556B9B">
        <w:rPr>
          <w:color w:val="000000"/>
          <w:lang w:val="hu-HU"/>
        </w:rPr>
        <w:noBreakHyphen/>
        <w:t xml:space="preserve">es betegek bevonásával végzett </w:t>
      </w:r>
      <w:r w:rsidRPr="007C3BCA">
        <w:rPr>
          <w:color w:val="000000"/>
          <w:lang w:val="hu-HU"/>
        </w:rPr>
        <w:t xml:space="preserve">klinikai vizsgálatokban </w:t>
      </w:r>
      <w:r w:rsidR="005235F2" w:rsidRPr="007C3BCA">
        <w:rPr>
          <w:color w:val="000000"/>
          <w:lang w:val="hu-HU"/>
        </w:rPr>
        <w:t xml:space="preserve">a gyógyszerszedést a gyógyszerrel összefüggő </w:t>
      </w:r>
      <w:r w:rsidRPr="007C3BCA">
        <w:rPr>
          <w:color w:val="000000"/>
          <w:lang w:val="hu-HU"/>
        </w:rPr>
        <w:t>mellékhatások miatt</w:t>
      </w:r>
      <w:r w:rsidR="005235F2" w:rsidRPr="007C3BCA">
        <w:rPr>
          <w:color w:val="000000"/>
          <w:lang w:val="hu-HU"/>
        </w:rPr>
        <w:t xml:space="preserve"> </w:t>
      </w:r>
      <w:r w:rsidRPr="007C3BCA">
        <w:rPr>
          <w:color w:val="000000"/>
          <w:lang w:val="hu-HU"/>
        </w:rPr>
        <w:t>felfüggeszt</w:t>
      </w:r>
      <w:r w:rsidR="005235F2" w:rsidRPr="007C3BCA">
        <w:rPr>
          <w:color w:val="000000"/>
          <w:lang w:val="hu-HU"/>
        </w:rPr>
        <w:t>ették</w:t>
      </w:r>
      <w:r w:rsidRPr="007C3BCA">
        <w:rPr>
          <w:color w:val="000000"/>
          <w:lang w:val="hu-HU"/>
        </w:rPr>
        <w:t xml:space="preserve"> az újonnan diagnosztizált betegek 2,4%</w:t>
      </w:r>
      <w:r w:rsidRPr="007C3BCA">
        <w:rPr>
          <w:color w:val="000000"/>
          <w:lang w:val="hu-HU"/>
        </w:rPr>
        <w:noBreakHyphen/>
        <w:t>ában, a késői krónikus fázisban sikertelen interferon kezelést követően a betegek 4%</w:t>
      </w:r>
      <w:r w:rsidRPr="007C3BCA">
        <w:rPr>
          <w:color w:val="000000"/>
          <w:lang w:val="hu-HU"/>
        </w:rPr>
        <w:noBreakHyphen/>
        <w:t>á</w:t>
      </w:r>
      <w:r w:rsidR="007F4266" w:rsidRPr="007C3BCA">
        <w:rPr>
          <w:color w:val="000000"/>
          <w:lang w:val="hu-HU"/>
        </w:rPr>
        <w:t>nál</w:t>
      </w:r>
      <w:r w:rsidRPr="007C3BCA">
        <w:rPr>
          <w:color w:val="000000"/>
          <w:lang w:val="hu-HU"/>
        </w:rPr>
        <w:t>, akcelerált fázisban sikertelen interferon kezelést követően a betegek 4%</w:t>
      </w:r>
      <w:r w:rsidRPr="007C3BCA">
        <w:rPr>
          <w:color w:val="000000"/>
          <w:lang w:val="hu-HU"/>
        </w:rPr>
        <w:noBreakHyphen/>
        <w:t>á</w:t>
      </w:r>
      <w:r w:rsidR="007F4266" w:rsidRPr="007C3BCA">
        <w:rPr>
          <w:color w:val="000000"/>
          <w:lang w:val="hu-HU"/>
        </w:rPr>
        <w:t>nál</w:t>
      </w:r>
      <w:r w:rsidRPr="007C3BCA">
        <w:rPr>
          <w:color w:val="000000"/>
          <w:lang w:val="hu-HU"/>
        </w:rPr>
        <w:t>, és sikertelen inetrferon kezelést követően a blasztos krízisben szenvedő betegek 5%</w:t>
      </w:r>
      <w:r w:rsidRPr="007C3BCA">
        <w:rPr>
          <w:color w:val="000000"/>
          <w:lang w:val="hu-HU"/>
        </w:rPr>
        <w:noBreakHyphen/>
        <w:t>á</w:t>
      </w:r>
      <w:r w:rsidR="007F4266" w:rsidRPr="007C3BCA">
        <w:rPr>
          <w:color w:val="000000"/>
          <w:lang w:val="hu-HU"/>
        </w:rPr>
        <w:t>nál</w:t>
      </w:r>
      <w:r w:rsidRPr="007C3BCA">
        <w:rPr>
          <w:color w:val="000000"/>
          <w:lang w:val="hu-HU"/>
        </w:rPr>
        <w:t>. A GIST vizsgálatban a betegek 4%</w:t>
      </w:r>
      <w:r w:rsidRPr="007C3BCA">
        <w:rPr>
          <w:color w:val="000000"/>
          <w:lang w:val="hu-HU"/>
        </w:rPr>
        <w:noBreakHyphen/>
        <w:t>á</w:t>
      </w:r>
      <w:r w:rsidR="007F4266" w:rsidRPr="007C3BCA">
        <w:rPr>
          <w:color w:val="000000"/>
          <w:lang w:val="hu-HU"/>
        </w:rPr>
        <w:t>nál</w:t>
      </w:r>
      <w:r w:rsidRPr="007C3BCA">
        <w:rPr>
          <w:color w:val="000000"/>
          <w:lang w:val="hu-HU"/>
        </w:rPr>
        <w:t xml:space="preserve"> kellett a gyógyszerszedést felfüggeszteni a mellékhatások miatt</w:t>
      </w:r>
      <w:r w:rsidRPr="00556B9B">
        <w:rPr>
          <w:color w:val="000000"/>
          <w:lang w:val="hu-HU"/>
        </w:rPr>
        <w:t>.</w:t>
      </w:r>
    </w:p>
    <w:p w14:paraId="6D2EEFCC" w14:textId="77777777" w:rsidR="00910FC8" w:rsidRPr="00556B9B" w:rsidRDefault="00910FC8">
      <w:pPr>
        <w:pStyle w:val="WW-BodyText2"/>
        <w:rPr>
          <w:color w:val="000000"/>
          <w:sz w:val="22"/>
        </w:rPr>
      </w:pPr>
    </w:p>
    <w:p w14:paraId="3CB265D6" w14:textId="487A6964" w:rsidR="00910FC8" w:rsidRPr="007C3BCA" w:rsidRDefault="00910FC8">
      <w:pPr>
        <w:pStyle w:val="WW-BodyText2"/>
        <w:rPr>
          <w:color w:val="000000"/>
          <w:sz w:val="22"/>
        </w:rPr>
      </w:pPr>
      <w:r w:rsidRPr="00556B9B">
        <w:rPr>
          <w:color w:val="000000"/>
          <w:sz w:val="22"/>
        </w:rPr>
        <w:lastRenderedPageBreak/>
        <w:t>A mellékhatások, két kivételtől eltekintve, minden javallat esetén hasonlóak voltak. Több myelosuppressio volt megfigyelhető a CML</w:t>
      </w:r>
      <w:r w:rsidRPr="00556B9B">
        <w:rPr>
          <w:color w:val="000000"/>
          <w:sz w:val="22"/>
        </w:rPr>
        <w:noBreakHyphen/>
        <w:t xml:space="preserve">es, mint a GIST </w:t>
      </w:r>
      <w:r w:rsidRPr="007C3BCA">
        <w:rPr>
          <w:color w:val="000000"/>
          <w:sz w:val="22"/>
        </w:rPr>
        <w:t xml:space="preserve">betegekben, valószínűleg az alapbetegség miatt. </w:t>
      </w:r>
      <w:r w:rsidR="00D37E84" w:rsidRPr="007C3BCA">
        <w:rPr>
          <w:color w:val="000000"/>
          <w:sz w:val="22"/>
        </w:rPr>
        <w:t xml:space="preserve">A </w:t>
      </w:r>
      <w:r w:rsidR="00D37E84" w:rsidRPr="007C3BCA">
        <w:rPr>
          <w:color w:val="000000"/>
          <w:sz w:val="22"/>
          <w:szCs w:val="22"/>
        </w:rPr>
        <w:t xml:space="preserve">nem reszekábilis és/vagy metasztatikus </w:t>
      </w:r>
      <w:r w:rsidR="00D37E84" w:rsidRPr="007C3BCA">
        <w:rPr>
          <w:color w:val="000000"/>
          <w:sz w:val="22"/>
        </w:rPr>
        <w:t>GIST</w:t>
      </w:r>
      <w:r w:rsidR="00D37E84" w:rsidRPr="007C3BCA">
        <w:rPr>
          <w:color w:val="000000"/>
          <w:sz w:val="22"/>
        </w:rPr>
        <w:noBreakHyphen/>
        <w:t>ben szenvedő betegekkel végzett vizsgálatban 7 beteg</w:t>
      </w:r>
      <w:r w:rsidR="0022017A" w:rsidRPr="007C3BCA">
        <w:rPr>
          <w:color w:val="000000"/>
          <w:sz w:val="22"/>
        </w:rPr>
        <w:t>nél</w:t>
      </w:r>
      <w:r w:rsidR="00D37E84" w:rsidRPr="007C3BCA">
        <w:rPr>
          <w:color w:val="000000"/>
          <w:sz w:val="22"/>
        </w:rPr>
        <w:t xml:space="preserve"> (5%)</w:t>
      </w:r>
      <w:r w:rsidRPr="007C3BCA">
        <w:rPr>
          <w:color w:val="000000"/>
          <w:sz w:val="22"/>
        </w:rPr>
        <w:t xml:space="preserve"> jelentkezett ¾ </w:t>
      </w:r>
      <w:smartTag w:uri="urn:schemas-microsoft-com:office:smarttags" w:element="stockticker">
        <w:r w:rsidRPr="007C3BCA">
          <w:rPr>
            <w:color w:val="000000"/>
            <w:sz w:val="22"/>
          </w:rPr>
          <w:t>CTC</w:t>
        </w:r>
      </w:smartTag>
      <w:r w:rsidRPr="007C3BCA">
        <w:rPr>
          <w:color w:val="000000"/>
          <w:sz w:val="22"/>
        </w:rPr>
        <w:t xml:space="preserve"> fokú vérzés: gastrointestinalis vérzés 3 beteg</w:t>
      </w:r>
      <w:r w:rsidR="0022017A" w:rsidRPr="007C3BCA">
        <w:rPr>
          <w:color w:val="000000"/>
          <w:sz w:val="22"/>
        </w:rPr>
        <w:t>nél</w:t>
      </w:r>
      <w:r w:rsidRPr="007C3BCA">
        <w:rPr>
          <w:color w:val="000000"/>
          <w:sz w:val="22"/>
        </w:rPr>
        <w:t>, intratumoralis vérzés 3 beteg</w:t>
      </w:r>
      <w:r w:rsidR="0022017A" w:rsidRPr="007C3BCA">
        <w:rPr>
          <w:color w:val="000000"/>
          <w:sz w:val="22"/>
        </w:rPr>
        <w:t>nél</w:t>
      </w:r>
      <w:r w:rsidRPr="007C3BCA">
        <w:rPr>
          <w:color w:val="000000"/>
          <w:sz w:val="22"/>
        </w:rPr>
        <w:t xml:space="preserve"> és 1 beteg</w:t>
      </w:r>
      <w:r w:rsidR="0022017A" w:rsidRPr="007C3BCA">
        <w:rPr>
          <w:color w:val="000000"/>
          <w:sz w:val="22"/>
        </w:rPr>
        <w:t>nél</w:t>
      </w:r>
      <w:r w:rsidRPr="007C3BCA">
        <w:rPr>
          <w:color w:val="000000"/>
          <w:sz w:val="22"/>
        </w:rPr>
        <w:t xml:space="preserve"> mindkettő. A gastrointestinalis</w:t>
      </w:r>
      <w:r w:rsidRPr="00556B9B">
        <w:rPr>
          <w:color w:val="000000"/>
          <w:sz w:val="22"/>
        </w:rPr>
        <w:t xml:space="preserve"> vérzés forrása a tumor lehetett (lásd 4.4 pont). A gastrointestinalis, ill. intratumoralis vérzés súlyos és néha halálos kimenetelű is lehet. A leggyakrabban (</w:t>
      </w:r>
      <w:r w:rsidRPr="00556B9B">
        <w:rPr>
          <w:color w:val="000000"/>
          <w:sz w:val="22"/>
        </w:rPr>
        <w:sym w:font="Symbol" w:char="F0B3"/>
      </w:r>
      <w:r w:rsidRPr="00556B9B">
        <w:rPr>
          <w:color w:val="000000"/>
          <w:sz w:val="22"/>
        </w:rPr>
        <w:t xml:space="preserve"> 10%) észlelt készítményfüggő mellékhatások mindkét betegségben: enyhe hányinger, hányás, hasmenés, hasi fájdalom, fáradékonyság, myalgia és izomgörcsök, valamint bőrkiütés voltak. Valamennyi vizsgálatban gyakori jelenség volt a felületes ödéma, amit elsősorban periorbitálisan vagy az alsó végtagokon lehetett észlelni. Ezek az ödémák azonban csak ritkán voltak súlyosak, és diuretikummal vagy egyéb szupportív módon, ill. a Glivec adagjának csökkentésével kezelhetők </w:t>
      </w:r>
      <w:r w:rsidRPr="007C3BCA">
        <w:rPr>
          <w:color w:val="000000"/>
          <w:sz w:val="22"/>
        </w:rPr>
        <w:t>voltak.</w:t>
      </w:r>
    </w:p>
    <w:p w14:paraId="22F99EFB" w14:textId="77777777" w:rsidR="00910FC8" w:rsidRPr="007C3BCA" w:rsidRDefault="00910FC8">
      <w:pPr>
        <w:spacing w:line="240" w:lineRule="auto"/>
        <w:rPr>
          <w:color w:val="000000"/>
          <w:lang w:val="hu-HU"/>
        </w:rPr>
      </w:pPr>
    </w:p>
    <w:p w14:paraId="5D54CDA9" w14:textId="1B29F733" w:rsidR="00910FC8" w:rsidRPr="00556B9B" w:rsidRDefault="00910FC8">
      <w:pPr>
        <w:spacing w:line="240" w:lineRule="auto"/>
        <w:rPr>
          <w:color w:val="000000"/>
          <w:lang w:val="hu-HU"/>
        </w:rPr>
      </w:pPr>
      <w:r w:rsidRPr="007C3BCA">
        <w:rPr>
          <w:color w:val="000000"/>
          <w:lang w:val="hu-HU"/>
        </w:rPr>
        <w:t xml:space="preserve">Amikor Ph+ </w:t>
      </w:r>
      <w:smartTag w:uri="urn:schemas-microsoft-com:office:smarttags" w:element="stockticker">
        <w:r w:rsidRPr="007C3BCA">
          <w:rPr>
            <w:color w:val="000000"/>
            <w:lang w:val="hu-HU"/>
          </w:rPr>
          <w:t>ALL</w:t>
        </w:r>
      </w:smartTag>
      <w:r w:rsidRPr="007C3BCA">
        <w:rPr>
          <w:color w:val="000000"/>
          <w:lang w:val="hu-HU"/>
        </w:rPr>
        <w:noBreakHyphen/>
        <w:t>es betegek</w:t>
      </w:r>
      <w:r w:rsidR="0022017A" w:rsidRPr="007C3BCA">
        <w:rPr>
          <w:color w:val="000000"/>
          <w:lang w:val="hu-HU"/>
        </w:rPr>
        <w:t>nél</w:t>
      </w:r>
      <w:r w:rsidRPr="007C3BCA">
        <w:rPr>
          <w:color w:val="000000"/>
          <w:lang w:val="hu-HU"/>
        </w:rPr>
        <w:t xml:space="preserve"> az ima</w:t>
      </w:r>
      <w:r w:rsidRPr="00556B9B">
        <w:rPr>
          <w:color w:val="000000"/>
          <w:lang w:val="hu-HU"/>
        </w:rPr>
        <w:t>tinibet nagy dózisú kemoterápiával kombinációban alkalmazták, átementi hepatotoxicitást figyeltek meg, ami transzaminázszintek emelkedése és hyperbilirubinaemia formájában jelentkezett.</w:t>
      </w:r>
      <w:r w:rsidR="00453F31" w:rsidRPr="00556B9B">
        <w:rPr>
          <w:color w:val="000000"/>
          <w:lang w:val="hu-HU"/>
        </w:rPr>
        <w:t xml:space="preserve"> </w:t>
      </w:r>
      <w:r w:rsidR="00453F31" w:rsidRPr="00556B9B">
        <w:rPr>
          <w:color w:val="000000"/>
          <w:lang w:val="hu-HU" w:eastAsia="hu-HU"/>
        </w:rPr>
        <w:t>A korlátozott biztonsági adatbázis</w:t>
      </w:r>
      <w:r w:rsidR="003820A7" w:rsidRPr="00556B9B">
        <w:rPr>
          <w:color w:val="000000"/>
          <w:lang w:val="hu-HU" w:eastAsia="hu-HU"/>
        </w:rPr>
        <w:t xml:space="preserve"> alapján</w:t>
      </w:r>
      <w:r w:rsidR="00453F31" w:rsidRPr="00556B9B">
        <w:rPr>
          <w:color w:val="000000"/>
          <w:lang w:val="hu-HU" w:eastAsia="hu-HU"/>
        </w:rPr>
        <w:t xml:space="preserve"> az eddig gyermekeknél jelentett nemkívánatos események a Ph+ALL</w:t>
      </w:r>
      <w:r w:rsidR="00453F31" w:rsidRPr="00556B9B">
        <w:rPr>
          <w:color w:val="000000"/>
          <w:lang w:val="hu-HU"/>
        </w:rPr>
        <w:noBreakHyphen/>
      </w:r>
      <w:r w:rsidR="00453F31" w:rsidRPr="00556B9B">
        <w:rPr>
          <w:color w:val="000000"/>
          <w:lang w:val="hu-HU" w:eastAsia="hu-HU"/>
        </w:rPr>
        <w:t>ben szenvedő felnőtt betegek ismert biztonságossági profiljához hasonló</w:t>
      </w:r>
      <w:r w:rsidR="001D323E" w:rsidRPr="00556B9B">
        <w:rPr>
          <w:color w:val="000000"/>
          <w:lang w:val="hu-HU" w:eastAsia="hu-HU"/>
        </w:rPr>
        <w:t>k</w:t>
      </w:r>
      <w:r w:rsidR="00453F31" w:rsidRPr="00556B9B">
        <w:rPr>
          <w:color w:val="000000"/>
          <w:lang w:val="hu-HU" w:eastAsia="hu-HU"/>
        </w:rPr>
        <w:t xml:space="preserve">. </w:t>
      </w:r>
      <w:r w:rsidR="008D4936" w:rsidRPr="00556B9B">
        <w:rPr>
          <w:color w:val="000000"/>
          <w:lang w:val="hu-HU" w:eastAsia="hu-HU"/>
        </w:rPr>
        <w:t>A Ph+ALL</w:t>
      </w:r>
      <w:r w:rsidR="008D4936" w:rsidRPr="00556B9B">
        <w:rPr>
          <w:color w:val="000000"/>
          <w:lang w:val="hu-HU"/>
        </w:rPr>
        <w:noBreakHyphen/>
      </w:r>
      <w:r w:rsidR="008D4936" w:rsidRPr="00556B9B">
        <w:rPr>
          <w:color w:val="000000"/>
          <w:lang w:val="hu-HU" w:eastAsia="hu-HU"/>
        </w:rPr>
        <w:t>ben szenvedő gyermekek biztonsági adatbázisa nagyon korlátozott, bár új biztonságossági aggályokat nem azonosítottak.</w:t>
      </w:r>
    </w:p>
    <w:p w14:paraId="1962BB5E" w14:textId="77777777" w:rsidR="00910FC8" w:rsidRPr="00556B9B" w:rsidRDefault="00910FC8">
      <w:pPr>
        <w:spacing w:line="240" w:lineRule="auto"/>
        <w:rPr>
          <w:color w:val="000000"/>
          <w:lang w:val="hu-HU"/>
        </w:rPr>
      </w:pPr>
    </w:p>
    <w:p w14:paraId="7BBAB8FF" w14:textId="553C133F" w:rsidR="00910FC8" w:rsidRPr="007C3BCA" w:rsidRDefault="00910FC8">
      <w:pPr>
        <w:spacing w:line="240" w:lineRule="auto"/>
        <w:rPr>
          <w:color w:val="000000"/>
          <w:lang w:val="hu-HU"/>
        </w:rPr>
      </w:pPr>
      <w:r w:rsidRPr="00556B9B">
        <w:rPr>
          <w:color w:val="000000"/>
          <w:lang w:val="hu-HU"/>
        </w:rPr>
        <w:t>Az egyéb mellékhatások, mint a pleuralis folyadék, ascites, tüdőödéma és a gyors testtömeg</w:t>
      </w:r>
      <w:r w:rsidRPr="00556B9B">
        <w:rPr>
          <w:color w:val="000000"/>
          <w:lang w:val="hu-HU"/>
        </w:rPr>
        <w:noBreakHyphen/>
        <w:t xml:space="preserve">gyarapodás felszíni ödémával vagy anélkül, „folyadékretenciós szindróma” gyűjtőnévvel jellemezhetők. Ezen mellékhatások általában a Glivec adásának időszakos felfüggesztésével és diuretikummal, valamint egyéb megfelelő szupportív </w:t>
      </w:r>
      <w:r w:rsidRPr="007C3BCA">
        <w:rPr>
          <w:color w:val="000000"/>
          <w:lang w:val="hu-HU"/>
        </w:rPr>
        <w:t xml:space="preserve">ellátással kezelhetők. Mindazonáltal ezen mellékhatások némelyike súlyos, életet fenyegető is lehet. Több blasztos krízisben lévő beteg halt meg pleurális folyadékgyülem, pangásos szívelégtelenség és veseelégtelenség komplex klinikai képe kíséretben. </w:t>
      </w:r>
      <w:r w:rsidR="00CC60EF" w:rsidRPr="007C3BCA">
        <w:rPr>
          <w:color w:val="000000"/>
          <w:lang w:val="hu-HU"/>
        </w:rPr>
        <w:t>A g</w:t>
      </w:r>
      <w:r w:rsidRPr="007C3BCA">
        <w:rPr>
          <w:color w:val="000000"/>
          <w:lang w:val="hu-HU"/>
        </w:rPr>
        <w:t>yermek</w:t>
      </w:r>
      <w:r w:rsidR="00CC60EF" w:rsidRPr="007C3BCA">
        <w:rPr>
          <w:color w:val="000000"/>
          <w:lang w:val="hu-HU"/>
        </w:rPr>
        <w:t>- és serdülőkorú</w:t>
      </w:r>
      <w:r w:rsidRPr="007C3BCA">
        <w:rPr>
          <w:color w:val="000000"/>
          <w:lang w:val="hu-HU"/>
        </w:rPr>
        <w:t xml:space="preserve"> </w:t>
      </w:r>
      <w:r w:rsidR="00A75DE0" w:rsidRPr="007C3BCA">
        <w:rPr>
          <w:color w:val="000000"/>
          <w:lang w:val="hu-HU"/>
        </w:rPr>
        <w:t xml:space="preserve">betegek </w:t>
      </w:r>
      <w:r w:rsidR="0022017A" w:rsidRPr="007C3BCA">
        <w:rPr>
          <w:color w:val="000000"/>
          <w:lang w:val="hu-HU"/>
        </w:rPr>
        <w:t xml:space="preserve">bevonásával végzett </w:t>
      </w:r>
      <w:r w:rsidRPr="007C3BCA">
        <w:rPr>
          <w:color w:val="000000"/>
          <w:lang w:val="hu-HU"/>
        </w:rPr>
        <w:t xml:space="preserve">klinikai vizsgálatok nem </w:t>
      </w:r>
      <w:r w:rsidR="00CC60EF" w:rsidRPr="007C3BCA">
        <w:rPr>
          <w:color w:val="000000"/>
          <w:lang w:val="hu-HU"/>
        </w:rPr>
        <w:t>eredményeztek</w:t>
      </w:r>
      <w:r w:rsidRPr="007C3BCA">
        <w:rPr>
          <w:color w:val="000000"/>
          <w:lang w:val="hu-HU"/>
        </w:rPr>
        <w:t xml:space="preserve"> speciális gyógyszerbiztonságossági megállapítások</w:t>
      </w:r>
      <w:r w:rsidR="00CC60EF" w:rsidRPr="007C3BCA">
        <w:rPr>
          <w:color w:val="000000"/>
          <w:lang w:val="hu-HU"/>
        </w:rPr>
        <w:t>at</w:t>
      </w:r>
      <w:r w:rsidRPr="007C3BCA">
        <w:rPr>
          <w:color w:val="000000"/>
          <w:lang w:val="hu-HU"/>
        </w:rPr>
        <w:t>.</w:t>
      </w:r>
    </w:p>
    <w:p w14:paraId="45580326" w14:textId="77777777" w:rsidR="00910FC8" w:rsidRPr="007C3BCA" w:rsidRDefault="00910FC8">
      <w:pPr>
        <w:spacing w:line="240" w:lineRule="auto"/>
        <w:rPr>
          <w:color w:val="000000"/>
          <w:lang w:val="hu-HU"/>
        </w:rPr>
      </w:pPr>
    </w:p>
    <w:p w14:paraId="5C7DB407" w14:textId="77777777" w:rsidR="00910FC8" w:rsidRPr="00556B9B" w:rsidRDefault="00910FC8" w:rsidP="005C6E7A">
      <w:pPr>
        <w:keepNext/>
        <w:spacing w:line="240" w:lineRule="auto"/>
        <w:rPr>
          <w:b/>
          <w:color w:val="000000"/>
          <w:lang w:val="hu-HU"/>
        </w:rPr>
      </w:pPr>
      <w:r w:rsidRPr="007C3BCA">
        <w:rPr>
          <w:b/>
          <w:color w:val="000000"/>
          <w:lang w:val="hu-HU"/>
        </w:rPr>
        <w:t>Mellékhatások</w:t>
      </w:r>
    </w:p>
    <w:p w14:paraId="5D70479C" w14:textId="77777777" w:rsidR="00910FC8" w:rsidRPr="00556B9B" w:rsidRDefault="00910FC8">
      <w:pPr>
        <w:spacing w:line="240" w:lineRule="auto"/>
        <w:rPr>
          <w:color w:val="000000"/>
          <w:lang w:val="hu-HU"/>
        </w:rPr>
      </w:pPr>
      <w:r w:rsidRPr="00556B9B">
        <w:rPr>
          <w:color w:val="000000"/>
          <w:lang w:val="hu-HU"/>
        </w:rPr>
        <w:t xml:space="preserve">Az elszigetelt eseteknél gyakrabban észlelt mellékhatások az alábbi táblázatban, szervrendszerek és gyakoriság szerint vannak felsorolva. </w:t>
      </w:r>
      <w:r w:rsidR="006B5BA5" w:rsidRPr="00556B9B">
        <w:rPr>
          <w:color w:val="000000"/>
          <w:lang w:val="hu-HU"/>
        </w:rPr>
        <w:t>A g</w:t>
      </w:r>
      <w:r w:rsidRPr="00556B9B">
        <w:rPr>
          <w:color w:val="000000"/>
          <w:lang w:val="hu-HU"/>
        </w:rPr>
        <w:t>yakorisági kategóriák</w:t>
      </w:r>
      <w:r w:rsidR="006B5BA5" w:rsidRPr="00556B9B">
        <w:rPr>
          <w:color w:val="000000"/>
          <w:lang w:val="hu-HU"/>
        </w:rPr>
        <w:t xml:space="preserve"> meghatározása a következő konvenciók szerint történt</w:t>
      </w:r>
      <w:r w:rsidRPr="00556B9B">
        <w:rPr>
          <w:color w:val="000000"/>
          <w:lang w:val="hu-HU"/>
        </w:rPr>
        <w:t>: nagyon gyakori (</w:t>
      </w:r>
      <w:r w:rsidR="00120AEB" w:rsidRPr="00556B9B">
        <w:rPr>
          <w:noProof/>
          <w:color w:val="000000"/>
          <w:lang w:val="hu-HU"/>
        </w:rPr>
        <w:sym w:font="Symbol" w:char="F0B3"/>
      </w:r>
      <w:r w:rsidRPr="00556B9B">
        <w:rPr>
          <w:color w:val="000000"/>
          <w:lang w:val="hu-HU"/>
        </w:rPr>
        <w:t>1/10), gyakori (</w:t>
      </w:r>
      <w:r w:rsidR="00120AEB" w:rsidRPr="00556B9B">
        <w:rPr>
          <w:noProof/>
          <w:color w:val="000000"/>
          <w:lang w:val="hu-HU"/>
        </w:rPr>
        <w:sym w:font="Symbol" w:char="F0B3"/>
      </w:r>
      <w:r w:rsidRPr="00556B9B">
        <w:rPr>
          <w:color w:val="000000"/>
          <w:lang w:val="hu-HU"/>
        </w:rPr>
        <w:t>1/100</w:t>
      </w:r>
      <w:r w:rsidR="0093584B" w:rsidRPr="00556B9B">
        <w:rPr>
          <w:color w:val="000000"/>
          <w:lang w:val="hu-HU"/>
        </w:rPr>
        <w:t xml:space="preserve"> </w:t>
      </w:r>
      <w:r w:rsidR="0093584B" w:rsidRPr="00556B9B">
        <w:rPr>
          <w:color w:val="000000"/>
          <w:lang w:val="hu-HU"/>
        </w:rPr>
        <w:noBreakHyphen/>
      </w:r>
      <w:r w:rsidR="00F704EB" w:rsidRPr="00556B9B">
        <w:rPr>
          <w:color w:val="000000"/>
          <w:lang w:val="hu-HU"/>
        </w:rPr>
        <w:t xml:space="preserve"> </w:t>
      </w:r>
      <w:r w:rsidR="00120AEB" w:rsidRPr="00556B9B">
        <w:rPr>
          <w:b/>
          <w:noProof/>
          <w:color w:val="000000"/>
          <w:lang w:val="hu-HU"/>
        </w:rPr>
        <w:t>&lt;</w:t>
      </w:r>
      <w:r w:rsidRPr="00556B9B">
        <w:rPr>
          <w:color w:val="000000"/>
          <w:lang w:val="hu-HU"/>
        </w:rPr>
        <w:t>1/10), nem gyakori (</w:t>
      </w:r>
      <w:r w:rsidR="00120AEB" w:rsidRPr="00556B9B">
        <w:rPr>
          <w:noProof/>
          <w:color w:val="000000"/>
          <w:lang w:val="hu-HU"/>
        </w:rPr>
        <w:sym w:font="Symbol" w:char="F0B3"/>
      </w:r>
      <w:r w:rsidRPr="00556B9B">
        <w:rPr>
          <w:color w:val="000000"/>
          <w:lang w:val="hu-HU"/>
        </w:rPr>
        <w:t>1/1000</w:t>
      </w:r>
      <w:r w:rsidR="0093584B" w:rsidRPr="00556B9B">
        <w:rPr>
          <w:color w:val="000000"/>
          <w:lang w:val="hu-HU"/>
        </w:rPr>
        <w:t xml:space="preserve"> </w:t>
      </w:r>
      <w:r w:rsidR="0093584B" w:rsidRPr="00556B9B">
        <w:rPr>
          <w:color w:val="000000"/>
          <w:lang w:val="hu-HU"/>
        </w:rPr>
        <w:noBreakHyphen/>
      </w:r>
      <w:r w:rsidR="00F704EB" w:rsidRPr="00556B9B">
        <w:rPr>
          <w:color w:val="000000"/>
          <w:lang w:val="hu-HU"/>
        </w:rPr>
        <w:t xml:space="preserve"> </w:t>
      </w:r>
      <w:r w:rsidR="00120AEB" w:rsidRPr="00556B9B">
        <w:rPr>
          <w:b/>
          <w:noProof/>
          <w:color w:val="000000"/>
          <w:lang w:val="hu-HU"/>
        </w:rPr>
        <w:t>&lt;</w:t>
      </w:r>
      <w:r w:rsidRPr="00556B9B">
        <w:rPr>
          <w:color w:val="000000"/>
          <w:lang w:val="hu-HU"/>
        </w:rPr>
        <w:t>1/100), ritka</w:t>
      </w:r>
      <w:r w:rsidR="00F704EB" w:rsidRPr="00556B9B">
        <w:rPr>
          <w:color w:val="000000"/>
          <w:lang w:val="hu-HU"/>
        </w:rPr>
        <w:t xml:space="preserve"> </w:t>
      </w:r>
      <w:r w:rsidRPr="00556B9B">
        <w:rPr>
          <w:color w:val="000000"/>
          <w:lang w:val="hu-HU"/>
        </w:rPr>
        <w:t>(</w:t>
      </w:r>
      <w:r w:rsidR="0093584B" w:rsidRPr="00556B9B">
        <w:rPr>
          <w:noProof/>
          <w:color w:val="000000"/>
          <w:lang w:val="hu-HU"/>
        </w:rPr>
        <w:sym w:font="Symbol" w:char="F0B3"/>
      </w:r>
      <w:r w:rsidR="0093584B" w:rsidRPr="00556B9B">
        <w:rPr>
          <w:noProof/>
          <w:color w:val="000000"/>
          <w:lang w:val="hu-HU"/>
        </w:rPr>
        <w:t xml:space="preserve">1/10 000 </w:t>
      </w:r>
      <w:r w:rsidR="0093584B" w:rsidRPr="00556B9B">
        <w:rPr>
          <w:noProof/>
          <w:color w:val="000000"/>
          <w:lang w:val="hu-HU"/>
        </w:rPr>
        <w:noBreakHyphen/>
        <w:t xml:space="preserve"> </w:t>
      </w:r>
      <w:r w:rsidR="00120AEB" w:rsidRPr="00556B9B">
        <w:rPr>
          <w:noProof/>
          <w:color w:val="000000"/>
          <w:lang w:val="hu-HU"/>
        </w:rPr>
        <w:t>&lt;</w:t>
      </w:r>
      <w:r w:rsidRPr="00556B9B">
        <w:rPr>
          <w:color w:val="000000"/>
          <w:lang w:val="hu-HU"/>
        </w:rPr>
        <w:t>1/1000),</w:t>
      </w:r>
      <w:r w:rsidR="0093584B" w:rsidRPr="00556B9B">
        <w:rPr>
          <w:color w:val="000000"/>
          <w:lang w:val="hu-HU"/>
        </w:rPr>
        <w:t xml:space="preserve"> </w:t>
      </w:r>
      <w:r w:rsidR="0093584B" w:rsidRPr="00556B9B">
        <w:rPr>
          <w:noProof/>
          <w:color w:val="000000"/>
          <w:lang w:val="hu-HU"/>
        </w:rPr>
        <w:t>nagyon ritka (&lt;1/10 000)</w:t>
      </w:r>
      <w:r w:rsidR="0078173C" w:rsidRPr="00556B9B">
        <w:rPr>
          <w:noProof/>
          <w:color w:val="000000"/>
          <w:lang w:val="hu-HU"/>
        </w:rPr>
        <w:t>,</w:t>
      </w:r>
      <w:r w:rsidRPr="00556B9B">
        <w:rPr>
          <w:color w:val="000000"/>
          <w:lang w:val="hu-HU"/>
        </w:rPr>
        <w:t xml:space="preserve"> nem ismert (a rendelkezésre álló adatokból nem állapítható meg).</w:t>
      </w:r>
    </w:p>
    <w:p w14:paraId="3778080F" w14:textId="77777777" w:rsidR="00910FC8" w:rsidRPr="00556B9B" w:rsidRDefault="00910FC8">
      <w:pPr>
        <w:spacing w:line="240" w:lineRule="auto"/>
        <w:rPr>
          <w:color w:val="000000"/>
          <w:lang w:val="hu-HU"/>
        </w:rPr>
      </w:pPr>
    </w:p>
    <w:p w14:paraId="12D9FFDE" w14:textId="77777777" w:rsidR="00910FC8" w:rsidRPr="00556B9B" w:rsidRDefault="00910FC8">
      <w:pPr>
        <w:spacing w:line="240" w:lineRule="auto"/>
        <w:rPr>
          <w:color w:val="000000"/>
          <w:lang w:val="hu-HU"/>
        </w:rPr>
      </w:pPr>
      <w:r w:rsidRPr="00556B9B">
        <w:rPr>
          <w:color w:val="000000"/>
          <w:lang w:val="hu-HU"/>
        </w:rPr>
        <w:t>Az egyes gyakorisági kategóriákon belül a mellékhatások gyakoriság szerint, csökkenő sorrendben kerülnek megadásra.</w:t>
      </w:r>
    </w:p>
    <w:p w14:paraId="5039A803" w14:textId="77777777" w:rsidR="00910FC8" w:rsidRPr="00556B9B" w:rsidRDefault="00910FC8">
      <w:pPr>
        <w:spacing w:line="240" w:lineRule="auto"/>
        <w:rPr>
          <w:color w:val="000000"/>
          <w:lang w:val="hu-HU"/>
        </w:rPr>
      </w:pPr>
    </w:p>
    <w:p w14:paraId="4EEF560D" w14:textId="77777777" w:rsidR="00910FC8" w:rsidRPr="00556B9B" w:rsidRDefault="00077D15">
      <w:pPr>
        <w:spacing w:line="240" w:lineRule="auto"/>
        <w:rPr>
          <w:color w:val="000000"/>
          <w:lang w:val="hu-HU"/>
        </w:rPr>
      </w:pPr>
      <w:r w:rsidRPr="00556B9B">
        <w:rPr>
          <w:color w:val="000000"/>
          <w:lang w:val="hu-HU"/>
        </w:rPr>
        <w:t xml:space="preserve">A </w:t>
      </w:r>
      <w:r w:rsidR="00910FC8" w:rsidRPr="00556B9B">
        <w:rPr>
          <w:color w:val="000000"/>
          <w:lang w:val="hu-HU"/>
        </w:rPr>
        <w:t xml:space="preserve">mellékhatásokat, illetve azok gyakoriságát </w:t>
      </w:r>
      <w:r w:rsidRPr="00556B9B">
        <w:rPr>
          <w:color w:val="000000"/>
          <w:lang w:val="hu-HU"/>
        </w:rPr>
        <w:t>az 1. táblázat ismerteti</w:t>
      </w:r>
      <w:r w:rsidR="00910FC8" w:rsidRPr="00556B9B">
        <w:rPr>
          <w:color w:val="000000"/>
          <w:lang w:val="hu-HU"/>
        </w:rPr>
        <w:t>.</w:t>
      </w:r>
    </w:p>
    <w:p w14:paraId="4EC51E31" w14:textId="77777777" w:rsidR="00910FC8" w:rsidRPr="00556B9B" w:rsidRDefault="00910FC8">
      <w:pPr>
        <w:spacing w:line="240" w:lineRule="auto"/>
        <w:rPr>
          <w:color w:val="000000"/>
          <w:lang w:val="hu-HU"/>
        </w:rPr>
      </w:pPr>
    </w:p>
    <w:p w14:paraId="7B242619" w14:textId="77777777" w:rsidR="00910FC8" w:rsidRPr="00556B9B" w:rsidRDefault="00910FC8" w:rsidP="005C6E7A">
      <w:pPr>
        <w:keepNext/>
        <w:spacing w:line="240" w:lineRule="auto"/>
        <w:rPr>
          <w:b/>
          <w:bCs/>
          <w:color w:val="000000"/>
          <w:lang w:val="hu-HU"/>
        </w:rPr>
      </w:pPr>
      <w:r w:rsidRPr="00556B9B">
        <w:rPr>
          <w:b/>
          <w:bCs/>
          <w:color w:val="000000"/>
          <w:lang w:val="hu-HU"/>
        </w:rPr>
        <w:t>1. táblázat</w:t>
      </w:r>
      <w:r w:rsidRPr="00556B9B">
        <w:rPr>
          <w:b/>
          <w:bCs/>
          <w:color w:val="000000"/>
          <w:lang w:val="hu-HU"/>
        </w:rPr>
        <w:tab/>
      </w:r>
      <w:r w:rsidR="00077D15" w:rsidRPr="00556B9B">
        <w:rPr>
          <w:rFonts w:eastAsia="Calibri" w:cs="Times New Roman"/>
          <w:b/>
          <w:color w:val="000000"/>
          <w:szCs w:val="22"/>
          <w:lang w:val="hu-HU" w:eastAsia="hu-HU" w:bidi="hu-HU"/>
        </w:rPr>
        <w:t>A mellékhatások táblázatos összefoglalása</w:t>
      </w:r>
    </w:p>
    <w:p w14:paraId="34D6874B" w14:textId="77777777" w:rsidR="00910FC8" w:rsidRPr="00556B9B" w:rsidRDefault="00910FC8" w:rsidP="005C6E7A">
      <w:pPr>
        <w:keepNext/>
        <w:rPr>
          <w:color w:val="000000"/>
          <w:lang w:val="hu-HU"/>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4E1542" w:rsidRPr="00556B9B" w14:paraId="191128D0" w14:textId="77777777" w:rsidTr="00FC4997">
        <w:tc>
          <w:tcPr>
            <w:tcW w:w="9322" w:type="dxa"/>
            <w:gridSpan w:val="2"/>
          </w:tcPr>
          <w:p w14:paraId="2511059D" w14:textId="77777777" w:rsidR="004E1542" w:rsidRPr="00556B9B" w:rsidRDefault="004E1542" w:rsidP="005C6E7A">
            <w:pPr>
              <w:keepNext/>
              <w:suppressAutoHyphens w:val="0"/>
              <w:rPr>
                <w:color w:val="000000"/>
              </w:rPr>
            </w:pPr>
            <w:r w:rsidRPr="00556B9B">
              <w:rPr>
                <w:b/>
                <w:color w:val="000000"/>
                <w:lang w:val="hu-HU"/>
              </w:rPr>
              <w:t>Fertőző betegségek és parazitafertőzések</w:t>
            </w:r>
          </w:p>
        </w:tc>
      </w:tr>
      <w:tr w:rsidR="004E1542" w:rsidRPr="00556B9B" w14:paraId="4F084C71" w14:textId="77777777" w:rsidTr="005C6E7A">
        <w:trPr>
          <w:cantSplit/>
        </w:trPr>
        <w:tc>
          <w:tcPr>
            <w:tcW w:w="2235" w:type="dxa"/>
          </w:tcPr>
          <w:p w14:paraId="42575FB2" w14:textId="77777777" w:rsidR="004E1542" w:rsidRPr="00556B9B" w:rsidRDefault="004E1542" w:rsidP="005C6E7A">
            <w:pPr>
              <w:keepNext/>
              <w:suppressAutoHyphens w:val="0"/>
              <w:rPr>
                <w:i/>
                <w:iCs/>
                <w:color w:val="000000"/>
              </w:rPr>
            </w:pPr>
            <w:r w:rsidRPr="00556B9B">
              <w:rPr>
                <w:rFonts w:cs="Times New Roman"/>
                <w:i/>
                <w:iCs/>
                <w:noProof/>
                <w:color w:val="000000"/>
                <w:szCs w:val="22"/>
                <w:lang w:val="hu-HU"/>
              </w:rPr>
              <w:t>Nem gyakori:</w:t>
            </w:r>
          </w:p>
        </w:tc>
        <w:tc>
          <w:tcPr>
            <w:tcW w:w="7087" w:type="dxa"/>
          </w:tcPr>
          <w:p w14:paraId="2CFF08FB" w14:textId="77777777" w:rsidR="004E1542" w:rsidRPr="00556B9B" w:rsidRDefault="004E1542" w:rsidP="005C6E7A">
            <w:pPr>
              <w:keepNext/>
              <w:suppressAutoHyphens w:val="0"/>
              <w:rPr>
                <w:color w:val="000000"/>
              </w:rPr>
            </w:pPr>
            <w:r w:rsidRPr="00556B9B">
              <w:rPr>
                <w:rFonts w:cs="Times New Roman"/>
                <w:color w:val="000000"/>
                <w:szCs w:val="22"/>
                <w:lang w:val="hu-HU"/>
              </w:rPr>
              <w:t>Herpes zoster, herpes simplex, nasopharyngitis, pneumonia</w:t>
            </w:r>
            <w:r w:rsidR="006C7652" w:rsidRPr="00556B9B">
              <w:rPr>
                <w:rFonts w:cs="Times New Roman"/>
                <w:color w:val="000000"/>
                <w:szCs w:val="22"/>
                <w:vertAlign w:val="superscript"/>
                <w:lang w:val="hu-HU"/>
              </w:rPr>
              <w:t>1</w:t>
            </w:r>
            <w:r w:rsidRPr="00556B9B">
              <w:rPr>
                <w:rFonts w:cs="Times New Roman"/>
                <w:color w:val="000000"/>
                <w:szCs w:val="22"/>
                <w:lang w:val="hu-HU"/>
              </w:rPr>
              <w:t>, sinusitis, cellulitis, felső légúti fertőzés, influenza, húgyúti fertőzés, gastroenteritis, sepsis</w:t>
            </w:r>
          </w:p>
        </w:tc>
      </w:tr>
      <w:tr w:rsidR="004E1542" w:rsidRPr="00556B9B" w14:paraId="5398146E" w14:textId="77777777" w:rsidTr="00FC4997">
        <w:tc>
          <w:tcPr>
            <w:tcW w:w="2235" w:type="dxa"/>
          </w:tcPr>
          <w:p w14:paraId="0C695AEE" w14:textId="77777777" w:rsidR="004E1542" w:rsidRPr="00556B9B" w:rsidRDefault="004E1542" w:rsidP="005C6E7A">
            <w:pPr>
              <w:keepNext/>
              <w:suppressAutoHyphens w:val="0"/>
              <w:rPr>
                <w:i/>
                <w:iCs/>
                <w:color w:val="000000"/>
              </w:rPr>
            </w:pPr>
            <w:r w:rsidRPr="00556B9B">
              <w:rPr>
                <w:rFonts w:cs="Times New Roman"/>
                <w:i/>
                <w:iCs/>
                <w:noProof/>
                <w:color w:val="000000"/>
                <w:szCs w:val="22"/>
                <w:lang w:val="hu-HU"/>
              </w:rPr>
              <w:t>Ritka:</w:t>
            </w:r>
          </w:p>
        </w:tc>
        <w:tc>
          <w:tcPr>
            <w:tcW w:w="7087" w:type="dxa"/>
          </w:tcPr>
          <w:p w14:paraId="40D201B3" w14:textId="77777777" w:rsidR="004E1542" w:rsidRPr="00556B9B" w:rsidRDefault="004E1542" w:rsidP="005C6E7A">
            <w:pPr>
              <w:keepNext/>
              <w:suppressAutoHyphens w:val="0"/>
              <w:rPr>
                <w:color w:val="000000"/>
              </w:rPr>
            </w:pPr>
            <w:r w:rsidRPr="00556B9B">
              <w:rPr>
                <w:rFonts w:cs="Times New Roman"/>
                <w:color w:val="000000"/>
                <w:szCs w:val="22"/>
                <w:lang w:val="hu-HU"/>
              </w:rPr>
              <w:t>Gombafertőzés</w:t>
            </w:r>
          </w:p>
        </w:tc>
      </w:tr>
      <w:tr w:rsidR="00C63EC4" w:rsidRPr="00556B9B" w14:paraId="1ADD0987" w14:textId="77777777" w:rsidTr="00FC4997">
        <w:tc>
          <w:tcPr>
            <w:tcW w:w="2235" w:type="dxa"/>
          </w:tcPr>
          <w:p w14:paraId="0C54A917" w14:textId="77777777" w:rsidR="00C63EC4" w:rsidRPr="00556B9B" w:rsidRDefault="00C63EC4" w:rsidP="005C6E7A">
            <w:pPr>
              <w:keepNext/>
              <w:suppressAutoHyphens w:val="0"/>
              <w:rPr>
                <w:rFonts w:cs="Times New Roman"/>
                <w:i/>
                <w:iCs/>
                <w:noProof/>
                <w:color w:val="000000"/>
                <w:szCs w:val="22"/>
                <w:lang w:val="hu-HU"/>
              </w:rPr>
            </w:pPr>
            <w:r w:rsidRPr="00556B9B">
              <w:rPr>
                <w:rFonts w:cs="Times New Roman"/>
                <w:i/>
                <w:iCs/>
                <w:noProof/>
                <w:color w:val="000000"/>
                <w:szCs w:val="22"/>
                <w:lang w:val="hu-HU"/>
              </w:rPr>
              <w:t>Nem ismert:</w:t>
            </w:r>
          </w:p>
        </w:tc>
        <w:tc>
          <w:tcPr>
            <w:tcW w:w="7087" w:type="dxa"/>
          </w:tcPr>
          <w:p w14:paraId="26E784C4" w14:textId="77777777" w:rsidR="00C63EC4" w:rsidRPr="00556B9B" w:rsidRDefault="00C63EC4" w:rsidP="005C6E7A">
            <w:pPr>
              <w:keepNext/>
              <w:suppressAutoHyphens w:val="0"/>
              <w:rPr>
                <w:rFonts w:cs="Times New Roman"/>
                <w:color w:val="000000"/>
                <w:szCs w:val="22"/>
                <w:lang w:val="hu-HU"/>
              </w:rPr>
            </w:pPr>
            <w:r w:rsidRPr="00556B9B">
              <w:rPr>
                <w:rFonts w:cs="Times New Roman"/>
                <w:color w:val="000000"/>
                <w:szCs w:val="22"/>
                <w:lang w:val="hu-HU"/>
              </w:rPr>
              <w:t>Hepatitis B reaktiváció</w:t>
            </w:r>
            <w:r w:rsidR="005E5CC8" w:rsidRPr="00556B9B">
              <w:rPr>
                <w:color w:val="000000"/>
                <w:szCs w:val="22"/>
              </w:rPr>
              <w:t>*</w:t>
            </w:r>
          </w:p>
        </w:tc>
      </w:tr>
      <w:tr w:rsidR="00737AF2" w:rsidRPr="00556B9B" w14:paraId="5B92F956" w14:textId="77777777" w:rsidTr="00FC4997">
        <w:tc>
          <w:tcPr>
            <w:tcW w:w="9322" w:type="dxa"/>
            <w:gridSpan w:val="2"/>
          </w:tcPr>
          <w:p w14:paraId="2CC34DF8" w14:textId="77777777" w:rsidR="00737AF2" w:rsidRPr="007C3BCA" w:rsidRDefault="00737AF2" w:rsidP="005C6E7A">
            <w:pPr>
              <w:keepNext/>
              <w:suppressAutoHyphens w:val="0"/>
              <w:rPr>
                <w:color w:val="000000"/>
              </w:rPr>
            </w:pPr>
            <w:r w:rsidRPr="007C3BCA">
              <w:rPr>
                <w:b/>
                <w:lang w:val="hu-HU"/>
              </w:rPr>
              <w:t>Jó-, rosszindulatú és nem meghatározott daganatok (beleértve a cisztákat és polipokat is)</w:t>
            </w:r>
          </w:p>
        </w:tc>
      </w:tr>
      <w:tr w:rsidR="00177B91" w:rsidRPr="00556B9B" w14:paraId="0454DA8A" w14:textId="77777777" w:rsidTr="00FC4997">
        <w:tc>
          <w:tcPr>
            <w:tcW w:w="2235" w:type="dxa"/>
          </w:tcPr>
          <w:p w14:paraId="307434B4" w14:textId="77777777" w:rsidR="00177B91" w:rsidRPr="00556B9B" w:rsidRDefault="00177B91" w:rsidP="005C6E7A">
            <w:pPr>
              <w:keepNext/>
              <w:suppressAutoHyphens w:val="0"/>
              <w:rPr>
                <w:i/>
                <w:iCs/>
                <w:color w:val="000000"/>
              </w:rPr>
            </w:pPr>
            <w:r w:rsidRPr="00556B9B">
              <w:rPr>
                <w:rFonts w:cs="Times New Roman"/>
                <w:i/>
                <w:iCs/>
                <w:noProof/>
                <w:color w:val="000000"/>
                <w:szCs w:val="22"/>
                <w:lang w:val="hu-HU"/>
              </w:rPr>
              <w:t>Ritka:</w:t>
            </w:r>
          </w:p>
        </w:tc>
        <w:tc>
          <w:tcPr>
            <w:tcW w:w="7087" w:type="dxa"/>
          </w:tcPr>
          <w:p w14:paraId="7516BCC5" w14:textId="77777777" w:rsidR="00177B91" w:rsidRPr="007C3BCA" w:rsidRDefault="00177B91" w:rsidP="005C6E7A">
            <w:pPr>
              <w:keepNext/>
              <w:suppressAutoHyphens w:val="0"/>
              <w:rPr>
                <w:color w:val="000000"/>
              </w:rPr>
            </w:pPr>
            <w:r w:rsidRPr="007C3BCA">
              <w:rPr>
                <w:color w:val="000000"/>
                <w:lang w:val="hu-HU"/>
              </w:rPr>
              <w:t>Tumor lízis szindróma</w:t>
            </w:r>
          </w:p>
        </w:tc>
      </w:tr>
      <w:tr w:rsidR="00053E70" w:rsidRPr="00556B9B" w14:paraId="52F6E42C" w14:textId="77777777" w:rsidTr="00FC4997">
        <w:tc>
          <w:tcPr>
            <w:tcW w:w="2235" w:type="dxa"/>
          </w:tcPr>
          <w:p w14:paraId="4650951B" w14:textId="77777777" w:rsidR="00053E70" w:rsidRPr="00556B9B" w:rsidRDefault="00053E70" w:rsidP="00E16B90">
            <w:pPr>
              <w:rPr>
                <w:rFonts w:cs="Times New Roman"/>
                <w:i/>
                <w:iCs/>
                <w:noProof/>
                <w:color w:val="000000"/>
                <w:szCs w:val="22"/>
                <w:lang w:val="hu-HU"/>
              </w:rPr>
            </w:pPr>
            <w:r w:rsidRPr="00556B9B">
              <w:rPr>
                <w:i/>
                <w:color w:val="000000"/>
              </w:rPr>
              <w:t>Nem ismert:</w:t>
            </w:r>
          </w:p>
        </w:tc>
        <w:tc>
          <w:tcPr>
            <w:tcW w:w="7087" w:type="dxa"/>
          </w:tcPr>
          <w:p w14:paraId="1C7516C2" w14:textId="7CBB35C5" w:rsidR="00053E70" w:rsidRPr="007C3BCA" w:rsidRDefault="00053E70" w:rsidP="00E16B90">
            <w:pPr>
              <w:rPr>
                <w:color w:val="000000"/>
                <w:lang w:val="hu-HU"/>
              </w:rPr>
            </w:pPr>
            <w:r w:rsidRPr="007C3BCA">
              <w:rPr>
                <w:color w:val="000000"/>
              </w:rPr>
              <w:t>Tumorvérzés/tumor necrosis*</w:t>
            </w:r>
          </w:p>
        </w:tc>
      </w:tr>
      <w:tr w:rsidR="00177B91" w:rsidRPr="00556B9B" w14:paraId="59916870" w14:textId="77777777" w:rsidTr="00374667">
        <w:tc>
          <w:tcPr>
            <w:tcW w:w="9322" w:type="dxa"/>
            <w:gridSpan w:val="2"/>
          </w:tcPr>
          <w:p w14:paraId="649C41B3" w14:textId="77777777" w:rsidR="00177B91" w:rsidRPr="007C3BCA" w:rsidRDefault="00177B91" w:rsidP="005C6E7A">
            <w:pPr>
              <w:keepNext/>
              <w:widowControl w:val="0"/>
              <w:suppressAutoHyphens w:val="0"/>
              <w:spacing w:line="240" w:lineRule="auto"/>
              <w:rPr>
                <w:b/>
                <w:color w:val="000000"/>
              </w:rPr>
            </w:pPr>
            <w:r w:rsidRPr="007C3BCA">
              <w:rPr>
                <w:b/>
                <w:color w:val="000000"/>
              </w:rPr>
              <w:t>Immunrendszeri betegségek és tünetek</w:t>
            </w:r>
          </w:p>
        </w:tc>
      </w:tr>
      <w:tr w:rsidR="00177B91" w:rsidRPr="00556B9B" w14:paraId="2352EFAB" w14:textId="77777777" w:rsidTr="00374667">
        <w:tc>
          <w:tcPr>
            <w:tcW w:w="2235" w:type="dxa"/>
          </w:tcPr>
          <w:p w14:paraId="3A60668E" w14:textId="77777777" w:rsidR="00177B91" w:rsidRPr="00556B9B" w:rsidRDefault="00177B91" w:rsidP="00374667">
            <w:pPr>
              <w:widowControl w:val="0"/>
              <w:spacing w:line="240" w:lineRule="auto"/>
              <w:rPr>
                <w:i/>
                <w:color w:val="000000"/>
              </w:rPr>
            </w:pPr>
            <w:r w:rsidRPr="00556B9B">
              <w:rPr>
                <w:i/>
                <w:color w:val="000000"/>
              </w:rPr>
              <w:t>Nem ismert:</w:t>
            </w:r>
          </w:p>
        </w:tc>
        <w:tc>
          <w:tcPr>
            <w:tcW w:w="7087" w:type="dxa"/>
          </w:tcPr>
          <w:p w14:paraId="1F4B3592" w14:textId="77777777" w:rsidR="00177B91" w:rsidRPr="00556B9B" w:rsidRDefault="00177B91" w:rsidP="00374667">
            <w:pPr>
              <w:widowControl w:val="0"/>
              <w:spacing w:line="240" w:lineRule="auto"/>
              <w:rPr>
                <w:color w:val="000000"/>
              </w:rPr>
            </w:pPr>
            <w:r w:rsidRPr="00556B9B">
              <w:rPr>
                <w:color w:val="000000"/>
              </w:rPr>
              <w:t>Anaphylaxiás shock*</w:t>
            </w:r>
          </w:p>
        </w:tc>
      </w:tr>
      <w:tr w:rsidR="00177B91" w:rsidRPr="00556B9B" w14:paraId="70FB015A" w14:textId="77777777" w:rsidTr="00FC4997">
        <w:tc>
          <w:tcPr>
            <w:tcW w:w="9322" w:type="dxa"/>
            <w:gridSpan w:val="2"/>
          </w:tcPr>
          <w:p w14:paraId="3FC12D7E" w14:textId="77777777" w:rsidR="00177B91" w:rsidRPr="00556B9B" w:rsidRDefault="00177B91" w:rsidP="005C6E7A">
            <w:pPr>
              <w:keepNext/>
              <w:suppressAutoHyphens w:val="0"/>
              <w:rPr>
                <w:color w:val="000000"/>
              </w:rPr>
            </w:pPr>
            <w:r w:rsidRPr="00556B9B">
              <w:rPr>
                <w:rFonts w:cs="Times New Roman"/>
                <w:b/>
                <w:color w:val="000000"/>
                <w:szCs w:val="22"/>
                <w:lang w:val="hu-HU"/>
              </w:rPr>
              <w:lastRenderedPageBreak/>
              <w:t>Vérképzőszervi és nyirokrendszeri betegségek és tünetek</w:t>
            </w:r>
          </w:p>
        </w:tc>
      </w:tr>
      <w:tr w:rsidR="00177B91" w:rsidRPr="00556B9B" w14:paraId="3CFCA66D" w14:textId="77777777" w:rsidTr="00FC4997">
        <w:tc>
          <w:tcPr>
            <w:tcW w:w="2235" w:type="dxa"/>
          </w:tcPr>
          <w:p w14:paraId="686FDDF1" w14:textId="77777777" w:rsidR="00177B91" w:rsidRPr="00556B9B" w:rsidRDefault="00177B91" w:rsidP="005C6E7A">
            <w:pPr>
              <w:keepNext/>
              <w:suppressAutoHyphens w:val="0"/>
              <w:rPr>
                <w:i/>
                <w:iCs/>
                <w:color w:val="000000"/>
              </w:rPr>
            </w:pPr>
            <w:r w:rsidRPr="00556B9B">
              <w:rPr>
                <w:rFonts w:cs="Times New Roman"/>
                <w:i/>
                <w:iCs/>
                <w:noProof/>
                <w:color w:val="000000"/>
                <w:szCs w:val="22"/>
                <w:lang w:val="hu-HU"/>
              </w:rPr>
              <w:t>Nagyon gyakori:</w:t>
            </w:r>
          </w:p>
        </w:tc>
        <w:tc>
          <w:tcPr>
            <w:tcW w:w="7087" w:type="dxa"/>
          </w:tcPr>
          <w:p w14:paraId="26A25752" w14:textId="77777777" w:rsidR="00177B91" w:rsidRPr="00556B9B" w:rsidRDefault="00177B91" w:rsidP="005C6E7A">
            <w:pPr>
              <w:keepNext/>
              <w:suppressAutoHyphens w:val="0"/>
              <w:rPr>
                <w:color w:val="000000"/>
              </w:rPr>
            </w:pPr>
            <w:r w:rsidRPr="00556B9B">
              <w:rPr>
                <w:rFonts w:cs="Times New Roman"/>
                <w:color w:val="000000"/>
                <w:szCs w:val="22"/>
                <w:lang w:val="hu-HU"/>
              </w:rPr>
              <w:t>Neutropenia, thrombocytopenia, anaemia</w:t>
            </w:r>
          </w:p>
        </w:tc>
      </w:tr>
      <w:tr w:rsidR="00177B91" w:rsidRPr="00556B9B" w14:paraId="7D748B3F" w14:textId="77777777" w:rsidTr="00FC4997">
        <w:tc>
          <w:tcPr>
            <w:tcW w:w="2235" w:type="dxa"/>
          </w:tcPr>
          <w:p w14:paraId="438981EF" w14:textId="77777777" w:rsidR="00177B91" w:rsidRPr="00556B9B" w:rsidRDefault="00177B91" w:rsidP="005C6E7A">
            <w:pPr>
              <w:keepNext/>
              <w:suppressAutoHyphens w:val="0"/>
              <w:rPr>
                <w:i/>
                <w:iCs/>
                <w:color w:val="000000"/>
              </w:rPr>
            </w:pPr>
            <w:r w:rsidRPr="00556B9B">
              <w:rPr>
                <w:rFonts w:cs="Times New Roman"/>
                <w:i/>
                <w:iCs/>
                <w:noProof/>
                <w:color w:val="000000"/>
                <w:szCs w:val="22"/>
                <w:lang w:val="hu-HU"/>
              </w:rPr>
              <w:t>Gyakori:</w:t>
            </w:r>
          </w:p>
        </w:tc>
        <w:tc>
          <w:tcPr>
            <w:tcW w:w="7087" w:type="dxa"/>
          </w:tcPr>
          <w:p w14:paraId="0D4A7B9A" w14:textId="77777777" w:rsidR="00177B91" w:rsidRPr="00556B9B" w:rsidRDefault="00177B91" w:rsidP="005C6E7A">
            <w:pPr>
              <w:keepNext/>
              <w:suppressAutoHyphens w:val="0"/>
              <w:rPr>
                <w:color w:val="000000"/>
              </w:rPr>
            </w:pPr>
            <w:r w:rsidRPr="00556B9B">
              <w:rPr>
                <w:rFonts w:cs="Times New Roman"/>
                <w:color w:val="000000"/>
                <w:szCs w:val="22"/>
                <w:lang w:val="hu-HU"/>
              </w:rPr>
              <w:t>Pancytopenia, febrilis neutropenia</w:t>
            </w:r>
          </w:p>
        </w:tc>
      </w:tr>
      <w:tr w:rsidR="00177B91" w:rsidRPr="00556B9B" w14:paraId="05DB0428" w14:textId="77777777" w:rsidTr="00FC4997">
        <w:tc>
          <w:tcPr>
            <w:tcW w:w="2235" w:type="dxa"/>
          </w:tcPr>
          <w:p w14:paraId="7B0EFAF3" w14:textId="77777777" w:rsidR="00177B91" w:rsidRPr="00556B9B" w:rsidRDefault="00177B91" w:rsidP="005C6E7A">
            <w:pPr>
              <w:keepNext/>
              <w:suppressAutoHyphens w:val="0"/>
              <w:rPr>
                <w:i/>
                <w:iCs/>
                <w:color w:val="000000"/>
              </w:rPr>
            </w:pPr>
            <w:r w:rsidRPr="00556B9B">
              <w:rPr>
                <w:i/>
                <w:iCs/>
                <w:noProof/>
                <w:color w:val="000000"/>
                <w:szCs w:val="22"/>
                <w:lang w:val="hu-HU"/>
              </w:rPr>
              <w:t>Nem gyakori:</w:t>
            </w:r>
          </w:p>
        </w:tc>
        <w:tc>
          <w:tcPr>
            <w:tcW w:w="7087" w:type="dxa"/>
          </w:tcPr>
          <w:p w14:paraId="08BE4147" w14:textId="77777777" w:rsidR="00177B91" w:rsidRPr="00556B9B" w:rsidRDefault="00177B91" w:rsidP="005C6E7A">
            <w:pPr>
              <w:keepNext/>
              <w:suppressAutoHyphens w:val="0"/>
              <w:rPr>
                <w:color w:val="000000"/>
              </w:rPr>
            </w:pPr>
            <w:r w:rsidRPr="00556B9B">
              <w:rPr>
                <w:rFonts w:cs="Times New Roman"/>
                <w:color w:val="000000"/>
                <w:szCs w:val="22"/>
                <w:lang w:val="hu-HU"/>
              </w:rPr>
              <w:t>Thrombocythaemia, lymphopenia, csontvelő depressio, eosinophilia, lymphadenopathia</w:t>
            </w:r>
          </w:p>
        </w:tc>
      </w:tr>
      <w:tr w:rsidR="00177B91" w:rsidRPr="00556B9B" w14:paraId="4E5B53EF" w14:textId="77777777" w:rsidTr="00FC4997">
        <w:tc>
          <w:tcPr>
            <w:tcW w:w="2235" w:type="dxa"/>
          </w:tcPr>
          <w:p w14:paraId="3E3B3152" w14:textId="77777777" w:rsidR="00177B91" w:rsidRPr="00556B9B" w:rsidRDefault="00177B91">
            <w:pPr>
              <w:rPr>
                <w:i/>
                <w:iCs/>
                <w:color w:val="000000"/>
              </w:rPr>
            </w:pPr>
            <w:r w:rsidRPr="00556B9B">
              <w:rPr>
                <w:i/>
                <w:iCs/>
                <w:noProof/>
                <w:color w:val="000000"/>
                <w:szCs w:val="22"/>
                <w:lang w:val="hu-HU"/>
              </w:rPr>
              <w:t>Ritka:</w:t>
            </w:r>
          </w:p>
        </w:tc>
        <w:tc>
          <w:tcPr>
            <w:tcW w:w="7087" w:type="dxa"/>
          </w:tcPr>
          <w:p w14:paraId="7FDFF8DE" w14:textId="77777777" w:rsidR="00177B91" w:rsidRPr="00556B9B" w:rsidRDefault="00177B91">
            <w:pPr>
              <w:rPr>
                <w:color w:val="000000"/>
              </w:rPr>
            </w:pPr>
            <w:r w:rsidRPr="00556B9B">
              <w:rPr>
                <w:rFonts w:cs="Times New Roman"/>
                <w:color w:val="000000"/>
                <w:szCs w:val="22"/>
                <w:lang w:val="hu-HU"/>
              </w:rPr>
              <w:t>Haemolyticus anaemia</w:t>
            </w:r>
            <w:r w:rsidR="00686B13" w:rsidRPr="00556B9B">
              <w:rPr>
                <w:rFonts w:cs="Times New Roman"/>
                <w:color w:val="000000"/>
                <w:szCs w:val="22"/>
                <w:lang w:val="hu-HU"/>
              </w:rPr>
              <w:t xml:space="preserve">, </w:t>
            </w:r>
            <w:r w:rsidR="00686B13" w:rsidRPr="00556B9B">
              <w:rPr>
                <w:color w:val="000000"/>
                <w:szCs w:val="22"/>
              </w:rPr>
              <w:t>thromboticus microangiopathia</w:t>
            </w:r>
          </w:p>
        </w:tc>
      </w:tr>
      <w:tr w:rsidR="00177B91" w:rsidRPr="00556B9B" w14:paraId="15082D0D" w14:textId="77777777" w:rsidTr="00FC4997">
        <w:tc>
          <w:tcPr>
            <w:tcW w:w="9322" w:type="dxa"/>
            <w:gridSpan w:val="2"/>
          </w:tcPr>
          <w:p w14:paraId="20AFD842" w14:textId="77777777" w:rsidR="00177B91" w:rsidRPr="00556B9B" w:rsidRDefault="00177B91" w:rsidP="005C6E7A">
            <w:pPr>
              <w:keepNext/>
              <w:suppressAutoHyphens w:val="0"/>
              <w:rPr>
                <w:color w:val="000000"/>
                <w:szCs w:val="22"/>
              </w:rPr>
            </w:pPr>
            <w:r w:rsidRPr="00556B9B">
              <w:rPr>
                <w:b/>
                <w:color w:val="000000"/>
                <w:szCs w:val="22"/>
                <w:lang w:val="hu-HU"/>
              </w:rPr>
              <w:t>Anyagcsere- és táplálkozási betegségek és tünetek</w:t>
            </w:r>
          </w:p>
        </w:tc>
      </w:tr>
      <w:tr w:rsidR="00177B91" w:rsidRPr="00556B9B" w14:paraId="4EC3E8F5" w14:textId="77777777" w:rsidTr="00FC4997">
        <w:tc>
          <w:tcPr>
            <w:tcW w:w="2235" w:type="dxa"/>
          </w:tcPr>
          <w:p w14:paraId="75B513BA" w14:textId="77777777" w:rsidR="00177B91" w:rsidRPr="00556B9B" w:rsidRDefault="00177B91" w:rsidP="005C6E7A">
            <w:pPr>
              <w:keepNext/>
              <w:suppressAutoHyphens w:val="0"/>
              <w:rPr>
                <w:i/>
                <w:iCs/>
                <w:color w:val="000000"/>
                <w:szCs w:val="22"/>
              </w:rPr>
            </w:pPr>
            <w:r w:rsidRPr="00556B9B">
              <w:rPr>
                <w:rFonts w:cs="Times New Roman"/>
                <w:i/>
                <w:iCs/>
                <w:noProof/>
                <w:color w:val="000000"/>
                <w:szCs w:val="22"/>
                <w:lang w:val="hu-HU"/>
              </w:rPr>
              <w:t>Gyakori:</w:t>
            </w:r>
          </w:p>
        </w:tc>
        <w:tc>
          <w:tcPr>
            <w:tcW w:w="7087" w:type="dxa"/>
          </w:tcPr>
          <w:p w14:paraId="3EC2B5C4" w14:textId="77777777" w:rsidR="00177B91" w:rsidRPr="00556B9B" w:rsidRDefault="00177B91" w:rsidP="005C6E7A">
            <w:pPr>
              <w:keepNext/>
              <w:suppressAutoHyphens w:val="0"/>
              <w:rPr>
                <w:color w:val="000000"/>
                <w:szCs w:val="22"/>
              </w:rPr>
            </w:pPr>
            <w:r w:rsidRPr="00556B9B">
              <w:rPr>
                <w:color w:val="000000"/>
                <w:szCs w:val="22"/>
              </w:rPr>
              <w:t>Anorexia</w:t>
            </w:r>
          </w:p>
        </w:tc>
      </w:tr>
      <w:tr w:rsidR="00177B91" w:rsidRPr="00556B9B" w14:paraId="26734796" w14:textId="77777777" w:rsidTr="00FC4997">
        <w:tc>
          <w:tcPr>
            <w:tcW w:w="2235" w:type="dxa"/>
          </w:tcPr>
          <w:p w14:paraId="4CCCE727" w14:textId="77777777" w:rsidR="00177B91" w:rsidRPr="00556B9B" w:rsidRDefault="00177B91" w:rsidP="005C6E7A">
            <w:pPr>
              <w:keepNext/>
              <w:suppressAutoHyphens w:val="0"/>
              <w:rPr>
                <w:i/>
                <w:iCs/>
                <w:color w:val="000000"/>
                <w:szCs w:val="22"/>
              </w:rPr>
            </w:pPr>
            <w:r w:rsidRPr="00556B9B">
              <w:rPr>
                <w:i/>
                <w:iCs/>
                <w:noProof/>
                <w:color w:val="000000"/>
                <w:szCs w:val="22"/>
                <w:lang w:val="hu-HU"/>
              </w:rPr>
              <w:t>Nem gyakori:</w:t>
            </w:r>
          </w:p>
        </w:tc>
        <w:tc>
          <w:tcPr>
            <w:tcW w:w="7087" w:type="dxa"/>
          </w:tcPr>
          <w:p w14:paraId="6BCCAF70" w14:textId="77777777" w:rsidR="00177B91" w:rsidRPr="00556B9B" w:rsidRDefault="00177B91" w:rsidP="005C6E7A">
            <w:pPr>
              <w:keepNext/>
              <w:suppressAutoHyphens w:val="0"/>
              <w:rPr>
                <w:color w:val="000000"/>
                <w:szCs w:val="22"/>
              </w:rPr>
            </w:pPr>
            <w:r w:rsidRPr="00556B9B">
              <w:rPr>
                <w:rFonts w:cs="Times New Roman"/>
                <w:color w:val="000000"/>
                <w:szCs w:val="22"/>
                <w:lang w:val="hu-HU"/>
              </w:rPr>
              <w:t>Hypokalaemia, étvágynövekedés, hypophosphataemia, étvágycsökkenés, dehydratio, köszvény, hyperuricaemia, hypercalcaemia, hyperglykaemia, hyponatraemia</w:t>
            </w:r>
          </w:p>
        </w:tc>
      </w:tr>
      <w:tr w:rsidR="00177B91" w:rsidRPr="00556B9B" w14:paraId="255B401B" w14:textId="77777777" w:rsidTr="00FC4997">
        <w:tc>
          <w:tcPr>
            <w:tcW w:w="2235" w:type="dxa"/>
          </w:tcPr>
          <w:p w14:paraId="2F8E0E8C" w14:textId="77777777" w:rsidR="00177B91" w:rsidRPr="00556B9B" w:rsidRDefault="00177B91" w:rsidP="00F66115">
            <w:pPr>
              <w:rPr>
                <w:i/>
                <w:iCs/>
                <w:color w:val="000000"/>
                <w:szCs w:val="22"/>
              </w:rPr>
            </w:pPr>
            <w:r w:rsidRPr="00556B9B">
              <w:rPr>
                <w:i/>
                <w:iCs/>
                <w:noProof/>
                <w:color w:val="000000"/>
                <w:szCs w:val="22"/>
                <w:lang w:val="hu-HU"/>
              </w:rPr>
              <w:t>Ritka:</w:t>
            </w:r>
          </w:p>
        </w:tc>
        <w:tc>
          <w:tcPr>
            <w:tcW w:w="7087" w:type="dxa"/>
          </w:tcPr>
          <w:p w14:paraId="77D0EE84" w14:textId="77777777" w:rsidR="00177B91" w:rsidRPr="00556B9B" w:rsidRDefault="00177B91" w:rsidP="00F66115">
            <w:pPr>
              <w:rPr>
                <w:color w:val="000000"/>
                <w:szCs w:val="22"/>
                <w:lang w:val="pt-PT"/>
              </w:rPr>
            </w:pPr>
            <w:r w:rsidRPr="00556B9B">
              <w:rPr>
                <w:rFonts w:cs="Times New Roman"/>
                <w:color w:val="000000"/>
                <w:szCs w:val="22"/>
                <w:lang w:val="hu-HU"/>
              </w:rPr>
              <w:t>Hyperkalaemia, hypomagnesaemia</w:t>
            </w:r>
          </w:p>
        </w:tc>
      </w:tr>
      <w:tr w:rsidR="00177B91" w:rsidRPr="00556B9B" w14:paraId="625D834E" w14:textId="77777777" w:rsidTr="00FC4997">
        <w:tc>
          <w:tcPr>
            <w:tcW w:w="9322" w:type="dxa"/>
            <w:gridSpan w:val="2"/>
          </w:tcPr>
          <w:p w14:paraId="38B712EB" w14:textId="77777777" w:rsidR="00177B91" w:rsidRPr="00556B9B" w:rsidRDefault="00177B91" w:rsidP="00F66115">
            <w:pPr>
              <w:rPr>
                <w:color w:val="000000"/>
                <w:szCs w:val="22"/>
              </w:rPr>
            </w:pPr>
            <w:r w:rsidRPr="00556B9B">
              <w:rPr>
                <w:b/>
                <w:color w:val="000000"/>
                <w:szCs w:val="22"/>
                <w:lang w:val="hu-HU"/>
              </w:rPr>
              <w:t>Pszichiátriai kórképek</w:t>
            </w:r>
          </w:p>
        </w:tc>
      </w:tr>
      <w:tr w:rsidR="00177B91" w:rsidRPr="00556B9B" w14:paraId="3CAD82F9" w14:textId="77777777" w:rsidTr="00FC4997">
        <w:tc>
          <w:tcPr>
            <w:tcW w:w="2235" w:type="dxa"/>
          </w:tcPr>
          <w:p w14:paraId="3883418B" w14:textId="77777777" w:rsidR="00177B91" w:rsidRPr="00556B9B" w:rsidRDefault="00177B91" w:rsidP="005C6E7A">
            <w:pPr>
              <w:keepNext/>
              <w:suppressAutoHyphens w:val="0"/>
              <w:rPr>
                <w:i/>
                <w:iCs/>
                <w:color w:val="000000"/>
                <w:szCs w:val="22"/>
              </w:rPr>
            </w:pPr>
            <w:r w:rsidRPr="00556B9B">
              <w:rPr>
                <w:rFonts w:cs="Times New Roman"/>
                <w:i/>
                <w:iCs/>
                <w:noProof/>
                <w:color w:val="000000"/>
                <w:szCs w:val="22"/>
                <w:lang w:val="hu-HU"/>
              </w:rPr>
              <w:t>Gyakori:</w:t>
            </w:r>
          </w:p>
        </w:tc>
        <w:tc>
          <w:tcPr>
            <w:tcW w:w="7087" w:type="dxa"/>
          </w:tcPr>
          <w:p w14:paraId="1E765527" w14:textId="77777777" w:rsidR="00177B91" w:rsidRPr="00556B9B" w:rsidRDefault="00177B91" w:rsidP="005C6E7A">
            <w:pPr>
              <w:keepNext/>
              <w:suppressAutoHyphens w:val="0"/>
              <w:rPr>
                <w:color w:val="000000"/>
                <w:szCs w:val="22"/>
              </w:rPr>
            </w:pPr>
            <w:r w:rsidRPr="00556B9B">
              <w:rPr>
                <w:color w:val="000000"/>
                <w:szCs w:val="22"/>
              </w:rPr>
              <w:t>Insomnia</w:t>
            </w:r>
          </w:p>
        </w:tc>
      </w:tr>
      <w:tr w:rsidR="00177B91" w:rsidRPr="00556B9B" w14:paraId="21459F40" w14:textId="77777777" w:rsidTr="00FC4997">
        <w:tc>
          <w:tcPr>
            <w:tcW w:w="2235" w:type="dxa"/>
          </w:tcPr>
          <w:p w14:paraId="67866112" w14:textId="77777777" w:rsidR="00177B91" w:rsidRPr="00556B9B" w:rsidRDefault="00177B91" w:rsidP="005C6E7A">
            <w:pPr>
              <w:keepNext/>
              <w:suppressAutoHyphens w:val="0"/>
              <w:rPr>
                <w:i/>
                <w:iCs/>
                <w:color w:val="000000"/>
                <w:szCs w:val="22"/>
              </w:rPr>
            </w:pPr>
            <w:r w:rsidRPr="00556B9B">
              <w:rPr>
                <w:i/>
                <w:iCs/>
                <w:noProof/>
                <w:color w:val="000000"/>
                <w:szCs w:val="22"/>
                <w:lang w:val="hu-HU"/>
              </w:rPr>
              <w:t>Nem gyakori:</w:t>
            </w:r>
          </w:p>
        </w:tc>
        <w:tc>
          <w:tcPr>
            <w:tcW w:w="7087" w:type="dxa"/>
          </w:tcPr>
          <w:p w14:paraId="2946EED8" w14:textId="77777777" w:rsidR="00177B91" w:rsidRPr="00556B9B" w:rsidRDefault="00177B91" w:rsidP="005C6E7A">
            <w:pPr>
              <w:keepNext/>
              <w:suppressAutoHyphens w:val="0"/>
              <w:rPr>
                <w:color w:val="000000"/>
                <w:szCs w:val="22"/>
              </w:rPr>
            </w:pPr>
            <w:r w:rsidRPr="00556B9B">
              <w:rPr>
                <w:rFonts w:cs="Times New Roman"/>
                <w:color w:val="000000"/>
                <w:szCs w:val="22"/>
                <w:lang w:val="hu-HU"/>
              </w:rPr>
              <w:t>Depresszió, csökkent libido, szorongás</w:t>
            </w:r>
          </w:p>
        </w:tc>
      </w:tr>
      <w:tr w:rsidR="00177B91" w:rsidRPr="00556B9B" w14:paraId="34E96263" w14:textId="77777777" w:rsidTr="00FC4997">
        <w:tc>
          <w:tcPr>
            <w:tcW w:w="2235" w:type="dxa"/>
          </w:tcPr>
          <w:p w14:paraId="06FB185F" w14:textId="77777777" w:rsidR="00177B91" w:rsidRPr="00556B9B" w:rsidRDefault="00177B91" w:rsidP="00F66115">
            <w:pPr>
              <w:rPr>
                <w:i/>
                <w:iCs/>
                <w:color w:val="000000"/>
                <w:szCs w:val="22"/>
              </w:rPr>
            </w:pPr>
            <w:r w:rsidRPr="00556B9B">
              <w:rPr>
                <w:i/>
                <w:iCs/>
                <w:noProof/>
                <w:color w:val="000000"/>
                <w:szCs w:val="22"/>
                <w:lang w:val="hu-HU"/>
              </w:rPr>
              <w:t>Ritka:</w:t>
            </w:r>
          </w:p>
        </w:tc>
        <w:tc>
          <w:tcPr>
            <w:tcW w:w="7087" w:type="dxa"/>
          </w:tcPr>
          <w:p w14:paraId="69E297E0" w14:textId="77777777" w:rsidR="00177B91" w:rsidRPr="00556B9B" w:rsidRDefault="00177B91" w:rsidP="00F66115">
            <w:pPr>
              <w:rPr>
                <w:color w:val="000000"/>
                <w:szCs w:val="22"/>
              </w:rPr>
            </w:pPr>
            <w:r w:rsidRPr="00556B9B">
              <w:rPr>
                <w:rFonts w:cs="Times New Roman"/>
                <w:color w:val="000000"/>
                <w:szCs w:val="22"/>
                <w:lang w:val="hu-HU"/>
              </w:rPr>
              <w:t>Zavart állapot</w:t>
            </w:r>
          </w:p>
        </w:tc>
      </w:tr>
      <w:tr w:rsidR="00177B91" w:rsidRPr="00556B9B" w14:paraId="0747CFF3" w14:textId="77777777" w:rsidTr="00FC4997">
        <w:tc>
          <w:tcPr>
            <w:tcW w:w="9322" w:type="dxa"/>
            <w:gridSpan w:val="2"/>
          </w:tcPr>
          <w:p w14:paraId="78704D06" w14:textId="77777777" w:rsidR="00177B91" w:rsidRPr="00556B9B" w:rsidRDefault="00177B91">
            <w:pPr>
              <w:rPr>
                <w:b/>
                <w:color w:val="000000"/>
              </w:rPr>
            </w:pPr>
            <w:r w:rsidRPr="00556B9B">
              <w:rPr>
                <w:rFonts w:cs="Times New Roman"/>
                <w:b/>
                <w:color w:val="000000"/>
                <w:szCs w:val="22"/>
                <w:lang w:val="hu-HU"/>
              </w:rPr>
              <w:t>Idegrendszeri betegségek és tünetek</w:t>
            </w:r>
          </w:p>
        </w:tc>
      </w:tr>
      <w:tr w:rsidR="00177B91" w:rsidRPr="00556B9B" w14:paraId="1DBD08A3" w14:textId="77777777" w:rsidTr="00FC4997">
        <w:tc>
          <w:tcPr>
            <w:tcW w:w="2235" w:type="dxa"/>
          </w:tcPr>
          <w:p w14:paraId="69015EFD" w14:textId="77777777" w:rsidR="00177B91" w:rsidRPr="00556B9B" w:rsidRDefault="00177B91" w:rsidP="005C6E7A">
            <w:pPr>
              <w:keepNext/>
              <w:suppressAutoHyphens w:val="0"/>
              <w:rPr>
                <w:i/>
                <w:iCs/>
                <w:color w:val="000000"/>
              </w:rPr>
            </w:pPr>
            <w:r w:rsidRPr="00556B9B">
              <w:rPr>
                <w:rFonts w:cs="Times New Roman"/>
                <w:i/>
                <w:iCs/>
                <w:noProof/>
                <w:color w:val="000000"/>
                <w:szCs w:val="22"/>
                <w:lang w:val="hu-HU"/>
              </w:rPr>
              <w:t>Nagyon gyakori:</w:t>
            </w:r>
          </w:p>
        </w:tc>
        <w:tc>
          <w:tcPr>
            <w:tcW w:w="7087" w:type="dxa"/>
          </w:tcPr>
          <w:p w14:paraId="74A5F536" w14:textId="77777777" w:rsidR="00177B91" w:rsidRPr="00556B9B" w:rsidRDefault="00177B91" w:rsidP="005C6E7A">
            <w:pPr>
              <w:keepNext/>
              <w:suppressAutoHyphens w:val="0"/>
              <w:rPr>
                <w:color w:val="000000"/>
              </w:rPr>
            </w:pPr>
            <w:r w:rsidRPr="00556B9B">
              <w:rPr>
                <w:rFonts w:cs="Times New Roman"/>
                <w:color w:val="000000"/>
                <w:szCs w:val="22"/>
                <w:lang w:val="hu-HU"/>
              </w:rPr>
              <w:t>Fejfájás</w:t>
            </w:r>
            <w:r w:rsidRPr="00556B9B">
              <w:rPr>
                <w:rFonts w:cs="Times New Roman"/>
                <w:color w:val="000000"/>
                <w:szCs w:val="22"/>
                <w:vertAlign w:val="superscript"/>
                <w:lang w:val="hu-HU"/>
              </w:rPr>
              <w:t>2</w:t>
            </w:r>
          </w:p>
        </w:tc>
      </w:tr>
      <w:tr w:rsidR="00177B91" w:rsidRPr="00556B9B" w14:paraId="193B85F3" w14:textId="77777777" w:rsidTr="00FC4997">
        <w:tc>
          <w:tcPr>
            <w:tcW w:w="2235" w:type="dxa"/>
          </w:tcPr>
          <w:p w14:paraId="78011DF8" w14:textId="77777777" w:rsidR="00177B91" w:rsidRPr="00556B9B" w:rsidRDefault="00177B91" w:rsidP="005C6E7A">
            <w:pPr>
              <w:keepNext/>
              <w:suppressAutoHyphens w:val="0"/>
              <w:rPr>
                <w:i/>
                <w:iCs/>
                <w:color w:val="000000"/>
              </w:rPr>
            </w:pPr>
            <w:r w:rsidRPr="00556B9B">
              <w:rPr>
                <w:rFonts w:cs="Times New Roman"/>
                <w:i/>
                <w:iCs/>
                <w:noProof/>
                <w:color w:val="000000"/>
                <w:szCs w:val="22"/>
                <w:lang w:val="hu-HU"/>
              </w:rPr>
              <w:t>Gyakori:</w:t>
            </w:r>
          </w:p>
        </w:tc>
        <w:tc>
          <w:tcPr>
            <w:tcW w:w="7087" w:type="dxa"/>
          </w:tcPr>
          <w:p w14:paraId="5DE79B3E" w14:textId="77777777" w:rsidR="00177B91" w:rsidRPr="00556B9B" w:rsidRDefault="00177B91" w:rsidP="005C6E7A">
            <w:pPr>
              <w:keepNext/>
              <w:suppressAutoHyphens w:val="0"/>
              <w:rPr>
                <w:color w:val="000000"/>
                <w:szCs w:val="22"/>
              </w:rPr>
            </w:pPr>
            <w:r w:rsidRPr="00556B9B">
              <w:rPr>
                <w:rFonts w:cs="Times New Roman"/>
                <w:color w:val="000000"/>
                <w:szCs w:val="22"/>
                <w:lang w:val="hu-HU"/>
              </w:rPr>
              <w:t>Szédülés, paraesthesia, az ízérzés zavarai, hypaesthesia</w:t>
            </w:r>
          </w:p>
        </w:tc>
      </w:tr>
      <w:tr w:rsidR="00177B91" w:rsidRPr="00556B9B" w14:paraId="6A0BD6B3" w14:textId="77777777" w:rsidTr="00FC4997">
        <w:tc>
          <w:tcPr>
            <w:tcW w:w="2235" w:type="dxa"/>
          </w:tcPr>
          <w:p w14:paraId="1B8E6863" w14:textId="77777777" w:rsidR="00177B91" w:rsidRPr="00556B9B" w:rsidRDefault="00177B91" w:rsidP="005C6E7A">
            <w:pPr>
              <w:keepNext/>
              <w:suppressAutoHyphens w:val="0"/>
              <w:rPr>
                <w:i/>
                <w:iCs/>
                <w:color w:val="000000"/>
              </w:rPr>
            </w:pPr>
            <w:r w:rsidRPr="00556B9B">
              <w:rPr>
                <w:i/>
                <w:iCs/>
                <w:noProof/>
                <w:color w:val="000000"/>
                <w:szCs w:val="22"/>
                <w:lang w:val="hu-HU"/>
              </w:rPr>
              <w:t>Nem gyakori:</w:t>
            </w:r>
          </w:p>
        </w:tc>
        <w:tc>
          <w:tcPr>
            <w:tcW w:w="7087" w:type="dxa"/>
          </w:tcPr>
          <w:p w14:paraId="41475EC7" w14:textId="77777777" w:rsidR="00177B91" w:rsidRPr="00556B9B" w:rsidRDefault="00177B91" w:rsidP="005C6E7A">
            <w:pPr>
              <w:keepNext/>
              <w:suppressAutoHyphens w:val="0"/>
              <w:rPr>
                <w:color w:val="000000"/>
              </w:rPr>
            </w:pPr>
            <w:r w:rsidRPr="00556B9B">
              <w:rPr>
                <w:rFonts w:cs="Times New Roman"/>
                <w:color w:val="000000"/>
                <w:szCs w:val="22"/>
                <w:lang w:val="hu-HU"/>
              </w:rPr>
              <w:t>Migrén, aluszékonyság, ájulás, peripheriás neuropathia, memóriazavar, ischias, nyugtalan láb szindróma, tremor, agyvérzés</w:t>
            </w:r>
          </w:p>
        </w:tc>
      </w:tr>
      <w:tr w:rsidR="00177B91" w:rsidRPr="00462020" w14:paraId="37C802A2" w14:textId="77777777" w:rsidTr="00FC4997">
        <w:tc>
          <w:tcPr>
            <w:tcW w:w="2235" w:type="dxa"/>
          </w:tcPr>
          <w:p w14:paraId="63388C22" w14:textId="77777777" w:rsidR="00177B91" w:rsidRPr="00556B9B" w:rsidRDefault="00177B91" w:rsidP="005C6E7A">
            <w:pPr>
              <w:keepNext/>
              <w:suppressAutoHyphens w:val="0"/>
              <w:rPr>
                <w:i/>
                <w:iCs/>
                <w:color w:val="000000"/>
              </w:rPr>
            </w:pPr>
            <w:r w:rsidRPr="00556B9B">
              <w:rPr>
                <w:i/>
                <w:iCs/>
                <w:noProof/>
                <w:color w:val="000000"/>
                <w:szCs w:val="22"/>
                <w:lang w:val="hu-HU"/>
              </w:rPr>
              <w:t>Ritka:</w:t>
            </w:r>
          </w:p>
        </w:tc>
        <w:tc>
          <w:tcPr>
            <w:tcW w:w="7087" w:type="dxa"/>
          </w:tcPr>
          <w:p w14:paraId="0B64DEE7" w14:textId="77777777" w:rsidR="00177B91" w:rsidRPr="00FE57F2" w:rsidRDefault="00177B91" w:rsidP="005C6E7A">
            <w:pPr>
              <w:keepNext/>
              <w:suppressAutoHyphens w:val="0"/>
              <w:rPr>
                <w:color w:val="000000"/>
                <w:szCs w:val="22"/>
                <w:lang w:val="es-ES"/>
              </w:rPr>
            </w:pPr>
            <w:r w:rsidRPr="00556B9B">
              <w:rPr>
                <w:rFonts w:cs="Times New Roman"/>
                <w:color w:val="000000"/>
                <w:szCs w:val="22"/>
                <w:lang w:val="hu-HU"/>
              </w:rPr>
              <w:t>A koponyaűri nyomás fokozódása, convulsio, opticus neuritis</w:t>
            </w:r>
          </w:p>
        </w:tc>
      </w:tr>
      <w:tr w:rsidR="00177B91" w:rsidRPr="00556B9B" w14:paraId="3951F6FD" w14:textId="77777777" w:rsidTr="00FC4997">
        <w:tc>
          <w:tcPr>
            <w:tcW w:w="2235" w:type="dxa"/>
          </w:tcPr>
          <w:p w14:paraId="0F19DBF8" w14:textId="77777777" w:rsidR="00177B91" w:rsidRPr="00556B9B" w:rsidRDefault="00177B91">
            <w:pPr>
              <w:rPr>
                <w:i/>
                <w:iCs/>
                <w:noProof/>
                <w:color w:val="000000"/>
                <w:szCs w:val="22"/>
                <w:lang w:val="hu-HU"/>
              </w:rPr>
            </w:pPr>
            <w:r w:rsidRPr="00556B9B">
              <w:rPr>
                <w:i/>
                <w:color w:val="000000"/>
              </w:rPr>
              <w:t>Nem ismert:</w:t>
            </w:r>
          </w:p>
        </w:tc>
        <w:tc>
          <w:tcPr>
            <w:tcW w:w="7087" w:type="dxa"/>
          </w:tcPr>
          <w:p w14:paraId="6E1867C6" w14:textId="77777777" w:rsidR="00177B91" w:rsidRPr="00556B9B" w:rsidRDefault="00177B91">
            <w:pPr>
              <w:rPr>
                <w:rFonts w:cs="Times New Roman"/>
                <w:color w:val="000000"/>
                <w:szCs w:val="22"/>
                <w:lang w:val="hu-HU"/>
              </w:rPr>
            </w:pPr>
            <w:r w:rsidRPr="00556B9B">
              <w:rPr>
                <w:color w:val="000000"/>
              </w:rPr>
              <w:t>Cerebralis oedema*</w:t>
            </w:r>
          </w:p>
        </w:tc>
      </w:tr>
      <w:tr w:rsidR="00177B91" w:rsidRPr="00556B9B" w14:paraId="12C11D38" w14:textId="77777777" w:rsidTr="00FC4997">
        <w:tc>
          <w:tcPr>
            <w:tcW w:w="9322" w:type="dxa"/>
            <w:gridSpan w:val="2"/>
          </w:tcPr>
          <w:p w14:paraId="187D1CA8" w14:textId="77777777" w:rsidR="00177B91" w:rsidRPr="00556B9B" w:rsidRDefault="00177B91" w:rsidP="005C6E7A">
            <w:pPr>
              <w:keepNext/>
              <w:suppressAutoHyphens w:val="0"/>
              <w:rPr>
                <w:color w:val="000000"/>
              </w:rPr>
            </w:pPr>
            <w:r w:rsidRPr="00556B9B">
              <w:rPr>
                <w:rFonts w:cs="Times New Roman"/>
                <w:b/>
                <w:color w:val="000000"/>
                <w:szCs w:val="22"/>
                <w:lang w:val="hu-HU"/>
              </w:rPr>
              <w:t>Szembetegségek és szemészeti tünetek</w:t>
            </w:r>
          </w:p>
        </w:tc>
      </w:tr>
      <w:tr w:rsidR="00177B91" w:rsidRPr="00556B9B" w14:paraId="4C57E75B" w14:textId="77777777" w:rsidTr="00FC4997">
        <w:tc>
          <w:tcPr>
            <w:tcW w:w="2235" w:type="dxa"/>
          </w:tcPr>
          <w:p w14:paraId="158AAC10" w14:textId="77777777" w:rsidR="00177B91" w:rsidRPr="00556B9B" w:rsidRDefault="00177B91" w:rsidP="005C6E7A">
            <w:pPr>
              <w:keepNext/>
              <w:suppressAutoHyphens w:val="0"/>
              <w:rPr>
                <w:i/>
                <w:iCs/>
                <w:color w:val="000000"/>
              </w:rPr>
            </w:pPr>
            <w:r w:rsidRPr="00556B9B">
              <w:rPr>
                <w:rFonts w:cs="Times New Roman"/>
                <w:i/>
                <w:iCs/>
                <w:noProof/>
                <w:color w:val="000000"/>
                <w:szCs w:val="22"/>
                <w:lang w:val="hu-HU"/>
              </w:rPr>
              <w:t>Gyakori:</w:t>
            </w:r>
          </w:p>
        </w:tc>
        <w:tc>
          <w:tcPr>
            <w:tcW w:w="7087" w:type="dxa"/>
          </w:tcPr>
          <w:p w14:paraId="03F79691" w14:textId="77777777" w:rsidR="00177B91" w:rsidRPr="00556B9B" w:rsidRDefault="00177B91" w:rsidP="005C6E7A">
            <w:pPr>
              <w:keepNext/>
              <w:suppressAutoHyphens w:val="0"/>
              <w:rPr>
                <w:color w:val="000000"/>
              </w:rPr>
            </w:pPr>
            <w:r w:rsidRPr="00556B9B">
              <w:rPr>
                <w:rFonts w:cs="Times New Roman"/>
                <w:color w:val="000000"/>
                <w:szCs w:val="22"/>
                <w:lang w:val="hu-HU"/>
              </w:rPr>
              <w:t>Szemhéjödéma, könnyezés, kötőhártya-bevérzés, conjunctivitis, szemszárazság, homályos látás</w:t>
            </w:r>
          </w:p>
        </w:tc>
      </w:tr>
      <w:tr w:rsidR="00177B91" w:rsidRPr="00556B9B" w14:paraId="29744363" w14:textId="77777777" w:rsidTr="00FC4997">
        <w:tc>
          <w:tcPr>
            <w:tcW w:w="2235" w:type="dxa"/>
          </w:tcPr>
          <w:p w14:paraId="63536E1D" w14:textId="77777777" w:rsidR="00177B91" w:rsidRPr="00556B9B" w:rsidRDefault="00177B91" w:rsidP="005C6E7A">
            <w:pPr>
              <w:keepNext/>
              <w:suppressAutoHyphens w:val="0"/>
              <w:rPr>
                <w:i/>
                <w:iCs/>
                <w:color w:val="000000"/>
              </w:rPr>
            </w:pPr>
            <w:r w:rsidRPr="00556B9B">
              <w:rPr>
                <w:i/>
                <w:iCs/>
                <w:noProof/>
                <w:color w:val="000000"/>
                <w:szCs w:val="22"/>
                <w:lang w:val="hu-HU"/>
              </w:rPr>
              <w:t>Nem gyakori:</w:t>
            </w:r>
          </w:p>
        </w:tc>
        <w:tc>
          <w:tcPr>
            <w:tcW w:w="7087" w:type="dxa"/>
          </w:tcPr>
          <w:p w14:paraId="12B4497F" w14:textId="77777777" w:rsidR="00177B91" w:rsidRPr="00556B9B" w:rsidRDefault="00177B91" w:rsidP="005C6E7A">
            <w:pPr>
              <w:keepNext/>
              <w:suppressAutoHyphens w:val="0"/>
              <w:rPr>
                <w:color w:val="000000"/>
              </w:rPr>
            </w:pPr>
            <w:r w:rsidRPr="00556B9B">
              <w:rPr>
                <w:rFonts w:cs="Times New Roman"/>
                <w:color w:val="000000"/>
                <w:szCs w:val="22"/>
                <w:lang w:val="hu-HU"/>
              </w:rPr>
              <w:t>A szem irritációja, a szem fájdalma, orbitaödéma, sclera-bevérzés, retina-bevérzés, blepharitis, maculaödéma</w:t>
            </w:r>
          </w:p>
        </w:tc>
      </w:tr>
      <w:tr w:rsidR="00177B91" w:rsidRPr="00556B9B" w14:paraId="0F5BBE52" w14:textId="77777777" w:rsidTr="00FC4997">
        <w:tc>
          <w:tcPr>
            <w:tcW w:w="2235" w:type="dxa"/>
          </w:tcPr>
          <w:p w14:paraId="6C49F3EB" w14:textId="77777777" w:rsidR="00177B91" w:rsidRPr="00556B9B" w:rsidRDefault="00177B91" w:rsidP="005C6E7A">
            <w:pPr>
              <w:keepNext/>
              <w:suppressAutoHyphens w:val="0"/>
              <w:rPr>
                <w:i/>
                <w:iCs/>
                <w:color w:val="000000"/>
              </w:rPr>
            </w:pPr>
            <w:r w:rsidRPr="00556B9B">
              <w:rPr>
                <w:i/>
                <w:iCs/>
                <w:noProof/>
                <w:color w:val="000000"/>
                <w:szCs w:val="22"/>
                <w:lang w:val="hu-HU"/>
              </w:rPr>
              <w:t>Ritka:</w:t>
            </w:r>
          </w:p>
        </w:tc>
        <w:tc>
          <w:tcPr>
            <w:tcW w:w="7087" w:type="dxa"/>
          </w:tcPr>
          <w:p w14:paraId="6C1F7F18" w14:textId="77777777" w:rsidR="00177B91" w:rsidRPr="00556B9B" w:rsidRDefault="00177B91" w:rsidP="005C6E7A">
            <w:pPr>
              <w:keepNext/>
              <w:suppressAutoHyphens w:val="0"/>
              <w:rPr>
                <w:color w:val="000000"/>
              </w:rPr>
            </w:pPr>
            <w:r w:rsidRPr="00556B9B">
              <w:rPr>
                <w:rFonts w:cs="Times New Roman"/>
                <w:color w:val="000000"/>
                <w:szCs w:val="22"/>
                <w:lang w:val="hu-HU"/>
              </w:rPr>
              <w:t>Cataracta, glaucoma, papillaödéma</w:t>
            </w:r>
          </w:p>
        </w:tc>
      </w:tr>
      <w:tr w:rsidR="00921358" w:rsidRPr="00556B9B" w14:paraId="191CB797" w14:textId="77777777" w:rsidTr="00FC4997">
        <w:tc>
          <w:tcPr>
            <w:tcW w:w="2235" w:type="dxa"/>
          </w:tcPr>
          <w:p w14:paraId="4DA11A58" w14:textId="77777777" w:rsidR="00921358" w:rsidRPr="00556B9B" w:rsidRDefault="00921358">
            <w:pPr>
              <w:rPr>
                <w:i/>
                <w:iCs/>
                <w:noProof/>
                <w:color w:val="000000"/>
                <w:szCs w:val="22"/>
                <w:lang w:val="hu-HU"/>
              </w:rPr>
            </w:pPr>
            <w:r w:rsidRPr="00556B9B">
              <w:rPr>
                <w:i/>
                <w:color w:val="000000"/>
              </w:rPr>
              <w:t>Nem ismert:</w:t>
            </w:r>
          </w:p>
        </w:tc>
        <w:tc>
          <w:tcPr>
            <w:tcW w:w="7087" w:type="dxa"/>
          </w:tcPr>
          <w:p w14:paraId="387C718B" w14:textId="77777777" w:rsidR="00921358" w:rsidRPr="00556B9B" w:rsidRDefault="00921358">
            <w:pPr>
              <w:rPr>
                <w:rFonts w:cs="Times New Roman"/>
                <w:color w:val="000000"/>
                <w:szCs w:val="22"/>
                <w:lang w:val="hu-HU"/>
              </w:rPr>
            </w:pPr>
            <w:r w:rsidRPr="00556B9B">
              <w:rPr>
                <w:color w:val="000000"/>
              </w:rPr>
              <w:t>Üvegtesti vérzés*</w:t>
            </w:r>
          </w:p>
        </w:tc>
      </w:tr>
      <w:tr w:rsidR="00921358" w:rsidRPr="00556B9B" w14:paraId="2D1B72DE" w14:textId="77777777" w:rsidTr="00FC4997">
        <w:tc>
          <w:tcPr>
            <w:tcW w:w="9322" w:type="dxa"/>
            <w:gridSpan w:val="2"/>
          </w:tcPr>
          <w:p w14:paraId="7DBBEA60" w14:textId="77777777" w:rsidR="00921358" w:rsidRPr="00556B9B" w:rsidRDefault="00921358" w:rsidP="005C6E7A">
            <w:pPr>
              <w:keepNext/>
              <w:suppressAutoHyphens w:val="0"/>
              <w:rPr>
                <w:color w:val="000000"/>
              </w:rPr>
            </w:pPr>
            <w:r w:rsidRPr="00556B9B">
              <w:rPr>
                <w:rFonts w:cs="Times New Roman"/>
                <w:b/>
                <w:color w:val="000000"/>
                <w:szCs w:val="22"/>
                <w:lang w:val="hu-HU"/>
              </w:rPr>
              <w:t>A fül és az egyensúly-érzékelő szerv betegségei és tünetei</w:t>
            </w:r>
          </w:p>
        </w:tc>
      </w:tr>
      <w:tr w:rsidR="00921358" w:rsidRPr="00556B9B" w14:paraId="2B49E431" w14:textId="77777777" w:rsidTr="00FC4997">
        <w:tc>
          <w:tcPr>
            <w:tcW w:w="2235" w:type="dxa"/>
          </w:tcPr>
          <w:p w14:paraId="11126A38" w14:textId="77777777" w:rsidR="00921358" w:rsidRPr="00556B9B" w:rsidRDefault="00921358">
            <w:pPr>
              <w:rPr>
                <w:i/>
                <w:iCs/>
                <w:color w:val="000000"/>
              </w:rPr>
            </w:pPr>
            <w:r w:rsidRPr="00556B9B">
              <w:rPr>
                <w:i/>
                <w:iCs/>
                <w:noProof/>
                <w:color w:val="000000"/>
                <w:szCs w:val="22"/>
                <w:lang w:val="hu-HU"/>
              </w:rPr>
              <w:t>Nem gyakori:</w:t>
            </w:r>
          </w:p>
        </w:tc>
        <w:tc>
          <w:tcPr>
            <w:tcW w:w="7087" w:type="dxa"/>
          </w:tcPr>
          <w:p w14:paraId="0A81A955" w14:textId="77777777" w:rsidR="00921358" w:rsidRPr="00556B9B" w:rsidRDefault="00921358">
            <w:pPr>
              <w:rPr>
                <w:color w:val="000000"/>
              </w:rPr>
            </w:pPr>
            <w:r w:rsidRPr="00556B9B">
              <w:rPr>
                <w:rFonts w:cs="Times New Roman"/>
                <w:color w:val="000000"/>
                <w:szCs w:val="22"/>
                <w:lang w:val="hu-HU"/>
              </w:rPr>
              <w:t>Vertigo, tinnitus, halláscsökkenés</w:t>
            </w:r>
          </w:p>
        </w:tc>
      </w:tr>
      <w:tr w:rsidR="00921358" w:rsidRPr="00556B9B" w14:paraId="15AC26AD" w14:textId="77777777" w:rsidTr="00FC4997">
        <w:tc>
          <w:tcPr>
            <w:tcW w:w="9322" w:type="dxa"/>
            <w:gridSpan w:val="2"/>
          </w:tcPr>
          <w:p w14:paraId="4CC3FC20" w14:textId="77777777" w:rsidR="00921358" w:rsidRPr="00556B9B" w:rsidRDefault="00921358" w:rsidP="005C6E7A">
            <w:pPr>
              <w:keepNext/>
              <w:suppressAutoHyphens w:val="0"/>
              <w:rPr>
                <w:color w:val="000000"/>
              </w:rPr>
            </w:pPr>
            <w:r w:rsidRPr="00556B9B">
              <w:rPr>
                <w:rFonts w:cs="Times New Roman"/>
                <w:b/>
                <w:color w:val="000000"/>
                <w:szCs w:val="22"/>
                <w:lang w:val="hu-HU"/>
              </w:rPr>
              <w:t>Szívbetegségek és a szívvel kapcsolatos tünetek</w:t>
            </w:r>
          </w:p>
        </w:tc>
      </w:tr>
      <w:tr w:rsidR="00921358" w:rsidRPr="00556B9B" w14:paraId="47570DBA" w14:textId="77777777" w:rsidTr="00FC4997">
        <w:tc>
          <w:tcPr>
            <w:tcW w:w="2235" w:type="dxa"/>
          </w:tcPr>
          <w:p w14:paraId="08548687" w14:textId="77777777" w:rsidR="00921358" w:rsidRPr="00556B9B" w:rsidRDefault="00921358" w:rsidP="005C6E7A">
            <w:pPr>
              <w:keepNext/>
              <w:suppressAutoHyphens w:val="0"/>
              <w:rPr>
                <w:i/>
                <w:iCs/>
                <w:color w:val="000000"/>
              </w:rPr>
            </w:pPr>
            <w:r w:rsidRPr="00556B9B">
              <w:rPr>
                <w:i/>
                <w:iCs/>
                <w:noProof/>
                <w:color w:val="000000"/>
                <w:szCs w:val="22"/>
                <w:lang w:val="hu-HU"/>
              </w:rPr>
              <w:t>Nem gyakori:</w:t>
            </w:r>
          </w:p>
        </w:tc>
        <w:tc>
          <w:tcPr>
            <w:tcW w:w="7087" w:type="dxa"/>
          </w:tcPr>
          <w:p w14:paraId="2DB9AE0E" w14:textId="77777777" w:rsidR="00921358" w:rsidRPr="00556B9B" w:rsidRDefault="00921358" w:rsidP="005C6E7A">
            <w:pPr>
              <w:keepNext/>
              <w:suppressAutoHyphens w:val="0"/>
              <w:rPr>
                <w:color w:val="000000"/>
              </w:rPr>
            </w:pPr>
            <w:r w:rsidRPr="00556B9B">
              <w:rPr>
                <w:rFonts w:cs="Times New Roman"/>
                <w:color w:val="000000"/>
                <w:szCs w:val="22"/>
                <w:lang w:val="hu-HU"/>
              </w:rPr>
              <w:t>Palpitatio, tachycardia, pangásos szívelégtelenség</w:t>
            </w:r>
            <w:r w:rsidRPr="00556B9B">
              <w:rPr>
                <w:rFonts w:cs="Times New Roman"/>
                <w:color w:val="000000"/>
                <w:szCs w:val="22"/>
                <w:vertAlign w:val="superscript"/>
                <w:lang w:val="hu-HU"/>
              </w:rPr>
              <w:t>3</w:t>
            </w:r>
            <w:r w:rsidRPr="00556B9B">
              <w:rPr>
                <w:rFonts w:cs="Times New Roman"/>
                <w:color w:val="000000"/>
                <w:szCs w:val="22"/>
                <w:lang w:val="hu-HU"/>
              </w:rPr>
              <w:t>, tüdőödéma</w:t>
            </w:r>
          </w:p>
        </w:tc>
      </w:tr>
      <w:tr w:rsidR="00921358" w:rsidRPr="00556B9B" w14:paraId="7CFB76C5" w14:textId="77777777" w:rsidTr="00FC4997">
        <w:tc>
          <w:tcPr>
            <w:tcW w:w="2235" w:type="dxa"/>
          </w:tcPr>
          <w:p w14:paraId="71B66CB6" w14:textId="77777777" w:rsidR="00921358" w:rsidRPr="00556B9B" w:rsidRDefault="00921358" w:rsidP="005C6E7A">
            <w:pPr>
              <w:keepNext/>
              <w:suppressAutoHyphens w:val="0"/>
              <w:rPr>
                <w:i/>
                <w:iCs/>
                <w:color w:val="000000"/>
              </w:rPr>
            </w:pPr>
            <w:r w:rsidRPr="00556B9B">
              <w:rPr>
                <w:i/>
                <w:iCs/>
                <w:noProof/>
                <w:color w:val="000000"/>
                <w:szCs w:val="22"/>
                <w:lang w:val="hu-HU"/>
              </w:rPr>
              <w:t>Ritka:</w:t>
            </w:r>
          </w:p>
        </w:tc>
        <w:tc>
          <w:tcPr>
            <w:tcW w:w="7087" w:type="dxa"/>
          </w:tcPr>
          <w:p w14:paraId="7E7581A4" w14:textId="77777777" w:rsidR="00921358" w:rsidRPr="00556B9B" w:rsidRDefault="00921358" w:rsidP="005C6E7A">
            <w:pPr>
              <w:keepNext/>
              <w:suppressAutoHyphens w:val="0"/>
              <w:rPr>
                <w:color w:val="000000"/>
              </w:rPr>
            </w:pPr>
            <w:r w:rsidRPr="00556B9B">
              <w:rPr>
                <w:rFonts w:cs="Times New Roman"/>
                <w:color w:val="000000"/>
                <w:szCs w:val="22"/>
                <w:lang w:val="hu-HU"/>
              </w:rPr>
              <w:t>Arrhythmia, pitvarfibrilláció, szívmegállás, szívinfarktus, angina pectoris, pericardialis folyadékgyülem</w:t>
            </w:r>
          </w:p>
        </w:tc>
      </w:tr>
      <w:tr w:rsidR="00921358" w:rsidRPr="00556B9B" w14:paraId="022D097E" w14:textId="77777777" w:rsidTr="00FC4997">
        <w:tc>
          <w:tcPr>
            <w:tcW w:w="2235" w:type="dxa"/>
          </w:tcPr>
          <w:p w14:paraId="5608700E" w14:textId="77777777" w:rsidR="00921358" w:rsidRPr="00556B9B" w:rsidRDefault="00921358" w:rsidP="00781400">
            <w:pPr>
              <w:rPr>
                <w:i/>
                <w:iCs/>
                <w:noProof/>
                <w:color w:val="000000"/>
                <w:szCs w:val="22"/>
                <w:lang w:val="hu-HU"/>
              </w:rPr>
            </w:pPr>
            <w:r w:rsidRPr="00556B9B">
              <w:rPr>
                <w:i/>
                <w:color w:val="000000"/>
              </w:rPr>
              <w:t>Nem ismert:</w:t>
            </w:r>
          </w:p>
        </w:tc>
        <w:tc>
          <w:tcPr>
            <w:tcW w:w="7087" w:type="dxa"/>
          </w:tcPr>
          <w:p w14:paraId="1CBFB91B" w14:textId="77777777" w:rsidR="00921358" w:rsidRPr="00556B9B" w:rsidRDefault="00921358" w:rsidP="00781400">
            <w:pPr>
              <w:rPr>
                <w:rFonts w:cs="Times New Roman"/>
                <w:color w:val="000000"/>
                <w:szCs w:val="22"/>
                <w:lang w:val="hu-HU"/>
              </w:rPr>
            </w:pPr>
            <w:r w:rsidRPr="00556B9B">
              <w:rPr>
                <w:color w:val="000000"/>
              </w:rPr>
              <w:t>Pericarditis*, szívtamponád*</w:t>
            </w:r>
          </w:p>
        </w:tc>
      </w:tr>
      <w:tr w:rsidR="00921358" w:rsidRPr="00556B9B" w14:paraId="52C84E40" w14:textId="77777777" w:rsidTr="00FC4997">
        <w:tc>
          <w:tcPr>
            <w:tcW w:w="9322" w:type="dxa"/>
            <w:gridSpan w:val="2"/>
          </w:tcPr>
          <w:p w14:paraId="14D1E198" w14:textId="77777777" w:rsidR="00921358" w:rsidRPr="00556B9B" w:rsidRDefault="00921358" w:rsidP="005C6E7A">
            <w:pPr>
              <w:keepNext/>
              <w:rPr>
                <w:color w:val="000000"/>
                <w:szCs w:val="22"/>
              </w:rPr>
            </w:pPr>
            <w:r w:rsidRPr="00556B9B">
              <w:rPr>
                <w:b/>
                <w:color w:val="000000"/>
                <w:szCs w:val="22"/>
                <w:lang w:val="hu-HU"/>
              </w:rPr>
              <w:t>Érbetegségek és tünetek</w:t>
            </w:r>
            <w:r w:rsidRPr="00556B9B">
              <w:rPr>
                <w:rFonts w:ascii="Times New Roman Bold" w:hAnsi="Times New Roman Bold"/>
                <w:b/>
                <w:color w:val="000000"/>
                <w:szCs w:val="22"/>
                <w:vertAlign w:val="superscript"/>
                <w:lang w:val="hu-HU"/>
              </w:rPr>
              <w:t>4</w:t>
            </w:r>
          </w:p>
        </w:tc>
      </w:tr>
      <w:tr w:rsidR="00921358" w:rsidRPr="00556B9B" w14:paraId="3E7AAB8B" w14:textId="77777777" w:rsidTr="00FC4997">
        <w:tc>
          <w:tcPr>
            <w:tcW w:w="2235" w:type="dxa"/>
          </w:tcPr>
          <w:p w14:paraId="696EC969" w14:textId="77777777" w:rsidR="00921358" w:rsidRPr="00556B9B" w:rsidRDefault="00921358" w:rsidP="005C6E7A">
            <w:pPr>
              <w:keepNext/>
              <w:rPr>
                <w:i/>
                <w:iCs/>
                <w:color w:val="000000"/>
                <w:szCs w:val="22"/>
              </w:rPr>
            </w:pPr>
            <w:r w:rsidRPr="00556B9B">
              <w:rPr>
                <w:rFonts w:cs="Times New Roman"/>
                <w:i/>
                <w:iCs/>
                <w:noProof/>
                <w:color w:val="000000"/>
                <w:szCs w:val="22"/>
                <w:lang w:val="hu-HU"/>
              </w:rPr>
              <w:t>Gyakori:</w:t>
            </w:r>
          </w:p>
        </w:tc>
        <w:tc>
          <w:tcPr>
            <w:tcW w:w="7087" w:type="dxa"/>
          </w:tcPr>
          <w:p w14:paraId="5A31AB04" w14:textId="77777777" w:rsidR="00921358" w:rsidRPr="00556B9B" w:rsidRDefault="00921358" w:rsidP="005C6E7A">
            <w:pPr>
              <w:keepNext/>
              <w:rPr>
                <w:color w:val="000000"/>
                <w:szCs w:val="22"/>
              </w:rPr>
            </w:pPr>
            <w:r w:rsidRPr="00556B9B">
              <w:rPr>
                <w:rFonts w:cs="Times New Roman"/>
                <w:color w:val="000000"/>
                <w:szCs w:val="22"/>
                <w:lang w:val="hu-HU"/>
              </w:rPr>
              <w:t>Kipirulás, vérzés</w:t>
            </w:r>
          </w:p>
        </w:tc>
      </w:tr>
      <w:tr w:rsidR="00921358" w:rsidRPr="00556B9B" w14:paraId="40234366" w14:textId="77777777" w:rsidTr="00FC4997">
        <w:tc>
          <w:tcPr>
            <w:tcW w:w="2235" w:type="dxa"/>
          </w:tcPr>
          <w:p w14:paraId="0313CD57" w14:textId="77777777" w:rsidR="00921358" w:rsidRPr="00556B9B" w:rsidDel="00655175" w:rsidRDefault="00921358" w:rsidP="005C6E7A">
            <w:pPr>
              <w:keepNext/>
              <w:rPr>
                <w:i/>
                <w:iCs/>
                <w:color w:val="000000"/>
                <w:szCs w:val="22"/>
                <w:u w:val="single"/>
              </w:rPr>
            </w:pPr>
            <w:r w:rsidRPr="00556B9B">
              <w:rPr>
                <w:i/>
                <w:iCs/>
                <w:noProof/>
                <w:color w:val="000000"/>
                <w:szCs w:val="22"/>
                <w:lang w:val="hu-HU"/>
              </w:rPr>
              <w:t>Nem gyakori:</w:t>
            </w:r>
          </w:p>
        </w:tc>
        <w:tc>
          <w:tcPr>
            <w:tcW w:w="7087" w:type="dxa"/>
          </w:tcPr>
          <w:p w14:paraId="29B92DEA" w14:textId="77777777" w:rsidR="00921358" w:rsidRPr="00556B9B" w:rsidDel="00655175" w:rsidRDefault="00921358" w:rsidP="005C6E7A">
            <w:pPr>
              <w:keepNext/>
              <w:rPr>
                <w:color w:val="000000"/>
                <w:szCs w:val="22"/>
              </w:rPr>
            </w:pPr>
            <w:r w:rsidRPr="00556B9B">
              <w:rPr>
                <w:rFonts w:cs="Times New Roman"/>
                <w:color w:val="000000"/>
                <w:szCs w:val="22"/>
                <w:lang w:val="hu-HU"/>
              </w:rPr>
              <w:t xml:space="preserve">Hypertonia, haematoma, </w:t>
            </w:r>
            <w:r w:rsidRPr="00556B9B">
              <w:rPr>
                <w:color w:val="000000"/>
                <w:lang w:val="hu-HU" w:eastAsia="hu-HU"/>
              </w:rPr>
              <w:t xml:space="preserve">subduralis haematoma, </w:t>
            </w:r>
            <w:r w:rsidRPr="00556B9B">
              <w:rPr>
                <w:rFonts w:cs="Times New Roman"/>
                <w:color w:val="000000"/>
                <w:szCs w:val="22"/>
                <w:lang w:val="hu-HU"/>
              </w:rPr>
              <w:t>végtaghidegség, hypotonia, Raynaud-jelenség</w:t>
            </w:r>
          </w:p>
        </w:tc>
      </w:tr>
      <w:tr w:rsidR="00135313" w:rsidRPr="00556B9B" w14:paraId="6661320E" w14:textId="77777777" w:rsidTr="00FC4997">
        <w:tc>
          <w:tcPr>
            <w:tcW w:w="2235" w:type="dxa"/>
          </w:tcPr>
          <w:p w14:paraId="23DD8549" w14:textId="77777777" w:rsidR="00135313" w:rsidRPr="00556B9B" w:rsidRDefault="00135313" w:rsidP="00F66115">
            <w:pPr>
              <w:rPr>
                <w:i/>
                <w:iCs/>
                <w:noProof/>
                <w:color w:val="000000"/>
                <w:szCs w:val="22"/>
                <w:lang w:val="hu-HU"/>
              </w:rPr>
            </w:pPr>
            <w:r w:rsidRPr="00556B9B">
              <w:rPr>
                <w:i/>
                <w:color w:val="000000"/>
              </w:rPr>
              <w:t>Nem ismert:</w:t>
            </w:r>
          </w:p>
        </w:tc>
        <w:tc>
          <w:tcPr>
            <w:tcW w:w="7087" w:type="dxa"/>
          </w:tcPr>
          <w:p w14:paraId="044F0436" w14:textId="77777777" w:rsidR="00135313" w:rsidRPr="00556B9B" w:rsidRDefault="00135313" w:rsidP="00F66115">
            <w:pPr>
              <w:rPr>
                <w:rFonts w:cs="Times New Roman"/>
                <w:color w:val="000000"/>
                <w:szCs w:val="22"/>
                <w:lang w:val="hu-HU"/>
              </w:rPr>
            </w:pPr>
            <w:r w:rsidRPr="00556B9B">
              <w:rPr>
                <w:color w:val="000000"/>
              </w:rPr>
              <w:t>Thrombosis/embolia*</w:t>
            </w:r>
          </w:p>
        </w:tc>
      </w:tr>
      <w:tr w:rsidR="00921358" w:rsidRPr="00556B9B" w14:paraId="1ACFD5BF" w14:textId="77777777" w:rsidTr="00FC4997">
        <w:tc>
          <w:tcPr>
            <w:tcW w:w="9322" w:type="dxa"/>
            <w:gridSpan w:val="2"/>
          </w:tcPr>
          <w:p w14:paraId="39CA23E5" w14:textId="77777777" w:rsidR="00921358" w:rsidRPr="00556B9B" w:rsidRDefault="00921358" w:rsidP="005C6E7A">
            <w:pPr>
              <w:keepNext/>
              <w:rPr>
                <w:color w:val="000000"/>
                <w:szCs w:val="22"/>
              </w:rPr>
            </w:pPr>
            <w:r w:rsidRPr="00556B9B">
              <w:rPr>
                <w:rFonts w:cs="Times New Roman"/>
                <w:b/>
                <w:color w:val="000000"/>
                <w:szCs w:val="22"/>
                <w:lang w:val="hu-HU"/>
              </w:rPr>
              <w:t>Légzőrendszeri, mellkasi és mediastinalis betegségek és tünetek</w:t>
            </w:r>
          </w:p>
        </w:tc>
      </w:tr>
      <w:tr w:rsidR="00921358" w:rsidRPr="00556B9B" w14:paraId="54878480" w14:textId="77777777" w:rsidTr="00FC4997">
        <w:tc>
          <w:tcPr>
            <w:tcW w:w="2235" w:type="dxa"/>
          </w:tcPr>
          <w:p w14:paraId="3247B3CA" w14:textId="77777777" w:rsidR="00921358" w:rsidRPr="00556B9B" w:rsidRDefault="00921358" w:rsidP="005C6E7A">
            <w:pPr>
              <w:keepNext/>
              <w:rPr>
                <w:i/>
                <w:iCs/>
                <w:color w:val="000000"/>
              </w:rPr>
            </w:pPr>
            <w:r w:rsidRPr="00556B9B">
              <w:rPr>
                <w:rFonts w:cs="Times New Roman"/>
                <w:i/>
                <w:iCs/>
                <w:noProof/>
                <w:color w:val="000000"/>
                <w:szCs w:val="22"/>
                <w:lang w:val="hu-HU"/>
              </w:rPr>
              <w:t>Gyakori:</w:t>
            </w:r>
          </w:p>
        </w:tc>
        <w:tc>
          <w:tcPr>
            <w:tcW w:w="7087" w:type="dxa"/>
          </w:tcPr>
          <w:p w14:paraId="03C91717" w14:textId="77777777" w:rsidR="00921358" w:rsidRPr="00556B9B" w:rsidRDefault="00921358" w:rsidP="005C6E7A">
            <w:pPr>
              <w:keepNext/>
              <w:rPr>
                <w:color w:val="000000"/>
              </w:rPr>
            </w:pPr>
            <w:r w:rsidRPr="00556B9B">
              <w:rPr>
                <w:rFonts w:cs="Times New Roman"/>
                <w:color w:val="000000"/>
                <w:szCs w:val="22"/>
                <w:lang w:val="hu-HU"/>
              </w:rPr>
              <w:t>Dyspnoe, orrvérzés, köhögés</w:t>
            </w:r>
          </w:p>
        </w:tc>
      </w:tr>
      <w:tr w:rsidR="00921358" w:rsidRPr="00556B9B" w14:paraId="26A381D9" w14:textId="77777777" w:rsidTr="00FC4997">
        <w:tc>
          <w:tcPr>
            <w:tcW w:w="2235" w:type="dxa"/>
          </w:tcPr>
          <w:p w14:paraId="6DF316B6" w14:textId="77777777" w:rsidR="00921358" w:rsidRPr="00556B9B" w:rsidRDefault="00921358" w:rsidP="005C6E7A">
            <w:pPr>
              <w:keepNext/>
              <w:rPr>
                <w:i/>
                <w:iCs/>
                <w:color w:val="000000"/>
              </w:rPr>
            </w:pPr>
            <w:r w:rsidRPr="00556B9B">
              <w:rPr>
                <w:i/>
                <w:iCs/>
                <w:noProof/>
                <w:color w:val="000000"/>
                <w:szCs w:val="22"/>
                <w:lang w:val="hu-HU"/>
              </w:rPr>
              <w:t>Nem gyakori:</w:t>
            </w:r>
          </w:p>
        </w:tc>
        <w:tc>
          <w:tcPr>
            <w:tcW w:w="7087" w:type="dxa"/>
          </w:tcPr>
          <w:p w14:paraId="21BB39C2" w14:textId="77777777" w:rsidR="00921358" w:rsidRPr="00556B9B" w:rsidRDefault="00921358" w:rsidP="005C6E7A">
            <w:pPr>
              <w:keepNext/>
              <w:rPr>
                <w:color w:val="000000"/>
              </w:rPr>
            </w:pPr>
            <w:r w:rsidRPr="00556B9B">
              <w:rPr>
                <w:rFonts w:cs="Times New Roman"/>
                <w:color w:val="000000"/>
                <w:szCs w:val="22"/>
                <w:lang w:val="hu-HU"/>
              </w:rPr>
              <w:t>Pleuralis folyadékgyülem</w:t>
            </w:r>
            <w:r w:rsidRPr="00556B9B">
              <w:rPr>
                <w:rFonts w:cs="Times New Roman"/>
                <w:color w:val="000000"/>
                <w:szCs w:val="22"/>
                <w:vertAlign w:val="superscript"/>
                <w:lang w:val="hu-HU"/>
              </w:rPr>
              <w:t>5</w:t>
            </w:r>
            <w:r w:rsidRPr="00556B9B">
              <w:rPr>
                <w:rFonts w:cs="Times New Roman"/>
                <w:color w:val="000000"/>
                <w:szCs w:val="22"/>
                <w:lang w:val="hu-HU"/>
              </w:rPr>
              <w:t>, pharyngolaryngealis fájdalom, pharyngitis</w:t>
            </w:r>
          </w:p>
        </w:tc>
      </w:tr>
      <w:tr w:rsidR="00921358" w:rsidRPr="00556B9B" w14:paraId="45F61505" w14:textId="77777777" w:rsidTr="00FC4997">
        <w:tc>
          <w:tcPr>
            <w:tcW w:w="2235" w:type="dxa"/>
          </w:tcPr>
          <w:p w14:paraId="69B9286A" w14:textId="77777777" w:rsidR="00921358" w:rsidRPr="00556B9B" w:rsidRDefault="00921358" w:rsidP="005C6E7A">
            <w:pPr>
              <w:keepNext/>
              <w:rPr>
                <w:i/>
                <w:iCs/>
                <w:color w:val="000000"/>
              </w:rPr>
            </w:pPr>
            <w:r w:rsidRPr="00556B9B">
              <w:rPr>
                <w:i/>
                <w:iCs/>
                <w:noProof/>
                <w:color w:val="000000"/>
                <w:szCs w:val="22"/>
                <w:lang w:val="hu-HU"/>
              </w:rPr>
              <w:t>Ritka:</w:t>
            </w:r>
          </w:p>
        </w:tc>
        <w:tc>
          <w:tcPr>
            <w:tcW w:w="7087" w:type="dxa"/>
          </w:tcPr>
          <w:p w14:paraId="7F504864" w14:textId="77777777" w:rsidR="00921358" w:rsidRPr="00556B9B" w:rsidRDefault="00921358" w:rsidP="005C6E7A">
            <w:pPr>
              <w:keepNext/>
              <w:rPr>
                <w:color w:val="000000"/>
              </w:rPr>
            </w:pPr>
            <w:r w:rsidRPr="00556B9B">
              <w:rPr>
                <w:rFonts w:cs="Times New Roman"/>
                <w:color w:val="000000"/>
                <w:szCs w:val="22"/>
                <w:lang w:val="hu-HU"/>
              </w:rPr>
              <w:t>Pleuralis fájdalom, tüdőfibrosis, pulmonalis hypertonia, tüdővérzés</w:t>
            </w:r>
          </w:p>
        </w:tc>
      </w:tr>
      <w:tr w:rsidR="00135313" w:rsidRPr="001D3D33" w14:paraId="51E95848" w14:textId="77777777" w:rsidTr="00FC4997">
        <w:tc>
          <w:tcPr>
            <w:tcW w:w="2235" w:type="dxa"/>
          </w:tcPr>
          <w:p w14:paraId="0C9141DA" w14:textId="77777777" w:rsidR="00135313" w:rsidRPr="00556B9B" w:rsidRDefault="00135313">
            <w:pPr>
              <w:rPr>
                <w:i/>
                <w:iCs/>
                <w:noProof/>
                <w:color w:val="000000"/>
                <w:szCs w:val="22"/>
                <w:lang w:val="hu-HU"/>
              </w:rPr>
            </w:pPr>
            <w:r w:rsidRPr="00556B9B">
              <w:rPr>
                <w:i/>
                <w:color w:val="000000"/>
              </w:rPr>
              <w:t>Nem ismert:</w:t>
            </w:r>
          </w:p>
        </w:tc>
        <w:tc>
          <w:tcPr>
            <w:tcW w:w="7087" w:type="dxa"/>
          </w:tcPr>
          <w:p w14:paraId="3B98044A" w14:textId="77777777" w:rsidR="00135313" w:rsidRPr="00556B9B" w:rsidRDefault="00135313" w:rsidP="00562988">
            <w:pPr>
              <w:rPr>
                <w:rFonts w:cs="Times New Roman"/>
                <w:color w:val="000000"/>
                <w:szCs w:val="22"/>
                <w:lang w:val="hu-HU"/>
              </w:rPr>
            </w:pPr>
            <w:r w:rsidRPr="00556B9B">
              <w:rPr>
                <w:color w:val="000000"/>
                <w:lang w:val="hu-HU"/>
              </w:rPr>
              <w:t>Akut légzési elégtelenség</w:t>
            </w:r>
            <w:r w:rsidRPr="00556B9B">
              <w:rPr>
                <w:color w:val="000000"/>
                <w:vertAlign w:val="superscript"/>
                <w:lang w:val="hu-HU"/>
              </w:rPr>
              <w:t>1</w:t>
            </w:r>
            <w:r w:rsidR="00562988" w:rsidRPr="00556B9B">
              <w:rPr>
                <w:color w:val="000000"/>
                <w:vertAlign w:val="superscript"/>
                <w:lang w:val="hu-HU"/>
              </w:rPr>
              <w:t>1</w:t>
            </w:r>
            <w:r w:rsidRPr="00556B9B">
              <w:rPr>
                <w:color w:val="000000"/>
                <w:lang w:val="hu-HU"/>
              </w:rPr>
              <w:t>*, interstitialis tüdőbetegség*</w:t>
            </w:r>
          </w:p>
        </w:tc>
      </w:tr>
      <w:tr w:rsidR="00921358" w:rsidRPr="00556B9B" w14:paraId="36CF8D47" w14:textId="77777777" w:rsidTr="00FC4997">
        <w:tc>
          <w:tcPr>
            <w:tcW w:w="9322" w:type="dxa"/>
            <w:gridSpan w:val="2"/>
          </w:tcPr>
          <w:p w14:paraId="7FECB458" w14:textId="77777777" w:rsidR="00921358" w:rsidRPr="00556B9B" w:rsidRDefault="00921358" w:rsidP="005C6E7A">
            <w:pPr>
              <w:keepNext/>
              <w:rPr>
                <w:color w:val="000000"/>
                <w:lang w:val="fr-FR"/>
              </w:rPr>
            </w:pPr>
            <w:r w:rsidRPr="00556B9B">
              <w:rPr>
                <w:rFonts w:cs="Times New Roman"/>
                <w:b/>
                <w:color w:val="000000"/>
                <w:szCs w:val="22"/>
                <w:lang w:val="hu-HU"/>
              </w:rPr>
              <w:lastRenderedPageBreak/>
              <w:t>Emésztőrendszeri betegségek és tünetek</w:t>
            </w:r>
          </w:p>
        </w:tc>
      </w:tr>
      <w:tr w:rsidR="00921358" w:rsidRPr="00556B9B" w14:paraId="031B17B3" w14:textId="77777777" w:rsidTr="00FC4997">
        <w:tc>
          <w:tcPr>
            <w:tcW w:w="2235" w:type="dxa"/>
          </w:tcPr>
          <w:p w14:paraId="536BB9A1" w14:textId="77777777" w:rsidR="00921358" w:rsidRPr="00556B9B" w:rsidRDefault="00921358" w:rsidP="005C6E7A">
            <w:pPr>
              <w:keepNext/>
              <w:rPr>
                <w:i/>
                <w:iCs/>
                <w:color w:val="000000"/>
              </w:rPr>
            </w:pPr>
            <w:r w:rsidRPr="00556B9B">
              <w:rPr>
                <w:rFonts w:cs="Times New Roman"/>
                <w:i/>
                <w:iCs/>
                <w:noProof/>
                <w:color w:val="000000"/>
                <w:szCs w:val="22"/>
                <w:lang w:val="hu-HU"/>
              </w:rPr>
              <w:t>Nagyon gyakori:</w:t>
            </w:r>
          </w:p>
        </w:tc>
        <w:tc>
          <w:tcPr>
            <w:tcW w:w="7087" w:type="dxa"/>
          </w:tcPr>
          <w:p w14:paraId="66BD3159" w14:textId="77777777" w:rsidR="00921358" w:rsidRPr="00556B9B" w:rsidRDefault="00921358" w:rsidP="005C6E7A">
            <w:pPr>
              <w:keepNext/>
              <w:rPr>
                <w:color w:val="000000"/>
              </w:rPr>
            </w:pPr>
            <w:r w:rsidRPr="00556B9B">
              <w:rPr>
                <w:rFonts w:cs="Times New Roman"/>
                <w:color w:val="000000"/>
                <w:szCs w:val="22"/>
                <w:lang w:val="hu-HU"/>
              </w:rPr>
              <w:t>Hányinger, hasmenés, hányás, dyspepsia, hasi fájdalom</w:t>
            </w:r>
            <w:r w:rsidRPr="00556B9B">
              <w:rPr>
                <w:rFonts w:cs="Times New Roman"/>
                <w:color w:val="000000"/>
                <w:szCs w:val="22"/>
                <w:vertAlign w:val="superscript"/>
                <w:lang w:val="hu-HU"/>
              </w:rPr>
              <w:t>6</w:t>
            </w:r>
          </w:p>
        </w:tc>
      </w:tr>
      <w:tr w:rsidR="00921358" w:rsidRPr="00556B9B" w14:paraId="46498C3E" w14:textId="77777777" w:rsidTr="00FC4997">
        <w:tc>
          <w:tcPr>
            <w:tcW w:w="2235" w:type="dxa"/>
          </w:tcPr>
          <w:p w14:paraId="4168E4E0" w14:textId="77777777" w:rsidR="00921358" w:rsidRPr="00556B9B" w:rsidRDefault="00921358" w:rsidP="005C6E7A">
            <w:pPr>
              <w:keepNext/>
              <w:rPr>
                <w:i/>
                <w:iCs/>
                <w:color w:val="000000"/>
              </w:rPr>
            </w:pPr>
            <w:r w:rsidRPr="00556B9B">
              <w:rPr>
                <w:rFonts w:cs="Times New Roman"/>
                <w:i/>
                <w:iCs/>
                <w:noProof/>
                <w:color w:val="000000"/>
                <w:szCs w:val="22"/>
                <w:lang w:val="hu-HU"/>
              </w:rPr>
              <w:t>Gyakori:</w:t>
            </w:r>
          </w:p>
        </w:tc>
        <w:tc>
          <w:tcPr>
            <w:tcW w:w="7087" w:type="dxa"/>
          </w:tcPr>
          <w:p w14:paraId="70213DB7" w14:textId="77777777" w:rsidR="00921358" w:rsidRPr="00556B9B" w:rsidRDefault="00921358" w:rsidP="005C6E7A">
            <w:pPr>
              <w:keepNext/>
              <w:rPr>
                <w:color w:val="000000"/>
              </w:rPr>
            </w:pPr>
            <w:r w:rsidRPr="00556B9B">
              <w:rPr>
                <w:rFonts w:cs="Times New Roman"/>
                <w:color w:val="000000"/>
                <w:szCs w:val="22"/>
                <w:lang w:val="hu-HU"/>
              </w:rPr>
              <w:t>Flatulentia, haspuffadás, gastro-oesophagealis reflux, obstipatio, szájszárazság, gastritis</w:t>
            </w:r>
          </w:p>
        </w:tc>
      </w:tr>
      <w:tr w:rsidR="00921358" w:rsidRPr="00556B9B" w14:paraId="1481D05D" w14:textId="77777777" w:rsidTr="00FC4997">
        <w:tc>
          <w:tcPr>
            <w:tcW w:w="2235" w:type="dxa"/>
          </w:tcPr>
          <w:p w14:paraId="0E95FC9F" w14:textId="77777777" w:rsidR="00921358" w:rsidRPr="00556B9B" w:rsidRDefault="00921358" w:rsidP="005C6E7A">
            <w:pPr>
              <w:keepNext/>
              <w:rPr>
                <w:i/>
                <w:iCs/>
                <w:color w:val="000000"/>
              </w:rPr>
            </w:pPr>
            <w:r w:rsidRPr="00556B9B">
              <w:rPr>
                <w:i/>
                <w:iCs/>
                <w:noProof/>
                <w:color w:val="000000"/>
                <w:szCs w:val="22"/>
                <w:lang w:val="hu-HU"/>
              </w:rPr>
              <w:t>Nem gyakori:</w:t>
            </w:r>
          </w:p>
        </w:tc>
        <w:tc>
          <w:tcPr>
            <w:tcW w:w="7087" w:type="dxa"/>
          </w:tcPr>
          <w:p w14:paraId="2B0907ED" w14:textId="77777777" w:rsidR="00921358" w:rsidRPr="00556B9B" w:rsidRDefault="00921358" w:rsidP="005C6E7A">
            <w:pPr>
              <w:keepNext/>
              <w:rPr>
                <w:color w:val="000000"/>
              </w:rPr>
            </w:pPr>
            <w:r w:rsidRPr="00556B9B">
              <w:rPr>
                <w:rFonts w:cs="Times New Roman"/>
                <w:color w:val="000000"/>
                <w:szCs w:val="22"/>
                <w:lang w:val="hu-HU"/>
              </w:rPr>
              <w:t>Stomatitis, szájüregi fekélyek, gastrointestinalis vérzés</w:t>
            </w:r>
            <w:r w:rsidRPr="00556B9B">
              <w:rPr>
                <w:rFonts w:cs="Times New Roman"/>
                <w:color w:val="000000"/>
                <w:szCs w:val="22"/>
                <w:vertAlign w:val="superscript"/>
                <w:lang w:val="hu-HU"/>
              </w:rPr>
              <w:t>7</w:t>
            </w:r>
            <w:r w:rsidRPr="00556B9B">
              <w:rPr>
                <w:rFonts w:cs="Times New Roman"/>
                <w:color w:val="000000"/>
                <w:szCs w:val="22"/>
                <w:lang w:val="hu-HU"/>
              </w:rPr>
              <w:t>, eructatio, melaena, oesophagitis, ascites, gyomorfekély, haematemesis, cheilitis, dysphagia, pancreatitis</w:t>
            </w:r>
          </w:p>
        </w:tc>
      </w:tr>
      <w:tr w:rsidR="00921358" w:rsidRPr="00556B9B" w14:paraId="3EBB85C8" w14:textId="77777777" w:rsidTr="00FC4997">
        <w:tc>
          <w:tcPr>
            <w:tcW w:w="2235" w:type="dxa"/>
          </w:tcPr>
          <w:p w14:paraId="53233B47" w14:textId="77777777" w:rsidR="00921358" w:rsidRPr="00556B9B" w:rsidRDefault="00921358" w:rsidP="005C6E7A">
            <w:pPr>
              <w:keepNext/>
              <w:rPr>
                <w:i/>
                <w:iCs/>
                <w:color w:val="000000"/>
              </w:rPr>
            </w:pPr>
            <w:r w:rsidRPr="00556B9B">
              <w:rPr>
                <w:i/>
                <w:iCs/>
                <w:noProof/>
                <w:color w:val="000000"/>
                <w:szCs w:val="22"/>
                <w:lang w:val="hu-HU"/>
              </w:rPr>
              <w:t>Ritka:</w:t>
            </w:r>
          </w:p>
        </w:tc>
        <w:tc>
          <w:tcPr>
            <w:tcW w:w="7087" w:type="dxa"/>
          </w:tcPr>
          <w:p w14:paraId="09A5F52D" w14:textId="77777777" w:rsidR="00921358" w:rsidRPr="00556B9B" w:rsidRDefault="00921358" w:rsidP="005C6E7A">
            <w:pPr>
              <w:keepNext/>
              <w:rPr>
                <w:snapToGrid w:val="0"/>
                <w:color w:val="000000"/>
                <w:szCs w:val="22"/>
                <w:lang w:val="en-US"/>
              </w:rPr>
            </w:pPr>
            <w:r w:rsidRPr="00556B9B">
              <w:rPr>
                <w:rFonts w:cs="Times New Roman"/>
                <w:color w:val="000000"/>
                <w:szCs w:val="22"/>
                <w:lang w:val="hu-HU"/>
              </w:rPr>
              <w:t>Colitis, ileus, gyulladásos bélbetegség</w:t>
            </w:r>
          </w:p>
        </w:tc>
      </w:tr>
      <w:tr w:rsidR="00135313" w:rsidRPr="001D3D33" w14:paraId="4BDF9505" w14:textId="77777777" w:rsidTr="00FC4997">
        <w:tc>
          <w:tcPr>
            <w:tcW w:w="2235" w:type="dxa"/>
          </w:tcPr>
          <w:p w14:paraId="3B08199B" w14:textId="77777777" w:rsidR="00135313" w:rsidRPr="00556B9B" w:rsidRDefault="00135313">
            <w:pPr>
              <w:rPr>
                <w:i/>
                <w:iCs/>
                <w:noProof/>
                <w:color w:val="000000"/>
                <w:szCs w:val="22"/>
                <w:lang w:val="hu-HU"/>
              </w:rPr>
            </w:pPr>
            <w:r w:rsidRPr="00556B9B">
              <w:rPr>
                <w:i/>
                <w:color w:val="000000"/>
              </w:rPr>
              <w:t>Nem ismert:</w:t>
            </w:r>
          </w:p>
        </w:tc>
        <w:tc>
          <w:tcPr>
            <w:tcW w:w="7087" w:type="dxa"/>
          </w:tcPr>
          <w:p w14:paraId="40CB21E1" w14:textId="77777777" w:rsidR="00135313" w:rsidRPr="00556B9B" w:rsidRDefault="00135313" w:rsidP="00B17111">
            <w:pPr>
              <w:rPr>
                <w:rFonts w:cs="Times New Roman"/>
                <w:color w:val="000000"/>
                <w:szCs w:val="22"/>
                <w:lang w:val="hu-HU"/>
              </w:rPr>
            </w:pPr>
            <w:r w:rsidRPr="001D3D33">
              <w:rPr>
                <w:color w:val="000000"/>
                <w:lang w:val="pt-PT"/>
              </w:rPr>
              <w:t>Ileus/</w:t>
            </w:r>
            <w:r w:rsidR="00B17111" w:rsidRPr="001D3D33">
              <w:rPr>
                <w:color w:val="000000"/>
                <w:lang w:val="pt-PT"/>
              </w:rPr>
              <w:t>bélelzáródás</w:t>
            </w:r>
            <w:r w:rsidR="00053E70" w:rsidRPr="001D3D33">
              <w:rPr>
                <w:color w:val="000000"/>
                <w:lang w:val="pt-PT"/>
              </w:rPr>
              <w:t>*</w:t>
            </w:r>
            <w:r w:rsidRPr="001D3D33">
              <w:rPr>
                <w:color w:val="000000"/>
                <w:lang w:val="pt-PT"/>
              </w:rPr>
              <w:t>, gastrointestinalis perforatio*, diverticulitis*, gastricus antralis vascularis ectasia (GAVE)*</w:t>
            </w:r>
          </w:p>
        </w:tc>
      </w:tr>
      <w:tr w:rsidR="00921358" w:rsidRPr="001D3D33" w14:paraId="44B255AD" w14:textId="77777777" w:rsidTr="00FC4997">
        <w:tc>
          <w:tcPr>
            <w:tcW w:w="9322" w:type="dxa"/>
            <w:gridSpan w:val="2"/>
          </w:tcPr>
          <w:p w14:paraId="5B64CA50" w14:textId="77777777" w:rsidR="00921358" w:rsidRPr="001D3D33" w:rsidRDefault="00921358" w:rsidP="005C6E7A">
            <w:pPr>
              <w:keepNext/>
              <w:rPr>
                <w:snapToGrid w:val="0"/>
                <w:color w:val="000000"/>
                <w:szCs w:val="22"/>
                <w:lang w:val="pt-PT"/>
              </w:rPr>
            </w:pPr>
            <w:r w:rsidRPr="00556B9B">
              <w:rPr>
                <w:b/>
                <w:color w:val="000000"/>
                <w:szCs w:val="22"/>
                <w:lang w:val="hu-HU"/>
              </w:rPr>
              <w:t>Máj- és epebetegségek, illetve tünetek</w:t>
            </w:r>
          </w:p>
        </w:tc>
      </w:tr>
      <w:tr w:rsidR="00921358" w:rsidRPr="00556B9B" w14:paraId="16FA1DFA" w14:textId="77777777" w:rsidTr="00FC4997">
        <w:tc>
          <w:tcPr>
            <w:tcW w:w="2235" w:type="dxa"/>
          </w:tcPr>
          <w:p w14:paraId="088D95EF" w14:textId="77777777" w:rsidR="00921358" w:rsidRPr="00556B9B" w:rsidRDefault="00921358" w:rsidP="005C6E7A">
            <w:pPr>
              <w:keepNext/>
              <w:rPr>
                <w:i/>
                <w:iCs/>
                <w:color w:val="000000"/>
                <w:szCs w:val="22"/>
              </w:rPr>
            </w:pPr>
            <w:r w:rsidRPr="00556B9B">
              <w:rPr>
                <w:rFonts w:cs="Times New Roman"/>
                <w:i/>
                <w:iCs/>
                <w:noProof/>
                <w:color w:val="000000"/>
                <w:szCs w:val="22"/>
                <w:lang w:val="hu-HU"/>
              </w:rPr>
              <w:t>Gyakori:</w:t>
            </w:r>
          </w:p>
        </w:tc>
        <w:tc>
          <w:tcPr>
            <w:tcW w:w="7087" w:type="dxa"/>
          </w:tcPr>
          <w:p w14:paraId="3ABD9B43" w14:textId="77777777" w:rsidR="00921358" w:rsidRPr="00556B9B" w:rsidRDefault="00921358" w:rsidP="005C6E7A">
            <w:pPr>
              <w:keepNext/>
              <w:rPr>
                <w:color w:val="000000"/>
                <w:szCs w:val="22"/>
              </w:rPr>
            </w:pPr>
            <w:r w:rsidRPr="00556B9B">
              <w:rPr>
                <w:rFonts w:cs="Times New Roman"/>
                <w:color w:val="000000"/>
                <w:szCs w:val="22"/>
                <w:lang w:val="hu-HU"/>
              </w:rPr>
              <w:t>A májenzimek szintjének emelkedése</w:t>
            </w:r>
          </w:p>
        </w:tc>
      </w:tr>
      <w:tr w:rsidR="00921358" w:rsidRPr="00556B9B" w14:paraId="7299821D" w14:textId="77777777" w:rsidTr="00FC4997">
        <w:tc>
          <w:tcPr>
            <w:tcW w:w="2235" w:type="dxa"/>
          </w:tcPr>
          <w:p w14:paraId="145CC1FC" w14:textId="77777777" w:rsidR="00921358" w:rsidRPr="00556B9B" w:rsidRDefault="00921358" w:rsidP="005C6E7A">
            <w:pPr>
              <w:keepNext/>
              <w:rPr>
                <w:i/>
                <w:iCs/>
                <w:color w:val="000000"/>
                <w:szCs w:val="22"/>
              </w:rPr>
            </w:pPr>
            <w:r w:rsidRPr="00556B9B">
              <w:rPr>
                <w:i/>
                <w:iCs/>
                <w:noProof/>
                <w:color w:val="000000"/>
                <w:szCs w:val="22"/>
                <w:lang w:val="hu-HU"/>
              </w:rPr>
              <w:t>Nem gyakori</w:t>
            </w:r>
            <w:r w:rsidRPr="00556B9B">
              <w:rPr>
                <w:i/>
                <w:iCs/>
                <w:color w:val="000000"/>
                <w:szCs w:val="22"/>
              </w:rPr>
              <w:t>:</w:t>
            </w:r>
          </w:p>
        </w:tc>
        <w:tc>
          <w:tcPr>
            <w:tcW w:w="7087" w:type="dxa"/>
          </w:tcPr>
          <w:p w14:paraId="458AA2EF" w14:textId="77777777" w:rsidR="00921358" w:rsidRPr="00556B9B" w:rsidRDefault="00921358" w:rsidP="005C6E7A">
            <w:pPr>
              <w:keepNext/>
              <w:rPr>
                <w:color w:val="000000"/>
                <w:szCs w:val="22"/>
              </w:rPr>
            </w:pPr>
            <w:r w:rsidRPr="00556B9B">
              <w:rPr>
                <w:rFonts w:cs="Times New Roman"/>
                <w:color w:val="000000"/>
                <w:szCs w:val="22"/>
                <w:lang w:val="hu-HU"/>
              </w:rPr>
              <w:t>Hyperbilirubinaemia, hepatitis, icterus</w:t>
            </w:r>
          </w:p>
        </w:tc>
      </w:tr>
      <w:tr w:rsidR="00921358" w:rsidRPr="00556B9B" w14:paraId="62CCFC06" w14:textId="77777777" w:rsidTr="00FC4997">
        <w:tc>
          <w:tcPr>
            <w:tcW w:w="2235" w:type="dxa"/>
          </w:tcPr>
          <w:p w14:paraId="062183D5" w14:textId="77777777" w:rsidR="00921358" w:rsidRPr="00556B9B" w:rsidRDefault="00921358" w:rsidP="00781400">
            <w:pPr>
              <w:rPr>
                <w:i/>
                <w:iCs/>
                <w:color w:val="000000"/>
                <w:szCs w:val="22"/>
              </w:rPr>
            </w:pPr>
            <w:r w:rsidRPr="00556B9B">
              <w:rPr>
                <w:i/>
                <w:iCs/>
                <w:noProof/>
                <w:color w:val="000000"/>
                <w:szCs w:val="22"/>
                <w:lang w:val="hu-HU"/>
              </w:rPr>
              <w:t>Ritka:</w:t>
            </w:r>
          </w:p>
        </w:tc>
        <w:tc>
          <w:tcPr>
            <w:tcW w:w="7087" w:type="dxa"/>
          </w:tcPr>
          <w:p w14:paraId="4ECB2811" w14:textId="77777777" w:rsidR="00921358" w:rsidRPr="00556B9B" w:rsidRDefault="00921358" w:rsidP="00781400">
            <w:pPr>
              <w:rPr>
                <w:color w:val="000000"/>
                <w:szCs w:val="22"/>
              </w:rPr>
            </w:pPr>
            <w:r w:rsidRPr="00556B9B">
              <w:rPr>
                <w:rFonts w:cs="Times New Roman"/>
                <w:color w:val="000000"/>
                <w:szCs w:val="22"/>
                <w:lang w:val="hu-HU"/>
              </w:rPr>
              <w:t>Májelégtelenség</w:t>
            </w:r>
            <w:r w:rsidRPr="00556B9B">
              <w:rPr>
                <w:rFonts w:cs="Times New Roman"/>
                <w:color w:val="000000"/>
                <w:szCs w:val="22"/>
                <w:vertAlign w:val="superscript"/>
                <w:lang w:val="hu-HU"/>
              </w:rPr>
              <w:t>8</w:t>
            </w:r>
            <w:r w:rsidRPr="00556B9B">
              <w:rPr>
                <w:rFonts w:cs="Times New Roman"/>
                <w:color w:val="000000"/>
                <w:szCs w:val="22"/>
                <w:lang w:val="hu-HU"/>
              </w:rPr>
              <w:t>, májnecrosis</w:t>
            </w:r>
          </w:p>
        </w:tc>
      </w:tr>
      <w:tr w:rsidR="00921358" w:rsidRPr="00556B9B" w14:paraId="6ADFBB91" w14:textId="77777777" w:rsidTr="00FC4997">
        <w:tc>
          <w:tcPr>
            <w:tcW w:w="9322" w:type="dxa"/>
            <w:gridSpan w:val="2"/>
          </w:tcPr>
          <w:p w14:paraId="6CED68F0" w14:textId="77777777" w:rsidR="00921358" w:rsidRPr="00556B9B" w:rsidRDefault="00921358" w:rsidP="005C6E7A">
            <w:pPr>
              <w:keepNext/>
              <w:rPr>
                <w:color w:val="000000"/>
              </w:rPr>
            </w:pPr>
            <w:r w:rsidRPr="00556B9B">
              <w:rPr>
                <w:b/>
                <w:color w:val="000000"/>
                <w:szCs w:val="22"/>
                <w:lang w:val="hu-HU"/>
              </w:rPr>
              <w:t>A bőr és a bőr alatti szövet betegségei és tünetei</w:t>
            </w:r>
          </w:p>
        </w:tc>
      </w:tr>
      <w:tr w:rsidR="00921358" w:rsidRPr="001D3D33" w14:paraId="014CFE16" w14:textId="77777777" w:rsidTr="00FC4997">
        <w:tc>
          <w:tcPr>
            <w:tcW w:w="2235" w:type="dxa"/>
          </w:tcPr>
          <w:p w14:paraId="242B9799" w14:textId="77777777" w:rsidR="00921358" w:rsidRPr="00556B9B" w:rsidRDefault="00921358" w:rsidP="005C6E7A">
            <w:pPr>
              <w:keepNext/>
              <w:rPr>
                <w:i/>
                <w:iCs/>
                <w:color w:val="000000"/>
              </w:rPr>
            </w:pPr>
            <w:r w:rsidRPr="00556B9B">
              <w:rPr>
                <w:rFonts w:cs="Times New Roman"/>
                <w:i/>
                <w:iCs/>
                <w:noProof/>
                <w:color w:val="000000"/>
                <w:szCs w:val="22"/>
                <w:lang w:val="hu-HU"/>
              </w:rPr>
              <w:t>Nagyon gyakori</w:t>
            </w:r>
            <w:r w:rsidRPr="00556B9B">
              <w:rPr>
                <w:i/>
                <w:iCs/>
                <w:color w:val="000000"/>
                <w:szCs w:val="22"/>
              </w:rPr>
              <w:t>:</w:t>
            </w:r>
          </w:p>
        </w:tc>
        <w:tc>
          <w:tcPr>
            <w:tcW w:w="7087" w:type="dxa"/>
          </w:tcPr>
          <w:p w14:paraId="37638E0B" w14:textId="77777777" w:rsidR="00921358" w:rsidRPr="00556B9B" w:rsidRDefault="00921358" w:rsidP="005C6E7A">
            <w:pPr>
              <w:keepNext/>
              <w:rPr>
                <w:color w:val="000000"/>
                <w:lang w:val="pt-PT"/>
              </w:rPr>
            </w:pPr>
            <w:r w:rsidRPr="00556B9B">
              <w:rPr>
                <w:rFonts w:cs="Times New Roman"/>
                <w:color w:val="000000"/>
                <w:szCs w:val="22"/>
                <w:lang w:val="hu-HU"/>
              </w:rPr>
              <w:t>Periorbitalis ödéma, dermatitis/ekzema/bőrkiütés</w:t>
            </w:r>
          </w:p>
        </w:tc>
      </w:tr>
      <w:tr w:rsidR="00921358" w:rsidRPr="00556B9B" w14:paraId="07A09401" w14:textId="77777777" w:rsidTr="00FC4997">
        <w:tc>
          <w:tcPr>
            <w:tcW w:w="2235" w:type="dxa"/>
          </w:tcPr>
          <w:p w14:paraId="01BC4D6A" w14:textId="77777777" w:rsidR="00921358" w:rsidRPr="00556B9B" w:rsidRDefault="00921358" w:rsidP="005C6E7A">
            <w:pPr>
              <w:keepNext/>
              <w:rPr>
                <w:i/>
                <w:iCs/>
                <w:color w:val="000000"/>
              </w:rPr>
            </w:pPr>
            <w:r w:rsidRPr="00556B9B">
              <w:rPr>
                <w:rFonts w:cs="Times New Roman"/>
                <w:i/>
                <w:iCs/>
                <w:noProof/>
                <w:color w:val="000000"/>
                <w:szCs w:val="22"/>
                <w:lang w:val="hu-HU"/>
              </w:rPr>
              <w:t>Gyakori:</w:t>
            </w:r>
          </w:p>
        </w:tc>
        <w:tc>
          <w:tcPr>
            <w:tcW w:w="7087" w:type="dxa"/>
          </w:tcPr>
          <w:p w14:paraId="2FF2908F" w14:textId="77777777" w:rsidR="00921358" w:rsidRPr="00556B9B" w:rsidRDefault="00921358" w:rsidP="005C6E7A">
            <w:pPr>
              <w:keepNext/>
              <w:rPr>
                <w:color w:val="000000"/>
              </w:rPr>
            </w:pPr>
            <w:r w:rsidRPr="00556B9B">
              <w:rPr>
                <w:rFonts w:cs="Times New Roman"/>
                <w:color w:val="000000"/>
                <w:szCs w:val="22"/>
                <w:lang w:val="hu-HU"/>
              </w:rPr>
              <w:t>Pruritus, arcödéma, bőrszárazság, erythema, alopecia, éjszakai izzadás, fényérzékenységi reakció</w:t>
            </w:r>
          </w:p>
        </w:tc>
      </w:tr>
      <w:tr w:rsidR="00921358" w:rsidRPr="00556B9B" w14:paraId="616533D5" w14:textId="77777777" w:rsidTr="00FC4997">
        <w:tc>
          <w:tcPr>
            <w:tcW w:w="2235" w:type="dxa"/>
          </w:tcPr>
          <w:p w14:paraId="365AB195" w14:textId="77777777" w:rsidR="00921358" w:rsidRPr="00556B9B" w:rsidRDefault="00921358" w:rsidP="005C6E7A">
            <w:pPr>
              <w:keepNext/>
              <w:rPr>
                <w:i/>
                <w:iCs/>
                <w:color w:val="000000"/>
              </w:rPr>
            </w:pPr>
            <w:r w:rsidRPr="00556B9B">
              <w:rPr>
                <w:i/>
                <w:iCs/>
                <w:noProof/>
                <w:color w:val="000000"/>
                <w:szCs w:val="22"/>
                <w:lang w:val="hu-HU"/>
              </w:rPr>
              <w:t>Nem gyakori:</w:t>
            </w:r>
          </w:p>
        </w:tc>
        <w:tc>
          <w:tcPr>
            <w:tcW w:w="7087" w:type="dxa"/>
          </w:tcPr>
          <w:p w14:paraId="505B80B3" w14:textId="77777777" w:rsidR="00921358" w:rsidRPr="007C3BCA" w:rsidRDefault="00921358" w:rsidP="005C6E7A">
            <w:pPr>
              <w:keepNext/>
              <w:rPr>
                <w:color w:val="000000"/>
                <w:szCs w:val="22"/>
              </w:rPr>
            </w:pPr>
            <w:r w:rsidRPr="007C3BCA">
              <w:rPr>
                <w:rFonts w:cs="Times New Roman"/>
                <w:color w:val="000000"/>
                <w:szCs w:val="22"/>
                <w:lang w:val="hu-HU"/>
              </w:rPr>
              <w:t>Pustulosus bőrkiütés, véraláfutás, fokozott izzadás, urticaria, ecchymosis, bőrvérzések, hypotrichosis, bőr hypopigmentatio, exfoliatív dermatitis, onychoclasia, folliculitis, petechiák, psoriasis, purpura, bőr hyperpigmentatio, bullosus bőrkiütés</w:t>
            </w:r>
          </w:p>
        </w:tc>
      </w:tr>
      <w:tr w:rsidR="00921358" w:rsidRPr="00556B9B" w14:paraId="5DE7AECB" w14:textId="77777777" w:rsidTr="00FC4997">
        <w:tc>
          <w:tcPr>
            <w:tcW w:w="2235" w:type="dxa"/>
          </w:tcPr>
          <w:p w14:paraId="0282664C" w14:textId="77777777" w:rsidR="00921358" w:rsidRPr="00556B9B" w:rsidRDefault="00921358" w:rsidP="005C6E7A">
            <w:pPr>
              <w:keepNext/>
              <w:rPr>
                <w:i/>
                <w:iCs/>
                <w:color w:val="000000"/>
              </w:rPr>
            </w:pPr>
            <w:r w:rsidRPr="00556B9B">
              <w:rPr>
                <w:i/>
                <w:iCs/>
                <w:noProof/>
                <w:color w:val="000000"/>
                <w:szCs w:val="22"/>
                <w:lang w:val="hu-HU"/>
              </w:rPr>
              <w:t>Ritka:</w:t>
            </w:r>
          </w:p>
        </w:tc>
        <w:tc>
          <w:tcPr>
            <w:tcW w:w="7087" w:type="dxa"/>
          </w:tcPr>
          <w:p w14:paraId="5F9B2502" w14:textId="350AB742" w:rsidR="00921358" w:rsidRPr="007C3BCA" w:rsidRDefault="00921358" w:rsidP="005C6E7A">
            <w:pPr>
              <w:keepNext/>
              <w:rPr>
                <w:color w:val="000000"/>
              </w:rPr>
            </w:pPr>
            <w:r w:rsidRPr="007C3BCA">
              <w:rPr>
                <w:rFonts w:cs="Times New Roman"/>
                <w:color w:val="000000"/>
                <w:szCs w:val="22"/>
                <w:lang w:val="hu-HU"/>
              </w:rPr>
              <w:t xml:space="preserve">Akut lázas neutrophil dermatosis (Sweet-szindróma), a körmök elszíneződése, angioödéma, </w:t>
            </w:r>
            <w:r w:rsidR="0066088E" w:rsidRPr="007C3BCA">
              <w:rPr>
                <w:rFonts w:cs="Times New Roman"/>
                <w:color w:val="000000"/>
                <w:szCs w:val="22"/>
                <w:lang w:val="hu-HU"/>
              </w:rPr>
              <w:t>vesicularis</w:t>
            </w:r>
            <w:r w:rsidRPr="007C3BCA">
              <w:rPr>
                <w:rFonts w:cs="Times New Roman"/>
                <w:color w:val="000000"/>
                <w:szCs w:val="22"/>
                <w:lang w:val="hu-HU"/>
              </w:rPr>
              <w:t xml:space="preserve"> bőrkiütés, erythema multiforme, leukocytoclasticus vasculitis, Stevens—Johnson-szindróma, akut, generalizált </w:t>
            </w:r>
            <w:r w:rsidRPr="007C3BCA">
              <w:rPr>
                <w:color w:val="000000"/>
                <w:szCs w:val="22"/>
              </w:rPr>
              <w:t>exanthematosus pustulosis (AGEP)</w:t>
            </w:r>
          </w:p>
        </w:tc>
      </w:tr>
      <w:tr w:rsidR="00135313" w:rsidRPr="001D3D33" w14:paraId="0F7994BA" w14:textId="77777777" w:rsidTr="00FC4997">
        <w:tc>
          <w:tcPr>
            <w:tcW w:w="2235" w:type="dxa"/>
          </w:tcPr>
          <w:p w14:paraId="1C299643" w14:textId="77777777" w:rsidR="00135313" w:rsidRPr="00556B9B" w:rsidRDefault="00135313">
            <w:pPr>
              <w:rPr>
                <w:i/>
                <w:iCs/>
                <w:noProof/>
                <w:color w:val="000000"/>
                <w:szCs w:val="22"/>
                <w:lang w:val="hu-HU"/>
              </w:rPr>
            </w:pPr>
            <w:r w:rsidRPr="00556B9B">
              <w:rPr>
                <w:i/>
                <w:color w:val="000000"/>
              </w:rPr>
              <w:t>Nem ismert:</w:t>
            </w:r>
          </w:p>
        </w:tc>
        <w:tc>
          <w:tcPr>
            <w:tcW w:w="7087" w:type="dxa"/>
          </w:tcPr>
          <w:p w14:paraId="02764D21" w14:textId="77777777" w:rsidR="00135313" w:rsidRPr="00556B9B" w:rsidRDefault="00135313">
            <w:pPr>
              <w:rPr>
                <w:rFonts w:cs="Times New Roman"/>
                <w:color w:val="000000"/>
                <w:szCs w:val="22"/>
                <w:lang w:val="hu-HU"/>
              </w:rPr>
            </w:pPr>
            <w:r w:rsidRPr="00556B9B">
              <w:rPr>
                <w:color w:val="000000"/>
                <w:lang w:val="hu-HU"/>
              </w:rPr>
              <w:t>Palmo-plantaris erythrodysaesthesia szindróma*, lichenoid keratosis*, lichen planus*, toxicus epidermalis necrolysis*, eosinophiliával és szisztémás tünetekkel járó, gyógyszer okozta kiütés (DRESS)*</w:t>
            </w:r>
            <w:r w:rsidR="007948FC" w:rsidRPr="00BF3D9F">
              <w:rPr>
                <w:color w:val="000000"/>
                <w:szCs w:val="22"/>
                <w:lang w:val="hu-HU"/>
              </w:rPr>
              <w:t>, pseudoporphyria*</w:t>
            </w:r>
          </w:p>
        </w:tc>
      </w:tr>
      <w:tr w:rsidR="00921358" w:rsidRPr="001D3D33" w14:paraId="54572486" w14:textId="77777777" w:rsidTr="00FC4997">
        <w:tc>
          <w:tcPr>
            <w:tcW w:w="9322" w:type="dxa"/>
            <w:gridSpan w:val="2"/>
          </w:tcPr>
          <w:p w14:paraId="464B5DB8" w14:textId="77777777" w:rsidR="00921358" w:rsidRPr="00556B9B" w:rsidRDefault="00921358" w:rsidP="005C6E7A">
            <w:pPr>
              <w:keepNext/>
              <w:rPr>
                <w:color w:val="000000"/>
                <w:szCs w:val="22"/>
                <w:lang w:val="hu-HU"/>
              </w:rPr>
            </w:pPr>
            <w:r w:rsidRPr="00556B9B">
              <w:rPr>
                <w:b/>
                <w:color w:val="000000"/>
                <w:szCs w:val="22"/>
                <w:lang w:val="hu-HU"/>
              </w:rPr>
              <w:t>A csont- és izomrendszer, valamint a kötőszövet betegségei és tünetei</w:t>
            </w:r>
          </w:p>
        </w:tc>
      </w:tr>
      <w:tr w:rsidR="00921358" w:rsidRPr="00556B9B" w14:paraId="1DCB4196" w14:textId="77777777" w:rsidTr="00FC4997">
        <w:tc>
          <w:tcPr>
            <w:tcW w:w="2235" w:type="dxa"/>
          </w:tcPr>
          <w:p w14:paraId="2E2109DD" w14:textId="77777777" w:rsidR="00921358" w:rsidRPr="00556B9B" w:rsidRDefault="00921358" w:rsidP="005C6E7A">
            <w:pPr>
              <w:keepNext/>
              <w:rPr>
                <w:i/>
                <w:iCs/>
                <w:color w:val="000000"/>
                <w:szCs w:val="22"/>
              </w:rPr>
            </w:pPr>
            <w:r w:rsidRPr="00556B9B">
              <w:rPr>
                <w:rFonts w:cs="Times New Roman"/>
                <w:i/>
                <w:iCs/>
                <w:noProof/>
                <w:color w:val="000000"/>
                <w:szCs w:val="22"/>
                <w:lang w:val="hu-HU"/>
              </w:rPr>
              <w:t>Nagyon gyakori:</w:t>
            </w:r>
          </w:p>
        </w:tc>
        <w:tc>
          <w:tcPr>
            <w:tcW w:w="7087" w:type="dxa"/>
          </w:tcPr>
          <w:p w14:paraId="44842D50" w14:textId="77777777" w:rsidR="00921358" w:rsidRPr="00556B9B" w:rsidRDefault="00921358" w:rsidP="005C6E7A">
            <w:pPr>
              <w:keepNext/>
              <w:rPr>
                <w:color w:val="000000"/>
                <w:szCs w:val="22"/>
              </w:rPr>
            </w:pPr>
            <w:r w:rsidRPr="00556B9B">
              <w:rPr>
                <w:rFonts w:cs="Times New Roman"/>
                <w:color w:val="000000"/>
                <w:szCs w:val="22"/>
                <w:lang w:val="hu-HU"/>
              </w:rPr>
              <w:t>Izomspazmus és görcs, musculoskeletalis fájdalom beleértve a myalgiát</w:t>
            </w:r>
            <w:r w:rsidR="00217583" w:rsidRPr="00556B9B">
              <w:rPr>
                <w:rFonts w:cs="Times New Roman"/>
                <w:color w:val="000000"/>
                <w:szCs w:val="22"/>
                <w:vertAlign w:val="superscript"/>
                <w:lang w:val="hu-HU"/>
              </w:rPr>
              <w:t>9</w:t>
            </w:r>
            <w:r w:rsidRPr="00556B9B">
              <w:rPr>
                <w:rFonts w:cs="Times New Roman"/>
                <w:color w:val="000000"/>
                <w:szCs w:val="22"/>
                <w:lang w:val="hu-HU"/>
              </w:rPr>
              <w:t>, arthralgiát és a csontfájdalmat</w:t>
            </w:r>
            <w:r w:rsidR="00217583" w:rsidRPr="00556B9B">
              <w:rPr>
                <w:rFonts w:cs="Times New Roman"/>
                <w:color w:val="000000"/>
                <w:szCs w:val="22"/>
                <w:vertAlign w:val="superscript"/>
                <w:lang w:val="hu-HU"/>
              </w:rPr>
              <w:t>10</w:t>
            </w:r>
          </w:p>
        </w:tc>
      </w:tr>
      <w:tr w:rsidR="00921358" w:rsidRPr="00556B9B" w14:paraId="025092F8" w14:textId="77777777" w:rsidTr="00FC4997">
        <w:tc>
          <w:tcPr>
            <w:tcW w:w="2235" w:type="dxa"/>
          </w:tcPr>
          <w:p w14:paraId="199FE412" w14:textId="77777777" w:rsidR="00921358" w:rsidRPr="00556B9B" w:rsidRDefault="00921358" w:rsidP="005C6E7A">
            <w:pPr>
              <w:keepNext/>
              <w:rPr>
                <w:i/>
                <w:iCs/>
                <w:color w:val="000000"/>
                <w:szCs w:val="22"/>
              </w:rPr>
            </w:pPr>
            <w:r w:rsidRPr="00556B9B">
              <w:rPr>
                <w:rFonts w:cs="Times New Roman"/>
                <w:i/>
                <w:iCs/>
                <w:noProof/>
                <w:color w:val="000000"/>
                <w:szCs w:val="22"/>
                <w:lang w:val="hu-HU"/>
              </w:rPr>
              <w:t>Gyakori</w:t>
            </w:r>
            <w:r w:rsidRPr="00556B9B">
              <w:rPr>
                <w:i/>
                <w:iCs/>
                <w:color w:val="000000"/>
                <w:szCs w:val="22"/>
              </w:rPr>
              <w:t>:</w:t>
            </w:r>
          </w:p>
        </w:tc>
        <w:tc>
          <w:tcPr>
            <w:tcW w:w="7087" w:type="dxa"/>
          </w:tcPr>
          <w:p w14:paraId="25FD5271" w14:textId="77777777" w:rsidR="00921358" w:rsidRPr="00556B9B" w:rsidRDefault="00921358" w:rsidP="005C6E7A">
            <w:pPr>
              <w:keepNext/>
              <w:rPr>
                <w:color w:val="000000"/>
                <w:szCs w:val="22"/>
                <w:lang w:val="pt-PT"/>
              </w:rPr>
            </w:pPr>
            <w:r w:rsidRPr="00556B9B">
              <w:rPr>
                <w:rFonts w:cs="Times New Roman"/>
                <w:color w:val="000000"/>
                <w:szCs w:val="22"/>
                <w:lang w:val="hu-HU"/>
              </w:rPr>
              <w:t>Ízületi duzzanat</w:t>
            </w:r>
          </w:p>
        </w:tc>
      </w:tr>
      <w:tr w:rsidR="00921358" w:rsidRPr="00556B9B" w14:paraId="19BAA143" w14:textId="77777777" w:rsidTr="00FC4997">
        <w:tc>
          <w:tcPr>
            <w:tcW w:w="2235" w:type="dxa"/>
          </w:tcPr>
          <w:p w14:paraId="6822E65E" w14:textId="77777777" w:rsidR="00921358" w:rsidRPr="00556B9B" w:rsidRDefault="00921358" w:rsidP="005C6E7A">
            <w:pPr>
              <w:keepNext/>
              <w:rPr>
                <w:i/>
                <w:iCs/>
                <w:color w:val="000000"/>
                <w:szCs w:val="22"/>
              </w:rPr>
            </w:pPr>
            <w:r w:rsidRPr="00556B9B">
              <w:rPr>
                <w:i/>
                <w:iCs/>
                <w:noProof/>
                <w:color w:val="000000"/>
                <w:szCs w:val="22"/>
                <w:lang w:val="hu-HU"/>
              </w:rPr>
              <w:t>Nem gyakori:</w:t>
            </w:r>
          </w:p>
        </w:tc>
        <w:tc>
          <w:tcPr>
            <w:tcW w:w="7087" w:type="dxa"/>
          </w:tcPr>
          <w:p w14:paraId="1DEC9FC9" w14:textId="77777777" w:rsidR="00921358" w:rsidRPr="00556B9B" w:rsidRDefault="00921358" w:rsidP="005C6E7A">
            <w:pPr>
              <w:keepNext/>
              <w:rPr>
                <w:color w:val="000000"/>
                <w:szCs w:val="22"/>
                <w:lang w:val="pt-PT"/>
              </w:rPr>
            </w:pPr>
            <w:r w:rsidRPr="00556B9B">
              <w:rPr>
                <w:rFonts w:cs="Times New Roman"/>
                <w:color w:val="000000"/>
                <w:szCs w:val="22"/>
                <w:lang w:val="hu-HU"/>
              </w:rPr>
              <w:t>Izom</w:t>
            </w:r>
            <w:r w:rsidRPr="00556B9B">
              <w:rPr>
                <w:rFonts w:cs="Times New Roman"/>
                <w:color w:val="000000"/>
                <w:szCs w:val="22"/>
                <w:lang w:val="hu-HU"/>
              </w:rPr>
              <w:noBreakHyphen/>
              <w:t> és ízületi merevség</w:t>
            </w:r>
          </w:p>
        </w:tc>
      </w:tr>
      <w:tr w:rsidR="00921358" w:rsidRPr="00556B9B" w14:paraId="4D178EEA" w14:textId="77777777" w:rsidTr="00FC4997">
        <w:tc>
          <w:tcPr>
            <w:tcW w:w="2235" w:type="dxa"/>
          </w:tcPr>
          <w:p w14:paraId="27C94682" w14:textId="77777777" w:rsidR="00921358" w:rsidRPr="00556B9B" w:rsidRDefault="00921358" w:rsidP="005C6E7A">
            <w:pPr>
              <w:keepNext/>
              <w:rPr>
                <w:i/>
                <w:iCs/>
                <w:color w:val="000000"/>
                <w:szCs w:val="22"/>
              </w:rPr>
            </w:pPr>
            <w:r w:rsidRPr="00556B9B">
              <w:rPr>
                <w:i/>
                <w:iCs/>
                <w:noProof/>
                <w:color w:val="000000"/>
                <w:szCs w:val="22"/>
                <w:lang w:val="hu-HU"/>
              </w:rPr>
              <w:t>Ritka:</w:t>
            </w:r>
          </w:p>
        </w:tc>
        <w:tc>
          <w:tcPr>
            <w:tcW w:w="7087" w:type="dxa"/>
          </w:tcPr>
          <w:p w14:paraId="6FA2A16C" w14:textId="77777777" w:rsidR="00921358" w:rsidRPr="00556B9B" w:rsidRDefault="00921358" w:rsidP="005C6E7A">
            <w:pPr>
              <w:keepNext/>
              <w:rPr>
                <w:color w:val="000000"/>
                <w:szCs w:val="22"/>
                <w:lang w:val="pt-PT"/>
              </w:rPr>
            </w:pPr>
            <w:r w:rsidRPr="00556B9B">
              <w:rPr>
                <w:rFonts w:cs="Times New Roman"/>
                <w:color w:val="000000"/>
                <w:szCs w:val="22"/>
                <w:lang w:val="hu-HU"/>
              </w:rPr>
              <w:t>Izomgyengeség, arthritis,</w:t>
            </w:r>
            <w:r w:rsidRPr="00556B9B">
              <w:rPr>
                <w:color w:val="000000"/>
                <w:szCs w:val="22"/>
              </w:rPr>
              <w:t xml:space="preserve"> rhabdomyolysis/myopathia</w:t>
            </w:r>
          </w:p>
        </w:tc>
      </w:tr>
      <w:tr w:rsidR="00135313" w:rsidRPr="001D3D33" w14:paraId="117E13CB" w14:textId="77777777" w:rsidTr="00FC4997">
        <w:tc>
          <w:tcPr>
            <w:tcW w:w="2235" w:type="dxa"/>
          </w:tcPr>
          <w:p w14:paraId="1BD28964" w14:textId="77777777" w:rsidR="00135313" w:rsidRPr="00556B9B" w:rsidRDefault="00135313">
            <w:pPr>
              <w:rPr>
                <w:i/>
                <w:iCs/>
                <w:noProof/>
                <w:color w:val="000000"/>
                <w:szCs w:val="22"/>
                <w:lang w:val="hu-HU"/>
              </w:rPr>
            </w:pPr>
            <w:r w:rsidRPr="00556B9B">
              <w:rPr>
                <w:i/>
                <w:color w:val="000000"/>
              </w:rPr>
              <w:t>Nem ismert:</w:t>
            </w:r>
          </w:p>
        </w:tc>
        <w:tc>
          <w:tcPr>
            <w:tcW w:w="7087" w:type="dxa"/>
          </w:tcPr>
          <w:p w14:paraId="76ED87C2" w14:textId="77777777" w:rsidR="00135313" w:rsidRPr="00556B9B" w:rsidRDefault="00135313" w:rsidP="0057612B">
            <w:pPr>
              <w:rPr>
                <w:rFonts w:cs="Times New Roman"/>
                <w:color w:val="000000"/>
                <w:szCs w:val="22"/>
                <w:lang w:val="hu-HU"/>
              </w:rPr>
            </w:pPr>
            <w:r w:rsidRPr="00556B9B">
              <w:rPr>
                <w:color w:val="000000"/>
                <w:lang w:val="hu-HU"/>
              </w:rPr>
              <w:t>Avascularis necrosis/csípő necrosis*, retardált növekedés gyermekeknél*</w:t>
            </w:r>
          </w:p>
        </w:tc>
      </w:tr>
      <w:tr w:rsidR="00921358" w:rsidRPr="001D3D33" w14:paraId="5C4996CB" w14:textId="77777777" w:rsidTr="00FC4997">
        <w:tc>
          <w:tcPr>
            <w:tcW w:w="9322" w:type="dxa"/>
            <w:gridSpan w:val="2"/>
          </w:tcPr>
          <w:p w14:paraId="2CC9FF08" w14:textId="77777777" w:rsidR="00921358" w:rsidRPr="00556B9B" w:rsidRDefault="00921358" w:rsidP="005C6E7A">
            <w:pPr>
              <w:keepNext/>
              <w:rPr>
                <w:b/>
                <w:color w:val="000000"/>
                <w:szCs w:val="22"/>
                <w:lang w:val="hu-HU"/>
              </w:rPr>
            </w:pPr>
            <w:r w:rsidRPr="00556B9B">
              <w:rPr>
                <w:b/>
                <w:color w:val="000000"/>
                <w:szCs w:val="22"/>
                <w:lang w:val="hu-HU"/>
              </w:rPr>
              <w:t>Vese- és húgyúti betegségek és tünetek</w:t>
            </w:r>
          </w:p>
        </w:tc>
      </w:tr>
      <w:tr w:rsidR="00921358" w:rsidRPr="00556B9B" w14:paraId="39138ECF" w14:textId="77777777" w:rsidTr="00FC4997">
        <w:tc>
          <w:tcPr>
            <w:tcW w:w="2235" w:type="dxa"/>
          </w:tcPr>
          <w:p w14:paraId="0E2ACF21" w14:textId="77777777" w:rsidR="00921358" w:rsidRPr="00556B9B" w:rsidRDefault="00921358" w:rsidP="005C6E7A">
            <w:pPr>
              <w:keepNext/>
              <w:rPr>
                <w:i/>
                <w:iCs/>
                <w:color w:val="000000"/>
              </w:rPr>
            </w:pPr>
            <w:r w:rsidRPr="00556B9B">
              <w:rPr>
                <w:i/>
                <w:iCs/>
                <w:noProof/>
                <w:color w:val="000000"/>
                <w:szCs w:val="22"/>
                <w:lang w:val="hu-HU"/>
              </w:rPr>
              <w:t>Nem gyakori:</w:t>
            </w:r>
          </w:p>
        </w:tc>
        <w:tc>
          <w:tcPr>
            <w:tcW w:w="7087" w:type="dxa"/>
          </w:tcPr>
          <w:p w14:paraId="1B58CF40" w14:textId="77777777" w:rsidR="00921358" w:rsidRPr="00556B9B" w:rsidRDefault="00921358" w:rsidP="005C6E7A">
            <w:pPr>
              <w:keepNext/>
              <w:rPr>
                <w:color w:val="000000"/>
              </w:rPr>
            </w:pPr>
            <w:r w:rsidRPr="00556B9B">
              <w:rPr>
                <w:rFonts w:cs="Times New Roman"/>
                <w:color w:val="000000"/>
                <w:szCs w:val="22"/>
                <w:lang w:val="hu-HU"/>
              </w:rPr>
              <w:t>Vesefájdalmak, haematuria, akut veseelégtelenség, gyakori vizelés</w:t>
            </w:r>
          </w:p>
        </w:tc>
      </w:tr>
      <w:tr w:rsidR="00513CB8" w:rsidRPr="00556B9B" w14:paraId="760D6E76" w14:textId="77777777" w:rsidTr="00FC4997">
        <w:tc>
          <w:tcPr>
            <w:tcW w:w="2235" w:type="dxa"/>
          </w:tcPr>
          <w:p w14:paraId="3E5A7CC2" w14:textId="77777777" w:rsidR="00513CB8" w:rsidRPr="00556B9B" w:rsidRDefault="00513CB8" w:rsidP="00781400">
            <w:pPr>
              <w:rPr>
                <w:i/>
                <w:iCs/>
                <w:noProof/>
                <w:color w:val="000000"/>
                <w:szCs w:val="22"/>
                <w:lang w:val="hu-HU"/>
              </w:rPr>
            </w:pPr>
            <w:r w:rsidRPr="00556B9B">
              <w:rPr>
                <w:i/>
                <w:iCs/>
                <w:noProof/>
                <w:color w:val="000000"/>
                <w:szCs w:val="22"/>
                <w:lang w:val="hu-HU"/>
              </w:rPr>
              <w:t>Nem ismert</w:t>
            </w:r>
            <w:r w:rsidR="00B42FC3" w:rsidRPr="00556B9B">
              <w:rPr>
                <w:i/>
                <w:iCs/>
                <w:noProof/>
                <w:color w:val="000000"/>
                <w:szCs w:val="22"/>
                <w:lang w:val="hu-HU"/>
              </w:rPr>
              <w:t>:</w:t>
            </w:r>
          </w:p>
        </w:tc>
        <w:tc>
          <w:tcPr>
            <w:tcW w:w="7087" w:type="dxa"/>
          </w:tcPr>
          <w:p w14:paraId="3070E4FC" w14:textId="77777777" w:rsidR="00513CB8" w:rsidRPr="00556B9B" w:rsidRDefault="00513CB8" w:rsidP="00781400">
            <w:pPr>
              <w:rPr>
                <w:rFonts w:cs="Times New Roman"/>
                <w:color w:val="000000"/>
                <w:szCs w:val="22"/>
                <w:lang w:val="hu-HU"/>
              </w:rPr>
            </w:pPr>
            <w:r w:rsidRPr="00556B9B">
              <w:rPr>
                <w:rFonts w:cs="Times New Roman"/>
                <w:color w:val="000000"/>
                <w:szCs w:val="22"/>
                <w:lang w:val="hu-HU"/>
              </w:rPr>
              <w:t>Krónikus veseelégtelenség</w:t>
            </w:r>
          </w:p>
        </w:tc>
      </w:tr>
      <w:tr w:rsidR="00921358" w:rsidRPr="00556B9B" w14:paraId="2E3B88F2" w14:textId="77777777" w:rsidTr="00FC4997">
        <w:tc>
          <w:tcPr>
            <w:tcW w:w="9322" w:type="dxa"/>
            <w:gridSpan w:val="2"/>
          </w:tcPr>
          <w:p w14:paraId="7C5399AD" w14:textId="77777777" w:rsidR="00921358" w:rsidRPr="00556B9B" w:rsidRDefault="00921358" w:rsidP="005C6E7A">
            <w:pPr>
              <w:keepNext/>
              <w:rPr>
                <w:color w:val="000000"/>
                <w:szCs w:val="22"/>
              </w:rPr>
            </w:pPr>
            <w:r w:rsidRPr="00556B9B">
              <w:rPr>
                <w:b/>
                <w:color w:val="000000"/>
                <w:szCs w:val="22"/>
                <w:lang w:val="hu-HU"/>
              </w:rPr>
              <w:t>A nemi szervekkel és az emlőkkel kapcsolatos betegségek és tünetek</w:t>
            </w:r>
          </w:p>
        </w:tc>
      </w:tr>
      <w:tr w:rsidR="00921358" w:rsidRPr="00556B9B" w14:paraId="255B2A67" w14:textId="77777777" w:rsidTr="00FC4997">
        <w:tc>
          <w:tcPr>
            <w:tcW w:w="2235" w:type="dxa"/>
          </w:tcPr>
          <w:p w14:paraId="3D017292" w14:textId="77777777" w:rsidR="00921358" w:rsidRPr="00556B9B" w:rsidRDefault="00921358" w:rsidP="005C6E7A">
            <w:pPr>
              <w:keepNext/>
              <w:rPr>
                <w:i/>
                <w:iCs/>
                <w:color w:val="000000"/>
                <w:szCs w:val="22"/>
              </w:rPr>
            </w:pPr>
            <w:r w:rsidRPr="00556B9B">
              <w:rPr>
                <w:i/>
                <w:iCs/>
                <w:noProof/>
                <w:color w:val="000000"/>
                <w:szCs w:val="22"/>
                <w:lang w:val="hu-HU"/>
              </w:rPr>
              <w:t>Nem gyakori:</w:t>
            </w:r>
          </w:p>
        </w:tc>
        <w:tc>
          <w:tcPr>
            <w:tcW w:w="7087" w:type="dxa"/>
          </w:tcPr>
          <w:p w14:paraId="7B952FE4" w14:textId="77777777" w:rsidR="00921358" w:rsidRPr="00556B9B" w:rsidRDefault="00921358" w:rsidP="005C6E7A">
            <w:pPr>
              <w:keepNext/>
              <w:rPr>
                <w:color w:val="000000"/>
                <w:szCs w:val="22"/>
              </w:rPr>
            </w:pPr>
            <w:r w:rsidRPr="00556B9B">
              <w:rPr>
                <w:rFonts w:cs="Times New Roman"/>
                <w:color w:val="000000"/>
                <w:szCs w:val="22"/>
                <w:lang w:val="hu-HU"/>
              </w:rPr>
              <w:t>Gynaecomastia, erectilis dysfunctio, menorrhagia, rendszertelen menstruáció, szexuális dysfunctio, emlőbimbó fájdalom, emlő megnagyobbodás, scrotalis ödéma</w:t>
            </w:r>
          </w:p>
        </w:tc>
      </w:tr>
      <w:tr w:rsidR="00921358" w:rsidRPr="001D3D33" w14:paraId="68300685" w14:textId="77777777" w:rsidTr="00FC4997">
        <w:tc>
          <w:tcPr>
            <w:tcW w:w="2235" w:type="dxa"/>
          </w:tcPr>
          <w:p w14:paraId="35766C8A" w14:textId="77777777" w:rsidR="00921358" w:rsidRPr="00556B9B" w:rsidRDefault="00921358" w:rsidP="005C6E7A">
            <w:pPr>
              <w:rPr>
                <w:i/>
                <w:iCs/>
                <w:noProof/>
                <w:color w:val="000000"/>
                <w:szCs w:val="22"/>
                <w:lang w:val="hu-HU"/>
              </w:rPr>
            </w:pPr>
            <w:r w:rsidRPr="00556B9B">
              <w:rPr>
                <w:i/>
                <w:iCs/>
                <w:noProof/>
                <w:color w:val="000000"/>
                <w:szCs w:val="22"/>
                <w:lang w:val="hu-HU"/>
              </w:rPr>
              <w:t>Ritka:</w:t>
            </w:r>
          </w:p>
        </w:tc>
        <w:tc>
          <w:tcPr>
            <w:tcW w:w="7087" w:type="dxa"/>
          </w:tcPr>
          <w:p w14:paraId="1B2EA9AD" w14:textId="77777777" w:rsidR="00921358" w:rsidRPr="00556B9B" w:rsidRDefault="00921358" w:rsidP="005C6E7A">
            <w:pPr>
              <w:rPr>
                <w:rFonts w:cs="Times New Roman"/>
                <w:color w:val="000000"/>
                <w:szCs w:val="22"/>
                <w:lang w:val="hu-HU"/>
              </w:rPr>
            </w:pPr>
            <w:r w:rsidRPr="00556B9B">
              <w:rPr>
                <w:color w:val="000000"/>
                <w:szCs w:val="22"/>
                <w:lang w:val="hu-HU"/>
              </w:rPr>
              <w:t>Corpus luteum haemorrhagicum/cysta ovarii haemorrhagicum</w:t>
            </w:r>
          </w:p>
        </w:tc>
      </w:tr>
      <w:tr w:rsidR="00921358" w:rsidRPr="001D3D33" w14:paraId="13CAA04C" w14:textId="77777777" w:rsidTr="00FC4997">
        <w:tc>
          <w:tcPr>
            <w:tcW w:w="9322" w:type="dxa"/>
            <w:gridSpan w:val="2"/>
          </w:tcPr>
          <w:p w14:paraId="157710C2" w14:textId="77777777" w:rsidR="00921358" w:rsidRPr="00556B9B" w:rsidRDefault="00921358" w:rsidP="005C6E7A">
            <w:pPr>
              <w:keepNext/>
              <w:rPr>
                <w:color w:val="000000"/>
                <w:szCs w:val="22"/>
                <w:lang w:val="hu-HU"/>
              </w:rPr>
            </w:pPr>
            <w:r w:rsidRPr="00556B9B">
              <w:rPr>
                <w:b/>
                <w:color w:val="000000"/>
                <w:szCs w:val="22"/>
                <w:lang w:val="hu-HU"/>
              </w:rPr>
              <w:t>Általános tünetek, az alkalmazás helyén fellépő reakciók</w:t>
            </w:r>
          </w:p>
        </w:tc>
      </w:tr>
      <w:tr w:rsidR="00921358" w:rsidRPr="00556B9B" w14:paraId="4D880559" w14:textId="77777777" w:rsidTr="00FC4997">
        <w:tc>
          <w:tcPr>
            <w:tcW w:w="2235" w:type="dxa"/>
          </w:tcPr>
          <w:p w14:paraId="5F743177" w14:textId="77777777" w:rsidR="00921358" w:rsidRPr="00556B9B" w:rsidRDefault="00921358" w:rsidP="005C6E7A">
            <w:pPr>
              <w:keepNext/>
              <w:rPr>
                <w:i/>
                <w:iCs/>
                <w:color w:val="000000"/>
                <w:szCs w:val="22"/>
              </w:rPr>
            </w:pPr>
            <w:r w:rsidRPr="00556B9B">
              <w:rPr>
                <w:rFonts w:cs="Times New Roman"/>
                <w:i/>
                <w:iCs/>
                <w:noProof/>
                <w:color w:val="000000"/>
                <w:szCs w:val="22"/>
                <w:lang w:val="hu-HU"/>
              </w:rPr>
              <w:t>Nagyon gyakori:</w:t>
            </w:r>
          </w:p>
        </w:tc>
        <w:tc>
          <w:tcPr>
            <w:tcW w:w="7087" w:type="dxa"/>
          </w:tcPr>
          <w:p w14:paraId="079A825E" w14:textId="77777777" w:rsidR="00921358" w:rsidRPr="00556B9B" w:rsidRDefault="00921358" w:rsidP="005C6E7A">
            <w:pPr>
              <w:keepNext/>
              <w:rPr>
                <w:color w:val="000000"/>
                <w:szCs w:val="22"/>
              </w:rPr>
            </w:pPr>
            <w:r w:rsidRPr="00556B9B">
              <w:rPr>
                <w:rFonts w:cs="Times New Roman"/>
                <w:color w:val="000000"/>
                <w:szCs w:val="22"/>
                <w:lang w:val="hu-HU"/>
              </w:rPr>
              <w:t>Folyadékretenció és ödéma, fáradékonyság</w:t>
            </w:r>
          </w:p>
        </w:tc>
      </w:tr>
      <w:tr w:rsidR="00921358" w:rsidRPr="00462020" w14:paraId="65658263" w14:textId="77777777" w:rsidTr="00FC4997">
        <w:tc>
          <w:tcPr>
            <w:tcW w:w="2235" w:type="dxa"/>
          </w:tcPr>
          <w:p w14:paraId="7641FFD2" w14:textId="77777777" w:rsidR="00921358" w:rsidRPr="00556B9B" w:rsidRDefault="00921358" w:rsidP="005C6E7A">
            <w:pPr>
              <w:keepNext/>
              <w:rPr>
                <w:i/>
                <w:iCs/>
                <w:color w:val="000000"/>
                <w:szCs w:val="22"/>
              </w:rPr>
            </w:pPr>
            <w:r w:rsidRPr="00556B9B">
              <w:rPr>
                <w:rFonts w:cs="Times New Roman"/>
                <w:i/>
                <w:iCs/>
                <w:noProof/>
                <w:color w:val="000000"/>
                <w:szCs w:val="22"/>
                <w:lang w:val="hu-HU"/>
              </w:rPr>
              <w:t>Gyakori:</w:t>
            </w:r>
          </w:p>
        </w:tc>
        <w:tc>
          <w:tcPr>
            <w:tcW w:w="7087" w:type="dxa"/>
          </w:tcPr>
          <w:p w14:paraId="5D0008FC" w14:textId="77777777" w:rsidR="00921358" w:rsidRPr="001D3D33" w:rsidRDefault="00921358" w:rsidP="005C6E7A">
            <w:pPr>
              <w:keepNext/>
              <w:rPr>
                <w:color w:val="000000"/>
                <w:szCs w:val="22"/>
              </w:rPr>
            </w:pPr>
            <w:r w:rsidRPr="00556B9B">
              <w:rPr>
                <w:rFonts w:cs="Times New Roman"/>
                <w:color w:val="000000"/>
                <w:szCs w:val="22"/>
                <w:lang w:val="hu-HU"/>
              </w:rPr>
              <w:t>Gyengeség, láz, anasarca, hidegrázás, borzongás</w:t>
            </w:r>
          </w:p>
        </w:tc>
      </w:tr>
      <w:tr w:rsidR="00921358" w:rsidRPr="00556B9B" w14:paraId="320AA66D" w14:textId="77777777" w:rsidTr="00FC4997">
        <w:tc>
          <w:tcPr>
            <w:tcW w:w="2235" w:type="dxa"/>
          </w:tcPr>
          <w:p w14:paraId="0247FDD0" w14:textId="77777777" w:rsidR="00921358" w:rsidRPr="00556B9B" w:rsidRDefault="00921358">
            <w:pPr>
              <w:rPr>
                <w:i/>
                <w:iCs/>
                <w:color w:val="000000"/>
                <w:szCs w:val="22"/>
              </w:rPr>
            </w:pPr>
            <w:r w:rsidRPr="00556B9B">
              <w:rPr>
                <w:i/>
                <w:iCs/>
                <w:noProof/>
                <w:color w:val="000000"/>
                <w:szCs w:val="22"/>
                <w:lang w:val="hu-HU"/>
              </w:rPr>
              <w:t>Nem gyakori:</w:t>
            </w:r>
          </w:p>
        </w:tc>
        <w:tc>
          <w:tcPr>
            <w:tcW w:w="7087" w:type="dxa"/>
          </w:tcPr>
          <w:p w14:paraId="1EE0D2FB" w14:textId="77777777" w:rsidR="00921358" w:rsidRPr="00556B9B" w:rsidRDefault="00921358">
            <w:pPr>
              <w:rPr>
                <w:color w:val="000000"/>
                <w:szCs w:val="22"/>
              </w:rPr>
            </w:pPr>
            <w:r w:rsidRPr="00556B9B">
              <w:rPr>
                <w:rFonts w:cs="Times New Roman"/>
                <w:color w:val="000000"/>
                <w:szCs w:val="22"/>
                <w:lang w:val="hu-HU"/>
              </w:rPr>
              <w:t>Mellkasi fájdalom, rossz közérzet</w:t>
            </w:r>
          </w:p>
        </w:tc>
      </w:tr>
      <w:tr w:rsidR="00921358" w:rsidRPr="00556B9B" w14:paraId="4A0F29B2" w14:textId="77777777" w:rsidTr="00FC4997">
        <w:tc>
          <w:tcPr>
            <w:tcW w:w="9322" w:type="dxa"/>
            <w:gridSpan w:val="2"/>
          </w:tcPr>
          <w:p w14:paraId="5D9F79C4" w14:textId="77777777" w:rsidR="00921358" w:rsidRPr="00556B9B" w:rsidRDefault="00921358" w:rsidP="005C6E7A">
            <w:pPr>
              <w:keepNext/>
              <w:rPr>
                <w:color w:val="000000"/>
                <w:lang w:val="hu-HU"/>
              </w:rPr>
            </w:pPr>
            <w:r w:rsidRPr="00556B9B">
              <w:rPr>
                <w:rFonts w:cs="Times New Roman"/>
                <w:b/>
                <w:color w:val="000000"/>
                <w:szCs w:val="22"/>
                <w:lang w:val="hu-HU"/>
              </w:rPr>
              <w:lastRenderedPageBreak/>
              <w:t>Laboratóriumi és egyéb vizsgálatok eredményei</w:t>
            </w:r>
          </w:p>
        </w:tc>
      </w:tr>
      <w:tr w:rsidR="00921358" w:rsidRPr="00556B9B" w14:paraId="5C388E0E" w14:textId="77777777" w:rsidTr="00FC4997">
        <w:tc>
          <w:tcPr>
            <w:tcW w:w="2235" w:type="dxa"/>
          </w:tcPr>
          <w:p w14:paraId="42BF752B" w14:textId="77777777" w:rsidR="00921358" w:rsidRPr="00556B9B" w:rsidRDefault="00921358" w:rsidP="005C6E7A">
            <w:pPr>
              <w:keepNext/>
              <w:rPr>
                <w:i/>
                <w:iCs/>
                <w:color w:val="000000"/>
              </w:rPr>
            </w:pPr>
            <w:r w:rsidRPr="00556B9B">
              <w:rPr>
                <w:rFonts w:cs="Times New Roman"/>
                <w:i/>
                <w:iCs/>
                <w:noProof/>
                <w:color w:val="000000"/>
                <w:szCs w:val="22"/>
                <w:lang w:val="hu-HU"/>
              </w:rPr>
              <w:t>Nagyon gyakori:</w:t>
            </w:r>
          </w:p>
        </w:tc>
        <w:tc>
          <w:tcPr>
            <w:tcW w:w="7087" w:type="dxa"/>
          </w:tcPr>
          <w:p w14:paraId="45FED4DA" w14:textId="77777777" w:rsidR="00921358" w:rsidRPr="00556B9B" w:rsidRDefault="00921358" w:rsidP="005C6E7A">
            <w:pPr>
              <w:keepNext/>
              <w:rPr>
                <w:color w:val="000000"/>
              </w:rPr>
            </w:pPr>
            <w:r w:rsidRPr="00556B9B">
              <w:rPr>
                <w:color w:val="000000"/>
                <w:szCs w:val="22"/>
              </w:rPr>
              <w:t>Testtömeg-növekedés</w:t>
            </w:r>
          </w:p>
        </w:tc>
      </w:tr>
      <w:tr w:rsidR="00921358" w:rsidRPr="00556B9B" w14:paraId="09BAEE5E" w14:textId="77777777" w:rsidTr="00FC4997">
        <w:tc>
          <w:tcPr>
            <w:tcW w:w="2235" w:type="dxa"/>
          </w:tcPr>
          <w:p w14:paraId="00AE8748" w14:textId="77777777" w:rsidR="00921358" w:rsidRPr="00556B9B" w:rsidRDefault="00921358" w:rsidP="005C6E7A">
            <w:pPr>
              <w:keepNext/>
              <w:rPr>
                <w:i/>
                <w:iCs/>
                <w:color w:val="000000"/>
              </w:rPr>
            </w:pPr>
            <w:r w:rsidRPr="00556B9B">
              <w:rPr>
                <w:rFonts w:cs="Times New Roman"/>
                <w:i/>
                <w:iCs/>
                <w:noProof/>
                <w:color w:val="000000"/>
                <w:szCs w:val="22"/>
                <w:lang w:val="hu-HU"/>
              </w:rPr>
              <w:t>Gyakori:</w:t>
            </w:r>
          </w:p>
        </w:tc>
        <w:tc>
          <w:tcPr>
            <w:tcW w:w="7087" w:type="dxa"/>
          </w:tcPr>
          <w:p w14:paraId="4288809D" w14:textId="77777777" w:rsidR="00921358" w:rsidRPr="00556B9B" w:rsidRDefault="00921358" w:rsidP="005C6E7A">
            <w:pPr>
              <w:keepNext/>
              <w:rPr>
                <w:color w:val="000000"/>
              </w:rPr>
            </w:pPr>
            <w:r w:rsidRPr="00556B9B">
              <w:rPr>
                <w:color w:val="000000"/>
                <w:szCs w:val="22"/>
              </w:rPr>
              <w:t>Testtömeg-csökkenés</w:t>
            </w:r>
          </w:p>
        </w:tc>
      </w:tr>
      <w:tr w:rsidR="00921358" w:rsidRPr="00556B9B" w14:paraId="18E04DBF" w14:textId="77777777" w:rsidTr="00FC4997">
        <w:tc>
          <w:tcPr>
            <w:tcW w:w="2235" w:type="dxa"/>
          </w:tcPr>
          <w:p w14:paraId="6357373B" w14:textId="77777777" w:rsidR="00921358" w:rsidRPr="00556B9B" w:rsidRDefault="00921358" w:rsidP="005C6E7A">
            <w:pPr>
              <w:keepNext/>
              <w:rPr>
                <w:i/>
                <w:iCs/>
                <w:color w:val="000000"/>
              </w:rPr>
            </w:pPr>
            <w:r w:rsidRPr="00556B9B">
              <w:rPr>
                <w:i/>
                <w:iCs/>
                <w:noProof/>
                <w:color w:val="000000"/>
                <w:szCs w:val="22"/>
                <w:lang w:val="hu-HU"/>
              </w:rPr>
              <w:t>Nem gyakori:</w:t>
            </w:r>
          </w:p>
        </w:tc>
        <w:tc>
          <w:tcPr>
            <w:tcW w:w="7087" w:type="dxa"/>
          </w:tcPr>
          <w:p w14:paraId="23EEBD49" w14:textId="77777777" w:rsidR="00921358" w:rsidRPr="00556B9B" w:rsidRDefault="00921358" w:rsidP="005C6E7A">
            <w:pPr>
              <w:keepNext/>
              <w:rPr>
                <w:color w:val="000000"/>
              </w:rPr>
            </w:pPr>
            <w:r w:rsidRPr="00556B9B">
              <w:rPr>
                <w:rFonts w:cs="Times New Roman"/>
                <w:color w:val="000000"/>
                <w:szCs w:val="22"/>
                <w:lang w:val="hu-HU"/>
              </w:rPr>
              <w:t>A vér kreatininszint emelkedése, a vér kreatinfoszfokináz-szint emelkedése, a vér laktátdehidrogenáz-szint emelkedése, a vér alkalikus-foszfatázszint emelkedése</w:t>
            </w:r>
          </w:p>
        </w:tc>
      </w:tr>
      <w:tr w:rsidR="00921358" w:rsidRPr="00556B9B" w14:paraId="19DE16B0" w14:textId="77777777" w:rsidTr="00FC4997">
        <w:tc>
          <w:tcPr>
            <w:tcW w:w="2235" w:type="dxa"/>
          </w:tcPr>
          <w:p w14:paraId="70136303" w14:textId="77777777" w:rsidR="00921358" w:rsidRPr="00556B9B" w:rsidRDefault="00921358" w:rsidP="005C6E7A">
            <w:pPr>
              <w:keepNext/>
              <w:rPr>
                <w:i/>
                <w:iCs/>
                <w:noProof/>
                <w:color w:val="000000"/>
                <w:szCs w:val="22"/>
                <w:lang w:val="hu-HU"/>
              </w:rPr>
            </w:pPr>
            <w:r w:rsidRPr="00556B9B">
              <w:rPr>
                <w:i/>
                <w:iCs/>
                <w:noProof/>
                <w:color w:val="000000"/>
                <w:szCs w:val="22"/>
                <w:lang w:val="hu-HU"/>
              </w:rPr>
              <w:t>Ritka:</w:t>
            </w:r>
          </w:p>
        </w:tc>
        <w:tc>
          <w:tcPr>
            <w:tcW w:w="7087" w:type="dxa"/>
          </w:tcPr>
          <w:p w14:paraId="32CA66FF" w14:textId="77777777" w:rsidR="00921358" w:rsidRPr="00556B9B" w:rsidRDefault="00921358" w:rsidP="005C6E7A">
            <w:pPr>
              <w:keepNext/>
              <w:rPr>
                <w:rFonts w:cs="Times New Roman"/>
                <w:color w:val="000000"/>
                <w:szCs w:val="22"/>
                <w:lang w:val="hu-HU"/>
              </w:rPr>
            </w:pPr>
            <w:r w:rsidRPr="00556B9B">
              <w:rPr>
                <w:rFonts w:cs="Times New Roman"/>
                <w:color w:val="000000"/>
                <w:szCs w:val="22"/>
                <w:lang w:val="hu-HU"/>
              </w:rPr>
              <w:t>A vér amilázszint emelkedése</w:t>
            </w:r>
          </w:p>
        </w:tc>
      </w:tr>
    </w:tbl>
    <w:p w14:paraId="78190D70" w14:textId="77777777" w:rsidR="008F1613" w:rsidRPr="00556B9B" w:rsidRDefault="008F1613" w:rsidP="005C6E7A">
      <w:pPr>
        <w:keepNext/>
        <w:widowControl w:val="0"/>
        <w:spacing w:line="240" w:lineRule="auto"/>
        <w:rPr>
          <w:color w:val="000000"/>
        </w:rPr>
      </w:pPr>
    </w:p>
    <w:p w14:paraId="74258808" w14:textId="77777777" w:rsidR="008F1613" w:rsidRPr="00556B9B" w:rsidRDefault="008F1613" w:rsidP="005C6E7A">
      <w:pPr>
        <w:keepNext/>
        <w:keepLines/>
        <w:widowControl w:val="0"/>
        <w:spacing w:line="240" w:lineRule="auto"/>
        <w:ind w:left="567" w:hanging="567"/>
        <w:rPr>
          <w:color w:val="000000"/>
          <w:lang w:val="hu-HU"/>
        </w:rPr>
      </w:pPr>
      <w:r w:rsidRPr="00556B9B">
        <w:rPr>
          <w:color w:val="000000"/>
        </w:rPr>
        <w:t>*</w:t>
      </w:r>
      <w:r w:rsidRPr="00556B9B">
        <w:tab/>
      </w:r>
      <w:r w:rsidRPr="00556B9B">
        <w:rPr>
          <w:color w:val="000000"/>
        </w:rPr>
        <w:t>Ezeket a típusú reakciókat elsősorban a Glivec-kel a forgalomba hozatalt követően szerzett tapa</w:t>
      </w:r>
      <w:r w:rsidR="00A634EB" w:rsidRPr="00556B9B">
        <w:rPr>
          <w:color w:val="000000"/>
        </w:rPr>
        <w:t xml:space="preserve">sztalatok alapján jelentették. </w:t>
      </w:r>
      <w:r w:rsidRPr="00556B9B">
        <w:rPr>
          <w:color w:val="000000"/>
        </w:rPr>
        <w:t xml:space="preserve">Ezek közé spontán esetismertetések, valamint folyamatban lévő vizsgálatokból, kiterjesztett </w:t>
      </w:r>
      <w:r w:rsidR="00A634EB" w:rsidRPr="00556B9B">
        <w:rPr>
          <w:color w:val="000000"/>
        </w:rPr>
        <w:t>gyógyszer</w:t>
      </w:r>
      <w:r w:rsidRPr="00556B9B">
        <w:rPr>
          <w:color w:val="000000"/>
        </w:rPr>
        <w:t>hozzáférési programokból, klinikai farmakológiai vizsgálatokból és nem engedélyezett indikációkban folytatott, feltáró jellegű vizsgálatokból jelentett súlyos nemkívánatos események</w:t>
      </w:r>
      <w:r w:rsidR="00A634EB" w:rsidRPr="00556B9B">
        <w:rPr>
          <w:color w:val="000000"/>
        </w:rPr>
        <w:t xml:space="preserve"> tartoznak</w:t>
      </w:r>
      <w:r w:rsidRPr="00556B9B">
        <w:rPr>
          <w:color w:val="000000"/>
        </w:rPr>
        <w:t>. Mivel ezeket a reakciókat egy bizonytalan méretű populációból jelentették, a gyakoriságukat nem mindig lehet megbízhatóan megbecsülni vagy az imatinib-expozícióval való oki összefüggést megállapítani.</w:t>
      </w:r>
    </w:p>
    <w:p w14:paraId="5EE08EF8" w14:textId="77777777" w:rsidR="00821127" w:rsidRPr="00556B9B" w:rsidRDefault="00910FC8" w:rsidP="005C6E7A">
      <w:pPr>
        <w:keepNext/>
        <w:keepLines/>
        <w:spacing w:line="240" w:lineRule="auto"/>
        <w:ind w:left="567" w:hanging="567"/>
        <w:rPr>
          <w:color w:val="000000"/>
          <w:lang w:val="hu-HU"/>
        </w:rPr>
      </w:pPr>
      <w:r w:rsidRPr="00556B9B">
        <w:rPr>
          <w:color w:val="000000"/>
          <w:lang w:val="hu-HU"/>
        </w:rPr>
        <w:t>1</w:t>
      </w:r>
      <w:r w:rsidRPr="00556B9B">
        <w:rPr>
          <w:color w:val="000000"/>
          <w:lang w:val="hu-HU"/>
        </w:rPr>
        <w:tab/>
      </w:r>
      <w:r w:rsidR="00821127" w:rsidRPr="00556B9B">
        <w:rPr>
          <w:color w:val="000000"/>
          <w:lang w:val="hu-HU"/>
        </w:rPr>
        <w:t>Pneumoniáról a leggyakrabban transzformált CML</w:t>
      </w:r>
      <w:r w:rsidR="00821127" w:rsidRPr="00556B9B">
        <w:rPr>
          <w:color w:val="000000"/>
          <w:lang w:val="hu-HU"/>
        </w:rPr>
        <w:noBreakHyphen/>
        <w:t>ben, valamint GIST</w:t>
      </w:r>
      <w:r w:rsidR="00821127" w:rsidRPr="00556B9B">
        <w:rPr>
          <w:color w:val="000000"/>
          <w:lang w:val="hu-HU"/>
        </w:rPr>
        <w:noBreakHyphen/>
        <w:t>ben szenvedő betegeknél számoltak be.</w:t>
      </w:r>
    </w:p>
    <w:p w14:paraId="67D9A7DE" w14:textId="77777777" w:rsidR="00910FC8" w:rsidRPr="007C3BCA" w:rsidRDefault="00910FC8" w:rsidP="005C6E7A">
      <w:pPr>
        <w:keepNext/>
        <w:keepLines/>
        <w:spacing w:line="240" w:lineRule="auto"/>
        <w:ind w:left="567" w:hanging="567"/>
        <w:rPr>
          <w:color w:val="000000"/>
          <w:lang w:val="hu-HU"/>
        </w:rPr>
      </w:pPr>
      <w:r w:rsidRPr="00556B9B">
        <w:rPr>
          <w:color w:val="000000"/>
          <w:lang w:val="hu-HU"/>
        </w:rPr>
        <w:t>2</w:t>
      </w:r>
      <w:r w:rsidRPr="00556B9B">
        <w:rPr>
          <w:color w:val="000000"/>
          <w:lang w:val="hu-HU"/>
        </w:rPr>
        <w:tab/>
        <w:t>A fejfájás a GIST</w:t>
      </w:r>
      <w:r w:rsidRPr="00556B9B">
        <w:rPr>
          <w:color w:val="000000"/>
          <w:lang w:val="hu-HU"/>
        </w:rPr>
        <w:noBreakHyphen/>
        <w:t xml:space="preserve">ben szenvedő betegek esetében volt a </w:t>
      </w:r>
      <w:r w:rsidRPr="007C3BCA">
        <w:rPr>
          <w:color w:val="000000"/>
          <w:lang w:val="hu-HU"/>
        </w:rPr>
        <w:t>leggyakoribb.</w:t>
      </w:r>
    </w:p>
    <w:p w14:paraId="2409DF72" w14:textId="30572BA0" w:rsidR="001F4BCC" w:rsidRPr="007C3BCA" w:rsidRDefault="00910FC8" w:rsidP="005C6E7A">
      <w:pPr>
        <w:keepNext/>
        <w:keepLines/>
        <w:spacing w:line="240" w:lineRule="auto"/>
        <w:ind w:left="567" w:hanging="567"/>
        <w:rPr>
          <w:color w:val="000000"/>
          <w:lang w:val="hu-HU"/>
        </w:rPr>
      </w:pPr>
      <w:r w:rsidRPr="007C3BCA">
        <w:rPr>
          <w:color w:val="000000"/>
          <w:lang w:val="hu-HU"/>
        </w:rPr>
        <w:t>3</w:t>
      </w:r>
      <w:r w:rsidRPr="007C3BCA">
        <w:rPr>
          <w:color w:val="000000"/>
          <w:lang w:val="hu-HU"/>
        </w:rPr>
        <w:tab/>
      </w:r>
      <w:r w:rsidR="001F4BCC" w:rsidRPr="007C3BCA">
        <w:rPr>
          <w:color w:val="000000"/>
          <w:lang w:val="hu-HU"/>
        </w:rPr>
        <w:t>Betegévre vetítve gyakrabban figyeltek meg cardialis eseményeket, beleértve a pangásos szívelégtelenséget transzformált CML</w:t>
      </w:r>
      <w:r w:rsidR="001F4BCC" w:rsidRPr="007C3BCA">
        <w:rPr>
          <w:color w:val="000000"/>
          <w:lang w:val="hu-HU"/>
        </w:rPr>
        <w:noBreakHyphen/>
        <w:t>ben szenvedő betegek</w:t>
      </w:r>
      <w:r w:rsidR="00C45EB0" w:rsidRPr="007C3BCA">
        <w:rPr>
          <w:color w:val="000000"/>
          <w:lang w:val="hu-HU"/>
        </w:rPr>
        <w:t>nél</w:t>
      </w:r>
      <w:r w:rsidR="001F4BCC" w:rsidRPr="007C3BCA">
        <w:rPr>
          <w:color w:val="000000"/>
          <w:lang w:val="hu-HU"/>
        </w:rPr>
        <w:t>, mint krónikus CML</w:t>
      </w:r>
      <w:r w:rsidR="001F4BCC" w:rsidRPr="007C3BCA">
        <w:rPr>
          <w:color w:val="000000"/>
          <w:lang w:val="hu-HU"/>
        </w:rPr>
        <w:noBreakHyphen/>
        <w:t>ben szenvedő betegek</w:t>
      </w:r>
      <w:r w:rsidR="00C45EB0" w:rsidRPr="007C3BCA">
        <w:rPr>
          <w:color w:val="000000"/>
          <w:lang w:val="hu-HU"/>
        </w:rPr>
        <w:t>nél</w:t>
      </w:r>
      <w:r w:rsidR="001F4BCC" w:rsidRPr="007C3BCA">
        <w:rPr>
          <w:color w:val="000000"/>
          <w:lang w:val="hu-HU"/>
        </w:rPr>
        <w:t>.</w:t>
      </w:r>
    </w:p>
    <w:p w14:paraId="29CDCC31" w14:textId="77777777" w:rsidR="001F4BCC" w:rsidRPr="00556B9B" w:rsidRDefault="001F4BCC" w:rsidP="005C6E7A">
      <w:pPr>
        <w:keepNext/>
        <w:keepLines/>
        <w:spacing w:line="240" w:lineRule="auto"/>
        <w:ind w:left="567" w:hanging="567"/>
        <w:rPr>
          <w:color w:val="000000"/>
          <w:lang w:val="hu-HU"/>
        </w:rPr>
      </w:pPr>
      <w:r w:rsidRPr="007C3BCA">
        <w:rPr>
          <w:color w:val="000000"/>
          <w:lang w:val="hu-HU"/>
        </w:rPr>
        <w:t>4</w:t>
      </w:r>
      <w:r w:rsidRPr="007C3BCA">
        <w:rPr>
          <w:color w:val="000000"/>
          <w:lang w:val="hu-HU"/>
        </w:rPr>
        <w:tab/>
        <w:t>A kipirulás a GIST</w:t>
      </w:r>
      <w:r w:rsidRPr="007C3BCA">
        <w:rPr>
          <w:color w:val="000000"/>
          <w:lang w:val="hu-HU"/>
        </w:rPr>
        <w:noBreakHyphen/>
        <w:t>ben, míg a vérzés (haematoma, haemorrhagia</w:t>
      </w:r>
      <w:r w:rsidRPr="00556B9B">
        <w:rPr>
          <w:color w:val="000000"/>
          <w:lang w:val="hu-HU"/>
        </w:rPr>
        <w:t>) a GIST</w:t>
      </w:r>
      <w:r w:rsidRPr="00556B9B">
        <w:rPr>
          <w:color w:val="000000"/>
          <w:lang w:val="hu-HU"/>
        </w:rPr>
        <w:noBreakHyphen/>
        <w:t>ben és a transzformált CML</w:t>
      </w:r>
      <w:r w:rsidRPr="00556B9B">
        <w:rPr>
          <w:color w:val="000000"/>
          <w:lang w:val="hu-HU"/>
        </w:rPr>
        <w:noBreakHyphen/>
        <w:t>ben (CML</w:t>
      </w:r>
      <w:r w:rsidRPr="00556B9B">
        <w:rPr>
          <w:color w:val="000000"/>
          <w:lang w:val="hu-HU"/>
        </w:rPr>
        <w:noBreakHyphen/>
        <w:t>AP és CML</w:t>
      </w:r>
      <w:r w:rsidRPr="00556B9B">
        <w:rPr>
          <w:color w:val="000000"/>
          <w:lang w:val="hu-HU"/>
        </w:rPr>
        <w:noBreakHyphen/>
        <w:t>BC) szenvedő betegeknél volt a leggyakoribb.</w:t>
      </w:r>
    </w:p>
    <w:p w14:paraId="571F3AFB" w14:textId="77777777" w:rsidR="00910FC8" w:rsidRPr="00556B9B" w:rsidRDefault="001F4BCC" w:rsidP="005C6E7A">
      <w:pPr>
        <w:keepNext/>
        <w:keepLines/>
        <w:spacing w:line="240" w:lineRule="auto"/>
        <w:ind w:left="567" w:hanging="567"/>
        <w:rPr>
          <w:color w:val="000000"/>
          <w:lang w:val="hu-HU"/>
        </w:rPr>
      </w:pPr>
      <w:r w:rsidRPr="00556B9B">
        <w:rPr>
          <w:color w:val="000000"/>
          <w:lang w:val="hu-HU"/>
        </w:rPr>
        <w:t>5</w:t>
      </w:r>
      <w:r w:rsidRPr="00556B9B">
        <w:rPr>
          <w:color w:val="000000"/>
          <w:lang w:val="hu-HU"/>
        </w:rPr>
        <w:tab/>
      </w:r>
      <w:r w:rsidR="00910FC8" w:rsidRPr="00556B9B">
        <w:rPr>
          <w:color w:val="000000"/>
          <w:lang w:val="hu-HU"/>
        </w:rPr>
        <w:t>Pleuralis folyadékgyülemről gyakrabban számoltak be GIST</w:t>
      </w:r>
      <w:r w:rsidR="00910FC8" w:rsidRPr="00556B9B">
        <w:rPr>
          <w:color w:val="000000"/>
          <w:lang w:val="hu-HU"/>
        </w:rPr>
        <w:noBreakHyphen/>
        <w:t>ben, illetve transzformált CML</w:t>
      </w:r>
      <w:r w:rsidR="00910FC8" w:rsidRPr="00556B9B">
        <w:rPr>
          <w:color w:val="000000"/>
          <w:lang w:val="hu-HU"/>
        </w:rPr>
        <w:noBreakHyphen/>
        <w:t>ben (CML</w:t>
      </w:r>
      <w:r w:rsidR="00910FC8" w:rsidRPr="00556B9B">
        <w:rPr>
          <w:color w:val="000000"/>
          <w:lang w:val="hu-HU"/>
        </w:rPr>
        <w:noBreakHyphen/>
        <w:t>AP és CML</w:t>
      </w:r>
      <w:r w:rsidR="00910FC8" w:rsidRPr="00556B9B">
        <w:rPr>
          <w:color w:val="000000"/>
          <w:lang w:val="hu-HU"/>
        </w:rPr>
        <w:noBreakHyphen/>
        <w:t>BC), mint krónikus CML</w:t>
      </w:r>
      <w:r w:rsidR="00910FC8" w:rsidRPr="00556B9B">
        <w:rPr>
          <w:color w:val="000000"/>
          <w:lang w:val="hu-HU"/>
        </w:rPr>
        <w:noBreakHyphen/>
        <w:t>ben szenvedő betegeknél.</w:t>
      </w:r>
    </w:p>
    <w:p w14:paraId="64269E73" w14:textId="77777777" w:rsidR="00910FC8" w:rsidRPr="00556B9B" w:rsidRDefault="001F4BCC" w:rsidP="005C6E7A">
      <w:pPr>
        <w:keepNext/>
        <w:keepLines/>
        <w:spacing w:line="240" w:lineRule="auto"/>
        <w:ind w:left="567" w:hanging="567"/>
        <w:rPr>
          <w:color w:val="000000"/>
          <w:lang w:val="hu-HU"/>
        </w:rPr>
      </w:pPr>
      <w:r w:rsidRPr="00556B9B">
        <w:rPr>
          <w:color w:val="000000"/>
          <w:lang w:val="hu-HU"/>
        </w:rPr>
        <w:t>6+7</w:t>
      </w:r>
      <w:r w:rsidR="00910FC8" w:rsidRPr="00556B9B">
        <w:rPr>
          <w:color w:val="000000"/>
          <w:lang w:val="hu-HU"/>
        </w:rPr>
        <w:tab/>
        <w:t>Hasfájást és gastrointestinalis vérzést a leggyakrabban GIST</w:t>
      </w:r>
      <w:r w:rsidR="00910FC8" w:rsidRPr="00556B9B">
        <w:rPr>
          <w:color w:val="000000"/>
          <w:lang w:val="hu-HU"/>
        </w:rPr>
        <w:noBreakHyphen/>
        <w:t>ben szenvedő betegeknél figyeltek meg.</w:t>
      </w:r>
    </w:p>
    <w:p w14:paraId="389997DD" w14:textId="77777777" w:rsidR="00217583" w:rsidRPr="00556B9B" w:rsidRDefault="001F4BCC" w:rsidP="005C6E7A">
      <w:pPr>
        <w:keepNext/>
        <w:keepLines/>
        <w:spacing w:line="240" w:lineRule="auto"/>
        <w:rPr>
          <w:color w:val="000000"/>
          <w:lang w:val="hu-HU"/>
        </w:rPr>
      </w:pPr>
      <w:r w:rsidRPr="00556B9B">
        <w:rPr>
          <w:color w:val="000000"/>
          <w:lang w:val="hu-HU"/>
        </w:rPr>
        <w:t>8</w:t>
      </w:r>
      <w:r w:rsidRPr="00556B9B">
        <w:rPr>
          <w:color w:val="000000"/>
          <w:lang w:val="hu-HU"/>
        </w:rPr>
        <w:tab/>
        <w:t>Beszámoltak néhány halálos kimenetelű májelégtelenségről, illetve májnecrosisról.</w:t>
      </w:r>
    </w:p>
    <w:p w14:paraId="7763DD50" w14:textId="77777777" w:rsidR="00217583" w:rsidRPr="00556B9B" w:rsidRDefault="00217583" w:rsidP="005C6E7A">
      <w:pPr>
        <w:keepNext/>
        <w:keepLines/>
        <w:spacing w:line="240" w:lineRule="auto"/>
        <w:ind w:left="567" w:hanging="567"/>
        <w:rPr>
          <w:color w:val="000000"/>
          <w:lang w:val="hu-HU"/>
        </w:rPr>
      </w:pPr>
      <w:r w:rsidRPr="00556B9B">
        <w:rPr>
          <w:color w:val="000000"/>
          <w:lang w:val="hu-HU"/>
        </w:rPr>
        <w:t>9</w:t>
      </w:r>
      <w:r w:rsidRPr="00556B9B">
        <w:rPr>
          <w:color w:val="000000"/>
          <w:lang w:val="hu-HU"/>
        </w:rPr>
        <w:tab/>
      </w:r>
      <w:r w:rsidR="00562988" w:rsidRPr="00556B9B">
        <w:rPr>
          <w:color w:val="000000"/>
          <w:lang w:val="hu-HU"/>
        </w:rPr>
        <w:t xml:space="preserve">A forgalomba hozatalt követően imatinib terápia ideje alatt vagy a kezelés felfüggesztése után </w:t>
      </w:r>
      <w:r w:rsidR="00B607B0" w:rsidRPr="00556B9B">
        <w:rPr>
          <w:rFonts w:cs="Times New Roman"/>
          <w:color w:val="000000"/>
          <w:szCs w:val="22"/>
          <w:lang w:val="hu-HU"/>
        </w:rPr>
        <w:t>musculoskeletalis</w:t>
      </w:r>
      <w:r w:rsidRPr="00556B9B">
        <w:rPr>
          <w:color w:val="000000"/>
          <w:lang w:val="hu-HU"/>
        </w:rPr>
        <w:t xml:space="preserve"> fájdalm</w:t>
      </w:r>
      <w:r w:rsidR="00B607B0" w:rsidRPr="00556B9B">
        <w:rPr>
          <w:color w:val="000000"/>
          <w:lang w:val="hu-HU"/>
        </w:rPr>
        <w:t>a</w:t>
      </w:r>
      <w:r w:rsidRPr="00556B9B">
        <w:rPr>
          <w:color w:val="000000"/>
          <w:lang w:val="hu-HU"/>
        </w:rPr>
        <w:t xml:space="preserve">t </w:t>
      </w:r>
      <w:r w:rsidR="00C914D0" w:rsidRPr="00556B9B">
        <w:rPr>
          <w:color w:val="000000"/>
          <w:lang w:val="hu-HU"/>
        </w:rPr>
        <w:t>figyelt</w:t>
      </w:r>
      <w:r w:rsidR="00B607B0" w:rsidRPr="00556B9B">
        <w:rPr>
          <w:color w:val="000000"/>
          <w:lang w:val="hu-HU"/>
        </w:rPr>
        <w:t>e</w:t>
      </w:r>
      <w:r w:rsidR="00C914D0" w:rsidRPr="00556B9B">
        <w:rPr>
          <w:color w:val="000000"/>
          <w:lang w:val="hu-HU"/>
        </w:rPr>
        <w:t>k meg.</w:t>
      </w:r>
    </w:p>
    <w:p w14:paraId="4D2E32B5" w14:textId="77777777" w:rsidR="00910FC8" w:rsidRPr="00556B9B" w:rsidRDefault="00C914D0" w:rsidP="005C6E7A">
      <w:pPr>
        <w:keepNext/>
        <w:keepLines/>
        <w:spacing w:line="240" w:lineRule="auto"/>
        <w:ind w:left="567" w:hanging="567"/>
        <w:rPr>
          <w:color w:val="000000"/>
          <w:lang w:val="hu-HU"/>
        </w:rPr>
      </w:pPr>
      <w:r w:rsidRPr="00556B9B">
        <w:rPr>
          <w:color w:val="000000"/>
          <w:lang w:val="hu-HU"/>
        </w:rPr>
        <w:t>10</w:t>
      </w:r>
      <w:r w:rsidR="00910FC8" w:rsidRPr="00556B9B">
        <w:rPr>
          <w:color w:val="000000"/>
          <w:lang w:val="hu-HU"/>
        </w:rPr>
        <w:tab/>
        <w:t>A vázizomzat és a csontrendszer fájdalmát, és ezzel kapcsolatos eseményeket gyakrabban figyeltek meg CML</w:t>
      </w:r>
      <w:r w:rsidR="00743067" w:rsidRPr="00556B9B">
        <w:rPr>
          <w:color w:val="000000"/>
          <w:lang w:val="hu-HU"/>
        </w:rPr>
        <w:noBreakHyphen/>
      </w:r>
      <w:r w:rsidR="00910FC8" w:rsidRPr="00556B9B">
        <w:rPr>
          <w:color w:val="000000"/>
          <w:lang w:val="hu-HU"/>
        </w:rPr>
        <w:t>ben, mint GIST</w:t>
      </w:r>
      <w:r w:rsidR="00743067" w:rsidRPr="00556B9B">
        <w:rPr>
          <w:color w:val="000000"/>
          <w:lang w:val="hu-HU"/>
        </w:rPr>
        <w:noBreakHyphen/>
      </w:r>
      <w:r w:rsidR="00910FC8" w:rsidRPr="00556B9B">
        <w:rPr>
          <w:color w:val="000000"/>
          <w:lang w:val="hu-HU"/>
        </w:rPr>
        <w:t>ben szenvedő betegeknél.</w:t>
      </w:r>
    </w:p>
    <w:p w14:paraId="005C3248" w14:textId="77777777" w:rsidR="00A634EB" w:rsidRPr="00556B9B" w:rsidRDefault="00C914D0" w:rsidP="005C6E7A">
      <w:pPr>
        <w:keepLines/>
        <w:widowControl w:val="0"/>
        <w:tabs>
          <w:tab w:val="left" w:pos="720"/>
        </w:tabs>
        <w:spacing w:line="240" w:lineRule="auto"/>
        <w:ind w:left="567" w:hanging="567"/>
        <w:rPr>
          <w:color w:val="000000"/>
          <w:lang w:val="hu-HU"/>
        </w:rPr>
      </w:pPr>
      <w:r w:rsidRPr="00556B9B">
        <w:rPr>
          <w:color w:val="000000"/>
          <w:lang w:val="hu-HU"/>
        </w:rPr>
        <w:t>11</w:t>
      </w:r>
      <w:r w:rsidR="00A634EB" w:rsidRPr="00556B9B">
        <w:rPr>
          <w:lang w:val="hu-HU"/>
        </w:rPr>
        <w:tab/>
      </w:r>
      <w:r w:rsidR="00A634EB" w:rsidRPr="00556B9B">
        <w:rPr>
          <w:color w:val="000000"/>
          <w:lang w:val="hu-HU"/>
        </w:rPr>
        <w:t>Az előrehaladott betegségben, súlyos fertőzésekben, súlyos neutropeniában és egyéb súlyos kísérőbetegségekben szenvedő betegeknél végzetes kimenetelű eseteket jelentettek.</w:t>
      </w:r>
    </w:p>
    <w:p w14:paraId="6C01B68A" w14:textId="77777777" w:rsidR="00910FC8" w:rsidRPr="00556B9B" w:rsidRDefault="00910FC8" w:rsidP="001F4BCC">
      <w:pPr>
        <w:spacing w:line="240" w:lineRule="auto"/>
        <w:ind w:left="567" w:hanging="567"/>
        <w:rPr>
          <w:color w:val="000000"/>
          <w:lang w:val="hu-HU"/>
        </w:rPr>
      </w:pPr>
    </w:p>
    <w:p w14:paraId="18C4C9CB" w14:textId="77777777" w:rsidR="00910FC8" w:rsidRPr="00556B9B" w:rsidRDefault="00910FC8" w:rsidP="005C6E7A">
      <w:pPr>
        <w:keepNext/>
        <w:spacing w:line="240" w:lineRule="auto"/>
        <w:rPr>
          <w:color w:val="000000"/>
          <w:lang w:val="hu-HU"/>
        </w:rPr>
      </w:pPr>
      <w:r w:rsidRPr="00556B9B">
        <w:rPr>
          <w:color w:val="000000"/>
          <w:u w:val="single"/>
          <w:lang w:val="hu-HU"/>
        </w:rPr>
        <w:t>Laboratóriumi eltérések</w:t>
      </w:r>
    </w:p>
    <w:p w14:paraId="507E23C6" w14:textId="77777777" w:rsidR="00910FC8" w:rsidRPr="00556B9B" w:rsidRDefault="00910FC8" w:rsidP="005C6E7A">
      <w:pPr>
        <w:keepNext/>
        <w:spacing w:line="240" w:lineRule="auto"/>
        <w:rPr>
          <w:i/>
          <w:color w:val="000000"/>
          <w:lang w:val="hu-HU"/>
        </w:rPr>
      </w:pPr>
      <w:r w:rsidRPr="00556B9B">
        <w:rPr>
          <w:i/>
          <w:color w:val="000000"/>
          <w:lang w:val="hu-HU"/>
        </w:rPr>
        <w:t>Hematológia</w:t>
      </w:r>
    </w:p>
    <w:p w14:paraId="122F3128" w14:textId="77777777" w:rsidR="00910FC8" w:rsidRPr="00556B9B" w:rsidRDefault="00910FC8">
      <w:pPr>
        <w:spacing w:line="240" w:lineRule="auto"/>
        <w:rPr>
          <w:color w:val="000000"/>
          <w:lang w:val="hu-HU"/>
        </w:rPr>
      </w:pPr>
      <w:r w:rsidRPr="00556B9B">
        <w:rPr>
          <w:color w:val="000000"/>
          <w:lang w:val="hu-HU"/>
        </w:rPr>
        <w:t>CML</w:t>
      </w:r>
      <w:r w:rsidRPr="00556B9B">
        <w:rPr>
          <w:color w:val="000000"/>
          <w:lang w:val="hu-HU"/>
        </w:rPr>
        <w:noBreakHyphen/>
        <w:t xml:space="preserve">ben a cytopenia (főképp a neutropenia és thrombocytopenia) valamennyi vizsgálatban következetesen jelentkezett, és gyakoribbnak tűnt a nagyobb, </w:t>
      </w:r>
      <w:r w:rsidRPr="00556B9B">
        <w:rPr>
          <w:color w:val="000000"/>
          <w:lang w:val="hu-HU"/>
        </w:rPr>
        <w:sym w:font="Symbol" w:char="F0B3"/>
      </w:r>
      <w:r w:rsidRPr="00556B9B">
        <w:rPr>
          <w:color w:val="000000"/>
          <w:lang w:val="hu-HU"/>
        </w:rPr>
        <w:t> 750 mg dózisok mellett (</w:t>
      </w:r>
      <w:r w:rsidR="000B2EBD" w:rsidRPr="00556B9B">
        <w:rPr>
          <w:color w:val="000000"/>
          <w:lang w:val="hu-HU"/>
        </w:rPr>
        <w:t>f</w:t>
      </w:r>
      <w:r w:rsidRPr="00556B9B">
        <w:rPr>
          <w:color w:val="000000"/>
          <w:lang w:val="hu-HU"/>
        </w:rPr>
        <w:t xml:space="preserve">ázis I. vizsgálat). Viszont a cytopeniák előfordulása egyértelműen függött a betegség stádiumától; 3. vagy 4. fokú neutropenia (ANC </w:t>
      </w:r>
      <w:r w:rsidRPr="00556B9B">
        <w:rPr>
          <w:color w:val="000000"/>
          <w:lang w:val="hu-HU"/>
        </w:rPr>
        <w:sym w:font="Symbol" w:char="F03C"/>
      </w:r>
      <w:r w:rsidRPr="00556B9B">
        <w:rPr>
          <w:color w:val="000000"/>
          <w:lang w:val="hu-HU"/>
        </w:rPr>
        <w:t> 1,0 x 10</w:t>
      </w:r>
      <w:r w:rsidRPr="00556B9B">
        <w:rPr>
          <w:color w:val="000000"/>
          <w:vertAlign w:val="superscript"/>
          <w:lang w:val="hu-HU"/>
        </w:rPr>
        <w:t>9</w:t>
      </w:r>
      <w:r w:rsidRPr="00556B9B">
        <w:rPr>
          <w:color w:val="000000"/>
          <w:lang w:val="hu-HU"/>
        </w:rPr>
        <w:t>/l) és thrombocytopenia (thrombocytaszám &lt; 50 x 10</w:t>
      </w:r>
      <w:r w:rsidRPr="00556B9B">
        <w:rPr>
          <w:color w:val="000000"/>
          <w:vertAlign w:val="superscript"/>
          <w:lang w:val="hu-HU"/>
        </w:rPr>
        <w:t>9</w:t>
      </w:r>
      <w:r w:rsidRPr="00556B9B">
        <w:rPr>
          <w:color w:val="000000"/>
          <w:lang w:val="hu-HU"/>
        </w:rPr>
        <w:t>/l) 4–6</w:t>
      </w:r>
      <w:r w:rsidRPr="00556B9B">
        <w:rPr>
          <w:color w:val="000000"/>
          <w:lang w:val="hu-HU"/>
        </w:rPr>
        <w:noBreakHyphen/>
        <w:t>szor gyakrabban fordult elő blasztos krízisben és akcelerált fázisban (59% </w:t>
      </w:r>
      <w:r w:rsidRPr="00556B9B">
        <w:rPr>
          <w:color w:val="000000"/>
          <w:lang w:val="hu-HU"/>
        </w:rPr>
        <w:noBreakHyphen/>
        <w:t> 64%, ill. 44% </w:t>
      </w:r>
      <w:r w:rsidRPr="00556B9B">
        <w:rPr>
          <w:color w:val="000000"/>
          <w:lang w:val="hu-HU"/>
        </w:rPr>
        <w:noBreakHyphen/>
        <w:t> 63% a neutropenia, ill. a thrombocytopenia vonatkozásában), összehasonlítva az újonnan diagnosztizált krónikus fázisú CML</w:t>
      </w:r>
      <w:r w:rsidRPr="00556B9B">
        <w:rPr>
          <w:color w:val="000000"/>
          <w:lang w:val="hu-HU"/>
        </w:rPr>
        <w:noBreakHyphen/>
        <w:t>es betegekkel (16,7% neutropenia, ill. 8,9% thrombocytopenia). Újonnan diagnosztizált krónikus fázisú CML</w:t>
      </w:r>
      <w:r w:rsidRPr="00556B9B">
        <w:rPr>
          <w:color w:val="000000"/>
          <w:lang w:val="hu-HU"/>
        </w:rPr>
        <w:noBreakHyphen/>
        <w:t>ben a 4. fokú neutropenia (ANC &lt; 0,5 x 0</w:t>
      </w:r>
      <w:r w:rsidRPr="00556B9B">
        <w:rPr>
          <w:color w:val="000000"/>
          <w:vertAlign w:val="superscript"/>
          <w:lang w:val="hu-HU"/>
        </w:rPr>
        <w:t>9</w:t>
      </w:r>
      <w:r w:rsidRPr="00556B9B">
        <w:rPr>
          <w:color w:val="000000"/>
          <w:lang w:val="hu-HU"/>
        </w:rPr>
        <w:t>/l) és thrombocytopenia (thrombocytaszám &lt; 10 x 10</w:t>
      </w:r>
      <w:r w:rsidRPr="00556B9B">
        <w:rPr>
          <w:color w:val="000000"/>
          <w:vertAlign w:val="superscript"/>
          <w:lang w:val="hu-HU"/>
        </w:rPr>
        <w:t>9</w:t>
      </w:r>
      <w:r w:rsidRPr="00556B9B">
        <w:rPr>
          <w:color w:val="000000"/>
          <w:lang w:val="hu-HU"/>
        </w:rPr>
        <w:t xml:space="preserve">/l) a betegek 3,6%-ában, illetve </w:t>
      </w:r>
      <w:r w:rsidRPr="00556B9B">
        <w:rPr>
          <w:color w:val="000000"/>
          <w:lang w:val="hu-HU"/>
        </w:rPr>
        <w:sym w:font="Symbol" w:char="F03C"/>
      </w:r>
      <w:r w:rsidRPr="00556B9B">
        <w:rPr>
          <w:color w:val="000000"/>
          <w:lang w:val="hu-HU"/>
        </w:rPr>
        <w:t> 1%</w:t>
      </w:r>
      <w:r w:rsidRPr="00556B9B">
        <w:rPr>
          <w:color w:val="000000"/>
          <w:lang w:val="hu-HU"/>
        </w:rPr>
        <w:noBreakHyphen/>
        <w:t>ában volt megfigyelhető. A neutropeniás, ill. thrombocytopeniás időszak medián tartama 2–3, ill. 3–4 hét között mozgott. Ezek a jelenségek általában a dózis csökkentésével, vagy a Glivec</w:t>
      </w:r>
      <w:r w:rsidRPr="00556B9B">
        <w:rPr>
          <w:color w:val="000000"/>
          <w:lang w:val="hu-HU"/>
        </w:rPr>
        <w:noBreakHyphen/>
        <w:t>kezelés megszakításával rendezhetők, de néhány esetben a kezelés végleges elhagyását teszik szükségessé. CML</w:t>
      </w:r>
      <w:r w:rsidRPr="00556B9B">
        <w:rPr>
          <w:color w:val="000000"/>
          <w:lang w:val="hu-HU"/>
        </w:rPr>
        <w:noBreakHyphen/>
        <w:t>es gyermekekben a leggyakrabban észlelt toxicitások 3. és 4. fokú cytopeniák voltak, beleértve a neutropeniát, thrombocytopeniát és anaemiát, melyek általában a kezelés első néhány hónapjában alakultak ki.</w:t>
      </w:r>
    </w:p>
    <w:p w14:paraId="377D9749" w14:textId="77777777" w:rsidR="00D37E84" w:rsidRPr="00556B9B" w:rsidRDefault="00D37E84" w:rsidP="00D37E84">
      <w:pPr>
        <w:pStyle w:val="BodyText"/>
        <w:spacing w:line="240" w:lineRule="auto"/>
        <w:rPr>
          <w:b w:val="0"/>
          <w:i w:val="0"/>
          <w:color w:val="000000"/>
          <w:lang w:val="hu-HU"/>
        </w:rPr>
      </w:pPr>
    </w:p>
    <w:p w14:paraId="6821977F" w14:textId="77777777" w:rsidR="00910FC8" w:rsidRPr="00556B9B" w:rsidRDefault="00D37E84" w:rsidP="00D37E84">
      <w:pPr>
        <w:pStyle w:val="BodyText"/>
        <w:spacing w:line="240" w:lineRule="auto"/>
        <w:rPr>
          <w:b w:val="0"/>
          <w:i w:val="0"/>
          <w:color w:val="000000"/>
          <w:lang w:val="hu-HU"/>
        </w:rPr>
      </w:pPr>
      <w:r w:rsidRPr="00556B9B">
        <w:rPr>
          <w:b w:val="0"/>
          <w:i w:val="0"/>
          <w:color w:val="000000"/>
          <w:lang w:val="hu-HU"/>
        </w:rPr>
        <w:t>A nem reszekábilis és/vagy metasztatikus GIST</w:t>
      </w:r>
      <w:r w:rsidRPr="00556B9B">
        <w:rPr>
          <w:b w:val="0"/>
          <w:i w:val="0"/>
          <w:color w:val="000000"/>
          <w:lang w:val="hu-HU"/>
        </w:rPr>
        <w:noBreakHyphen/>
        <w:t>ben szenvedő betegekkel végzett vizsgálatban 3., ill.</w:t>
      </w:r>
      <w:r w:rsidR="00910FC8" w:rsidRPr="00556B9B">
        <w:rPr>
          <w:b w:val="0"/>
          <w:i w:val="0"/>
          <w:color w:val="000000"/>
          <w:lang w:val="hu-HU"/>
        </w:rPr>
        <w:t xml:space="preserve"> 4. fokú anaemiát a betegek 5,4%, ill. 0,7%</w:t>
      </w:r>
      <w:r w:rsidR="00910FC8" w:rsidRPr="00556B9B">
        <w:rPr>
          <w:b w:val="0"/>
          <w:i w:val="0"/>
          <w:color w:val="000000"/>
          <w:lang w:val="hu-HU"/>
        </w:rPr>
        <w:noBreakHyphen/>
        <w:t>ban jelentettek, ami – legalábbis esetenként – a gastrointestinalis vagy intratumoralis vérzésnek lehetett a következménye. 3., ill. 4. fokú neutropeniát a betegek 7,5%, ill. 2,7%</w:t>
      </w:r>
      <w:r w:rsidR="00910FC8" w:rsidRPr="00556B9B">
        <w:rPr>
          <w:b w:val="0"/>
          <w:i w:val="0"/>
          <w:color w:val="000000"/>
          <w:lang w:val="hu-HU"/>
        </w:rPr>
        <w:noBreakHyphen/>
        <w:t>ában, 3. fokú thrombocytopeniát pedig 0,7%</w:t>
      </w:r>
      <w:r w:rsidR="00910FC8" w:rsidRPr="00556B9B">
        <w:rPr>
          <w:b w:val="0"/>
          <w:i w:val="0"/>
          <w:color w:val="000000"/>
          <w:lang w:val="hu-HU"/>
        </w:rPr>
        <w:noBreakHyphen/>
        <w:t xml:space="preserve">ban figyeltek meg. Nem volt </w:t>
      </w:r>
      <w:r w:rsidR="00910FC8" w:rsidRPr="00556B9B">
        <w:rPr>
          <w:b w:val="0"/>
          <w:i w:val="0"/>
          <w:color w:val="000000"/>
          <w:lang w:val="hu-HU"/>
        </w:rPr>
        <w:lastRenderedPageBreak/>
        <w:t>olyan beteg, akinél 4. fokú thrombocytopeniát észleltek volna. A fehérvérsejt-, ill neutrophil sejtszám csökkenése elsősorban a kezelés első 6 hetében fordult elő, később az értékek relatíve stabilizálódtak.</w:t>
      </w:r>
    </w:p>
    <w:p w14:paraId="6BBDC404" w14:textId="77777777" w:rsidR="00910FC8" w:rsidRPr="00556B9B" w:rsidRDefault="00910FC8">
      <w:pPr>
        <w:spacing w:line="240" w:lineRule="auto"/>
        <w:rPr>
          <w:color w:val="000000"/>
          <w:lang w:val="hu-HU"/>
        </w:rPr>
      </w:pPr>
    </w:p>
    <w:p w14:paraId="6A15C855" w14:textId="77777777" w:rsidR="00910FC8" w:rsidRPr="00556B9B" w:rsidRDefault="00910FC8">
      <w:pPr>
        <w:pStyle w:val="Heading6"/>
        <w:numPr>
          <w:ilvl w:val="0"/>
          <w:numId w:val="0"/>
        </w:numPr>
        <w:tabs>
          <w:tab w:val="clear" w:pos="567"/>
          <w:tab w:val="clear" w:pos="4536"/>
        </w:tabs>
        <w:spacing w:line="240" w:lineRule="auto"/>
        <w:rPr>
          <w:color w:val="000000"/>
          <w:lang w:val="hu-HU"/>
        </w:rPr>
      </w:pPr>
      <w:r w:rsidRPr="00556B9B">
        <w:rPr>
          <w:color w:val="000000"/>
          <w:lang w:val="hu-HU"/>
        </w:rPr>
        <w:t>Biokémia</w:t>
      </w:r>
    </w:p>
    <w:p w14:paraId="60B360E2" w14:textId="1B3172F7" w:rsidR="00910FC8" w:rsidRPr="00556B9B" w:rsidRDefault="00910FC8">
      <w:pPr>
        <w:spacing w:line="240" w:lineRule="auto"/>
        <w:rPr>
          <w:color w:val="000000"/>
          <w:lang w:val="hu-HU"/>
        </w:rPr>
      </w:pPr>
      <w:r w:rsidRPr="00556B9B">
        <w:rPr>
          <w:color w:val="000000"/>
          <w:lang w:val="hu-HU"/>
        </w:rPr>
        <w:t>A transzaminázok (</w:t>
      </w:r>
      <w:r w:rsidRPr="00556B9B">
        <w:rPr>
          <w:color w:val="000000"/>
          <w:szCs w:val="22"/>
          <w:lang w:val="hu-HU"/>
        </w:rPr>
        <w:t xml:space="preserve">&lt; 5%) </w:t>
      </w:r>
      <w:r w:rsidRPr="007C3BCA">
        <w:rPr>
          <w:color w:val="000000"/>
          <w:lang w:val="hu-HU"/>
        </w:rPr>
        <w:t xml:space="preserve">vagy a bilirubinszint </w:t>
      </w:r>
      <w:r w:rsidRPr="007C3BCA">
        <w:rPr>
          <w:color w:val="000000"/>
          <w:szCs w:val="22"/>
          <w:lang w:val="hu-HU"/>
        </w:rPr>
        <w:t xml:space="preserve">(&lt; 1%) </w:t>
      </w:r>
      <w:r w:rsidRPr="007C3BCA">
        <w:rPr>
          <w:color w:val="000000"/>
          <w:lang w:val="hu-HU"/>
        </w:rPr>
        <w:t>súlyos fokú emelkedését figyelték meg CML</w:t>
      </w:r>
      <w:r w:rsidRPr="007C3BCA">
        <w:rPr>
          <w:color w:val="000000"/>
          <w:lang w:val="hu-HU"/>
        </w:rPr>
        <w:noBreakHyphen/>
        <w:t>es betegek</w:t>
      </w:r>
      <w:r w:rsidR="00C45EB0" w:rsidRPr="007C3BCA">
        <w:rPr>
          <w:color w:val="000000"/>
          <w:lang w:val="hu-HU"/>
        </w:rPr>
        <w:t>nél</w:t>
      </w:r>
      <w:r w:rsidRPr="007C3BCA">
        <w:rPr>
          <w:color w:val="000000"/>
          <w:lang w:val="hu-HU"/>
        </w:rPr>
        <w:t>, és általában a dózis csökkentésével vagy a kezelés megszakításával (ezen epizódok medián időtartama egy hét körül volt) kezelhető volt. A terápia végleges felfüggesztése (a májfunkciós laboratóriumi eltérések</w:t>
      </w:r>
      <w:r w:rsidRPr="00556B9B">
        <w:rPr>
          <w:color w:val="000000"/>
          <w:lang w:val="hu-HU"/>
        </w:rPr>
        <w:t xml:space="preserve"> miatt) a CML</w:t>
      </w:r>
      <w:r w:rsidRPr="00556B9B">
        <w:rPr>
          <w:color w:val="000000"/>
          <w:lang w:val="hu-HU"/>
        </w:rPr>
        <w:noBreakHyphen/>
        <w:t>es betegek kevesebb mint 1%</w:t>
      </w:r>
      <w:r w:rsidRPr="00556B9B">
        <w:rPr>
          <w:color w:val="000000"/>
          <w:lang w:val="hu-HU"/>
        </w:rPr>
        <w:noBreakHyphen/>
        <w:t>ban történt. GIST</w:t>
      </w:r>
      <w:r w:rsidRPr="00556B9B">
        <w:rPr>
          <w:color w:val="000000"/>
          <w:lang w:val="hu-HU"/>
        </w:rPr>
        <w:noBreakHyphen/>
        <w:t>ben szenvedő betegek (B2222 vizsgálat) 6,8%</w:t>
      </w:r>
      <w:r w:rsidRPr="00556B9B">
        <w:rPr>
          <w:color w:val="000000"/>
          <w:lang w:val="hu-HU"/>
        </w:rPr>
        <w:noBreakHyphen/>
        <w:t xml:space="preserve">ában figyelték meg a </w:t>
      </w:r>
      <w:smartTag w:uri="urn:schemas-microsoft-com:office:smarttags" w:element="stockticker">
        <w:r w:rsidRPr="00556B9B">
          <w:rPr>
            <w:color w:val="000000"/>
            <w:lang w:val="hu-HU"/>
          </w:rPr>
          <w:t>GPT</w:t>
        </w:r>
      </w:smartTag>
      <w:r w:rsidRPr="00556B9B">
        <w:rPr>
          <w:color w:val="000000"/>
          <w:lang w:val="hu-HU"/>
        </w:rPr>
        <w:t xml:space="preserve"> (glutamát</w:t>
      </w:r>
      <w:r w:rsidRPr="00556B9B">
        <w:rPr>
          <w:color w:val="000000"/>
          <w:lang w:val="hu-HU"/>
        </w:rPr>
        <w:noBreakHyphen/>
        <w:t>piruvát transzamináz) szint 3. vagy 4. fokú emelkedését, és 4,8%</w:t>
      </w:r>
      <w:r w:rsidRPr="00556B9B">
        <w:rPr>
          <w:color w:val="000000"/>
          <w:lang w:val="hu-HU"/>
        </w:rPr>
        <w:noBreakHyphen/>
        <w:t xml:space="preserve">ában a </w:t>
      </w:r>
      <w:smartTag w:uri="urn:schemas-microsoft-com:office:smarttags" w:element="stockticker">
        <w:r w:rsidRPr="00556B9B">
          <w:rPr>
            <w:color w:val="000000"/>
            <w:lang w:val="hu-HU"/>
          </w:rPr>
          <w:t>GOT</w:t>
        </w:r>
      </w:smartTag>
      <w:r w:rsidRPr="00556B9B">
        <w:rPr>
          <w:color w:val="000000"/>
          <w:lang w:val="hu-HU"/>
        </w:rPr>
        <w:t xml:space="preserve"> (glutaminsav</w:t>
      </w:r>
      <w:r w:rsidRPr="00556B9B">
        <w:rPr>
          <w:color w:val="000000"/>
          <w:lang w:val="hu-HU"/>
        </w:rPr>
        <w:noBreakHyphen/>
        <w:t>oxálecetsav transzamináz) szint 3. vagy 4. fokú emelkedését.</w:t>
      </w:r>
    </w:p>
    <w:p w14:paraId="5C98AF8B" w14:textId="77777777" w:rsidR="00910FC8" w:rsidRPr="00556B9B" w:rsidRDefault="00910FC8">
      <w:pPr>
        <w:spacing w:line="240" w:lineRule="auto"/>
        <w:rPr>
          <w:color w:val="000000"/>
          <w:lang w:val="hu-HU"/>
        </w:rPr>
      </w:pPr>
    </w:p>
    <w:p w14:paraId="6893417C" w14:textId="77777777" w:rsidR="00910FC8" w:rsidRPr="00556B9B" w:rsidRDefault="00910FC8">
      <w:pPr>
        <w:spacing w:line="240" w:lineRule="auto"/>
        <w:rPr>
          <w:color w:val="000000"/>
          <w:lang w:val="hu-HU"/>
        </w:rPr>
      </w:pPr>
      <w:r w:rsidRPr="00556B9B">
        <w:rPr>
          <w:color w:val="000000"/>
          <w:lang w:val="hu-HU"/>
        </w:rPr>
        <w:t>Előfordult cytolytikus és cholestatikus hepatitis- és májelégtelenség, némelyik (közöttük egy beteggel, aki nagy dózisban szedett paracetamolt) halálos kimenetellel.</w:t>
      </w:r>
    </w:p>
    <w:p w14:paraId="744411A7" w14:textId="77777777" w:rsidR="00C63EC4" w:rsidRPr="00556B9B" w:rsidRDefault="00C63EC4">
      <w:pPr>
        <w:spacing w:line="240" w:lineRule="auto"/>
        <w:rPr>
          <w:color w:val="000000"/>
          <w:lang w:val="hu-HU"/>
        </w:rPr>
      </w:pPr>
    </w:p>
    <w:p w14:paraId="72662B2D" w14:textId="77777777" w:rsidR="00C63EC4" w:rsidRPr="00556B9B" w:rsidRDefault="00C63EC4" w:rsidP="005C6E7A">
      <w:pPr>
        <w:keepNext/>
        <w:spacing w:line="240" w:lineRule="auto"/>
        <w:rPr>
          <w:color w:val="000000"/>
          <w:u w:val="single"/>
          <w:lang w:val="hu-HU"/>
        </w:rPr>
      </w:pPr>
      <w:r w:rsidRPr="00556B9B">
        <w:rPr>
          <w:color w:val="000000"/>
          <w:u w:val="single"/>
          <w:lang w:val="hu-HU"/>
        </w:rPr>
        <w:t>Néhány kiválasztott mellékhatás leírása</w:t>
      </w:r>
    </w:p>
    <w:p w14:paraId="549352C2" w14:textId="77777777" w:rsidR="00C63EC4" w:rsidRPr="00556B9B" w:rsidRDefault="00C63EC4" w:rsidP="005C6E7A">
      <w:pPr>
        <w:keepNext/>
        <w:spacing w:line="240" w:lineRule="auto"/>
        <w:rPr>
          <w:rFonts w:cs="Times New Roman"/>
          <w:i/>
          <w:color w:val="000000"/>
          <w:szCs w:val="22"/>
          <w:u w:val="single"/>
          <w:lang w:val="hu-HU"/>
        </w:rPr>
      </w:pPr>
      <w:r w:rsidRPr="00556B9B">
        <w:rPr>
          <w:i/>
          <w:color w:val="000000"/>
          <w:u w:val="single"/>
          <w:lang w:val="hu-HU"/>
        </w:rPr>
        <w:t>Hepatitis </w:t>
      </w:r>
      <w:r w:rsidRPr="00556B9B">
        <w:rPr>
          <w:rFonts w:cs="Times New Roman"/>
          <w:i/>
          <w:color w:val="000000"/>
          <w:szCs w:val="22"/>
          <w:u w:val="single"/>
          <w:lang w:val="hu-HU"/>
        </w:rPr>
        <w:t>B reaktiváció</w:t>
      </w:r>
    </w:p>
    <w:p w14:paraId="32DACE98" w14:textId="53143F67" w:rsidR="00C63EC4" w:rsidRPr="007C3BCA" w:rsidRDefault="00C63EC4">
      <w:pPr>
        <w:spacing w:line="240" w:lineRule="auto"/>
        <w:rPr>
          <w:rFonts w:cs="Times New Roman"/>
          <w:szCs w:val="22"/>
          <w:lang w:val="hu-HU"/>
        </w:rPr>
      </w:pPr>
      <w:r w:rsidRPr="00556B9B">
        <w:rPr>
          <w:rFonts w:cs="Times New Roman"/>
          <w:szCs w:val="22"/>
          <w:lang w:val="hu-HU"/>
        </w:rPr>
        <w:t>A BCR</w:t>
      </w:r>
      <w:r w:rsidRPr="00556B9B">
        <w:rPr>
          <w:rFonts w:cs="Times New Roman"/>
          <w:szCs w:val="22"/>
          <w:lang w:val="hu-HU"/>
        </w:rPr>
        <w:noBreakHyphen/>
        <w:t>ABL tirozin</w:t>
      </w:r>
      <w:r w:rsidRPr="00556B9B">
        <w:rPr>
          <w:rFonts w:cs="Times New Roman"/>
          <w:szCs w:val="22"/>
          <w:lang w:val="hu-HU"/>
        </w:rPr>
        <w:noBreakHyphen/>
        <w:t xml:space="preserve">kináz inhibitorok alkalmazásával kapcsolatban a hepatitis B reaktivációjáról számoltak be Egyes esetekben </w:t>
      </w:r>
      <w:r w:rsidRPr="007C3BCA">
        <w:rPr>
          <w:rFonts w:cs="Times New Roman"/>
          <w:szCs w:val="22"/>
          <w:lang w:val="hu-HU"/>
        </w:rPr>
        <w:t>akut májelégtelenség vagy fulmináns hepatitis alakult ki, amely májtranszplantáció</w:t>
      </w:r>
      <w:r w:rsidR="00C45EB0" w:rsidRPr="007C3BCA">
        <w:rPr>
          <w:rFonts w:cs="Times New Roman"/>
          <w:szCs w:val="22"/>
          <w:lang w:val="hu-HU"/>
        </w:rPr>
        <w:t>t tett szükségessé,</w:t>
      </w:r>
      <w:r w:rsidRPr="007C3BCA">
        <w:rPr>
          <w:rFonts w:cs="Times New Roman"/>
          <w:szCs w:val="22"/>
          <w:lang w:val="hu-HU"/>
        </w:rPr>
        <w:t xml:space="preserve"> vagy halálos kimenetelhez vezetett (lásd 4.4 pont).</w:t>
      </w:r>
    </w:p>
    <w:p w14:paraId="0F346933" w14:textId="77777777" w:rsidR="00C63EC4" w:rsidRPr="007C3BCA" w:rsidRDefault="00C63EC4">
      <w:pPr>
        <w:spacing w:line="240" w:lineRule="auto"/>
        <w:rPr>
          <w:rFonts w:cs="Times New Roman"/>
          <w:color w:val="000000"/>
          <w:szCs w:val="22"/>
          <w:lang w:val="hu-HU"/>
        </w:rPr>
      </w:pPr>
    </w:p>
    <w:p w14:paraId="68B4840B" w14:textId="77777777" w:rsidR="00FA0FDF" w:rsidRPr="00556B9B" w:rsidRDefault="00FA0FDF" w:rsidP="005C6E7A">
      <w:pPr>
        <w:keepNext/>
        <w:tabs>
          <w:tab w:val="left" w:pos="567"/>
        </w:tabs>
        <w:suppressAutoHyphens w:val="0"/>
        <w:spacing w:line="240" w:lineRule="auto"/>
        <w:rPr>
          <w:rFonts w:cs="Times New Roman"/>
          <w:szCs w:val="22"/>
          <w:u w:val="single"/>
          <w:lang w:val="hu-HU" w:eastAsia="en-US" w:bidi="ar-SA"/>
        </w:rPr>
      </w:pPr>
      <w:r w:rsidRPr="007C3BCA">
        <w:rPr>
          <w:rFonts w:cs="Times New Roman"/>
          <w:szCs w:val="22"/>
          <w:u w:val="single"/>
          <w:lang w:val="hu-HU" w:eastAsia="en-US" w:bidi="ar-SA"/>
        </w:rPr>
        <w:t>Feltételezett mellékhatások bejelentése</w:t>
      </w:r>
    </w:p>
    <w:p w14:paraId="703A94E0" w14:textId="77777777" w:rsidR="00FA0FDF" w:rsidRPr="00556B9B" w:rsidRDefault="00FA0FDF" w:rsidP="00256B32">
      <w:pPr>
        <w:spacing w:line="240" w:lineRule="auto"/>
        <w:rPr>
          <w:color w:val="000000"/>
          <w:lang w:val="hu-HU"/>
        </w:rPr>
      </w:pPr>
      <w:r w:rsidRPr="00556B9B">
        <w:rPr>
          <w:rFonts w:cs="Times New Roman"/>
          <w:szCs w:val="22"/>
          <w:lang w:val="hu-HU" w:eastAsia="en-US" w:bidi="ar-SA"/>
        </w:rPr>
        <w:t>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w:t>
      </w:r>
      <w:r w:rsidR="00256B32" w:rsidRPr="00556B9B">
        <w:rPr>
          <w:rFonts w:cs="Times New Roman"/>
          <w:szCs w:val="22"/>
          <w:lang w:val="hu-HU" w:eastAsia="en-US" w:bidi="ar-SA"/>
        </w:rPr>
        <w:t xml:space="preserve"> </w:t>
      </w:r>
      <w:r w:rsidRPr="00556B9B">
        <w:rPr>
          <w:rFonts w:cs="Times New Roman"/>
          <w:szCs w:val="22"/>
          <w:lang w:val="hu-HU" w:eastAsia="en-US" w:bidi="ar-SA"/>
        </w:rPr>
        <w:t xml:space="preserve">részére az </w:t>
      </w:r>
      <w:hyperlink r:id="rId12" w:history="1">
        <w:r w:rsidRPr="00556B9B">
          <w:rPr>
            <w:rStyle w:val="Hyperlink"/>
            <w:rFonts w:cs="Times New Roman"/>
            <w:szCs w:val="22"/>
            <w:shd w:val="pct15" w:color="auto" w:fill="auto"/>
            <w:lang w:val="hu-HU" w:eastAsia="hu-HU" w:bidi="ar-SA"/>
          </w:rPr>
          <w:t>V. függelékben</w:t>
        </w:r>
      </w:hyperlink>
      <w:r w:rsidRPr="00556B9B">
        <w:rPr>
          <w:rFonts w:cs="Times New Roman"/>
          <w:szCs w:val="22"/>
          <w:shd w:val="pct15" w:color="auto" w:fill="auto"/>
          <w:lang w:val="hu-HU" w:eastAsia="en-US" w:bidi="ar-SA"/>
        </w:rPr>
        <w:t xml:space="preserve"> található elérhetőségek valamelyikén keresztül</w:t>
      </w:r>
      <w:r w:rsidR="00256B32" w:rsidRPr="00556B9B">
        <w:rPr>
          <w:rFonts w:cs="Times New Roman"/>
          <w:szCs w:val="22"/>
          <w:shd w:val="pct15" w:color="auto" w:fill="auto"/>
          <w:lang w:val="hu-HU" w:eastAsia="en-US" w:bidi="ar-SA"/>
        </w:rPr>
        <w:t>.</w:t>
      </w:r>
    </w:p>
    <w:p w14:paraId="126E5162" w14:textId="77777777" w:rsidR="00FA0FDF" w:rsidRPr="00556B9B" w:rsidRDefault="00FA0FDF">
      <w:pPr>
        <w:spacing w:line="240" w:lineRule="auto"/>
        <w:ind w:left="567" w:hanging="567"/>
        <w:rPr>
          <w:color w:val="000000"/>
          <w:lang w:val="hu-HU"/>
        </w:rPr>
      </w:pPr>
    </w:p>
    <w:p w14:paraId="2D34E7C2" w14:textId="77777777" w:rsidR="00910FC8" w:rsidRPr="00556B9B" w:rsidRDefault="00910FC8" w:rsidP="005C6E7A">
      <w:pPr>
        <w:keepNext/>
        <w:spacing w:line="240" w:lineRule="auto"/>
        <w:ind w:left="567" w:hanging="567"/>
        <w:rPr>
          <w:b/>
          <w:color w:val="000000"/>
          <w:lang w:val="hu-HU"/>
        </w:rPr>
      </w:pPr>
      <w:r w:rsidRPr="00556B9B">
        <w:rPr>
          <w:b/>
          <w:color w:val="000000"/>
          <w:lang w:val="hu-HU"/>
        </w:rPr>
        <w:t>4.9</w:t>
      </w:r>
      <w:r w:rsidRPr="00556B9B">
        <w:rPr>
          <w:b/>
          <w:color w:val="000000"/>
          <w:lang w:val="hu-HU"/>
        </w:rPr>
        <w:tab/>
        <w:t>Túladagolás</w:t>
      </w:r>
    </w:p>
    <w:p w14:paraId="61ABB812" w14:textId="77777777" w:rsidR="00910FC8" w:rsidRPr="00556B9B" w:rsidRDefault="00910FC8" w:rsidP="005C6E7A">
      <w:pPr>
        <w:keepNext/>
        <w:spacing w:line="240" w:lineRule="auto"/>
        <w:rPr>
          <w:color w:val="000000"/>
          <w:lang w:val="hu-HU"/>
        </w:rPr>
      </w:pPr>
    </w:p>
    <w:p w14:paraId="13C16608" w14:textId="77777777" w:rsidR="000906CD" w:rsidRPr="006D0F5F" w:rsidRDefault="00B14221" w:rsidP="000906CD">
      <w:pPr>
        <w:widowControl w:val="0"/>
        <w:spacing w:line="240" w:lineRule="auto"/>
        <w:rPr>
          <w:color w:val="000000"/>
          <w:szCs w:val="22"/>
          <w:lang w:val="hu-HU"/>
        </w:rPr>
      </w:pPr>
      <w:r w:rsidRPr="00556B9B">
        <w:rPr>
          <w:color w:val="000000"/>
          <w:szCs w:val="22"/>
          <w:lang w:val="hu-HU"/>
        </w:rPr>
        <w:t xml:space="preserve">A javasolt terápiás dózisnál nagyobb adagokkal szerzett tapasztalat korlátozott. Glivec túladagolás egyedülálló </w:t>
      </w:r>
      <w:r w:rsidR="00A32498" w:rsidRPr="00556B9B">
        <w:rPr>
          <w:color w:val="000000"/>
          <w:szCs w:val="22"/>
          <w:lang w:val="hu-HU"/>
        </w:rPr>
        <w:t xml:space="preserve">eseteiről vannak spontán </w:t>
      </w:r>
      <w:r w:rsidR="005028AD" w:rsidRPr="00556B9B">
        <w:rPr>
          <w:color w:val="000000"/>
          <w:szCs w:val="22"/>
          <w:lang w:val="hu-HU"/>
        </w:rPr>
        <w:t xml:space="preserve">jelentések </w:t>
      </w:r>
      <w:r w:rsidR="0077096D" w:rsidRPr="00556B9B">
        <w:rPr>
          <w:color w:val="000000"/>
          <w:szCs w:val="22"/>
          <w:lang w:val="hu-HU"/>
        </w:rPr>
        <w:t xml:space="preserve">és a szakirodalomban megjelent </w:t>
      </w:r>
      <w:r w:rsidR="00A32498" w:rsidRPr="00556B9B">
        <w:rPr>
          <w:color w:val="000000"/>
          <w:szCs w:val="22"/>
          <w:lang w:val="hu-HU"/>
        </w:rPr>
        <w:t>beszámol</w:t>
      </w:r>
      <w:r w:rsidR="0077096D" w:rsidRPr="00556B9B">
        <w:rPr>
          <w:color w:val="000000"/>
          <w:szCs w:val="22"/>
          <w:lang w:val="hu-HU"/>
        </w:rPr>
        <w:t>ók</w:t>
      </w:r>
      <w:r w:rsidR="000906CD" w:rsidRPr="00556B9B">
        <w:rPr>
          <w:color w:val="000000"/>
          <w:szCs w:val="22"/>
          <w:lang w:val="hu-HU"/>
        </w:rPr>
        <w:t xml:space="preserve">. </w:t>
      </w:r>
      <w:r w:rsidR="0077096D" w:rsidRPr="00556B9B">
        <w:rPr>
          <w:color w:val="000000"/>
          <w:szCs w:val="22"/>
          <w:lang w:val="hu-HU"/>
        </w:rPr>
        <w:t>Túladagolás esetén a beteget obsz</w:t>
      </w:r>
      <w:r w:rsidR="0073531C" w:rsidRPr="00556B9B">
        <w:rPr>
          <w:color w:val="000000"/>
          <w:szCs w:val="22"/>
          <w:lang w:val="hu-HU"/>
        </w:rPr>
        <w:t>e</w:t>
      </w:r>
      <w:r w:rsidR="0077096D" w:rsidRPr="00556B9B">
        <w:rPr>
          <w:color w:val="000000"/>
          <w:szCs w:val="22"/>
          <w:lang w:val="hu-HU"/>
        </w:rPr>
        <w:t xml:space="preserve">rválni kell, és megfelelő tüneti </w:t>
      </w:r>
      <w:r w:rsidR="0073531C" w:rsidRPr="00556B9B">
        <w:rPr>
          <w:color w:val="000000"/>
          <w:szCs w:val="22"/>
          <w:lang w:val="hu-HU"/>
        </w:rPr>
        <w:t xml:space="preserve">kezelésben kell részesíteni. Ezekben az esetekben a </w:t>
      </w:r>
      <w:r w:rsidR="00E96A76" w:rsidRPr="00556B9B">
        <w:rPr>
          <w:color w:val="000000"/>
          <w:szCs w:val="22"/>
          <w:lang w:val="hu-HU"/>
        </w:rPr>
        <w:t xml:space="preserve">beszámolók szerint a </w:t>
      </w:r>
      <w:r w:rsidR="0073531C" w:rsidRPr="00556B9B">
        <w:rPr>
          <w:color w:val="000000"/>
          <w:szCs w:val="22"/>
          <w:lang w:val="hu-HU"/>
        </w:rPr>
        <w:t xml:space="preserve">kimenetel általában </w:t>
      </w:r>
      <w:r w:rsidR="00ED2099" w:rsidRPr="00556B9B">
        <w:rPr>
          <w:color w:val="000000"/>
          <w:szCs w:val="22"/>
          <w:lang w:val="hu-HU"/>
        </w:rPr>
        <w:t xml:space="preserve">„javult” vagy </w:t>
      </w:r>
      <w:r w:rsidR="00E96A76" w:rsidRPr="00556B9B">
        <w:rPr>
          <w:color w:val="000000"/>
          <w:szCs w:val="22"/>
          <w:lang w:val="hu-HU"/>
        </w:rPr>
        <w:t xml:space="preserve">„gyógyult” volt. A különböző dózistartományokban jelentett </w:t>
      </w:r>
      <w:r w:rsidR="00E96A76" w:rsidRPr="006D0F5F">
        <w:rPr>
          <w:color w:val="000000"/>
          <w:szCs w:val="22"/>
          <w:lang w:val="hu-HU"/>
        </w:rPr>
        <w:t>események a következők:</w:t>
      </w:r>
    </w:p>
    <w:p w14:paraId="7D73EC10" w14:textId="77777777" w:rsidR="000906CD" w:rsidRPr="006D0F5F" w:rsidRDefault="000906CD" w:rsidP="000906CD">
      <w:pPr>
        <w:widowControl w:val="0"/>
        <w:spacing w:line="240" w:lineRule="auto"/>
        <w:rPr>
          <w:color w:val="000000"/>
          <w:szCs w:val="22"/>
          <w:lang w:val="hu-HU"/>
        </w:rPr>
      </w:pPr>
    </w:p>
    <w:p w14:paraId="633413A0" w14:textId="4AD12BCF" w:rsidR="000906CD" w:rsidRPr="006D0F5F" w:rsidRDefault="009A10DF" w:rsidP="005C6E7A">
      <w:pPr>
        <w:keepNext/>
        <w:widowControl w:val="0"/>
        <w:spacing w:line="240" w:lineRule="auto"/>
        <w:rPr>
          <w:color w:val="000000"/>
          <w:szCs w:val="22"/>
          <w:lang w:val="hu-HU"/>
        </w:rPr>
      </w:pPr>
      <w:r w:rsidRPr="006D0F5F">
        <w:rPr>
          <w:i/>
          <w:noProof/>
          <w:color w:val="000000"/>
          <w:lang w:val="hu-HU"/>
        </w:rPr>
        <w:t>Felnőtt</w:t>
      </w:r>
      <w:r w:rsidR="00C45EB0" w:rsidRPr="006D0F5F">
        <w:rPr>
          <w:i/>
          <w:noProof/>
          <w:color w:val="000000"/>
          <w:lang w:val="hu-HU"/>
        </w:rPr>
        <w:t>ek</w:t>
      </w:r>
    </w:p>
    <w:p w14:paraId="5FE1DE07" w14:textId="77777777" w:rsidR="000906CD" w:rsidRPr="006D0F5F" w:rsidRDefault="000906CD" w:rsidP="000906CD">
      <w:pPr>
        <w:pStyle w:val="Text"/>
        <w:spacing w:before="0"/>
        <w:jc w:val="left"/>
        <w:rPr>
          <w:color w:val="000000"/>
          <w:sz w:val="22"/>
          <w:szCs w:val="22"/>
          <w:lang w:val="hu-HU"/>
        </w:rPr>
      </w:pPr>
      <w:r w:rsidRPr="006D0F5F">
        <w:rPr>
          <w:color w:val="000000"/>
          <w:sz w:val="22"/>
          <w:szCs w:val="22"/>
          <w:lang w:val="hu-HU"/>
        </w:rPr>
        <w:t>1200</w:t>
      </w:r>
      <w:r w:rsidR="00CC39DF" w:rsidRPr="006D0F5F">
        <w:rPr>
          <w:color w:val="000000"/>
          <w:sz w:val="22"/>
          <w:szCs w:val="22"/>
          <w:lang w:val="hu-HU"/>
        </w:rPr>
        <w:noBreakHyphen/>
      </w:r>
      <w:r w:rsidRPr="006D0F5F">
        <w:rPr>
          <w:color w:val="000000"/>
          <w:sz w:val="22"/>
          <w:szCs w:val="22"/>
          <w:lang w:val="hu-HU"/>
        </w:rPr>
        <w:t>1600 mg (</w:t>
      </w:r>
      <w:r w:rsidR="00E96A76" w:rsidRPr="006D0F5F">
        <w:rPr>
          <w:color w:val="000000"/>
          <w:sz w:val="22"/>
          <w:szCs w:val="22"/>
          <w:lang w:val="hu-HU"/>
        </w:rPr>
        <w:t>az időtartam</w:t>
      </w:r>
      <w:r w:rsidRPr="006D0F5F">
        <w:rPr>
          <w:color w:val="000000"/>
          <w:sz w:val="22"/>
          <w:szCs w:val="22"/>
          <w:lang w:val="hu-HU"/>
        </w:rPr>
        <w:t xml:space="preserve"> 1</w:t>
      </w:r>
      <w:r w:rsidR="00CC39DF" w:rsidRPr="006D0F5F">
        <w:rPr>
          <w:color w:val="000000"/>
          <w:sz w:val="22"/>
          <w:szCs w:val="22"/>
          <w:lang w:val="hu-HU"/>
        </w:rPr>
        <w:noBreakHyphen/>
      </w:r>
      <w:r w:rsidRPr="006D0F5F">
        <w:rPr>
          <w:color w:val="000000"/>
          <w:sz w:val="22"/>
          <w:szCs w:val="22"/>
          <w:lang w:val="hu-HU"/>
        </w:rPr>
        <w:t>10 </w:t>
      </w:r>
      <w:r w:rsidR="00E96A76" w:rsidRPr="006D0F5F">
        <w:rPr>
          <w:color w:val="000000"/>
          <w:sz w:val="22"/>
          <w:szCs w:val="22"/>
          <w:lang w:val="hu-HU"/>
        </w:rPr>
        <w:t>nap között változik</w:t>
      </w:r>
      <w:r w:rsidRPr="006D0F5F">
        <w:rPr>
          <w:color w:val="000000"/>
          <w:sz w:val="22"/>
          <w:szCs w:val="22"/>
          <w:lang w:val="hu-HU"/>
        </w:rPr>
        <w:t xml:space="preserve">): </w:t>
      </w:r>
      <w:r w:rsidR="00E96A76" w:rsidRPr="006D0F5F">
        <w:rPr>
          <w:color w:val="000000"/>
          <w:sz w:val="22"/>
          <w:szCs w:val="22"/>
          <w:lang w:val="hu-HU"/>
        </w:rPr>
        <w:t xml:space="preserve">hányinger, hányás, hasmenés, bőrkiütés, </w:t>
      </w:r>
      <w:r w:rsidRPr="006D0F5F">
        <w:rPr>
          <w:color w:val="000000"/>
          <w:sz w:val="22"/>
          <w:szCs w:val="22"/>
          <w:lang w:val="hu-HU"/>
        </w:rPr>
        <w:t xml:space="preserve">erythema, </w:t>
      </w:r>
      <w:r w:rsidR="00746382" w:rsidRPr="006D0F5F">
        <w:rPr>
          <w:color w:val="000000"/>
          <w:sz w:val="22"/>
          <w:szCs w:val="22"/>
          <w:lang w:val="hu-HU"/>
        </w:rPr>
        <w:t>ödéma</w:t>
      </w:r>
      <w:r w:rsidRPr="006D0F5F">
        <w:rPr>
          <w:color w:val="000000"/>
          <w:sz w:val="22"/>
          <w:szCs w:val="22"/>
          <w:lang w:val="hu-HU"/>
        </w:rPr>
        <w:t xml:space="preserve">, </w:t>
      </w:r>
      <w:r w:rsidR="00D33F05" w:rsidRPr="006D0F5F">
        <w:rPr>
          <w:color w:val="000000"/>
          <w:sz w:val="22"/>
          <w:szCs w:val="22"/>
          <w:lang w:val="hu-HU"/>
        </w:rPr>
        <w:t>duzzanat</w:t>
      </w:r>
      <w:r w:rsidRPr="006D0F5F">
        <w:rPr>
          <w:color w:val="000000"/>
          <w:sz w:val="22"/>
          <w:szCs w:val="22"/>
          <w:lang w:val="hu-HU"/>
        </w:rPr>
        <w:t xml:space="preserve">, </w:t>
      </w:r>
      <w:r w:rsidR="00D33F05" w:rsidRPr="006D0F5F">
        <w:rPr>
          <w:color w:val="000000"/>
          <w:sz w:val="22"/>
          <w:szCs w:val="22"/>
          <w:lang w:val="hu-HU"/>
        </w:rPr>
        <w:t>fáradtság</w:t>
      </w:r>
      <w:r w:rsidRPr="006D0F5F">
        <w:rPr>
          <w:color w:val="000000"/>
          <w:sz w:val="22"/>
          <w:szCs w:val="22"/>
          <w:lang w:val="hu-HU"/>
        </w:rPr>
        <w:t xml:space="preserve">, </w:t>
      </w:r>
      <w:r w:rsidR="00D33F05" w:rsidRPr="006D0F5F">
        <w:rPr>
          <w:color w:val="000000"/>
          <w:sz w:val="22"/>
          <w:szCs w:val="22"/>
          <w:lang w:val="hu-HU"/>
        </w:rPr>
        <w:t>izomspasmus</w:t>
      </w:r>
      <w:r w:rsidRPr="006D0F5F">
        <w:rPr>
          <w:color w:val="000000"/>
          <w:sz w:val="22"/>
          <w:szCs w:val="22"/>
          <w:lang w:val="hu-HU"/>
        </w:rPr>
        <w:t xml:space="preserve">, thrombocytopenia, pancytopenia, </w:t>
      </w:r>
      <w:r w:rsidR="00D33F05" w:rsidRPr="006D0F5F">
        <w:rPr>
          <w:color w:val="000000"/>
          <w:sz w:val="22"/>
          <w:szCs w:val="22"/>
          <w:lang w:val="hu-HU"/>
        </w:rPr>
        <w:t>hasi fájdalom</w:t>
      </w:r>
      <w:r w:rsidRPr="006D0F5F">
        <w:rPr>
          <w:color w:val="000000"/>
          <w:sz w:val="22"/>
          <w:szCs w:val="22"/>
          <w:lang w:val="hu-HU"/>
        </w:rPr>
        <w:t xml:space="preserve">, </w:t>
      </w:r>
      <w:r w:rsidR="00D33F05" w:rsidRPr="006D0F5F">
        <w:rPr>
          <w:color w:val="000000"/>
          <w:sz w:val="22"/>
          <w:szCs w:val="22"/>
          <w:lang w:val="hu-HU"/>
        </w:rPr>
        <w:t>fejfájás</w:t>
      </w:r>
      <w:r w:rsidRPr="006D0F5F">
        <w:rPr>
          <w:color w:val="000000"/>
          <w:sz w:val="22"/>
          <w:szCs w:val="22"/>
          <w:lang w:val="hu-HU"/>
        </w:rPr>
        <w:t xml:space="preserve">, </w:t>
      </w:r>
      <w:r w:rsidR="00D33F05" w:rsidRPr="006D0F5F">
        <w:rPr>
          <w:color w:val="000000"/>
          <w:sz w:val="22"/>
          <w:szCs w:val="22"/>
          <w:lang w:val="hu-HU"/>
        </w:rPr>
        <w:t>étvágycsökkenés</w:t>
      </w:r>
      <w:r w:rsidRPr="006D0F5F">
        <w:rPr>
          <w:color w:val="000000"/>
          <w:sz w:val="22"/>
          <w:szCs w:val="22"/>
          <w:lang w:val="hu-HU"/>
        </w:rPr>
        <w:t>.</w:t>
      </w:r>
    </w:p>
    <w:p w14:paraId="770FAAE0" w14:textId="3B548B5A" w:rsidR="000906CD" w:rsidRPr="006D0F5F" w:rsidRDefault="000906CD" w:rsidP="000906CD">
      <w:pPr>
        <w:pStyle w:val="Text"/>
        <w:spacing w:before="0"/>
        <w:jc w:val="left"/>
        <w:rPr>
          <w:color w:val="000000"/>
          <w:sz w:val="22"/>
          <w:szCs w:val="22"/>
          <w:lang w:val="hu-HU"/>
        </w:rPr>
      </w:pPr>
      <w:r w:rsidRPr="006D0F5F">
        <w:rPr>
          <w:color w:val="000000"/>
          <w:sz w:val="22"/>
          <w:szCs w:val="22"/>
          <w:lang w:val="hu-HU"/>
        </w:rPr>
        <w:t>1800</w:t>
      </w:r>
      <w:r w:rsidR="00CC39DF" w:rsidRPr="006D0F5F">
        <w:rPr>
          <w:color w:val="000000"/>
          <w:sz w:val="22"/>
          <w:szCs w:val="22"/>
          <w:lang w:val="hu-HU"/>
        </w:rPr>
        <w:noBreakHyphen/>
      </w:r>
      <w:r w:rsidRPr="006D0F5F">
        <w:rPr>
          <w:color w:val="000000"/>
          <w:sz w:val="22"/>
          <w:szCs w:val="22"/>
          <w:lang w:val="hu-HU"/>
        </w:rPr>
        <w:t>3200 mg (</w:t>
      </w:r>
      <w:r w:rsidR="00D33F05" w:rsidRPr="006D0F5F">
        <w:rPr>
          <w:color w:val="000000"/>
          <w:sz w:val="22"/>
          <w:szCs w:val="22"/>
          <w:lang w:val="hu-HU"/>
        </w:rPr>
        <w:t xml:space="preserve">akár napi </w:t>
      </w:r>
      <w:r w:rsidRPr="006D0F5F">
        <w:rPr>
          <w:color w:val="000000"/>
          <w:sz w:val="22"/>
          <w:szCs w:val="22"/>
          <w:lang w:val="hu-HU"/>
        </w:rPr>
        <w:t>3200 mg 6 </w:t>
      </w:r>
      <w:r w:rsidR="00D33F05" w:rsidRPr="006D0F5F">
        <w:rPr>
          <w:color w:val="000000"/>
          <w:sz w:val="22"/>
          <w:szCs w:val="22"/>
          <w:lang w:val="hu-HU"/>
        </w:rPr>
        <w:t>napon keresztül</w:t>
      </w:r>
      <w:r w:rsidRPr="006D0F5F">
        <w:rPr>
          <w:color w:val="000000"/>
          <w:sz w:val="22"/>
          <w:szCs w:val="22"/>
          <w:lang w:val="hu-HU"/>
        </w:rPr>
        <w:t xml:space="preserve">): </w:t>
      </w:r>
      <w:r w:rsidR="002C2B6A" w:rsidRPr="006D0F5F">
        <w:rPr>
          <w:color w:val="000000"/>
          <w:sz w:val="22"/>
          <w:szCs w:val="22"/>
          <w:lang w:val="hu-HU"/>
        </w:rPr>
        <w:t>gyengeség</w:t>
      </w:r>
      <w:r w:rsidRPr="006D0F5F">
        <w:rPr>
          <w:color w:val="000000"/>
          <w:sz w:val="22"/>
          <w:szCs w:val="22"/>
          <w:lang w:val="hu-HU"/>
        </w:rPr>
        <w:t xml:space="preserve">, myalgia, </w:t>
      </w:r>
      <w:r w:rsidR="002C2B6A" w:rsidRPr="006D0F5F">
        <w:rPr>
          <w:color w:val="000000"/>
          <w:sz w:val="22"/>
          <w:szCs w:val="22"/>
          <w:lang w:val="hu-HU"/>
        </w:rPr>
        <w:t>emelkedett kreatin</w:t>
      </w:r>
      <w:r w:rsidR="00C45EB0" w:rsidRPr="006D0F5F">
        <w:rPr>
          <w:color w:val="000000"/>
          <w:sz w:val="22"/>
          <w:szCs w:val="22"/>
          <w:lang w:val="hu-HU"/>
        </w:rPr>
        <w:t>-</w:t>
      </w:r>
      <w:r w:rsidR="002C2B6A" w:rsidRPr="006D0F5F">
        <w:rPr>
          <w:color w:val="000000"/>
          <w:sz w:val="22"/>
          <w:szCs w:val="22"/>
          <w:lang w:val="hu-HU"/>
        </w:rPr>
        <w:t>foszfokináz</w:t>
      </w:r>
      <w:r w:rsidR="00CC39DF" w:rsidRPr="006D0F5F">
        <w:rPr>
          <w:color w:val="000000"/>
          <w:sz w:val="22"/>
          <w:szCs w:val="22"/>
          <w:lang w:val="hu-HU"/>
        </w:rPr>
        <w:noBreakHyphen/>
      </w:r>
      <w:r w:rsidR="002C2B6A" w:rsidRPr="006D0F5F">
        <w:rPr>
          <w:color w:val="000000"/>
          <w:sz w:val="22"/>
          <w:szCs w:val="22"/>
          <w:lang w:val="hu-HU"/>
        </w:rPr>
        <w:t>szint</w:t>
      </w:r>
      <w:r w:rsidRPr="006D0F5F">
        <w:rPr>
          <w:color w:val="000000"/>
          <w:sz w:val="22"/>
          <w:szCs w:val="22"/>
          <w:lang w:val="hu-HU"/>
        </w:rPr>
        <w:t xml:space="preserve">, </w:t>
      </w:r>
      <w:r w:rsidR="002C2B6A" w:rsidRPr="006D0F5F">
        <w:rPr>
          <w:color w:val="000000"/>
          <w:sz w:val="22"/>
          <w:szCs w:val="22"/>
          <w:lang w:val="hu-HU"/>
        </w:rPr>
        <w:t>emelkedett</w:t>
      </w:r>
      <w:r w:rsidRPr="006D0F5F">
        <w:rPr>
          <w:color w:val="000000"/>
          <w:sz w:val="22"/>
          <w:szCs w:val="22"/>
          <w:lang w:val="hu-HU"/>
        </w:rPr>
        <w:t xml:space="preserve"> bilirubin</w:t>
      </w:r>
      <w:r w:rsidR="002C2B6A" w:rsidRPr="006D0F5F">
        <w:rPr>
          <w:color w:val="000000"/>
          <w:sz w:val="22"/>
          <w:szCs w:val="22"/>
          <w:lang w:val="hu-HU"/>
        </w:rPr>
        <w:t>szint</w:t>
      </w:r>
      <w:r w:rsidRPr="006D0F5F">
        <w:rPr>
          <w:color w:val="000000"/>
          <w:sz w:val="22"/>
          <w:szCs w:val="22"/>
          <w:lang w:val="hu-HU"/>
        </w:rPr>
        <w:t>, gastrointestinal</w:t>
      </w:r>
      <w:r w:rsidR="002C2B6A" w:rsidRPr="006D0F5F">
        <w:rPr>
          <w:color w:val="000000"/>
          <w:sz w:val="22"/>
          <w:szCs w:val="22"/>
          <w:lang w:val="hu-HU"/>
        </w:rPr>
        <w:t>is</w:t>
      </w:r>
      <w:r w:rsidRPr="006D0F5F">
        <w:rPr>
          <w:color w:val="000000"/>
          <w:sz w:val="22"/>
          <w:szCs w:val="22"/>
          <w:lang w:val="hu-HU"/>
        </w:rPr>
        <w:t xml:space="preserve"> </w:t>
      </w:r>
      <w:r w:rsidR="002C2B6A" w:rsidRPr="006D0F5F">
        <w:rPr>
          <w:color w:val="000000"/>
          <w:sz w:val="22"/>
          <w:szCs w:val="22"/>
          <w:lang w:val="hu-HU"/>
        </w:rPr>
        <w:t>fájdalom</w:t>
      </w:r>
      <w:r w:rsidRPr="006D0F5F">
        <w:rPr>
          <w:color w:val="000000"/>
          <w:sz w:val="22"/>
          <w:szCs w:val="22"/>
          <w:lang w:val="hu-HU"/>
        </w:rPr>
        <w:t>.</w:t>
      </w:r>
    </w:p>
    <w:p w14:paraId="2F1B48A4" w14:textId="3572C7AC" w:rsidR="000906CD" w:rsidRPr="006D0F5F" w:rsidRDefault="000906CD" w:rsidP="000906CD">
      <w:pPr>
        <w:pStyle w:val="Text"/>
        <w:spacing w:before="0"/>
        <w:jc w:val="left"/>
        <w:rPr>
          <w:color w:val="000000"/>
          <w:sz w:val="22"/>
          <w:szCs w:val="22"/>
          <w:lang w:val="hu-HU"/>
        </w:rPr>
      </w:pPr>
      <w:r w:rsidRPr="006D0F5F">
        <w:rPr>
          <w:color w:val="000000"/>
          <w:sz w:val="22"/>
          <w:szCs w:val="22"/>
          <w:lang w:val="hu-HU"/>
        </w:rPr>
        <w:t>6400 mg (</w:t>
      </w:r>
      <w:r w:rsidR="00A3743A" w:rsidRPr="006D0F5F">
        <w:rPr>
          <w:color w:val="000000"/>
          <w:sz w:val="22"/>
          <w:szCs w:val="22"/>
          <w:lang w:val="hu-HU"/>
        </w:rPr>
        <w:t>egyetlen adag</w:t>
      </w:r>
      <w:r w:rsidRPr="006D0F5F">
        <w:rPr>
          <w:color w:val="000000"/>
          <w:sz w:val="22"/>
          <w:szCs w:val="22"/>
          <w:lang w:val="hu-HU"/>
        </w:rPr>
        <w:t xml:space="preserve">): </w:t>
      </w:r>
      <w:r w:rsidR="00FE7919" w:rsidRPr="006D0F5F">
        <w:rPr>
          <w:color w:val="000000"/>
          <w:sz w:val="22"/>
          <w:szCs w:val="22"/>
          <w:lang w:val="hu-HU"/>
        </w:rPr>
        <w:t xml:space="preserve">A szakirodalomban egy beteg esetéről számoltak be, akinél hányingert, hányást, hasi fájdalmat, lázat, arcdagadást, </w:t>
      </w:r>
      <w:r w:rsidR="000C1DF8" w:rsidRPr="006D0F5F">
        <w:rPr>
          <w:color w:val="000000"/>
          <w:sz w:val="22"/>
          <w:szCs w:val="22"/>
          <w:lang w:val="hu-HU"/>
        </w:rPr>
        <w:t>csökkent neutro</w:t>
      </w:r>
      <w:r w:rsidR="00A75DE0" w:rsidRPr="006D0F5F">
        <w:rPr>
          <w:color w:val="000000"/>
          <w:sz w:val="22"/>
          <w:szCs w:val="22"/>
          <w:lang w:val="hu-HU"/>
        </w:rPr>
        <w:t>ph</w:t>
      </w:r>
      <w:r w:rsidR="000C1DF8" w:rsidRPr="006D0F5F">
        <w:rPr>
          <w:color w:val="000000"/>
          <w:sz w:val="22"/>
          <w:szCs w:val="22"/>
          <w:lang w:val="hu-HU"/>
        </w:rPr>
        <w:t>ilszámot</w:t>
      </w:r>
      <w:r w:rsidR="00DB577D" w:rsidRPr="006D0F5F">
        <w:rPr>
          <w:color w:val="000000"/>
          <w:sz w:val="22"/>
          <w:szCs w:val="22"/>
          <w:lang w:val="hu-HU"/>
        </w:rPr>
        <w:t>,</w:t>
      </w:r>
      <w:r w:rsidR="000C1DF8" w:rsidRPr="006D0F5F">
        <w:rPr>
          <w:color w:val="000000"/>
          <w:sz w:val="22"/>
          <w:szCs w:val="22"/>
          <w:lang w:val="hu-HU"/>
        </w:rPr>
        <w:t xml:space="preserve"> emelkedett transzamináz</w:t>
      </w:r>
      <w:r w:rsidR="000C1DF8" w:rsidRPr="006D0F5F">
        <w:rPr>
          <w:color w:val="000000"/>
          <w:sz w:val="22"/>
          <w:szCs w:val="22"/>
          <w:lang w:val="hu-HU"/>
        </w:rPr>
        <w:noBreakHyphen/>
        <w:t>szinteket észleltek.</w:t>
      </w:r>
    </w:p>
    <w:p w14:paraId="44BE7965" w14:textId="77777777" w:rsidR="000906CD" w:rsidRPr="00556B9B" w:rsidRDefault="000906CD" w:rsidP="000906CD">
      <w:pPr>
        <w:pStyle w:val="Text"/>
        <w:spacing w:before="0"/>
        <w:jc w:val="left"/>
        <w:rPr>
          <w:color w:val="000000"/>
          <w:sz w:val="22"/>
          <w:szCs w:val="22"/>
          <w:lang w:val="hu-HU"/>
        </w:rPr>
      </w:pPr>
      <w:r w:rsidRPr="006D0F5F">
        <w:rPr>
          <w:color w:val="000000"/>
          <w:sz w:val="22"/>
          <w:szCs w:val="22"/>
          <w:lang w:val="hu-HU"/>
        </w:rPr>
        <w:t>8</w:t>
      </w:r>
      <w:r w:rsidR="00CC39DF" w:rsidRPr="006D0F5F">
        <w:rPr>
          <w:color w:val="000000"/>
          <w:sz w:val="22"/>
          <w:szCs w:val="22"/>
          <w:lang w:val="hu-HU"/>
        </w:rPr>
        <w:noBreakHyphen/>
      </w:r>
      <w:r w:rsidRPr="006D0F5F">
        <w:rPr>
          <w:color w:val="000000"/>
          <w:sz w:val="22"/>
          <w:szCs w:val="22"/>
          <w:lang w:val="hu-HU"/>
        </w:rPr>
        <w:t>10 g (</w:t>
      </w:r>
      <w:r w:rsidR="000C1DF8" w:rsidRPr="006D0F5F">
        <w:rPr>
          <w:color w:val="000000"/>
          <w:sz w:val="22"/>
          <w:szCs w:val="22"/>
          <w:lang w:val="hu-HU"/>
        </w:rPr>
        <w:t>egyetlen adag</w:t>
      </w:r>
      <w:r w:rsidRPr="006D0F5F">
        <w:rPr>
          <w:color w:val="000000"/>
          <w:sz w:val="22"/>
          <w:szCs w:val="22"/>
          <w:lang w:val="hu-HU"/>
        </w:rPr>
        <w:t xml:space="preserve">): </w:t>
      </w:r>
      <w:r w:rsidR="00417AC2" w:rsidRPr="006D0F5F">
        <w:rPr>
          <w:color w:val="000000"/>
          <w:sz w:val="22"/>
          <w:szCs w:val="22"/>
          <w:lang w:val="hu-HU"/>
        </w:rPr>
        <w:t>h</w:t>
      </w:r>
      <w:r w:rsidR="000C1DF8" w:rsidRPr="006D0F5F">
        <w:rPr>
          <w:color w:val="000000"/>
          <w:sz w:val="22"/>
          <w:szCs w:val="22"/>
          <w:lang w:val="hu-HU"/>
        </w:rPr>
        <w:t>ányást és gastrointestinalis</w:t>
      </w:r>
      <w:r w:rsidR="000C1DF8" w:rsidRPr="00556B9B">
        <w:rPr>
          <w:color w:val="000000"/>
          <w:sz w:val="22"/>
          <w:szCs w:val="22"/>
          <w:lang w:val="hu-HU"/>
        </w:rPr>
        <w:t xml:space="preserve"> fájdalmat jelentettek</w:t>
      </w:r>
      <w:r w:rsidRPr="00556B9B">
        <w:rPr>
          <w:color w:val="000000"/>
          <w:sz w:val="22"/>
          <w:szCs w:val="22"/>
          <w:lang w:val="hu-HU"/>
        </w:rPr>
        <w:t>.</w:t>
      </w:r>
    </w:p>
    <w:p w14:paraId="5A43EBE9" w14:textId="77777777" w:rsidR="000906CD" w:rsidRPr="00556B9B" w:rsidRDefault="000906CD" w:rsidP="000906CD">
      <w:pPr>
        <w:widowControl w:val="0"/>
        <w:spacing w:line="240" w:lineRule="auto"/>
        <w:rPr>
          <w:color w:val="000000"/>
          <w:szCs w:val="22"/>
          <w:lang w:val="hu-HU"/>
        </w:rPr>
      </w:pPr>
    </w:p>
    <w:p w14:paraId="7ABE29C6" w14:textId="77777777" w:rsidR="000C1DF8" w:rsidRPr="00556B9B" w:rsidRDefault="009A10DF" w:rsidP="005C6E7A">
      <w:pPr>
        <w:keepNext/>
        <w:widowControl w:val="0"/>
        <w:spacing w:line="240" w:lineRule="auto"/>
        <w:rPr>
          <w:color w:val="000000"/>
          <w:szCs w:val="22"/>
          <w:lang w:val="hu-HU"/>
        </w:rPr>
      </w:pPr>
      <w:r w:rsidRPr="00556B9B">
        <w:rPr>
          <w:i/>
          <w:noProof/>
          <w:color w:val="000000"/>
          <w:lang w:val="hu-HU"/>
        </w:rPr>
        <w:t>Gyermek</w:t>
      </w:r>
      <w:r w:rsidR="006351D8" w:rsidRPr="00556B9B">
        <w:rPr>
          <w:i/>
          <w:noProof/>
          <w:color w:val="000000"/>
          <w:lang w:val="hu-HU"/>
        </w:rPr>
        <w:t>ek</w:t>
      </w:r>
      <w:r w:rsidR="008878B9" w:rsidRPr="00556B9B">
        <w:rPr>
          <w:i/>
          <w:noProof/>
          <w:color w:val="000000"/>
          <w:lang w:val="hu-HU"/>
        </w:rPr>
        <w:t xml:space="preserve"> és serdülők</w:t>
      </w:r>
    </w:p>
    <w:p w14:paraId="6C5592DA" w14:textId="77777777" w:rsidR="000906CD" w:rsidRPr="00556B9B" w:rsidRDefault="000C1DF8" w:rsidP="000906CD">
      <w:pPr>
        <w:pStyle w:val="Text"/>
        <w:spacing w:before="0"/>
        <w:jc w:val="left"/>
        <w:rPr>
          <w:color w:val="000000"/>
          <w:sz w:val="22"/>
          <w:szCs w:val="22"/>
          <w:lang w:val="hu-HU"/>
        </w:rPr>
      </w:pPr>
      <w:r w:rsidRPr="00556B9B">
        <w:rPr>
          <w:color w:val="000000"/>
          <w:sz w:val="22"/>
          <w:szCs w:val="22"/>
          <w:lang w:val="hu-HU"/>
        </w:rPr>
        <w:t>Egy</w:t>
      </w:r>
      <w:r w:rsidR="000906CD" w:rsidRPr="00556B9B">
        <w:rPr>
          <w:color w:val="000000"/>
          <w:sz w:val="22"/>
          <w:szCs w:val="22"/>
          <w:lang w:val="hu-HU"/>
        </w:rPr>
        <w:t xml:space="preserve"> 3</w:t>
      </w:r>
      <w:r w:rsidR="00CC39DF" w:rsidRPr="00556B9B">
        <w:rPr>
          <w:color w:val="000000"/>
          <w:sz w:val="22"/>
          <w:szCs w:val="22"/>
          <w:lang w:val="hu-HU"/>
        </w:rPr>
        <w:t> </w:t>
      </w:r>
      <w:r w:rsidRPr="00556B9B">
        <w:rPr>
          <w:color w:val="000000"/>
          <w:sz w:val="22"/>
          <w:szCs w:val="22"/>
          <w:lang w:val="hu-HU"/>
        </w:rPr>
        <w:t>éves</w:t>
      </w:r>
      <w:r w:rsidR="00744B75" w:rsidRPr="00556B9B">
        <w:rPr>
          <w:color w:val="000000"/>
          <w:sz w:val="22"/>
          <w:szCs w:val="22"/>
          <w:lang w:val="hu-HU"/>
        </w:rPr>
        <w:t xml:space="preserve"> fiúnál, aki egyetlen 400</w:t>
      </w:r>
      <w:r w:rsidR="00CC39DF" w:rsidRPr="00556B9B">
        <w:rPr>
          <w:color w:val="000000"/>
          <w:sz w:val="22"/>
          <w:szCs w:val="22"/>
          <w:lang w:val="hu-HU"/>
        </w:rPr>
        <w:t> </w:t>
      </w:r>
      <w:r w:rsidR="00744B75" w:rsidRPr="00556B9B">
        <w:rPr>
          <w:color w:val="000000"/>
          <w:sz w:val="22"/>
          <w:szCs w:val="22"/>
          <w:lang w:val="hu-HU"/>
        </w:rPr>
        <w:t>mg</w:t>
      </w:r>
      <w:r w:rsidR="00CC39DF" w:rsidRPr="00556B9B">
        <w:rPr>
          <w:color w:val="000000"/>
          <w:sz w:val="22"/>
          <w:szCs w:val="22"/>
          <w:lang w:val="hu-HU"/>
        </w:rPr>
        <w:noBreakHyphen/>
      </w:r>
      <w:r w:rsidR="00744B75" w:rsidRPr="00556B9B">
        <w:rPr>
          <w:color w:val="000000"/>
          <w:sz w:val="22"/>
          <w:szCs w:val="22"/>
          <w:lang w:val="hu-HU"/>
        </w:rPr>
        <w:t>os adagot kapott, hányást, hasmenést és étvágytalanságot, egy másik 3</w:t>
      </w:r>
      <w:r w:rsidR="00CC39DF" w:rsidRPr="00556B9B">
        <w:rPr>
          <w:color w:val="000000"/>
          <w:sz w:val="22"/>
          <w:szCs w:val="22"/>
          <w:lang w:val="hu-HU"/>
        </w:rPr>
        <w:t> </w:t>
      </w:r>
      <w:r w:rsidR="00744B75" w:rsidRPr="00556B9B">
        <w:rPr>
          <w:color w:val="000000"/>
          <w:sz w:val="22"/>
          <w:szCs w:val="22"/>
          <w:lang w:val="hu-HU"/>
        </w:rPr>
        <w:t>éves fiúnál, aki egyetlen 980</w:t>
      </w:r>
      <w:r w:rsidR="00CC39DF" w:rsidRPr="00556B9B">
        <w:rPr>
          <w:color w:val="000000"/>
          <w:sz w:val="22"/>
          <w:szCs w:val="22"/>
          <w:lang w:val="hu-HU"/>
        </w:rPr>
        <w:t> </w:t>
      </w:r>
      <w:r w:rsidR="00744B75" w:rsidRPr="00556B9B">
        <w:rPr>
          <w:color w:val="000000"/>
          <w:sz w:val="22"/>
          <w:szCs w:val="22"/>
          <w:lang w:val="hu-HU"/>
        </w:rPr>
        <w:t>mg</w:t>
      </w:r>
      <w:r w:rsidR="00CC39DF" w:rsidRPr="00556B9B">
        <w:rPr>
          <w:color w:val="000000"/>
          <w:sz w:val="22"/>
          <w:szCs w:val="22"/>
          <w:lang w:val="hu-HU"/>
        </w:rPr>
        <w:noBreakHyphen/>
      </w:r>
      <w:r w:rsidR="00744B75" w:rsidRPr="00556B9B">
        <w:rPr>
          <w:color w:val="000000"/>
          <w:sz w:val="22"/>
          <w:szCs w:val="22"/>
          <w:lang w:val="hu-HU"/>
        </w:rPr>
        <w:t>os adagot kapott</w:t>
      </w:r>
      <w:r w:rsidR="00B35E17" w:rsidRPr="00556B9B">
        <w:rPr>
          <w:color w:val="000000"/>
          <w:sz w:val="22"/>
          <w:szCs w:val="22"/>
          <w:lang w:val="hu-HU"/>
        </w:rPr>
        <w:t>,</w:t>
      </w:r>
      <w:r w:rsidR="00744B75" w:rsidRPr="00556B9B">
        <w:rPr>
          <w:color w:val="000000"/>
          <w:sz w:val="22"/>
          <w:szCs w:val="22"/>
          <w:lang w:val="hu-HU"/>
        </w:rPr>
        <w:t xml:space="preserve"> fehérvérsejtszám</w:t>
      </w:r>
      <w:r w:rsidR="00744B75" w:rsidRPr="00556B9B">
        <w:rPr>
          <w:color w:val="000000"/>
          <w:sz w:val="22"/>
          <w:szCs w:val="22"/>
          <w:lang w:val="hu-HU"/>
        </w:rPr>
        <w:noBreakHyphen/>
        <w:t>csökkenést és hasmenést észleltek</w:t>
      </w:r>
      <w:r w:rsidR="000906CD" w:rsidRPr="00556B9B">
        <w:rPr>
          <w:color w:val="000000"/>
          <w:sz w:val="22"/>
          <w:szCs w:val="22"/>
          <w:lang w:val="hu-HU"/>
        </w:rPr>
        <w:t>.</w:t>
      </w:r>
    </w:p>
    <w:p w14:paraId="29EFB433" w14:textId="77777777" w:rsidR="00910FC8" w:rsidRPr="00556B9B" w:rsidRDefault="00910FC8">
      <w:pPr>
        <w:spacing w:line="240" w:lineRule="auto"/>
        <w:rPr>
          <w:color w:val="000000"/>
          <w:lang w:val="hu-HU"/>
        </w:rPr>
      </w:pPr>
    </w:p>
    <w:p w14:paraId="6BE0DDDE" w14:textId="77777777" w:rsidR="00910FC8" w:rsidRPr="00556B9B" w:rsidRDefault="00910FC8">
      <w:pPr>
        <w:spacing w:line="240" w:lineRule="auto"/>
        <w:rPr>
          <w:color w:val="000000"/>
          <w:lang w:val="hu-HU"/>
        </w:rPr>
      </w:pPr>
      <w:r w:rsidRPr="00556B9B">
        <w:rPr>
          <w:color w:val="000000"/>
          <w:lang w:val="hu-HU"/>
        </w:rPr>
        <w:t>Túladagolás esetén a beteget megfigyelés alatt kell tartani, és megfelelő szupportív kezelésben kell részesíteni.</w:t>
      </w:r>
    </w:p>
    <w:p w14:paraId="2CAC8995" w14:textId="77777777" w:rsidR="00910FC8" w:rsidRPr="00556B9B" w:rsidRDefault="00910FC8">
      <w:pPr>
        <w:pStyle w:val="Trgymutat"/>
        <w:suppressLineNumbers w:val="0"/>
        <w:spacing w:line="240" w:lineRule="auto"/>
        <w:rPr>
          <w:color w:val="000000"/>
          <w:lang w:val="hu-HU"/>
        </w:rPr>
      </w:pPr>
    </w:p>
    <w:p w14:paraId="7226DD63" w14:textId="77777777" w:rsidR="00910FC8" w:rsidRPr="00556B9B" w:rsidRDefault="00910FC8">
      <w:pPr>
        <w:spacing w:line="240" w:lineRule="auto"/>
        <w:rPr>
          <w:color w:val="000000"/>
          <w:lang w:val="hu-HU"/>
        </w:rPr>
      </w:pPr>
    </w:p>
    <w:p w14:paraId="58080B03" w14:textId="77777777" w:rsidR="00910FC8" w:rsidRPr="00556B9B" w:rsidRDefault="00910FC8" w:rsidP="005C6E7A">
      <w:pPr>
        <w:keepNext/>
        <w:spacing w:line="240" w:lineRule="auto"/>
        <w:ind w:left="567" w:hanging="567"/>
        <w:rPr>
          <w:b/>
          <w:color w:val="000000"/>
          <w:lang w:val="hu-HU"/>
        </w:rPr>
      </w:pPr>
      <w:r w:rsidRPr="00556B9B">
        <w:rPr>
          <w:b/>
          <w:color w:val="000000"/>
          <w:lang w:val="hu-HU"/>
        </w:rPr>
        <w:lastRenderedPageBreak/>
        <w:t>5.</w:t>
      </w:r>
      <w:r w:rsidRPr="00556B9B">
        <w:rPr>
          <w:b/>
          <w:color w:val="000000"/>
          <w:lang w:val="hu-HU"/>
        </w:rPr>
        <w:tab/>
        <w:t>FARMAKOLÓGIAI TULAJDONSÁGOK</w:t>
      </w:r>
    </w:p>
    <w:p w14:paraId="479B493B" w14:textId="77777777" w:rsidR="00910FC8" w:rsidRPr="00556B9B" w:rsidRDefault="00910FC8" w:rsidP="005C6E7A">
      <w:pPr>
        <w:keepNext/>
        <w:spacing w:line="240" w:lineRule="auto"/>
        <w:rPr>
          <w:color w:val="000000"/>
          <w:lang w:val="hu-HU"/>
        </w:rPr>
      </w:pPr>
    </w:p>
    <w:p w14:paraId="2B553FCA" w14:textId="77777777" w:rsidR="00910FC8" w:rsidRPr="00556B9B" w:rsidRDefault="00910FC8" w:rsidP="005C6E7A">
      <w:pPr>
        <w:keepNext/>
        <w:spacing w:line="240" w:lineRule="auto"/>
        <w:ind w:left="567" w:hanging="567"/>
        <w:rPr>
          <w:b/>
          <w:color w:val="000000"/>
          <w:lang w:val="hu-HU"/>
        </w:rPr>
      </w:pPr>
      <w:r w:rsidRPr="00556B9B">
        <w:rPr>
          <w:b/>
          <w:color w:val="000000"/>
          <w:lang w:val="hu-HU"/>
        </w:rPr>
        <w:t>5.1</w:t>
      </w:r>
      <w:r w:rsidRPr="00556B9B">
        <w:rPr>
          <w:b/>
          <w:color w:val="000000"/>
          <w:lang w:val="hu-HU"/>
        </w:rPr>
        <w:tab/>
        <w:t>Farmakodinámiás tulajdonságok</w:t>
      </w:r>
    </w:p>
    <w:p w14:paraId="007CFCAE" w14:textId="77777777" w:rsidR="00910FC8" w:rsidRPr="00556B9B" w:rsidRDefault="00910FC8" w:rsidP="005C6E7A">
      <w:pPr>
        <w:keepNext/>
        <w:spacing w:line="240" w:lineRule="auto"/>
        <w:rPr>
          <w:color w:val="000000"/>
          <w:lang w:val="hu-HU"/>
        </w:rPr>
      </w:pPr>
    </w:p>
    <w:p w14:paraId="55F65FF3" w14:textId="77777777" w:rsidR="00910FC8" w:rsidRPr="00556B9B" w:rsidRDefault="00910FC8">
      <w:pPr>
        <w:spacing w:line="240" w:lineRule="auto"/>
        <w:rPr>
          <w:color w:val="000000"/>
          <w:lang w:val="hu-HU"/>
        </w:rPr>
      </w:pPr>
      <w:r w:rsidRPr="00556B9B">
        <w:rPr>
          <w:color w:val="000000"/>
          <w:lang w:val="hu-HU"/>
        </w:rPr>
        <w:t>Farmakoterápiás csoport: protein</w:t>
      </w:r>
      <w:r w:rsidRPr="00556B9B">
        <w:rPr>
          <w:color w:val="000000"/>
          <w:lang w:val="hu-HU"/>
        </w:rPr>
        <w:noBreakHyphen/>
        <w:t>tirozinkináz inhibitor</w:t>
      </w:r>
      <w:r w:rsidR="007F48DC" w:rsidRPr="00556B9B">
        <w:rPr>
          <w:color w:val="000000"/>
          <w:lang w:val="hu-HU"/>
        </w:rPr>
        <w:t>,</w:t>
      </w:r>
      <w:r w:rsidRPr="00556B9B">
        <w:rPr>
          <w:color w:val="000000"/>
          <w:lang w:val="hu-HU"/>
        </w:rPr>
        <w:t xml:space="preserve"> ATC kód: L01XE01</w:t>
      </w:r>
    </w:p>
    <w:p w14:paraId="67CBC4B8" w14:textId="77777777" w:rsidR="00910FC8" w:rsidRPr="00556B9B" w:rsidRDefault="00910FC8">
      <w:pPr>
        <w:spacing w:line="240" w:lineRule="auto"/>
        <w:rPr>
          <w:color w:val="000000"/>
          <w:lang w:val="hu-HU"/>
        </w:rPr>
      </w:pPr>
    </w:p>
    <w:p w14:paraId="0F46AB2D" w14:textId="77777777" w:rsidR="0041183D" w:rsidRPr="00556B9B" w:rsidRDefault="0041183D" w:rsidP="005C6E7A">
      <w:pPr>
        <w:pStyle w:val="EndnoteText"/>
        <w:keepNext/>
        <w:widowControl w:val="0"/>
        <w:rPr>
          <w:color w:val="000000"/>
          <w:szCs w:val="22"/>
          <w:u w:val="single"/>
          <w:lang w:val="hu-HU"/>
        </w:rPr>
      </w:pPr>
      <w:r w:rsidRPr="00556B9B">
        <w:rPr>
          <w:color w:val="000000"/>
          <w:u w:val="single"/>
          <w:lang w:val="hu-HU"/>
        </w:rPr>
        <w:t>Hatásmechanizmus</w:t>
      </w:r>
    </w:p>
    <w:p w14:paraId="25219924" w14:textId="77777777" w:rsidR="0041183D" w:rsidRPr="00556B9B" w:rsidRDefault="0041183D" w:rsidP="0041183D">
      <w:pPr>
        <w:pStyle w:val="EndnoteText"/>
        <w:widowControl w:val="0"/>
        <w:rPr>
          <w:lang w:val="hu-HU"/>
        </w:rPr>
      </w:pPr>
      <w:r w:rsidRPr="00556B9B">
        <w:rPr>
          <w:lang w:val="hu-HU"/>
        </w:rPr>
        <w:t>Az imatinib egy kis molekulájú protein</w:t>
      </w:r>
      <w:r w:rsidRPr="00556B9B">
        <w:rPr>
          <w:lang w:val="hu-HU"/>
        </w:rPr>
        <w:noBreakHyphen/>
        <w:t>tirozinkináz inhibitor, ami hatékonyan gátolja a Bcr</w:t>
      </w:r>
      <w:r w:rsidRPr="00556B9B">
        <w:rPr>
          <w:lang w:val="hu-HU"/>
        </w:rPr>
        <w:noBreakHyphen/>
        <w:t>Abl tirozinkináz (TK), valamint több TK</w:t>
      </w:r>
      <w:r w:rsidRPr="00556B9B">
        <w:rPr>
          <w:lang w:val="hu-HU"/>
        </w:rPr>
        <w:noBreakHyphen/>
        <w:t>receptor aktivitását: a Kit</w:t>
      </w:r>
      <w:r w:rsidRPr="00556B9B">
        <w:rPr>
          <w:lang w:val="hu-HU"/>
        </w:rPr>
        <w:noBreakHyphen/>
        <w:t>et, az őssejt faktor (SCF) receptorát, amit a c</w:t>
      </w:r>
      <w:r w:rsidRPr="00556B9B">
        <w:rPr>
          <w:lang w:val="hu-HU"/>
        </w:rPr>
        <w:noBreakHyphen/>
        <w:t>Kit protoonkogén kódol, a diszkoidin domén receptorokat (DDR1 és DDR2), a kolónia stimuláló faktor receptort (CSF</w:t>
      </w:r>
      <w:r w:rsidRPr="00556B9B">
        <w:rPr>
          <w:lang w:val="hu-HU"/>
        </w:rPr>
        <w:noBreakHyphen/>
        <w:t>1R) és a thrombocyta</w:t>
      </w:r>
      <w:r w:rsidRPr="00556B9B">
        <w:rPr>
          <w:lang w:val="hu-HU"/>
        </w:rPr>
        <w:noBreakHyphen/>
        <w:t>eredetű növekedési faktor receptor</w:t>
      </w:r>
      <w:r w:rsidRPr="00556B9B">
        <w:rPr>
          <w:lang w:val="hu-HU"/>
        </w:rPr>
        <w:noBreakHyphen/>
        <w:t>alfát és</w:t>
      </w:r>
      <w:r w:rsidR="00D17073" w:rsidRPr="00556B9B">
        <w:rPr>
          <w:lang w:val="hu-HU"/>
        </w:rPr>
        <w:t> </w:t>
      </w:r>
      <w:r w:rsidRPr="00556B9B">
        <w:rPr>
          <w:lang w:val="hu-HU"/>
        </w:rPr>
        <w:noBreakHyphen/>
        <w:t>bétát (PDGFR</w:t>
      </w:r>
      <w:r w:rsidRPr="00556B9B">
        <w:rPr>
          <w:lang w:val="hu-HU"/>
        </w:rPr>
        <w:noBreakHyphen/>
        <w:t>alfa és PDGFR</w:t>
      </w:r>
      <w:r w:rsidRPr="00556B9B">
        <w:rPr>
          <w:lang w:val="hu-HU"/>
        </w:rPr>
        <w:noBreakHyphen/>
        <w:t>béta). Az imatinib gátolni tudja még az ezeknek a receptor</w:t>
      </w:r>
      <w:r w:rsidRPr="00556B9B">
        <w:rPr>
          <w:lang w:val="hu-HU"/>
        </w:rPr>
        <w:noBreakHyphen/>
        <w:t>kinázoknak az aktiválódása által mediált celluláris eseményeket.</w:t>
      </w:r>
    </w:p>
    <w:p w14:paraId="14FCD1F9" w14:textId="77777777" w:rsidR="0041183D" w:rsidRPr="00556B9B" w:rsidRDefault="0041183D" w:rsidP="0041183D">
      <w:pPr>
        <w:rPr>
          <w:lang w:val="hu-HU"/>
        </w:rPr>
      </w:pPr>
    </w:p>
    <w:p w14:paraId="420FF368" w14:textId="77777777" w:rsidR="0041183D" w:rsidRPr="00556B9B" w:rsidRDefault="0041183D" w:rsidP="005C6E7A">
      <w:pPr>
        <w:keepNext/>
        <w:spacing w:line="240" w:lineRule="auto"/>
        <w:rPr>
          <w:u w:val="single"/>
          <w:lang w:val="hu-HU"/>
        </w:rPr>
      </w:pPr>
      <w:r w:rsidRPr="00556B9B">
        <w:rPr>
          <w:u w:val="single"/>
          <w:lang w:val="hu-HU"/>
        </w:rPr>
        <w:t>Farmakodinámiás hatások</w:t>
      </w:r>
    </w:p>
    <w:p w14:paraId="78F9AE3A" w14:textId="77777777" w:rsidR="00910FC8" w:rsidRPr="00556B9B" w:rsidRDefault="00910FC8">
      <w:pPr>
        <w:spacing w:line="240" w:lineRule="auto"/>
        <w:rPr>
          <w:color w:val="000000"/>
          <w:lang w:val="hu-HU"/>
        </w:rPr>
      </w:pPr>
      <w:r w:rsidRPr="00556B9B">
        <w:rPr>
          <w:color w:val="000000"/>
          <w:lang w:val="hu-HU"/>
        </w:rPr>
        <w:t>Az imatinib protein</w:t>
      </w:r>
      <w:r w:rsidRPr="00556B9B">
        <w:rPr>
          <w:color w:val="000000"/>
          <w:lang w:val="hu-HU"/>
        </w:rPr>
        <w:noBreakHyphen/>
        <w:t xml:space="preserve">tirozinkináz inhibitor, hatékonyan gátolja a Bcr-Abl tirozinkinázt </w:t>
      </w:r>
      <w:r w:rsidRPr="00556B9B">
        <w:rPr>
          <w:i/>
          <w:color w:val="000000"/>
          <w:lang w:val="hu-HU"/>
        </w:rPr>
        <w:t>in vitro,</w:t>
      </w:r>
      <w:r w:rsidRPr="00556B9B">
        <w:rPr>
          <w:color w:val="000000"/>
          <w:lang w:val="hu-HU"/>
        </w:rPr>
        <w:t xml:space="preserve"> celluláris szinten, és </w:t>
      </w:r>
      <w:r w:rsidRPr="00556B9B">
        <w:rPr>
          <w:i/>
          <w:color w:val="000000"/>
          <w:lang w:val="hu-HU"/>
        </w:rPr>
        <w:t>in vivo</w:t>
      </w:r>
      <w:r w:rsidRPr="00556B9B">
        <w:rPr>
          <w:color w:val="000000"/>
          <w:lang w:val="hu-HU"/>
        </w:rPr>
        <w:t>. A vegyület a Bcr-Abl pozitív sejtvonalak és a Philadelphia kromoszóma pozitív CML és akut lymphoblastos leukaemiás (</w:t>
      </w:r>
      <w:smartTag w:uri="urn:schemas-microsoft-com:office:smarttags" w:element="stockticker">
        <w:r w:rsidRPr="00556B9B">
          <w:rPr>
            <w:color w:val="000000"/>
            <w:lang w:val="hu-HU"/>
          </w:rPr>
          <w:t>ALL</w:t>
        </w:r>
      </w:smartTag>
      <w:r w:rsidRPr="00556B9B">
        <w:rPr>
          <w:color w:val="000000"/>
          <w:lang w:val="hu-HU"/>
        </w:rPr>
        <w:t>) betegekből frissen izolált leukaemiás sejtek proliferációját szelektíven gátolja, és azokban apoptózist indukál.</w:t>
      </w:r>
    </w:p>
    <w:p w14:paraId="1D9DD1EC" w14:textId="77777777" w:rsidR="00910FC8" w:rsidRPr="00556B9B" w:rsidRDefault="00910FC8">
      <w:pPr>
        <w:spacing w:line="240" w:lineRule="auto"/>
        <w:rPr>
          <w:color w:val="000000"/>
          <w:lang w:val="hu-HU"/>
        </w:rPr>
      </w:pPr>
    </w:p>
    <w:p w14:paraId="4A8AFF1C" w14:textId="6539764E" w:rsidR="00910FC8" w:rsidRPr="00556B9B" w:rsidRDefault="00910FC8">
      <w:pPr>
        <w:spacing w:line="240" w:lineRule="auto"/>
        <w:rPr>
          <w:color w:val="000000"/>
          <w:lang w:val="hu-HU"/>
        </w:rPr>
      </w:pPr>
      <w:r w:rsidRPr="00556B9B">
        <w:rPr>
          <w:color w:val="000000"/>
          <w:lang w:val="hu-HU"/>
        </w:rPr>
        <w:t>Állatmodellekben, Bcr</w:t>
      </w:r>
      <w:r w:rsidRPr="00556B9B">
        <w:rPr>
          <w:color w:val="000000"/>
          <w:lang w:val="hu-HU"/>
        </w:rPr>
        <w:noBreakHyphen/>
        <w:t>Abl pozitív tumorsejteket használva, a vegyület egyedülálló anyagként mutat</w:t>
      </w:r>
      <w:r w:rsidRPr="00556B9B">
        <w:rPr>
          <w:i/>
          <w:color w:val="000000"/>
          <w:lang w:val="hu-HU"/>
        </w:rPr>
        <w:t xml:space="preserve"> in vivo</w:t>
      </w:r>
      <w:r w:rsidRPr="00556B9B">
        <w:rPr>
          <w:color w:val="000000"/>
          <w:lang w:val="hu-HU"/>
        </w:rPr>
        <w:t xml:space="preserve"> antitumor aktivitást.</w:t>
      </w:r>
    </w:p>
    <w:p w14:paraId="5169ADBD" w14:textId="77777777" w:rsidR="00910FC8" w:rsidRPr="00556B9B" w:rsidRDefault="00910FC8">
      <w:pPr>
        <w:spacing w:line="240" w:lineRule="auto"/>
        <w:rPr>
          <w:color w:val="000000"/>
          <w:lang w:val="hu-HU"/>
        </w:rPr>
      </w:pPr>
    </w:p>
    <w:p w14:paraId="5E3AF9F5" w14:textId="77777777" w:rsidR="00910FC8" w:rsidRPr="00556B9B" w:rsidRDefault="00910FC8">
      <w:pPr>
        <w:spacing w:line="240" w:lineRule="auto"/>
        <w:rPr>
          <w:color w:val="000000"/>
          <w:lang w:val="hu-HU"/>
        </w:rPr>
      </w:pPr>
      <w:r w:rsidRPr="00556B9B">
        <w:rPr>
          <w:color w:val="000000"/>
          <w:lang w:val="hu-HU"/>
        </w:rPr>
        <w:t>Továbbá, az imatinib hatékonyan gátolja a thrombocyta-eredetű növekedési faktor (PDGF), PDGF</w:t>
      </w:r>
      <w:r w:rsidRPr="00556B9B">
        <w:rPr>
          <w:color w:val="000000"/>
          <w:lang w:val="hu-HU"/>
        </w:rPr>
        <w:noBreakHyphen/>
        <w:t>R, az őssejt faktor (SCF), tirozinkináz receptorait, a c</w:t>
      </w:r>
      <w:r w:rsidRPr="00556B9B">
        <w:rPr>
          <w:color w:val="000000"/>
          <w:lang w:val="hu-HU"/>
        </w:rPr>
        <w:noBreakHyphen/>
        <w:t>Kit</w:t>
      </w:r>
      <w:r w:rsidRPr="00556B9B">
        <w:rPr>
          <w:color w:val="000000"/>
          <w:lang w:val="hu-HU"/>
        </w:rPr>
        <w:noBreakHyphen/>
        <w:t xml:space="preserve">et, és gátolja a PDGF és SCF által közvetített celluláris folyamatokat. Az imatinib </w:t>
      </w:r>
      <w:r w:rsidRPr="00556B9B">
        <w:rPr>
          <w:i/>
          <w:color w:val="000000"/>
          <w:lang w:val="hu-HU"/>
        </w:rPr>
        <w:t>in vitro</w:t>
      </w:r>
      <w:r w:rsidRPr="00556B9B">
        <w:rPr>
          <w:color w:val="000000"/>
          <w:lang w:val="hu-HU"/>
        </w:rPr>
        <w:t xml:space="preserve"> az aktiváló </w:t>
      </w:r>
      <w:r w:rsidRPr="00556B9B">
        <w:rPr>
          <w:i/>
          <w:color w:val="000000"/>
          <w:lang w:val="hu-HU"/>
        </w:rPr>
        <w:t>kit</w:t>
      </w:r>
      <w:r w:rsidRPr="00556B9B">
        <w:rPr>
          <w:color w:val="000000"/>
          <w:lang w:val="hu-HU"/>
        </w:rPr>
        <w:t xml:space="preserve"> mutációt expresszáló gastrointestinalis stromalis tumor (GIST) sejtek proliferációját gátolja, és apoptózisukat indukálja. Az </w:t>
      </w:r>
      <w:smartTag w:uri="urn:schemas-microsoft-com:office:smarttags" w:element="stockticker">
        <w:r w:rsidRPr="00556B9B">
          <w:rPr>
            <w:color w:val="000000"/>
            <w:lang w:val="hu-HU"/>
          </w:rPr>
          <w:t>MDS</w:t>
        </w:r>
      </w:smartTag>
      <w:r w:rsidRPr="00556B9B">
        <w:rPr>
          <w:color w:val="000000"/>
          <w:lang w:val="hu-HU"/>
        </w:rPr>
        <w:t>/MPD,a HES/</w:t>
      </w:r>
      <w:smartTag w:uri="urn:schemas-microsoft-com:office:smarttags" w:element="stockticker">
        <w:r w:rsidRPr="00556B9B">
          <w:rPr>
            <w:color w:val="000000"/>
            <w:lang w:val="hu-HU"/>
          </w:rPr>
          <w:t>CEL</w:t>
        </w:r>
      </w:smartTag>
      <w:r w:rsidRPr="00556B9B">
        <w:rPr>
          <w:color w:val="000000"/>
          <w:lang w:val="hu-HU"/>
        </w:rPr>
        <w:t>, valamint a DFSP patogenezise kapcsán felmerült a PDGF receptor vagy az Abl protein tirozinkinázok konstitutív aktivációja, amely a különböző partnerfehérjékkel való fúzió, illetve a PDGF konstitutív termelődésének következménye. Az imatinib gátolja a PDGFR és Abl</w:t>
      </w:r>
      <w:r w:rsidRPr="00556B9B">
        <w:rPr>
          <w:color w:val="000000"/>
          <w:lang w:val="hu-HU"/>
        </w:rPr>
        <w:noBreakHyphen/>
        <w:t>kináz kóros regulációja által okozott sejtproliferációt és jelátvitelt.</w:t>
      </w:r>
    </w:p>
    <w:p w14:paraId="17942517" w14:textId="77777777" w:rsidR="00910FC8" w:rsidRPr="00556B9B" w:rsidRDefault="00910FC8">
      <w:pPr>
        <w:spacing w:line="240" w:lineRule="auto"/>
        <w:rPr>
          <w:color w:val="000000"/>
          <w:lang w:val="hu-HU"/>
        </w:rPr>
      </w:pPr>
    </w:p>
    <w:p w14:paraId="295FAB37" w14:textId="77777777" w:rsidR="00910FC8" w:rsidRPr="00556B9B" w:rsidRDefault="00910FC8" w:rsidP="005C6E7A">
      <w:pPr>
        <w:keepNext/>
        <w:spacing w:line="240" w:lineRule="auto"/>
        <w:rPr>
          <w:color w:val="000000"/>
          <w:u w:val="single"/>
          <w:lang w:val="hu-HU"/>
        </w:rPr>
      </w:pPr>
      <w:r w:rsidRPr="00556B9B">
        <w:rPr>
          <w:color w:val="000000"/>
          <w:u w:val="single"/>
          <w:lang w:val="hu-HU"/>
        </w:rPr>
        <w:t>Klinikai vizsgálatok krónikus myeloid leukaemiában</w:t>
      </w:r>
    </w:p>
    <w:p w14:paraId="563817E0" w14:textId="77777777" w:rsidR="00910FC8" w:rsidRPr="006D0F5F" w:rsidRDefault="00910FC8">
      <w:pPr>
        <w:spacing w:line="240" w:lineRule="auto"/>
        <w:rPr>
          <w:color w:val="000000"/>
          <w:lang w:val="hu-HU"/>
        </w:rPr>
      </w:pPr>
      <w:r w:rsidRPr="00556B9B">
        <w:rPr>
          <w:color w:val="000000"/>
          <w:lang w:val="hu-HU"/>
        </w:rPr>
        <w:t xml:space="preserve">A Glivec hatékonyságát a teljes hematológiai és cytogenetikai válaszarány, valamint a progressziómentes túlélés határozza meg. Az újonnan diagnosztizált, krónikus fázisú CML kivételével nem végeztek kontrollált vizsgálatokat a kezelés </w:t>
      </w:r>
      <w:r w:rsidRPr="006D0F5F">
        <w:rPr>
          <w:color w:val="000000"/>
          <w:lang w:val="hu-HU"/>
        </w:rPr>
        <w:t>klinikai előnyeit (pl. a betegséggel összefüggő tünetek javulását vagy a túlélési arány növekedését) illetően.</w:t>
      </w:r>
    </w:p>
    <w:p w14:paraId="40F8BD5F" w14:textId="77777777" w:rsidR="00910FC8" w:rsidRPr="006D0F5F" w:rsidRDefault="00910FC8">
      <w:pPr>
        <w:spacing w:line="240" w:lineRule="auto"/>
        <w:rPr>
          <w:color w:val="000000"/>
          <w:lang w:val="hu-HU"/>
        </w:rPr>
      </w:pPr>
    </w:p>
    <w:p w14:paraId="2185CCEA" w14:textId="27AEEB54" w:rsidR="00910FC8" w:rsidRPr="00556B9B" w:rsidRDefault="00910FC8">
      <w:pPr>
        <w:pStyle w:val="WW-BodyText2"/>
        <w:rPr>
          <w:color w:val="000000"/>
          <w:sz w:val="22"/>
        </w:rPr>
      </w:pPr>
      <w:r w:rsidRPr="006D0F5F">
        <w:rPr>
          <w:color w:val="000000"/>
          <w:sz w:val="22"/>
        </w:rPr>
        <w:t>Három nagy, nemzetközi, nyílt, nem kontroll</w:t>
      </w:r>
      <w:r w:rsidR="00FF194C" w:rsidRPr="006D0F5F">
        <w:rPr>
          <w:color w:val="000000"/>
          <w:sz w:val="22"/>
        </w:rPr>
        <w:t>os</w:t>
      </w:r>
      <w:r w:rsidRPr="006D0F5F">
        <w:rPr>
          <w:color w:val="000000"/>
          <w:sz w:val="22"/>
        </w:rPr>
        <w:t xml:space="preserve"> II. </w:t>
      </w:r>
      <w:r w:rsidR="00FF194C" w:rsidRPr="006D0F5F">
        <w:rPr>
          <w:color w:val="000000"/>
          <w:sz w:val="22"/>
        </w:rPr>
        <w:t xml:space="preserve">fázisú </w:t>
      </w:r>
      <w:r w:rsidRPr="006D0F5F">
        <w:rPr>
          <w:color w:val="000000"/>
          <w:sz w:val="22"/>
        </w:rPr>
        <w:t>vizsgálat történt Philadelphia kromoszóma pozitív (Ph+) előrehaladott, blasztos vagy akcelerált fázisban levő CML</w:t>
      </w:r>
      <w:r w:rsidRPr="006D0F5F">
        <w:rPr>
          <w:color w:val="000000"/>
          <w:sz w:val="22"/>
        </w:rPr>
        <w:noBreakHyphen/>
        <w:t>es betegekkel, valamint egyéb Ph+ leukaemiákban, ill. alfa</w:t>
      </w:r>
      <w:r w:rsidRPr="006D0F5F">
        <w:rPr>
          <w:color w:val="000000"/>
          <w:sz w:val="22"/>
        </w:rPr>
        <w:noBreakHyphen/>
        <w:t>interferon (IFN) terápiára rezisztens krónikus fázisú CML</w:t>
      </w:r>
      <w:r w:rsidRPr="006D0F5F">
        <w:rPr>
          <w:color w:val="000000"/>
          <w:sz w:val="22"/>
        </w:rPr>
        <w:noBreakHyphen/>
        <w:t xml:space="preserve">ben szenvedő betegekkel. Egy nagy, nyílt, multicentrikus, nemzetközi, randomizált </w:t>
      </w:r>
      <w:smartTag w:uri="urn:schemas-microsoft-com:office:smarttags" w:element="stockticker">
        <w:r w:rsidRPr="006D0F5F">
          <w:rPr>
            <w:color w:val="000000"/>
            <w:sz w:val="22"/>
          </w:rPr>
          <w:t>III</w:t>
        </w:r>
      </w:smartTag>
      <w:r w:rsidRPr="006D0F5F">
        <w:rPr>
          <w:color w:val="000000"/>
          <w:sz w:val="22"/>
        </w:rPr>
        <w:t>.</w:t>
      </w:r>
      <w:r w:rsidR="00FF194C" w:rsidRPr="006D0F5F">
        <w:rPr>
          <w:color w:val="000000"/>
          <w:sz w:val="22"/>
        </w:rPr>
        <w:t xml:space="preserve"> fázisú</w:t>
      </w:r>
      <w:r w:rsidRPr="006D0F5F">
        <w:rPr>
          <w:color w:val="000000"/>
          <w:sz w:val="22"/>
        </w:rPr>
        <w:t xml:space="preserve"> vizsgálatot végeztek újonnan diagnosztizált Ph+ CML</w:t>
      </w:r>
      <w:r w:rsidRPr="006D0F5F">
        <w:rPr>
          <w:color w:val="000000"/>
          <w:sz w:val="22"/>
        </w:rPr>
        <w:noBreakHyphen/>
        <w:t>es betegekkel. Továbbá két I</w:t>
      </w:r>
      <w:r w:rsidR="00597C7D" w:rsidRPr="006D0F5F">
        <w:rPr>
          <w:color w:val="000000"/>
          <w:sz w:val="22"/>
        </w:rPr>
        <w:t>.</w:t>
      </w:r>
      <w:r w:rsidR="00FF194C" w:rsidRPr="006D0F5F">
        <w:rPr>
          <w:color w:val="000000"/>
          <w:sz w:val="22"/>
        </w:rPr>
        <w:t xml:space="preserve"> fázisú</w:t>
      </w:r>
      <w:r w:rsidRPr="006D0F5F">
        <w:rPr>
          <w:color w:val="000000"/>
          <w:sz w:val="22"/>
        </w:rPr>
        <w:t xml:space="preserve">, valamint egy II. </w:t>
      </w:r>
      <w:r w:rsidR="00FF194C" w:rsidRPr="006D0F5F">
        <w:rPr>
          <w:color w:val="000000"/>
          <w:sz w:val="22"/>
        </w:rPr>
        <w:t xml:space="preserve">fázisú </w:t>
      </w:r>
      <w:r w:rsidRPr="006D0F5F">
        <w:rPr>
          <w:color w:val="000000"/>
          <w:sz w:val="22"/>
        </w:rPr>
        <w:t>vizsgálatban kezeltek gyermekeket.</w:t>
      </w:r>
    </w:p>
    <w:p w14:paraId="2512F9F6" w14:textId="77777777" w:rsidR="00910FC8" w:rsidRPr="00556B9B" w:rsidRDefault="00910FC8">
      <w:pPr>
        <w:spacing w:line="240" w:lineRule="auto"/>
        <w:rPr>
          <w:color w:val="000000"/>
          <w:lang w:val="hu-HU"/>
        </w:rPr>
      </w:pPr>
    </w:p>
    <w:p w14:paraId="640C1ABF" w14:textId="7C86AB50" w:rsidR="00910FC8" w:rsidRPr="006D0F5F" w:rsidRDefault="00910FC8">
      <w:pPr>
        <w:spacing w:line="240" w:lineRule="auto"/>
        <w:rPr>
          <w:color w:val="000000"/>
          <w:lang w:val="hu-HU"/>
        </w:rPr>
      </w:pPr>
      <w:r w:rsidRPr="006D0F5F">
        <w:rPr>
          <w:color w:val="000000"/>
          <w:lang w:val="hu-HU"/>
        </w:rPr>
        <w:t>Valamennyi klinikai vizsgálatot figyelembe véve a betegek 38–40%</w:t>
      </w:r>
      <w:r w:rsidR="00F10932" w:rsidRPr="006D0F5F">
        <w:rPr>
          <w:color w:val="000000"/>
          <w:lang w:val="hu-HU"/>
        </w:rPr>
        <w:t>-a</w:t>
      </w:r>
      <w:r w:rsidRPr="006D0F5F">
        <w:rPr>
          <w:color w:val="000000"/>
          <w:lang w:val="hu-HU"/>
        </w:rPr>
        <w:t xml:space="preserve"> 60 éves vagy ennél idősebb, 10–12%</w:t>
      </w:r>
      <w:r w:rsidRPr="006D0F5F">
        <w:rPr>
          <w:color w:val="000000"/>
          <w:lang w:val="hu-HU"/>
        </w:rPr>
        <w:noBreakHyphen/>
        <w:t>a 70 éves vagy ennél idősebb volt.</w:t>
      </w:r>
    </w:p>
    <w:p w14:paraId="3F6AFD0F" w14:textId="77777777" w:rsidR="00910FC8" w:rsidRPr="006D0F5F" w:rsidRDefault="00910FC8">
      <w:pPr>
        <w:spacing w:line="240" w:lineRule="auto"/>
        <w:rPr>
          <w:color w:val="000000"/>
          <w:lang w:val="hu-HU"/>
        </w:rPr>
      </w:pPr>
    </w:p>
    <w:p w14:paraId="067B02F7" w14:textId="106F8EB9" w:rsidR="00910FC8" w:rsidRPr="00556B9B" w:rsidRDefault="00910FC8">
      <w:pPr>
        <w:pStyle w:val="Heading2"/>
        <w:spacing w:before="0" w:after="0" w:line="240" w:lineRule="auto"/>
        <w:rPr>
          <w:rFonts w:ascii="Times New Roman" w:hAnsi="Times New Roman"/>
          <w:b w:val="0"/>
          <w:i w:val="0"/>
          <w:color w:val="000000"/>
          <w:sz w:val="22"/>
          <w:lang w:val="hu-HU"/>
        </w:rPr>
      </w:pPr>
      <w:r w:rsidRPr="006D0F5F">
        <w:rPr>
          <w:rFonts w:ascii="Times New Roman" w:hAnsi="Times New Roman"/>
          <w:b w:val="0"/>
          <w:color w:val="000000"/>
          <w:sz w:val="22"/>
          <w:lang w:val="hu-HU"/>
        </w:rPr>
        <w:t>Újonnan diagnosztizált krónikus fázis:</w:t>
      </w:r>
      <w:r w:rsidRPr="006D0F5F">
        <w:rPr>
          <w:rFonts w:ascii="Times New Roman" w:hAnsi="Times New Roman"/>
          <w:b w:val="0"/>
          <w:i w:val="0"/>
          <w:color w:val="000000"/>
          <w:sz w:val="22"/>
          <w:lang w:val="hu-HU"/>
        </w:rPr>
        <w:t xml:space="preserve"> ez, a felnőttek</w:t>
      </w:r>
      <w:r w:rsidR="00FF194C" w:rsidRPr="006D0F5F">
        <w:rPr>
          <w:rFonts w:ascii="Times New Roman" w:hAnsi="Times New Roman"/>
          <w:b w:val="0"/>
          <w:i w:val="0"/>
          <w:color w:val="000000"/>
          <w:sz w:val="22"/>
          <w:lang w:val="hu-HU"/>
        </w:rPr>
        <w:t xml:space="preserve"> bevonásával</w:t>
      </w:r>
      <w:r w:rsidRPr="006D0F5F">
        <w:rPr>
          <w:rFonts w:ascii="Times New Roman" w:hAnsi="Times New Roman"/>
          <w:b w:val="0"/>
          <w:i w:val="0"/>
          <w:color w:val="000000"/>
          <w:sz w:val="22"/>
          <w:lang w:val="hu-HU"/>
        </w:rPr>
        <w:t xml:space="preserve"> végzett, </w:t>
      </w:r>
      <w:smartTag w:uri="urn:schemas-microsoft-com:office:smarttags" w:element="stockticker">
        <w:r w:rsidRPr="006D0F5F">
          <w:rPr>
            <w:rFonts w:ascii="Times New Roman" w:hAnsi="Times New Roman"/>
            <w:b w:val="0"/>
            <w:i w:val="0"/>
            <w:color w:val="000000"/>
            <w:sz w:val="22"/>
            <w:lang w:val="hu-HU"/>
          </w:rPr>
          <w:t>III</w:t>
        </w:r>
      </w:smartTag>
      <w:r w:rsidRPr="006D0F5F">
        <w:rPr>
          <w:rFonts w:ascii="Times New Roman" w:hAnsi="Times New Roman"/>
          <w:b w:val="0"/>
          <w:i w:val="0"/>
          <w:color w:val="000000"/>
          <w:sz w:val="22"/>
          <w:lang w:val="hu-HU"/>
        </w:rPr>
        <w:t xml:space="preserve">. </w:t>
      </w:r>
      <w:r w:rsidR="00FF194C" w:rsidRPr="006D0F5F">
        <w:rPr>
          <w:rFonts w:ascii="Times New Roman" w:hAnsi="Times New Roman"/>
          <w:b w:val="0"/>
          <w:i w:val="0"/>
          <w:color w:val="000000"/>
          <w:sz w:val="22"/>
          <w:lang w:val="hu-HU"/>
        </w:rPr>
        <w:t xml:space="preserve">fázisú </w:t>
      </w:r>
      <w:r w:rsidRPr="006D0F5F">
        <w:rPr>
          <w:rFonts w:ascii="Times New Roman" w:hAnsi="Times New Roman"/>
          <w:b w:val="0"/>
          <w:i w:val="0"/>
          <w:color w:val="000000"/>
          <w:sz w:val="22"/>
          <w:lang w:val="hu-HU"/>
        </w:rPr>
        <w:t>vizsgálat a Glivec monoterápiát hasonlította össze az alfa</w:t>
      </w:r>
      <w:r w:rsidRPr="006D0F5F">
        <w:rPr>
          <w:rFonts w:ascii="Times New Roman" w:hAnsi="Times New Roman"/>
          <w:b w:val="0"/>
          <w:i w:val="0"/>
          <w:color w:val="000000"/>
          <w:sz w:val="22"/>
          <w:lang w:val="hu-HU"/>
        </w:rPr>
        <w:noBreakHyphen/>
        <w:t>interferon (IFN) – citarabin (Ara</w:t>
      </w:r>
      <w:r w:rsidRPr="006D0F5F">
        <w:rPr>
          <w:rFonts w:ascii="Times New Roman" w:hAnsi="Times New Roman"/>
          <w:b w:val="0"/>
          <w:i w:val="0"/>
          <w:color w:val="000000"/>
          <w:sz w:val="22"/>
          <w:lang w:val="hu-HU"/>
        </w:rPr>
        <w:noBreakHyphen/>
        <w:t>C) kombinált kezeléssel. Azok a betegek, akiknél nem alakult ki válasz (6 hónap alatt nem következett be komplett hematológiai válasz (</w:t>
      </w:r>
      <w:smartTag w:uri="urn:schemas-microsoft-com:office:smarttags" w:element="stockticker">
        <w:r w:rsidRPr="006D0F5F">
          <w:rPr>
            <w:rFonts w:ascii="Times New Roman" w:hAnsi="Times New Roman"/>
            <w:b w:val="0"/>
            <w:i w:val="0"/>
            <w:color w:val="000000"/>
            <w:sz w:val="22"/>
            <w:lang w:val="hu-HU"/>
          </w:rPr>
          <w:t>CHR</w:t>
        </w:r>
      </w:smartTag>
      <w:r w:rsidRPr="006D0F5F">
        <w:rPr>
          <w:rFonts w:ascii="Times New Roman" w:hAnsi="Times New Roman"/>
          <w:b w:val="0"/>
          <w:i w:val="0"/>
          <w:color w:val="000000"/>
          <w:sz w:val="22"/>
          <w:lang w:val="hu-HU"/>
        </w:rPr>
        <w:t xml:space="preserve">), nőtt a fehérvérsejtszám, nem volt </w:t>
      </w:r>
      <w:r w:rsidR="000B2EBD" w:rsidRPr="006D0F5F">
        <w:rPr>
          <w:rFonts w:ascii="Times New Roman" w:hAnsi="Times New Roman"/>
          <w:b w:val="0"/>
          <w:i w:val="0"/>
          <w:color w:val="000000"/>
          <w:sz w:val="22"/>
          <w:lang w:val="hu-HU"/>
        </w:rPr>
        <w:t xml:space="preserve">nagyfokú </w:t>
      </w:r>
      <w:r w:rsidRPr="006D0F5F">
        <w:rPr>
          <w:rFonts w:ascii="Times New Roman" w:hAnsi="Times New Roman"/>
          <w:b w:val="0"/>
          <w:i w:val="0"/>
          <w:color w:val="000000"/>
          <w:sz w:val="22"/>
          <w:lang w:val="hu-HU"/>
        </w:rPr>
        <w:t>(major) cytogenetikai válasz (MCyR) 24 hónapon belül), illetve megszűnt a válasz (</w:t>
      </w:r>
      <w:smartTag w:uri="urn:schemas-microsoft-com:office:smarttags" w:element="stockticker">
        <w:r w:rsidRPr="006D0F5F">
          <w:rPr>
            <w:rFonts w:ascii="Times New Roman" w:hAnsi="Times New Roman"/>
            <w:b w:val="0"/>
            <w:i w:val="0"/>
            <w:color w:val="000000"/>
            <w:sz w:val="22"/>
            <w:lang w:val="hu-HU"/>
          </w:rPr>
          <w:t>CHR</w:t>
        </w:r>
      </w:smartTag>
      <w:r w:rsidRPr="006D0F5F">
        <w:rPr>
          <w:rFonts w:ascii="Times New Roman" w:hAnsi="Times New Roman"/>
          <w:b w:val="0"/>
          <w:i w:val="0"/>
          <w:color w:val="000000"/>
          <w:sz w:val="22"/>
          <w:lang w:val="hu-HU"/>
        </w:rPr>
        <w:t xml:space="preserve"> vagy MCyR megszűnése), vagy nem tolerálták a kezelést, átmehettek a másik kezelési csoportba. A Glivec</w:t>
      </w:r>
      <w:r w:rsidRPr="006D0F5F">
        <w:rPr>
          <w:rFonts w:ascii="Times New Roman" w:hAnsi="Times New Roman"/>
          <w:b w:val="0"/>
          <w:i w:val="0"/>
          <w:color w:val="000000"/>
          <w:sz w:val="22"/>
          <w:lang w:val="hu-HU"/>
        </w:rPr>
        <w:noBreakHyphen/>
        <w:t>csoportban</w:t>
      </w:r>
      <w:r w:rsidRPr="00556B9B">
        <w:rPr>
          <w:rFonts w:ascii="Times New Roman" w:hAnsi="Times New Roman"/>
          <w:b w:val="0"/>
          <w:i w:val="0"/>
          <w:color w:val="000000"/>
          <w:sz w:val="22"/>
          <w:lang w:val="hu-HU"/>
        </w:rPr>
        <w:t xml:space="preserve"> a betegek naponta 400 mg Glivec</w:t>
      </w:r>
      <w:r w:rsidRPr="00556B9B">
        <w:rPr>
          <w:rFonts w:ascii="Times New Roman" w:hAnsi="Times New Roman"/>
          <w:b w:val="0"/>
          <w:i w:val="0"/>
          <w:color w:val="000000"/>
          <w:sz w:val="22"/>
          <w:lang w:val="hu-HU"/>
        </w:rPr>
        <w:noBreakHyphen/>
        <w:t xml:space="preserve">et kaptak, az IFN csoportban </w:t>
      </w:r>
      <w:smartTag w:uri="urn:schemas-microsoft-com:office:smarttags" w:element="metricconverter">
        <w:smartTagPr>
          <w:attr w:name="ProductID" w:val="5ﾠM"/>
        </w:smartTagPr>
        <w:r w:rsidRPr="00556B9B">
          <w:rPr>
            <w:rFonts w:ascii="Times New Roman" w:hAnsi="Times New Roman"/>
            <w:b w:val="0"/>
            <w:i w:val="0"/>
            <w:color w:val="000000"/>
            <w:sz w:val="22"/>
            <w:lang w:val="hu-HU"/>
          </w:rPr>
          <w:t>5 M</w:t>
        </w:r>
      </w:smartTag>
      <w:r w:rsidRPr="00556B9B">
        <w:rPr>
          <w:rFonts w:ascii="Times New Roman" w:hAnsi="Times New Roman"/>
          <w:b w:val="0"/>
          <w:i w:val="0"/>
          <w:color w:val="000000"/>
          <w:sz w:val="22"/>
          <w:lang w:val="hu-HU"/>
        </w:rPr>
        <w:t xml:space="preserve"> NE/m</w:t>
      </w:r>
      <w:r w:rsidRPr="00556B9B">
        <w:rPr>
          <w:rFonts w:ascii="Times New Roman" w:hAnsi="Times New Roman"/>
          <w:b w:val="0"/>
          <w:i w:val="0"/>
          <w:color w:val="000000"/>
          <w:sz w:val="22"/>
          <w:vertAlign w:val="superscript"/>
          <w:lang w:val="hu-HU"/>
        </w:rPr>
        <w:t>2</w:t>
      </w:r>
      <w:r w:rsidRPr="00556B9B">
        <w:rPr>
          <w:rFonts w:ascii="Times New Roman" w:hAnsi="Times New Roman"/>
          <w:b w:val="0"/>
          <w:i w:val="0"/>
          <w:color w:val="000000"/>
          <w:sz w:val="22"/>
          <w:lang w:val="hu-HU"/>
        </w:rPr>
        <w:t>/nap IFN</w:t>
      </w:r>
      <w:r w:rsidRPr="00556B9B">
        <w:rPr>
          <w:rFonts w:ascii="Times New Roman" w:hAnsi="Times New Roman"/>
          <w:b w:val="0"/>
          <w:i w:val="0"/>
          <w:color w:val="000000"/>
          <w:sz w:val="22"/>
          <w:lang w:val="hu-HU"/>
        </w:rPr>
        <w:noBreakHyphen/>
        <w:t>t és 20 mg/m</w:t>
      </w:r>
      <w:r w:rsidRPr="00556B9B">
        <w:rPr>
          <w:rFonts w:ascii="Times New Roman" w:hAnsi="Times New Roman"/>
          <w:b w:val="0"/>
          <w:i w:val="0"/>
          <w:color w:val="000000"/>
          <w:sz w:val="22"/>
          <w:vertAlign w:val="superscript"/>
          <w:lang w:val="hu-HU"/>
        </w:rPr>
        <w:t>2</w:t>
      </w:r>
      <w:r w:rsidRPr="00556B9B">
        <w:rPr>
          <w:rFonts w:ascii="Times New Roman" w:hAnsi="Times New Roman"/>
          <w:b w:val="0"/>
          <w:i w:val="0"/>
          <w:color w:val="000000"/>
          <w:sz w:val="22"/>
          <w:lang w:val="hu-HU"/>
        </w:rPr>
        <w:t>/nap Ara</w:t>
      </w:r>
      <w:r w:rsidRPr="00556B9B">
        <w:rPr>
          <w:rFonts w:ascii="Times New Roman" w:hAnsi="Times New Roman"/>
          <w:b w:val="0"/>
          <w:i w:val="0"/>
          <w:color w:val="000000"/>
          <w:sz w:val="22"/>
          <w:lang w:val="hu-HU"/>
        </w:rPr>
        <w:noBreakHyphen/>
        <w:t>C kombinációt kaptak subcutan, havonta 10 napon keresztül.</w:t>
      </w:r>
    </w:p>
    <w:p w14:paraId="382D8164" w14:textId="77777777" w:rsidR="00910FC8" w:rsidRPr="00556B9B" w:rsidRDefault="00910FC8">
      <w:pPr>
        <w:rPr>
          <w:color w:val="000000"/>
          <w:lang w:val="hu-HU"/>
        </w:rPr>
      </w:pPr>
    </w:p>
    <w:p w14:paraId="44C9B3FE" w14:textId="77777777" w:rsidR="00910FC8" w:rsidRPr="00556B9B" w:rsidRDefault="00910FC8" w:rsidP="005C6E7A">
      <w:pPr>
        <w:pStyle w:val="Heading2"/>
        <w:keepNext w:val="0"/>
        <w:numPr>
          <w:ilvl w:val="0"/>
          <w:numId w:val="0"/>
        </w:numPr>
        <w:spacing w:before="0" w:after="0" w:line="240" w:lineRule="auto"/>
        <w:rPr>
          <w:rFonts w:ascii="Times New Roman" w:hAnsi="Times New Roman"/>
          <w:b w:val="0"/>
          <w:i w:val="0"/>
          <w:color w:val="000000"/>
          <w:sz w:val="22"/>
          <w:lang w:val="hu-HU"/>
        </w:rPr>
      </w:pPr>
      <w:r w:rsidRPr="00556B9B">
        <w:rPr>
          <w:rFonts w:ascii="Times New Roman" w:hAnsi="Times New Roman"/>
          <w:b w:val="0"/>
          <w:i w:val="0"/>
          <w:color w:val="000000"/>
          <w:sz w:val="22"/>
          <w:lang w:val="hu-HU"/>
        </w:rPr>
        <w:lastRenderedPageBreak/>
        <w:t>Összesen 1106 beteget randomizáltak (553</w:t>
      </w:r>
      <w:r w:rsidRPr="00556B9B">
        <w:rPr>
          <w:rFonts w:ascii="Times New Roman" w:hAnsi="Times New Roman"/>
          <w:b w:val="0"/>
          <w:i w:val="0"/>
          <w:color w:val="000000"/>
          <w:sz w:val="22"/>
          <w:lang w:val="hu-HU"/>
        </w:rPr>
        <w:noBreakHyphen/>
        <w:t>t mindegyik csoportban). A két csoport a kiindulási értékeket illetően kiegyenlített volt. Az átlagéletkor 51 év (18–70 év) volt. A betegek 21,9%</w:t>
      </w:r>
      <w:r w:rsidRPr="00556B9B">
        <w:rPr>
          <w:rFonts w:ascii="Times New Roman" w:hAnsi="Times New Roman"/>
          <w:b w:val="0"/>
          <w:i w:val="0"/>
          <w:color w:val="000000"/>
          <w:sz w:val="22"/>
          <w:lang w:val="hu-HU"/>
        </w:rPr>
        <w:noBreakHyphen/>
        <w:t xml:space="preserve">a volt 60 éves vagy efelett. 59% volt a férfiak és 41% volt a nők aránya; 89,9% kaukázusi, 4,7% fekete rasszbeli volt. </w:t>
      </w:r>
      <w:r w:rsidR="005E15AC" w:rsidRPr="00556B9B">
        <w:rPr>
          <w:rFonts w:ascii="Times New Roman" w:hAnsi="Times New Roman"/>
          <w:b w:val="0"/>
          <w:i w:val="0"/>
          <w:color w:val="000000"/>
          <w:sz w:val="22"/>
          <w:lang w:val="hu-HU"/>
        </w:rPr>
        <w:t>Hét </w:t>
      </w:r>
      <w:r w:rsidRPr="00556B9B">
        <w:rPr>
          <w:rFonts w:ascii="Times New Roman" w:hAnsi="Times New Roman"/>
          <w:b w:val="0"/>
          <w:i w:val="0"/>
          <w:color w:val="000000"/>
          <w:sz w:val="22"/>
          <w:lang w:val="hu-HU"/>
        </w:rPr>
        <w:t>évvel az utolsó beteg bevonása után az első vonalbeli kezelés medián időtartama a Glivec</w:t>
      </w:r>
      <w:r w:rsidRPr="00556B9B">
        <w:rPr>
          <w:rFonts w:ascii="Times New Roman" w:hAnsi="Times New Roman"/>
          <w:b w:val="0"/>
          <w:i w:val="0"/>
          <w:color w:val="000000"/>
          <w:sz w:val="22"/>
          <w:lang w:val="hu-HU"/>
        </w:rPr>
        <w:noBreakHyphen/>
        <w:t xml:space="preserve">csoportban </w:t>
      </w:r>
      <w:r w:rsidR="005E15AC" w:rsidRPr="00556B9B">
        <w:rPr>
          <w:rFonts w:ascii="Times New Roman" w:hAnsi="Times New Roman"/>
          <w:b w:val="0"/>
          <w:i w:val="0"/>
          <w:color w:val="000000"/>
          <w:sz w:val="22"/>
          <w:lang w:val="hu-HU"/>
        </w:rPr>
        <w:t>82 </w:t>
      </w:r>
      <w:r w:rsidRPr="00556B9B">
        <w:rPr>
          <w:rFonts w:ascii="Times New Roman" w:hAnsi="Times New Roman"/>
          <w:b w:val="0"/>
          <w:i w:val="0"/>
          <w:color w:val="000000"/>
          <w:sz w:val="22"/>
          <w:lang w:val="hu-HU"/>
        </w:rPr>
        <w:t>hónap, az IFN csoportban 8 hónap volt. A második vonalbeli Glivec</w:t>
      </w:r>
      <w:r w:rsidRPr="00556B9B">
        <w:rPr>
          <w:rFonts w:ascii="Times New Roman" w:hAnsi="Times New Roman"/>
          <w:b w:val="0"/>
          <w:i w:val="0"/>
          <w:color w:val="000000"/>
          <w:sz w:val="22"/>
          <w:lang w:val="hu-HU"/>
        </w:rPr>
        <w:noBreakHyphen/>
        <w:t xml:space="preserve">kezelés medián időtartama </w:t>
      </w:r>
      <w:r w:rsidR="005E15AC" w:rsidRPr="00556B9B">
        <w:rPr>
          <w:rFonts w:ascii="Times New Roman" w:hAnsi="Times New Roman"/>
          <w:b w:val="0"/>
          <w:i w:val="0"/>
          <w:color w:val="000000"/>
          <w:sz w:val="22"/>
          <w:lang w:val="hu-HU"/>
        </w:rPr>
        <w:t>64 </w:t>
      </w:r>
      <w:r w:rsidRPr="00556B9B">
        <w:rPr>
          <w:rFonts w:ascii="Times New Roman" w:hAnsi="Times New Roman"/>
          <w:b w:val="0"/>
          <w:i w:val="0"/>
          <w:color w:val="000000"/>
          <w:sz w:val="22"/>
          <w:lang w:val="hu-HU"/>
        </w:rPr>
        <w:t>hónap volt. Az első vonalbeli Glivec</w:t>
      </w:r>
      <w:r w:rsidRPr="00556B9B">
        <w:rPr>
          <w:rFonts w:ascii="Times New Roman" w:hAnsi="Times New Roman"/>
          <w:b w:val="0"/>
          <w:i w:val="0"/>
          <w:color w:val="000000"/>
          <w:sz w:val="22"/>
          <w:lang w:val="hu-HU"/>
        </w:rPr>
        <w:noBreakHyphen/>
        <w:t xml:space="preserve">kezelésben részesülő betegek átlagos napi adagja </w:t>
      </w:r>
      <w:r w:rsidR="005E15AC" w:rsidRPr="00556B9B">
        <w:rPr>
          <w:rFonts w:ascii="Times New Roman" w:hAnsi="Times New Roman"/>
          <w:b w:val="0"/>
          <w:i w:val="0"/>
          <w:color w:val="000000"/>
          <w:sz w:val="22"/>
          <w:lang w:val="hu-HU"/>
        </w:rPr>
        <w:t>406 </w:t>
      </w:r>
      <w:r w:rsidRPr="00556B9B">
        <w:rPr>
          <w:rFonts w:ascii="Times New Roman" w:hAnsi="Times New Roman"/>
          <w:b w:val="0"/>
          <w:i w:val="0"/>
          <w:color w:val="000000"/>
          <w:sz w:val="22"/>
          <w:lang w:val="hu-HU"/>
        </w:rPr>
        <w:sym w:font="Symbol" w:char="F0B1"/>
      </w:r>
      <w:r w:rsidRPr="00556B9B">
        <w:rPr>
          <w:rFonts w:ascii="Times New Roman" w:hAnsi="Times New Roman"/>
          <w:b w:val="0"/>
          <w:i w:val="0"/>
          <w:color w:val="000000"/>
          <w:sz w:val="22"/>
          <w:lang w:val="hu-HU"/>
        </w:rPr>
        <w:t> </w:t>
      </w:r>
      <w:r w:rsidR="005E15AC" w:rsidRPr="00556B9B">
        <w:rPr>
          <w:rFonts w:ascii="Times New Roman" w:hAnsi="Times New Roman"/>
          <w:b w:val="0"/>
          <w:i w:val="0"/>
          <w:color w:val="000000"/>
          <w:sz w:val="22"/>
          <w:lang w:val="hu-HU"/>
        </w:rPr>
        <w:t>76 </w:t>
      </w:r>
      <w:r w:rsidRPr="00556B9B">
        <w:rPr>
          <w:rFonts w:ascii="Times New Roman" w:hAnsi="Times New Roman"/>
          <w:b w:val="0"/>
          <w:i w:val="0"/>
          <w:color w:val="000000"/>
          <w:sz w:val="22"/>
          <w:lang w:val="hu-HU"/>
        </w:rPr>
        <w:t xml:space="preserve">mg volt. A vizsgálat elsődleges hatékonysági végpontja a progresziómentes túlélési idő. Progressziónak az alábbi események bármelyikének bekövetkeztét tekintették: akcelerált fázisba vagy blasztos krízisbe való progresszió, halál bekövetkezte, a </w:t>
      </w:r>
      <w:smartTag w:uri="urn:schemas-microsoft-com:office:smarttags" w:element="stockticker">
        <w:r w:rsidRPr="00556B9B">
          <w:rPr>
            <w:rFonts w:ascii="Times New Roman" w:hAnsi="Times New Roman"/>
            <w:b w:val="0"/>
            <w:i w:val="0"/>
            <w:color w:val="000000"/>
            <w:sz w:val="22"/>
            <w:lang w:val="hu-HU"/>
          </w:rPr>
          <w:t>CHR</w:t>
        </w:r>
      </w:smartTag>
      <w:r w:rsidRPr="00556B9B">
        <w:rPr>
          <w:rFonts w:ascii="Times New Roman" w:hAnsi="Times New Roman"/>
          <w:b w:val="0"/>
          <w:i w:val="0"/>
          <w:color w:val="000000"/>
          <w:sz w:val="22"/>
          <w:lang w:val="hu-HU"/>
        </w:rPr>
        <w:t xml:space="preserve"> vagy MCyR megszűnése, vagy, ha megfelelő kezelés mellett sem jött létre </w:t>
      </w:r>
      <w:smartTag w:uri="urn:schemas-microsoft-com:office:smarttags" w:element="stockticker">
        <w:r w:rsidRPr="00556B9B">
          <w:rPr>
            <w:rFonts w:ascii="Times New Roman" w:hAnsi="Times New Roman"/>
            <w:b w:val="0"/>
            <w:i w:val="0"/>
            <w:color w:val="000000"/>
            <w:sz w:val="22"/>
            <w:lang w:val="hu-HU"/>
          </w:rPr>
          <w:t>CHR</w:t>
        </w:r>
      </w:smartTag>
      <w:r w:rsidRPr="00556B9B">
        <w:rPr>
          <w:rFonts w:ascii="Times New Roman" w:hAnsi="Times New Roman"/>
          <w:b w:val="0"/>
          <w:i w:val="0"/>
          <w:color w:val="000000"/>
          <w:sz w:val="22"/>
          <w:lang w:val="hu-HU"/>
        </w:rPr>
        <w:t xml:space="preserve">, nőtt a fehérvérsejtszám. </w:t>
      </w:r>
      <w:r w:rsidR="00142C58" w:rsidRPr="00556B9B">
        <w:rPr>
          <w:rFonts w:ascii="Times New Roman" w:hAnsi="Times New Roman"/>
          <w:b w:val="0"/>
          <w:i w:val="0"/>
          <w:color w:val="000000"/>
          <w:sz w:val="22"/>
          <w:lang w:val="hu-HU"/>
        </w:rPr>
        <w:t>Fő m</w:t>
      </w:r>
      <w:r w:rsidRPr="00556B9B">
        <w:rPr>
          <w:rFonts w:ascii="Times New Roman" w:hAnsi="Times New Roman"/>
          <w:b w:val="0"/>
          <w:i w:val="0"/>
          <w:color w:val="000000"/>
          <w:sz w:val="22"/>
          <w:lang w:val="hu-HU"/>
        </w:rPr>
        <w:t xml:space="preserve">ásodlagos kiértékelési végpontok: a jelentős cytogenetikai válasz, a hematológiai válasz, molekuláris válasz ( a minimális reziduális betegség értékelése), az akcelerált fázisig vagy a blasztos krízisig eltelt idő és a túlélés. A </w:t>
      </w:r>
      <w:r w:rsidR="00053E70" w:rsidRPr="00556B9B">
        <w:rPr>
          <w:rFonts w:ascii="Times New Roman" w:hAnsi="Times New Roman"/>
          <w:b w:val="0"/>
          <w:i w:val="0"/>
          <w:color w:val="000000"/>
          <w:sz w:val="22"/>
          <w:lang w:val="hu-HU"/>
        </w:rPr>
        <w:t>2</w:t>
      </w:r>
      <w:r w:rsidRPr="00556B9B">
        <w:rPr>
          <w:rFonts w:ascii="Times New Roman" w:hAnsi="Times New Roman"/>
          <w:b w:val="0"/>
          <w:i w:val="0"/>
          <w:color w:val="000000"/>
          <w:sz w:val="22"/>
          <w:lang w:val="hu-HU"/>
        </w:rPr>
        <w:t>. táblázat a kezelésre adott választ mutatja.</w:t>
      </w:r>
    </w:p>
    <w:p w14:paraId="090AE8E0" w14:textId="77777777" w:rsidR="00910FC8" w:rsidRPr="00556B9B" w:rsidRDefault="00910FC8" w:rsidP="005C6E7A">
      <w:pPr>
        <w:pStyle w:val="Heading2"/>
        <w:keepNext w:val="0"/>
        <w:numPr>
          <w:ilvl w:val="0"/>
          <w:numId w:val="0"/>
        </w:numPr>
        <w:spacing w:before="0" w:after="0" w:line="240" w:lineRule="auto"/>
        <w:rPr>
          <w:rFonts w:ascii="Times New Roman" w:hAnsi="Times New Roman"/>
          <w:b w:val="0"/>
          <w:i w:val="0"/>
          <w:color w:val="000000"/>
          <w:sz w:val="22"/>
          <w:lang w:val="hu-HU"/>
        </w:rPr>
      </w:pPr>
    </w:p>
    <w:p w14:paraId="02948570" w14:textId="77777777" w:rsidR="00910FC8" w:rsidRPr="00556B9B" w:rsidRDefault="00053E70" w:rsidP="005C6E7A">
      <w:pPr>
        <w:pStyle w:val="Header"/>
        <w:keepNext/>
        <w:keepLines/>
        <w:tabs>
          <w:tab w:val="clear" w:pos="567"/>
          <w:tab w:val="clear" w:pos="4153"/>
        </w:tabs>
        <w:suppressAutoHyphens w:val="0"/>
        <w:spacing w:line="240" w:lineRule="auto"/>
        <w:ind w:left="1134" w:hanging="1134"/>
        <w:rPr>
          <w:rFonts w:ascii="Times New Roman" w:hAnsi="Times New Roman"/>
          <w:b/>
          <w:color w:val="000000"/>
          <w:sz w:val="22"/>
          <w:lang w:val="hu-HU"/>
        </w:rPr>
      </w:pPr>
      <w:r w:rsidRPr="00556B9B">
        <w:rPr>
          <w:rFonts w:ascii="Times New Roman" w:hAnsi="Times New Roman"/>
          <w:b/>
          <w:color w:val="000000"/>
          <w:sz w:val="22"/>
          <w:lang w:val="hu-HU"/>
        </w:rPr>
        <w:t>2</w:t>
      </w:r>
      <w:r w:rsidR="00910FC8" w:rsidRPr="00556B9B">
        <w:rPr>
          <w:rFonts w:ascii="Times New Roman" w:hAnsi="Times New Roman"/>
          <w:b/>
          <w:color w:val="000000"/>
          <w:sz w:val="22"/>
          <w:lang w:val="hu-HU"/>
        </w:rPr>
        <w:t>. táblázat</w:t>
      </w:r>
      <w:r w:rsidR="00910FC8" w:rsidRPr="00556B9B">
        <w:rPr>
          <w:rFonts w:ascii="Times New Roman" w:hAnsi="Times New Roman"/>
          <w:b/>
          <w:color w:val="000000"/>
          <w:sz w:val="22"/>
          <w:lang w:val="hu-HU"/>
        </w:rPr>
        <w:tab/>
        <w:t xml:space="preserve">Az újonnan diagnosztizált CML vizsgálat </w:t>
      </w:r>
      <w:r w:rsidR="00142C58" w:rsidRPr="00556B9B">
        <w:rPr>
          <w:rFonts w:ascii="Times New Roman" w:hAnsi="Times New Roman"/>
          <w:b/>
          <w:color w:val="000000"/>
          <w:sz w:val="22"/>
          <w:lang w:val="hu-HU"/>
        </w:rPr>
        <w:t>- a kezelésre adott válasz</w:t>
      </w:r>
      <w:r w:rsidR="00910FC8" w:rsidRPr="00556B9B">
        <w:rPr>
          <w:rFonts w:ascii="Times New Roman" w:hAnsi="Times New Roman"/>
          <w:b/>
          <w:color w:val="000000"/>
          <w:sz w:val="22"/>
          <w:lang w:val="hu-HU"/>
        </w:rPr>
        <w:t xml:space="preserve"> (</w:t>
      </w:r>
      <w:r w:rsidR="005E15AC" w:rsidRPr="00556B9B">
        <w:rPr>
          <w:rFonts w:ascii="Times New Roman" w:hAnsi="Times New Roman"/>
          <w:b/>
          <w:color w:val="000000"/>
          <w:sz w:val="22"/>
          <w:lang w:val="hu-HU"/>
        </w:rPr>
        <w:t>84 </w:t>
      </w:r>
      <w:r w:rsidR="00910FC8" w:rsidRPr="00556B9B">
        <w:rPr>
          <w:rFonts w:ascii="Times New Roman" w:hAnsi="Times New Roman"/>
          <w:b/>
          <w:color w:val="000000"/>
          <w:sz w:val="22"/>
          <w:lang w:val="hu-HU"/>
        </w:rPr>
        <w:t>hónapos adatok)</w:t>
      </w:r>
    </w:p>
    <w:p w14:paraId="16CFC5AC" w14:textId="77777777" w:rsidR="00910FC8" w:rsidRPr="00556B9B" w:rsidRDefault="00910FC8" w:rsidP="005C6E7A">
      <w:pPr>
        <w:pStyle w:val="Header"/>
        <w:keepNext/>
        <w:suppressAutoHyphens w:val="0"/>
        <w:spacing w:line="240" w:lineRule="auto"/>
        <w:rPr>
          <w:rFonts w:ascii="Times New Roman" w:hAnsi="Times New Roman"/>
          <w:color w:val="000000"/>
          <w:sz w:val="22"/>
          <w:lang w:val="hu-HU"/>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910FC8" w:rsidRPr="00556B9B" w14:paraId="2D638F99" w14:textId="77777777" w:rsidTr="005C6E7A">
        <w:trPr>
          <w:cantSplit/>
        </w:trPr>
        <w:tc>
          <w:tcPr>
            <w:tcW w:w="3794" w:type="dxa"/>
            <w:tcBorders>
              <w:top w:val="single" w:sz="4" w:space="0" w:color="auto"/>
              <w:left w:val="single" w:sz="4" w:space="0" w:color="auto"/>
              <w:bottom w:val="nil"/>
            </w:tcBorders>
          </w:tcPr>
          <w:p w14:paraId="3BDF22DD"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c>
          <w:tcPr>
            <w:tcW w:w="2693" w:type="dxa"/>
            <w:tcBorders>
              <w:top w:val="single" w:sz="4" w:space="0" w:color="auto"/>
              <w:bottom w:val="nil"/>
            </w:tcBorders>
          </w:tcPr>
          <w:p w14:paraId="7A495EC9" w14:textId="77777777" w:rsidR="00910FC8" w:rsidRPr="00556B9B" w:rsidRDefault="00910FC8" w:rsidP="005C6E7A">
            <w:pPr>
              <w:pStyle w:val="Table"/>
              <w:keepLines w:val="0"/>
              <w:widowControl w:val="0"/>
              <w:spacing w:before="0" w:after="0"/>
              <w:jc w:val="center"/>
              <w:rPr>
                <w:rFonts w:ascii="Times New Roman" w:hAnsi="Times New Roman"/>
                <w:b/>
                <w:color w:val="000000"/>
                <w:sz w:val="22"/>
                <w:lang w:val="hu-HU"/>
              </w:rPr>
            </w:pPr>
            <w:r w:rsidRPr="00556B9B">
              <w:rPr>
                <w:rFonts w:ascii="Times New Roman" w:hAnsi="Times New Roman"/>
                <w:b/>
                <w:color w:val="000000"/>
                <w:sz w:val="22"/>
                <w:lang w:val="hu-HU"/>
              </w:rPr>
              <w:t>Glivec</w:t>
            </w:r>
          </w:p>
        </w:tc>
        <w:tc>
          <w:tcPr>
            <w:tcW w:w="2718" w:type="dxa"/>
            <w:tcBorders>
              <w:top w:val="single" w:sz="4" w:space="0" w:color="auto"/>
              <w:bottom w:val="nil"/>
              <w:right w:val="single" w:sz="4" w:space="0" w:color="auto"/>
            </w:tcBorders>
          </w:tcPr>
          <w:p w14:paraId="6BC63170" w14:textId="77777777" w:rsidR="00910FC8" w:rsidRPr="00556B9B" w:rsidRDefault="00910FC8" w:rsidP="005C6E7A">
            <w:pPr>
              <w:pStyle w:val="Table"/>
              <w:keepLines w:val="0"/>
              <w:widowControl w:val="0"/>
              <w:spacing w:before="0" w:after="0"/>
              <w:jc w:val="center"/>
              <w:rPr>
                <w:rFonts w:ascii="Times New Roman" w:hAnsi="Times New Roman"/>
                <w:b/>
                <w:color w:val="000000"/>
                <w:sz w:val="22"/>
                <w:lang w:val="hu-HU"/>
              </w:rPr>
            </w:pPr>
            <w:r w:rsidRPr="00556B9B">
              <w:rPr>
                <w:rFonts w:ascii="Times New Roman" w:hAnsi="Times New Roman"/>
                <w:b/>
                <w:color w:val="000000"/>
                <w:sz w:val="22"/>
                <w:lang w:val="hu-HU"/>
              </w:rPr>
              <w:t>IFN+Ara-C</w:t>
            </w:r>
          </w:p>
        </w:tc>
      </w:tr>
      <w:tr w:rsidR="00910FC8" w:rsidRPr="00556B9B" w14:paraId="24F60F0C" w14:textId="77777777" w:rsidTr="005C6E7A">
        <w:trPr>
          <w:cantSplit/>
        </w:trPr>
        <w:tc>
          <w:tcPr>
            <w:tcW w:w="3794" w:type="dxa"/>
            <w:tcBorders>
              <w:top w:val="nil"/>
              <w:left w:val="single" w:sz="4" w:space="0" w:color="auto"/>
              <w:bottom w:val="single" w:sz="4" w:space="0" w:color="auto"/>
            </w:tcBorders>
          </w:tcPr>
          <w:p w14:paraId="5F88A870" w14:textId="77777777" w:rsidR="00910FC8" w:rsidRPr="00556B9B" w:rsidRDefault="00910FC8" w:rsidP="005C6E7A">
            <w:pPr>
              <w:pStyle w:val="Table"/>
              <w:keepLines w:val="0"/>
              <w:widowControl w:val="0"/>
              <w:spacing w:before="0" w:after="0"/>
              <w:rPr>
                <w:rFonts w:ascii="Times New Roman" w:hAnsi="Times New Roman"/>
                <w:b/>
                <w:color w:val="000000"/>
                <w:sz w:val="22"/>
                <w:u w:val="single"/>
                <w:lang w:val="hu-HU"/>
              </w:rPr>
            </w:pPr>
            <w:r w:rsidRPr="00556B9B">
              <w:rPr>
                <w:rFonts w:ascii="Times New Roman" w:hAnsi="Times New Roman"/>
                <w:b/>
                <w:color w:val="000000"/>
                <w:sz w:val="22"/>
                <w:lang w:val="hu-HU"/>
              </w:rPr>
              <w:t>(A legjobb válaszarányok)</w:t>
            </w:r>
          </w:p>
        </w:tc>
        <w:tc>
          <w:tcPr>
            <w:tcW w:w="2693" w:type="dxa"/>
            <w:tcBorders>
              <w:top w:val="nil"/>
              <w:bottom w:val="single" w:sz="4" w:space="0" w:color="auto"/>
            </w:tcBorders>
          </w:tcPr>
          <w:p w14:paraId="18B2B1F2"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n=553</w:t>
            </w:r>
          </w:p>
        </w:tc>
        <w:tc>
          <w:tcPr>
            <w:tcW w:w="2718" w:type="dxa"/>
            <w:tcBorders>
              <w:top w:val="nil"/>
              <w:bottom w:val="single" w:sz="4" w:space="0" w:color="auto"/>
              <w:right w:val="single" w:sz="4" w:space="0" w:color="auto"/>
            </w:tcBorders>
          </w:tcPr>
          <w:p w14:paraId="1A6161EA"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n=553</w:t>
            </w:r>
          </w:p>
        </w:tc>
      </w:tr>
      <w:tr w:rsidR="00910FC8" w:rsidRPr="00556B9B" w14:paraId="04FCAECD" w14:textId="77777777" w:rsidTr="005C6E7A">
        <w:trPr>
          <w:cantSplit/>
        </w:trPr>
        <w:tc>
          <w:tcPr>
            <w:tcW w:w="3794" w:type="dxa"/>
            <w:tcBorders>
              <w:top w:val="nil"/>
              <w:left w:val="single" w:sz="4" w:space="0" w:color="auto"/>
            </w:tcBorders>
          </w:tcPr>
          <w:p w14:paraId="0EAC0C50" w14:textId="77777777" w:rsidR="00910FC8" w:rsidRPr="00556B9B" w:rsidRDefault="00910FC8" w:rsidP="005C6E7A">
            <w:pPr>
              <w:pStyle w:val="Table"/>
              <w:keepLines w:val="0"/>
              <w:widowControl w:val="0"/>
              <w:spacing w:before="0" w:after="0"/>
              <w:rPr>
                <w:rFonts w:ascii="Times New Roman" w:hAnsi="Times New Roman"/>
                <w:b/>
                <w:color w:val="000000"/>
                <w:sz w:val="22"/>
                <w:lang w:val="hu-HU"/>
              </w:rPr>
            </w:pPr>
            <w:r w:rsidRPr="00556B9B">
              <w:rPr>
                <w:rFonts w:ascii="Times New Roman" w:hAnsi="Times New Roman"/>
                <w:b/>
                <w:color w:val="000000"/>
                <w:sz w:val="22"/>
                <w:lang w:val="hu-HU"/>
              </w:rPr>
              <w:t>Hematológiai válasz</w:t>
            </w:r>
          </w:p>
        </w:tc>
        <w:tc>
          <w:tcPr>
            <w:tcW w:w="2693" w:type="dxa"/>
            <w:tcBorders>
              <w:top w:val="nil"/>
            </w:tcBorders>
          </w:tcPr>
          <w:p w14:paraId="79612171" w14:textId="77777777" w:rsidR="00910FC8" w:rsidRPr="00556B9B" w:rsidRDefault="00910FC8" w:rsidP="005C6E7A">
            <w:pPr>
              <w:pStyle w:val="Table"/>
              <w:keepLines w:val="0"/>
              <w:widowControl w:val="0"/>
              <w:spacing w:before="0" w:after="0"/>
              <w:jc w:val="center"/>
              <w:rPr>
                <w:rFonts w:ascii="Times New Roman" w:hAnsi="Times New Roman"/>
                <w:b/>
                <w:color w:val="000000"/>
                <w:sz w:val="22"/>
                <w:lang w:val="hu-HU"/>
              </w:rPr>
            </w:pPr>
          </w:p>
        </w:tc>
        <w:tc>
          <w:tcPr>
            <w:tcW w:w="2718" w:type="dxa"/>
            <w:tcBorders>
              <w:top w:val="nil"/>
              <w:right w:val="single" w:sz="4" w:space="0" w:color="auto"/>
            </w:tcBorders>
          </w:tcPr>
          <w:p w14:paraId="1E4CD7BA" w14:textId="77777777" w:rsidR="00910FC8" w:rsidRPr="00556B9B" w:rsidRDefault="00910FC8" w:rsidP="005C6E7A">
            <w:pPr>
              <w:pStyle w:val="Table"/>
              <w:keepLines w:val="0"/>
              <w:widowControl w:val="0"/>
              <w:spacing w:before="0" w:after="0"/>
              <w:jc w:val="center"/>
              <w:rPr>
                <w:rFonts w:ascii="Times New Roman" w:hAnsi="Times New Roman"/>
                <w:b/>
                <w:color w:val="000000"/>
                <w:sz w:val="22"/>
                <w:lang w:val="hu-HU"/>
              </w:rPr>
            </w:pPr>
          </w:p>
        </w:tc>
      </w:tr>
      <w:tr w:rsidR="00910FC8" w:rsidRPr="00556B9B" w14:paraId="0670840F" w14:textId="77777777" w:rsidTr="005C6E7A">
        <w:trPr>
          <w:cantSplit/>
        </w:trPr>
        <w:tc>
          <w:tcPr>
            <w:tcW w:w="3794" w:type="dxa"/>
            <w:tcBorders>
              <w:top w:val="nil"/>
              <w:left w:val="single" w:sz="4" w:space="0" w:color="auto"/>
            </w:tcBorders>
          </w:tcPr>
          <w:p w14:paraId="6CCA92BC"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smartTag w:uri="urn:schemas-microsoft-com:office:smarttags" w:element="stockticker">
              <w:r w:rsidRPr="00556B9B">
                <w:rPr>
                  <w:rFonts w:ascii="Times New Roman" w:hAnsi="Times New Roman"/>
                  <w:color w:val="000000"/>
                  <w:sz w:val="22"/>
                  <w:lang w:val="hu-HU"/>
                </w:rPr>
                <w:t>CHR</w:t>
              </w:r>
            </w:smartTag>
            <w:r w:rsidRPr="00556B9B">
              <w:rPr>
                <w:rFonts w:ascii="Times New Roman" w:hAnsi="Times New Roman"/>
                <w:color w:val="000000"/>
                <w:sz w:val="22"/>
                <w:lang w:val="hu-HU"/>
              </w:rPr>
              <w:t xml:space="preserve"> arány n (%)</w:t>
            </w:r>
          </w:p>
        </w:tc>
        <w:tc>
          <w:tcPr>
            <w:tcW w:w="2693" w:type="dxa"/>
            <w:tcBorders>
              <w:top w:val="nil"/>
            </w:tcBorders>
          </w:tcPr>
          <w:p w14:paraId="326C3334"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534 (96,6%)*</w:t>
            </w:r>
          </w:p>
        </w:tc>
        <w:tc>
          <w:tcPr>
            <w:tcW w:w="2718" w:type="dxa"/>
            <w:tcBorders>
              <w:top w:val="nil"/>
              <w:right w:val="single" w:sz="4" w:space="0" w:color="auto"/>
            </w:tcBorders>
          </w:tcPr>
          <w:p w14:paraId="7BF523EF"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313 (56,6%)*</w:t>
            </w:r>
          </w:p>
        </w:tc>
      </w:tr>
      <w:tr w:rsidR="00910FC8" w:rsidRPr="00556B9B" w14:paraId="7C9A3742" w14:textId="77777777" w:rsidTr="005C6E7A">
        <w:trPr>
          <w:cantSplit/>
        </w:trPr>
        <w:tc>
          <w:tcPr>
            <w:tcW w:w="3794" w:type="dxa"/>
            <w:tcBorders>
              <w:left w:val="single" w:sz="4" w:space="0" w:color="auto"/>
            </w:tcBorders>
          </w:tcPr>
          <w:p w14:paraId="2586ED39"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ab/>
              <w:t>[95% CI]</w:t>
            </w:r>
          </w:p>
        </w:tc>
        <w:tc>
          <w:tcPr>
            <w:tcW w:w="2693" w:type="dxa"/>
          </w:tcPr>
          <w:p w14:paraId="444758E8"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[94,7%, 97,9%]</w:t>
            </w:r>
          </w:p>
        </w:tc>
        <w:tc>
          <w:tcPr>
            <w:tcW w:w="2718" w:type="dxa"/>
            <w:tcBorders>
              <w:right w:val="single" w:sz="4" w:space="0" w:color="auto"/>
            </w:tcBorders>
          </w:tcPr>
          <w:p w14:paraId="002A94C7"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[52,4%, 60,8%]</w:t>
            </w:r>
          </w:p>
        </w:tc>
      </w:tr>
      <w:tr w:rsidR="00910FC8" w:rsidRPr="00556B9B" w14:paraId="3EFED449" w14:textId="77777777" w:rsidTr="005C6E7A">
        <w:trPr>
          <w:cantSplit/>
        </w:trPr>
        <w:tc>
          <w:tcPr>
            <w:tcW w:w="3794" w:type="dxa"/>
            <w:tcBorders>
              <w:left w:val="single" w:sz="4" w:space="0" w:color="auto"/>
            </w:tcBorders>
          </w:tcPr>
          <w:p w14:paraId="4346DC2F"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c>
          <w:tcPr>
            <w:tcW w:w="2693" w:type="dxa"/>
          </w:tcPr>
          <w:p w14:paraId="1079CD05"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c>
          <w:tcPr>
            <w:tcW w:w="2718" w:type="dxa"/>
            <w:tcBorders>
              <w:right w:val="single" w:sz="4" w:space="0" w:color="auto"/>
            </w:tcBorders>
          </w:tcPr>
          <w:p w14:paraId="2BBAF968"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r>
      <w:tr w:rsidR="00910FC8" w:rsidRPr="00556B9B" w14:paraId="42D18711" w14:textId="77777777" w:rsidTr="005C6E7A">
        <w:trPr>
          <w:cantSplit/>
        </w:trPr>
        <w:tc>
          <w:tcPr>
            <w:tcW w:w="3794" w:type="dxa"/>
            <w:tcBorders>
              <w:left w:val="single" w:sz="4" w:space="0" w:color="auto"/>
            </w:tcBorders>
          </w:tcPr>
          <w:p w14:paraId="5122D5A0" w14:textId="77777777" w:rsidR="00910FC8" w:rsidRPr="00556B9B" w:rsidRDefault="00910FC8" w:rsidP="005C6E7A">
            <w:pPr>
              <w:pStyle w:val="Table"/>
              <w:keepLines w:val="0"/>
              <w:widowControl w:val="0"/>
              <w:spacing w:before="0" w:after="0"/>
              <w:rPr>
                <w:rFonts w:ascii="Times New Roman" w:hAnsi="Times New Roman"/>
                <w:b/>
                <w:color w:val="000000"/>
                <w:sz w:val="22"/>
                <w:lang w:val="hu-HU"/>
              </w:rPr>
            </w:pPr>
            <w:r w:rsidRPr="00556B9B">
              <w:rPr>
                <w:rFonts w:ascii="Times New Roman" w:hAnsi="Times New Roman"/>
                <w:b/>
                <w:color w:val="000000"/>
                <w:sz w:val="22"/>
                <w:lang w:val="hu-HU"/>
              </w:rPr>
              <w:t>Cytogenetikai válasz</w:t>
            </w:r>
          </w:p>
        </w:tc>
        <w:tc>
          <w:tcPr>
            <w:tcW w:w="2693" w:type="dxa"/>
          </w:tcPr>
          <w:p w14:paraId="406A448D" w14:textId="77777777" w:rsidR="00910FC8" w:rsidRPr="00556B9B" w:rsidRDefault="00910FC8" w:rsidP="005C6E7A">
            <w:pPr>
              <w:pStyle w:val="Table"/>
              <w:keepLines w:val="0"/>
              <w:widowControl w:val="0"/>
              <w:spacing w:before="0" w:after="0"/>
              <w:rPr>
                <w:rFonts w:ascii="Times New Roman" w:hAnsi="Times New Roman"/>
                <w:b/>
                <w:color w:val="000000"/>
                <w:sz w:val="22"/>
                <w:lang w:val="hu-HU"/>
              </w:rPr>
            </w:pPr>
          </w:p>
        </w:tc>
        <w:tc>
          <w:tcPr>
            <w:tcW w:w="2718" w:type="dxa"/>
            <w:tcBorders>
              <w:right w:val="single" w:sz="4" w:space="0" w:color="auto"/>
            </w:tcBorders>
          </w:tcPr>
          <w:p w14:paraId="47D49E81" w14:textId="77777777" w:rsidR="00910FC8" w:rsidRPr="00556B9B" w:rsidRDefault="00910FC8" w:rsidP="005C6E7A">
            <w:pPr>
              <w:pStyle w:val="Table"/>
              <w:keepLines w:val="0"/>
              <w:widowControl w:val="0"/>
              <w:spacing w:before="0" w:after="0"/>
              <w:rPr>
                <w:rFonts w:ascii="Times New Roman" w:hAnsi="Times New Roman"/>
                <w:b/>
                <w:color w:val="000000"/>
                <w:sz w:val="22"/>
                <w:lang w:val="hu-HU"/>
              </w:rPr>
            </w:pPr>
          </w:p>
        </w:tc>
      </w:tr>
      <w:tr w:rsidR="00910FC8" w:rsidRPr="00556B9B" w14:paraId="1A6CE45E" w14:textId="77777777" w:rsidTr="005C6E7A">
        <w:trPr>
          <w:cantSplit/>
        </w:trPr>
        <w:tc>
          <w:tcPr>
            <w:tcW w:w="3794" w:type="dxa"/>
            <w:tcBorders>
              <w:left w:val="single" w:sz="4" w:space="0" w:color="auto"/>
            </w:tcBorders>
          </w:tcPr>
          <w:p w14:paraId="7B376699"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Nagyfokú válasz (MCyR) n (%)</w:t>
            </w:r>
          </w:p>
        </w:tc>
        <w:tc>
          <w:tcPr>
            <w:tcW w:w="2693" w:type="dxa"/>
          </w:tcPr>
          <w:p w14:paraId="1767EA1B"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490 (88,6%)*</w:t>
            </w:r>
          </w:p>
        </w:tc>
        <w:tc>
          <w:tcPr>
            <w:tcW w:w="2718" w:type="dxa"/>
            <w:tcBorders>
              <w:right w:val="single" w:sz="4" w:space="0" w:color="auto"/>
            </w:tcBorders>
          </w:tcPr>
          <w:p w14:paraId="088CBE4A"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129 (23,3%)*</w:t>
            </w:r>
          </w:p>
        </w:tc>
      </w:tr>
      <w:tr w:rsidR="00910FC8" w:rsidRPr="00556B9B" w14:paraId="3E400D54" w14:textId="77777777" w:rsidTr="005C6E7A">
        <w:trPr>
          <w:cantSplit/>
        </w:trPr>
        <w:tc>
          <w:tcPr>
            <w:tcW w:w="3794" w:type="dxa"/>
            <w:tcBorders>
              <w:left w:val="single" w:sz="4" w:space="0" w:color="auto"/>
            </w:tcBorders>
          </w:tcPr>
          <w:p w14:paraId="5E81A890"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ab/>
              <w:t>[95% CI]</w:t>
            </w:r>
          </w:p>
        </w:tc>
        <w:tc>
          <w:tcPr>
            <w:tcW w:w="2693" w:type="dxa"/>
          </w:tcPr>
          <w:p w14:paraId="2F2C81EB"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[85,7%, 91,1%]</w:t>
            </w:r>
          </w:p>
        </w:tc>
        <w:tc>
          <w:tcPr>
            <w:tcW w:w="2718" w:type="dxa"/>
            <w:tcBorders>
              <w:right w:val="single" w:sz="4" w:space="0" w:color="auto"/>
            </w:tcBorders>
          </w:tcPr>
          <w:p w14:paraId="5980D389"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[19,9%, 27,1%]</w:t>
            </w:r>
          </w:p>
        </w:tc>
      </w:tr>
      <w:tr w:rsidR="00910FC8" w:rsidRPr="00556B9B" w14:paraId="59271A4D" w14:textId="77777777" w:rsidTr="005C6E7A">
        <w:trPr>
          <w:cantSplit/>
        </w:trPr>
        <w:tc>
          <w:tcPr>
            <w:tcW w:w="3794" w:type="dxa"/>
            <w:tcBorders>
              <w:left w:val="single" w:sz="4" w:space="0" w:color="auto"/>
            </w:tcBorders>
          </w:tcPr>
          <w:p w14:paraId="3A4C3232"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ab/>
              <w:t>Komplett CyR n (%)</w:t>
            </w:r>
          </w:p>
        </w:tc>
        <w:tc>
          <w:tcPr>
            <w:tcW w:w="2693" w:type="dxa"/>
          </w:tcPr>
          <w:p w14:paraId="182E8A79" w14:textId="77777777" w:rsidR="00910FC8" w:rsidRPr="00556B9B" w:rsidRDefault="005E15AC"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 xml:space="preserve">456 </w:t>
            </w:r>
            <w:r w:rsidR="00910FC8" w:rsidRPr="00556B9B">
              <w:rPr>
                <w:rFonts w:ascii="Times New Roman" w:hAnsi="Times New Roman"/>
                <w:color w:val="000000"/>
                <w:sz w:val="22"/>
                <w:lang w:val="hu-HU"/>
              </w:rPr>
              <w:t>(82,</w:t>
            </w:r>
            <w:r w:rsidR="007143A2" w:rsidRPr="00556B9B">
              <w:rPr>
                <w:rFonts w:ascii="Times New Roman" w:hAnsi="Times New Roman"/>
                <w:color w:val="000000"/>
                <w:sz w:val="22"/>
                <w:lang w:val="hu-HU"/>
              </w:rPr>
              <w:t>5</w:t>
            </w:r>
            <w:r w:rsidR="00910FC8" w:rsidRPr="00556B9B">
              <w:rPr>
                <w:rFonts w:ascii="Times New Roman" w:hAnsi="Times New Roman"/>
                <w:color w:val="000000"/>
                <w:sz w:val="22"/>
                <w:lang w:val="hu-HU"/>
              </w:rPr>
              <w:t>%)*</w:t>
            </w:r>
          </w:p>
        </w:tc>
        <w:tc>
          <w:tcPr>
            <w:tcW w:w="2718" w:type="dxa"/>
            <w:tcBorders>
              <w:right w:val="single" w:sz="4" w:space="0" w:color="auto"/>
            </w:tcBorders>
          </w:tcPr>
          <w:p w14:paraId="4C83036C"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64 (11,6%)*</w:t>
            </w:r>
          </w:p>
        </w:tc>
      </w:tr>
      <w:tr w:rsidR="00910FC8" w:rsidRPr="00556B9B" w14:paraId="7CAC5BCB" w14:textId="77777777" w:rsidTr="005C6E7A">
        <w:trPr>
          <w:cantSplit/>
        </w:trPr>
        <w:tc>
          <w:tcPr>
            <w:tcW w:w="3794" w:type="dxa"/>
            <w:tcBorders>
              <w:left w:val="single" w:sz="4" w:space="0" w:color="auto"/>
            </w:tcBorders>
          </w:tcPr>
          <w:p w14:paraId="4C28F488"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ab/>
              <w:t>Részleges CyR n (%)</w:t>
            </w:r>
          </w:p>
        </w:tc>
        <w:tc>
          <w:tcPr>
            <w:tcW w:w="2693" w:type="dxa"/>
          </w:tcPr>
          <w:p w14:paraId="5A39E936" w14:textId="77777777" w:rsidR="00910FC8" w:rsidRPr="00556B9B" w:rsidRDefault="007143A2"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 xml:space="preserve">34 </w:t>
            </w:r>
            <w:r w:rsidR="00910FC8" w:rsidRPr="00556B9B">
              <w:rPr>
                <w:rFonts w:ascii="Times New Roman" w:hAnsi="Times New Roman"/>
                <w:color w:val="000000"/>
                <w:sz w:val="22"/>
                <w:lang w:val="hu-HU"/>
              </w:rPr>
              <w:t>(6,</w:t>
            </w:r>
            <w:r w:rsidRPr="00556B9B">
              <w:rPr>
                <w:rFonts w:ascii="Times New Roman" w:hAnsi="Times New Roman"/>
                <w:color w:val="000000"/>
                <w:sz w:val="22"/>
                <w:lang w:val="hu-HU"/>
              </w:rPr>
              <w:t>1</w:t>
            </w:r>
            <w:r w:rsidR="00910FC8" w:rsidRPr="00556B9B">
              <w:rPr>
                <w:rFonts w:ascii="Times New Roman" w:hAnsi="Times New Roman"/>
                <w:color w:val="000000"/>
                <w:sz w:val="22"/>
                <w:lang w:val="hu-HU"/>
              </w:rPr>
              <w:t>%)</w:t>
            </w:r>
          </w:p>
        </w:tc>
        <w:tc>
          <w:tcPr>
            <w:tcW w:w="2718" w:type="dxa"/>
            <w:tcBorders>
              <w:right w:val="single" w:sz="4" w:space="0" w:color="auto"/>
            </w:tcBorders>
          </w:tcPr>
          <w:p w14:paraId="7AB4945B" w14:textId="77777777" w:rsidR="00910FC8" w:rsidRPr="00556B9B" w:rsidRDefault="00910FC8"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65 (11,8%)</w:t>
            </w:r>
          </w:p>
        </w:tc>
      </w:tr>
      <w:tr w:rsidR="00910FC8" w:rsidRPr="00556B9B" w14:paraId="1741C42F" w14:textId="77777777" w:rsidTr="005C6E7A">
        <w:trPr>
          <w:cantSplit/>
        </w:trPr>
        <w:tc>
          <w:tcPr>
            <w:tcW w:w="3794" w:type="dxa"/>
            <w:tcBorders>
              <w:left w:val="single" w:sz="4" w:space="0" w:color="auto"/>
              <w:bottom w:val="nil"/>
            </w:tcBorders>
          </w:tcPr>
          <w:p w14:paraId="7B4A7AF2"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c>
          <w:tcPr>
            <w:tcW w:w="2693" w:type="dxa"/>
            <w:tcBorders>
              <w:bottom w:val="nil"/>
            </w:tcBorders>
          </w:tcPr>
          <w:p w14:paraId="735B8E05"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c>
          <w:tcPr>
            <w:tcW w:w="2718" w:type="dxa"/>
            <w:tcBorders>
              <w:bottom w:val="nil"/>
              <w:right w:val="single" w:sz="4" w:space="0" w:color="auto"/>
            </w:tcBorders>
          </w:tcPr>
          <w:p w14:paraId="1A645C9D"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r>
      <w:tr w:rsidR="00910FC8" w:rsidRPr="00556B9B" w14:paraId="21991AC6" w14:textId="77777777" w:rsidTr="005C6E7A">
        <w:trPr>
          <w:cantSplit/>
        </w:trPr>
        <w:tc>
          <w:tcPr>
            <w:tcW w:w="3794" w:type="dxa"/>
            <w:tcBorders>
              <w:left w:val="single" w:sz="4" w:space="0" w:color="auto"/>
              <w:bottom w:val="nil"/>
            </w:tcBorders>
          </w:tcPr>
          <w:p w14:paraId="51100E0C" w14:textId="77777777" w:rsidR="00910FC8" w:rsidRPr="00556B9B" w:rsidRDefault="00910FC8" w:rsidP="005C6E7A">
            <w:pPr>
              <w:pStyle w:val="Table"/>
              <w:keepLines w:val="0"/>
              <w:widowControl w:val="0"/>
              <w:spacing w:before="0" w:after="0"/>
              <w:rPr>
                <w:rFonts w:ascii="Times New Roman" w:hAnsi="Times New Roman"/>
                <w:b/>
                <w:color w:val="000000"/>
                <w:sz w:val="22"/>
                <w:lang w:val="hu-HU"/>
              </w:rPr>
            </w:pPr>
            <w:r w:rsidRPr="00556B9B">
              <w:rPr>
                <w:rFonts w:ascii="Times New Roman" w:hAnsi="Times New Roman"/>
                <w:b/>
                <w:color w:val="000000"/>
                <w:sz w:val="22"/>
                <w:lang w:val="hu-HU"/>
              </w:rPr>
              <w:t>Molekuláris válasz</w:t>
            </w:r>
            <w:r w:rsidR="006B7D1F" w:rsidRPr="00556B9B">
              <w:rPr>
                <w:rFonts w:ascii="Times New Roman" w:hAnsi="Times New Roman"/>
                <w:color w:val="000000"/>
                <w:sz w:val="22"/>
                <w:lang w:val="hu-HU"/>
              </w:rPr>
              <w:t>**</w:t>
            </w:r>
          </w:p>
        </w:tc>
        <w:tc>
          <w:tcPr>
            <w:tcW w:w="2693" w:type="dxa"/>
            <w:tcBorders>
              <w:bottom w:val="nil"/>
            </w:tcBorders>
          </w:tcPr>
          <w:p w14:paraId="6FF7CD6E"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c>
          <w:tcPr>
            <w:tcW w:w="2718" w:type="dxa"/>
            <w:tcBorders>
              <w:bottom w:val="nil"/>
              <w:right w:val="single" w:sz="4" w:space="0" w:color="auto"/>
            </w:tcBorders>
          </w:tcPr>
          <w:p w14:paraId="1090E475" w14:textId="77777777" w:rsidR="00910FC8" w:rsidRPr="00556B9B" w:rsidRDefault="00910FC8" w:rsidP="005C6E7A">
            <w:pPr>
              <w:pStyle w:val="Table"/>
              <w:keepLines w:val="0"/>
              <w:widowControl w:val="0"/>
              <w:spacing w:before="0" w:after="0"/>
              <w:rPr>
                <w:rFonts w:ascii="Times New Roman" w:hAnsi="Times New Roman"/>
                <w:color w:val="000000"/>
                <w:sz w:val="22"/>
                <w:lang w:val="hu-HU"/>
              </w:rPr>
            </w:pPr>
          </w:p>
        </w:tc>
      </w:tr>
      <w:tr w:rsidR="007143A2" w:rsidRPr="00556B9B" w14:paraId="63117CC0" w14:textId="77777777" w:rsidTr="005C6E7A">
        <w:trPr>
          <w:cantSplit/>
        </w:trPr>
        <w:tc>
          <w:tcPr>
            <w:tcW w:w="3794" w:type="dxa"/>
            <w:tcBorders>
              <w:left w:val="single" w:sz="4" w:space="0" w:color="auto"/>
              <w:bottom w:val="nil"/>
            </w:tcBorders>
          </w:tcPr>
          <w:p w14:paraId="09A4CF3C" w14:textId="77777777" w:rsidR="007143A2" w:rsidRPr="00556B9B" w:rsidRDefault="007143A2" w:rsidP="005C6E7A">
            <w:pPr>
              <w:pStyle w:val="Table"/>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Nagyfokú válasz a 12. hónapban (%)</w:t>
            </w:r>
          </w:p>
        </w:tc>
        <w:tc>
          <w:tcPr>
            <w:tcW w:w="2693" w:type="dxa"/>
            <w:tcBorders>
              <w:bottom w:val="nil"/>
            </w:tcBorders>
          </w:tcPr>
          <w:p w14:paraId="12AEF835" w14:textId="77777777" w:rsidR="007143A2" w:rsidRPr="00556B9B" w:rsidRDefault="007143A2"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szCs w:val="22"/>
                <w:lang w:val="en-GB"/>
              </w:rPr>
              <w:t>153/305=50,2%</w:t>
            </w:r>
          </w:p>
        </w:tc>
        <w:tc>
          <w:tcPr>
            <w:tcW w:w="2718" w:type="dxa"/>
            <w:tcBorders>
              <w:bottom w:val="nil"/>
              <w:right w:val="single" w:sz="4" w:space="0" w:color="auto"/>
            </w:tcBorders>
          </w:tcPr>
          <w:p w14:paraId="5D74C0B3" w14:textId="77777777" w:rsidR="007143A2" w:rsidRPr="00556B9B" w:rsidRDefault="007143A2"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szCs w:val="22"/>
                <w:lang w:val="en-GB"/>
              </w:rPr>
              <w:t>8/83=9,6%</w:t>
            </w:r>
          </w:p>
        </w:tc>
      </w:tr>
      <w:tr w:rsidR="007143A2" w:rsidRPr="00556B9B" w14:paraId="5C4DDC2A" w14:textId="77777777" w:rsidTr="005C6E7A">
        <w:trPr>
          <w:cantSplit/>
        </w:trPr>
        <w:tc>
          <w:tcPr>
            <w:tcW w:w="3794" w:type="dxa"/>
            <w:tcBorders>
              <w:left w:val="single" w:sz="4" w:space="0" w:color="auto"/>
              <w:bottom w:val="nil"/>
            </w:tcBorders>
          </w:tcPr>
          <w:p w14:paraId="30EBB6E8" w14:textId="77777777" w:rsidR="007143A2" w:rsidRPr="00556B9B" w:rsidRDefault="007143A2" w:rsidP="005C6E7A">
            <w:pPr>
              <w:pStyle w:val="Table"/>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Nagyfokú válasz a 24. hónapban (%)</w:t>
            </w:r>
          </w:p>
        </w:tc>
        <w:tc>
          <w:tcPr>
            <w:tcW w:w="2693" w:type="dxa"/>
            <w:tcBorders>
              <w:bottom w:val="nil"/>
            </w:tcBorders>
          </w:tcPr>
          <w:p w14:paraId="5DD49DFF" w14:textId="77777777" w:rsidR="007143A2" w:rsidRPr="00556B9B" w:rsidRDefault="007143A2"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szCs w:val="22"/>
                <w:lang w:val="en-GB"/>
              </w:rPr>
              <w:t>73/104=70,2%</w:t>
            </w:r>
          </w:p>
        </w:tc>
        <w:tc>
          <w:tcPr>
            <w:tcW w:w="2718" w:type="dxa"/>
            <w:tcBorders>
              <w:bottom w:val="nil"/>
              <w:right w:val="single" w:sz="4" w:space="0" w:color="auto"/>
            </w:tcBorders>
          </w:tcPr>
          <w:p w14:paraId="40BE36EC" w14:textId="77777777" w:rsidR="007143A2" w:rsidRPr="00556B9B" w:rsidRDefault="007143A2" w:rsidP="005C6E7A">
            <w:pPr>
              <w:pStyle w:val="Table"/>
              <w:keepLines w:val="0"/>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szCs w:val="22"/>
                <w:lang w:val="en-GB"/>
              </w:rPr>
              <w:t>3/12=25%</w:t>
            </w:r>
          </w:p>
        </w:tc>
      </w:tr>
      <w:tr w:rsidR="0064638B" w:rsidRPr="00556B9B" w14:paraId="57F7D92E" w14:textId="77777777" w:rsidTr="005C6E7A">
        <w:trPr>
          <w:cantSplit/>
        </w:trPr>
        <w:tc>
          <w:tcPr>
            <w:tcW w:w="3794" w:type="dxa"/>
            <w:tcBorders>
              <w:left w:val="single" w:sz="4" w:space="0" w:color="auto"/>
              <w:bottom w:val="nil"/>
            </w:tcBorders>
          </w:tcPr>
          <w:p w14:paraId="32042EB2" w14:textId="77777777" w:rsidR="0064638B" w:rsidRPr="00556B9B" w:rsidRDefault="0064638B" w:rsidP="005C6E7A">
            <w:pPr>
              <w:pStyle w:val="Table"/>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Nagyfokú válasz a 84. hónapban (%)</w:t>
            </w:r>
          </w:p>
        </w:tc>
        <w:tc>
          <w:tcPr>
            <w:tcW w:w="2693" w:type="dxa"/>
            <w:tcBorders>
              <w:bottom w:val="nil"/>
            </w:tcBorders>
          </w:tcPr>
          <w:p w14:paraId="65802AAB" w14:textId="77777777" w:rsidR="0064638B" w:rsidRPr="00556B9B" w:rsidRDefault="0064638B" w:rsidP="005C6E7A">
            <w:pPr>
              <w:pStyle w:val="Table"/>
              <w:keepLines w:val="0"/>
              <w:widowControl w:val="0"/>
              <w:spacing w:before="0" w:after="0"/>
              <w:jc w:val="center"/>
              <w:rPr>
                <w:rFonts w:ascii="Times New Roman" w:hAnsi="Times New Roman"/>
                <w:color w:val="000000"/>
                <w:sz w:val="22"/>
                <w:szCs w:val="22"/>
                <w:lang w:val="en-GB"/>
              </w:rPr>
            </w:pPr>
            <w:r w:rsidRPr="00556B9B">
              <w:rPr>
                <w:rFonts w:ascii="Times New Roman" w:hAnsi="Times New Roman"/>
                <w:color w:val="000000"/>
                <w:sz w:val="22"/>
                <w:szCs w:val="22"/>
                <w:lang w:val="en-GB"/>
              </w:rPr>
              <w:t>102/116=87,9%</w:t>
            </w:r>
          </w:p>
        </w:tc>
        <w:tc>
          <w:tcPr>
            <w:tcW w:w="2718" w:type="dxa"/>
            <w:tcBorders>
              <w:bottom w:val="nil"/>
              <w:right w:val="single" w:sz="4" w:space="0" w:color="auto"/>
            </w:tcBorders>
          </w:tcPr>
          <w:p w14:paraId="00F1D152" w14:textId="77777777" w:rsidR="0064638B" w:rsidRPr="00556B9B" w:rsidRDefault="0064638B" w:rsidP="005C6E7A">
            <w:pPr>
              <w:pStyle w:val="Table"/>
              <w:keepLines w:val="0"/>
              <w:widowControl w:val="0"/>
              <w:spacing w:before="0" w:after="0"/>
              <w:jc w:val="center"/>
              <w:rPr>
                <w:rFonts w:ascii="Times New Roman" w:hAnsi="Times New Roman"/>
                <w:color w:val="000000"/>
                <w:sz w:val="22"/>
                <w:szCs w:val="22"/>
                <w:lang w:val="en-GB"/>
              </w:rPr>
            </w:pPr>
            <w:r w:rsidRPr="00556B9B">
              <w:rPr>
                <w:rFonts w:ascii="Times New Roman" w:hAnsi="Times New Roman"/>
                <w:color w:val="000000"/>
                <w:sz w:val="22"/>
                <w:szCs w:val="22"/>
                <w:lang w:val="en-GB"/>
              </w:rPr>
              <w:t>3/4=75%</w:t>
            </w:r>
          </w:p>
        </w:tc>
      </w:tr>
      <w:tr w:rsidR="0064638B" w:rsidRPr="001D3D33" w14:paraId="03BC3B14" w14:textId="77777777" w:rsidTr="005C6E7A">
        <w:trPr>
          <w:cantSplit/>
        </w:trPr>
        <w:tc>
          <w:tcPr>
            <w:tcW w:w="9205" w:type="dxa"/>
            <w:gridSpan w:val="3"/>
            <w:tcBorders>
              <w:top w:val="single" w:sz="4" w:space="0" w:color="auto"/>
              <w:left w:val="single" w:sz="4" w:space="0" w:color="auto"/>
              <w:bottom w:val="single" w:sz="4" w:space="0" w:color="auto"/>
              <w:right w:val="single" w:sz="4" w:space="0" w:color="auto"/>
            </w:tcBorders>
          </w:tcPr>
          <w:p w14:paraId="5A53A1DC" w14:textId="77777777" w:rsidR="0064638B" w:rsidRPr="00556B9B" w:rsidRDefault="0064638B">
            <w:pPr>
              <w:pStyle w:val="Table"/>
              <w:keepNext w:val="0"/>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 p</w:t>
            </w:r>
            <w:r w:rsidR="00974495" w:rsidRPr="00556B9B">
              <w:rPr>
                <w:rFonts w:ascii="Times New Roman" w:hAnsi="Times New Roman"/>
                <w:color w:val="000000"/>
                <w:sz w:val="22"/>
                <w:lang w:val="hu-HU"/>
              </w:rPr>
              <w:t> </w:t>
            </w:r>
            <w:r w:rsidRPr="00556B9B">
              <w:rPr>
                <w:rFonts w:ascii="Times New Roman" w:hAnsi="Times New Roman"/>
                <w:color w:val="000000"/>
                <w:sz w:val="22"/>
                <w:lang w:val="hu-HU"/>
              </w:rPr>
              <w:t>&lt;</w:t>
            </w:r>
            <w:r w:rsidR="00974495" w:rsidRPr="00556B9B">
              <w:rPr>
                <w:rFonts w:ascii="Times New Roman" w:hAnsi="Times New Roman"/>
                <w:color w:val="000000"/>
                <w:sz w:val="22"/>
                <w:lang w:val="hu-HU"/>
              </w:rPr>
              <w:t> </w:t>
            </w:r>
            <w:r w:rsidRPr="00556B9B">
              <w:rPr>
                <w:rFonts w:ascii="Times New Roman" w:hAnsi="Times New Roman"/>
                <w:color w:val="000000"/>
                <w:sz w:val="22"/>
                <w:lang w:val="hu-HU"/>
              </w:rPr>
              <w:t>0,001, Fischer</w:t>
            </w:r>
            <w:r w:rsidRPr="00556B9B">
              <w:rPr>
                <w:rFonts w:ascii="Times New Roman" w:hAnsi="Times New Roman"/>
                <w:color w:val="000000"/>
                <w:sz w:val="22"/>
                <w:lang w:val="hu-HU"/>
              </w:rPr>
              <w:noBreakHyphen/>
              <w:t>féle egzakt próba</w:t>
            </w:r>
          </w:p>
          <w:p w14:paraId="55756CA8" w14:textId="77777777" w:rsidR="0064638B" w:rsidRPr="00556B9B" w:rsidRDefault="0064638B">
            <w:pPr>
              <w:pStyle w:val="Table"/>
              <w:keepNext w:val="0"/>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 xml:space="preserve">** </w:t>
            </w:r>
            <w:r w:rsidR="00346ABB" w:rsidRPr="00556B9B">
              <w:rPr>
                <w:rFonts w:ascii="Times New Roman" w:hAnsi="Times New Roman"/>
                <w:color w:val="000000"/>
                <w:sz w:val="22"/>
                <w:lang w:val="hu-HU"/>
              </w:rPr>
              <w:t>a molekuláris válasz százalékarányok a rendelkezésre álló mintákon alapulnak</w:t>
            </w:r>
          </w:p>
          <w:p w14:paraId="14D64CEA" w14:textId="77777777" w:rsidR="0064638B" w:rsidRPr="00556B9B" w:rsidRDefault="0064638B">
            <w:pPr>
              <w:pStyle w:val="Header"/>
              <w:spacing w:line="240" w:lineRule="auto"/>
              <w:rPr>
                <w:rFonts w:ascii="Times New Roman" w:hAnsi="Times New Roman"/>
                <w:b/>
                <w:color w:val="000000"/>
                <w:sz w:val="22"/>
                <w:lang w:val="hu-HU" w:eastAsia="en-US"/>
              </w:rPr>
            </w:pPr>
            <w:r w:rsidRPr="00556B9B">
              <w:rPr>
                <w:rFonts w:ascii="Times New Roman" w:hAnsi="Times New Roman"/>
                <w:b/>
                <w:color w:val="000000"/>
                <w:sz w:val="22"/>
                <w:lang w:val="hu-HU" w:eastAsia="en-US"/>
              </w:rPr>
              <w:t xml:space="preserve">A hematológiai válasz kritériumai (mindegyik megerősítve </w:t>
            </w:r>
            <w:r w:rsidRPr="00556B9B">
              <w:rPr>
                <w:rFonts w:ascii="Times New Roman" w:hAnsi="Times New Roman"/>
                <w:b/>
                <w:color w:val="000000"/>
                <w:sz w:val="22"/>
                <w:lang w:val="hu-HU" w:eastAsia="en-US"/>
              </w:rPr>
              <w:sym w:font="Symbol" w:char="F0B3"/>
            </w:r>
            <w:r w:rsidRPr="00556B9B">
              <w:rPr>
                <w:rFonts w:ascii="Times New Roman" w:hAnsi="Times New Roman"/>
                <w:b/>
                <w:color w:val="000000"/>
                <w:sz w:val="22"/>
                <w:lang w:val="hu-HU" w:eastAsia="en-US"/>
              </w:rPr>
              <w:t> 4 hét múlva):</w:t>
            </w:r>
          </w:p>
          <w:p w14:paraId="7C51655A" w14:textId="77777777" w:rsidR="0064638B" w:rsidRPr="00556B9B" w:rsidRDefault="0064638B">
            <w:pPr>
              <w:spacing w:line="240" w:lineRule="auto"/>
              <w:rPr>
                <w:color w:val="000000"/>
                <w:lang w:val="hu-HU"/>
              </w:rPr>
            </w:pPr>
            <w:r w:rsidRPr="00556B9B">
              <w:rPr>
                <w:color w:val="000000"/>
                <w:lang w:val="hu-HU"/>
              </w:rPr>
              <w:t>Fvs &lt; 10 x 10</w:t>
            </w:r>
            <w:r w:rsidRPr="00556B9B">
              <w:rPr>
                <w:color w:val="000000"/>
                <w:vertAlign w:val="superscript"/>
                <w:lang w:val="hu-HU"/>
              </w:rPr>
              <w:t>9</w:t>
            </w:r>
            <w:r w:rsidRPr="00556B9B">
              <w:rPr>
                <w:color w:val="000000"/>
                <w:lang w:val="hu-HU"/>
              </w:rPr>
              <w:t>/l, thrombocytaszám &lt; 450 x 10</w:t>
            </w:r>
            <w:r w:rsidRPr="00556B9B">
              <w:rPr>
                <w:color w:val="000000"/>
                <w:vertAlign w:val="superscript"/>
                <w:lang w:val="hu-HU"/>
              </w:rPr>
              <w:t>9</w:t>
            </w:r>
            <w:r w:rsidRPr="00556B9B">
              <w:rPr>
                <w:color w:val="000000"/>
                <w:lang w:val="hu-HU"/>
              </w:rPr>
              <w:t>/l, myelocyta+metamyelocyta &lt; 5% a vérben, nincs blast és promyelocyta a vérben, basophil &lt; 20%, nincs extramedullaris involvatio</w:t>
            </w:r>
          </w:p>
          <w:p w14:paraId="59AA1E50" w14:textId="77777777" w:rsidR="0064638B" w:rsidRPr="00556B9B" w:rsidRDefault="0064638B">
            <w:pPr>
              <w:pStyle w:val="Table"/>
              <w:keepNext w:val="0"/>
              <w:keepLines w:val="0"/>
              <w:widowControl w:val="0"/>
              <w:spacing w:before="0" w:after="0"/>
              <w:rPr>
                <w:rFonts w:ascii="Times New Roman" w:hAnsi="Times New Roman"/>
                <w:color w:val="000000"/>
                <w:sz w:val="22"/>
                <w:lang w:val="hu-HU"/>
              </w:rPr>
            </w:pPr>
            <w:r w:rsidRPr="00556B9B">
              <w:rPr>
                <w:rFonts w:ascii="Times New Roman" w:hAnsi="Times New Roman"/>
                <w:b/>
                <w:color w:val="000000"/>
                <w:sz w:val="22"/>
                <w:lang w:val="hu-HU"/>
              </w:rPr>
              <w:t>A cytogenetikai válasz kritériumai:</w:t>
            </w:r>
            <w:r w:rsidRPr="00556B9B">
              <w:rPr>
                <w:rFonts w:ascii="Times New Roman" w:hAnsi="Times New Roman"/>
                <w:color w:val="000000"/>
                <w:sz w:val="22"/>
                <w:lang w:val="hu-HU"/>
              </w:rPr>
              <w:t xml:space="preserve"> komplett: 0% Ph+ metafázis; részleges: 1–35%; minor: 36</w:t>
            </w:r>
            <w:r w:rsidR="00266E35" w:rsidRPr="00556B9B">
              <w:rPr>
                <w:rFonts w:ascii="Times New Roman" w:hAnsi="Times New Roman"/>
                <w:color w:val="000000"/>
                <w:sz w:val="22"/>
                <w:lang w:val="hu-HU"/>
              </w:rPr>
              <w:noBreakHyphen/>
            </w:r>
            <w:r w:rsidRPr="00556B9B">
              <w:rPr>
                <w:rFonts w:ascii="Times New Roman" w:hAnsi="Times New Roman"/>
                <w:color w:val="000000"/>
                <w:sz w:val="22"/>
                <w:lang w:val="hu-HU"/>
              </w:rPr>
              <w:t>65%; minimális: 66–95%. A nagyfokú választ (0</w:t>
            </w:r>
            <w:r w:rsidRPr="00556B9B">
              <w:rPr>
                <w:rFonts w:ascii="Times New Roman" w:hAnsi="Times New Roman"/>
                <w:color w:val="000000"/>
                <w:sz w:val="22"/>
                <w:szCs w:val="22"/>
                <w:lang w:val="hu-HU"/>
              </w:rPr>
              <w:t>–</w:t>
            </w:r>
            <w:r w:rsidRPr="00556B9B">
              <w:rPr>
                <w:rFonts w:ascii="Times New Roman" w:hAnsi="Times New Roman"/>
                <w:color w:val="000000"/>
                <w:sz w:val="22"/>
                <w:lang w:val="hu-HU"/>
              </w:rPr>
              <w:t>35%) a komplett és részleges válasz együttesen jelenti.</w:t>
            </w:r>
          </w:p>
          <w:p w14:paraId="6E59BD33" w14:textId="77777777" w:rsidR="0064638B" w:rsidRPr="00556B9B" w:rsidRDefault="0064638B">
            <w:pPr>
              <w:pStyle w:val="Table"/>
              <w:keepNext w:val="0"/>
              <w:keepLines w:val="0"/>
              <w:widowControl w:val="0"/>
              <w:spacing w:before="0" w:after="0"/>
              <w:rPr>
                <w:rFonts w:ascii="Times New Roman" w:hAnsi="Times New Roman"/>
                <w:color w:val="000000"/>
                <w:sz w:val="22"/>
                <w:lang w:val="hu-HU"/>
              </w:rPr>
            </w:pPr>
            <w:r w:rsidRPr="00556B9B">
              <w:rPr>
                <w:rFonts w:ascii="Times New Roman" w:hAnsi="Times New Roman"/>
                <w:b/>
                <w:color w:val="000000"/>
                <w:sz w:val="22"/>
                <w:lang w:val="hu-HU"/>
              </w:rPr>
              <w:t>A nagyfokú molekuláris válasz kritériumai:</w:t>
            </w:r>
            <w:r w:rsidRPr="00556B9B">
              <w:rPr>
                <w:rFonts w:ascii="Times New Roman" w:hAnsi="Times New Roman"/>
                <w:color w:val="000000"/>
                <w:sz w:val="22"/>
                <w:lang w:val="hu-HU"/>
              </w:rPr>
              <w:t xml:space="preserve"> a Bcr</w:t>
            </w:r>
            <w:r w:rsidRPr="00556B9B">
              <w:rPr>
                <w:rFonts w:ascii="Times New Roman" w:hAnsi="Times New Roman"/>
                <w:color w:val="000000"/>
                <w:sz w:val="22"/>
                <w:lang w:val="hu-HU"/>
              </w:rPr>
              <w:noBreakHyphen/>
              <w:t xml:space="preserve">Abl transzkripció mennyiségének ≥ 3 logaritmus csökkenése a perifériás vérben 12 hónapos kezelést követően (valós idejű, kvantatív reverz transzkriptáz </w:t>
            </w:r>
            <w:smartTag w:uri="urn:schemas-microsoft-com:office:smarttags" w:element="stockticker">
              <w:r w:rsidRPr="00556B9B">
                <w:rPr>
                  <w:rFonts w:ascii="Times New Roman" w:hAnsi="Times New Roman"/>
                  <w:color w:val="000000"/>
                  <w:sz w:val="22"/>
                  <w:lang w:val="hu-HU"/>
                </w:rPr>
                <w:t>PCR</w:t>
              </w:r>
            </w:smartTag>
            <w:r w:rsidRPr="00556B9B">
              <w:rPr>
                <w:rFonts w:ascii="Times New Roman" w:hAnsi="Times New Roman"/>
                <w:color w:val="000000"/>
                <w:sz w:val="22"/>
                <w:lang w:val="hu-HU"/>
              </w:rPr>
              <w:t xml:space="preserve"> módszerrel mérve) egy standard kiindulási értékhez viszonyítva.</w:t>
            </w:r>
          </w:p>
        </w:tc>
      </w:tr>
    </w:tbl>
    <w:p w14:paraId="673310F5" w14:textId="77777777" w:rsidR="00910FC8" w:rsidRPr="00556B9B" w:rsidRDefault="00910FC8" w:rsidP="005C6E7A">
      <w:pPr>
        <w:pStyle w:val="Heading2"/>
        <w:keepNext w:val="0"/>
        <w:numPr>
          <w:ilvl w:val="0"/>
          <w:numId w:val="0"/>
        </w:numPr>
        <w:spacing w:before="0" w:after="0" w:line="240" w:lineRule="auto"/>
        <w:rPr>
          <w:rFonts w:ascii="Times New Roman" w:hAnsi="Times New Roman"/>
          <w:b w:val="0"/>
          <w:i w:val="0"/>
          <w:color w:val="000000"/>
          <w:sz w:val="22"/>
          <w:lang w:val="hu-HU"/>
        </w:rPr>
      </w:pPr>
    </w:p>
    <w:p w14:paraId="2D1E64AA" w14:textId="77777777" w:rsidR="00910FC8" w:rsidRPr="00556B9B" w:rsidRDefault="00910FC8" w:rsidP="005C6E7A">
      <w:pPr>
        <w:pStyle w:val="Heading2"/>
        <w:keepNext w:val="0"/>
        <w:numPr>
          <w:ilvl w:val="0"/>
          <w:numId w:val="0"/>
        </w:numPr>
        <w:spacing w:before="0" w:after="0" w:line="240" w:lineRule="auto"/>
        <w:rPr>
          <w:rFonts w:ascii="Times New Roman" w:hAnsi="Times New Roman"/>
          <w:b w:val="0"/>
          <w:i w:val="0"/>
          <w:color w:val="000000"/>
          <w:sz w:val="22"/>
          <w:lang w:val="hu-HU"/>
        </w:rPr>
      </w:pPr>
      <w:r w:rsidRPr="00556B9B">
        <w:rPr>
          <w:rFonts w:ascii="Times New Roman" w:hAnsi="Times New Roman"/>
          <w:b w:val="0"/>
          <w:i w:val="0"/>
          <w:color w:val="000000"/>
          <w:sz w:val="22"/>
          <w:lang w:val="hu-HU"/>
        </w:rPr>
        <w:t>Az első vonalbeli kezelésre adott komplett hematológiai válasz, nagyfokú cytogenetikai válasz és komplett cytogenetikai válasz arányait Kaplan</w:t>
      </w:r>
      <w:r w:rsidRPr="00556B9B">
        <w:rPr>
          <w:rFonts w:ascii="Times New Roman" w:hAnsi="Times New Roman"/>
          <w:b w:val="0"/>
          <w:i w:val="0"/>
          <w:color w:val="000000"/>
          <w:sz w:val="22"/>
          <w:lang w:val="hu-HU"/>
        </w:rPr>
        <w:noBreakHyphen/>
        <w:t>Meier módszerrel számították ki, melynek során a nem reagálókat az utolsó vizsgálat időpontjában cenzorálták. Az első vonalbeli Glivec</w:t>
      </w:r>
      <w:r w:rsidRPr="00556B9B">
        <w:rPr>
          <w:rFonts w:ascii="Times New Roman" w:hAnsi="Times New Roman"/>
          <w:b w:val="0"/>
          <w:i w:val="0"/>
          <w:color w:val="000000"/>
          <w:sz w:val="22"/>
          <w:lang w:val="hu-HU"/>
        </w:rPr>
        <w:noBreakHyphen/>
        <w:t xml:space="preserve">kezelésre adott becsült kumulatív válaszarányok ezen módszerrel meghatározott értékei a kezelés időtartamának előrehaladtával javultak: 12 hónapos kezelés esetén a </w:t>
      </w:r>
      <w:smartTag w:uri="urn:schemas-microsoft-com:office:smarttags" w:element="stockticker">
        <w:r w:rsidRPr="00556B9B">
          <w:rPr>
            <w:rFonts w:ascii="Times New Roman" w:hAnsi="Times New Roman"/>
            <w:b w:val="0"/>
            <w:i w:val="0"/>
            <w:color w:val="000000"/>
            <w:sz w:val="22"/>
            <w:lang w:val="hu-HU"/>
          </w:rPr>
          <w:t>CHR</w:t>
        </w:r>
      </w:smartTag>
      <w:r w:rsidRPr="00556B9B">
        <w:rPr>
          <w:rFonts w:ascii="Times New Roman" w:hAnsi="Times New Roman"/>
          <w:b w:val="0"/>
          <w:i w:val="0"/>
          <w:color w:val="000000"/>
          <w:sz w:val="22"/>
          <w:lang w:val="hu-HU"/>
        </w:rPr>
        <w:t xml:space="preserve"> 96,4%, a CCyR 69,5% volt, </w:t>
      </w:r>
      <w:r w:rsidR="00D8060A" w:rsidRPr="00556B9B">
        <w:rPr>
          <w:rFonts w:ascii="Times New Roman" w:hAnsi="Times New Roman"/>
          <w:b w:val="0"/>
          <w:i w:val="0"/>
          <w:color w:val="000000"/>
          <w:sz w:val="22"/>
          <w:lang w:val="hu-HU"/>
        </w:rPr>
        <w:t>84 </w:t>
      </w:r>
      <w:r w:rsidRPr="00556B9B">
        <w:rPr>
          <w:rFonts w:ascii="Times New Roman" w:hAnsi="Times New Roman"/>
          <w:b w:val="0"/>
          <w:i w:val="0"/>
          <w:color w:val="000000"/>
          <w:sz w:val="22"/>
          <w:lang w:val="hu-HU"/>
        </w:rPr>
        <w:t xml:space="preserve">hónapos kezelés esetén pedig a </w:t>
      </w:r>
      <w:smartTag w:uri="urn:schemas-microsoft-com:office:smarttags" w:element="stockticker">
        <w:r w:rsidRPr="00556B9B">
          <w:rPr>
            <w:rFonts w:ascii="Times New Roman" w:hAnsi="Times New Roman"/>
            <w:b w:val="0"/>
            <w:i w:val="0"/>
            <w:color w:val="000000"/>
            <w:sz w:val="22"/>
            <w:lang w:val="hu-HU"/>
          </w:rPr>
          <w:t>CHR</w:t>
        </w:r>
      </w:smartTag>
      <w:r w:rsidRPr="00556B9B">
        <w:rPr>
          <w:rFonts w:ascii="Times New Roman" w:hAnsi="Times New Roman"/>
          <w:b w:val="0"/>
          <w:i w:val="0"/>
          <w:color w:val="000000"/>
          <w:sz w:val="22"/>
          <w:lang w:val="hu-HU"/>
        </w:rPr>
        <w:t xml:space="preserve"> 98,4%, a CCyR </w:t>
      </w:r>
      <w:r w:rsidR="0043031D" w:rsidRPr="00556B9B">
        <w:rPr>
          <w:rFonts w:ascii="Times New Roman" w:hAnsi="Times New Roman"/>
          <w:b w:val="0"/>
          <w:i w:val="0"/>
          <w:color w:val="000000"/>
          <w:sz w:val="22"/>
          <w:lang w:val="hu-HU"/>
        </w:rPr>
        <w:t>87,2</w:t>
      </w:r>
      <w:r w:rsidRPr="00556B9B">
        <w:rPr>
          <w:rFonts w:ascii="Times New Roman" w:hAnsi="Times New Roman"/>
          <w:b w:val="0"/>
          <w:i w:val="0"/>
          <w:color w:val="000000"/>
          <w:sz w:val="22"/>
          <w:lang w:val="hu-HU"/>
        </w:rPr>
        <w:t>% volt.</w:t>
      </w:r>
    </w:p>
    <w:p w14:paraId="0208A98D" w14:textId="77777777" w:rsidR="00910FC8" w:rsidRPr="00556B9B" w:rsidRDefault="00910FC8">
      <w:pPr>
        <w:rPr>
          <w:color w:val="000000"/>
          <w:lang w:val="hu-HU"/>
        </w:rPr>
      </w:pPr>
    </w:p>
    <w:p w14:paraId="215D26E5" w14:textId="77777777" w:rsidR="00910FC8" w:rsidRPr="00556B9B" w:rsidRDefault="0043031D">
      <w:pPr>
        <w:rPr>
          <w:color w:val="000000"/>
          <w:lang w:val="hu-HU"/>
        </w:rPr>
      </w:pPr>
      <w:r w:rsidRPr="00556B9B">
        <w:rPr>
          <w:color w:val="000000"/>
          <w:lang w:val="hu-HU"/>
        </w:rPr>
        <w:t>Hét </w:t>
      </w:r>
      <w:r w:rsidR="00910FC8" w:rsidRPr="00556B9B">
        <w:rPr>
          <w:color w:val="000000"/>
          <w:lang w:val="hu-HU"/>
        </w:rPr>
        <w:t xml:space="preserve">éves nyomonkövetés során a Glivec-csoportban </w:t>
      </w:r>
      <w:r w:rsidR="002521F0" w:rsidRPr="00556B9B">
        <w:rPr>
          <w:color w:val="000000"/>
          <w:lang w:val="hu-HU"/>
        </w:rPr>
        <w:t xml:space="preserve">93 </w:t>
      </w:r>
      <w:r w:rsidR="00910FC8" w:rsidRPr="00556B9B">
        <w:rPr>
          <w:color w:val="000000"/>
          <w:lang w:val="hu-HU"/>
        </w:rPr>
        <w:t>(</w:t>
      </w:r>
      <w:r w:rsidR="002521F0" w:rsidRPr="00556B9B">
        <w:rPr>
          <w:color w:val="000000"/>
          <w:lang w:val="hu-HU"/>
        </w:rPr>
        <w:t>16,8</w:t>
      </w:r>
      <w:r w:rsidR="00910FC8" w:rsidRPr="00556B9B">
        <w:rPr>
          <w:color w:val="000000"/>
          <w:lang w:val="hu-HU"/>
        </w:rPr>
        <w:t xml:space="preserve">%) progresszióval kapcsolatos esemény lépett fel: </w:t>
      </w:r>
      <w:r w:rsidR="002521F0" w:rsidRPr="00556B9B">
        <w:rPr>
          <w:color w:val="000000"/>
          <w:lang w:val="hu-HU"/>
        </w:rPr>
        <w:t>37 </w:t>
      </w:r>
      <w:r w:rsidR="00910FC8" w:rsidRPr="00556B9B">
        <w:rPr>
          <w:color w:val="000000"/>
          <w:lang w:val="hu-HU"/>
        </w:rPr>
        <w:t>esetben (6,</w:t>
      </w:r>
      <w:r w:rsidR="002521F0" w:rsidRPr="00556B9B">
        <w:rPr>
          <w:color w:val="000000"/>
          <w:lang w:val="hu-HU"/>
        </w:rPr>
        <w:t>7</w:t>
      </w:r>
      <w:r w:rsidR="00910FC8" w:rsidRPr="00556B9B">
        <w:rPr>
          <w:color w:val="000000"/>
          <w:lang w:val="hu-HU"/>
        </w:rPr>
        <w:t xml:space="preserve">%) akcelerált fázisba vagy blasztos krízisbe történő progresszió, </w:t>
      </w:r>
      <w:r w:rsidR="002521F0" w:rsidRPr="00556B9B">
        <w:rPr>
          <w:color w:val="000000"/>
          <w:lang w:val="hu-HU"/>
        </w:rPr>
        <w:t>31 </w:t>
      </w:r>
      <w:r w:rsidR="00910FC8" w:rsidRPr="00556B9B">
        <w:rPr>
          <w:color w:val="000000"/>
          <w:lang w:val="hu-HU"/>
        </w:rPr>
        <w:t>esetben (5,</w:t>
      </w:r>
      <w:r w:rsidR="002521F0" w:rsidRPr="00556B9B">
        <w:rPr>
          <w:color w:val="000000"/>
          <w:lang w:val="hu-HU"/>
        </w:rPr>
        <w:t>6</w:t>
      </w:r>
      <w:r w:rsidR="00910FC8" w:rsidRPr="00556B9B">
        <w:rPr>
          <w:color w:val="000000"/>
          <w:lang w:val="hu-HU"/>
        </w:rPr>
        <w:t xml:space="preserve">%) a nagyfokú cytogenetikai válasz megszűnése, </w:t>
      </w:r>
      <w:r w:rsidR="00441442" w:rsidRPr="00556B9B">
        <w:rPr>
          <w:color w:val="000000"/>
          <w:lang w:val="hu-HU"/>
        </w:rPr>
        <w:t>15 </w:t>
      </w:r>
      <w:r w:rsidR="00910FC8" w:rsidRPr="00556B9B">
        <w:rPr>
          <w:color w:val="000000"/>
          <w:lang w:val="hu-HU"/>
        </w:rPr>
        <w:t>esetben (2,</w:t>
      </w:r>
      <w:r w:rsidR="00441442" w:rsidRPr="00556B9B">
        <w:rPr>
          <w:color w:val="000000"/>
          <w:lang w:val="hu-HU"/>
        </w:rPr>
        <w:t>7</w:t>
      </w:r>
      <w:r w:rsidR="00910FC8" w:rsidRPr="00556B9B">
        <w:rPr>
          <w:color w:val="000000"/>
          <w:lang w:val="hu-HU"/>
        </w:rPr>
        <w:t xml:space="preserve">%) a komplett hematológiai válasz megszűnése vagy a fehérvérsejtszám emelkedése, és </w:t>
      </w:r>
      <w:r w:rsidR="00441442" w:rsidRPr="00556B9B">
        <w:rPr>
          <w:color w:val="000000"/>
          <w:lang w:val="hu-HU"/>
        </w:rPr>
        <w:t>10 </w:t>
      </w:r>
      <w:r w:rsidR="00910FC8" w:rsidRPr="00556B9B">
        <w:rPr>
          <w:color w:val="000000"/>
          <w:lang w:val="hu-HU"/>
        </w:rPr>
        <w:t>esetben (1,</w:t>
      </w:r>
      <w:r w:rsidR="00441442" w:rsidRPr="00556B9B">
        <w:rPr>
          <w:color w:val="000000"/>
          <w:lang w:val="hu-HU"/>
        </w:rPr>
        <w:t>8</w:t>
      </w:r>
      <w:r w:rsidR="00910FC8" w:rsidRPr="00556B9B">
        <w:rPr>
          <w:color w:val="000000"/>
          <w:lang w:val="hu-HU"/>
        </w:rPr>
        <w:t>%) a CML</w:t>
      </w:r>
      <w:r w:rsidR="00910FC8" w:rsidRPr="00556B9B">
        <w:rPr>
          <w:color w:val="000000"/>
          <w:lang w:val="hu-HU"/>
        </w:rPr>
        <w:noBreakHyphen/>
        <w:t xml:space="preserve">től független </w:t>
      </w:r>
      <w:r w:rsidR="00910FC8" w:rsidRPr="00556B9B">
        <w:rPr>
          <w:color w:val="000000"/>
          <w:lang w:val="hu-HU"/>
        </w:rPr>
        <w:lastRenderedPageBreak/>
        <w:t>halálozás. Ezzel szemben az IFN+Ara</w:t>
      </w:r>
      <w:r w:rsidR="00910FC8" w:rsidRPr="00556B9B">
        <w:rPr>
          <w:color w:val="000000"/>
          <w:lang w:val="hu-HU"/>
        </w:rPr>
        <w:noBreakHyphen/>
        <w:t>C</w:t>
      </w:r>
      <w:r w:rsidR="00910FC8" w:rsidRPr="00556B9B">
        <w:rPr>
          <w:color w:val="000000"/>
          <w:lang w:val="hu-HU"/>
        </w:rPr>
        <w:noBreakHyphen/>
        <w:t xml:space="preserve">csoportban </w:t>
      </w:r>
      <w:r w:rsidR="00441442" w:rsidRPr="00556B9B">
        <w:rPr>
          <w:color w:val="000000"/>
          <w:lang w:val="hu-HU"/>
        </w:rPr>
        <w:t>165 </w:t>
      </w:r>
      <w:r w:rsidR="00910FC8" w:rsidRPr="00556B9B">
        <w:rPr>
          <w:color w:val="000000"/>
          <w:lang w:val="hu-HU"/>
        </w:rPr>
        <w:t>esemény (</w:t>
      </w:r>
      <w:r w:rsidR="00441442" w:rsidRPr="00556B9B">
        <w:rPr>
          <w:color w:val="000000"/>
          <w:lang w:val="hu-HU"/>
        </w:rPr>
        <w:t>29</w:t>
      </w:r>
      <w:r w:rsidR="00910FC8" w:rsidRPr="00556B9B">
        <w:rPr>
          <w:color w:val="000000"/>
          <w:lang w:val="hu-HU"/>
        </w:rPr>
        <w:t>,</w:t>
      </w:r>
      <w:r w:rsidR="00441442" w:rsidRPr="00556B9B">
        <w:rPr>
          <w:color w:val="000000"/>
          <w:lang w:val="hu-HU"/>
        </w:rPr>
        <w:t>8</w:t>
      </w:r>
      <w:r w:rsidR="00910FC8" w:rsidRPr="00556B9B">
        <w:rPr>
          <w:color w:val="000000"/>
          <w:lang w:val="hu-HU"/>
        </w:rPr>
        <w:t xml:space="preserve">%) következett be, melyek közül </w:t>
      </w:r>
      <w:r w:rsidR="00441442" w:rsidRPr="00556B9B">
        <w:rPr>
          <w:color w:val="000000"/>
          <w:lang w:val="hu-HU"/>
        </w:rPr>
        <w:t>130 </w:t>
      </w:r>
      <w:r w:rsidR="00910FC8" w:rsidRPr="00556B9B">
        <w:rPr>
          <w:color w:val="000000"/>
          <w:lang w:val="hu-HU"/>
        </w:rPr>
        <w:t>az első vonalbeli IFN+Ara</w:t>
      </w:r>
      <w:r w:rsidR="00910FC8" w:rsidRPr="00556B9B">
        <w:rPr>
          <w:color w:val="000000"/>
          <w:lang w:val="hu-HU"/>
        </w:rPr>
        <w:noBreakHyphen/>
        <w:t>C kezelés mellett lépett fel.</w:t>
      </w:r>
    </w:p>
    <w:p w14:paraId="0DA9DA2A" w14:textId="77777777" w:rsidR="00910FC8" w:rsidRPr="00556B9B" w:rsidRDefault="00910FC8" w:rsidP="005C6E7A">
      <w:pPr>
        <w:pStyle w:val="Heading2"/>
        <w:keepNext w:val="0"/>
        <w:numPr>
          <w:ilvl w:val="0"/>
          <w:numId w:val="0"/>
        </w:numPr>
        <w:spacing w:before="0" w:after="0" w:line="240" w:lineRule="auto"/>
        <w:rPr>
          <w:rFonts w:ascii="Times New Roman" w:hAnsi="Times New Roman"/>
          <w:b w:val="0"/>
          <w:i w:val="0"/>
          <w:color w:val="000000"/>
          <w:sz w:val="22"/>
          <w:lang w:val="hu-HU"/>
        </w:rPr>
      </w:pPr>
    </w:p>
    <w:p w14:paraId="482345DD" w14:textId="77777777" w:rsidR="00910FC8" w:rsidRPr="00556B9B" w:rsidRDefault="00910FC8" w:rsidP="005C6E7A">
      <w:pPr>
        <w:pStyle w:val="Heading2"/>
        <w:keepNext w:val="0"/>
        <w:numPr>
          <w:ilvl w:val="0"/>
          <w:numId w:val="0"/>
        </w:numPr>
        <w:spacing w:before="0" w:after="0" w:line="240" w:lineRule="auto"/>
        <w:rPr>
          <w:rFonts w:ascii="Times New Roman" w:hAnsi="Times New Roman"/>
          <w:b w:val="0"/>
          <w:i w:val="0"/>
          <w:color w:val="000000"/>
          <w:sz w:val="22"/>
          <w:lang w:val="hu-HU"/>
        </w:rPr>
      </w:pPr>
      <w:r w:rsidRPr="00556B9B">
        <w:rPr>
          <w:rFonts w:ascii="Times New Roman" w:hAnsi="Times New Roman"/>
          <w:b w:val="0"/>
          <w:i w:val="0"/>
          <w:color w:val="000000"/>
          <w:sz w:val="22"/>
          <w:lang w:val="hu-HU"/>
        </w:rPr>
        <w:t xml:space="preserve">A </w:t>
      </w:r>
      <w:r w:rsidR="00A40428" w:rsidRPr="00556B9B">
        <w:rPr>
          <w:rFonts w:ascii="Times New Roman" w:hAnsi="Times New Roman"/>
          <w:b w:val="0"/>
          <w:i w:val="0"/>
          <w:color w:val="000000"/>
          <w:sz w:val="22"/>
          <w:lang w:val="hu-HU"/>
        </w:rPr>
        <w:t>84</w:t>
      </w:r>
      <w:r w:rsidRPr="00556B9B">
        <w:rPr>
          <w:rFonts w:ascii="Times New Roman" w:hAnsi="Times New Roman"/>
          <w:b w:val="0"/>
          <w:i w:val="0"/>
          <w:color w:val="000000"/>
          <w:sz w:val="22"/>
          <w:lang w:val="hu-HU"/>
        </w:rPr>
        <w:t xml:space="preserve">. hónapban az akcelerált fázisba vagy a blasztos krízisbe való progressziótól mentes betegek becsült aránya szignifikánsan magasabb volt a Glivec, mint az </w:t>
      </w:r>
      <w:smartTag w:uri="urn:schemas-microsoft-com:office:smarttags" w:element="stockticker">
        <w:r w:rsidRPr="00556B9B">
          <w:rPr>
            <w:rFonts w:ascii="Times New Roman" w:hAnsi="Times New Roman"/>
            <w:b w:val="0"/>
            <w:i w:val="0"/>
            <w:color w:val="000000"/>
            <w:sz w:val="22"/>
            <w:lang w:val="hu-HU"/>
          </w:rPr>
          <w:t>INF</w:t>
        </w:r>
      </w:smartTag>
      <w:r w:rsidRPr="00556B9B">
        <w:rPr>
          <w:rFonts w:ascii="Times New Roman" w:hAnsi="Times New Roman"/>
          <w:b w:val="0"/>
          <w:i w:val="0"/>
          <w:color w:val="000000"/>
          <w:sz w:val="22"/>
          <w:lang w:val="hu-HU"/>
        </w:rPr>
        <w:t> csoportban (92,</w:t>
      </w:r>
      <w:r w:rsidR="00A40428" w:rsidRPr="00556B9B">
        <w:rPr>
          <w:rFonts w:ascii="Times New Roman" w:hAnsi="Times New Roman"/>
          <w:b w:val="0"/>
          <w:i w:val="0"/>
          <w:color w:val="000000"/>
          <w:sz w:val="22"/>
          <w:lang w:val="hu-HU"/>
        </w:rPr>
        <w:t>5</w:t>
      </w:r>
      <w:r w:rsidRPr="00556B9B">
        <w:rPr>
          <w:rFonts w:ascii="Times New Roman" w:hAnsi="Times New Roman"/>
          <w:b w:val="0"/>
          <w:i w:val="0"/>
          <w:color w:val="000000"/>
          <w:sz w:val="22"/>
          <w:lang w:val="hu-HU"/>
        </w:rPr>
        <w:t xml:space="preserve">% vs. </w:t>
      </w:r>
      <w:r w:rsidR="00A40428" w:rsidRPr="00556B9B">
        <w:rPr>
          <w:rFonts w:ascii="Times New Roman" w:hAnsi="Times New Roman"/>
          <w:b w:val="0"/>
          <w:i w:val="0"/>
          <w:color w:val="000000"/>
          <w:sz w:val="22"/>
          <w:lang w:val="hu-HU"/>
        </w:rPr>
        <w:t>85</w:t>
      </w:r>
      <w:r w:rsidRPr="00556B9B">
        <w:rPr>
          <w:rFonts w:ascii="Times New Roman" w:hAnsi="Times New Roman"/>
          <w:b w:val="0"/>
          <w:i w:val="0"/>
          <w:color w:val="000000"/>
          <w:sz w:val="22"/>
          <w:lang w:val="hu-HU"/>
        </w:rPr>
        <w:t>,</w:t>
      </w:r>
      <w:r w:rsidR="00A40428" w:rsidRPr="00556B9B">
        <w:rPr>
          <w:rFonts w:ascii="Times New Roman" w:hAnsi="Times New Roman"/>
          <w:b w:val="0"/>
          <w:i w:val="0"/>
          <w:color w:val="000000"/>
          <w:sz w:val="22"/>
          <w:lang w:val="hu-HU"/>
        </w:rPr>
        <w:t>1</w:t>
      </w:r>
      <w:r w:rsidRPr="00556B9B">
        <w:rPr>
          <w:rFonts w:ascii="Times New Roman" w:hAnsi="Times New Roman"/>
          <w:b w:val="0"/>
          <w:i w:val="0"/>
          <w:color w:val="000000"/>
          <w:sz w:val="22"/>
          <w:lang w:val="hu-HU"/>
        </w:rPr>
        <w:t>%, p</w:t>
      </w:r>
      <w:r w:rsidR="00974495" w:rsidRPr="00556B9B">
        <w:rPr>
          <w:rFonts w:ascii="Times New Roman" w:hAnsi="Times New Roman"/>
          <w:b w:val="0"/>
          <w:i w:val="0"/>
          <w:color w:val="000000"/>
          <w:sz w:val="22"/>
          <w:lang w:val="hu-HU"/>
        </w:rPr>
        <w:t> </w:t>
      </w:r>
      <w:r w:rsidRPr="00556B9B">
        <w:rPr>
          <w:rFonts w:ascii="Times New Roman" w:hAnsi="Times New Roman"/>
          <w:b w:val="0"/>
          <w:i w:val="0"/>
          <w:color w:val="000000"/>
          <w:sz w:val="22"/>
          <w:lang w:val="hu-HU"/>
        </w:rPr>
        <w:t>&lt;</w:t>
      </w:r>
      <w:r w:rsidR="00974495" w:rsidRPr="00556B9B">
        <w:rPr>
          <w:rFonts w:ascii="Times New Roman" w:hAnsi="Times New Roman"/>
          <w:b w:val="0"/>
          <w:i w:val="0"/>
          <w:color w:val="000000"/>
          <w:sz w:val="22"/>
          <w:lang w:val="hu-HU"/>
        </w:rPr>
        <w:t> </w:t>
      </w:r>
      <w:r w:rsidRPr="00556B9B">
        <w:rPr>
          <w:rFonts w:ascii="Times New Roman" w:hAnsi="Times New Roman"/>
          <w:b w:val="0"/>
          <w:i w:val="0"/>
          <w:color w:val="000000"/>
          <w:sz w:val="22"/>
          <w:lang w:val="hu-HU"/>
        </w:rPr>
        <w:t>0,001). Az akcelerált fázisba vagy blasztos krízisbe történő progresszió éves aránya a kezelés időtartamával párhuzamosan csökkent, és a 4., ill. 5. évben évente kevesebb volt 1%</w:t>
      </w:r>
      <w:r w:rsidRPr="00556B9B">
        <w:rPr>
          <w:rFonts w:ascii="Times New Roman" w:hAnsi="Times New Roman"/>
          <w:b w:val="0"/>
          <w:i w:val="0"/>
          <w:color w:val="000000"/>
          <w:sz w:val="22"/>
          <w:lang w:val="hu-HU"/>
        </w:rPr>
        <w:noBreakHyphen/>
        <w:t xml:space="preserve">nál. A becsült progresziómentes túlélési arány a </w:t>
      </w:r>
      <w:r w:rsidR="00A40428" w:rsidRPr="00556B9B">
        <w:rPr>
          <w:rFonts w:ascii="Times New Roman" w:hAnsi="Times New Roman"/>
          <w:b w:val="0"/>
          <w:i w:val="0"/>
          <w:color w:val="000000"/>
          <w:sz w:val="22"/>
          <w:lang w:val="hu-HU"/>
        </w:rPr>
        <w:t>84</w:t>
      </w:r>
      <w:r w:rsidRPr="00556B9B">
        <w:rPr>
          <w:rFonts w:ascii="Times New Roman" w:hAnsi="Times New Roman"/>
          <w:b w:val="0"/>
          <w:i w:val="0"/>
          <w:color w:val="000000"/>
          <w:sz w:val="22"/>
          <w:lang w:val="hu-HU"/>
        </w:rPr>
        <w:t xml:space="preserve">. hónapban </w:t>
      </w:r>
      <w:r w:rsidR="00A40428" w:rsidRPr="00556B9B">
        <w:rPr>
          <w:rFonts w:ascii="Times New Roman" w:hAnsi="Times New Roman"/>
          <w:b w:val="0"/>
          <w:i w:val="0"/>
          <w:color w:val="000000"/>
          <w:sz w:val="22"/>
          <w:lang w:val="hu-HU"/>
        </w:rPr>
        <w:t>81</w:t>
      </w:r>
      <w:r w:rsidRPr="00556B9B">
        <w:rPr>
          <w:rFonts w:ascii="Times New Roman" w:hAnsi="Times New Roman"/>
          <w:b w:val="0"/>
          <w:i w:val="0"/>
          <w:color w:val="000000"/>
          <w:sz w:val="22"/>
          <w:lang w:val="hu-HU"/>
        </w:rPr>
        <w:t>,2% volt a Glivec</w:t>
      </w:r>
      <w:r w:rsidRPr="00556B9B">
        <w:rPr>
          <w:rFonts w:ascii="Times New Roman" w:hAnsi="Times New Roman"/>
          <w:b w:val="0"/>
          <w:i w:val="0"/>
          <w:color w:val="000000"/>
          <w:sz w:val="22"/>
          <w:lang w:val="hu-HU"/>
        </w:rPr>
        <w:noBreakHyphen/>
        <w:t>csoportban, a kontroll</w:t>
      </w:r>
      <w:r w:rsidRPr="00556B9B">
        <w:rPr>
          <w:rFonts w:ascii="Times New Roman" w:hAnsi="Times New Roman"/>
          <w:b w:val="0"/>
          <w:i w:val="0"/>
          <w:color w:val="000000"/>
          <w:sz w:val="22"/>
          <w:lang w:val="hu-HU"/>
        </w:rPr>
        <w:noBreakHyphen/>
        <w:t xml:space="preserve">csoportban pedig </w:t>
      </w:r>
      <w:r w:rsidR="006525BB" w:rsidRPr="00556B9B">
        <w:rPr>
          <w:rFonts w:ascii="Times New Roman" w:hAnsi="Times New Roman"/>
          <w:b w:val="0"/>
          <w:i w:val="0"/>
          <w:color w:val="000000"/>
          <w:sz w:val="22"/>
          <w:lang w:val="hu-HU"/>
        </w:rPr>
        <w:t>60</w:t>
      </w:r>
      <w:r w:rsidRPr="00556B9B">
        <w:rPr>
          <w:rFonts w:ascii="Times New Roman" w:hAnsi="Times New Roman"/>
          <w:b w:val="0"/>
          <w:i w:val="0"/>
          <w:color w:val="000000"/>
          <w:sz w:val="22"/>
          <w:lang w:val="hu-HU"/>
        </w:rPr>
        <w:t>,</w:t>
      </w:r>
      <w:r w:rsidR="006525BB" w:rsidRPr="00556B9B">
        <w:rPr>
          <w:rFonts w:ascii="Times New Roman" w:hAnsi="Times New Roman"/>
          <w:b w:val="0"/>
          <w:i w:val="0"/>
          <w:color w:val="000000"/>
          <w:sz w:val="22"/>
          <w:lang w:val="hu-HU"/>
        </w:rPr>
        <w:t>6</w:t>
      </w:r>
      <w:r w:rsidRPr="00556B9B">
        <w:rPr>
          <w:rFonts w:ascii="Times New Roman" w:hAnsi="Times New Roman"/>
          <w:b w:val="0"/>
          <w:i w:val="0"/>
          <w:color w:val="000000"/>
          <w:sz w:val="22"/>
          <w:lang w:val="hu-HU"/>
        </w:rPr>
        <w:t>% (p</w:t>
      </w:r>
      <w:r w:rsidR="00974495" w:rsidRPr="00556B9B">
        <w:rPr>
          <w:rFonts w:ascii="Times New Roman" w:hAnsi="Times New Roman"/>
          <w:b w:val="0"/>
          <w:i w:val="0"/>
          <w:color w:val="000000"/>
          <w:sz w:val="22"/>
          <w:lang w:val="hu-HU"/>
        </w:rPr>
        <w:t> </w:t>
      </w:r>
      <w:r w:rsidRPr="00556B9B">
        <w:rPr>
          <w:rFonts w:ascii="Times New Roman" w:hAnsi="Times New Roman"/>
          <w:b w:val="0"/>
          <w:i w:val="0"/>
          <w:color w:val="000000"/>
          <w:sz w:val="22"/>
          <w:lang w:val="hu-HU"/>
        </w:rPr>
        <w:t>&lt;</w:t>
      </w:r>
      <w:r w:rsidR="00974495" w:rsidRPr="00556B9B">
        <w:rPr>
          <w:rFonts w:ascii="Times New Roman" w:hAnsi="Times New Roman"/>
          <w:b w:val="0"/>
          <w:i w:val="0"/>
          <w:color w:val="000000"/>
          <w:sz w:val="22"/>
          <w:lang w:val="hu-HU"/>
        </w:rPr>
        <w:t> </w:t>
      </w:r>
      <w:r w:rsidRPr="00556B9B">
        <w:rPr>
          <w:rFonts w:ascii="Times New Roman" w:hAnsi="Times New Roman"/>
          <w:b w:val="0"/>
          <w:i w:val="0"/>
          <w:color w:val="000000"/>
          <w:sz w:val="22"/>
          <w:lang w:val="hu-HU"/>
        </w:rPr>
        <w:t>0,001). Glivec mellett a progresszió minden típusának éves aránya szintén csökkent az idő előrehaladtával.</w:t>
      </w:r>
    </w:p>
    <w:p w14:paraId="0C3C0981" w14:textId="77777777" w:rsidR="00910FC8" w:rsidRPr="00556B9B" w:rsidRDefault="00910FC8" w:rsidP="005C6E7A">
      <w:pPr>
        <w:pStyle w:val="Heading2"/>
        <w:keepNext w:val="0"/>
        <w:numPr>
          <w:ilvl w:val="0"/>
          <w:numId w:val="0"/>
        </w:numPr>
        <w:spacing w:before="0" w:after="0" w:line="240" w:lineRule="auto"/>
        <w:rPr>
          <w:rFonts w:ascii="Times New Roman" w:hAnsi="Times New Roman"/>
          <w:b w:val="0"/>
          <w:i w:val="0"/>
          <w:color w:val="000000"/>
          <w:sz w:val="22"/>
          <w:lang w:val="hu-HU"/>
        </w:rPr>
      </w:pPr>
    </w:p>
    <w:p w14:paraId="764541A6" w14:textId="2C735A75" w:rsidR="00910FC8" w:rsidRPr="00556B9B" w:rsidRDefault="00910FC8" w:rsidP="005C6E7A">
      <w:pPr>
        <w:pStyle w:val="Heading2"/>
        <w:keepNext w:val="0"/>
        <w:numPr>
          <w:ilvl w:val="0"/>
          <w:numId w:val="0"/>
        </w:numPr>
        <w:spacing w:before="0" w:after="0" w:line="240" w:lineRule="auto"/>
        <w:rPr>
          <w:rFonts w:ascii="Times New Roman" w:hAnsi="Times New Roman"/>
          <w:b w:val="0"/>
          <w:i w:val="0"/>
          <w:color w:val="000000"/>
          <w:sz w:val="22"/>
          <w:lang w:val="hu-HU"/>
        </w:rPr>
      </w:pPr>
      <w:r w:rsidRPr="00556B9B">
        <w:rPr>
          <w:rFonts w:ascii="Times New Roman" w:hAnsi="Times New Roman"/>
          <w:b w:val="0"/>
          <w:i w:val="0"/>
          <w:color w:val="000000"/>
          <w:sz w:val="22"/>
          <w:lang w:val="hu-HU"/>
        </w:rPr>
        <w:t xml:space="preserve">A Glivec-csoportban összesen </w:t>
      </w:r>
      <w:r w:rsidR="006525BB" w:rsidRPr="00556B9B">
        <w:rPr>
          <w:rFonts w:ascii="Times New Roman" w:hAnsi="Times New Roman"/>
          <w:b w:val="0"/>
          <w:i w:val="0"/>
          <w:color w:val="000000"/>
          <w:sz w:val="22"/>
          <w:lang w:val="hu-HU"/>
        </w:rPr>
        <w:t>71 </w:t>
      </w:r>
      <w:r w:rsidRPr="00556B9B">
        <w:rPr>
          <w:rFonts w:ascii="Times New Roman" w:hAnsi="Times New Roman"/>
          <w:b w:val="0"/>
          <w:i w:val="0"/>
          <w:color w:val="000000"/>
          <w:sz w:val="22"/>
          <w:lang w:val="hu-HU"/>
        </w:rPr>
        <w:t>beteg (</w:t>
      </w:r>
      <w:r w:rsidR="006525BB" w:rsidRPr="00556B9B">
        <w:rPr>
          <w:rFonts w:ascii="Times New Roman" w:hAnsi="Times New Roman"/>
          <w:b w:val="0"/>
          <w:i w:val="0"/>
          <w:color w:val="000000"/>
          <w:sz w:val="22"/>
          <w:lang w:val="hu-HU"/>
        </w:rPr>
        <w:t>12</w:t>
      </w:r>
      <w:r w:rsidRPr="00556B9B">
        <w:rPr>
          <w:rFonts w:ascii="Times New Roman" w:hAnsi="Times New Roman"/>
          <w:b w:val="0"/>
          <w:i w:val="0"/>
          <w:color w:val="000000"/>
          <w:sz w:val="22"/>
          <w:lang w:val="hu-HU"/>
        </w:rPr>
        <w:t>,</w:t>
      </w:r>
      <w:r w:rsidR="006525BB" w:rsidRPr="00556B9B">
        <w:rPr>
          <w:rFonts w:ascii="Times New Roman" w:hAnsi="Times New Roman"/>
          <w:b w:val="0"/>
          <w:i w:val="0"/>
          <w:color w:val="000000"/>
          <w:sz w:val="22"/>
          <w:lang w:val="hu-HU"/>
        </w:rPr>
        <w:t>8</w:t>
      </w:r>
      <w:r w:rsidRPr="00556B9B">
        <w:rPr>
          <w:rFonts w:ascii="Times New Roman" w:hAnsi="Times New Roman"/>
          <w:b w:val="0"/>
          <w:i w:val="0"/>
          <w:color w:val="000000"/>
          <w:sz w:val="22"/>
          <w:lang w:val="hu-HU"/>
        </w:rPr>
        <w:t>%), az IFN+Ara</w:t>
      </w:r>
      <w:r w:rsidRPr="00556B9B">
        <w:rPr>
          <w:rFonts w:ascii="Times New Roman" w:hAnsi="Times New Roman"/>
          <w:b w:val="0"/>
          <w:i w:val="0"/>
          <w:color w:val="000000"/>
          <w:sz w:val="22"/>
          <w:lang w:val="hu-HU"/>
        </w:rPr>
        <w:noBreakHyphen/>
        <w:t xml:space="preserve">C-csoportban </w:t>
      </w:r>
      <w:r w:rsidR="006525BB" w:rsidRPr="00556B9B">
        <w:rPr>
          <w:rFonts w:ascii="Times New Roman" w:hAnsi="Times New Roman"/>
          <w:b w:val="0"/>
          <w:i w:val="0"/>
          <w:color w:val="000000"/>
          <w:sz w:val="22"/>
          <w:lang w:val="hu-HU"/>
        </w:rPr>
        <w:t>85 </w:t>
      </w:r>
      <w:r w:rsidRPr="00556B9B">
        <w:rPr>
          <w:rFonts w:ascii="Times New Roman" w:hAnsi="Times New Roman"/>
          <w:b w:val="0"/>
          <w:i w:val="0"/>
          <w:color w:val="000000"/>
          <w:sz w:val="22"/>
          <w:lang w:val="hu-HU"/>
        </w:rPr>
        <w:t>beteg (</w:t>
      </w:r>
      <w:r w:rsidR="006525BB" w:rsidRPr="00556B9B">
        <w:rPr>
          <w:rFonts w:ascii="Times New Roman" w:hAnsi="Times New Roman"/>
          <w:b w:val="0"/>
          <w:i w:val="0"/>
          <w:color w:val="000000"/>
          <w:sz w:val="22"/>
          <w:lang w:val="hu-HU"/>
        </w:rPr>
        <w:t>15</w:t>
      </w:r>
      <w:r w:rsidRPr="00556B9B">
        <w:rPr>
          <w:rFonts w:ascii="Times New Roman" w:hAnsi="Times New Roman"/>
          <w:b w:val="0"/>
          <w:i w:val="0"/>
          <w:color w:val="000000"/>
          <w:sz w:val="22"/>
          <w:lang w:val="hu-HU"/>
        </w:rPr>
        <w:t>,</w:t>
      </w:r>
      <w:r w:rsidR="006525BB" w:rsidRPr="00556B9B">
        <w:rPr>
          <w:rFonts w:ascii="Times New Roman" w:hAnsi="Times New Roman"/>
          <w:b w:val="0"/>
          <w:i w:val="0"/>
          <w:color w:val="000000"/>
          <w:sz w:val="22"/>
          <w:lang w:val="hu-HU"/>
        </w:rPr>
        <w:t>4</w:t>
      </w:r>
      <w:r w:rsidRPr="00556B9B">
        <w:rPr>
          <w:rFonts w:ascii="Times New Roman" w:hAnsi="Times New Roman"/>
          <w:b w:val="0"/>
          <w:i w:val="0"/>
          <w:color w:val="000000"/>
          <w:sz w:val="22"/>
          <w:lang w:val="hu-HU"/>
        </w:rPr>
        <w:t xml:space="preserve">%) halt meg. A </w:t>
      </w:r>
      <w:r w:rsidR="006525BB" w:rsidRPr="00556B9B">
        <w:rPr>
          <w:rFonts w:ascii="Times New Roman" w:hAnsi="Times New Roman"/>
          <w:b w:val="0"/>
          <w:i w:val="0"/>
          <w:color w:val="000000"/>
          <w:sz w:val="22"/>
          <w:lang w:val="hu-HU"/>
        </w:rPr>
        <w:t>84</w:t>
      </w:r>
      <w:r w:rsidRPr="00556B9B">
        <w:rPr>
          <w:rFonts w:ascii="Times New Roman" w:hAnsi="Times New Roman"/>
          <w:b w:val="0"/>
          <w:i w:val="0"/>
          <w:color w:val="000000"/>
          <w:sz w:val="22"/>
          <w:lang w:val="hu-HU"/>
        </w:rPr>
        <w:t xml:space="preserve">. hónapban a becsült </w:t>
      </w:r>
      <w:r w:rsidR="00142C58" w:rsidRPr="00556B9B">
        <w:rPr>
          <w:rFonts w:ascii="Times New Roman" w:hAnsi="Times New Roman"/>
          <w:b w:val="0"/>
          <w:i w:val="0"/>
          <w:color w:val="000000"/>
          <w:sz w:val="22"/>
          <w:lang w:val="hu-HU"/>
        </w:rPr>
        <w:t xml:space="preserve">teljes </w:t>
      </w:r>
      <w:r w:rsidRPr="00556B9B">
        <w:rPr>
          <w:rFonts w:ascii="Times New Roman" w:hAnsi="Times New Roman"/>
          <w:b w:val="0"/>
          <w:i w:val="0"/>
          <w:color w:val="000000"/>
          <w:sz w:val="22"/>
          <w:lang w:val="hu-HU"/>
        </w:rPr>
        <w:t>túlélés a Glivec</w:t>
      </w:r>
      <w:r w:rsidRPr="00556B9B">
        <w:rPr>
          <w:rFonts w:ascii="Times New Roman" w:hAnsi="Times New Roman"/>
          <w:b w:val="0"/>
          <w:i w:val="0"/>
          <w:color w:val="000000"/>
          <w:sz w:val="22"/>
          <w:lang w:val="hu-HU"/>
        </w:rPr>
        <w:noBreakHyphen/>
        <w:t xml:space="preserve">csoportban </w:t>
      </w:r>
      <w:r w:rsidR="003664B3" w:rsidRPr="00556B9B">
        <w:rPr>
          <w:rFonts w:ascii="Times New Roman" w:hAnsi="Times New Roman"/>
          <w:b w:val="0"/>
          <w:i w:val="0"/>
          <w:color w:val="000000"/>
          <w:sz w:val="22"/>
          <w:lang w:val="hu-HU"/>
        </w:rPr>
        <w:t>86</w:t>
      </w:r>
      <w:r w:rsidRPr="00556B9B">
        <w:rPr>
          <w:rFonts w:ascii="Times New Roman" w:hAnsi="Times New Roman"/>
          <w:b w:val="0"/>
          <w:i w:val="0"/>
          <w:color w:val="000000"/>
          <w:sz w:val="22"/>
          <w:lang w:val="hu-HU"/>
        </w:rPr>
        <w:t>,4% (</w:t>
      </w:r>
      <w:r w:rsidR="00B056D3" w:rsidRPr="00556B9B">
        <w:rPr>
          <w:rFonts w:ascii="Times New Roman" w:hAnsi="Times New Roman"/>
          <w:b w:val="0"/>
          <w:i w:val="0"/>
          <w:color w:val="000000"/>
          <w:sz w:val="22"/>
          <w:lang w:val="hu-HU"/>
        </w:rPr>
        <w:t>83</w:t>
      </w:r>
      <w:r w:rsidRPr="00556B9B">
        <w:rPr>
          <w:rFonts w:ascii="Times New Roman" w:hAnsi="Times New Roman"/>
          <w:b w:val="0"/>
          <w:i w:val="0"/>
          <w:color w:val="000000"/>
          <w:sz w:val="22"/>
          <w:lang w:val="hu-HU"/>
        </w:rPr>
        <w:t xml:space="preserve">, </w:t>
      </w:r>
      <w:r w:rsidR="00B056D3" w:rsidRPr="00556B9B">
        <w:rPr>
          <w:rFonts w:ascii="Times New Roman" w:hAnsi="Times New Roman"/>
          <w:b w:val="0"/>
          <w:i w:val="0"/>
          <w:color w:val="000000"/>
          <w:sz w:val="22"/>
          <w:lang w:val="hu-HU"/>
        </w:rPr>
        <w:t>90</w:t>
      </w:r>
      <w:r w:rsidRPr="00556B9B">
        <w:rPr>
          <w:rFonts w:ascii="Times New Roman" w:hAnsi="Times New Roman"/>
          <w:b w:val="0"/>
          <w:i w:val="0"/>
          <w:color w:val="000000"/>
          <w:sz w:val="22"/>
          <w:lang w:val="hu-HU"/>
        </w:rPr>
        <w:t>), az IFN+Ara</w:t>
      </w:r>
      <w:r w:rsidRPr="00556B9B">
        <w:rPr>
          <w:rFonts w:ascii="Times New Roman" w:hAnsi="Times New Roman"/>
          <w:b w:val="0"/>
          <w:i w:val="0"/>
          <w:color w:val="000000"/>
          <w:sz w:val="22"/>
          <w:lang w:val="hu-HU"/>
        </w:rPr>
        <w:noBreakHyphen/>
        <w:t>C</w:t>
      </w:r>
      <w:r w:rsidRPr="00556B9B">
        <w:rPr>
          <w:rFonts w:ascii="Times New Roman" w:hAnsi="Times New Roman"/>
          <w:b w:val="0"/>
          <w:i w:val="0"/>
          <w:color w:val="000000"/>
          <w:sz w:val="22"/>
          <w:lang w:val="hu-HU"/>
        </w:rPr>
        <w:noBreakHyphen/>
        <w:t xml:space="preserve">csoportban </w:t>
      </w:r>
      <w:r w:rsidR="00B056D3" w:rsidRPr="00556B9B">
        <w:rPr>
          <w:rFonts w:ascii="Times New Roman" w:hAnsi="Times New Roman"/>
          <w:b w:val="0"/>
          <w:i w:val="0"/>
          <w:color w:val="000000"/>
          <w:sz w:val="22"/>
          <w:lang w:val="hu-HU"/>
        </w:rPr>
        <w:t>83</w:t>
      </w:r>
      <w:r w:rsidRPr="00556B9B">
        <w:rPr>
          <w:rFonts w:ascii="Times New Roman" w:hAnsi="Times New Roman"/>
          <w:b w:val="0"/>
          <w:i w:val="0"/>
          <w:color w:val="000000"/>
          <w:sz w:val="22"/>
          <w:lang w:val="hu-HU"/>
        </w:rPr>
        <w:t>,</w:t>
      </w:r>
      <w:r w:rsidR="00B056D3" w:rsidRPr="00556B9B">
        <w:rPr>
          <w:rFonts w:ascii="Times New Roman" w:hAnsi="Times New Roman"/>
          <w:b w:val="0"/>
          <w:i w:val="0"/>
          <w:color w:val="000000"/>
          <w:sz w:val="22"/>
          <w:lang w:val="hu-HU"/>
        </w:rPr>
        <w:t>3</w:t>
      </w:r>
      <w:r w:rsidRPr="00556B9B">
        <w:rPr>
          <w:rFonts w:ascii="Times New Roman" w:hAnsi="Times New Roman"/>
          <w:b w:val="0"/>
          <w:i w:val="0"/>
          <w:color w:val="000000"/>
          <w:sz w:val="22"/>
          <w:lang w:val="hu-HU"/>
        </w:rPr>
        <w:t>% (</w:t>
      </w:r>
      <w:r w:rsidR="00B056D3" w:rsidRPr="00556B9B">
        <w:rPr>
          <w:rFonts w:ascii="Times New Roman" w:hAnsi="Times New Roman"/>
          <w:b w:val="0"/>
          <w:i w:val="0"/>
          <w:color w:val="000000"/>
          <w:sz w:val="22"/>
          <w:lang w:val="hu-HU"/>
        </w:rPr>
        <w:t>80</w:t>
      </w:r>
      <w:r w:rsidRPr="00556B9B">
        <w:rPr>
          <w:rFonts w:ascii="Times New Roman" w:hAnsi="Times New Roman"/>
          <w:b w:val="0"/>
          <w:i w:val="0"/>
          <w:color w:val="000000"/>
          <w:sz w:val="22"/>
          <w:lang w:val="hu-HU"/>
        </w:rPr>
        <w:t xml:space="preserve">, </w:t>
      </w:r>
      <w:r w:rsidR="00B056D3" w:rsidRPr="00556B9B">
        <w:rPr>
          <w:rFonts w:ascii="Times New Roman" w:hAnsi="Times New Roman"/>
          <w:b w:val="0"/>
          <w:i w:val="0"/>
          <w:color w:val="000000"/>
          <w:sz w:val="22"/>
          <w:lang w:val="hu-HU"/>
        </w:rPr>
        <w:t>87</w:t>
      </w:r>
      <w:r w:rsidRPr="00556B9B">
        <w:rPr>
          <w:rFonts w:ascii="Times New Roman" w:hAnsi="Times New Roman"/>
          <w:b w:val="0"/>
          <w:i w:val="0"/>
          <w:color w:val="000000"/>
          <w:sz w:val="22"/>
          <w:lang w:val="hu-HU"/>
        </w:rPr>
        <w:t>) volt (p</w:t>
      </w:r>
      <w:r w:rsidR="00974495" w:rsidRPr="00556B9B">
        <w:rPr>
          <w:rFonts w:ascii="Times New Roman" w:hAnsi="Times New Roman"/>
          <w:b w:val="0"/>
          <w:i w:val="0"/>
          <w:color w:val="000000"/>
          <w:sz w:val="22"/>
          <w:lang w:val="hu-HU"/>
        </w:rPr>
        <w:t> </w:t>
      </w:r>
      <w:r w:rsidRPr="00556B9B">
        <w:rPr>
          <w:rFonts w:ascii="Times New Roman" w:hAnsi="Times New Roman"/>
          <w:b w:val="0"/>
          <w:i w:val="0"/>
          <w:color w:val="000000"/>
          <w:sz w:val="22"/>
          <w:lang w:val="hu-HU"/>
        </w:rPr>
        <w:t>=</w:t>
      </w:r>
      <w:r w:rsidR="00974495" w:rsidRPr="00556B9B">
        <w:rPr>
          <w:rFonts w:ascii="Times New Roman" w:hAnsi="Times New Roman"/>
          <w:b w:val="0"/>
          <w:i w:val="0"/>
          <w:color w:val="000000"/>
          <w:sz w:val="22"/>
          <w:lang w:val="hu-HU"/>
        </w:rPr>
        <w:t> </w:t>
      </w:r>
      <w:r w:rsidRPr="00556B9B">
        <w:rPr>
          <w:rFonts w:ascii="Times New Roman" w:hAnsi="Times New Roman"/>
          <w:b w:val="0"/>
          <w:i w:val="0"/>
          <w:color w:val="000000"/>
          <w:sz w:val="22"/>
          <w:lang w:val="hu-HU"/>
        </w:rPr>
        <w:t>0,</w:t>
      </w:r>
      <w:r w:rsidR="00B056D3" w:rsidRPr="00556B9B">
        <w:rPr>
          <w:rFonts w:ascii="Times New Roman" w:hAnsi="Times New Roman"/>
          <w:b w:val="0"/>
          <w:i w:val="0"/>
          <w:color w:val="000000"/>
          <w:sz w:val="22"/>
          <w:lang w:val="hu-HU"/>
        </w:rPr>
        <w:t>073</w:t>
      </w:r>
      <w:r w:rsidRPr="00556B9B">
        <w:rPr>
          <w:rFonts w:ascii="Times New Roman" w:hAnsi="Times New Roman"/>
          <w:b w:val="0"/>
          <w:i w:val="0"/>
          <w:color w:val="000000"/>
          <w:sz w:val="22"/>
          <w:lang w:val="hu-HU"/>
        </w:rPr>
        <w:t xml:space="preserve">, </w:t>
      </w:r>
      <w:r w:rsidR="00A87D5A" w:rsidRPr="00556B9B">
        <w:rPr>
          <w:rFonts w:ascii="Times New Roman" w:hAnsi="Times New Roman"/>
          <w:b w:val="0"/>
          <w:i w:val="0"/>
          <w:color w:val="000000"/>
          <w:sz w:val="22"/>
          <w:lang w:val="hu-HU"/>
        </w:rPr>
        <w:t xml:space="preserve">logrank </w:t>
      </w:r>
      <w:r w:rsidRPr="00556B9B">
        <w:rPr>
          <w:rFonts w:ascii="Times New Roman" w:hAnsi="Times New Roman"/>
          <w:b w:val="0"/>
          <w:i w:val="0"/>
          <w:color w:val="000000"/>
          <w:sz w:val="22"/>
          <w:lang w:val="hu-HU"/>
        </w:rPr>
        <w:t>próba). Az „eseményig eltelt idő” végpontot nagymértékben befolyásolja az IFN+Ara</w:t>
      </w:r>
      <w:r w:rsidRPr="00556B9B">
        <w:rPr>
          <w:rFonts w:ascii="Times New Roman" w:hAnsi="Times New Roman"/>
          <w:b w:val="0"/>
          <w:i w:val="0"/>
          <w:color w:val="000000"/>
          <w:sz w:val="22"/>
          <w:lang w:val="hu-HU"/>
        </w:rPr>
        <w:noBreakHyphen/>
        <w:t>C kezelésről Glivec</w:t>
      </w:r>
      <w:r w:rsidRPr="00556B9B">
        <w:rPr>
          <w:rFonts w:ascii="Times New Roman" w:hAnsi="Times New Roman"/>
          <w:b w:val="0"/>
          <w:i w:val="0"/>
          <w:color w:val="000000"/>
          <w:sz w:val="22"/>
          <w:lang w:val="hu-HU"/>
        </w:rPr>
        <w:noBreakHyphen/>
        <w:t>kezelésre történő átváltás magas aránya. A Glivec</w:t>
      </w:r>
      <w:r w:rsidRPr="00556B9B">
        <w:rPr>
          <w:rFonts w:ascii="Times New Roman" w:hAnsi="Times New Roman"/>
          <w:b w:val="0"/>
          <w:i w:val="0"/>
          <w:color w:val="000000"/>
          <w:sz w:val="22"/>
          <w:lang w:val="hu-HU"/>
        </w:rPr>
        <w:noBreakHyphen/>
        <w:t>kezelés túlélésre gyakorolt hatását krónikus fázisú, újonnan diagnosztizált CML</w:t>
      </w:r>
      <w:r w:rsidRPr="00556B9B">
        <w:rPr>
          <w:rFonts w:ascii="Times New Roman" w:hAnsi="Times New Roman"/>
          <w:b w:val="0"/>
          <w:i w:val="0"/>
          <w:color w:val="000000"/>
          <w:sz w:val="22"/>
          <w:lang w:val="hu-HU"/>
        </w:rPr>
        <w:noBreakHyphen/>
        <w:t>ben tovább vizsgálták a fenti Glivec adatok, valamint egy, az IFN+Ara</w:t>
      </w:r>
      <w:r w:rsidRPr="00556B9B">
        <w:rPr>
          <w:rFonts w:ascii="Times New Roman" w:hAnsi="Times New Roman"/>
          <w:b w:val="0"/>
          <w:i w:val="0"/>
          <w:color w:val="000000"/>
          <w:sz w:val="22"/>
          <w:lang w:val="hu-HU"/>
        </w:rPr>
        <w:noBreakHyphen/>
        <w:t>C</w:t>
      </w:r>
      <w:r w:rsidRPr="00556B9B">
        <w:rPr>
          <w:rFonts w:ascii="Times New Roman" w:hAnsi="Times New Roman"/>
          <w:b w:val="0"/>
          <w:i w:val="0"/>
          <w:color w:val="000000"/>
          <w:sz w:val="22"/>
          <w:lang w:val="hu-HU"/>
        </w:rPr>
        <w:noBreakHyphen/>
        <w:t xml:space="preserve">t (n=325) azonos protokoll szerint alkalmazó </w:t>
      </w:r>
      <w:smartTag w:uri="urn:schemas-microsoft-com:office:smarttags" w:element="stockticker">
        <w:r w:rsidRPr="00556B9B">
          <w:rPr>
            <w:rFonts w:ascii="Times New Roman" w:hAnsi="Times New Roman"/>
            <w:b w:val="0"/>
            <w:i w:val="0"/>
            <w:color w:val="000000"/>
            <w:sz w:val="22"/>
            <w:lang w:val="hu-HU"/>
          </w:rPr>
          <w:t>III</w:t>
        </w:r>
        <w:r w:rsidR="00F10932">
          <w:rPr>
            <w:rFonts w:ascii="Times New Roman" w:hAnsi="Times New Roman"/>
            <w:b w:val="0"/>
            <w:i w:val="0"/>
            <w:color w:val="000000"/>
            <w:sz w:val="22"/>
            <w:lang w:val="hu-HU"/>
          </w:rPr>
          <w:t>. fázisú</w:t>
        </w:r>
      </w:smartTag>
      <w:r w:rsidRPr="00556B9B">
        <w:rPr>
          <w:rFonts w:ascii="Times New Roman" w:hAnsi="Times New Roman"/>
          <w:b w:val="0"/>
          <w:i w:val="0"/>
          <w:color w:val="000000"/>
          <w:sz w:val="22"/>
          <w:lang w:val="hu-HU"/>
        </w:rPr>
        <w:t xml:space="preserve"> vizsgálat elsődleges adatainak retrospektív elemzése során. Ezen retrospektív elemzés igazolta a „jobb, mint” hipotézist a Glivec esetén az IFN+Ara</w:t>
      </w:r>
      <w:r w:rsidRPr="00556B9B">
        <w:rPr>
          <w:rFonts w:ascii="Times New Roman" w:hAnsi="Times New Roman"/>
          <w:b w:val="0"/>
          <w:i w:val="0"/>
          <w:color w:val="000000"/>
          <w:sz w:val="22"/>
          <w:lang w:val="hu-HU"/>
        </w:rPr>
        <w:noBreakHyphen/>
        <w:t>C kezeléshez viszonyítva (p</w:t>
      </w:r>
      <w:r w:rsidR="00974495" w:rsidRPr="00556B9B">
        <w:rPr>
          <w:rFonts w:ascii="Times New Roman" w:hAnsi="Times New Roman"/>
          <w:b w:val="0"/>
          <w:i w:val="0"/>
          <w:color w:val="000000"/>
          <w:sz w:val="22"/>
          <w:lang w:val="hu-HU"/>
        </w:rPr>
        <w:t> </w:t>
      </w:r>
      <w:r w:rsidRPr="00556B9B">
        <w:rPr>
          <w:rFonts w:ascii="Times New Roman" w:hAnsi="Times New Roman"/>
          <w:b w:val="0"/>
          <w:i w:val="0"/>
          <w:color w:val="000000"/>
          <w:sz w:val="22"/>
          <w:lang w:val="hu-HU"/>
        </w:rPr>
        <w:t>&lt;</w:t>
      </w:r>
      <w:r w:rsidR="00974495" w:rsidRPr="00556B9B">
        <w:rPr>
          <w:rFonts w:ascii="Times New Roman" w:hAnsi="Times New Roman"/>
          <w:b w:val="0"/>
          <w:i w:val="0"/>
          <w:color w:val="000000"/>
          <w:sz w:val="22"/>
          <w:lang w:val="hu-HU"/>
        </w:rPr>
        <w:t> </w:t>
      </w:r>
      <w:r w:rsidRPr="00556B9B">
        <w:rPr>
          <w:rFonts w:ascii="Times New Roman" w:hAnsi="Times New Roman"/>
          <w:b w:val="0"/>
          <w:i w:val="0"/>
          <w:color w:val="000000"/>
          <w:sz w:val="22"/>
          <w:lang w:val="hu-HU"/>
        </w:rPr>
        <w:t>0,001) a</w:t>
      </w:r>
      <w:r w:rsidR="00125791" w:rsidRPr="00556B9B">
        <w:rPr>
          <w:rFonts w:ascii="Times New Roman" w:hAnsi="Times New Roman"/>
          <w:b w:val="0"/>
          <w:i w:val="0"/>
          <w:color w:val="000000"/>
          <w:sz w:val="22"/>
          <w:lang w:val="hu-HU"/>
        </w:rPr>
        <w:t xml:space="preserve"> teljes</w:t>
      </w:r>
      <w:r w:rsidRPr="00556B9B">
        <w:rPr>
          <w:rFonts w:ascii="Times New Roman" w:hAnsi="Times New Roman"/>
          <w:b w:val="0"/>
          <w:i w:val="0"/>
          <w:color w:val="000000"/>
          <w:sz w:val="22"/>
          <w:lang w:val="hu-HU"/>
        </w:rPr>
        <w:t xml:space="preserve"> túlélés tekintetében; 42 hónapon belül 47 (8,5%) Glivec</w:t>
      </w:r>
      <w:r w:rsidRPr="00556B9B">
        <w:rPr>
          <w:rFonts w:ascii="Times New Roman" w:hAnsi="Times New Roman"/>
          <w:b w:val="0"/>
          <w:i w:val="0"/>
          <w:color w:val="000000"/>
          <w:sz w:val="22"/>
          <w:lang w:val="hu-HU"/>
        </w:rPr>
        <w:noBreakHyphen/>
        <w:t>kezelést és 63 (19,4%) IFN+Ara</w:t>
      </w:r>
      <w:r w:rsidRPr="00556B9B">
        <w:rPr>
          <w:rFonts w:ascii="Times New Roman" w:hAnsi="Times New Roman"/>
          <w:b w:val="0"/>
          <w:i w:val="0"/>
          <w:color w:val="000000"/>
          <w:sz w:val="22"/>
          <w:lang w:val="hu-HU"/>
        </w:rPr>
        <w:noBreakHyphen/>
        <w:t>C kezelést kap</w:t>
      </w:r>
      <w:r w:rsidR="00125791" w:rsidRPr="00556B9B">
        <w:rPr>
          <w:rFonts w:ascii="Times New Roman" w:hAnsi="Times New Roman"/>
          <w:b w:val="0"/>
          <w:i w:val="0"/>
          <w:color w:val="000000"/>
          <w:sz w:val="22"/>
          <w:lang w:val="hu-HU"/>
        </w:rPr>
        <w:t>ott</w:t>
      </w:r>
      <w:r w:rsidRPr="00556B9B">
        <w:rPr>
          <w:rFonts w:ascii="Times New Roman" w:hAnsi="Times New Roman"/>
          <w:b w:val="0"/>
          <w:i w:val="0"/>
          <w:color w:val="000000"/>
          <w:sz w:val="22"/>
          <w:lang w:val="hu-HU"/>
        </w:rPr>
        <w:t xml:space="preserve"> beteg halt meg.</w:t>
      </w:r>
    </w:p>
    <w:p w14:paraId="59F46873" w14:textId="77777777" w:rsidR="00910FC8" w:rsidRPr="00556B9B" w:rsidRDefault="00910FC8">
      <w:pPr>
        <w:rPr>
          <w:color w:val="000000"/>
          <w:lang w:val="hu-HU"/>
        </w:rPr>
      </w:pPr>
    </w:p>
    <w:p w14:paraId="1057FA64" w14:textId="77777777" w:rsidR="00910FC8" w:rsidRPr="00556B9B" w:rsidRDefault="00910FC8">
      <w:pPr>
        <w:rPr>
          <w:color w:val="000000"/>
          <w:lang w:val="hu-HU"/>
        </w:rPr>
      </w:pPr>
      <w:r w:rsidRPr="00556B9B">
        <w:rPr>
          <w:color w:val="000000"/>
          <w:lang w:val="hu-HU"/>
        </w:rPr>
        <w:t>A Glivec</w:t>
      </w:r>
      <w:r w:rsidRPr="00556B9B">
        <w:rPr>
          <w:color w:val="000000"/>
          <w:lang w:val="hu-HU"/>
        </w:rPr>
        <w:noBreakHyphen/>
        <w:t>kezelésben részesülő betegek esetében a cytogenetikai és molekuláris válasz mértéke egyértelmű hatással volt a hosszú távú kimenet</w:t>
      </w:r>
      <w:r w:rsidR="00125791" w:rsidRPr="00556B9B">
        <w:rPr>
          <w:color w:val="000000"/>
          <w:lang w:val="hu-HU"/>
        </w:rPr>
        <w:t>el</w:t>
      </w:r>
      <w:r w:rsidRPr="00556B9B">
        <w:rPr>
          <w:color w:val="000000"/>
          <w:lang w:val="hu-HU"/>
        </w:rPr>
        <w:t xml:space="preserve">re. Míg a 12. hónapban komplett cytogenetikai választ (részleges cytogenetikai választ) mutató betegek körülbelül </w:t>
      </w:r>
      <w:r w:rsidR="008E0258" w:rsidRPr="00556B9B">
        <w:rPr>
          <w:color w:val="000000"/>
          <w:lang w:val="hu-HU"/>
        </w:rPr>
        <w:t>96</w:t>
      </w:r>
      <w:r w:rsidRPr="00556B9B">
        <w:rPr>
          <w:color w:val="000000"/>
          <w:lang w:val="hu-HU"/>
        </w:rPr>
        <w:t>%</w:t>
      </w:r>
      <w:r w:rsidRPr="00556B9B">
        <w:rPr>
          <w:color w:val="000000"/>
          <w:lang w:val="hu-HU"/>
        </w:rPr>
        <w:noBreakHyphen/>
        <w:t>a (93%</w:t>
      </w:r>
      <w:r w:rsidRPr="00556B9B">
        <w:rPr>
          <w:color w:val="000000"/>
          <w:lang w:val="hu-HU"/>
        </w:rPr>
        <w:noBreakHyphen/>
        <w:t xml:space="preserve">a) a </w:t>
      </w:r>
      <w:r w:rsidR="008E0258" w:rsidRPr="00556B9B">
        <w:rPr>
          <w:color w:val="000000"/>
          <w:lang w:val="hu-HU"/>
        </w:rPr>
        <w:t>84</w:t>
      </w:r>
      <w:r w:rsidRPr="00556B9B">
        <w:rPr>
          <w:color w:val="000000"/>
          <w:lang w:val="hu-HU"/>
        </w:rPr>
        <w:t>. hónapra nem progrediált akcelerált fázisba/blasztos krízisbe, addig a 12. hónapban nagyfokú cytogenetikai válasz nélküli betegeknek csak 81%</w:t>
      </w:r>
      <w:r w:rsidRPr="00556B9B">
        <w:rPr>
          <w:color w:val="000000"/>
          <w:lang w:val="hu-HU"/>
        </w:rPr>
        <w:noBreakHyphen/>
        <w:t>a nem progrediált előrehaladott CML</w:t>
      </w:r>
      <w:r w:rsidRPr="00556B9B">
        <w:rPr>
          <w:color w:val="000000"/>
          <w:lang w:val="hu-HU"/>
        </w:rPr>
        <w:noBreakHyphen/>
        <w:t xml:space="preserve">be a </w:t>
      </w:r>
      <w:r w:rsidR="008E0258" w:rsidRPr="00556B9B">
        <w:rPr>
          <w:color w:val="000000"/>
          <w:lang w:val="hu-HU"/>
        </w:rPr>
        <w:t>84</w:t>
      </w:r>
      <w:r w:rsidRPr="00556B9B">
        <w:rPr>
          <w:color w:val="000000"/>
          <w:lang w:val="hu-HU"/>
        </w:rPr>
        <w:t>. hónapra (p</w:t>
      </w:r>
      <w:r w:rsidR="00974495" w:rsidRPr="00556B9B">
        <w:rPr>
          <w:color w:val="000000"/>
          <w:lang w:val="hu-HU"/>
        </w:rPr>
        <w:t> </w:t>
      </w:r>
      <w:r w:rsidRPr="00556B9B">
        <w:rPr>
          <w:color w:val="000000"/>
          <w:lang w:val="hu-HU"/>
        </w:rPr>
        <w:t>&lt;</w:t>
      </w:r>
      <w:r w:rsidR="00974495" w:rsidRPr="00556B9B">
        <w:rPr>
          <w:color w:val="000000"/>
          <w:lang w:val="hu-HU"/>
        </w:rPr>
        <w:t> </w:t>
      </w:r>
      <w:r w:rsidRPr="00556B9B">
        <w:rPr>
          <w:color w:val="000000"/>
          <w:lang w:val="hu-HU"/>
        </w:rPr>
        <w:t>0,001 összesítve, p</w:t>
      </w:r>
      <w:r w:rsidR="00974495" w:rsidRPr="00556B9B">
        <w:rPr>
          <w:color w:val="000000"/>
          <w:lang w:val="hu-HU"/>
        </w:rPr>
        <w:t> </w:t>
      </w:r>
      <w:r w:rsidRPr="00556B9B">
        <w:rPr>
          <w:color w:val="000000"/>
          <w:lang w:val="hu-HU"/>
        </w:rPr>
        <w:t>=</w:t>
      </w:r>
      <w:r w:rsidR="00974495" w:rsidRPr="00556B9B">
        <w:rPr>
          <w:color w:val="000000"/>
          <w:lang w:val="hu-HU"/>
        </w:rPr>
        <w:t> </w:t>
      </w:r>
      <w:r w:rsidRPr="00556B9B">
        <w:rPr>
          <w:color w:val="000000"/>
          <w:lang w:val="hu-HU"/>
        </w:rPr>
        <w:t>0,2</w:t>
      </w:r>
      <w:r w:rsidR="002E66B4" w:rsidRPr="00556B9B">
        <w:rPr>
          <w:color w:val="000000"/>
          <w:lang w:val="hu-HU"/>
        </w:rPr>
        <w:t>5</w:t>
      </w:r>
      <w:r w:rsidRPr="00556B9B">
        <w:rPr>
          <w:color w:val="000000"/>
          <w:lang w:val="hu-HU"/>
        </w:rPr>
        <w:t xml:space="preserve"> a komplett cytogenetikai választ és részleges cytogenetikai választ mutató csoportok összehasonlítása esetén). A</w:t>
      </w:r>
      <w:r w:rsidR="00842204" w:rsidRPr="00556B9B">
        <w:rPr>
          <w:color w:val="000000"/>
          <w:lang w:val="hu-HU"/>
        </w:rPr>
        <w:t>zoknál a</w:t>
      </w:r>
      <w:r w:rsidRPr="00556B9B">
        <w:rPr>
          <w:color w:val="000000"/>
          <w:lang w:val="hu-HU"/>
        </w:rPr>
        <w:t xml:space="preserve"> betegek</w:t>
      </w:r>
      <w:r w:rsidR="00842204" w:rsidRPr="00556B9B">
        <w:rPr>
          <w:color w:val="000000"/>
          <w:lang w:val="hu-HU"/>
        </w:rPr>
        <w:t>nél</w:t>
      </w:r>
      <w:r w:rsidRPr="00556B9B">
        <w:rPr>
          <w:color w:val="000000"/>
          <w:lang w:val="hu-HU"/>
        </w:rPr>
        <w:t>, akik a 12. hónapban a Bcr</w:t>
      </w:r>
      <w:r w:rsidRPr="00556B9B">
        <w:rPr>
          <w:color w:val="000000"/>
          <w:lang w:val="hu-HU"/>
        </w:rPr>
        <w:noBreakHyphen/>
        <w:t xml:space="preserve">Abl transzkripció legalább 3 logaritmus értékű csökkenését mutatták, a progressziómentesség (akcelerált fázisba/blasztos krízisbe) fennmaradásának valószínűsége a </w:t>
      </w:r>
      <w:r w:rsidR="00842204" w:rsidRPr="00556B9B">
        <w:rPr>
          <w:color w:val="000000"/>
          <w:lang w:val="hu-HU"/>
        </w:rPr>
        <w:t>84</w:t>
      </w:r>
      <w:r w:rsidRPr="00556B9B">
        <w:rPr>
          <w:color w:val="000000"/>
          <w:lang w:val="hu-HU"/>
        </w:rPr>
        <w:t xml:space="preserve">. hónapban </w:t>
      </w:r>
      <w:r w:rsidR="00842204" w:rsidRPr="00556B9B">
        <w:rPr>
          <w:color w:val="000000"/>
          <w:lang w:val="hu-HU"/>
        </w:rPr>
        <w:t>99</w:t>
      </w:r>
      <w:r w:rsidRPr="00556B9B">
        <w:rPr>
          <w:color w:val="000000"/>
          <w:lang w:val="hu-HU"/>
        </w:rPr>
        <w:t>% volt. Hasonló eredményeket kaptak a 18 hónapos iránymutató analízis során.</w:t>
      </w:r>
    </w:p>
    <w:p w14:paraId="1A2D9669" w14:textId="77777777" w:rsidR="00910FC8" w:rsidRPr="00556B9B" w:rsidRDefault="00910FC8">
      <w:pPr>
        <w:pStyle w:val="Header"/>
        <w:spacing w:line="240" w:lineRule="auto"/>
        <w:rPr>
          <w:rFonts w:ascii="Times New Roman" w:hAnsi="Times New Roman"/>
          <w:color w:val="000000"/>
          <w:sz w:val="22"/>
          <w:lang w:val="hu-HU"/>
        </w:rPr>
      </w:pPr>
    </w:p>
    <w:p w14:paraId="61F009F1" w14:textId="77777777" w:rsidR="00910FC8" w:rsidRPr="00556B9B" w:rsidRDefault="00910FC8">
      <w:pPr>
        <w:pStyle w:val="Header"/>
        <w:spacing w:line="240" w:lineRule="auto"/>
        <w:rPr>
          <w:rFonts w:ascii="Times New Roman" w:hAnsi="Times New Roman"/>
          <w:color w:val="000000"/>
          <w:sz w:val="22"/>
          <w:lang w:val="hu-HU"/>
        </w:rPr>
      </w:pPr>
      <w:r w:rsidRPr="00556B9B">
        <w:rPr>
          <w:rFonts w:ascii="Times New Roman" w:hAnsi="Times New Roman"/>
          <w:color w:val="000000"/>
          <w:sz w:val="22"/>
          <w:lang w:val="hu-HU"/>
        </w:rPr>
        <w:t>Ezen vizsgálatban lehetőség volt a dózis napi 400 mg</w:t>
      </w:r>
      <w:r w:rsidRPr="00556B9B">
        <w:rPr>
          <w:rFonts w:ascii="Times New Roman" w:hAnsi="Times New Roman"/>
          <w:color w:val="000000"/>
          <w:sz w:val="22"/>
          <w:lang w:val="hu-HU"/>
        </w:rPr>
        <w:noBreakHyphen/>
        <w:t>ról napi 600 mg</w:t>
      </w:r>
      <w:r w:rsidRPr="00556B9B">
        <w:rPr>
          <w:rFonts w:ascii="Times New Roman" w:hAnsi="Times New Roman"/>
          <w:color w:val="000000"/>
          <w:sz w:val="22"/>
          <w:lang w:val="hu-HU"/>
        </w:rPr>
        <w:noBreakHyphen/>
        <w:t>ra, majd napi 600 mg</w:t>
      </w:r>
      <w:r w:rsidRPr="00556B9B">
        <w:rPr>
          <w:rFonts w:ascii="Times New Roman" w:hAnsi="Times New Roman"/>
          <w:color w:val="000000"/>
          <w:sz w:val="22"/>
          <w:lang w:val="hu-HU"/>
        </w:rPr>
        <w:noBreakHyphen/>
        <w:t>ról napi 800 mg</w:t>
      </w:r>
      <w:r w:rsidRPr="00556B9B">
        <w:rPr>
          <w:rFonts w:ascii="Times New Roman" w:hAnsi="Times New Roman"/>
          <w:color w:val="000000"/>
          <w:sz w:val="22"/>
          <w:lang w:val="hu-HU"/>
        </w:rPr>
        <w:noBreakHyphen/>
        <w:t>ra történő emelésére. A 42 hónapos nyomonkövetés után 11 betegben (4 héten belül) a cytogenetikai válasz bizonyítottan megszűnt. Ezen 11 beteg közül 4 beteg gyógyszeradagját emelték napi 800 mg</w:t>
      </w:r>
      <w:r w:rsidRPr="00556B9B">
        <w:rPr>
          <w:rFonts w:ascii="Times New Roman" w:hAnsi="Times New Roman"/>
          <w:color w:val="000000"/>
          <w:sz w:val="22"/>
          <w:lang w:val="hu-HU"/>
        </w:rPr>
        <w:noBreakHyphen/>
        <w:t>ra, közülük kettőnél újra megjelent a cytogenetikai válasz (1 részleges, 1 komplett, az utóbbi molekuláris választ is mutatott), míg azon 7 beteg közül, akiknek nem emelték az adagját, csak egynél alakult ki ismét komplett cytogenetikai válasz. Bizonyos mellékhatások előfordulása gyakoribb volt azon 40 betegben, akiknek a napi adagját 800 mg</w:t>
      </w:r>
      <w:r w:rsidRPr="00556B9B">
        <w:rPr>
          <w:rFonts w:ascii="Times New Roman" w:hAnsi="Times New Roman"/>
          <w:color w:val="000000"/>
          <w:sz w:val="22"/>
          <w:lang w:val="hu-HU"/>
        </w:rPr>
        <w:noBreakHyphen/>
        <w:t>ra emelték, a dózisemelést megelőző betegmintához viszonyítva (n=551). A gyakoribb mellékhatások közé tartoznak a gastrointestinalis vérzések, a conjunctivitis és a transzaminázszint, illetve bilirubinszint emelkedése. Más mellékhatásról azonos vagy kisebb gyakorisággal számoltak be.</w:t>
      </w:r>
    </w:p>
    <w:p w14:paraId="50BA4D8C" w14:textId="77777777" w:rsidR="00910FC8" w:rsidRPr="00556B9B" w:rsidRDefault="00910FC8">
      <w:pPr>
        <w:tabs>
          <w:tab w:val="left" w:pos="8505"/>
        </w:tabs>
        <w:spacing w:line="240" w:lineRule="auto"/>
        <w:rPr>
          <w:color w:val="000000"/>
          <w:lang w:val="hu-HU"/>
        </w:rPr>
      </w:pPr>
    </w:p>
    <w:p w14:paraId="163DDC63" w14:textId="77777777" w:rsidR="00910FC8" w:rsidRPr="00556B9B" w:rsidRDefault="00910FC8">
      <w:pPr>
        <w:spacing w:line="240" w:lineRule="auto"/>
        <w:rPr>
          <w:color w:val="000000"/>
          <w:lang w:val="hu-HU"/>
        </w:rPr>
      </w:pPr>
      <w:r w:rsidRPr="00556B9B">
        <w:rPr>
          <w:i/>
          <w:color w:val="000000"/>
          <w:lang w:val="hu-HU"/>
        </w:rPr>
        <w:t>Krónikus fázis, IFN</w:t>
      </w:r>
      <w:r w:rsidRPr="00556B9B">
        <w:rPr>
          <w:i/>
          <w:color w:val="000000"/>
          <w:lang w:val="hu-HU"/>
        </w:rPr>
        <w:noBreakHyphen/>
        <w:t>hatástalanság</w:t>
      </w:r>
      <w:r w:rsidRPr="00556B9B">
        <w:rPr>
          <w:color w:val="000000"/>
          <w:lang w:val="hu-HU"/>
        </w:rPr>
        <w:t xml:space="preserve">: 532 felnőtt beteget kezeltek 400 mg kezdő dózissal. A betegek három nagy: hematológiai hatástalanság (29%), cytogenetikai hatástalanság (35%) vagy IFN intolerancia (36%) csoportra oszlottak. A betegek előzetesen 14 hónapon (medián idő) át kaptak IFN kezelést </w:t>
      </w:r>
      <w:r w:rsidRPr="00556B9B">
        <w:rPr>
          <w:color w:val="000000"/>
          <w:lang w:val="hu-HU"/>
        </w:rPr>
        <w:sym w:font="Symbol" w:char="F0B3"/>
      </w:r>
      <w:r w:rsidRPr="00556B9B">
        <w:rPr>
          <w:color w:val="000000"/>
          <w:lang w:val="hu-HU"/>
        </w:rPr>
        <w:t> 25 x 10</w:t>
      </w:r>
      <w:r w:rsidRPr="00556B9B">
        <w:rPr>
          <w:color w:val="000000"/>
          <w:vertAlign w:val="superscript"/>
          <w:lang w:val="hu-HU"/>
        </w:rPr>
        <w:t>6</w:t>
      </w:r>
      <w:r w:rsidRPr="00556B9B">
        <w:rPr>
          <w:color w:val="000000"/>
          <w:lang w:val="hu-HU"/>
        </w:rPr>
        <w:t xml:space="preserve">/l NE/hét adagban, és valamennyien késői krónikus fázisban voltak, a diagnózistól számított (medián) 32 hónapban. A primer hatékonysági mutató a vizsgálatban a </w:t>
      </w:r>
      <w:r w:rsidR="000B2EBD" w:rsidRPr="00556B9B">
        <w:rPr>
          <w:color w:val="000000"/>
          <w:lang w:val="hu-HU"/>
        </w:rPr>
        <w:t>nagyfokú</w:t>
      </w:r>
      <w:r w:rsidRPr="00556B9B">
        <w:rPr>
          <w:color w:val="000000"/>
          <w:lang w:val="hu-HU"/>
        </w:rPr>
        <w:t xml:space="preserve"> cytogenetikai válasz volt (komplett + részleges válasz: 0–35% Ph+ metafázis a csontvelőben).</w:t>
      </w:r>
    </w:p>
    <w:p w14:paraId="5E3C845A" w14:textId="77777777" w:rsidR="00910FC8" w:rsidRPr="00556B9B" w:rsidRDefault="00910FC8">
      <w:pPr>
        <w:spacing w:line="240" w:lineRule="auto"/>
        <w:rPr>
          <w:color w:val="000000"/>
          <w:lang w:val="hu-HU"/>
        </w:rPr>
      </w:pPr>
    </w:p>
    <w:p w14:paraId="52AE47FC" w14:textId="77777777" w:rsidR="00910FC8" w:rsidRPr="00556B9B" w:rsidRDefault="00910FC8">
      <w:pPr>
        <w:spacing w:line="240" w:lineRule="auto"/>
        <w:rPr>
          <w:color w:val="000000"/>
          <w:lang w:val="hu-HU"/>
        </w:rPr>
      </w:pPr>
      <w:r w:rsidRPr="00556B9B">
        <w:rPr>
          <w:color w:val="000000"/>
          <w:lang w:val="hu-HU"/>
        </w:rPr>
        <w:t>Ebben a vizsgálatban a betegek 65%</w:t>
      </w:r>
      <w:r w:rsidRPr="00556B9B">
        <w:rPr>
          <w:color w:val="000000"/>
          <w:lang w:val="hu-HU"/>
        </w:rPr>
        <w:noBreakHyphen/>
        <w:t xml:space="preserve">a elérte a </w:t>
      </w:r>
      <w:r w:rsidR="00125791" w:rsidRPr="00556B9B">
        <w:rPr>
          <w:color w:val="000000"/>
          <w:lang w:val="hu-HU"/>
        </w:rPr>
        <w:t>nagyfokú</w:t>
      </w:r>
      <w:r w:rsidRPr="00556B9B">
        <w:rPr>
          <w:color w:val="000000"/>
          <w:lang w:val="hu-HU"/>
        </w:rPr>
        <w:t xml:space="preserve"> cytogenetikai választ, ami a betegek 53%</w:t>
      </w:r>
      <w:r w:rsidRPr="00556B9B">
        <w:rPr>
          <w:color w:val="000000"/>
          <w:lang w:val="hu-HU"/>
        </w:rPr>
        <w:noBreakHyphen/>
        <w:t>ában (megerősített 43%</w:t>
      </w:r>
      <w:r w:rsidRPr="00556B9B">
        <w:rPr>
          <w:color w:val="000000"/>
          <w:lang w:val="hu-HU"/>
        </w:rPr>
        <w:noBreakHyphen/>
        <w:t>ban) volt komplett (</w:t>
      </w:r>
      <w:r w:rsidR="00053E70" w:rsidRPr="00556B9B">
        <w:rPr>
          <w:color w:val="000000"/>
          <w:lang w:val="hu-HU"/>
        </w:rPr>
        <w:t>3</w:t>
      </w:r>
      <w:r w:rsidRPr="00556B9B">
        <w:rPr>
          <w:color w:val="000000"/>
          <w:lang w:val="hu-HU"/>
        </w:rPr>
        <w:t>. táblázat). Komplett hematológiai válasz a betegek 95%</w:t>
      </w:r>
      <w:r w:rsidRPr="00556B9B">
        <w:rPr>
          <w:color w:val="000000"/>
          <w:lang w:val="hu-HU"/>
        </w:rPr>
        <w:noBreakHyphen/>
        <w:t>a esetében következett be.</w:t>
      </w:r>
    </w:p>
    <w:p w14:paraId="030C7FD8" w14:textId="77777777" w:rsidR="00910FC8" w:rsidRPr="00556B9B" w:rsidRDefault="00910FC8">
      <w:pPr>
        <w:spacing w:line="240" w:lineRule="auto"/>
        <w:rPr>
          <w:color w:val="000000"/>
          <w:lang w:val="hu-HU"/>
        </w:rPr>
      </w:pPr>
    </w:p>
    <w:p w14:paraId="11912729" w14:textId="77777777" w:rsidR="00910FC8" w:rsidRPr="00556B9B" w:rsidRDefault="00910FC8">
      <w:pPr>
        <w:spacing w:line="240" w:lineRule="auto"/>
        <w:rPr>
          <w:color w:val="000000"/>
          <w:lang w:val="hu-HU"/>
        </w:rPr>
      </w:pPr>
      <w:r w:rsidRPr="00556B9B">
        <w:rPr>
          <w:i/>
          <w:color w:val="000000"/>
          <w:lang w:val="hu-HU"/>
        </w:rPr>
        <w:lastRenderedPageBreak/>
        <w:t>Akcelerált fázis</w:t>
      </w:r>
      <w:r w:rsidRPr="00556B9B">
        <w:rPr>
          <w:color w:val="000000"/>
          <w:lang w:val="hu-HU"/>
        </w:rPr>
        <w:t>: 235 akcelerált fázisban levő felnőtt beteget vontak be a vizsgálatba. Az első 77 beteg kezdő adagja 400 mg volt, a protokollt később módosították a magasabb dózisok engedélyezése érdekében, így a további 158 beteg kezdő adagja 600 mg lett.</w:t>
      </w:r>
    </w:p>
    <w:p w14:paraId="08981163" w14:textId="77777777" w:rsidR="00910FC8" w:rsidRPr="00556B9B" w:rsidRDefault="00910FC8">
      <w:pPr>
        <w:spacing w:line="240" w:lineRule="auto"/>
        <w:rPr>
          <w:color w:val="000000"/>
          <w:lang w:val="hu-HU"/>
        </w:rPr>
      </w:pPr>
    </w:p>
    <w:p w14:paraId="4CDFC401" w14:textId="77777777" w:rsidR="00910FC8" w:rsidRPr="006D0F5F" w:rsidRDefault="00910FC8">
      <w:pPr>
        <w:spacing w:line="240" w:lineRule="auto"/>
        <w:rPr>
          <w:color w:val="000000"/>
          <w:lang w:val="hu-HU"/>
        </w:rPr>
      </w:pPr>
      <w:r w:rsidRPr="00556B9B">
        <w:rPr>
          <w:color w:val="000000"/>
          <w:lang w:val="hu-HU"/>
        </w:rPr>
        <w:t xml:space="preserve">A primer hatásossági mutató a hematológiai válaszarány volt: melyet vagy a komplett hematológiai válasz, a leukaemia hiánya (pl. nem volt blastsejt a vérben és a csontvelőben, de nem volt tökéletes normalizálódás a perifériás vérben, mint a komplett válaszok </w:t>
      </w:r>
      <w:r w:rsidRPr="006D0F5F">
        <w:rPr>
          <w:color w:val="000000"/>
          <w:lang w:val="hu-HU"/>
        </w:rPr>
        <w:t>esetén), vagy a krónikus CML fázisba való visszatérés jelentett. Igazolt hematológiai válasz a betegek 71,5%</w:t>
      </w:r>
      <w:r w:rsidRPr="006D0F5F">
        <w:rPr>
          <w:color w:val="000000"/>
          <w:lang w:val="hu-HU"/>
        </w:rPr>
        <w:noBreakHyphen/>
        <w:t>ában volt (</w:t>
      </w:r>
      <w:r w:rsidR="00053E70" w:rsidRPr="006D0F5F">
        <w:rPr>
          <w:color w:val="000000"/>
          <w:lang w:val="hu-HU"/>
        </w:rPr>
        <w:t>3</w:t>
      </w:r>
      <w:r w:rsidRPr="006D0F5F">
        <w:rPr>
          <w:color w:val="000000"/>
          <w:lang w:val="hu-HU"/>
        </w:rPr>
        <w:t>. táblázat). Fontos tény, hogy a betegek 27,7%</w:t>
      </w:r>
      <w:r w:rsidRPr="006D0F5F">
        <w:rPr>
          <w:color w:val="000000"/>
          <w:lang w:val="hu-HU"/>
        </w:rPr>
        <w:noBreakHyphen/>
        <w:t>a elért jelentős cytogenetikai választ is, ami a betegek 20,4%-ában (megerősítetten 16%</w:t>
      </w:r>
      <w:r w:rsidRPr="006D0F5F">
        <w:rPr>
          <w:color w:val="000000"/>
          <w:lang w:val="hu-HU"/>
        </w:rPr>
        <w:noBreakHyphen/>
        <w:t>ban) komplett volt. A 600 mg</w:t>
      </w:r>
      <w:r w:rsidRPr="006D0F5F">
        <w:rPr>
          <w:color w:val="000000"/>
          <w:lang w:val="hu-HU"/>
        </w:rPr>
        <w:noBreakHyphen/>
        <w:t>mal kezelt betegekben a progressziómentes túlélés, ill. az általános túlélés jelenlegi becsült középértékei 22,9 és 42,5 hónap.</w:t>
      </w:r>
    </w:p>
    <w:p w14:paraId="3F6F2751" w14:textId="77777777" w:rsidR="00910FC8" w:rsidRPr="006D0F5F" w:rsidRDefault="00910FC8">
      <w:pPr>
        <w:spacing w:line="240" w:lineRule="auto"/>
        <w:rPr>
          <w:color w:val="000000"/>
          <w:lang w:val="hu-HU"/>
        </w:rPr>
      </w:pPr>
    </w:p>
    <w:p w14:paraId="264416CF" w14:textId="5946E5A4" w:rsidR="00910FC8" w:rsidRPr="006D0F5F" w:rsidRDefault="00910FC8">
      <w:pPr>
        <w:spacing w:line="240" w:lineRule="auto"/>
        <w:rPr>
          <w:color w:val="000000"/>
          <w:lang w:val="hu-HU"/>
        </w:rPr>
      </w:pPr>
      <w:r w:rsidRPr="006D0F5F">
        <w:rPr>
          <w:i/>
          <w:color w:val="000000"/>
          <w:lang w:val="hu-HU"/>
        </w:rPr>
        <w:t>Myeloid blastos krízis</w:t>
      </w:r>
      <w:r w:rsidRPr="006D0F5F">
        <w:rPr>
          <w:color w:val="000000"/>
          <w:lang w:val="hu-HU"/>
        </w:rPr>
        <w:t>: 260 myeloid blastos krízis fázisban levő beteget vontak be a vizsgálatba. 95 (37%) beteg részesült korábban kemoterápiában az akcelerált fázis vagy a blastos krízis kezelésére („előkezelt betegek”), míg 165 (63%) beteg nem kapott kezelést („kezeletlen betegek”). Az első 37 beteg kezdő dózisa 400 mg volt, a protokollt később módosították a magasabb dózisok engedélyezése érdekében, így a további 223 beteg kezdő adagja 600 mg lett.</w:t>
      </w:r>
    </w:p>
    <w:p w14:paraId="1D2BC883" w14:textId="77777777" w:rsidR="00910FC8" w:rsidRPr="006D0F5F" w:rsidRDefault="00910FC8">
      <w:pPr>
        <w:pStyle w:val="WW-BodyText2"/>
        <w:rPr>
          <w:color w:val="000000"/>
          <w:sz w:val="22"/>
        </w:rPr>
      </w:pPr>
    </w:p>
    <w:p w14:paraId="33B7FDBE" w14:textId="77777777" w:rsidR="00910FC8" w:rsidRPr="00556B9B" w:rsidRDefault="00910FC8">
      <w:pPr>
        <w:pStyle w:val="WW-BodyText2"/>
        <w:rPr>
          <w:color w:val="000000"/>
          <w:sz w:val="22"/>
        </w:rPr>
      </w:pPr>
      <w:r w:rsidRPr="006D0F5F">
        <w:rPr>
          <w:color w:val="000000"/>
          <w:sz w:val="22"/>
        </w:rPr>
        <w:t>A primer hatékonysági mutató – ugyanazokat a kritériumokat alkalmazva, mint az akcelerált fázisú vizsgálatban – a hematológiai válaszarány volt: melyet vagy a komplett hematológiai válasz</w:t>
      </w:r>
      <w:r w:rsidRPr="00556B9B">
        <w:rPr>
          <w:color w:val="000000"/>
          <w:sz w:val="22"/>
        </w:rPr>
        <w:t>, a leukaemia hiánya, vagy a krónikus CML fázisba való visszatérés jelentett. Ebben a vizsgálatban a betegek 31%-a elért hematológiai választ (a kezeletlen betegek 36%</w:t>
      </w:r>
      <w:r w:rsidRPr="00556B9B">
        <w:rPr>
          <w:color w:val="000000"/>
          <w:sz w:val="22"/>
        </w:rPr>
        <w:noBreakHyphen/>
        <w:t>a, az előkezeltek 22%</w:t>
      </w:r>
      <w:r w:rsidRPr="00556B9B">
        <w:rPr>
          <w:color w:val="000000"/>
          <w:sz w:val="22"/>
        </w:rPr>
        <w:noBreakHyphen/>
        <w:t>a). A válaszarány a 600 mg dózissal kezelt betegek körében magasabb (33%) volt, mint a 400 mg</w:t>
      </w:r>
      <w:r w:rsidRPr="00556B9B">
        <w:rPr>
          <w:color w:val="000000"/>
          <w:sz w:val="22"/>
        </w:rPr>
        <w:noBreakHyphen/>
        <w:t>mal kezeltekében (16%, p = 0,0220). A jelenleg becsült átlagos túlélés 7,7, ill. 4,7 hónap volt a korábban kezeletlen, ill. előkezelt betegekben.</w:t>
      </w:r>
    </w:p>
    <w:p w14:paraId="348E25AF" w14:textId="77777777" w:rsidR="00910FC8" w:rsidRPr="00556B9B" w:rsidRDefault="00910FC8">
      <w:pPr>
        <w:pStyle w:val="WW-BodyText2"/>
        <w:rPr>
          <w:color w:val="000000"/>
          <w:sz w:val="22"/>
        </w:rPr>
      </w:pPr>
    </w:p>
    <w:p w14:paraId="4C48853D" w14:textId="0FE4A52A" w:rsidR="00910FC8" w:rsidRPr="00556B9B" w:rsidRDefault="00910FC8">
      <w:pPr>
        <w:spacing w:line="240" w:lineRule="auto"/>
        <w:rPr>
          <w:color w:val="000000"/>
          <w:lang w:val="hu-HU"/>
        </w:rPr>
      </w:pPr>
      <w:r w:rsidRPr="006D0F5F">
        <w:rPr>
          <w:i/>
          <w:color w:val="000000"/>
          <w:lang w:val="hu-HU"/>
        </w:rPr>
        <w:t>Lymphoid blastos krízis</w:t>
      </w:r>
      <w:r w:rsidRPr="006D0F5F">
        <w:rPr>
          <w:color w:val="000000"/>
          <w:lang w:val="hu-HU"/>
        </w:rPr>
        <w:t>: korlátozott</w:t>
      </w:r>
      <w:r w:rsidRPr="00556B9B">
        <w:rPr>
          <w:color w:val="000000"/>
          <w:lang w:val="hu-HU"/>
        </w:rPr>
        <w:t xml:space="preserve"> számú beteget vontak be </w:t>
      </w:r>
      <w:r w:rsidR="000B2EBD" w:rsidRPr="00556B9B">
        <w:rPr>
          <w:color w:val="000000"/>
          <w:lang w:val="hu-HU"/>
        </w:rPr>
        <w:t>f</w:t>
      </w:r>
      <w:r w:rsidRPr="00556B9B">
        <w:rPr>
          <w:color w:val="000000"/>
          <w:lang w:val="hu-HU"/>
        </w:rPr>
        <w:t>ázis I. vizsgálatokba (n = 10). A hematológiai válaszarány 70%, időtartama pedig 2–3 hónap volt.</w:t>
      </w:r>
    </w:p>
    <w:p w14:paraId="152C46C3" w14:textId="77777777" w:rsidR="00910FC8" w:rsidRPr="00556B9B" w:rsidRDefault="00910FC8">
      <w:pPr>
        <w:spacing w:line="240" w:lineRule="auto"/>
        <w:rPr>
          <w:color w:val="000000"/>
          <w:lang w:val="hu-HU"/>
        </w:rPr>
      </w:pPr>
    </w:p>
    <w:p w14:paraId="5EA352E5" w14:textId="77777777" w:rsidR="00910FC8" w:rsidRPr="00556B9B" w:rsidRDefault="00053E70" w:rsidP="005C6E7A">
      <w:pPr>
        <w:keepNext/>
        <w:tabs>
          <w:tab w:val="left" w:pos="1134"/>
        </w:tabs>
        <w:suppressAutoHyphens w:val="0"/>
        <w:spacing w:line="240" w:lineRule="auto"/>
        <w:rPr>
          <w:b/>
          <w:color w:val="000000"/>
          <w:lang w:val="hu-HU"/>
        </w:rPr>
      </w:pPr>
      <w:r w:rsidRPr="00556B9B">
        <w:rPr>
          <w:b/>
          <w:color w:val="000000"/>
          <w:lang w:val="hu-HU"/>
        </w:rPr>
        <w:lastRenderedPageBreak/>
        <w:t>3</w:t>
      </w:r>
      <w:r w:rsidR="00910FC8" w:rsidRPr="00556B9B">
        <w:rPr>
          <w:b/>
          <w:color w:val="000000"/>
          <w:lang w:val="hu-HU"/>
        </w:rPr>
        <w:t>. táblázat</w:t>
      </w:r>
      <w:r w:rsidR="00910FC8" w:rsidRPr="00556B9B">
        <w:rPr>
          <w:b/>
          <w:color w:val="000000"/>
          <w:lang w:val="hu-HU"/>
        </w:rPr>
        <w:tab/>
        <w:t>Terápiás válasz a felnőttek bevonásával végzett CML klinikai vizsgálatokban</w:t>
      </w:r>
    </w:p>
    <w:p w14:paraId="3AB013E7" w14:textId="77777777" w:rsidR="00910FC8" w:rsidRPr="00556B9B" w:rsidRDefault="00910FC8" w:rsidP="005C6E7A">
      <w:pPr>
        <w:keepNext/>
        <w:suppressAutoHyphens w:val="0"/>
        <w:spacing w:line="240" w:lineRule="auto"/>
        <w:rPr>
          <w:color w:val="000000"/>
          <w:lang w:val="hu-HU"/>
        </w:rPr>
      </w:pPr>
    </w:p>
    <w:tbl>
      <w:tblPr>
        <w:tblW w:w="9356" w:type="dxa"/>
        <w:tblInd w:w="-141" w:type="dxa"/>
        <w:tblLayout w:type="fixed"/>
        <w:tblCellMar>
          <w:left w:w="0" w:type="dxa"/>
          <w:right w:w="0" w:type="dxa"/>
        </w:tblCellMar>
        <w:tblLook w:val="0000" w:firstRow="0" w:lastRow="0" w:firstColumn="0" w:lastColumn="0" w:noHBand="0" w:noVBand="0"/>
      </w:tblPr>
      <w:tblGrid>
        <w:gridCol w:w="3367"/>
        <w:gridCol w:w="1885"/>
        <w:gridCol w:w="1889"/>
        <w:gridCol w:w="2215"/>
      </w:tblGrid>
      <w:tr w:rsidR="00B3525B" w:rsidRPr="00556B9B" w14:paraId="72F0D8B9" w14:textId="77777777" w:rsidTr="005C6E7A">
        <w:trPr>
          <w:cantSplit/>
        </w:trPr>
        <w:tc>
          <w:tcPr>
            <w:tcW w:w="3367" w:type="dxa"/>
            <w:tcBorders>
              <w:top w:val="single" w:sz="4" w:space="0" w:color="auto"/>
              <w:left w:val="single" w:sz="4" w:space="0" w:color="auto"/>
              <w:bottom w:val="single" w:sz="4" w:space="0" w:color="auto"/>
              <w:right w:val="single" w:sz="4" w:space="0" w:color="auto"/>
            </w:tcBorders>
          </w:tcPr>
          <w:p w14:paraId="0FF8504D" w14:textId="77777777" w:rsidR="00910FC8" w:rsidRPr="00556B9B" w:rsidRDefault="00910FC8" w:rsidP="005C6E7A">
            <w:pPr>
              <w:keepNext/>
              <w:suppressAutoHyphens w:val="0"/>
              <w:spacing w:line="240" w:lineRule="auto"/>
              <w:jc w:val="center"/>
              <w:rPr>
                <w:color w:val="000000"/>
                <w:lang w:val="hu-HU"/>
              </w:rPr>
            </w:pPr>
          </w:p>
        </w:tc>
        <w:tc>
          <w:tcPr>
            <w:tcW w:w="1885" w:type="dxa"/>
            <w:tcBorders>
              <w:top w:val="single" w:sz="4" w:space="0" w:color="auto"/>
              <w:left w:val="single" w:sz="4" w:space="0" w:color="auto"/>
              <w:bottom w:val="single" w:sz="4" w:space="0" w:color="auto"/>
              <w:right w:val="single" w:sz="4" w:space="0" w:color="auto"/>
            </w:tcBorders>
          </w:tcPr>
          <w:p w14:paraId="442D431C"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0110 vizsgálat</w:t>
            </w:r>
          </w:p>
          <w:p w14:paraId="1774584D"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37 hónap adata</w:t>
            </w:r>
          </w:p>
          <w:p w14:paraId="656C2E41"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krónikus fázis IFN</w:t>
            </w:r>
            <w:r w:rsidRPr="00556B9B">
              <w:rPr>
                <w:color w:val="000000"/>
                <w:lang w:val="hu-HU"/>
              </w:rPr>
              <w:noBreakHyphen/>
              <w:t>hatástalanság</w:t>
            </w:r>
          </w:p>
          <w:p w14:paraId="02375ADE"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(n = 532)</w:t>
            </w:r>
          </w:p>
        </w:tc>
        <w:tc>
          <w:tcPr>
            <w:tcW w:w="1889" w:type="dxa"/>
            <w:tcBorders>
              <w:top w:val="single" w:sz="4" w:space="0" w:color="auto"/>
              <w:left w:val="single" w:sz="4" w:space="0" w:color="auto"/>
              <w:bottom w:val="single" w:sz="4" w:space="0" w:color="auto"/>
              <w:right w:val="single" w:sz="4" w:space="0" w:color="auto"/>
            </w:tcBorders>
          </w:tcPr>
          <w:p w14:paraId="20A5B5AA"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0109 vizsgálat</w:t>
            </w:r>
          </w:p>
          <w:p w14:paraId="10370B63"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40,5 hónap adata</w:t>
            </w:r>
          </w:p>
          <w:p w14:paraId="2ABC8A2A"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akcelerált fázis</w:t>
            </w:r>
          </w:p>
          <w:p w14:paraId="1E0D45C0"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(n = 235)</w:t>
            </w:r>
          </w:p>
        </w:tc>
        <w:tc>
          <w:tcPr>
            <w:tcW w:w="2215" w:type="dxa"/>
            <w:tcBorders>
              <w:top w:val="single" w:sz="4" w:space="0" w:color="auto"/>
              <w:left w:val="single" w:sz="4" w:space="0" w:color="auto"/>
              <w:bottom w:val="single" w:sz="4" w:space="0" w:color="auto"/>
              <w:right w:val="single" w:sz="4" w:space="0" w:color="auto"/>
            </w:tcBorders>
          </w:tcPr>
          <w:p w14:paraId="7E399E14"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0102 vizsgálat</w:t>
            </w:r>
          </w:p>
          <w:p w14:paraId="0372627A"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38 hónap adata</w:t>
            </w:r>
          </w:p>
          <w:p w14:paraId="56388383"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myeloid blasztos krízis</w:t>
            </w:r>
          </w:p>
          <w:p w14:paraId="511A2456"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(n = 260)</w:t>
            </w:r>
          </w:p>
        </w:tc>
      </w:tr>
      <w:tr w:rsidR="00B3525B" w:rsidRPr="00556B9B" w14:paraId="58F0ADB1" w14:textId="77777777" w:rsidTr="005C6E7A">
        <w:trPr>
          <w:cantSplit/>
        </w:trPr>
        <w:tc>
          <w:tcPr>
            <w:tcW w:w="3367" w:type="dxa"/>
            <w:tcBorders>
              <w:top w:val="single" w:sz="4" w:space="0" w:color="auto"/>
              <w:left w:val="single" w:sz="4" w:space="0" w:color="auto"/>
              <w:bottom w:val="single" w:sz="4" w:space="0" w:color="auto"/>
              <w:right w:val="single" w:sz="4" w:space="0" w:color="auto"/>
            </w:tcBorders>
          </w:tcPr>
          <w:p w14:paraId="1CB7171D" w14:textId="77777777" w:rsidR="00910FC8" w:rsidRPr="00556B9B" w:rsidRDefault="00910FC8" w:rsidP="005C6E7A">
            <w:pPr>
              <w:keepNext/>
              <w:suppressAutoHyphens w:val="0"/>
              <w:spacing w:line="240" w:lineRule="auto"/>
              <w:rPr>
                <w:color w:val="000000"/>
                <w:lang w:val="hu-HU"/>
              </w:rPr>
            </w:pPr>
          </w:p>
        </w:tc>
        <w:tc>
          <w:tcPr>
            <w:tcW w:w="5989" w:type="dxa"/>
            <w:gridSpan w:val="3"/>
            <w:tcBorders>
              <w:top w:val="single" w:sz="4" w:space="0" w:color="auto"/>
              <w:left w:val="single" w:sz="4" w:space="0" w:color="auto"/>
              <w:bottom w:val="single" w:sz="4" w:space="0" w:color="auto"/>
              <w:right w:val="single" w:sz="4" w:space="0" w:color="auto"/>
            </w:tcBorders>
          </w:tcPr>
          <w:p w14:paraId="36FE6836"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a betegek%</w:t>
            </w:r>
            <w:r w:rsidRPr="00556B9B">
              <w:rPr>
                <w:color w:val="000000"/>
                <w:lang w:val="hu-HU"/>
              </w:rPr>
              <w:noBreakHyphen/>
              <w:t>a (= CI</w:t>
            </w:r>
            <w:r w:rsidRPr="00556B9B">
              <w:rPr>
                <w:color w:val="000000"/>
                <w:vertAlign w:val="subscript"/>
                <w:lang w:val="hu-HU"/>
              </w:rPr>
              <w:t>95%</w:t>
            </w:r>
            <w:r w:rsidRPr="00556B9B">
              <w:rPr>
                <w:color w:val="000000"/>
                <w:lang w:val="hu-HU"/>
              </w:rPr>
              <w:t>)</w:t>
            </w:r>
          </w:p>
        </w:tc>
      </w:tr>
      <w:tr w:rsidR="00910FC8" w:rsidRPr="00556B9B" w14:paraId="58388A29" w14:textId="77777777" w:rsidTr="005C6E7A">
        <w:trPr>
          <w:cantSplit/>
        </w:trPr>
        <w:tc>
          <w:tcPr>
            <w:tcW w:w="3367" w:type="dxa"/>
            <w:tcBorders>
              <w:top w:val="single" w:sz="4" w:space="0" w:color="auto"/>
              <w:left w:val="single" w:sz="4" w:space="0" w:color="auto"/>
              <w:right w:val="single" w:sz="4" w:space="0" w:color="auto"/>
            </w:tcBorders>
          </w:tcPr>
          <w:p w14:paraId="2444437B" w14:textId="77777777" w:rsidR="00910FC8" w:rsidRPr="00556B9B" w:rsidRDefault="00910FC8" w:rsidP="005C6E7A">
            <w:pPr>
              <w:keepNext/>
              <w:suppressAutoHyphens w:val="0"/>
              <w:spacing w:line="240" w:lineRule="auto"/>
              <w:ind w:left="142"/>
              <w:rPr>
                <w:color w:val="000000"/>
                <w:vertAlign w:val="superscript"/>
                <w:lang w:val="hu-HU"/>
              </w:rPr>
            </w:pPr>
            <w:r w:rsidRPr="00556B9B">
              <w:rPr>
                <w:color w:val="000000"/>
                <w:lang w:val="hu-HU"/>
              </w:rPr>
              <w:t>Hematológiai válasz</w:t>
            </w:r>
            <w:r w:rsidRPr="00556B9B">
              <w:rPr>
                <w:color w:val="000000"/>
                <w:vertAlign w:val="superscript"/>
                <w:lang w:val="hu-HU"/>
              </w:rPr>
              <w:t>1</w:t>
            </w:r>
          </w:p>
        </w:tc>
        <w:tc>
          <w:tcPr>
            <w:tcW w:w="1885" w:type="dxa"/>
            <w:tcBorders>
              <w:top w:val="single" w:sz="4" w:space="0" w:color="auto"/>
              <w:left w:val="single" w:sz="4" w:space="0" w:color="auto"/>
              <w:right w:val="single" w:sz="4" w:space="0" w:color="auto"/>
            </w:tcBorders>
          </w:tcPr>
          <w:p w14:paraId="69DD99E7"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95% (92,3–96,3)</w:t>
            </w:r>
          </w:p>
        </w:tc>
        <w:tc>
          <w:tcPr>
            <w:tcW w:w="1889" w:type="dxa"/>
            <w:tcBorders>
              <w:top w:val="single" w:sz="4" w:space="0" w:color="auto"/>
              <w:left w:val="single" w:sz="4" w:space="0" w:color="auto"/>
              <w:right w:val="single" w:sz="4" w:space="0" w:color="auto"/>
            </w:tcBorders>
          </w:tcPr>
          <w:p w14:paraId="7566130C"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71% (65,3–77,2)</w:t>
            </w:r>
          </w:p>
        </w:tc>
        <w:tc>
          <w:tcPr>
            <w:tcW w:w="2215" w:type="dxa"/>
            <w:tcBorders>
              <w:top w:val="single" w:sz="4" w:space="0" w:color="auto"/>
              <w:left w:val="single" w:sz="4" w:space="0" w:color="auto"/>
              <w:right w:val="single" w:sz="4" w:space="0" w:color="auto"/>
            </w:tcBorders>
          </w:tcPr>
          <w:p w14:paraId="67F5B548"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31% (25,2–36,8)</w:t>
            </w:r>
          </w:p>
        </w:tc>
      </w:tr>
      <w:tr w:rsidR="00910FC8" w:rsidRPr="00556B9B" w14:paraId="1E305AAD" w14:textId="77777777" w:rsidTr="005C6E7A">
        <w:trPr>
          <w:cantSplit/>
        </w:trPr>
        <w:tc>
          <w:tcPr>
            <w:tcW w:w="3367" w:type="dxa"/>
            <w:tcBorders>
              <w:left w:val="single" w:sz="4" w:space="0" w:color="auto"/>
              <w:right w:val="single" w:sz="4" w:space="0" w:color="auto"/>
            </w:tcBorders>
          </w:tcPr>
          <w:p w14:paraId="0C191C2B" w14:textId="77777777" w:rsidR="00910FC8" w:rsidRPr="00556B9B" w:rsidRDefault="00910FC8" w:rsidP="005C6E7A">
            <w:pPr>
              <w:keepNext/>
              <w:suppressAutoHyphens w:val="0"/>
              <w:spacing w:line="240" w:lineRule="auto"/>
              <w:ind w:left="284"/>
              <w:rPr>
                <w:color w:val="000000"/>
                <w:lang w:val="hu-HU"/>
              </w:rPr>
            </w:pPr>
            <w:r w:rsidRPr="00556B9B">
              <w:rPr>
                <w:color w:val="000000"/>
                <w:lang w:val="hu-HU"/>
              </w:rPr>
              <w:t>Komplett hematológiai válasz (</w:t>
            </w:r>
            <w:smartTag w:uri="urn:schemas-microsoft-com:office:smarttags" w:element="stockticker">
              <w:r w:rsidRPr="00556B9B">
                <w:rPr>
                  <w:color w:val="000000"/>
                  <w:lang w:val="hu-HU"/>
                </w:rPr>
                <w:t>CHR</w:t>
              </w:r>
            </w:smartTag>
            <w:r w:rsidRPr="00556B9B">
              <w:rPr>
                <w:color w:val="000000"/>
                <w:lang w:val="hu-HU"/>
              </w:rPr>
              <w:t>)</w:t>
            </w:r>
          </w:p>
        </w:tc>
        <w:tc>
          <w:tcPr>
            <w:tcW w:w="1885" w:type="dxa"/>
            <w:tcBorders>
              <w:left w:val="single" w:sz="4" w:space="0" w:color="auto"/>
              <w:right w:val="single" w:sz="4" w:space="0" w:color="auto"/>
            </w:tcBorders>
          </w:tcPr>
          <w:p w14:paraId="3A5A45DC"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95%</w:t>
            </w:r>
          </w:p>
        </w:tc>
        <w:tc>
          <w:tcPr>
            <w:tcW w:w="1889" w:type="dxa"/>
            <w:tcBorders>
              <w:left w:val="single" w:sz="4" w:space="0" w:color="auto"/>
              <w:right w:val="single" w:sz="4" w:space="0" w:color="auto"/>
            </w:tcBorders>
          </w:tcPr>
          <w:p w14:paraId="3436D127"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42%</w:t>
            </w:r>
          </w:p>
        </w:tc>
        <w:tc>
          <w:tcPr>
            <w:tcW w:w="2215" w:type="dxa"/>
            <w:tcBorders>
              <w:left w:val="single" w:sz="4" w:space="0" w:color="auto"/>
              <w:right w:val="single" w:sz="4" w:space="0" w:color="auto"/>
            </w:tcBorders>
          </w:tcPr>
          <w:p w14:paraId="3602A2E7"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8%</w:t>
            </w:r>
          </w:p>
        </w:tc>
      </w:tr>
      <w:tr w:rsidR="00910FC8" w:rsidRPr="00556B9B" w14:paraId="47873779" w14:textId="77777777" w:rsidTr="005C6E7A">
        <w:trPr>
          <w:cantSplit/>
        </w:trPr>
        <w:tc>
          <w:tcPr>
            <w:tcW w:w="3367" w:type="dxa"/>
            <w:tcBorders>
              <w:left w:val="single" w:sz="4" w:space="0" w:color="auto"/>
              <w:right w:val="single" w:sz="4" w:space="0" w:color="auto"/>
            </w:tcBorders>
          </w:tcPr>
          <w:p w14:paraId="401361C2" w14:textId="77777777" w:rsidR="00910FC8" w:rsidRPr="00556B9B" w:rsidRDefault="00910FC8" w:rsidP="005C6E7A">
            <w:pPr>
              <w:keepNext/>
              <w:suppressAutoHyphens w:val="0"/>
              <w:spacing w:line="240" w:lineRule="auto"/>
              <w:ind w:left="284"/>
              <w:rPr>
                <w:color w:val="000000"/>
                <w:lang w:val="hu-HU"/>
              </w:rPr>
            </w:pPr>
            <w:r w:rsidRPr="00556B9B">
              <w:rPr>
                <w:color w:val="000000"/>
                <w:lang w:val="hu-HU"/>
              </w:rPr>
              <w:t>Leukaemia nem mutatható ki (NEL)</w:t>
            </w:r>
          </w:p>
        </w:tc>
        <w:tc>
          <w:tcPr>
            <w:tcW w:w="1885" w:type="dxa"/>
            <w:tcBorders>
              <w:left w:val="single" w:sz="4" w:space="0" w:color="auto"/>
              <w:right w:val="single" w:sz="4" w:space="0" w:color="auto"/>
            </w:tcBorders>
          </w:tcPr>
          <w:p w14:paraId="429A312F"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nincs adat</w:t>
            </w:r>
          </w:p>
        </w:tc>
        <w:tc>
          <w:tcPr>
            <w:tcW w:w="1889" w:type="dxa"/>
            <w:tcBorders>
              <w:left w:val="single" w:sz="4" w:space="0" w:color="auto"/>
              <w:right w:val="single" w:sz="4" w:space="0" w:color="auto"/>
            </w:tcBorders>
          </w:tcPr>
          <w:p w14:paraId="305DAC85"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12%</w:t>
            </w:r>
          </w:p>
        </w:tc>
        <w:tc>
          <w:tcPr>
            <w:tcW w:w="2215" w:type="dxa"/>
            <w:tcBorders>
              <w:left w:val="single" w:sz="4" w:space="0" w:color="auto"/>
              <w:right w:val="single" w:sz="4" w:space="0" w:color="auto"/>
            </w:tcBorders>
          </w:tcPr>
          <w:p w14:paraId="14B038FE"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5%</w:t>
            </w:r>
          </w:p>
        </w:tc>
      </w:tr>
      <w:tr w:rsidR="00910FC8" w:rsidRPr="00556B9B" w14:paraId="0E1E5937" w14:textId="77777777" w:rsidTr="005C6E7A">
        <w:trPr>
          <w:cantSplit/>
        </w:trPr>
        <w:tc>
          <w:tcPr>
            <w:tcW w:w="3367" w:type="dxa"/>
            <w:tcBorders>
              <w:left w:val="single" w:sz="4" w:space="0" w:color="auto"/>
              <w:bottom w:val="single" w:sz="4" w:space="0" w:color="auto"/>
              <w:right w:val="single" w:sz="4" w:space="0" w:color="auto"/>
            </w:tcBorders>
          </w:tcPr>
          <w:p w14:paraId="2967F693" w14:textId="77777777" w:rsidR="00910FC8" w:rsidRPr="00556B9B" w:rsidRDefault="00910FC8" w:rsidP="005C6E7A">
            <w:pPr>
              <w:keepNext/>
              <w:suppressAutoHyphens w:val="0"/>
              <w:spacing w:line="240" w:lineRule="auto"/>
              <w:ind w:left="284"/>
              <w:rPr>
                <w:color w:val="000000"/>
                <w:lang w:val="hu-HU"/>
              </w:rPr>
            </w:pPr>
            <w:r w:rsidRPr="00556B9B">
              <w:rPr>
                <w:color w:val="000000"/>
                <w:lang w:val="hu-HU"/>
              </w:rPr>
              <w:t>Visszatérés a krónikus fázisba (</w:t>
            </w:r>
            <w:smartTag w:uri="urn:schemas-microsoft-com:office:smarttags" w:element="stockticker">
              <w:r w:rsidRPr="00556B9B">
                <w:rPr>
                  <w:color w:val="000000"/>
                  <w:lang w:val="hu-HU"/>
                </w:rPr>
                <w:t>RTC</w:t>
              </w:r>
            </w:smartTag>
            <w:r w:rsidRPr="00556B9B">
              <w:rPr>
                <w:color w:val="000000"/>
                <w:lang w:val="hu-HU"/>
              </w:rPr>
              <w:t>)</w:t>
            </w:r>
          </w:p>
        </w:tc>
        <w:tc>
          <w:tcPr>
            <w:tcW w:w="1885" w:type="dxa"/>
            <w:tcBorders>
              <w:left w:val="single" w:sz="4" w:space="0" w:color="auto"/>
              <w:bottom w:val="single" w:sz="4" w:space="0" w:color="auto"/>
              <w:right w:val="single" w:sz="4" w:space="0" w:color="auto"/>
            </w:tcBorders>
          </w:tcPr>
          <w:p w14:paraId="146B222C"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nincs adat</w:t>
            </w:r>
          </w:p>
        </w:tc>
        <w:tc>
          <w:tcPr>
            <w:tcW w:w="1889" w:type="dxa"/>
            <w:tcBorders>
              <w:left w:val="single" w:sz="4" w:space="0" w:color="auto"/>
              <w:bottom w:val="single" w:sz="4" w:space="0" w:color="auto"/>
              <w:right w:val="single" w:sz="4" w:space="0" w:color="auto"/>
            </w:tcBorders>
          </w:tcPr>
          <w:p w14:paraId="6D0AB15F"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17%</w:t>
            </w:r>
          </w:p>
        </w:tc>
        <w:tc>
          <w:tcPr>
            <w:tcW w:w="2215" w:type="dxa"/>
            <w:tcBorders>
              <w:left w:val="single" w:sz="4" w:space="0" w:color="auto"/>
              <w:bottom w:val="single" w:sz="4" w:space="0" w:color="auto"/>
              <w:right w:val="single" w:sz="4" w:space="0" w:color="auto"/>
            </w:tcBorders>
          </w:tcPr>
          <w:p w14:paraId="4E437CFA"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18%</w:t>
            </w:r>
          </w:p>
        </w:tc>
      </w:tr>
      <w:tr w:rsidR="00910FC8" w:rsidRPr="00556B9B" w14:paraId="1D079382" w14:textId="77777777" w:rsidTr="005C6E7A">
        <w:trPr>
          <w:cantSplit/>
        </w:trPr>
        <w:tc>
          <w:tcPr>
            <w:tcW w:w="3367" w:type="dxa"/>
            <w:tcBorders>
              <w:top w:val="single" w:sz="4" w:space="0" w:color="auto"/>
              <w:left w:val="single" w:sz="4" w:space="0" w:color="auto"/>
              <w:right w:val="single" w:sz="4" w:space="0" w:color="auto"/>
            </w:tcBorders>
          </w:tcPr>
          <w:p w14:paraId="3D515704" w14:textId="77777777" w:rsidR="00910FC8" w:rsidRPr="00556B9B" w:rsidRDefault="00125791" w:rsidP="005C6E7A">
            <w:pPr>
              <w:keepNext/>
              <w:suppressAutoHyphens w:val="0"/>
              <w:spacing w:line="240" w:lineRule="auto"/>
              <w:ind w:left="142"/>
              <w:rPr>
                <w:color w:val="000000"/>
                <w:vertAlign w:val="superscript"/>
                <w:lang w:val="hu-HU"/>
              </w:rPr>
            </w:pPr>
            <w:r w:rsidRPr="00556B9B">
              <w:rPr>
                <w:color w:val="000000"/>
                <w:lang w:val="hu-HU"/>
              </w:rPr>
              <w:t xml:space="preserve">Nagyfokú </w:t>
            </w:r>
            <w:r w:rsidR="00910FC8" w:rsidRPr="00556B9B">
              <w:rPr>
                <w:color w:val="000000"/>
                <w:lang w:val="hu-HU"/>
              </w:rPr>
              <w:t>cytogenetikai válasz</w:t>
            </w:r>
            <w:r w:rsidR="00910FC8" w:rsidRPr="00556B9B">
              <w:rPr>
                <w:color w:val="000000"/>
                <w:vertAlign w:val="superscript"/>
                <w:lang w:val="hu-HU"/>
              </w:rPr>
              <w:t>2</w:t>
            </w:r>
          </w:p>
        </w:tc>
        <w:tc>
          <w:tcPr>
            <w:tcW w:w="1885" w:type="dxa"/>
            <w:tcBorders>
              <w:top w:val="single" w:sz="4" w:space="0" w:color="auto"/>
              <w:left w:val="single" w:sz="4" w:space="0" w:color="auto"/>
              <w:right w:val="single" w:sz="4" w:space="0" w:color="auto"/>
            </w:tcBorders>
          </w:tcPr>
          <w:p w14:paraId="74840B98"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65% (61,2–69,5)</w:t>
            </w:r>
          </w:p>
        </w:tc>
        <w:tc>
          <w:tcPr>
            <w:tcW w:w="1889" w:type="dxa"/>
            <w:tcBorders>
              <w:top w:val="single" w:sz="4" w:space="0" w:color="auto"/>
              <w:left w:val="single" w:sz="4" w:space="0" w:color="auto"/>
              <w:right w:val="single" w:sz="4" w:space="0" w:color="auto"/>
            </w:tcBorders>
          </w:tcPr>
          <w:p w14:paraId="08BDA994"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28% (22,0–33,9)</w:t>
            </w:r>
          </w:p>
        </w:tc>
        <w:tc>
          <w:tcPr>
            <w:tcW w:w="2215" w:type="dxa"/>
            <w:tcBorders>
              <w:top w:val="single" w:sz="4" w:space="0" w:color="auto"/>
              <w:left w:val="single" w:sz="4" w:space="0" w:color="auto"/>
              <w:right w:val="single" w:sz="4" w:space="0" w:color="auto"/>
            </w:tcBorders>
          </w:tcPr>
          <w:p w14:paraId="6F1F40D8"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15% (11,2–20,4)</w:t>
            </w:r>
          </w:p>
        </w:tc>
      </w:tr>
      <w:tr w:rsidR="00910FC8" w:rsidRPr="00556B9B" w14:paraId="4494E7EB" w14:textId="77777777" w:rsidTr="005C6E7A">
        <w:trPr>
          <w:cantSplit/>
        </w:trPr>
        <w:tc>
          <w:tcPr>
            <w:tcW w:w="3367" w:type="dxa"/>
            <w:tcBorders>
              <w:left w:val="single" w:sz="4" w:space="0" w:color="auto"/>
              <w:right w:val="single" w:sz="4" w:space="0" w:color="auto"/>
            </w:tcBorders>
          </w:tcPr>
          <w:p w14:paraId="46B2B193" w14:textId="77777777" w:rsidR="00910FC8" w:rsidRPr="00556B9B" w:rsidRDefault="00910FC8" w:rsidP="005C6E7A">
            <w:pPr>
              <w:keepNext/>
              <w:suppressAutoHyphens w:val="0"/>
              <w:spacing w:line="240" w:lineRule="auto"/>
              <w:ind w:left="284"/>
              <w:rPr>
                <w:color w:val="000000"/>
                <w:lang w:val="hu-HU"/>
              </w:rPr>
            </w:pPr>
            <w:r w:rsidRPr="00556B9B">
              <w:rPr>
                <w:color w:val="000000"/>
                <w:lang w:val="hu-HU"/>
              </w:rPr>
              <w:t>Komplett</w:t>
            </w:r>
          </w:p>
        </w:tc>
        <w:tc>
          <w:tcPr>
            <w:tcW w:w="1885" w:type="dxa"/>
            <w:tcBorders>
              <w:left w:val="single" w:sz="4" w:space="0" w:color="auto"/>
              <w:right w:val="single" w:sz="4" w:space="0" w:color="auto"/>
            </w:tcBorders>
          </w:tcPr>
          <w:p w14:paraId="50533BF4"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53%</w:t>
            </w:r>
          </w:p>
        </w:tc>
        <w:tc>
          <w:tcPr>
            <w:tcW w:w="1889" w:type="dxa"/>
            <w:tcBorders>
              <w:left w:val="single" w:sz="4" w:space="0" w:color="auto"/>
              <w:right w:val="single" w:sz="4" w:space="0" w:color="auto"/>
            </w:tcBorders>
          </w:tcPr>
          <w:p w14:paraId="242FDA88"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20%</w:t>
            </w:r>
          </w:p>
        </w:tc>
        <w:tc>
          <w:tcPr>
            <w:tcW w:w="2215" w:type="dxa"/>
            <w:tcBorders>
              <w:left w:val="single" w:sz="4" w:space="0" w:color="auto"/>
              <w:right w:val="single" w:sz="4" w:space="0" w:color="auto"/>
            </w:tcBorders>
          </w:tcPr>
          <w:p w14:paraId="5ADF538B"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7%</w:t>
            </w:r>
          </w:p>
        </w:tc>
      </w:tr>
      <w:tr w:rsidR="00910FC8" w:rsidRPr="00556B9B" w14:paraId="21556E6C" w14:textId="77777777" w:rsidTr="005C6E7A">
        <w:trPr>
          <w:cantSplit/>
        </w:trPr>
        <w:tc>
          <w:tcPr>
            <w:tcW w:w="3367" w:type="dxa"/>
            <w:tcBorders>
              <w:left w:val="single" w:sz="4" w:space="0" w:color="auto"/>
              <w:right w:val="single" w:sz="4" w:space="0" w:color="auto"/>
            </w:tcBorders>
          </w:tcPr>
          <w:p w14:paraId="1F91F5D8" w14:textId="77777777" w:rsidR="00910FC8" w:rsidRPr="00556B9B" w:rsidRDefault="00910FC8" w:rsidP="005C6E7A">
            <w:pPr>
              <w:keepNext/>
              <w:suppressAutoHyphens w:val="0"/>
              <w:spacing w:line="240" w:lineRule="auto"/>
              <w:ind w:left="284"/>
              <w:rPr>
                <w:color w:val="000000"/>
                <w:lang w:val="hu-HU"/>
              </w:rPr>
            </w:pPr>
            <w:r w:rsidRPr="00556B9B">
              <w:rPr>
                <w:color w:val="000000"/>
                <w:lang w:val="hu-HU"/>
              </w:rPr>
              <w:t>(Megerősített</w:t>
            </w:r>
            <w:r w:rsidRPr="00556B9B">
              <w:rPr>
                <w:color w:val="000000"/>
                <w:vertAlign w:val="superscript"/>
                <w:lang w:val="hu-HU"/>
              </w:rPr>
              <w:t>3</w:t>
            </w:r>
            <w:r w:rsidRPr="00556B9B">
              <w:rPr>
                <w:color w:val="000000"/>
                <w:lang w:val="hu-HU"/>
              </w:rPr>
              <w:t>) (95% CI)</w:t>
            </w:r>
          </w:p>
        </w:tc>
        <w:tc>
          <w:tcPr>
            <w:tcW w:w="1885" w:type="dxa"/>
            <w:tcBorders>
              <w:left w:val="single" w:sz="4" w:space="0" w:color="auto"/>
              <w:right w:val="single" w:sz="4" w:space="0" w:color="auto"/>
            </w:tcBorders>
          </w:tcPr>
          <w:p w14:paraId="3D912048"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(43%) [38,6–47,2]</w:t>
            </w:r>
          </w:p>
        </w:tc>
        <w:tc>
          <w:tcPr>
            <w:tcW w:w="1889" w:type="dxa"/>
            <w:tcBorders>
              <w:left w:val="single" w:sz="4" w:space="0" w:color="auto"/>
              <w:right w:val="single" w:sz="4" w:space="0" w:color="auto"/>
            </w:tcBorders>
          </w:tcPr>
          <w:p w14:paraId="03904892"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(16%) [11,3–21,0]</w:t>
            </w:r>
          </w:p>
        </w:tc>
        <w:tc>
          <w:tcPr>
            <w:tcW w:w="2215" w:type="dxa"/>
            <w:tcBorders>
              <w:left w:val="single" w:sz="4" w:space="0" w:color="auto"/>
              <w:right w:val="single" w:sz="4" w:space="0" w:color="auto"/>
            </w:tcBorders>
          </w:tcPr>
          <w:p w14:paraId="513CB76B"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(2%) [0,6–4,4]</w:t>
            </w:r>
          </w:p>
        </w:tc>
      </w:tr>
      <w:tr w:rsidR="00910FC8" w:rsidRPr="00556B9B" w14:paraId="62FDA6A2" w14:textId="77777777" w:rsidTr="005C6E7A">
        <w:trPr>
          <w:cantSplit/>
        </w:trPr>
        <w:tc>
          <w:tcPr>
            <w:tcW w:w="3367" w:type="dxa"/>
            <w:tcBorders>
              <w:left w:val="single" w:sz="4" w:space="0" w:color="auto"/>
              <w:bottom w:val="single" w:sz="4" w:space="0" w:color="auto"/>
              <w:right w:val="single" w:sz="4" w:space="0" w:color="auto"/>
            </w:tcBorders>
          </w:tcPr>
          <w:p w14:paraId="6579E3F3" w14:textId="77777777" w:rsidR="00910FC8" w:rsidRPr="00556B9B" w:rsidRDefault="00910FC8" w:rsidP="005C6E7A">
            <w:pPr>
              <w:keepNext/>
              <w:suppressAutoHyphens w:val="0"/>
              <w:spacing w:line="240" w:lineRule="auto"/>
              <w:ind w:left="426"/>
              <w:rPr>
                <w:color w:val="000000"/>
                <w:lang w:val="hu-HU"/>
              </w:rPr>
            </w:pPr>
            <w:r w:rsidRPr="00556B9B">
              <w:rPr>
                <w:color w:val="000000"/>
                <w:lang w:val="hu-HU"/>
              </w:rPr>
              <w:t>Részleges</w:t>
            </w:r>
          </w:p>
        </w:tc>
        <w:tc>
          <w:tcPr>
            <w:tcW w:w="1885" w:type="dxa"/>
            <w:tcBorders>
              <w:left w:val="single" w:sz="4" w:space="0" w:color="auto"/>
              <w:bottom w:val="single" w:sz="4" w:space="0" w:color="auto"/>
              <w:right w:val="single" w:sz="4" w:space="0" w:color="auto"/>
            </w:tcBorders>
          </w:tcPr>
          <w:p w14:paraId="102ABC65"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12%</w:t>
            </w:r>
          </w:p>
        </w:tc>
        <w:tc>
          <w:tcPr>
            <w:tcW w:w="1889" w:type="dxa"/>
            <w:tcBorders>
              <w:left w:val="single" w:sz="4" w:space="0" w:color="auto"/>
              <w:bottom w:val="single" w:sz="4" w:space="0" w:color="auto"/>
              <w:right w:val="single" w:sz="4" w:space="0" w:color="auto"/>
            </w:tcBorders>
          </w:tcPr>
          <w:p w14:paraId="528A1D5F"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7%</w:t>
            </w:r>
          </w:p>
        </w:tc>
        <w:tc>
          <w:tcPr>
            <w:tcW w:w="2215" w:type="dxa"/>
            <w:tcBorders>
              <w:left w:val="single" w:sz="4" w:space="0" w:color="auto"/>
              <w:bottom w:val="single" w:sz="4" w:space="0" w:color="auto"/>
              <w:right w:val="single" w:sz="4" w:space="0" w:color="auto"/>
            </w:tcBorders>
          </w:tcPr>
          <w:p w14:paraId="1795A593" w14:textId="77777777" w:rsidR="00910FC8" w:rsidRPr="00556B9B" w:rsidRDefault="00910FC8" w:rsidP="005C6E7A">
            <w:pPr>
              <w:keepNext/>
              <w:suppressAutoHyphens w:val="0"/>
              <w:spacing w:line="240" w:lineRule="auto"/>
              <w:jc w:val="center"/>
              <w:rPr>
                <w:color w:val="000000"/>
                <w:lang w:val="hu-HU"/>
              </w:rPr>
            </w:pPr>
            <w:r w:rsidRPr="00556B9B">
              <w:rPr>
                <w:color w:val="000000"/>
                <w:lang w:val="hu-HU"/>
              </w:rPr>
              <w:t>8%</w:t>
            </w:r>
          </w:p>
        </w:tc>
      </w:tr>
      <w:tr w:rsidR="00910FC8" w:rsidRPr="001D3D33" w14:paraId="0F6EBEF4" w14:textId="77777777" w:rsidTr="005C6E7A">
        <w:trPr>
          <w:cantSplit/>
        </w:trPr>
        <w:tc>
          <w:tcPr>
            <w:tcW w:w="9356" w:type="dxa"/>
            <w:gridSpan w:val="4"/>
            <w:tcBorders>
              <w:top w:val="single" w:sz="4" w:space="0" w:color="auto"/>
              <w:left w:val="single" w:sz="2" w:space="0" w:color="000000"/>
              <w:bottom w:val="single" w:sz="4" w:space="0" w:color="auto"/>
              <w:right w:val="single" w:sz="2" w:space="0" w:color="000000"/>
            </w:tcBorders>
          </w:tcPr>
          <w:p w14:paraId="37EE7177" w14:textId="77777777" w:rsidR="00910FC8" w:rsidRPr="00556B9B" w:rsidRDefault="00910FC8">
            <w:pPr>
              <w:spacing w:line="240" w:lineRule="auto"/>
              <w:ind w:left="142"/>
              <w:rPr>
                <w:b/>
                <w:color w:val="000000"/>
                <w:lang w:val="hu-HU"/>
              </w:rPr>
            </w:pPr>
            <w:r w:rsidRPr="00556B9B">
              <w:rPr>
                <w:b/>
                <w:color w:val="000000"/>
                <w:vertAlign w:val="superscript"/>
                <w:lang w:val="hu-HU"/>
              </w:rPr>
              <w:t>1</w:t>
            </w:r>
            <w:r w:rsidRPr="00556B9B">
              <w:rPr>
                <w:b/>
                <w:color w:val="000000"/>
                <w:lang w:val="hu-HU"/>
              </w:rPr>
              <w:t xml:space="preserve">Hematológiai válasz kritériumai (mindegyik megerősítve </w:t>
            </w:r>
            <w:r w:rsidRPr="00556B9B">
              <w:rPr>
                <w:color w:val="000000"/>
                <w:lang w:val="hu-HU"/>
              </w:rPr>
              <w:sym w:font="Symbol" w:char="F0B3"/>
            </w:r>
            <w:r w:rsidRPr="00556B9B">
              <w:rPr>
                <w:b/>
                <w:color w:val="000000"/>
                <w:lang w:val="hu-HU"/>
              </w:rPr>
              <w:t> 4 hét múlva):</w:t>
            </w:r>
          </w:p>
          <w:p w14:paraId="5183A930" w14:textId="77777777" w:rsidR="00910FC8" w:rsidRPr="00556B9B" w:rsidRDefault="00910FC8">
            <w:pPr>
              <w:spacing w:line="240" w:lineRule="auto"/>
              <w:ind w:left="709" w:hanging="567"/>
              <w:rPr>
                <w:color w:val="000000"/>
                <w:lang w:val="hu-HU"/>
              </w:rPr>
            </w:pPr>
            <w:smartTag w:uri="urn:schemas-microsoft-com:office:smarttags" w:element="stockticker">
              <w:r w:rsidRPr="00556B9B">
                <w:rPr>
                  <w:color w:val="000000"/>
                  <w:lang w:val="hu-HU"/>
                </w:rPr>
                <w:t>CHR</w:t>
              </w:r>
            </w:smartTag>
            <w:r w:rsidRPr="00556B9B">
              <w:rPr>
                <w:color w:val="000000"/>
                <w:lang w:val="hu-HU"/>
              </w:rPr>
              <w:t>: a 0110 vizsgálatban [fvs &lt; 10 x 10</w:t>
            </w:r>
            <w:r w:rsidRPr="00556B9B">
              <w:rPr>
                <w:color w:val="000000"/>
                <w:vertAlign w:val="superscript"/>
                <w:lang w:val="hu-HU"/>
              </w:rPr>
              <w:t>9</w:t>
            </w:r>
            <w:r w:rsidRPr="00556B9B">
              <w:rPr>
                <w:color w:val="000000"/>
                <w:lang w:val="hu-HU"/>
              </w:rPr>
              <w:t>/l, thrombocytaszám &lt; 450 x 10</w:t>
            </w:r>
            <w:r w:rsidRPr="00556B9B">
              <w:rPr>
                <w:color w:val="000000"/>
                <w:vertAlign w:val="superscript"/>
                <w:lang w:val="hu-HU"/>
              </w:rPr>
              <w:t>9</w:t>
            </w:r>
            <w:r w:rsidRPr="00556B9B">
              <w:rPr>
                <w:color w:val="000000"/>
                <w:lang w:val="hu-HU"/>
              </w:rPr>
              <w:t xml:space="preserve">/l, myelocyta + metamyelocyta &lt; 5% a vérben, nincs blast és promyelocyta a vérben, basophil &lt; 20%, nincs extramedullaris involvatio], a 0102 és 0109 vizsgálatokban: [ANC </w:t>
            </w:r>
            <w:r w:rsidRPr="00556B9B">
              <w:rPr>
                <w:color w:val="000000"/>
                <w:lang w:val="hu-HU"/>
              </w:rPr>
              <w:sym w:font="Symbol" w:char="F0B3"/>
            </w:r>
            <w:r w:rsidRPr="00556B9B">
              <w:rPr>
                <w:color w:val="000000"/>
                <w:lang w:val="hu-HU"/>
              </w:rPr>
              <w:t> 1,5 x 10</w:t>
            </w:r>
            <w:r w:rsidRPr="00556B9B">
              <w:rPr>
                <w:color w:val="000000"/>
                <w:vertAlign w:val="superscript"/>
                <w:lang w:val="hu-HU"/>
              </w:rPr>
              <w:t>9</w:t>
            </w:r>
            <w:r w:rsidRPr="00556B9B">
              <w:rPr>
                <w:color w:val="000000"/>
                <w:lang w:val="hu-HU"/>
              </w:rPr>
              <w:t xml:space="preserve">/l, thrombocytaszám </w:t>
            </w:r>
            <w:r w:rsidRPr="00556B9B">
              <w:rPr>
                <w:color w:val="000000"/>
                <w:lang w:val="hu-HU"/>
              </w:rPr>
              <w:sym w:font="Symbol" w:char="F0B3"/>
            </w:r>
            <w:r w:rsidRPr="00556B9B">
              <w:rPr>
                <w:color w:val="000000"/>
                <w:lang w:val="hu-HU"/>
              </w:rPr>
              <w:t> 100 x 10</w:t>
            </w:r>
            <w:r w:rsidRPr="00556B9B">
              <w:rPr>
                <w:color w:val="000000"/>
                <w:vertAlign w:val="superscript"/>
                <w:lang w:val="hu-HU"/>
              </w:rPr>
              <w:t>9</w:t>
            </w:r>
            <w:r w:rsidRPr="00556B9B">
              <w:rPr>
                <w:color w:val="000000"/>
                <w:lang w:val="hu-HU"/>
              </w:rPr>
              <w:t>/l, nincs blast a vérben, a csontvelőben a blast &lt; 5% és nincs extramedulláris betegség].</w:t>
            </w:r>
          </w:p>
          <w:p w14:paraId="42FE70CD" w14:textId="77777777" w:rsidR="00910FC8" w:rsidRPr="00556B9B" w:rsidRDefault="00910FC8">
            <w:pPr>
              <w:spacing w:line="240" w:lineRule="auto"/>
              <w:ind w:left="709" w:hanging="567"/>
              <w:rPr>
                <w:color w:val="000000"/>
                <w:lang w:val="hu-HU"/>
              </w:rPr>
            </w:pPr>
            <w:r w:rsidRPr="00556B9B">
              <w:rPr>
                <w:color w:val="000000"/>
                <w:lang w:val="hu-HU"/>
              </w:rPr>
              <w:t xml:space="preserve">NEL: ugyanazon kritériumok, mint a </w:t>
            </w:r>
            <w:smartTag w:uri="urn:schemas-microsoft-com:office:smarttags" w:element="stockticker">
              <w:r w:rsidRPr="00556B9B">
                <w:rPr>
                  <w:color w:val="000000"/>
                  <w:lang w:val="hu-HU"/>
                </w:rPr>
                <w:t>CHR</w:t>
              </w:r>
            </w:smartTag>
            <w:r w:rsidRPr="00556B9B">
              <w:rPr>
                <w:color w:val="000000"/>
                <w:lang w:val="hu-HU"/>
              </w:rPr>
              <w:noBreakHyphen/>
              <w:t>ben, de ANC </w:t>
            </w:r>
            <w:r w:rsidRPr="00556B9B">
              <w:rPr>
                <w:color w:val="000000"/>
                <w:lang w:val="hu-HU"/>
              </w:rPr>
              <w:sym w:font="Symbol" w:char="F0B3"/>
            </w:r>
            <w:r w:rsidRPr="00556B9B">
              <w:rPr>
                <w:color w:val="000000"/>
                <w:lang w:val="hu-HU"/>
              </w:rPr>
              <w:t> 1 x 10</w:t>
            </w:r>
            <w:r w:rsidRPr="00556B9B">
              <w:rPr>
                <w:color w:val="000000"/>
                <w:vertAlign w:val="superscript"/>
                <w:lang w:val="hu-HU"/>
              </w:rPr>
              <w:t>9</w:t>
            </w:r>
            <w:r w:rsidRPr="00556B9B">
              <w:rPr>
                <w:color w:val="000000"/>
                <w:lang w:val="hu-HU"/>
              </w:rPr>
              <w:t xml:space="preserve">/l, és a thrombocytaszám </w:t>
            </w:r>
            <w:r w:rsidRPr="00556B9B">
              <w:rPr>
                <w:color w:val="000000"/>
                <w:lang w:val="hu-HU"/>
              </w:rPr>
              <w:sym w:font="Symbol" w:char="F0B3"/>
            </w:r>
            <w:r w:rsidRPr="00556B9B">
              <w:rPr>
                <w:color w:val="000000"/>
                <w:lang w:val="hu-HU"/>
              </w:rPr>
              <w:t> 20 x 10</w:t>
            </w:r>
            <w:r w:rsidRPr="00556B9B">
              <w:rPr>
                <w:color w:val="000000"/>
                <w:vertAlign w:val="superscript"/>
                <w:lang w:val="hu-HU"/>
              </w:rPr>
              <w:t>9</w:t>
            </w:r>
            <w:r w:rsidRPr="00556B9B">
              <w:rPr>
                <w:color w:val="000000"/>
                <w:lang w:val="hu-HU"/>
              </w:rPr>
              <w:t>/l (csak a 0102 és 0109 vizsgálatokban)</w:t>
            </w:r>
          </w:p>
          <w:p w14:paraId="363A448F" w14:textId="77777777" w:rsidR="00910FC8" w:rsidRPr="00556B9B" w:rsidRDefault="00910FC8">
            <w:pPr>
              <w:spacing w:line="240" w:lineRule="auto"/>
              <w:ind w:left="709" w:hanging="567"/>
              <w:rPr>
                <w:color w:val="000000"/>
                <w:lang w:val="hu-HU"/>
              </w:rPr>
            </w:pPr>
            <w:smartTag w:uri="urn:schemas-microsoft-com:office:smarttags" w:element="stockticker">
              <w:r w:rsidRPr="00556B9B">
                <w:rPr>
                  <w:color w:val="000000"/>
                  <w:lang w:val="hu-HU"/>
                </w:rPr>
                <w:t>RTC</w:t>
              </w:r>
            </w:smartTag>
            <w:r w:rsidRPr="00556B9B">
              <w:rPr>
                <w:color w:val="000000"/>
                <w:lang w:val="hu-HU"/>
              </w:rPr>
              <w:t>: &lt; 15% blast, ill. &lt; 30% blast + promyelocyta a csontvelőben és a perifériás vérben, &lt; 20% basophil a peripheriás vérben, nincs extramedulláris betegség másutt, mint a lépben és a májban (csak a 0102 és 0109 vizsgálatokban).</w:t>
            </w:r>
          </w:p>
          <w:p w14:paraId="746504DA" w14:textId="77777777" w:rsidR="00910FC8" w:rsidRPr="00556B9B" w:rsidRDefault="00910FC8">
            <w:pPr>
              <w:spacing w:line="240" w:lineRule="auto"/>
              <w:ind w:left="142"/>
              <w:rPr>
                <w:b/>
                <w:color w:val="000000"/>
                <w:lang w:val="hu-HU"/>
              </w:rPr>
            </w:pPr>
            <w:r w:rsidRPr="00556B9B">
              <w:rPr>
                <w:b/>
                <w:color w:val="000000"/>
                <w:vertAlign w:val="superscript"/>
                <w:lang w:val="hu-HU"/>
              </w:rPr>
              <w:t>2</w:t>
            </w:r>
            <w:r w:rsidRPr="00556B9B">
              <w:rPr>
                <w:b/>
                <w:color w:val="000000"/>
                <w:lang w:val="hu-HU"/>
              </w:rPr>
              <w:t>Cytogenetikai válasz kritériumai:</w:t>
            </w:r>
          </w:p>
          <w:p w14:paraId="62781668" w14:textId="77777777" w:rsidR="00910FC8" w:rsidRPr="00556B9B" w:rsidRDefault="00910FC8">
            <w:pPr>
              <w:spacing w:line="240" w:lineRule="auto"/>
              <w:ind w:left="142"/>
              <w:rPr>
                <w:color w:val="000000"/>
                <w:lang w:val="hu-HU"/>
              </w:rPr>
            </w:pPr>
            <w:r w:rsidRPr="00556B9B">
              <w:rPr>
                <w:color w:val="000000"/>
                <w:lang w:val="hu-HU"/>
              </w:rPr>
              <w:t xml:space="preserve">A </w:t>
            </w:r>
            <w:r w:rsidR="00B17F9E" w:rsidRPr="00556B9B">
              <w:rPr>
                <w:color w:val="000000"/>
                <w:lang w:val="hu-HU"/>
              </w:rPr>
              <w:t xml:space="preserve">nagyfokú </w:t>
            </w:r>
            <w:r w:rsidRPr="00556B9B">
              <w:rPr>
                <w:color w:val="000000"/>
                <w:lang w:val="hu-HU"/>
              </w:rPr>
              <w:t>cytogenetikai válasz a komplett és részleges választ együttesen jelenti: komplett: 0% Ph+ metafázis, részleges: 1–35%)</w:t>
            </w:r>
          </w:p>
          <w:p w14:paraId="34006D52" w14:textId="77777777" w:rsidR="00910FC8" w:rsidRPr="00556B9B" w:rsidRDefault="00910FC8">
            <w:pPr>
              <w:spacing w:line="240" w:lineRule="auto"/>
              <w:ind w:left="142"/>
              <w:rPr>
                <w:color w:val="000000"/>
                <w:lang w:val="hu-HU"/>
              </w:rPr>
            </w:pPr>
            <w:r w:rsidRPr="00556B9B">
              <w:rPr>
                <w:color w:val="000000"/>
                <w:vertAlign w:val="superscript"/>
                <w:lang w:val="hu-HU"/>
              </w:rPr>
              <w:t>3</w:t>
            </w:r>
            <w:r w:rsidRPr="00556B9B">
              <w:rPr>
                <w:color w:val="000000"/>
                <w:lang w:val="hu-HU"/>
              </w:rPr>
              <w:t xml:space="preserve">Komplett cytogenetikai válasz: </w:t>
            </w:r>
            <w:r w:rsidRPr="00556B9B">
              <w:rPr>
                <w:color w:val="000000"/>
                <w:u w:val="single"/>
                <w:lang w:val="hu-HU"/>
              </w:rPr>
              <w:t>l</w:t>
            </w:r>
            <w:r w:rsidRPr="00556B9B">
              <w:rPr>
                <w:color w:val="000000"/>
                <w:lang w:val="hu-HU"/>
              </w:rPr>
              <w:t>egalább egy hónappal az első csontvelővizsgálat után végzett második csontvelő cytogenetikai vizsgálat megerősíti a komplett cytogenetikai választ.</w:t>
            </w:r>
          </w:p>
        </w:tc>
      </w:tr>
    </w:tbl>
    <w:p w14:paraId="26A05A27" w14:textId="77777777" w:rsidR="00910FC8" w:rsidRPr="00556B9B" w:rsidRDefault="00910FC8">
      <w:pPr>
        <w:spacing w:line="240" w:lineRule="auto"/>
        <w:rPr>
          <w:color w:val="000000"/>
          <w:lang w:val="hu-HU"/>
        </w:rPr>
      </w:pPr>
    </w:p>
    <w:p w14:paraId="70AF56E4" w14:textId="75226843" w:rsidR="00910FC8" w:rsidRPr="00556B9B" w:rsidRDefault="00910FC8">
      <w:pPr>
        <w:spacing w:line="240" w:lineRule="auto"/>
        <w:rPr>
          <w:color w:val="000000"/>
          <w:lang w:val="hu-HU"/>
        </w:rPr>
      </w:pPr>
      <w:r w:rsidRPr="006D0F5F">
        <w:rPr>
          <w:i/>
          <w:color w:val="000000"/>
          <w:lang w:val="hu-HU"/>
        </w:rPr>
        <w:t>Gyermekek</w:t>
      </w:r>
      <w:r w:rsidR="00FF194C" w:rsidRPr="006D0F5F">
        <w:rPr>
          <w:i/>
          <w:color w:val="000000"/>
          <w:lang w:val="hu-HU"/>
        </w:rPr>
        <w:t xml:space="preserve"> és serdülők</w:t>
      </w:r>
      <w:r w:rsidRPr="006D0F5F">
        <w:rPr>
          <w:i/>
          <w:color w:val="000000"/>
          <w:lang w:val="hu-HU"/>
        </w:rPr>
        <w:t>:</w:t>
      </w:r>
      <w:r w:rsidRPr="006D0F5F">
        <w:rPr>
          <w:color w:val="000000"/>
          <w:lang w:val="hu-HU"/>
        </w:rPr>
        <w:t xml:space="preserve"> összesen 26, 18 év alatti krónikus fázisú (n = 11) vagy blastos krízisben lévő CML</w:t>
      </w:r>
      <w:r w:rsidRPr="006D0F5F">
        <w:rPr>
          <w:color w:val="000000"/>
          <w:lang w:val="hu-HU"/>
        </w:rPr>
        <w:noBreakHyphen/>
        <w:t>es vagy Ph+ akut leukaemiás (n = 15) gyermek</w:t>
      </w:r>
      <w:r w:rsidR="000C543E" w:rsidRPr="006D0F5F">
        <w:rPr>
          <w:color w:val="000000"/>
          <w:lang w:val="hu-HU"/>
        </w:rPr>
        <w:t>- és serdülő</w:t>
      </w:r>
      <w:r w:rsidRPr="006D0F5F">
        <w:rPr>
          <w:color w:val="000000"/>
          <w:lang w:val="hu-HU"/>
        </w:rPr>
        <w:t>korú beteget vontak be a dózis-eszkalációs I.</w:t>
      </w:r>
      <w:r w:rsidR="00A75DE0" w:rsidRPr="006D0F5F">
        <w:rPr>
          <w:color w:val="000000"/>
          <w:lang w:val="hu-HU"/>
        </w:rPr>
        <w:t xml:space="preserve"> fázisú</w:t>
      </w:r>
      <w:r w:rsidRPr="006D0F5F">
        <w:rPr>
          <w:color w:val="000000"/>
          <w:lang w:val="hu-HU"/>
        </w:rPr>
        <w:t xml:space="preserve"> vizsgálatba. Erősen előkezelt betegek voltak, 46%</w:t>
      </w:r>
      <w:r w:rsidRPr="006D0F5F">
        <w:rPr>
          <w:color w:val="000000"/>
          <w:lang w:val="hu-HU"/>
        </w:rPr>
        <w:noBreakHyphen/>
        <w:t>uk átesett már csontvelő-transzplantáción, illetve 73%</w:t>
      </w:r>
      <w:r w:rsidRPr="006D0F5F">
        <w:rPr>
          <w:color w:val="000000"/>
          <w:lang w:val="hu-HU"/>
        </w:rPr>
        <w:noBreakHyphen/>
        <w:t xml:space="preserve">uk előzetesen kombinált kemoterápiát kapott. A </w:t>
      </w:r>
      <w:r w:rsidR="00FF194C" w:rsidRPr="006D0F5F">
        <w:rPr>
          <w:color w:val="000000"/>
          <w:lang w:val="hu-HU"/>
        </w:rPr>
        <w:t>betegek</w:t>
      </w:r>
      <w:r w:rsidRPr="006D0F5F">
        <w:rPr>
          <w:color w:val="000000"/>
          <w:lang w:val="hu-HU"/>
        </w:rPr>
        <w:t xml:space="preserve"> Glivec dózisa 260 mg/m</w:t>
      </w:r>
      <w:r w:rsidRPr="006D0F5F">
        <w:rPr>
          <w:color w:val="000000"/>
          <w:vertAlign w:val="superscript"/>
          <w:lang w:val="hu-HU"/>
        </w:rPr>
        <w:t>2</w:t>
      </w:r>
      <w:r w:rsidRPr="006D0F5F">
        <w:rPr>
          <w:color w:val="000000"/>
          <w:lang w:val="hu-HU"/>
        </w:rPr>
        <w:t>/nap (n =</w:t>
      </w:r>
      <w:r w:rsidR="006963E4" w:rsidRPr="006D0F5F">
        <w:rPr>
          <w:color w:val="000000"/>
          <w:lang w:val="hu-HU"/>
        </w:rPr>
        <w:t> </w:t>
      </w:r>
      <w:r w:rsidRPr="006D0F5F">
        <w:rPr>
          <w:color w:val="000000"/>
          <w:lang w:val="hu-HU"/>
        </w:rPr>
        <w:t>5), 340 mg/m</w:t>
      </w:r>
      <w:r w:rsidRPr="006D0F5F">
        <w:rPr>
          <w:color w:val="000000"/>
          <w:vertAlign w:val="superscript"/>
          <w:lang w:val="hu-HU"/>
        </w:rPr>
        <w:t>2</w:t>
      </w:r>
      <w:r w:rsidRPr="006D0F5F">
        <w:rPr>
          <w:color w:val="000000"/>
          <w:lang w:val="hu-HU"/>
        </w:rPr>
        <w:t>/nap (n = 9), 440 mg/m</w:t>
      </w:r>
      <w:r w:rsidRPr="006D0F5F">
        <w:rPr>
          <w:color w:val="000000"/>
          <w:vertAlign w:val="superscript"/>
          <w:lang w:val="hu-HU"/>
        </w:rPr>
        <w:t>2</w:t>
      </w:r>
      <w:r w:rsidRPr="006D0F5F">
        <w:rPr>
          <w:color w:val="000000"/>
          <w:lang w:val="hu-HU"/>
        </w:rPr>
        <w:t>/nap (n = 7), ill. 570 mg/m</w:t>
      </w:r>
      <w:r w:rsidRPr="006D0F5F">
        <w:rPr>
          <w:color w:val="000000"/>
          <w:vertAlign w:val="superscript"/>
          <w:lang w:val="hu-HU"/>
        </w:rPr>
        <w:t>2</w:t>
      </w:r>
      <w:r w:rsidRPr="006D0F5F">
        <w:rPr>
          <w:color w:val="000000"/>
          <w:lang w:val="hu-HU"/>
        </w:rPr>
        <w:t>/nap (n = 5) volt. A krónikus fázisú CML</w:t>
      </w:r>
      <w:r w:rsidR="00A75DE0" w:rsidRPr="006D0F5F">
        <w:rPr>
          <w:color w:val="000000"/>
          <w:lang w:val="hu-HU"/>
        </w:rPr>
        <w:t>-es</w:t>
      </w:r>
      <w:r w:rsidRPr="006D0F5F">
        <w:rPr>
          <w:color w:val="000000"/>
          <w:lang w:val="hu-HU"/>
        </w:rPr>
        <w:t xml:space="preserve"> betegek közül 9</w:t>
      </w:r>
      <w:r w:rsidRPr="006D0F5F">
        <w:rPr>
          <w:color w:val="000000"/>
          <w:lang w:val="hu-HU"/>
        </w:rPr>
        <w:noBreakHyphen/>
        <w:t>nek a cytogenetikai adatai rendelkezésre állnak: közülük 4 (44%) ért el komplett, és 3 (33%) részleges cytogenetikai választ; ez 77%</w:t>
      </w:r>
      <w:r w:rsidRPr="00556B9B">
        <w:rPr>
          <w:color w:val="000000"/>
          <w:lang w:val="hu-HU"/>
        </w:rPr>
        <w:t xml:space="preserve"> MCyR</w:t>
      </w:r>
      <w:r w:rsidRPr="00556B9B">
        <w:rPr>
          <w:color w:val="000000"/>
          <w:lang w:val="hu-HU"/>
        </w:rPr>
        <w:noBreakHyphen/>
        <w:t>nek felel meg.</w:t>
      </w:r>
    </w:p>
    <w:p w14:paraId="11A56909" w14:textId="77777777" w:rsidR="00910FC8" w:rsidRPr="00556B9B" w:rsidRDefault="00910FC8">
      <w:pPr>
        <w:spacing w:line="240" w:lineRule="auto"/>
        <w:rPr>
          <w:color w:val="000000"/>
          <w:lang w:val="hu-HU"/>
        </w:rPr>
      </w:pPr>
    </w:p>
    <w:p w14:paraId="11BB29A8" w14:textId="7251A858" w:rsidR="00910FC8" w:rsidRPr="00556B9B" w:rsidRDefault="00910FC8">
      <w:pPr>
        <w:spacing w:line="240" w:lineRule="auto"/>
        <w:rPr>
          <w:color w:val="000000"/>
          <w:lang w:val="hu-HU"/>
        </w:rPr>
      </w:pPr>
      <w:r w:rsidRPr="00556B9B">
        <w:rPr>
          <w:color w:val="000000"/>
          <w:lang w:val="hu-HU"/>
        </w:rPr>
        <w:t>Összesen 51 újonnan diagnosztizált és kezeletlen krónikus fázisú CML</w:t>
      </w:r>
      <w:r w:rsidRPr="00556B9B">
        <w:rPr>
          <w:color w:val="000000"/>
          <w:lang w:val="hu-HU"/>
        </w:rPr>
        <w:noBreakHyphen/>
        <w:t xml:space="preserve">es gyermekgyógyászati beteget vontak be egy nyílt, multicentrikus, egy </w:t>
      </w:r>
      <w:r w:rsidRPr="006D0F5F">
        <w:rPr>
          <w:color w:val="000000"/>
          <w:lang w:val="hu-HU"/>
        </w:rPr>
        <w:t>vizsgálati karos, II</w:t>
      </w:r>
      <w:r w:rsidR="00FF194C" w:rsidRPr="006D0F5F">
        <w:rPr>
          <w:color w:val="000000"/>
          <w:lang w:val="hu-HU"/>
        </w:rPr>
        <w:t>. fázisú</w:t>
      </w:r>
      <w:r w:rsidRPr="006D0F5F">
        <w:rPr>
          <w:color w:val="000000"/>
          <w:lang w:val="hu-HU"/>
        </w:rPr>
        <w:t xml:space="preserve"> vizsgálatba. A Glivec dózisa 340 mg/m</w:t>
      </w:r>
      <w:r w:rsidRPr="006D0F5F">
        <w:rPr>
          <w:color w:val="000000"/>
          <w:vertAlign w:val="superscript"/>
          <w:lang w:val="hu-HU"/>
        </w:rPr>
        <w:t>2</w:t>
      </w:r>
      <w:r w:rsidRPr="006D0F5F">
        <w:rPr>
          <w:color w:val="000000"/>
          <w:lang w:val="hu-HU"/>
        </w:rPr>
        <w:t>/nap volt, dózislimitáló toxicitás hiányában a kezelést nem szakították meg. A Glivec</w:t>
      </w:r>
      <w:r w:rsidRPr="006D0F5F">
        <w:rPr>
          <w:color w:val="000000"/>
          <w:lang w:val="hu-HU"/>
        </w:rPr>
        <w:noBreakHyphen/>
        <w:t>kezelés gyors választ indukál az újonnan diagnosztizált gyermekgyógyászati CML</w:t>
      </w:r>
      <w:r w:rsidRPr="006D0F5F">
        <w:rPr>
          <w:color w:val="000000"/>
          <w:lang w:val="hu-HU"/>
        </w:rPr>
        <w:noBreakHyphen/>
        <w:t xml:space="preserve">es betegekben, és 8 hetes kezelés után a </w:t>
      </w:r>
      <w:smartTag w:uri="urn:schemas-microsoft-com:office:smarttags" w:element="stockticker">
        <w:r w:rsidRPr="006D0F5F">
          <w:rPr>
            <w:color w:val="000000"/>
            <w:lang w:val="hu-HU"/>
          </w:rPr>
          <w:t>CHR</w:t>
        </w:r>
      </w:smartTag>
      <w:r w:rsidRPr="006D0F5F">
        <w:rPr>
          <w:color w:val="000000"/>
          <w:lang w:val="hu-HU"/>
        </w:rPr>
        <w:t xml:space="preserve"> 78%. A </w:t>
      </w:r>
      <w:smartTag w:uri="urn:schemas-microsoft-com:office:smarttags" w:element="stockticker">
        <w:r w:rsidRPr="006D0F5F">
          <w:rPr>
            <w:color w:val="000000"/>
            <w:lang w:val="hu-HU"/>
          </w:rPr>
          <w:t>CHR</w:t>
        </w:r>
      </w:smartTag>
      <w:r w:rsidRPr="006D0F5F">
        <w:rPr>
          <w:color w:val="000000"/>
          <w:lang w:val="hu-HU"/>
        </w:rPr>
        <w:t xml:space="preserve"> magas arányához 65%</w:t>
      </w:r>
      <w:r w:rsidRPr="006D0F5F">
        <w:rPr>
          <w:color w:val="000000"/>
          <w:lang w:val="hu-HU"/>
        </w:rPr>
        <w:noBreakHyphen/>
        <w:t>os komplett cytogenetikai válasz (CCyR) társul, ami hasonló a felnőttek</w:t>
      </w:r>
      <w:r w:rsidR="005F628A" w:rsidRPr="006D0F5F">
        <w:rPr>
          <w:color w:val="000000"/>
          <w:lang w:val="hu-HU"/>
        </w:rPr>
        <w:t>nél</w:t>
      </w:r>
      <w:r w:rsidRPr="006D0F5F">
        <w:rPr>
          <w:color w:val="000000"/>
          <w:lang w:val="hu-HU"/>
        </w:rPr>
        <w:t xml:space="preserve"> látott eredményekhez. Ezenkívül 16%</w:t>
      </w:r>
      <w:r w:rsidRPr="006D0F5F">
        <w:rPr>
          <w:color w:val="000000"/>
          <w:lang w:val="hu-HU"/>
        </w:rPr>
        <w:noBreakHyphen/>
        <w:t>ban figyeltek meg részleges cytogenetikai választ (PCyR); ez 81% MCyR</w:t>
      </w:r>
      <w:r w:rsidRPr="006D0F5F">
        <w:rPr>
          <w:color w:val="000000"/>
          <w:lang w:val="hu-HU"/>
        </w:rPr>
        <w:noBreakHyphen/>
        <w:t>nek felel meg. A CCyR</w:t>
      </w:r>
      <w:r w:rsidRPr="006D0F5F">
        <w:rPr>
          <w:color w:val="000000"/>
          <w:lang w:val="hu-HU"/>
        </w:rPr>
        <w:noBreakHyphen/>
        <w:t>t elérő betegek többségében a 3. és a 10. hónap között alakult ki a CCyR, és a válaszig eltelt idő mediánértéke a Kaplan-Meier becslés szerint 5,6 hónap.</w:t>
      </w:r>
    </w:p>
    <w:p w14:paraId="5439CC06" w14:textId="77777777" w:rsidR="00910FC8" w:rsidRPr="00556B9B" w:rsidRDefault="00910FC8">
      <w:pPr>
        <w:rPr>
          <w:color w:val="000000"/>
          <w:u w:val="single"/>
          <w:lang w:val="hu-HU"/>
        </w:rPr>
      </w:pPr>
    </w:p>
    <w:p w14:paraId="4854F2A6" w14:textId="77777777" w:rsidR="009A10DF" w:rsidRPr="00556B9B" w:rsidRDefault="009A10DF" w:rsidP="008E7DF7">
      <w:pPr>
        <w:rPr>
          <w:rFonts w:eastAsia="SimSun"/>
          <w:color w:val="000000"/>
          <w:szCs w:val="22"/>
          <w:lang w:val="hu-HU" w:eastAsia="zh-CN"/>
        </w:rPr>
      </w:pPr>
      <w:r w:rsidRPr="00556B9B">
        <w:rPr>
          <w:rFonts w:eastAsia="SimSun"/>
          <w:color w:val="000000"/>
          <w:szCs w:val="22"/>
          <w:lang w:val="hu-HU" w:eastAsia="zh-CN"/>
        </w:rPr>
        <w:t xml:space="preserve">Az Európai Gyógyszerügynökség </w:t>
      </w:r>
      <w:r w:rsidR="0057321F" w:rsidRPr="00556B9B">
        <w:rPr>
          <w:noProof/>
          <w:szCs w:val="22"/>
          <w:lang w:val="hu-HU" w:eastAsia="en-US"/>
        </w:rPr>
        <w:t xml:space="preserve">a gyermekpopuláció minden alcsoportjánál eltekint </w:t>
      </w:r>
      <w:r w:rsidR="0057321F" w:rsidRPr="00556B9B">
        <w:rPr>
          <w:rFonts w:eastAsia="SimSun"/>
          <w:color w:val="000000"/>
          <w:szCs w:val="22"/>
          <w:lang w:val="hu-HU" w:eastAsia="zh-CN"/>
        </w:rPr>
        <w:t>a Glivec vizsgálati eredményeinek benyújtási kötelezettségétől</w:t>
      </w:r>
      <w:r w:rsidR="00AD7AE2" w:rsidRPr="00556B9B">
        <w:rPr>
          <w:rFonts w:eastAsia="SimSun"/>
          <w:color w:val="000000"/>
          <w:szCs w:val="22"/>
          <w:lang w:val="hu-HU" w:eastAsia="zh-CN"/>
        </w:rPr>
        <w:t xml:space="preserve"> </w:t>
      </w:r>
      <w:r w:rsidR="00AD7AE2" w:rsidRPr="00556B9B">
        <w:rPr>
          <w:color w:val="000000"/>
          <w:lang w:val="hu-HU"/>
        </w:rPr>
        <w:t>Philadelphia kromoszóma (bcr</w:t>
      </w:r>
      <w:r w:rsidR="00AD7AE2" w:rsidRPr="00556B9B">
        <w:rPr>
          <w:color w:val="000000"/>
          <w:lang w:val="hu-HU"/>
        </w:rPr>
        <w:noBreakHyphen/>
        <w:t>abl</w:t>
      </w:r>
      <w:r w:rsidR="0057321F" w:rsidRPr="00556B9B">
        <w:rPr>
          <w:color w:val="000000"/>
          <w:lang w:val="hu-HU"/>
        </w:rPr>
        <w:t xml:space="preserve"> </w:t>
      </w:r>
      <w:r w:rsidR="0057321F" w:rsidRPr="00556B9B">
        <w:rPr>
          <w:color w:val="000000"/>
          <w:lang w:val="hu-HU"/>
        </w:rPr>
        <w:lastRenderedPageBreak/>
        <w:t>transzlokáció</w:t>
      </w:r>
      <w:r w:rsidR="00AD7AE2" w:rsidRPr="00556B9B">
        <w:rPr>
          <w:color w:val="000000"/>
          <w:lang w:val="hu-HU"/>
        </w:rPr>
        <w:t>)-pozitív (Ph+) krónikus myeloid leukaemiában</w:t>
      </w:r>
      <w:r w:rsidR="00AD7AE2" w:rsidRPr="00556B9B">
        <w:rPr>
          <w:rFonts w:eastAsia="SimSun"/>
          <w:color w:val="000000"/>
          <w:szCs w:val="22"/>
          <w:lang w:val="hu-HU" w:eastAsia="zh-CN"/>
        </w:rPr>
        <w:t xml:space="preserve"> (lásd 4.2 pont, gyermekgyógyászati </w:t>
      </w:r>
      <w:r w:rsidR="0057321F" w:rsidRPr="00556B9B">
        <w:rPr>
          <w:noProof/>
          <w:szCs w:val="22"/>
          <w:lang w:val="hu-HU" w:eastAsia="en-US"/>
        </w:rPr>
        <w:t xml:space="preserve">alkalmazásra vonatkozó </w:t>
      </w:r>
      <w:r w:rsidR="00AD7AE2" w:rsidRPr="00556B9B">
        <w:rPr>
          <w:rFonts w:eastAsia="SimSun"/>
          <w:color w:val="000000"/>
          <w:szCs w:val="22"/>
          <w:lang w:val="hu-HU" w:eastAsia="zh-CN"/>
        </w:rPr>
        <w:t>információk)</w:t>
      </w:r>
      <w:r w:rsidRPr="00556B9B">
        <w:rPr>
          <w:rFonts w:eastAsia="SimSun"/>
          <w:color w:val="000000"/>
          <w:szCs w:val="22"/>
          <w:lang w:val="hu-HU" w:eastAsia="zh-CN"/>
        </w:rPr>
        <w:t>.</w:t>
      </w:r>
    </w:p>
    <w:p w14:paraId="7DED966E" w14:textId="77777777" w:rsidR="009A10DF" w:rsidRPr="00556B9B" w:rsidRDefault="009A10DF">
      <w:pPr>
        <w:rPr>
          <w:color w:val="000000"/>
          <w:u w:val="single"/>
          <w:lang w:val="hu-HU"/>
        </w:rPr>
      </w:pPr>
    </w:p>
    <w:p w14:paraId="1EB0E8C8" w14:textId="77777777" w:rsidR="00910FC8" w:rsidRPr="006D0F5F" w:rsidRDefault="00910FC8" w:rsidP="005C6E7A">
      <w:pPr>
        <w:keepNext/>
        <w:rPr>
          <w:color w:val="000000"/>
          <w:lang w:val="hu-HU"/>
        </w:rPr>
      </w:pPr>
      <w:r w:rsidRPr="006D0F5F">
        <w:rPr>
          <w:color w:val="000000"/>
          <w:u w:val="single"/>
          <w:lang w:val="hu-HU"/>
        </w:rPr>
        <w:t xml:space="preserve">Klinikai vizsgálatok Ph+ </w:t>
      </w:r>
      <w:smartTag w:uri="urn:schemas-microsoft-com:office:smarttags" w:element="stockticker">
        <w:r w:rsidRPr="006D0F5F">
          <w:rPr>
            <w:color w:val="000000"/>
            <w:u w:val="single"/>
            <w:lang w:val="hu-HU"/>
          </w:rPr>
          <w:t>ALL</w:t>
        </w:r>
      </w:smartTag>
      <w:r w:rsidRPr="006D0F5F">
        <w:rPr>
          <w:color w:val="000000"/>
          <w:u w:val="single"/>
          <w:lang w:val="hu-HU"/>
        </w:rPr>
        <w:noBreakHyphen/>
        <w:t>ben</w:t>
      </w:r>
    </w:p>
    <w:p w14:paraId="03DF0D03" w14:textId="37D65903" w:rsidR="00910FC8" w:rsidRPr="00556B9B" w:rsidRDefault="00910FC8">
      <w:pPr>
        <w:rPr>
          <w:color w:val="000000"/>
          <w:lang w:val="hu-HU"/>
        </w:rPr>
      </w:pPr>
      <w:r w:rsidRPr="006D0F5F">
        <w:rPr>
          <w:i/>
          <w:color w:val="000000"/>
          <w:lang w:val="hu-HU"/>
        </w:rPr>
        <w:t xml:space="preserve">Újonnan diagnosztizált Ph+ </w:t>
      </w:r>
      <w:smartTag w:uri="urn:schemas-microsoft-com:office:smarttags" w:element="stockticker">
        <w:r w:rsidRPr="006D0F5F">
          <w:rPr>
            <w:i/>
            <w:color w:val="000000"/>
            <w:lang w:val="hu-HU"/>
          </w:rPr>
          <w:t>ALL</w:t>
        </w:r>
      </w:smartTag>
      <w:r w:rsidRPr="006D0F5F">
        <w:rPr>
          <w:i/>
          <w:color w:val="000000"/>
          <w:lang w:val="hu-HU"/>
        </w:rPr>
        <w:t>:</w:t>
      </w:r>
      <w:r w:rsidRPr="006D0F5F">
        <w:rPr>
          <w:color w:val="000000"/>
          <w:lang w:val="hu-HU"/>
        </w:rPr>
        <w:t xml:space="preserve"> Egy kontroll</w:t>
      </w:r>
      <w:r w:rsidR="005F628A" w:rsidRPr="006D0F5F">
        <w:rPr>
          <w:color w:val="000000"/>
          <w:lang w:val="hu-HU"/>
        </w:rPr>
        <w:t>os</w:t>
      </w:r>
      <w:r w:rsidRPr="006D0F5F">
        <w:rPr>
          <w:color w:val="000000"/>
          <w:lang w:val="hu-HU"/>
        </w:rPr>
        <w:t xml:space="preserve"> vizsgálatban (ADE10) 55 újonnan diagnosztizált, 55 éves vagy idősebb beteg</w:t>
      </w:r>
      <w:r w:rsidR="005F628A" w:rsidRPr="006D0F5F">
        <w:rPr>
          <w:color w:val="000000"/>
          <w:lang w:val="hu-HU"/>
        </w:rPr>
        <w:t>nél</w:t>
      </w:r>
      <w:r w:rsidRPr="006D0F5F">
        <w:rPr>
          <w:color w:val="000000"/>
          <w:lang w:val="hu-HU"/>
        </w:rPr>
        <w:t xml:space="preserve"> hasonlították össze az imatinibbel</w:t>
      </w:r>
      <w:r w:rsidRPr="00556B9B">
        <w:rPr>
          <w:color w:val="000000"/>
          <w:lang w:val="hu-HU"/>
        </w:rPr>
        <w:t>, illetve a kemoterápiával történő indukciós kezelést. Az imatinib monoterápia szignifikánsan magasabb arányban indukált komplett hematológiai választ, mint a kemoterápia (96,3% vs. 50%; p</w:t>
      </w:r>
      <w:r w:rsidR="00974495" w:rsidRPr="00556B9B">
        <w:rPr>
          <w:color w:val="000000"/>
          <w:lang w:val="hu-HU"/>
        </w:rPr>
        <w:t> </w:t>
      </w:r>
      <w:r w:rsidRPr="00556B9B">
        <w:rPr>
          <w:color w:val="000000"/>
          <w:lang w:val="hu-HU"/>
        </w:rPr>
        <w:t>=</w:t>
      </w:r>
      <w:r w:rsidR="00974495" w:rsidRPr="00556B9B">
        <w:rPr>
          <w:color w:val="000000"/>
          <w:lang w:val="hu-HU"/>
        </w:rPr>
        <w:t> </w:t>
      </w:r>
      <w:r w:rsidRPr="00556B9B">
        <w:rPr>
          <w:color w:val="000000"/>
          <w:lang w:val="hu-HU"/>
        </w:rPr>
        <w:t>0,0001). Amikor a kemoterápiára nem vagy rosszul reagáló betegeknek „salvage” kezelésként imatinibet adtak, 11 betegből 9 esetében (81,8%) komplett hematológiai választ értek el. Ezen klinikai hatáshoz a bcr</w:t>
      </w:r>
      <w:r w:rsidRPr="00556B9B">
        <w:rPr>
          <w:color w:val="000000"/>
          <w:lang w:val="hu-HU"/>
        </w:rPr>
        <w:noBreakHyphen/>
        <w:t>abl transzkripció nagyobb mértékű csökkenése társult az imatinibbel kezelt betegekben, mint a kemoterápiás vizsgálati karban a 2 hetes kezelés után (p</w:t>
      </w:r>
      <w:r w:rsidR="00974495" w:rsidRPr="00556B9B">
        <w:rPr>
          <w:color w:val="000000"/>
          <w:lang w:val="hu-HU"/>
        </w:rPr>
        <w:t> </w:t>
      </w:r>
      <w:r w:rsidRPr="00556B9B">
        <w:rPr>
          <w:color w:val="000000"/>
          <w:lang w:val="hu-HU"/>
        </w:rPr>
        <w:t>=</w:t>
      </w:r>
      <w:r w:rsidR="00974495" w:rsidRPr="00556B9B">
        <w:rPr>
          <w:color w:val="000000"/>
          <w:lang w:val="hu-HU"/>
        </w:rPr>
        <w:t> </w:t>
      </w:r>
      <w:r w:rsidRPr="00556B9B">
        <w:rPr>
          <w:color w:val="000000"/>
          <w:lang w:val="hu-HU"/>
        </w:rPr>
        <w:t xml:space="preserve">0,02). Az indukciót követően minden beteg imatinibet és konszolidációs kemoterápiát (lásd </w:t>
      </w:r>
      <w:r w:rsidR="00053E70" w:rsidRPr="00556B9B">
        <w:rPr>
          <w:color w:val="000000"/>
          <w:lang w:val="hu-HU"/>
        </w:rPr>
        <w:t>4</w:t>
      </w:r>
      <w:r w:rsidRPr="00556B9B">
        <w:rPr>
          <w:color w:val="000000"/>
          <w:lang w:val="hu-HU"/>
        </w:rPr>
        <w:t>. táblázat) kapott, és a 8. héten a bcr</w:t>
      </w:r>
      <w:r w:rsidRPr="00556B9B">
        <w:rPr>
          <w:color w:val="000000"/>
          <w:lang w:val="hu-HU"/>
        </w:rPr>
        <w:noBreakHyphen/>
        <w:t>abl transzkriptum szintje mindkét vizsgálati karban azonos volt. Amint az a vizsgálat elrendezése alapján várható volt, nem figyeltek meg különbséget a remisszió időtartama, a betegségmentes túlélés vagy a teljes túlélés terén, bár a teljes molekuláris választ mutató és minimális reziduális betegségben szenvedő betegeknél jobb kimenetet láttak mind a remisszió időtartama (p</w:t>
      </w:r>
      <w:r w:rsidR="00974495" w:rsidRPr="00556B9B">
        <w:rPr>
          <w:color w:val="000000"/>
          <w:lang w:val="hu-HU"/>
        </w:rPr>
        <w:t> </w:t>
      </w:r>
      <w:r w:rsidRPr="00556B9B">
        <w:rPr>
          <w:color w:val="000000"/>
          <w:lang w:val="hu-HU"/>
        </w:rPr>
        <w:t>=</w:t>
      </w:r>
      <w:r w:rsidR="00974495" w:rsidRPr="00556B9B">
        <w:rPr>
          <w:color w:val="000000"/>
          <w:lang w:val="hu-HU"/>
        </w:rPr>
        <w:t> </w:t>
      </w:r>
      <w:r w:rsidRPr="00556B9B">
        <w:rPr>
          <w:color w:val="000000"/>
          <w:lang w:val="hu-HU"/>
        </w:rPr>
        <w:t>0,01), mind a betegségmentes túlélés (p</w:t>
      </w:r>
      <w:r w:rsidR="00974495" w:rsidRPr="00556B9B">
        <w:rPr>
          <w:color w:val="000000"/>
          <w:lang w:val="hu-HU"/>
        </w:rPr>
        <w:t> </w:t>
      </w:r>
      <w:r w:rsidRPr="00556B9B">
        <w:rPr>
          <w:color w:val="000000"/>
          <w:lang w:val="hu-HU"/>
        </w:rPr>
        <w:t>=</w:t>
      </w:r>
      <w:r w:rsidR="00974495" w:rsidRPr="00556B9B">
        <w:rPr>
          <w:color w:val="000000"/>
          <w:lang w:val="hu-HU"/>
        </w:rPr>
        <w:t> </w:t>
      </w:r>
      <w:r w:rsidRPr="00556B9B">
        <w:rPr>
          <w:color w:val="000000"/>
          <w:lang w:val="hu-HU"/>
        </w:rPr>
        <w:t>0,02) terén.</w:t>
      </w:r>
    </w:p>
    <w:p w14:paraId="1F02E317" w14:textId="77777777" w:rsidR="00910FC8" w:rsidRPr="00556B9B" w:rsidRDefault="00910FC8">
      <w:pPr>
        <w:rPr>
          <w:color w:val="000000"/>
          <w:lang w:val="hu-HU"/>
        </w:rPr>
      </w:pPr>
    </w:p>
    <w:p w14:paraId="4CCEA945" w14:textId="77777777" w:rsidR="00910FC8" w:rsidRPr="00556B9B" w:rsidRDefault="00910FC8">
      <w:pPr>
        <w:rPr>
          <w:color w:val="000000"/>
          <w:lang w:val="hu-HU"/>
        </w:rPr>
      </w:pPr>
      <w:r w:rsidRPr="00556B9B">
        <w:rPr>
          <w:color w:val="000000"/>
          <w:lang w:val="hu-HU"/>
        </w:rPr>
        <w:t xml:space="preserve">211 újonnan diagnosztizált Ph+ </w:t>
      </w:r>
      <w:smartTag w:uri="urn:schemas-microsoft-com:office:smarttags" w:element="stockticker">
        <w:r w:rsidRPr="00556B9B">
          <w:rPr>
            <w:color w:val="000000"/>
            <w:lang w:val="hu-HU"/>
          </w:rPr>
          <w:t>ALL</w:t>
        </w:r>
      </w:smartTag>
      <w:r w:rsidRPr="00556B9B">
        <w:rPr>
          <w:color w:val="000000"/>
          <w:lang w:val="hu-HU"/>
        </w:rPr>
        <w:noBreakHyphen/>
        <w:t xml:space="preserve">es betegből álló mintán végzett négy, nem kontrollált klinikai vizsgálat (AAU02, ADE04, AJP01 és AUS01) eredményei összhangban vannak a fent ismertetett eredményekkel. Az imatinib indukciós kemoterápiával (lásd </w:t>
      </w:r>
      <w:r w:rsidR="00053E70" w:rsidRPr="00556B9B">
        <w:rPr>
          <w:color w:val="000000"/>
          <w:lang w:val="hu-HU"/>
        </w:rPr>
        <w:t>4</w:t>
      </w:r>
      <w:r w:rsidRPr="00556B9B">
        <w:rPr>
          <w:color w:val="000000"/>
          <w:lang w:val="hu-HU"/>
        </w:rPr>
        <w:t>. táblázat) kombinációban adva 93%</w:t>
      </w:r>
      <w:r w:rsidRPr="00556B9B">
        <w:rPr>
          <w:color w:val="000000"/>
          <w:lang w:val="hu-HU"/>
        </w:rPr>
        <w:noBreakHyphen/>
        <w:t>os komplett hematológiai válaszarányt (a 158 értékelhető betegből 147) és 90%</w:t>
      </w:r>
      <w:r w:rsidRPr="00556B9B">
        <w:rPr>
          <w:color w:val="000000"/>
          <w:lang w:val="hu-HU"/>
        </w:rPr>
        <w:noBreakHyphen/>
        <w:t xml:space="preserve">os </w:t>
      </w:r>
      <w:r w:rsidR="000B2EBD" w:rsidRPr="00556B9B">
        <w:rPr>
          <w:color w:val="000000"/>
          <w:lang w:val="hu-HU"/>
        </w:rPr>
        <w:t>nagyfokú</w:t>
      </w:r>
      <w:r w:rsidRPr="00556B9B">
        <w:rPr>
          <w:color w:val="000000"/>
          <w:lang w:val="hu-HU"/>
        </w:rPr>
        <w:t xml:space="preserve"> cytogenetikai válaszarányt (a 21 értékelhető betegből 19) eredményezett. A komplett molekuláris válaszarány 48% volt (a 102 értékelhető betegből 49). Két vizsgálatban (AJP01 és AUS01) a betegségmentes túlélés (</w:t>
      </w:r>
      <w:smartTag w:uri="urn:schemas-microsoft-com:office:smarttags" w:element="stockticker">
        <w:r w:rsidRPr="00556B9B">
          <w:rPr>
            <w:color w:val="000000"/>
            <w:lang w:val="hu-HU"/>
          </w:rPr>
          <w:t>DFS</w:t>
        </w:r>
      </w:smartTag>
      <w:r w:rsidRPr="00556B9B">
        <w:rPr>
          <w:color w:val="000000"/>
          <w:lang w:val="hu-HU"/>
        </w:rPr>
        <w:t>) és a teljes túlélés (OS) folyamatosan meghaladta az 1 évet, és jobb volt a történeti kontrollhoz (</w:t>
      </w:r>
      <w:smartTag w:uri="urn:schemas-microsoft-com:office:smarttags" w:element="stockticker">
        <w:r w:rsidRPr="00556B9B">
          <w:rPr>
            <w:color w:val="000000"/>
            <w:szCs w:val="22"/>
            <w:lang w:val="hu-HU"/>
          </w:rPr>
          <w:t>DFS</w:t>
        </w:r>
      </w:smartTag>
      <w:r w:rsidRPr="00556B9B">
        <w:rPr>
          <w:color w:val="000000"/>
          <w:szCs w:val="22"/>
          <w:lang w:val="hu-HU"/>
        </w:rPr>
        <w:t xml:space="preserve"> p</w:t>
      </w:r>
      <w:r w:rsidR="00974495" w:rsidRPr="00556B9B">
        <w:rPr>
          <w:color w:val="000000"/>
          <w:szCs w:val="22"/>
          <w:lang w:val="hu-HU"/>
        </w:rPr>
        <w:t> </w:t>
      </w:r>
      <w:r w:rsidRPr="00556B9B">
        <w:rPr>
          <w:color w:val="000000"/>
          <w:szCs w:val="22"/>
          <w:lang w:val="hu-HU"/>
        </w:rPr>
        <w:t>&lt; 0,001; OS p</w:t>
      </w:r>
      <w:r w:rsidR="00974495" w:rsidRPr="00556B9B">
        <w:rPr>
          <w:color w:val="000000"/>
          <w:szCs w:val="22"/>
          <w:lang w:val="hu-HU"/>
        </w:rPr>
        <w:t> </w:t>
      </w:r>
      <w:r w:rsidRPr="00556B9B">
        <w:rPr>
          <w:color w:val="000000"/>
          <w:szCs w:val="22"/>
          <w:lang w:val="hu-HU"/>
        </w:rPr>
        <w:t xml:space="preserve">&lt; 0,0001) </w:t>
      </w:r>
      <w:r w:rsidRPr="00556B9B">
        <w:rPr>
          <w:color w:val="000000"/>
          <w:lang w:val="hu-HU"/>
        </w:rPr>
        <w:t>viszonyítva.</w:t>
      </w:r>
    </w:p>
    <w:p w14:paraId="2F409396" w14:textId="77777777" w:rsidR="00910FC8" w:rsidRPr="00556B9B" w:rsidRDefault="00910FC8">
      <w:pPr>
        <w:rPr>
          <w:color w:val="000000"/>
          <w:lang w:val="hu-HU"/>
        </w:rPr>
      </w:pPr>
    </w:p>
    <w:p w14:paraId="5B6A9AF6" w14:textId="77777777" w:rsidR="00910FC8" w:rsidRPr="00556B9B" w:rsidRDefault="00053E70" w:rsidP="005C6E7A">
      <w:pPr>
        <w:pStyle w:val="EndnoteText"/>
        <w:keepNext/>
        <w:keepLines/>
        <w:widowControl w:val="0"/>
        <w:ind w:left="1134" w:hanging="1134"/>
        <w:rPr>
          <w:b/>
          <w:bCs/>
          <w:color w:val="000000"/>
          <w:szCs w:val="22"/>
          <w:lang w:val="hu-HU"/>
        </w:rPr>
      </w:pPr>
      <w:r w:rsidRPr="00556B9B">
        <w:rPr>
          <w:b/>
          <w:bCs/>
          <w:color w:val="000000"/>
          <w:szCs w:val="22"/>
          <w:lang w:val="hu-HU"/>
        </w:rPr>
        <w:t>4</w:t>
      </w:r>
      <w:r w:rsidR="00910FC8" w:rsidRPr="00556B9B">
        <w:rPr>
          <w:b/>
          <w:bCs/>
          <w:color w:val="000000"/>
          <w:szCs w:val="22"/>
          <w:lang w:val="hu-HU"/>
        </w:rPr>
        <w:t>. táblázat</w:t>
      </w:r>
      <w:r w:rsidR="00910FC8" w:rsidRPr="00556B9B">
        <w:rPr>
          <w:b/>
          <w:bCs/>
          <w:color w:val="000000"/>
          <w:szCs w:val="22"/>
          <w:lang w:val="hu-HU"/>
        </w:rPr>
        <w:tab/>
        <w:t>Kemoterápiás</w:t>
      </w:r>
      <w:r w:rsidR="00910FC8" w:rsidRPr="00556B9B">
        <w:rPr>
          <w:b/>
          <w:color w:val="000000"/>
          <w:szCs w:val="22"/>
          <w:lang w:val="hu-HU"/>
        </w:rPr>
        <w:t xml:space="preserve"> kezelési protokollok, amelyeket az imatinibbel kombinációban alkalmaztak</w:t>
      </w:r>
    </w:p>
    <w:p w14:paraId="23C7B56C" w14:textId="77777777" w:rsidR="00910FC8" w:rsidRPr="00556B9B" w:rsidRDefault="00910FC8" w:rsidP="005C6E7A">
      <w:pPr>
        <w:pStyle w:val="EndnoteText"/>
        <w:keepNext/>
        <w:widowControl w:val="0"/>
        <w:rPr>
          <w:color w:val="000000"/>
          <w:szCs w:val="22"/>
          <w:lang w:val="hu-HU"/>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910FC8" w:rsidRPr="00556B9B" w14:paraId="118B02B0" w14:textId="77777777" w:rsidTr="005C6E7A">
        <w:trPr>
          <w:cantSplit/>
        </w:trPr>
        <w:tc>
          <w:tcPr>
            <w:tcW w:w="2148" w:type="dxa"/>
            <w:tcBorders>
              <w:top w:val="single" w:sz="4" w:space="0" w:color="auto"/>
              <w:bottom w:val="single" w:sz="4" w:space="0" w:color="auto"/>
            </w:tcBorders>
            <w:shd w:val="clear" w:color="auto" w:fill="auto"/>
          </w:tcPr>
          <w:p w14:paraId="3F87B2D9"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b/>
                <w:color w:val="000000"/>
                <w:sz w:val="22"/>
                <w:szCs w:val="22"/>
                <w:lang w:val="hu-HU"/>
              </w:rPr>
              <w:t>ADE10 vizsgálat</w:t>
            </w:r>
          </w:p>
        </w:tc>
        <w:tc>
          <w:tcPr>
            <w:tcW w:w="6732" w:type="dxa"/>
            <w:gridSpan w:val="4"/>
            <w:tcBorders>
              <w:top w:val="single" w:sz="4" w:space="0" w:color="auto"/>
              <w:bottom w:val="single" w:sz="4" w:space="0" w:color="auto"/>
            </w:tcBorders>
            <w:shd w:val="clear" w:color="auto" w:fill="auto"/>
          </w:tcPr>
          <w:p w14:paraId="53E4F4AA"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r>
      <w:tr w:rsidR="00910FC8" w:rsidRPr="001D3D33" w14:paraId="26F437CE" w14:textId="77777777" w:rsidTr="005C6E7A">
        <w:trPr>
          <w:cantSplit/>
        </w:trPr>
        <w:tc>
          <w:tcPr>
            <w:tcW w:w="2148" w:type="dxa"/>
            <w:tcBorders>
              <w:top w:val="single" w:sz="4" w:space="0" w:color="auto"/>
              <w:bottom w:val="single" w:sz="4" w:space="0" w:color="auto"/>
            </w:tcBorders>
            <w:shd w:val="clear" w:color="auto" w:fill="auto"/>
          </w:tcPr>
          <w:p w14:paraId="1CF2E71E"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Előfázis</w:t>
            </w:r>
          </w:p>
        </w:tc>
        <w:tc>
          <w:tcPr>
            <w:tcW w:w="6732" w:type="dxa"/>
            <w:gridSpan w:val="4"/>
            <w:tcBorders>
              <w:top w:val="single" w:sz="4" w:space="0" w:color="auto"/>
              <w:bottom w:val="single" w:sz="4" w:space="0" w:color="auto"/>
            </w:tcBorders>
            <w:shd w:val="clear" w:color="auto" w:fill="auto"/>
          </w:tcPr>
          <w:p w14:paraId="2D9920D3" w14:textId="77777777" w:rsidR="00EF7533"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p w14:paraId="668CF799" w14:textId="77777777" w:rsidR="00EF7533"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200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 3., 4., 5. napon;</w:t>
            </w:r>
          </w:p>
          <w:p w14:paraId="49038438"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MTX 12 mg intrathecalis alkalmazás az 1. napon</w:t>
            </w:r>
          </w:p>
        </w:tc>
      </w:tr>
      <w:tr w:rsidR="00910FC8" w:rsidRPr="001D3D33" w14:paraId="7810A3BE" w14:textId="77777777" w:rsidTr="005C6E7A">
        <w:trPr>
          <w:cantSplit/>
        </w:trPr>
        <w:tc>
          <w:tcPr>
            <w:tcW w:w="2148" w:type="dxa"/>
            <w:tcBorders>
              <w:top w:val="single" w:sz="4" w:space="0" w:color="auto"/>
              <w:bottom w:val="single" w:sz="4" w:space="0" w:color="auto"/>
            </w:tcBorders>
            <w:shd w:val="clear" w:color="auto" w:fill="auto"/>
          </w:tcPr>
          <w:p w14:paraId="020D9D0D"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Remisszió indukció</w:t>
            </w:r>
          </w:p>
        </w:tc>
        <w:tc>
          <w:tcPr>
            <w:tcW w:w="6732" w:type="dxa"/>
            <w:gridSpan w:val="4"/>
            <w:tcBorders>
              <w:top w:val="single" w:sz="4" w:space="0" w:color="auto"/>
              <w:bottom w:val="single" w:sz="4" w:space="0" w:color="auto"/>
            </w:tcBorders>
            <w:shd w:val="clear" w:color="auto" w:fill="auto"/>
          </w:tcPr>
          <w:p w14:paraId="5F4EAC93"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 6</w:t>
            </w:r>
            <w:r w:rsidRPr="00556B9B">
              <w:rPr>
                <w:rFonts w:ascii="Times New Roman" w:hAnsi="Times New Roman"/>
                <w:color w:val="000000"/>
                <w:sz w:val="22"/>
                <w:szCs w:val="22"/>
                <w:lang w:val="hu-HU"/>
              </w:rPr>
              <w:noBreakHyphen/>
              <w:t>7. és 13</w:t>
            </w:r>
            <w:r w:rsidRPr="00556B9B">
              <w:rPr>
                <w:rFonts w:ascii="Times New Roman" w:hAnsi="Times New Roman"/>
                <w:color w:val="000000"/>
                <w:sz w:val="22"/>
                <w:szCs w:val="22"/>
                <w:lang w:val="hu-HU"/>
              </w:rPr>
              <w:noBreakHyphen/>
              <w:t>16. napon,;</w:t>
            </w:r>
          </w:p>
          <w:p w14:paraId="683F6DBA"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VCR 1 mg i.v. a 7. és 14. napon;</w:t>
            </w:r>
          </w:p>
          <w:p w14:paraId="64615FBF" w14:textId="77777777" w:rsidR="00993148" w:rsidRPr="00556B9B" w:rsidRDefault="00910FC8" w:rsidP="005C6E7A">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IDA</w:t>
              </w:r>
            </w:smartTag>
            <w:r w:rsidRPr="00556B9B">
              <w:rPr>
                <w:rFonts w:ascii="Times New Roman" w:hAnsi="Times New Roman"/>
                <w:color w:val="000000"/>
                <w:sz w:val="22"/>
                <w:szCs w:val="22"/>
                <w:lang w:val="hu-HU"/>
              </w:rPr>
              <w:t xml:space="preserve"> 8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(0,5 órás), a 7., 8., 14. és 15. napon;</w:t>
            </w:r>
          </w:p>
          <w:p w14:paraId="06A300CD"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500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az 1. napon;</w:t>
            </w:r>
          </w:p>
          <w:p w14:paraId="366266DB"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 22</w:t>
            </w:r>
            <w:r w:rsidRPr="00556B9B">
              <w:rPr>
                <w:rFonts w:ascii="Times New Roman" w:hAnsi="Times New Roman"/>
                <w:color w:val="000000"/>
                <w:sz w:val="22"/>
                <w:szCs w:val="22"/>
                <w:lang w:val="hu-HU"/>
              </w:rPr>
              <w:noBreakHyphen/>
              <w:t>25. és 29</w:t>
            </w:r>
            <w:r w:rsidRPr="00556B9B">
              <w:rPr>
                <w:rFonts w:ascii="Times New Roman" w:hAnsi="Times New Roman"/>
                <w:color w:val="000000"/>
                <w:sz w:val="22"/>
                <w:szCs w:val="22"/>
                <w:lang w:val="hu-HU"/>
              </w:rPr>
              <w:noBreakHyphen/>
              <w:t>32. napon</w:t>
            </w:r>
          </w:p>
        </w:tc>
      </w:tr>
      <w:tr w:rsidR="00910FC8" w:rsidRPr="00556B9B" w14:paraId="4306FD39" w14:textId="77777777" w:rsidTr="005C6E7A">
        <w:trPr>
          <w:cantSplit/>
        </w:trPr>
        <w:tc>
          <w:tcPr>
            <w:tcW w:w="2148" w:type="dxa"/>
            <w:tcBorders>
              <w:top w:val="single" w:sz="4" w:space="0" w:color="auto"/>
              <w:bottom w:val="single" w:sz="4" w:space="0" w:color="auto"/>
            </w:tcBorders>
            <w:shd w:val="clear" w:color="auto" w:fill="auto"/>
          </w:tcPr>
          <w:p w14:paraId="3166951A"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 xml:space="preserve">Konszolidációs terápia I, </w:t>
            </w:r>
            <w:smartTag w:uri="urn:schemas-microsoft-com:office:smarttags" w:element="stockticker">
              <w:r w:rsidRPr="00556B9B">
                <w:rPr>
                  <w:rFonts w:ascii="Times New Roman" w:hAnsi="Times New Roman"/>
                  <w:color w:val="000000"/>
                  <w:sz w:val="22"/>
                  <w:szCs w:val="22"/>
                  <w:lang w:val="hu-HU"/>
                </w:rPr>
                <w:t>III</w:t>
              </w:r>
            </w:smartTag>
            <w:r w:rsidRPr="00556B9B">
              <w:rPr>
                <w:rFonts w:ascii="Times New Roman" w:hAnsi="Times New Roman"/>
                <w:color w:val="000000"/>
                <w:sz w:val="22"/>
                <w:szCs w:val="22"/>
                <w:lang w:val="hu-HU"/>
              </w:rPr>
              <w:t>, V</w:t>
            </w:r>
          </w:p>
        </w:tc>
        <w:tc>
          <w:tcPr>
            <w:tcW w:w="6732" w:type="dxa"/>
            <w:gridSpan w:val="4"/>
            <w:tcBorders>
              <w:top w:val="single" w:sz="4" w:space="0" w:color="auto"/>
              <w:bottom w:val="single" w:sz="4" w:space="0" w:color="auto"/>
            </w:tcBorders>
            <w:shd w:val="clear" w:color="auto" w:fill="auto"/>
          </w:tcPr>
          <w:p w14:paraId="4772E1A2" w14:textId="77777777" w:rsidR="00993148" w:rsidRPr="00556B9B" w:rsidRDefault="00910FC8" w:rsidP="005C6E7A">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500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az 1. és 15. napon;</w:t>
            </w:r>
          </w:p>
          <w:p w14:paraId="1D46DFDE"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6-MP 25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20. </w:t>
            </w:r>
            <w:r w:rsidR="00DE69C7" w:rsidRPr="00556B9B">
              <w:rPr>
                <w:rFonts w:ascii="Times New Roman" w:hAnsi="Times New Roman"/>
                <w:color w:val="000000"/>
                <w:sz w:val="22"/>
                <w:szCs w:val="22"/>
                <w:lang w:val="hu-HU"/>
              </w:rPr>
              <w:t>N</w:t>
            </w:r>
            <w:r w:rsidRPr="00556B9B">
              <w:rPr>
                <w:rFonts w:ascii="Times New Roman" w:hAnsi="Times New Roman"/>
                <w:color w:val="000000"/>
                <w:sz w:val="22"/>
                <w:szCs w:val="22"/>
                <w:lang w:val="hu-HU"/>
              </w:rPr>
              <w:t>apon</w:t>
            </w:r>
          </w:p>
        </w:tc>
      </w:tr>
      <w:tr w:rsidR="00910FC8" w:rsidRPr="00556B9B" w14:paraId="55ABA206" w14:textId="77777777" w:rsidTr="005C6E7A">
        <w:trPr>
          <w:cantSplit/>
        </w:trPr>
        <w:tc>
          <w:tcPr>
            <w:tcW w:w="2148" w:type="dxa"/>
            <w:tcBorders>
              <w:top w:val="single" w:sz="4" w:space="0" w:color="auto"/>
              <w:bottom w:val="single" w:sz="4" w:space="0" w:color="auto"/>
            </w:tcBorders>
            <w:shd w:val="clear" w:color="auto" w:fill="auto"/>
          </w:tcPr>
          <w:p w14:paraId="7E2D48AC" w14:textId="77777777" w:rsidR="00910FC8" w:rsidRPr="00556B9B" w:rsidRDefault="00910FC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Konszolidációs terápia II, IV</w:t>
            </w:r>
          </w:p>
        </w:tc>
        <w:tc>
          <w:tcPr>
            <w:tcW w:w="6732" w:type="dxa"/>
            <w:gridSpan w:val="4"/>
            <w:tcBorders>
              <w:top w:val="single" w:sz="4" w:space="0" w:color="auto"/>
              <w:bottom w:val="single" w:sz="4" w:space="0" w:color="auto"/>
            </w:tcBorders>
            <w:shd w:val="clear" w:color="auto" w:fill="auto"/>
          </w:tcPr>
          <w:p w14:paraId="2A49EDF0" w14:textId="77777777" w:rsidR="00993148" w:rsidRPr="00556B9B" w:rsidRDefault="00910FC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75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az 1</w:t>
            </w:r>
            <w:r w:rsidRPr="00556B9B">
              <w:rPr>
                <w:rFonts w:ascii="Times New Roman" w:hAnsi="Times New Roman"/>
                <w:color w:val="000000"/>
                <w:sz w:val="22"/>
                <w:szCs w:val="22"/>
                <w:lang w:val="hu-HU"/>
              </w:rPr>
              <w:noBreakHyphen/>
              <w:t>5. napon;</w:t>
            </w:r>
          </w:p>
          <w:p w14:paraId="7139E8FA" w14:textId="77777777" w:rsidR="00910FC8" w:rsidRPr="00556B9B" w:rsidRDefault="00910FC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VM26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az 1</w:t>
            </w:r>
            <w:r w:rsidRPr="00556B9B">
              <w:rPr>
                <w:rFonts w:ascii="Times New Roman" w:hAnsi="Times New Roman"/>
                <w:color w:val="000000"/>
                <w:sz w:val="22"/>
                <w:szCs w:val="22"/>
                <w:lang w:val="hu-HU"/>
              </w:rPr>
              <w:noBreakHyphen/>
              <w:t>5. </w:t>
            </w:r>
            <w:r w:rsidR="00DE69C7" w:rsidRPr="00556B9B">
              <w:rPr>
                <w:rFonts w:ascii="Times New Roman" w:hAnsi="Times New Roman"/>
                <w:color w:val="000000"/>
                <w:sz w:val="22"/>
                <w:szCs w:val="22"/>
                <w:lang w:val="hu-HU"/>
              </w:rPr>
              <w:t>N</w:t>
            </w:r>
            <w:r w:rsidRPr="00556B9B">
              <w:rPr>
                <w:rFonts w:ascii="Times New Roman" w:hAnsi="Times New Roman"/>
                <w:color w:val="000000"/>
                <w:sz w:val="22"/>
                <w:szCs w:val="22"/>
                <w:lang w:val="hu-HU"/>
              </w:rPr>
              <w:t>apon</w:t>
            </w:r>
          </w:p>
        </w:tc>
      </w:tr>
      <w:tr w:rsidR="00910FC8" w:rsidRPr="00556B9B" w14:paraId="0A8D140F" w14:textId="77777777" w:rsidTr="005C6E7A">
        <w:trPr>
          <w:cantSplit/>
        </w:trPr>
        <w:tc>
          <w:tcPr>
            <w:tcW w:w="2148" w:type="dxa"/>
            <w:tcBorders>
              <w:top w:val="single" w:sz="4" w:space="0" w:color="auto"/>
              <w:bottom w:val="single" w:sz="4" w:space="0" w:color="auto"/>
            </w:tcBorders>
            <w:shd w:val="clear" w:color="auto" w:fill="auto"/>
          </w:tcPr>
          <w:p w14:paraId="3473ACE7" w14:textId="77777777" w:rsidR="00910FC8" w:rsidRPr="00556B9B" w:rsidRDefault="00910FC8" w:rsidP="005C6E7A">
            <w:pPr>
              <w:pStyle w:val="Table"/>
              <w:keepLines w:val="0"/>
              <w:widowControl w:val="0"/>
              <w:rPr>
                <w:rFonts w:ascii="Times New Roman" w:hAnsi="Times New Roman"/>
                <w:b/>
                <w:color w:val="000000"/>
                <w:sz w:val="22"/>
                <w:szCs w:val="22"/>
                <w:lang w:val="hu-HU"/>
              </w:rPr>
            </w:pPr>
            <w:r w:rsidRPr="00556B9B">
              <w:rPr>
                <w:rFonts w:ascii="Times New Roman" w:hAnsi="Times New Roman"/>
                <w:b/>
                <w:color w:val="000000"/>
                <w:sz w:val="22"/>
                <w:szCs w:val="22"/>
                <w:lang w:val="hu-HU"/>
              </w:rPr>
              <w:lastRenderedPageBreak/>
              <w:t>AAU02 vizsgálat</w:t>
            </w:r>
          </w:p>
        </w:tc>
        <w:tc>
          <w:tcPr>
            <w:tcW w:w="2652" w:type="dxa"/>
            <w:tcBorders>
              <w:top w:val="single" w:sz="4" w:space="0" w:color="auto"/>
              <w:bottom w:val="single" w:sz="4" w:space="0" w:color="auto"/>
            </w:tcBorders>
            <w:shd w:val="clear" w:color="auto" w:fill="auto"/>
          </w:tcPr>
          <w:p w14:paraId="54BCE2E6"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080" w:type="dxa"/>
            <w:tcBorders>
              <w:top w:val="single" w:sz="4" w:space="0" w:color="auto"/>
              <w:bottom w:val="single" w:sz="4" w:space="0" w:color="auto"/>
            </w:tcBorders>
          </w:tcPr>
          <w:p w14:paraId="6D59683F"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380" w:type="dxa"/>
            <w:tcBorders>
              <w:top w:val="single" w:sz="4" w:space="0" w:color="auto"/>
              <w:bottom w:val="single" w:sz="4" w:space="0" w:color="auto"/>
            </w:tcBorders>
          </w:tcPr>
          <w:p w14:paraId="1A0118CC"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620" w:type="dxa"/>
            <w:tcBorders>
              <w:top w:val="single" w:sz="4" w:space="0" w:color="auto"/>
              <w:bottom w:val="single" w:sz="4" w:space="0" w:color="auto"/>
            </w:tcBorders>
          </w:tcPr>
          <w:p w14:paraId="372110C5"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r>
      <w:tr w:rsidR="00910FC8" w:rsidRPr="00556B9B" w14:paraId="4B960122" w14:textId="77777777" w:rsidTr="005C6E7A">
        <w:trPr>
          <w:cantSplit/>
        </w:trPr>
        <w:tc>
          <w:tcPr>
            <w:tcW w:w="2148" w:type="dxa"/>
            <w:tcBorders>
              <w:top w:val="single" w:sz="4" w:space="0" w:color="auto"/>
              <w:bottom w:val="single" w:sz="4" w:space="0" w:color="auto"/>
            </w:tcBorders>
            <w:shd w:val="clear" w:color="auto" w:fill="auto"/>
          </w:tcPr>
          <w:p w14:paraId="614749A8"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Indukciós terápia (</w:t>
            </w:r>
            <w:r w:rsidRPr="00556B9B">
              <w:rPr>
                <w:rFonts w:ascii="Times New Roman" w:hAnsi="Times New Roman"/>
                <w:i/>
                <w:color w:val="000000"/>
                <w:sz w:val="22"/>
                <w:szCs w:val="22"/>
                <w:lang w:val="hu-HU"/>
              </w:rPr>
              <w:t>de novo</w:t>
            </w:r>
            <w:r w:rsidRPr="00556B9B">
              <w:rPr>
                <w:rFonts w:ascii="Times New Roman" w:hAnsi="Times New Roman"/>
                <w:color w:val="000000"/>
                <w:sz w:val="22"/>
                <w:szCs w:val="22"/>
                <w:lang w:val="hu-HU"/>
              </w:rPr>
              <w:t xml:space="preserve"> Ph+ </w:t>
            </w:r>
            <w:smartTag w:uri="urn:schemas-microsoft-com:office:smarttags" w:element="stockticker">
              <w:r w:rsidRPr="00556B9B">
                <w:rPr>
                  <w:rFonts w:ascii="Times New Roman" w:hAnsi="Times New Roman"/>
                  <w:color w:val="000000"/>
                  <w:sz w:val="22"/>
                  <w:szCs w:val="22"/>
                  <w:lang w:val="hu-HU"/>
                </w:rPr>
                <w:t>ALL</w:t>
              </w:r>
            </w:smartTag>
            <w:r w:rsidRPr="00556B9B">
              <w:rPr>
                <w:rFonts w:ascii="Times New Roman" w:hAnsi="Times New Roman"/>
                <w:color w:val="000000"/>
                <w:sz w:val="22"/>
                <w:szCs w:val="22"/>
                <w:lang w:val="hu-HU"/>
              </w:rPr>
              <w:t>)</w:t>
            </w:r>
          </w:p>
        </w:tc>
        <w:tc>
          <w:tcPr>
            <w:tcW w:w="6732" w:type="dxa"/>
            <w:gridSpan w:val="4"/>
            <w:tcBorders>
              <w:top w:val="single" w:sz="4" w:space="0" w:color="auto"/>
              <w:bottom w:val="single" w:sz="4" w:space="0" w:color="auto"/>
            </w:tcBorders>
            <w:shd w:val="clear" w:color="auto" w:fill="auto"/>
          </w:tcPr>
          <w:p w14:paraId="06E19371"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Daunorubicin 30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az 1</w:t>
            </w:r>
            <w:r w:rsidRPr="00556B9B">
              <w:rPr>
                <w:rFonts w:ascii="Times New Roman" w:hAnsi="Times New Roman"/>
                <w:color w:val="000000"/>
                <w:sz w:val="22"/>
                <w:szCs w:val="22"/>
                <w:lang w:val="hu-HU"/>
              </w:rPr>
              <w:noBreakHyphen/>
              <w:t>3. és 15</w:t>
            </w:r>
            <w:r w:rsidRPr="00556B9B">
              <w:rPr>
                <w:rFonts w:ascii="Times New Roman" w:hAnsi="Times New Roman"/>
                <w:color w:val="000000"/>
                <w:sz w:val="22"/>
                <w:szCs w:val="22"/>
                <w:lang w:val="hu-HU"/>
              </w:rPr>
              <w:noBreakHyphen/>
              <w:t>16. napon;</w:t>
            </w:r>
          </w:p>
          <w:p w14:paraId="16E20EA0" w14:textId="77777777" w:rsidR="00993148" w:rsidRPr="00556B9B" w:rsidRDefault="00910FC8" w:rsidP="005C6E7A">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VCR</w:t>
              </w:r>
            </w:smartTag>
            <w:r w:rsidRPr="00556B9B">
              <w:rPr>
                <w:rFonts w:ascii="Times New Roman" w:hAnsi="Times New Roman"/>
                <w:color w:val="000000"/>
                <w:sz w:val="22"/>
                <w:szCs w:val="22"/>
                <w:lang w:val="hu-HU"/>
              </w:rPr>
              <w:t xml:space="preserve"> 2 mg teljes adag i.v. az 1., 8., 15. és 22. napon;</w:t>
            </w:r>
          </w:p>
          <w:p w14:paraId="7957C8EB"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750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az 1. és 8. napon;</w:t>
            </w:r>
          </w:p>
          <w:p w14:paraId="37C3D370" w14:textId="77777777" w:rsidR="00993148" w:rsidRPr="00556B9B" w:rsidRDefault="0099314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P</w:t>
            </w:r>
            <w:r w:rsidR="00910FC8" w:rsidRPr="00556B9B">
              <w:rPr>
                <w:rFonts w:ascii="Times New Roman" w:hAnsi="Times New Roman"/>
                <w:color w:val="000000"/>
                <w:sz w:val="22"/>
                <w:szCs w:val="22"/>
                <w:lang w:val="hu-HU"/>
              </w:rPr>
              <w:t>rednizon 60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per os az 1</w:t>
            </w:r>
            <w:r w:rsidR="00910FC8" w:rsidRPr="00556B9B">
              <w:rPr>
                <w:rFonts w:ascii="Times New Roman" w:hAnsi="Times New Roman"/>
                <w:color w:val="000000"/>
                <w:sz w:val="22"/>
                <w:szCs w:val="22"/>
                <w:lang w:val="hu-HU"/>
              </w:rPr>
              <w:noBreakHyphen/>
              <w:t>7. és 15</w:t>
            </w:r>
            <w:r w:rsidR="00910FC8" w:rsidRPr="00556B9B">
              <w:rPr>
                <w:rFonts w:ascii="Times New Roman" w:hAnsi="Times New Roman"/>
                <w:color w:val="000000"/>
                <w:sz w:val="22"/>
                <w:szCs w:val="22"/>
                <w:lang w:val="hu-HU"/>
              </w:rPr>
              <w:noBreakHyphen/>
              <w:t>21. napon;</w:t>
            </w:r>
          </w:p>
          <w:p w14:paraId="6E933119" w14:textId="77777777" w:rsidR="00993148" w:rsidRPr="00556B9B" w:rsidRDefault="00910FC8" w:rsidP="005C6E7A">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IDA</w:t>
              </w:r>
            </w:smartTag>
            <w:r w:rsidRPr="00556B9B">
              <w:rPr>
                <w:rFonts w:ascii="Times New Roman" w:hAnsi="Times New Roman"/>
                <w:color w:val="000000"/>
                <w:sz w:val="22"/>
                <w:szCs w:val="22"/>
                <w:lang w:val="hu-HU"/>
              </w:rPr>
              <w:t xml:space="preserve"> 9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28. napon;</w:t>
            </w:r>
          </w:p>
          <w:p w14:paraId="1FCF7BE1" w14:textId="77777777" w:rsidR="00993148" w:rsidRPr="00556B9B" w:rsidRDefault="00910FC8" w:rsidP="005C6E7A">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15 mg intrathecalis alkalmazás az 1., 8., 15. és 22. napon;</w:t>
            </w:r>
          </w:p>
          <w:p w14:paraId="75D01A83"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 xml:space="preserve">Ara-C 40 mg intrathecalis alkalmazás az 1., 8., 15. és 22. napon; </w:t>
            </w:r>
            <w:r w:rsidR="00993148" w:rsidRPr="00556B9B">
              <w:rPr>
                <w:rFonts w:ascii="Times New Roman" w:hAnsi="Times New Roman"/>
                <w:color w:val="000000"/>
                <w:sz w:val="22"/>
                <w:szCs w:val="22"/>
                <w:lang w:val="hu-HU"/>
              </w:rPr>
              <w:t>M</w:t>
            </w:r>
            <w:r w:rsidRPr="00556B9B">
              <w:rPr>
                <w:rFonts w:ascii="Times New Roman" w:hAnsi="Times New Roman"/>
                <w:color w:val="000000"/>
                <w:sz w:val="22"/>
                <w:szCs w:val="22"/>
                <w:lang w:val="hu-HU"/>
              </w:rPr>
              <w:t>etilprednizolon 40 mg intrathecalis alkalmazás az 1., 8., 15. és 22. </w:t>
            </w:r>
            <w:r w:rsidR="00DE69C7" w:rsidRPr="00556B9B">
              <w:rPr>
                <w:rFonts w:ascii="Times New Roman" w:hAnsi="Times New Roman"/>
                <w:color w:val="000000"/>
                <w:sz w:val="22"/>
                <w:szCs w:val="22"/>
                <w:lang w:val="hu-HU"/>
              </w:rPr>
              <w:t>N</w:t>
            </w:r>
            <w:r w:rsidRPr="00556B9B">
              <w:rPr>
                <w:rFonts w:ascii="Times New Roman" w:hAnsi="Times New Roman"/>
                <w:color w:val="000000"/>
                <w:sz w:val="22"/>
                <w:szCs w:val="22"/>
                <w:lang w:val="hu-HU"/>
              </w:rPr>
              <w:t>apon</w:t>
            </w:r>
          </w:p>
        </w:tc>
      </w:tr>
      <w:tr w:rsidR="00910FC8" w:rsidRPr="00556B9B" w14:paraId="51EAF050" w14:textId="77777777" w:rsidTr="005C6E7A">
        <w:trPr>
          <w:cantSplit/>
        </w:trPr>
        <w:tc>
          <w:tcPr>
            <w:tcW w:w="2148" w:type="dxa"/>
            <w:tcBorders>
              <w:top w:val="single" w:sz="4" w:space="0" w:color="auto"/>
              <w:bottom w:val="single" w:sz="4" w:space="0" w:color="auto"/>
            </w:tcBorders>
            <w:shd w:val="clear" w:color="auto" w:fill="auto"/>
          </w:tcPr>
          <w:p w14:paraId="54B664C5" w14:textId="77777777" w:rsidR="00910FC8" w:rsidRPr="00556B9B" w:rsidRDefault="00910FC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Konszolidációs terápia (</w:t>
            </w:r>
            <w:r w:rsidRPr="00556B9B">
              <w:rPr>
                <w:rFonts w:ascii="Times New Roman" w:hAnsi="Times New Roman"/>
                <w:i/>
                <w:color w:val="000000"/>
                <w:sz w:val="22"/>
                <w:szCs w:val="22"/>
                <w:lang w:val="hu-HU"/>
              </w:rPr>
              <w:t>de novo</w:t>
            </w:r>
            <w:r w:rsidRPr="00556B9B">
              <w:rPr>
                <w:rFonts w:ascii="Times New Roman" w:hAnsi="Times New Roman"/>
                <w:color w:val="000000"/>
                <w:sz w:val="22"/>
                <w:szCs w:val="22"/>
                <w:lang w:val="hu-HU"/>
              </w:rPr>
              <w:t xml:space="preserve"> Ph+ </w:t>
            </w:r>
            <w:smartTag w:uri="urn:schemas-microsoft-com:office:smarttags" w:element="stockticker">
              <w:r w:rsidRPr="00556B9B">
                <w:rPr>
                  <w:rFonts w:ascii="Times New Roman" w:hAnsi="Times New Roman"/>
                  <w:color w:val="000000"/>
                  <w:sz w:val="22"/>
                  <w:szCs w:val="22"/>
                  <w:lang w:val="hu-HU"/>
                </w:rPr>
                <w:t>ALL</w:t>
              </w:r>
            </w:smartTag>
            <w:r w:rsidRPr="00556B9B">
              <w:rPr>
                <w:rFonts w:ascii="Times New Roman" w:hAnsi="Times New Roman"/>
                <w:color w:val="000000"/>
                <w:sz w:val="22"/>
                <w:szCs w:val="22"/>
                <w:lang w:val="hu-HU"/>
              </w:rPr>
              <w:t>)</w:t>
            </w:r>
          </w:p>
        </w:tc>
        <w:tc>
          <w:tcPr>
            <w:tcW w:w="6732" w:type="dxa"/>
            <w:gridSpan w:val="4"/>
            <w:tcBorders>
              <w:top w:val="single" w:sz="4" w:space="0" w:color="auto"/>
              <w:bottom w:val="single" w:sz="4" w:space="0" w:color="auto"/>
            </w:tcBorders>
            <w:shd w:val="clear" w:color="auto" w:fill="auto"/>
          </w:tcPr>
          <w:p w14:paraId="7444B739" w14:textId="77777777" w:rsidR="00993148" w:rsidRPr="00556B9B" w:rsidRDefault="00910FC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1000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/12 óra i.v.(3 órás) az 1</w:t>
            </w:r>
            <w:r w:rsidRPr="00556B9B">
              <w:rPr>
                <w:rFonts w:ascii="Times New Roman" w:hAnsi="Times New Roman"/>
                <w:color w:val="000000"/>
                <w:sz w:val="22"/>
                <w:szCs w:val="22"/>
                <w:lang w:val="hu-HU"/>
              </w:rPr>
              <w:noBreakHyphen/>
              <w:t>4. napon;</w:t>
            </w:r>
          </w:p>
          <w:p w14:paraId="0B3607DC" w14:textId="77777777" w:rsidR="00993148" w:rsidRPr="00556B9B" w:rsidRDefault="0099314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M</w:t>
            </w:r>
            <w:r w:rsidR="00910FC8" w:rsidRPr="00556B9B">
              <w:rPr>
                <w:rFonts w:ascii="Times New Roman" w:hAnsi="Times New Roman"/>
                <w:color w:val="000000"/>
                <w:sz w:val="22"/>
                <w:szCs w:val="22"/>
                <w:lang w:val="hu-HU"/>
              </w:rPr>
              <w:t>itoxantron 10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i.v.a 3</w:t>
            </w:r>
            <w:r w:rsidR="00910FC8" w:rsidRPr="00556B9B">
              <w:rPr>
                <w:rFonts w:ascii="Times New Roman" w:hAnsi="Times New Roman"/>
                <w:color w:val="000000"/>
                <w:sz w:val="22"/>
                <w:szCs w:val="22"/>
                <w:lang w:val="hu-HU"/>
              </w:rPr>
              <w:noBreakHyphen/>
              <w:t>5. napon;</w:t>
            </w:r>
          </w:p>
          <w:p w14:paraId="32D84A08" w14:textId="77777777" w:rsidR="00993148" w:rsidRPr="00556B9B" w:rsidRDefault="00910FC8" w:rsidP="005C6E7A">
            <w:pPr>
              <w:pStyle w:val="Table"/>
              <w:keepNext w:val="0"/>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15 mg intrathecalis alkalmazás az 1. napon;</w:t>
            </w:r>
          </w:p>
          <w:p w14:paraId="2E9CD6D8" w14:textId="77777777" w:rsidR="00910FC8" w:rsidRPr="00556B9B" w:rsidRDefault="0099314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M</w:t>
            </w:r>
            <w:r w:rsidR="00910FC8" w:rsidRPr="00556B9B">
              <w:rPr>
                <w:rFonts w:ascii="Times New Roman" w:hAnsi="Times New Roman"/>
                <w:color w:val="000000"/>
                <w:sz w:val="22"/>
                <w:szCs w:val="22"/>
                <w:lang w:val="hu-HU"/>
              </w:rPr>
              <w:t>etilprednizolon 40 mg intrathecalis alkalmazás az 1. napon</w:t>
            </w:r>
          </w:p>
        </w:tc>
      </w:tr>
      <w:tr w:rsidR="00910FC8" w:rsidRPr="00556B9B" w14:paraId="198117A1" w14:textId="77777777" w:rsidTr="005C6E7A">
        <w:trPr>
          <w:cantSplit/>
        </w:trPr>
        <w:tc>
          <w:tcPr>
            <w:tcW w:w="4800" w:type="dxa"/>
            <w:gridSpan w:val="2"/>
            <w:tcBorders>
              <w:top w:val="single" w:sz="4" w:space="0" w:color="auto"/>
              <w:bottom w:val="single" w:sz="4" w:space="0" w:color="auto"/>
            </w:tcBorders>
            <w:shd w:val="clear" w:color="auto" w:fill="auto"/>
          </w:tcPr>
          <w:p w14:paraId="3D1210B8" w14:textId="77777777" w:rsidR="00910FC8" w:rsidRPr="00556B9B" w:rsidRDefault="00910FC8" w:rsidP="005C6E7A">
            <w:pPr>
              <w:pStyle w:val="Table"/>
              <w:keepLines w:val="0"/>
              <w:widowControl w:val="0"/>
              <w:rPr>
                <w:rFonts w:ascii="Times New Roman" w:hAnsi="Times New Roman"/>
                <w:b/>
                <w:color w:val="000000"/>
                <w:sz w:val="22"/>
                <w:szCs w:val="22"/>
                <w:lang w:val="hu-HU"/>
              </w:rPr>
            </w:pPr>
            <w:r w:rsidRPr="00556B9B">
              <w:rPr>
                <w:rFonts w:ascii="Times New Roman" w:hAnsi="Times New Roman"/>
                <w:b/>
                <w:color w:val="000000"/>
                <w:sz w:val="22"/>
                <w:szCs w:val="22"/>
                <w:lang w:val="hu-HU"/>
              </w:rPr>
              <w:t>ADE04 vizsgálat</w:t>
            </w:r>
          </w:p>
        </w:tc>
        <w:tc>
          <w:tcPr>
            <w:tcW w:w="1080" w:type="dxa"/>
            <w:tcBorders>
              <w:top w:val="single" w:sz="4" w:space="0" w:color="auto"/>
              <w:bottom w:val="single" w:sz="4" w:space="0" w:color="auto"/>
            </w:tcBorders>
          </w:tcPr>
          <w:p w14:paraId="79182CA5"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380" w:type="dxa"/>
            <w:tcBorders>
              <w:top w:val="single" w:sz="4" w:space="0" w:color="auto"/>
              <w:bottom w:val="single" w:sz="4" w:space="0" w:color="auto"/>
            </w:tcBorders>
          </w:tcPr>
          <w:p w14:paraId="2F75B2EC"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620" w:type="dxa"/>
            <w:tcBorders>
              <w:top w:val="single" w:sz="4" w:space="0" w:color="auto"/>
              <w:bottom w:val="single" w:sz="4" w:space="0" w:color="auto"/>
            </w:tcBorders>
          </w:tcPr>
          <w:p w14:paraId="515DE0AC"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r>
      <w:tr w:rsidR="00910FC8" w:rsidRPr="001D3D33" w14:paraId="75AE5D9E" w14:textId="77777777" w:rsidTr="005C6E7A">
        <w:trPr>
          <w:cantSplit/>
        </w:trPr>
        <w:tc>
          <w:tcPr>
            <w:tcW w:w="2148" w:type="dxa"/>
            <w:tcBorders>
              <w:top w:val="single" w:sz="4" w:space="0" w:color="auto"/>
              <w:bottom w:val="single" w:sz="4" w:space="0" w:color="auto"/>
            </w:tcBorders>
            <w:shd w:val="clear" w:color="auto" w:fill="auto"/>
          </w:tcPr>
          <w:p w14:paraId="0874399C"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Előfázis</w:t>
            </w:r>
          </w:p>
        </w:tc>
        <w:tc>
          <w:tcPr>
            <w:tcW w:w="6732" w:type="dxa"/>
            <w:gridSpan w:val="4"/>
            <w:tcBorders>
              <w:top w:val="single" w:sz="4" w:space="0" w:color="auto"/>
              <w:bottom w:val="single" w:sz="4" w:space="0" w:color="auto"/>
            </w:tcBorders>
            <w:shd w:val="clear" w:color="auto" w:fill="auto"/>
          </w:tcPr>
          <w:p w14:paraId="6DD2B909"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p w14:paraId="48118448"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200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 3</w:t>
            </w:r>
            <w:r w:rsidRPr="00556B9B">
              <w:rPr>
                <w:rFonts w:ascii="Times New Roman" w:hAnsi="Times New Roman"/>
                <w:color w:val="000000"/>
                <w:sz w:val="22"/>
                <w:szCs w:val="22"/>
                <w:lang w:val="hu-HU"/>
              </w:rPr>
              <w:noBreakHyphen/>
              <w:t>5. napon;</w:t>
            </w:r>
          </w:p>
          <w:p w14:paraId="630C9B4A" w14:textId="77777777" w:rsidR="00910FC8" w:rsidRPr="00556B9B" w:rsidRDefault="00910FC8" w:rsidP="005C6E7A">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15 mg intrathecalis alkalmazás az 1. napon</w:t>
            </w:r>
          </w:p>
        </w:tc>
      </w:tr>
      <w:tr w:rsidR="00910FC8" w:rsidRPr="00462020" w14:paraId="69E56725" w14:textId="77777777" w:rsidTr="005C6E7A">
        <w:trPr>
          <w:cantSplit/>
        </w:trPr>
        <w:tc>
          <w:tcPr>
            <w:tcW w:w="2148" w:type="dxa"/>
            <w:tcBorders>
              <w:top w:val="single" w:sz="4" w:space="0" w:color="auto"/>
              <w:bottom w:val="single" w:sz="4" w:space="0" w:color="auto"/>
            </w:tcBorders>
            <w:shd w:val="clear" w:color="auto" w:fill="auto"/>
          </w:tcPr>
          <w:p w14:paraId="3D4A5A47"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Indukciós terápia I</w:t>
            </w:r>
          </w:p>
        </w:tc>
        <w:tc>
          <w:tcPr>
            <w:tcW w:w="6732" w:type="dxa"/>
            <w:gridSpan w:val="4"/>
            <w:tcBorders>
              <w:top w:val="single" w:sz="4" w:space="0" w:color="auto"/>
              <w:bottom w:val="single" w:sz="4" w:space="0" w:color="auto"/>
            </w:tcBorders>
            <w:shd w:val="clear" w:color="auto" w:fill="auto"/>
          </w:tcPr>
          <w:p w14:paraId="68763493"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p w14:paraId="19CBE2FE" w14:textId="77777777" w:rsidR="00993148" w:rsidRPr="00556B9B" w:rsidRDefault="00910FC8" w:rsidP="005C6E7A">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VCR</w:t>
              </w:r>
            </w:smartTag>
            <w:r w:rsidRPr="00556B9B">
              <w:rPr>
                <w:rFonts w:ascii="Times New Roman" w:hAnsi="Times New Roman"/>
                <w:color w:val="000000"/>
                <w:sz w:val="22"/>
                <w:szCs w:val="22"/>
                <w:lang w:val="hu-HU"/>
              </w:rPr>
              <w:t xml:space="preserve"> 2 mg i.v. a 6., 13. és 20. napon;</w:t>
            </w:r>
          </w:p>
          <w:p w14:paraId="3DCFD9DA" w14:textId="77777777" w:rsidR="00910FC8" w:rsidRPr="00556B9B" w:rsidRDefault="0099314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w:t>
            </w:r>
            <w:r w:rsidR="00910FC8" w:rsidRPr="00556B9B">
              <w:rPr>
                <w:rFonts w:ascii="Times New Roman" w:hAnsi="Times New Roman"/>
                <w:color w:val="000000"/>
                <w:sz w:val="22"/>
                <w:szCs w:val="22"/>
                <w:lang w:val="hu-HU"/>
              </w:rPr>
              <w:t>aunorubicin 45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i.v. a 6</w:t>
            </w:r>
            <w:r w:rsidR="00910FC8" w:rsidRPr="00556B9B">
              <w:rPr>
                <w:rFonts w:ascii="Times New Roman" w:hAnsi="Times New Roman"/>
                <w:color w:val="000000"/>
                <w:sz w:val="22"/>
                <w:szCs w:val="22"/>
                <w:lang w:val="hu-HU"/>
              </w:rPr>
              <w:noBreakHyphen/>
              <w:t>7. és 13</w:t>
            </w:r>
            <w:r w:rsidR="00910FC8" w:rsidRPr="00556B9B">
              <w:rPr>
                <w:rFonts w:ascii="Times New Roman" w:hAnsi="Times New Roman"/>
                <w:color w:val="000000"/>
                <w:sz w:val="22"/>
                <w:szCs w:val="22"/>
                <w:lang w:val="hu-HU"/>
              </w:rPr>
              <w:noBreakHyphen/>
              <w:t>14. napon</w:t>
            </w:r>
          </w:p>
        </w:tc>
      </w:tr>
      <w:tr w:rsidR="00910FC8" w:rsidRPr="00556B9B" w14:paraId="4DD4A81D" w14:textId="77777777" w:rsidTr="005C6E7A">
        <w:trPr>
          <w:cantSplit/>
        </w:trPr>
        <w:tc>
          <w:tcPr>
            <w:tcW w:w="2148" w:type="dxa"/>
            <w:tcBorders>
              <w:top w:val="single" w:sz="4" w:space="0" w:color="auto"/>
              <w:bottom w:val="single" w:sz="4" w:space="0" w:color="auto"/>
            </w:tcBorders>
            <w:shd w:val="clear" w:color="auto" w:fill="auto"/>
          </w:tcPr>
          <w:p w14:paraId="20B2E650"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Indukciós terápia II</w:t>
            </w:r>
          </w:p>
        </w:tc>
        <w:tc>
          <w:tcPr>
            <w:tcW w:w="6732" w:type="dxa"/>
            <w:gridSpan w:val="4"/>
            <w:tcBorders>
              <w:top w:val="single" w:sz="4" w:space="0" w:color="auto"/>
              <w:bottom w:val="single" w:sz="4" w:space="0" w:color="auto"/>
            </w:tcBorders>
            <w:shd w:val="clear" w:color="auto" w:fill="auto"/>
          </w:tcPr>
          <w:p w14:paraId="0A3A45CF"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1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 26. és 46. napon;</w:t>
            </w:r>
          </w:p>
          <w:p w14:paraId="7894D942"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75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 28</w:t>
            </w:r>
            <w:r w:rsidRPr="00556B9B">
              <w:rPr>
                <w:rFonts w:ascii="Times New Roman" w:hAnsi="Times New Roman"/>
                <w:color w:val="000000"/>
                <w:sz w:val="22"/>
                <w:szCs w:val="22"/>
                <w:lang w:val="hu-HU"/>
              </w:rPr>
              <w:noBreakHyphen/>
              <w:t>31., 35</w:t>
            </w:r>
            <w:r w:rsidRPr="00556B9B">
              <w:rPr>
                <w:rFonts w:ascii="Times New Roman" w:hAnsi="Times New Roman"/>
                <w:color w:val="000000"/>
                <w:sz w:val="22"/>
                <w:szCs w:val="22"/>
                <w:lang w:val="hu-HU"/>
              </w:rPr>
              <w:noBreakHyphen/>
              <w:t>38. és 42</w:t>
            </w:r>
            <w:r w:rsidRPr="00556B9B">
              <w:rPr>
                <w:rFonts w:ascii="Times New Roman" w:hAnsi="Times New Roman"/>
                <w:color w:val="000000"/>
                <w:sz w:val="22"/>
                <w:szCs w:val="22"/>
                <w:lang w:val="hu-HU"/>
              </w:rPr>
              <w:noBreakHyphen/>
              <w:t>45. napon;</w:t>
            </w:r>
          </w:p>
          <w:p w14:paraId="015FA8A0"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6-MP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 26</w:t>
            </w:r>
            <w:r w:rsidRPr="00556B9B">
              <w:rPr>
                <w:rFonts w:ascii="Times New Roman" w:hAnsi="Times New Roman"/>
                <w:color w:val="000000"/>
                <w:sz w:val="22"/>
                <w:szCs w:val="22"/>
                <w:lang w:val="hu-HU"/>
              </w:rPr>
              <w:noBreakHyphen/>
              <w:t>46. </w:t>
            </w:r>
            <w:r w:rsidR="00DE69C7" w:rsidRPr="00556B9B">
              <w:rPr>
                <w:rFonts w:ascii="Times New Roman" w:hAnsi="Times New Roman"/>
                <w:color w:val="000000"/>
                <w:sz w:val="22"/>
                <w:szCs w:val="22"/>
                <w:lang w:val="hu-HU"/>
              </w:rPr>
              <w:t>N</w:t>
            </w:r>
            <w:r w:rsidRPr="00556B9B">
              <w:rPr>
                <w:rFonts w:ascii="Times New Roman" w:hAnsi="Times New Roman"/>
                <w:color w:val="000000"/>
                <w:sz w:val="22"/>
                <w:szCs w:val="22"/>
                <w:lang w:val="hu-HU"/>
              </w:rPr>
              <w:t>apon</w:t>
            </w:r>
          </w:p>
        </w:tc>
      </w:tr>
      <w:tr w:rsidR="00910FC8" w:rsidRPr="001D3D33" w14:paraId="6619BE3F" w14:textId="77777777" w:rsidTr="005C6E7A">
        <w:trPr>
          <w:cantSplit/>
        </w:trPr>
        <w:tc>
          <w:tcPr>
            <w:tcW w:w="2148" w:type="dxa"/>
            <w:tcBorders>
              <w:top w:val="nil"/>
              <w:bottom w:val="single" w:sz="4" w:space="0" w:color="auto"/>
            </w:tcBorders>
            <w:shd w:val="clear" w:color="auto" w:fill="auto"/>
          </w:tcPr>
          <w:p w14:paraId="72423DE5" w14:textId="77777777" w:rsidR="00910FC8" w:rsidRPr="00556B9B" w:rsidRDefault="00910FC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Konszolidációs terápia</w:t>
            </w:r>
          </w:p>
        </w:tc>
        <w:tc>
          <w:tcPr>
            <w:tcW w:w="6732" w:type="dxa"/>
            <w:gridSpan w:val="4"/>
            <w:tcBorders>
              <w:top w:val="nil"/>
              <w:bottom w:val="single" w:sz="4" w:space="0" w:color="auto"/>
            </w:tcBorders>
            <w:shd w:val="clear" w:color="auto" w:fill="auto"/>
          </w:tcPr>
          <w:p w14:paraId="724D6BEE" w14:textId="77777777" w:rsidR="00993148" w:rsidRPr="00556B9B" w:rsidRDefault="00910FC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p w14:paraId="1F327F7A" w14:textId="77777777" w:rsidR="00993148" w:rsidRPr="00556B9B" w:rsidRDefault="0099314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w:t>
            </w:r>
            <w:r w:rsidR="00910FC8" w:rsidRPr="00556B9B">
              <w:rPr>
                <w:rFonts w:ascii="Times New Roman" w:hAnsi="Times New Roman"/>
                <w:color w:val="000000"/>
                <w:sz w:val="22"/>
                <w:szCs w:val="22"/>
                <w:lang w:val="hu-HU"/>
              </w:rPr>
              <w:t>indezin 3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i.v. az 1. napon;</w:t>
            </w:r>
          </w:p>
          <w:p w14:paraId="6F512217" w14:textId="77777777" w:rsidR="00993148" w:rsidRPr="00556B9B" w:rsidRDefault="00910FC8" w:rsidP="005C6E7A">
            <w:pPr>
              <w:pStyle w:val="Table"/>
              <w:keepNext w:val="0"/>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1,5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az 1. napon;</w:t>
            </w:r>
          </w:p>
          <w:p w14:paraId="1695C418" w14:textId="77777777" w:rsidR="00993148" w:rsidRPr="00556B9B" w:rsidRDefault="0099314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E</w:t>
            </w:r>
            <w:r w:rsidR="00910FC8" w:rsidRPr="00556B9B">
              <w:rPr>
                <w:rFonts w:ascii="Times New Roman" w:hAnsi="Times New Roman"/>
                <w:color w:val="000000"/>
                <w:sz w:val="22"/>
                <w:szCs w:val="22"/>
                <w:lang w:val="hu-HU"/>
              </w:rPr>
              <w:t>topozid 250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i.v. (1 órás) a 4</w:t>
            </w:r>
            <w:r w:rsidR="00910FC8" w:rsidRPr="00556B9B">
              <w:rPr>
                <w:rFonts w:ascii="Times New Roman" w:hAnsi="Times New Roman"/>
                <w:color w:val="000000"/>
                <w:sz w:val="22"/>
                <w:szCs w:val="22"/>
                <w:lang w:val="hu-HU"/>
              </w:rPr>
              <w:noBreakHyphen/>
              <w:t>5. napon;</w:t>
            </w:r>
          </w:p>
          <w:p w14:paraId="0A908A63" w14:textId="77777777" w:rsidR="00910FC8" w:rsidRPr="00556B9B" w:rsidRDefault="00910FC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2x 2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(3 órás, 12 óránként) az 5. napon</w:t>
            </w:r>
          </w:p>
        </w:tc>
      </w:tr>
      <w:tr w:rsidR="00910FC8" w:rsidRPr="00556B9B" w14:paraId="4AADFD0D" w14:textId="77777777" w:rsidTr="005C6E7A">
        <w:trPr>
          <w:cantSplit/>
        </w:trPr>
        <w:tc>
          <w:tcPr>
            <w:tcW w:w="2148" w:type="dxa"/>
            <w:tcBorders>
              <w:top w:val="nil"/>
              <w:bottom w:val="single" w:sz="4" w:space="0" w:color="auto"/>
            </w:tcBorders>
            <w:shd w:val="clear" w:color="auto" w:fill="auto"/>
          </w:tcPr>
          <w:p w14:paraId="04A45F44" w14:textId="77777777" w:rsidR="00910FC8" w:rsidRPr="00556B9B" w:rsidRDefault="00910FC8" w:rsidP="005C6E7A">
            <w:pPr>
              <w:pStyle w:val="Table"/>
              <w:keepLines w:val="0"/>
              <w:widowControl w:val="0"/>
              <w:rPr>
                <w:rFonts w:ascii="Times New Roman" w:hAnsi="Times New Roman"/>
                <w:b/>
                <w:color w:val="000000"/>
                <w:sz w:val="22"/>
                <w:szCs w:val="22"/>
                <w:lang w:val="hu-HU"/>
              </w:rPr>
            </w:pPr>
            <w:r w:rsidRPr="00556B9B">
              <w:rPr>
                <w:rFonts w:ascii="Times New Roman" w:hAnsi="Times New Roman"/>
                <w:b/>
                <w:color w:val="000000"/>
                <w:sz w:val="22"/>
                <w:szCs w:val="22"/>
                <w:lang w:val="hu-HU"/>
              </w:rPr>
              <w:t>AJP01 vizsgálat</w:t>
            </w:r>
          </w:p>
        </w:tc>
        <w:tc>
          <w:tcPr>
            <w:tcW w:w="2652" w:type="dxa"/>
            <w:tcBorders>
              <w:top w:val="nil"/>
              <w:bottom w:val="single" w:sz="4" w:space="0" w:color="auto"/>
            </w:tcBorders>
            <w:shd w:val="clear" w:color="auto" w:fill="auto"/>
          </w:tcPr>
          <w:p w14:paraId="30E76827"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080" w:type="dxa"/>
            <w:tcBorders>
              <w:top w:val="nil"/>
              <w:bottom w:val="single" w:sz="4" w:space="0" w:color="auto"/>
            </w:tcBorders>
          </w:tcPr>
          <w:p w14:paraId="38937FB4"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380" w:type="dxa"/>
            <w:tcBorders>
              <w:top w:val="nil"/>
              <w:bottom w:val="single" w:sz="4" w:space="0" w:color="auto"/>
            </w:tcBorders>
          </w:tcPr>
          <w:p w14:paraId="0D96E693"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620" w:type="dxa"/>
            <w:tcBorders>
              <w:top w:val="nil"/>
              <w:bottom w:val="single" w:sz="4" w:space="0" w:color="auto"/>
            </w:tcBorders>
          </w:tcPr>
          <w:p w14:paraId="71184222"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r>
      <w:tr w:rsidR="00910FC8" w:rsidRPr="00556B9B" w14:paraId="23AF35AD" w14:textId="77777777" w:rsidTr="005C6E7A">
        <w:trPr>
          <w:cantSplit/>
        </w:trPr>
        <w:tc>
          <w:tcPr>
            <w:tcW w:w="2148" w:type="dxa"/>
            <w:tcBorders>
              <w:top w:val="nil"/>
              <w:bottom w:val="single" w:sz="4" w:space="0" w:color="auto"/>
            </w:tcBorders>
            <w:shd w:val="clear" w:color="auto" w:fill="auto"/>
          </w:tcPr>
          <w:p w14:paraId="0FD1A861" w14:textId="77777777" w:rsidR="00910FC8" w:rsidRPr="00556B9B" w:rsidRDefault="00910FC8" w:rsidP="005C6E7A">
            <w:pPr>
              <w:pStyle w:val="Table"/>
              <w:keepLines w:val="0"/>
              <w:widowControl w:val="0"/>
              <w:jc w:val="both"/>
              <w:rPr>
                <w:rFonts w:ascii="Times New Roman" w:hAnsi="Times New Roman"/>
                <w:color w:val="000000"/>
                <w:sz w:val="22"/>
                <w:szCs w:val="22"/>
                <w:lang w:val="hu-HU"/>
              </w:rPr>
            </w:pPr>
            <w:r w:rsidRPr="00556B9B">
              <w:rPr>
                <w:rFonts w:ascii="Times New Roman" w:hAnsi="Times New Roman"/>
                <w:color w:val="000000"/>
                <w:sz w:val="22"/>
                <w:szCs w:val="22"/>
                <w:lang w:val="hu-HU"/>
              </w:rPr>
              <w:t>Indukciós terápia</w:t>
            </w:r>
          </w:p>
        </w:tc>
        <w:tc>
          <w:tcPr>
            <w:tcW w:w="6732" w:type="dxa"/>
            <w:gridSpan w:val="4"/>
            <w:tcBorders>
              <w:top w:val="nil"/>
              <w:bottom w:val="single" w:sz="4" w:space="0" w:color="auto"/>
            </w:tcBorders>
            <w:shd w:val="clear" w:color="auto" w:fill="auto"/>
          </w:tcPr>
          <w:p w14:paraId="79353DBE"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1,2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(3 órás) az 1. napon;</w:t>
            </w:r>
          </w:p>
          <w:p w14:paraId="0A8E9E2F" w14:textId="77777777" w:rsidR="00993148" w:rsidRPr="00556B9B" w:rsidRDefault="0099314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w:t>
            </w:r>
            <w:r w:rsidR="00910FC8" w:rsidRPr="00556B9B">
              <w:rPr>
                <w:rFonts w:ascii="Times New Roman" w:hAnsi="Times New Roman"/>
                <w:color w:val="000000"/>
                <w:sz w:val="22"/>
                <w:szCs w:val="22"/>
                <w:lang w:val="hu-HU"/>
              </w:rPr>
              <w:t>aunorubicin 60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i.v. (1 órás) az 1</w:t>
            </w:r>
            <w:r w:rsidR="00910FC8" w:rsidRPr="00556B9B">
              <w:rPr>
                <w:rFonts w:ascii="Times New Roman" w:hAnsi="Times New Roman"/>
                <w:color w:val="000000"/>
                <w:sz w:val="22"/>
                <w:szCs w:val="22"/>
                <w:lang w:val="hu-HU"/>
              </w:rPr>
              <w:noBreakHyphen/>
              <w:t>3. napon;</w:t>
            </w:r>
          </w:p>
          <w:p w14:paraId="1C5723CE" w14:textId="77777777" w:rsidR="00993148" w:rsidRPr="00556B9B" w:rsidRDefault="0099314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w:t>
            </w:r>
            <w:r w:rsidR="00910FC8" w:rsidRPr="00556B9B">
              <w:rPr>
                <w:rFonts w:ascii="Times New Roman" w:hAnsi="Times New Roman"/>
                <w:color w:val="000000"/>
                <w:sz w:val="22"/>
                <w:szCs w:val="22"/>
                <w:lang w:val="hu-HU"/>
              </w:rPr>
              <w:t>inkrisztin 1,3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i.v. az 1., 8., 15. és 21. napon;</w:t>
            </w:r>
          </w:p>
          <w:p w14:paraId="56054830" w14:textId="77777777" w:rsidR="00910FC8" w:rsidRPr="00556B9B" w:rsidRDefault="0099314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P</w:t>
            </w:r>
            <w:r w:rsidR="00910FC8" w:rsidRPr="00556B9B">
              <w:rPr>
                <w:rFonts w:ascii="Times New Roman" w:hAnsi="Times New Roman"/>
                <w:color w:val="000000"/>
                <w:sz w:val="22"/>
                <w:szCs w:val="22"/>
                <w:lang w:val="hu-HU"/>
              </w:rPr>
              <w:t>rednizolon 60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/nap per os</w:t>
            </w:r>
          </w:p>
        </w:tc>
      </w:tr>
      <w:tr w:rsidR="00910FC8" w:rsidRPr="00556B9B" w14:paraId="4879A878" w14:textId="77777777" w:rsidTr="005C6E7A">
        <w:trPr>
          <w:cantSplit/>
        </w:trPr>
        <w:tc>
          <w:tcPr>
            <w:tcW w:w="2148" w:type="dxa"/>
            <w:tcBorders>
              <w:top w:val="single" w:sz="4" w:space="0" w:color="auto"/>
              <w:bottom w:val="single" w:sz="4" w:space="0" w:color="auto"/>
            </w:tcBorders>
            <w:shd w:val="clear" w:color="auto" w:fill="auto"/>
          </w:tcPr>
          <w:p w14:paraId="13AAF854" w14:textId="77777777" w:rsidR="00910FC8" w:rsidRPr="00556B9B" w:rsidRDefault="00910FC8" w:rsidP="005C6E7A">
            <w:pPr>
              <w:pStyle w:val="Table"/>
              <w:keepLines w:val="0"/>
              <w:widowControl w:val="0"/>
              <w:tabs>
                <w:tab w:val="left" w:pos="0"/>
              </w:tabs>
              <w:rPr>
                <w:rFonts w:ascii="Times New Roman" w:hAnsi="Times New Roman"/>
                <w:color w:val="000000"/>
                <w:sz w:val="22"/>
                <w:szCs w:val="22"/>
                <w:lang w:val="hu-HU"/>
              </w:rPr>
            </w:pPr>
            <w:r w:rsidRPr="00556B9B">
              <w:rPr>
                <w:rFonts w:ascii="Times New Roman" w:hAnsi="Times New Roman"/>
                <w:color w:val="000000"/>
                <w:sz w:val="22"/>
                <w:szCs w:val="22"/>
                <w:lang w:val="hu-HU"/>
              </w:rPr>
              <w:t>Konszolidációs terápia</w:t>
            </w:r>
          </w:p>
        </w:tc>
        <w:tc>
          <w:tcPr>
            <w:tcW w:w="6732" w:type="dxa"/>
            <w:gridSpan w:val="4"/>
            <w:tcBorders>
              <w:top w:val="single" w:sz="4" w:space="0" w:color="auto"/>
              <w:bottom w:val="single" w:sz="4" w:space="0" w:color="auto"/>
            </w:tcBorders>
            <w:shd w:val="clear" w:color="auto" w:fill="auto"/>
          </w:tcPr>
          <w:p w14:paraId="21057720"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 xml:space="preserve">Váltó kemoterápiás kezelés: nagy dózisú kemoterápiás kezelés - </w:t>
            </w: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az 1. napon és Ara-C 2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(12 óránként</w:t>
            </w:r>
          </w:p>
          <w:p w14:paraId="69B7BA79"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 a 2</w:t>
            </w:r>
            <w:r w:rsidRPr="00556B9B">
              <w:rPr>
                <w:rFonts w:ascii="Times New Roman" w:hAnsi="Times New Roman"/>
                <w:color w:val="000000"/>
                <w:sz w:val="22"/>
                <w:szCs w:val="22"/>
                <w:lang w:val="hu-HU"/>
              </w:rPr>
              <w:noBreakHyphen/>
              <w:t>3. napon, 4 cikluson keresztül</w:t>
            </w:r>
          </w:p>
        </w:tc>
      </w:tr>
      <w:tr w:rsidR="00910FC8" w:rsidRPr="001D3D33" w14:paraId="2ACC857B" w14:textId="77777777" w:rsidTr="005C6E7A">
        <w:trPr>
          <w:cantSplit/>
        </w:trPr>
        <w:tc>
          <w:tcPr>
            <w:tcW w:w="2148" w:type="dxa"/>
            <w:tcBorders>
              <w:top w:val="single" w:sz="4" w:space="0" w:color="auto"/>
              <w:bottom w:val="single" w:sz="4" w:space="0" w:color="auto"/>
            </w:tcBorders>
            <w:shd w:val="clear" w:color="auto" w:fill="auto"/>
          </w:tcPr>
          <w:p w14:paraId="7E40EEBD" w14:textId="77777777" w:rsidR="00910FC8" w:rsidRPr="00556B9B" w:rsidRDefault="00910FC8" w:rsidP="005C6E7A">
            <w:pPr>
              <w:pStyle w:val="Table"/>
              <w:keepNext w:val="0"/>
              <w:keepLines w:val="0"/>
              <w:widowControl w:val="0"/>
              <w:tabs>
                <w:tab w:val="left" w:pos="0"/>
              </w:tabs>
              <w:rPr>
                <w:rFonts w:ascii="Times New Roman" w:hAnsi="Times New Roman"/>
                <w:color w:val="000000"/>
                <w:sz w:val="22"/>
                <w:szCs w:val="22"/>
                <w:lang w:val="hu-HU"/>
              </w:rPr>
            </w:pPr>
            <w:r w:rsidRPr="00556B9B">
              <w:rPr>
                <w:rFonts w:ascii="Times New Roman" w:hAnsi="Times New Roman"/>
                <w:color w:val="000000"/>
                <w:sz w:val="22"/>
                <w:szCs w:val="22"/>
                <w:lang w:val="hu-HU"/>
              </w:rPr>
              <w:t>Fenntartó kezelés</w:t>
            </w:r>
          </w:p>
        </w:tc>
        <w:tc>
          <w:tcPr>
            <w:tcW w:w="6732" w:type="dxa"/>
            <w:gridSpan w:val="4"/>
            <w:tcBorders>
              <w:top w:val="single" w:sz="4" w:space="0" w:color="auto"/>
              <w:bottom w:val="single" w:sz="4" w:space="0" w:color="auto"/>
            </w:tcBorders>
            <w:shd w:val="clear" w:color="auto" w:fill="auto"/>
          </w:tcPr>
          <w:p w14:paraId="1C13BF20" w14:textId="77777777" w:rsidR="00993148" w:rsidRPr="00556B9B" w:rsidRDefault="00910FC8" w:rsidP="005C6E7A">
            <w:pPr>
              <w:pStyle w:val="Table"/>
              <w:keepNext w:val="0"/>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VCR</w:t>
              </w:r>
            </w:smartTag>
            <w:r w:rsidRPr="00556B9B">
              <w:rPr>
                <w:rFonts w:ascii="Times New Roman" w:hAnsi="Times New Roman"/>
                <w:color w:val="000000"/>
                <w:sz w:val="22"/>
                <w:szCs w:val="22"/>
                <w:lang w:val="hu-HU"/>
              </w:rPr>
              <w:t xml:space="preserve"> 1,3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az 1. napon;</w:t>
            </w:r>
          </w:p>
          <w:p w14:paraId="3C97E8D8" w14:textId="77777777" w:rsidR="00910FC8" w:rsidRPr="00556B9B" w:rsidRDefault="00993148" w:rsidP="005C6E7A">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P</w:t>
            </w:r>
            <w:r w:rsidR="00910FC8" w:rsidRPr="00556B9B">
              <w:rPr>
                <w:rFonts w:ascii="Times New Roman" w:hAnsi="Times New Roman"/>
                <w:color w:val="000000"/>
                <w:sz w:val="22"/>
                <w:szCs w:val="22"/>
                <w:lang w:val="hu-HU"/>
              </w:rPr>
              <w:t>rednizolon 60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per os az 1</w:t>
            </w:r>
            <w:r w:rsidR="00910FC8" w:rsidRPr="00556B9B">
              <w:rPr>
                <w:rFonts w:ascii="Times New Roman" w:hAnsi="Times New Roman"/>
                <w:color w:val="000000"/>
                <w:sz w:val="22"/>
                <w:szCs w:val="22"/>
                <w:lang w:val="hu-HU"/>
              </w:rPr>
              <w:noBreakHyphen/>
              <w:t>5. </w:t>
            </w:r>
            <w:r w:rsidR="00DE69C7" w:rsidRPr="00556B9B">
              <w:rPr>
                <w:rFonts w:ascii="Times New Roman" w:hAnsi="Times New Roman"/>
                <w:color w:val="000000"/>
                <w:sz w:val="22"/>
                <w:szCs w:val="22"/>
                <w:lang w:val="hu-HU"/>
              </w:rPr>
              <w:t>N</w:t>
            </w:r>
            <w:r w:rsidR="00910FC8" w:rsidRPr="00556B9B">
              <w:rPr>
                <w:rFonts w:ascii="Times New Roman" w:hAnsi="Times New Roman"/>
                <w:color w:val="000000"/>
                <w:sz w:val="22"/>
                <w:szCs w:val="22"/>
                <w:lang w:val="hu-HU"/>
              </w:rPr>
              <w:t>apon</w:t>
            </w:r>
          </w:p>
        </w:tc>
      </w:tr>
      <w:tr w:rsidR="00910FC8" w:rsidRPr="00556B9B" w14:paraId="769D42FB" w14:textId="77777777" w:rsidTr="005C6E7A">
        <w:trPr>
          <w:cantSplit/>
        </w:trPr>
        <w:tc>
          <w:tcPr>
            <w:tcW w:w="4800" w:type="dxa"/>
            <w:gridSpan w:val="2"/>
            <w:tcBorders>
              <w:top w:val="single" w:sz="4" w:space="0" w:color="auto"/>
              <w:bottom w:val="single" w:sz="4" w:space="0" w:color="auto"/>
            </w:tcBorders>
            <w:shd w:val="clear" w:color="auto" w:fill="auto"/>
          </w:tcPr>
          <w:p w14:paraId="03297F74"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b/>
                <w:color w:val="000000"/>
                <w:sz w:val="22"/>
                <w:szCs w:val="22"/>
                <w:lang w:val="hu-HU"/>
              </w:rPr>
              <w:lastRenderedPageBreak/>
              <w:t>AUS01 vizsgálat</w:t>
            </w:r>
          </w:p>
        </w:tc>
        <w:tc>
          <w:tcPr>
            <w:tcW w:w="1080" w:type="dxa"/>
            <w:tcBorders>
              <w:top w:val="single" w:sz="4" w:space="0" w:color="auto"/>
              <w:bottom w:val="single" w:sz="4" w:space="0" w:color="auto"/>
            </w:tcBorders>
          </w:tcPr>
          <w:p w14:paraId="6A0B285B"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380" w:type="dxa"/>
            <w:tcBorders>
              <w:top w:val="single" w:sz="4" w:space="0" w:color="auto"/>
              <w:bottom w:val="single" w:sz="4" w:space="0" w:color="auto"/>
            </w:tcBorders>
          </w:tcPr>
          <w:p w14:paraId="49181323"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c>
          <w:tcPr>
            <w:tcW w:w="1620" w:type="dxa"/>
            <w:tcBorders>
              <w:top w:val="single" w:sz="4" w:space="0" w:color="auto"/>
              <w:bottom w:val="single" w:sz="4" w:space="0" w:color="auto"/>
            </w:tcBorders>
          </w:tcPr>
          <w:p w14:paraId="3BA2FBA8" w14:textId="77777777" w:rsidR="00910FC8" w:rsidRPr="00556B9B" w:rsidRDefault="00910FC8" w:rsidP="005C6E7A">
            <w:pPr>
              <w:pStyle w:val="Table"/>
              <w:keepLines w:val="0"/>
              <w:widowControl w:val="0"/>
              <w:rPr>
                <w:rFonts w:ascii="Times New Roman" w:hAnsi="Times New Roman"/>
                <w:color w:val="000000"/>
                <w:sz w:val="22"/>
                <w:szCs w:val="22"/>
                <w:lang w:val="hu-HU"/>
              </w:rPr>
            </w:pPr>
          </w:p>
        </w:tc>
      </w:tr>
      <w:tr w:rsidR="00910FC8" w:rsidRPr="001D3D33" w14:paraId="579DAD6C" w14:textId="77777777" w:rsidTr="005C6E7A">
        <w:trPr>
          <w:cantSplit/>
        </w:trPr>
        <w:tc>
          <w:tcPr>
            <w:tcW w:w="2148" w:type="dxa"/>
            <w:tcBorders>
              <w:top w:val="single" w:sz="4" w:space="0" w:color="auto"/>
              <w:bottom w:val="single" w:sz="4" w:space="0" w:color="auto"/>
            </w:tcBorders>
            <w:shd w:val="clear" w:color="auto" w:fill="auto"/>
          </w:tcPr>
          <w:p w14:paraId="0A1F870E"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Indukciós-konszolidációs terápia</w:t>
            </w:r>
          </w:p>
        </w:tc>
        <w:tc>
          <w:tcPr>
            <w:tcW w:w="6732" w:type="dxa"/>
            <w:gridSpan w:val="4"/>
            <w:tcBorders>
              <w:top w:val="single" w:sz="4" w:space="0" w:color="auto"/>
              <w:bottom w:val="single" w:sz="4" w:space="0" w:color="auto"/>
            </w:tcBorders>
            <w:shd w:val="clear" w:color="auto" w:fill="auto"/>
          </w:tcPr>
          <w:p w14:paraId="768CDEE7" w14:textId="77777777" w:rsidR="0099314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Hyper-CVAD kezelés: CP 300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(3 órás, 12 óránként) az 1</w:t>
            </w:r>
            <w:r w:rsidRPr="00556B9B">
              <w:rPr>
                <w:rFonts w:ascii="Times New Roman" w:hAnsi="Times New Roman"/>
                <w:color w:val="000000"/>
                <w:sz w:val="22"/>
                <w:szCs w:val="22"/>
                <w:lang w:val="hu-HU"/>
              </w:rPr>
              <w:noBreakHyphen/>
              <w:t>3. napon;</w:t>
            </w:r>
          </w:p>
          <w:p w14:paraId="15503450" w14:textId="77777777" w:rsidR="00993148" w:rsidRPr="00556B9B" w:rsidRDefault="0099314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w:t>
            </w:r>
            <w:r w:rsidR="00910FC8" w:rsidRPr="00556B9B">
              <w:rPr>
                <w:rFonts w:ascii="Times New Roman" w:hAnsi="Times New Roman"/>
                <w:color w:val="000000"/>
                <w:sz w:val="22"/>
                <w:szCs w:val="22"/>
                <w:lang w:val="hu-HU"/>
              </w:rPr>
              <w:t>inkrisztin 2 mg i.v. a 4. és 11. napon;</w:t>
            </w:r>
          </w:p>
          <w:p w14:paraId="40F3A639" w14:textId="77777777" w:rsidR="00993148" w:rsidRPr="00556B9B" w:rsidRDefault="00EF7533"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w:t>
            </w:r>
            <w:r w:rsidR="00910FC8" w:rsidRPr="00556B9B">
              <w:rPr>
                <w:rFonts w:ascii="Times New Roman" w:hAnsi="Times New Roman"/>
                <w:color w:val="000000"/>
                <w:sz w:val="22"/>
                <w:szCs w:val="22"/>
                <w:lang w:val="hu-HU"/>
              </w:rPr>
              <w:t>oxorubicin 50 mg/m</w:t>
            </w:r>
            <w:r w:rsidR="00910FC8" w:rsidRPr="00556B9B">
              <w:rPr>
                <w:rFonts w:ascii="Times New Roman" w:hAnsi="Times New Roman"/>
                <w:color w:val="000000"/>
                <w:sz w:val="22"/>
                <w:szCs w:val="22"/>
                <w:vertAlign w:val="superscript"/>
                <w:lang w:val="hu-HU"/>
              </w:rPr>
              <w:t>2</w:t>
            </w:r>
            <w:r w:rsidR="00910FC8" w:rsidRPr="00556B9B">
              <w:rPr>
                <w:rFonts w:ascii="Times New Roman" w:hAnsi="Times New Roman"/>
                <w:color w:val="000000"/>
                <w:sz w:val="22"/>
                <w:szCs w:val="22"/>
                <w:lang w:val="hu-HU"/>
              </w:rPr>
              <w:t xml:space="preserve"> i.v. (24 órás) a 4. napon;</w:t>
            </w:r>
          </w:p>
          <w:p w14:paraId="5E3CA548"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40 mg/nap az 1</w:t>
            </w:r>
            <w:r w:rsidRPr="00556B9B">
              <w:rPr>
                <w:rFonts w:ascii="Times New Roman" w:hAnsi="Times New Roman"/>
                <w:color w:val="000000"/>
                <w:sz w:val="22"/>
                <w:szCs w:val="22"/>
                <w:lang w:val="hu-HU"/>
              </w:rPr>
              <w:noBreakHyphen/>
              <w:t>4. és 11</w:t>
            </w:r>
            <w:r w:rsidRPr="00556B9B">
              <w:rPr>
                <w:rFonts w:ascii="Times New Roman" w:hAnsi="Times New Roman"/>
                <w:color w:val="000000"/>
                <w:sz w:val="22"/>
                <w:szCs w:val="22"/>
                <w:lang w:val="hu-HU"/>
              </w:rPr>
              <w:noBreakHyphen/>
              <w:t xml:space="preserve">14. napon, váltva az alábbi kezeléssel: </w:t>
            </w: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az 1. napon, Ara-C 1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 órás, 12 óránként) a 2</w:t>
            </w:r>
            <w:r w:rsidRPr="00556B9B">
              <w:rPr>
                <w:rFonts w:ascii="Times New Roman" w:hAnsi="Times New Roman"/>
                <w:color w:val="000000"/>
                <w:sz w:val="22"/>
                <w:szCs w:val="22"/>
                <w:lang w:val="hu-HU"/>
              </w:rPr>
              <w:noBreakHyphen/>
              <w:t>3. napon (összesen 8 kezelés)</w:t>
            </w:r>
          </w:p>
        </w:tc>
      </w:tr>
      <w:tr w:rsidR="00910FC8" w:rsidRPr="00462020" w14:paraId="071FCE2E" w14:textId="77777777" w:rsidTr="005C6E7A">
        <w:trPr>
          <w:cantSplit/>
        </w:trPr>
        <w:tc>
          <w:tcPr>
            <w:tcW w:w="2148" w:type="dxa"/>
            <w:tcBorders>
              <w:top w:val="single" w:sz="4" w:space="0" w:color="auto"/>
              <w:bottom w:val="single" w:sz="4" w:space="0" w:color="auto"/>
            </w:tcBorders>
            <w:shd w:val="clear" w:color="auto" w:fill="auto"/>
          </w:tcPr>
          <w:p w14:paraId="5712E226"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Fenntartó kezelés</w:t>
            </w:r>
          </w:p>
        </w:tc>
        <w:tc>
          <w:tcPr>
            <w:tcW w:w="6732" w:type="dxa"/>
            <w:gridSpan w:val="4"/>
            <w:tcBorders>
              <w:top w:val="single" w:sz="4" w:space="0" w:color="auto"/>
              <w:bottom w:val="single" w:sz="4" w:space="0" w:color="auto"/>
            </w:tcBorders>
            <w:shd w:val="clear" w:color="auto" w:fill="auto"/>
          </w:tcPr>
          <w:p w14:paraId="0A7AA473" w14:textId="77777777" w:rsidR="00993148" w:rsidRPr="00556B9B" w:rsidRDefault="00910FC8" w:rsidP="005C6E7A">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VCR</w:t>
              </w:r>
            </w:smartTag>
            <w:r w:rsidRPr="00556B9B">
              <w:rPr>
                <w:rFonts w:ascii="Times New Roman" w:hAnsi="Times New Roman"/>
                <w:color w:val="000000"/>
                <w:sz w:val="22"/>
                <w:szCs w:val="22"/>
                <w:lang w:val="hu-HU"/>
              </w:rPr>
              <w:t xml:space="preserve"> 2 mg i.v. havonta 13 hónapon keresztül;</w:t>
            </w:r>
          </w:p>
          <w:p w14:paraId="1E037EAF" w14:textId="77777777" w:rsidR="00910FC8" w:rsidRPr="00556B9B" w:rsidRDefault="0099314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P</w:t>
            </w:r>
            <w:r w:rsidR="00910FC8" w:rsidRPr="00556B9B">
              <w:rPr>
                <w:rFonts w:ascii="Times New Roman" w:hAnsi="Times New Roman"/>
                <w:color w:val="000000"/>
                <w:sz w:val="22"/>
                <w:szCs w:val="22"/>
                <w:lang w:val="hu-HU"/>
              </w:rPr>
              <w:t>rednizolon 200 mg per os, havonta 5 napig 13 hónapon keresztül</w:t>
            </w:r>
          </w:p>
        </w:tc>
      </w:tr>
      <w:tr w:rsidR="00910FC8" w:rsidRPr="00462020" w14:paraId="1C2D7781" w14:textId="77777777" w:rsidTr="005C6E7A">
        <w:trPr>
          <w:cantSplit/>
        </w:trPr>
        <w:tc>
          <w:tcPr>
            <w:tcW w:w="8880" w:type="dxa"/>
            <w:gridSpan w:val="5"/>
            <w:tcBorders>
              <w:top w:val="single" w:sz="4" w:space="0" w:color="auto"/>
              <w:bottom w:val="single" w:sz="4" w:space="0" w:color="auto"/>
            </w:tcBorders>
            <w:shd w:val="clear" w:color="auto" w:fill="auto"/>
          </w:tcPr>
          <w:p w14:paraId="6A355C94" w14:textId="77777777" w:rsidR="00910FC8" w:rsidRPr="00556B9B" w:rsidRDefault="00910FC8" w:rsidP="005C6E7A">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Minden kezelési protokoll tartalmaz szteroidot, központi idegrendszeri hatások profilaxisa céljából.</w:t>
            </w:r>
          </w:p>
        </w:tc>
      </w:tr>
      <w:tr w:rsidR="00910FC8" w:rsidRPr="00462020" w14:paraId="31D042E4" w14:textId="77777777" w:rsidTr="005C6E7A">
        <w:trPr>
          <w:cantSplit/>
        </w:trPr>
        <w:tc>
          <w:tcPr>
            <w:tcW w:w="8880" w:type="dxa"/>
            <w:gridSpan w:val="5"/>
            <w:tcBorders>
              <w:top w:val="single" w:sz="4" w:space="0" w:color="auto"/>
              <w:bottom w:val="single" w:sz="4" w:space="0" w:color="auto"/>
            </w:tcBorders>
            <w:shd w:val="clear" w:color="auto" w:fill="auto"/>
          </w:tcPr>
          <w:p w14:paraId="174E4C42" w14:textId="77777777" w:rsidR="00910FC8" w:rsidRPr="006D0F5F" w:rsidRDefault="00910FC8" w:rsidP="005C6E7A">
            <w:pPr>
              <w:pStyle w:val="Table"/>
              <w:keepNext w:val="0"/>
              <w:keepLines w:val="0"/>
              <w:widowControl w:val="0"/>
              <w:rPr>
                <w:rFonts w:ascii="Times New Roman" w:hAnsi="Times New Roman"/>
                <w:color w:val="000000"/>
                <w:sz w:val="22"/>
                <w:szCs w:val="22"/>
                <w:lang w:val="hu-HU"/>
              </w:rPr>
            </w:pPr>
            <w:r w:rsidRPr="006D0F5F">
              <w:rPr>
                <w:rFonts w:ascii="Times New Roman" w:hAnsi="Times New Roman"/>
                <w:color w:val="000000"/>
                <w:sz w:val="22"/>
                <w:szCs w:val="22"/>
                <w:lang w:val="hu-HU"/>
              </w:rPr>
              <w:t xml:space="preserve">Ara-C: citozin-arabinozid; CP: ciklofoszfamid; DEX: dexametazon; </w:t>
            </w:r>
            <w:smartTag w:uri="urn:schemas-microsoft-com:office:smarttags" w:element="stockticker">
              <w:r w:rsidRPr="006D0F5F">
                <w:rPr>
                  <w:rFonts w:ascii="Times New Roman" w:hAnsi="Times New Roman"/>
                  <w:color w:val="000000"/>
                  <w:sz w:val="22"/>
                  <w:szCs w:val="22"/>
                  <w:lang w:val="hu-HU"/>
                </w:rPr>
                <w:t>MTX</w:t>
              </w:r>
            </w:smartTag>
            <w:r w:rsidRPr="006D0F5F">
              <w:rPr>
                <w:rFonts w:ascii="Times New Roman" w:hAnsi="Times New Roman"/>
                <w:color w:val="000000"/>
                <w:sz w:val="22"/>
                <w:szCs w:val="22"/>
                <w:lang w:val="hu-HU"/>
              </w:rPr>
              <w:t>: metotrexát; 6-MP: 6</w:t>
            </w:r>
            <w:r w:rsidR="006963E4" w:rsidRPr="006D0F5F">
              <w:rPr>
                <w:rFonts w:ascii="Times New Roman" w:hAnsi="Times New Roman"/>
                <w:color w:val="000000"/>
                <w:sz w:val="22"/>
                <w:szCs w:val="22"/>
                <w:lang w:val="hu-HU"/>
              </w:rPr>
              <w:noBreakHyphen/>
            </w:r>
            <w:r w:rsidRPr="006D0F5F">
              <w:rPr>
                <w:rFonts w:ascii="Times New Roman" w:hAnsi="Times New Roman"/>
                <w:color w:val="000000"/>
                <w:sz w:val="22"/>
                <w:szCs w:val="22"/>
                <w:lang w:val="hu-HU"/>
              </w:rPr>
              <w:t xml:space="preserve">merkaptopurin; VM26: tenipozid; </w:t>
            </w:r>
            <w:smartTag w:uri="urn:schemas-microsoft-com:office:smarttags" w:element="stockticker">
              <w:r w:rsidRPr="006D0F5F">
                <w:rPr>
                  <w:rFonts w:ascii="Times New Roman" w:hAnsi="Times New Roman"/>
                  <w:color w:val="000000"/>
                  <w:sz w:val="22"/>
                  <w:szCs w:val="22"/>
                  <w:lang w:val="hu-HU"/>
                </w:rPr>
                <w:t>VCR</w:t>
              </w:r>
            </w:smartTag>
            <w:r w:rsidRPr="006D0F5F">
              <w:rPr>
                <w:rFonts w:ascii="Times New Roman" w:hAnsi="Times New Roman"/>
                <w:color w:val="000000"/>
                <w:sz w:val="22"/>
                <w:szCs w:val="22"/>
                <w:lang w:val="hu-HU"/>
              </w:rPr>
              <w:t xml:space="preserve">: vinkrisztin; </w:t>
            </w:r>
            <w:smartTag w:uri="urn:schemas-microsoft-com:office:smarttags" w:element="stockticker">
              <w:r w:rsidRPr="006D0F5F">
                <w:rPr>
                  <w:rFonts w:ascii="Times New Roman" w:hAnsi="Times New Roman"/>
                  <w:color w:val="000000"/>
                  <w:sz w:val="22"/>
                  <w:szCs w:val="22"/>
                  <w:lang w:val="hu-HU"/>
                </w:rPr>
                <w:t>IDA</w:t>
              </w:r>
            </w:smartTag>
            <w:r w:rsidRPr="006D0F5F">
              <w:rPr>
                <w:rFonts w:ascii="Times New Roman" w:hAnsi="Times New Roman"/>
                <w:color w:val="000000"/>
                <w:sz w:val="22"/>
                <w:szCs w:val="22"/>
                <w:lang w:val="hu-HU"/>
              </w:rPr>
              <w:t>: idarubicin; i.v.: intravénás alkalmazás</w:t>
            </w:r>
          </w:p>
        </w:tc>
      </w:tr>
    </w:tbl>
    <w:p w14:paraId="1DA2E02C" w14:textId="77777777" w:rsidR="00910FC8" w:rsidRPr="006D0F5F" w:rsidRDefault="00910FC8">
      <w:pPr>
        <w:rPr>
          <w:color w:val="000000"/>
          <w:lang w:val="hu-HU"/>
        </w:rPr>
      </w:pPr>
    </w:p>
    <w:p w14:paraId="0C7ECC6F" w14:textId="311D8704" w:rsidR="001D323E" w:rsidRPr="00556B9B" w:rsidRDefault="001D323E" w:rsidP="001D323E">
      <w:pPr>
        <w:pStyle w:val="EndnoteText"/>
        <w:widowControl w:val="0"/>
        <w:rPr>
          <w:color w:val="000000"/>
          <w:lang w:val="hu-HU" w:eastAsia="hu-HU"/>
        </w:rPr>
      </w:pPr>
      <w:r w:rsidRPr="006D0F5F">
        <w:rPr>
          <w:i/>
          <w:color w:val="000000"/>
          <w:lang w:val="hu-HU" w:eastAsia="hu-HU"/>
        </w:rPr>
        <w:t>Gyermek</w:t>
      </w:r>
      <w:r w:rsidR="005F628A" w:rsidRPr="00FE57F2">
        <w:rPr>
          <w:i/>
          <w:color w:val="000000"/>
          <w:lang w:val="hu-HU" w:eastAsia="hu-HU"/>
        </w:rPr>
        <w:t>ek és serdülők</w:t>
      </w:r>
      <w:r w:rsidR="00597C7D" w:rsidRPr="006D0F5F">
        <w:rPr>
          <w:color w:val="000000"/>
          <w:lang w:val="hu-HU" w:eastAsia="hu-HU"/>
        </w:rPr>
        <w:t>:</w:t>
      </w:r>
      <w:r w:rsidRPr="00FE57F2">
        <w:rPr>
          <w:color w:val="000000"/>
          <w:lang w:val="hu-HU" w:eastAsia="hu-HU"/>
        </w:rPr>
        <w:t xml:space="preserve"> </w:t>
      </w:r>
      <w:r w:rsidRPr="006D0F5F">
        <w:rPr>
          <w:color w:val="000000"/>
          <w:lang w:val="hu-HU" w:eastAsia="hu-HU"/>
        </w:rPr>
        <w:t>Az I2301</w:t>
      </w:r>
      <w:r w:rsidR="00437484" w:rsidRPr="006D0F5F">
        <w:rPr>
          <w:color w:val="000000"/>
          <w:lang w:val="hu-HU" w:eastAsia="hu-HU"/>
        </w:rPr>
        <w:t>,</w:t>
      </w:r>
      <w:r w:rsidRPr="006D0F5F">
        <w:rPr>
          <w:color w:val="000000"/>
          <w:lang w:val="hu-HU" w:eastAsia="hu-HU"/>
        </w:rPr>
        <w:t xml:space="preserve"> nyílt elrendezésű, multicentrikus, szekvenciális kohorszú, nem randomizált, III</w:t>
      </w:r>
      <w:r w:rsidR="00F10932" w:rsidRPr="006D0F5F">
        <w:rPr>
          <w:color w:val="000000"/>
          <w:lang w:val="hu-HU" w:eastAsia="hu-HU"/>
        </w:rPr>
        <w:t>. fázisú</w:t>
      </w:r>
      <w:r w:rsidRPr="006D0F5F">
        <w:rPr>
          <w:color w:val="000000"/>
          <w:lang w:val="hu-HU" w:eastAsia="hu-HU"/>
        </w:rPr>
        <w:t xml:space="preserve"> vizsgálatba összesen 93, Ph+ALL gyermek, serdülő</w:t>
      </w:r>
      <w:r w:rsidR="005F628A" w:rsidRPr="006D0F5F">
        <w:rPr>
          <w:color w:val="000000"/>
          <w:lang w:val="hu-HU" w:eastAsia="hu-HU"/>
        </w:rPr>
        <w:t>korú</w:t>
      </w:r>
      <w:r w:rsidRPr="006D0F5F">
        <w:rPr>
          <w:color w:val="000000"/>
          <w:lang w:val="hu-HU" w:eastAsia="hu-HU"/>
        </w:rPr>
        <w:t xml:space="preserve"> és fiatal felnőtt beteget vontak be (1</w:t>
      </w:r>
      <w:r w:rsidRPr="006D0F5F">
        <w:rPr>
          <w:color w:val="000000"/>
          <w:lang w:val="hu-HU"/>
        </w:rPr>
        <w:t> év</w:t>
      </w:r>
      <w:r w:rsidRPr="006D0F5F">
        <w:rPr>
          <w:color w:val="000000"/>
          <w:lang w:val="hu-HU" w:eastAsia="hu-HU"/>
        </w:rPr>
        <w:t>es kortól 22</w:t>
      </w:r>
      <w:r w:rsidRPr="006D0F5F">
        <w:rPr>
          <w:color w:val="000000"/>
          <w:lang w:val="hu-HU"/>
        </w:rPr>
        <w:t> év</w:t>
      </w:r>
      <w:r w:rsidRPr="006D0F5F">
        <w:rPr>
          <w:color w:val="000000"/>
          <w:lang w:val="hu-HU" w:eastAsia="hu-HU"/>
        </w:rPr>
        <w:t>es korig), és kezeltek Glivec</w:t>
      </w:r>
      <w:r w:rsidRPr="006D0F5F">
        <w:rPr>
          <w:color w:val="000000"/>
          <w:lang w:val="hu-HU"/>
        </w:rPr>
        <w:noBreakHyphen/>
      </w:r>
      <w:r w:rsidRPr="006D0F5F">
        <w:rPr>
          <w:color w:val="000000"/>
          <w:lang w:val="hu-HU" w:eastAsia="hu-HU"/>
        </w:rPr>
        <w:t>kel (340</w:t>
      </w:r>
      <w:r w:rsidRPr="006D0F5F">
        <w:rPr>
          <w:color w:val="000000"/>
          <w:lang w:val="hu-HU"/>
        </w:rPr>
        <w:t> mg</w:t>
      </w:r>
      <w:r w:rsidRPr="006D0F5F">
        <w:rPr>
          <w:color w:val="000000"/>
          <w:lang w:val="hu-HU" w:eastAsia="hu-HU"/>
        </w:rPr>
        <w:t>/m</w:t>
      </w:r>
      <w:r w:rsidRPr="006D0F5F">
        <w:rPr>
          <w:color w:val="000000"/>
          <w:vertAlign w:val="superscript"/>
          <w:lang w:val="hu-HU" w:eastAsia="hu-HU"/>
        </w:rPr>
        <w:t>2</w:t>
      </w:r>
      <w:r w:rsidRPr="006D0F5F">
        <w:rPr>
          <w:color w:val="000000"/>
          <w:lang w:val="hu-HU" w:eastAsia="hu-HU"/>
        </w:rPr>
        <w:t>/nap), az indukciós kezelés után intenzív kemoterápiával</w:t>
      </w:r>
      <w:r w:rsidR="00050A52" w:rsidRPr="006D0F5F">
        <w:rPr>
          <w:color w:val="000000"/>
          <w:lang w:val="hu-HU" w:eastAsia="hu-HU"/>
        </w:rPr>
        <w:t xml:space="preserve"> kombinálva</w:t>
      </w:r>
      <w:r w:rsidRPr="00556B9B">
        <w:rPr>
          <w:color w:val="000000"/>
          <w:lang w:val="hu-HU" w:eastAsia="hu-HU"/>
        </w:rPr>
        <w:t>. A Glivec</w:t>
      </w:r>
      <w:r w:rsidRPr="00556B9B">
        <w:rPr>
          <w:color w:val="000000"/>
          <w:lang w:val="hu-HU"/>
        </w:rPr>
        <w:noBreakHyphen/>
      </w:r>
      <w:r w:rsidRPr="00556B9B">
        <w:rPr>
          <w:color w:val="000000"/>
          <w:lang w:val="hu-HU" w:eastAsia="hu-HU"/>
        </w:rPr>
        <w:t>et intermittálva adták az 1</w:t>
      </w:r>
      <w:r w:rsidRPr="00556B9B">
        <w:rPr>
          <w:color w:val="000000"/>
          <w:lang w:val="hu-HU"/>
        </w:rPr>
        <w:noBreakHyphen/>
      </w:r>
      <w:r w:rsidRPr="00556B9B">
        <w:rPr>
          <w:color w:val="000000"/>
          <w:lang w:val="hu-HU" w:eastAsia="hu-HU"/>
        </w:rPr>
        <w:t>5</w:t>
      </w:r>
      <w:r w:rsidR="00D76B80" w:rsidRPr="00556B9B">
        <w:rPr>
          <w:color w:val="000000"/>
          <w:lang w:val="hu-HU" w:eastAsia="hu-HU"/>
        </w:rPr>
        <w:t>. </w:t>
      </w:r>
      <w:r w:rsidRPr="00556B9B">
        <w:rPr>
          <w:color w:val="000000"/>
          <w:lang w:val="hu-HU" w:eastAsia="hu-HU"/>
        </w:rPr>
        <w:t>kohorszokban, kohorszról</w:t>
      </w:r>
      <w:r w:rsidRPr="00556B9B">
        <w:rPr>
          <w:color w:val="000000"/>
          <w:lang w:val="hu-HU"/>
        </w:rPr>
        <w:noBreakHyphen/>
      </w:r>
      <w:r w:rsidRPr="00556B9B">
        <w:rPr>
          <w:color w:val="000000"/>
          <w:lang w:val="hu-HU" w:eastAsia="hu-HU"/>
        </w:rPr>
        <w:t>kohorszra növekvő időtartamban</w:t>
      </w:r>
      <w:r w:rsidR="00F66927" w:rsidRPr="00556B9B">
        <w:rPr>
          <w:color w:val="000000"/>
          <w:lang w:val="hu-HU" w:eastAsia="hu-HU"/>
        </w:rPr>
        <w:t>,</w:t>
      </w:r>
      <w:r w:rsidRPr="00556B9B">
        <w:rPr>
          <w:color w:val="000000"/>
          <w:lang w:val="hu-HU" w:eastAsia="hu-HU"/>
        </w:rPr>
        <w:t xml:space="preserve"> és a Glivec</w:t>
      </w:r>
      <w:r w:rsidRPr="00556B9B">
        <w:rPr>
          <w:color w:val="000000"/>
          <w:lang w:val="hu-HU"/>
        </w:rPr>
        <w:noBreakHyphen/>
      </w:r>
      <w:r w:rsidRPr="00556B9B">
        <w:rPr>
          <w:color w:val="000000"/>
          <w:lang w:val="hu-HU" w:eastAsia="hu-HU"/>
        </w:rPr>
        <w:t>et korábban kezdve. Az 1.</w:t>
      </w:r>
      <w:r w:rsidR="00D76B80" w:rsidRPr="00556B9B">
        <w:rPr>
          <w:color w:val="000000"/>
          <w:lang w:val="hu-HU" w:eastAsia="hu-HU"/>
        </w:rPr>
        <w:t> </w:t>
      </w:r>
      <w:r w:rsidRPr="00556B9B">
        <w:rPr>
          <w:color w:val="000000"/>
          <w:lang w:val="hu-HU" w:eastAsia="hu-HU"/>
        </w:rPr>
        <w:t>kohorsz kapta a legalacsonyabb és az 5.</w:t>
      </w:r>
      <w:r w:rsidR="00163DE2" w:rsidRPr="00556B9B">
        <w:rPr>
          <w:color w:val="000000"/>
          <w:lang w:val="hu-HU" w:eastAsia="hu-HU"/>
        </w:rPr>
        <w:t> </w:t>
      </w:r>
      <w:r w:rsidRPr="00556B9B">
        <w:rPr>
          <w:color w:val="000000"/>
          <w:lang w:val="hu-HU" w:eastAsia="hu-HU"/>
        </w:rPr>
        <w:t>kohorsz kapta a legmagasabb Glivec intenzitást (az első kemoterápiás ciklusok alatt a leghosszabb</w:t>
      </w:r>
      <w:r w:rsidR="00924498" w:rsidRPr="00556B9B">
        <w:rPr>
          <w:color w:val="000000"/>
          <w:lang w:val="hu-HU" w:eastAsia="hu-HU"/>
        </w:rPr>
        <w:t xml:space="preserve"> a</w:t>
      </w:r>
      <w:r w:rsidR="00163DE2" w:rsidRPr="00556B9B">
        <w:rPr>
          <w:color w:val="000000"/>
          <w:lang w:val="hu-HU"/>
        </w:rPr>
        <w:t xml:space="preserve"> </w:t>
      </w:r>
      <w:r w:rsidRPr="00556B9B">
        <w:rPr>
          <w:color w:val="000000"/>
          <w:lang w:val="hu-HU"/>
        </w:rPr>
        <w:t>nap</w:t>
      </w:r>
      <w:r w:rsidRPr="00556B9B">
        <w:rPr>
          <w:color w:val="000000"/>
          <w:lang w:val="hu-HU" w:eastAsia="hu-HU"/>
        </w:rPr>
        <w:t>okban mér</w:t>
      </w:r>
      <w:r w:rsidR="00D76B80" w:rsidRPr="00556B9B">
        <w:rPr>
          <w:color w:val="000000"/>
          <w:lang w:val="hu-HU" w:eastAsia="hu-HU"/>
        </w:rPr>
        <w:t>t</w:t>
      </w:r>
      <w:r w:rsidRPr="00556B9B">
        <w:rPr>
          <w:color w:val="000000"/>
          <w:lang w:val="hu-HU" w:eastAsia="hu-HU"/>
        </w:rPr>
        <w:t xml:space="preserve"> időtartam, a Glivec folyamatos,</w:t>
      </w:r>
      <w:r w:rsidR="00163DE2" w:rsidRPr="00556B9B">
        <w:rPr>
          <w:color w:val="000000"/>
          <w:lang w:val="hu-HU"/>
        </w:rPr>
        <w:t xml:space="preserve"> </w:t>
      </w:r>
      <w:r w:rsidRPr="00556B9B">
        <w:rPr>
          <w:color w:val="000000"/>
          <w:lang w:val="hu-HU"/>
        </w:rPr>
        <w:t>nap</w:t>
      </w:r>
      <w:r w:rsidRPr="00556B9B">
        <w:rPr>
          <w:color w:val="000000"/>
          <w:lang w:val="hu-HU" w:eastAsia="hu-HU"/>
        </w:rPr>
        <w:t>onkénti adagolásával). A Glivec folyamatos,</w:t>
      </w:r>
      <w:r w:rsidR="00163DE2" w:rsidRPr="00556B9B">
        <w:rPr>
          <w:color w:val="000000"/>
          <w:lang w:val="hu-HU"/>
        </w:rPr>
        <w:t xml:space="preserve"> </w:t>
      </w:r>
      <w:r w:rsidRPr="00556B9B">
        <w:rPr>
          <w:color w:val="000000"/>
          <w:lang w:val="hu-HU"/>
        </w:rPr>
        <w:t>nap</w:t>
      </w:r>
      <w:r w:rsidRPr="00556B9B">
        <w:rPr>
          <w:color w:val="000000"/>
          <w:lang w:val="hu-HU" w:eastAsia="hu-HU"/>
        </w:rPr>
        <w:t>onkénti expozíciója a terápiás ciklus korai időszakában, kemoterápiával kombinálva az 5.</w:t>
      </w:r>
      <w:r w:rsidR="00580342" w:rsidRPr="00556B9B">
        <w:rPr>
          <w:color w:val="000000"/>
          <w:lang w:val="hu-HU" w:eastAsia="hu-HU"/>
        </w:rPr>
        <w:t> </w:t>
      </w:r>
      <w:r w:rsidRPr="00556B9B">
        <w:rPr>
          <w:color w:val="000000"/>
          <w:lang w:val="hu-HU" w:eastAsia="hu-HU"/>
        </w:rPr>
        <w:t>kohorsz betegeinél (n</w:t>
      </w:r>
      <w:r w:rsidR="00DC2FDA" w:rsidRPr="00556B9B">
        <w:rPr>
          <w:color w:val="000000"/>
          <w:lang w:val="hu-HU" w:eastAsia="hu-HU"/>
        </w:rPr>
        <w:t> = </w:t>
      </w:r>
      <w:r w:rsidRPr="00556B9B">
        <w:rPr>
          <w:color w:val="000000"/>
          <w:lang w:val="hu-HU" w:eastAsia="hu-HU"/>
        </w:rPr>
        <w:t>50) javította a 4</w:t>
      </w:r>
      <w:r w:rsidRPr="00556B9B">
        <w:rPr>
          <w:color w:val="000000"/>
          <w:lang w:val="hu-HU"/>
        </w:rPr>
        <w:t> év</w:t>
      </w:r>
      <w:r w:rsidRPr="00556B9B">
        <w:rPr>
          <w:color w:val="000000"/>
          <w:lang w:val="hu-HU" w:eastAsia="hu-HU"/>
        </w:rPr>
        <w:t>es, eseménymentes túlélést (EFS), azokhoz a hisztorikus kontrollokhoz képest (n</w:t>
      </w:r>
      <w:r w:rsidR="00DC2FDA" w:rsidRPr="00556B9B">
        <w:rPr>
          <w:color w:val="000000"/>
          <w:lang w:val="hu-HU" w:eastAsia="hu-HU"/>
        </w:rPr>
        <w:t> = </w:t>
      </w:r>
      <w:r w:rsidRPr="00556B9B">
        <w:rPr>
          <w:color w:val="000000"/>
          <w:lang w:val="hu-HU" w:eastAsia="hu-HU"/>
        </w:rPr>
        <w:t>120), akik Glivec nélkül kaptak standard kemoterápiát (sorrendben 69,6% vs. 31,6%). A becsült 4</w:t>
      </w:r>
      <w:r w:rsidRPr="00556B9B">
        <w:rPr>
          <w:color w:val="000000"/>
          <w:lang w:val="hu-HU"/>
        </w:rPr>
        <w:t> év</w:t>
      </w:r>
      <w:r w:rsidRPr="00556B9B">
        <w:rPr>
          <w:color w:val="000000"/>
          <w:lang w:val="hu-HU" w:eastAsia="hu-HU"/>
        </w:rPr>
        <w:t>es teljes túlélés az 5.</w:t>
      </w:r>
      <w:r w:rsidR="00580342" w:rsidRPr="00556B9B">
        <w:rPr>
          <w:color w:val="000000"/>
          <w:lang w:val="hu-HU" w:eastAsia="hu-HU"/>
        </w:rPr>
        <w:t> </w:t>
      </w:r>
      <w:r w:rsidRPr="00556B9B">
        <w:rPr>
          <w:color w:val="000000"/>
          <w:lang w:val="hu-HU" w:eastAsia="hu-HU"/>
        </w:rPr>
        <w:t>kohorsz betegeinél 83,6% volt, a hisztorikus kontrolloknál észlelt 44,8%</w:t>
      </w:r>
      <w:r w:rsidRPr="00556B9B">
        <w:rPr>
          <w:color w:val="000000"/>
          <w:lang w:val="hu-HU"/>
        </w:rPr>
        <w:noBreakHyphen/>
      </w:r>
      <w:r w:rsidRPr="00556B9B">
        <w:rPr>
          <w:color w:val="000000"/>
          <w:lang w:val="hu-HU" w:eastAsia="hu-HU"/>
        </w:rPr>
        <w:t>hoz képest. Az 5.</w:t>
      </w:r>
      <w:r w:rsidR="00580342" w:rsidRPr="00556B9B">
        <w:rPr>
          <w:color w:val="000000"/>
          <w:lang w:val="hu-HU" w:eastAsia="hu-HU"/>
        </w:rPr>
        <w:t> </w:t>
      </w:r>
      <w:r w:rsidRPr="00556B9B">
        <w:rPr>
          <w:color w:val="000000"/>
          <w:lang w:val="hu-HU" w:eastAsia="hu-HU"/>
        </w:rPr>
        <w:t>kohorsz 50</w:t>
      </w:r>
      <w:r w:rsidR="00163DE2" w:rsidRPr="00556B9B">
        <w:rPr>
          <w:color w:val="000000"/>
          <w:lang w:val="hu-HU" w:eastAsia="hu-HU"/>
        </w:rPr>
        <w:t> </w:t>
      </w:r>
      <w:r w:rsidRPr="00556B9B">
        <w:rPr>
          <w:color w:val="000000"/>
          <w:lang w:val="hu-HU" w:eastAsia="hu-HU"/>
        </w:rPr>
        <w:t>betege közül 20 (40%) esett át haemopoeticus őssejt transzplantáción.</w:t>
      </w:r>
    </w:p>
    <w:p w14:paraId="777566A2" w14:textId="77777777" w:rsidR="001D323E" w:rsidRPr="00556B9B" w:rsidRDefault="001D323E" w:rsidP="001D323E">
      <w:pPr>
        <w:pStyle w:val="EndnoteText"/>
        <w:widowControl w:val="0"/>
        <w:rPr>
          <w:color w:val="000000"/>
          <w:lang w:val="hu-HU"/>
        </w:rPr>
      </w:pPr>
    </w:p>
    <w:p w14:paraId="6DEF4A69" w14:textId="77777777" w:rsidR="001D323E" w:rsidRPr="00556B9B" w:rsidRDefault="00053E70" w:rsidP="005C6E7A">
      <w:pPr>
        <w:pStyle w:val="EndnoteText"/>
        <w:keepNext/>
        <w:keepLines/>
        <w:widowControl w:val="0"/>
        <w:ind w:left="1134" w:hanging="1134"/>
        <w:rPr>
          <w:b/>
          <w:color w:val="000000"/>
          <w:lang w:val="hu-HU"/>
        </w:rPr>
      </w:pPr>
      <w:r w:rsidRPr="00556B9B">
        <w:rPr>
          <w:b/>
          <w:color w:val="000000"/>
          <w:lang w:val="hu-HU" w:eastAsia="hu-HU"/>
        </w:rPr>
        <w:t>5</w:t>
      </w:r>
      <w:r w:rsidR="001D323E" w:rsidRPr="00556B9B">
        <w:rPr>
          <w:b/>
          <w:color w:val="000000"/>
          <w:lang w:val="hu-HU" w:eastAsia="hu-HU"/>
        </w:rPr>
        <w:t>.</w:t>
      </w:r>
      <w:r w:rsidR="00163DE2" w:rsidRPr="00556B9B">
        <w:rPr>
          <w:b/>
          <w:color w:val="000000"/>
          <w:lang w:val="hu-HU" w:eastAsia="hu-HU"/>
        </w:rPr>
        <w:t> </w:t>
      </w:r>
      <w:r w:rsidR="001D323E" w:rsidRPr="00556B9B">
        <w:rPr>
          <w:b/>
          <w:color w:val="000000"/>
          <w:lang w:val="hu-HU" w:eastAsia="hu-HU"/>
        </w:rPr>
        <w:t>táblázat</w:t>
      </w:r>
      <w:r w:rsidR="001D323E" w:rsidRPr="00556B9B">
        <w:rPr>
          <w:b/>
          <w:color w:val="000000"/>
          <w:lang w:val="hu-HU" w:eastAsia="hu-HU"/>
        </w:rPr>
        <w:tab/>
        <w:t>Az I2301</w:t>
      </w:r>
      <w:r w:rsidR="00163DE2" w:rsidRPr="00556B9B">
        <w:rPr>
          <w:b/>
          <w:color w:val="000000"/>
          <w:lang w:val="hu-HU"/>
        </w:rPr>
        <w:t xml:space="preserve"> </w:t>
      </w:r>
      <w:r w:rsidR="001D323E" w:rsidRPr="00556B9B">
        <w:rPr>
          <w:b/>
          <w:color w:val="000000"/>
          <w:lang w:val="hu-HU" w:eastAsia="hu-HU"/>
        </w:rPr>
        <w:t>vizsgálatban az imatinibbel kombinációban alkalmazott kemoterápiás rezsim</w:t>
      </w:r>
    </w:p>
    <w:p w14:paraId="10069E33" w14:textId="77777777" w:rsidR="001D323E" w:rsidRPr="00556B9B" w:rsidRDefault="001D323E" w:rsidP="005C6E7A">
      <w:pPr>
        <w:pStyle w:val="EndnoteText"/>
        <w:keepNext/>
        <w:widowControl w:val="0"/>
        <w:rPr>
          <w:color w:val="00000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725"/>
      </w:tblGrid>
      <w:tr w:rsidR="001D323E" w:rsidRPr="00556B9B" w14:paraId="2196CAFB" w14:textId="77777777" w:rsidTr="005C6E7A">
        <w:trPr>
          <w:cantSplit/>
        </w:trPr>
        <w:tc>
          <w:tcPr>
            <w:tcW w:w="2358" w:type="dxa"/>
            <w:shd w:val="clear" w:color="auto" w:fill="auto"/>
          </w:tcPr>
          <w:p w14:paraId="68EFCE56" w14:textId="77777777" w:rsidR="001D323E" w:rsidRPr="00556B9B" w:rsidRDefault="001D323E" w:rsidP="00437484">
            <w:pPr>
              <w:pStyle w:val="EndnoteText"/>
              <w:widowControl w:val="0"/>
              <w:rPr>
                <w:color w:val="000000"/>
                <w:lang w:val="hu-HU"/>
              </w:rPr>
            </w:pPr>
            <w:r w:rsidRPr="00556B9B">
              <w:rPr>
                <w:color w:val="000000"/>
                <w:lang w:val="hu-HU"/>
              </w:rPr>
              <w:t>1.</w:t>
            </w:r>
            <w:r w:rsidR="00163DE2" w:rsidRPr="00556B9B">
              <w:rPr>
                <w:color w:val="000000"/>
                <w:lang w:val="hu-HU"/>
              </w:rPr>
              <w:t> </w:t>
            </w:r>
            <w:r w:rsidRPr="00556B9B">
              <w:rPr>
                <w:color w:val="000000"/>
                <w:lang w:val="hu-HU"/>
              </w:rPr>
              <w:t>konszolidációs blokk</w:t>
            </w:r>
          </w:p>
          <w:p w14:paraId="52CBA1D7" w14:textId="77777777" w:rsidR="001D323E" w:rsidRPr="00556B9B" w:rsidRDefault="001D323E" w:rsidP="00437484">
            <w:pPr>
              <w:pStyle w:val="EndnoteText"/>
              <w:widowControl w:val="0"/>
              <w:rPr>
                <w:color w:val="000000"/>
              </w:rPr>
            </w:pPr>
            <w:r w:rsidRPr="00556B9B">
              <w:rPr>
                <w:color w:val="000000"/>
                <w:lang w:val="hu-HU"/>
              </w:rPr>
              <w:t>(3 hét</w:t>
            </w:r>
            <w:r w:rsidRPr="00556B9B">
              <w:rPr>
                <w:color w:val="000000"/>
              </w:rPr>
              <w:t>)</w:t>
            </w:r>
          </w:p>
        </w:tc>
        <w:tc>
          <w:tcPr>
            <w:tcW w:w="6929" w:type="dxa"/>
            <w:shd w:val="clear" w:color="auto" w:fill="auto"/>
          </w:tcPr>
          <w:p w14:paraId="690CA4D2" w14:textId="77777777" w:rsidR="001D323E" w:rsidRPr="001D3D33" w:rsidRDefault="001D323E" w:rsidP="00437484">
            <w:pPr>
              <w:pStyle w:val="EndnoteText"/>
              <w:widowControl w:val="0"/>
              <w:rPr>
                <w:color w:val="000000"/>
              </w:rPr>
            </w:pPr>
            <w:r w:rsidRPr="001D3D33">
              <w:rPr>
                <w:color w:val="000000"/>
              </w:rPr>
              <w:t>VP</w:t>
            </w:r>
            <w:r w:rsidRPr="001D3D33">
              <w:rPr>
                <w:color w:val="000000"/>
              </w:rPr>
              <w:noBreakHyphen/>
              <w:t>16 (100 mg/m</w:t>
            </w:r>
            <w:r w:rsidRPr="001D3D33">
              <w:rPr>
                <w:color w:val="000000"/>
                <w:vertAlign w:val="superscript"/>
              </w:rPr>
              <w:t>2</w:t>
            </w:r>
            <w:r w:rsidRPr="001D3D33">
              <w:rPr>
                <w:color w:val="000000"/>
              </w:rPr>
              <w:t xml:space="preserve">/nap, </w:t>
            </w:r>
            <w:r w:rsidR="00163DE2" w:rsidRPr="001D3D33">
              <w:rPr>
                <w:color w:val="000000"/>
              </w:rPr>
              <w:t>iv.</w:t>
            </w:r>
            <w:r w:rsidRPr="001D3D33">
              <w:rPr>
                <w:color w:val="000000"/>
              </w:rPr>
              <w:t>): 1</w:t>
            </w:r>
            <w:r w:rsidRPr="001D3D33">
              <w:rPr>
                <w:color w:val="000000"/>
              </w:rPr>
              <w:noBreakHyphen/>
              <w:t>5. nap</w:t>
            </w:r>
          </w:p>
          <w:p w14:paraId="251C05D3" w14:textId="77777777" w:rsidR="001D323E" w:rsidRPr="00556B9B" w:rsidRDefault="001D323E" w:rsidP="00437484">
            <w:pPr>
              <w:pStyle w:val="EndnoteText"/>
              <w:widowControl w:val="0"/>
              <w:rPr>
                <w:color w:val="000000"/>
              </w:rPr>
            </w:pPr>
            <w:r w:rsidRPr="00556B9B">
              <w:rPr>
                <w:color w:val="000000"/>
              </w:rPr>
              <w:t>Ifoszfamid (1,8 g/m</w:t>
            </w:r>
            <w:r w:rsidRPr="00556B9B">
              <w:rPr>
                <w:color w:val="000000"/>
                <w:vertAlign w:val="superscript"/>
              </w:rPr>
              <w:t>2</w:t>
            </w:r>
            <w:r w:rsidRPr="00556B9B">
              <w:rPr>
                <w:color w:val="000000"/>
              </w:rPr>
              <w:t xml:space="preserve">/nap, </w:t>
            </w:r>
            <w:r w:rsidR="00163DE2" w:rsidRPr="00556B9B">
              <w:rPr>
                <w:color w:val="000000"/>
              </w:rPr>
              <w:t>iv.</w:t>
            </w:r>
            <w:r w:rsidRPr="00556B9B">
              <w:rPr>
                <w:color w:val="000000"/>
              </w:rPr>
              <w:t>): 1</w:t>
            </w:r>
            <w:r w:rsidRPr="00556B9B">
              <w:rPr>
                <w:color w:val="000000"/>
              </w:rPr>
              <w:noBreakHyphen/>
              <w:t>5. nap</w:t>
            </w:r>
          </w:p>
          <w:p w14:paraId="3F183AF5" w14:textId="77777777" w:rsidR="001D323E" w:rsidRPr="00556B9B" w:rsidRDefault="001D323E" w:rsidP="00437484">
            <w:pPr>
              <w:pStyle w:val="EndnoteText"/>
              <w:widowControl w:val="0"/>
              <w:rPr>
                <w:color w:val="000000"/>
              </w:rPr>
            </w:pPr>
            <w:r w:rsidRPr="00556B9B">
              <w:rPr>
                <w:color w:val="000000"/>
              </w:rPr>
              <w:t>MESNA (360 mg/m</w:t>
            </w:r>
            <w:r w:rsidRPr="00556B9B">
              <w:rPr>
                <w:color w:val="000000"/>
                <w:vertAlign w:val="superscript"/>
              </w:rPr>
              <w:t>2</w:t>
            </w:r>
            <w:r w:rsidRPr="00556B9B">
              <w:rPr>
                <w:color w:val="000000"/>
              </w:rPr>
              <w:t>/dózis 3 óránként, 8</w:t>
            </w:r>
            <w:r w:rsidR="00163DE2" w:rsidRPr="00556B9B">
              <w:rPr>
                <w:color w:val="000000"/>
              </w:rPr>
              <w:t> </w:t>
            </w:r>
            <w:r w:rsidRPr="00556B9B">
              <w:rPr>
                <w:color w:val="000000"/>
              </w:rPr>
              <w:t xml:space="preserve">dózis/nap, </w:t>
            </w:r>
            <w:r w:rsidR="00163DE2" w:rsidRPr="00556B9B">
              <w:rPr>
                <w:color w:val="000000"/>
              </w:rPr>
              <w:t>iv.</w:t>
            </w:r>
            <w:r w:rsidRPr="00556B9B">
              <w:rPr>
                <w:color w:val="000000"/>
              </w:rPr>
              <w:t>): 1</w:t>
            </w:r>
            <w:r w:rsidRPr="00556B9B">
              <w:rPr>
                <w:color w:val="000000"/>
              </w:rPr>
              <w:noBreakHyphen/>
              <w:t>5. nap</w:t>
            </w:r>
          </w:p>
          <w:p w14:paraId="1F9A9189" w14:textId="77777777" w:rsidR="001D323E" w:rsidRPr="00556B9B" w:rsidRDefault="001D323E" w:rsidP="00437484">
            <w:pPr>
              <w:pStyle w:val="EndnoteText"/>
              <w:widowControl w:val="0"/>
              <w:rPr>
                <w:color w:val="000000"/>
              </w:rPr>
            </w:pPr>
            <w:r w:rsidRPr="00556B9B">
              <w:rPr>
                <w:color w:val="000000"/>
              </w:rPr>
              <w:t>G</w:t>
            </w:r>
            <w:r w:rsidRPr="00556B9B">
              <w:rPr>
                <w:color w:val="000000"/>
              </w:rPr>
              <w:noBreakHyphen/>
              <w:t>CSF (5</w:t>
            </w:r>
            <w:r w:rsidR="00163DE2" w:rsidRPr="00556B9B">
              <w:rPr>
                <w:color w:val="000000"/>
              </w:rPr>
              <w:t> </w:t>
            </w:r>
            <w:r w:rsidRPr="00556B9B">
              <w:rPr>
                <w:color w:val="000000"/>
              </w:rPr>
              <w:t xml:space="preserve">μg/kg, </w:t>
            </w:r>
            <w:r w:rsidR="00163DE2" w:rsidRPr="00556B9B">
              <w:rPr>
                <w:color w:val="000000"/>
              </w:rPr>
              <w:t>sc.</w:t>
            </w:r>
            <w:r w:rsidRPr="00556B9B">
              <w:rPr>
                <w:color w:val="000000"/>
              </w:rPr>
              <w:t>): 6</w:t>
            </w:r>
            <w:r w:rsidRPr="00556B9B">
              <w:rPr>
                <w:color w:val="000000"/>
              </w:rPr>
              <w:noBreakHyphen/>
              <w:t>15. nap vagy addig, amíg az ANC</w:t>
            </w:r>
            <w:r w:rsidR="00163DE2" w:rsidRPr="00556B9B">
              <w:rPr>
                <w:color w:val="000000"/>
              </w:rPr>
              <w:t> </w:t>
            </w:r>
            <w:r w:rsidRPr="00556B9B">
              <w:rPr>
                <w:color w:val="000000"/>
              </w:rPr>
              <w:t>&gt;</w:t>
            </w:r>
            <w:r w:rsidR="00163DE2" w:rsidRPr="00556B9B">
              <w:rPr>
                <w:color w:val="000000"/>
              </w:rPr>
              <w:t> </w:t>
            </w:r>
            <w:r w:rsidRPr="00556B9B">
              <w:rPr>
                <w:color w:val="000000"/>
              </w:rPr>
              <w:t xml:space="preserve">1500 a </w:t>
            </w:r>
            <w:r w:rsidR="000901C9" w:rsidRPr="00556B9B">
              <w:rPr>
                <w:color w:val="000000"/>
              </w:rPr>
              <w:t>mélypont</w:t>
            </w:r>
            <w:r w:rsidRPr="00556B9B">
              <w:rPr>
                <w:color w:val="000000"/>
              </w:rPr>
              <w:t xml:space="preserve"> után</w:t>
            </w:r>
          </w:p>
          <w:p w14:paraId="07CE0805" w14:textId="77777777" w:rsidR="001D323E" w:rsidRPr="00556B9B" w:rsidRDefault="004C7DF3" w:rsidP="00437484">
            <w:pPr>
              <w:pStyle w:val="EndnoteText"/>
              <w:widowControl w:val="0"/>
              <w:rPr>
                <w:color w:val="000000"/>
              </w:rPr>
            </w:pPr>
            <w:r w:rsidRPr="00556B9B">
              <w:rPr>
                <w:color w:val="000000"/>
              </w:rPr>
              <w:t>i.</w:t>
            </w:r>
            <w:r w:rsidR="000901C9" w:rsidRPr="00556B9B">
              <w:rPr>
                <w:color w:val="000000"/>
              </w:rPr>
              <w:t>t</w:t>
            </w:r>
            <w:r w:rsidRPr="00556B9B">
              <w:rPr>
                <w:color w:val="000000"/>
              </w:rPr>
              <w:t>.</w:t>
            </w:r>
            <w:r w:rsidR="001D323E" w:rsidRPr="00556B9B">
              <w:rPr>
                <w:color w:val="000000"/>
              </w:rPr>
              <w:t xml:space="preserve"> metotrexát (életkorra korrigált): CSAK az 1. nap</w:t>
            </w:r>
          </w:p>
          <w:p w14:paraId="061653BA" w14:textId="77777777" w:rsidR="001D323E" w:rsidRPr="00556B9B" w:rsidRDefault="001D323E" w:rsidP="00437484">
            <w:pPr>
              <w:pStyle w:val="EndnoteText"/>
              <w:widowControl w:val="0"/>
              <w:rPr>
                <w:color w:val="000000"/>
              </w:rPr>
            </w:pPr>
            <w:r w:rsidRPr="00556B9B">
              <w:rPr>
                <w:color w:val="000000"/>
              </w:rPr>
              <w:t xml:space="preserve">Hármas </w:t>
            </w:r>
            <w:r w:rsidR="004C7DF3" w:rsidRPr="00556B9B">
              <w:rPr>
                <w:color w:val="000000"/>
              </w:rPr>
              <w:t>i.t.</w:t>
            </w:r>
            <w:r w:rsidRPr="00556B9B">
              <w:rPr>
                <w:color w:val="000000"/>
              </w:rPr>
              <w:t xml:space="preserve"> kezelés (életkorra korrigált): 8., 15. nap</w:t>
            </w:r>
          </w:p>
        </w:tc>
      </w:tr>
      <w:tr w:rsidR="001D323E" w:rsidRPr="00556B9B" w14:paraId="5EFEC447" w14:textId="77777777" w:rsidTr="005C6E7A">
        <w:trPr>
          <w:cantSplit/>
        </w:trPr>
        <w:tc>
          <w:tcPr>
            <w:tcW w:w="2358" w:type="dxa"/>
            <w:shd w:val="clear" w:color="auto" w:fill="auto"/>
          </w:tcPr>
          <w:p w14:paraId="30F5D2CE" w14:textId="77777777" w:rsidR="001D323E" w:rsidRPr="00556B9B" w:rsidRDefault="001D323E" w:rsidP="00437484">
            <w:pPr>
              <w:pStyle w:val="EndnoteText"/>
              <w:widowControl w:val="0"/>
              <w:rPr>
                <w:color w:val="000000"/>
              </w:rPr>
            </w:pPr>
            <w:r w:rsidRPr="00556B9B">
              <w:rPr>
                <w:color w:val="000000"/>
              </w:rPr>
              <w:t>2.</w:t>
            </w:r>
            <w:r w:rsidR="00163DE2" w:rsidRPr="00556B9B">
              <w:rPr>
                <w:color w:val="000000"/>
              </w:rPr>
              <w:t> </w:t>
            </w:r>
            <w:r w:rsidRPr="00556B9B">
              <w:rPr>
                <w:color w:val="000000"/>
              </w:rPr>
              <w:t>konszolidációs blokk</w:t>
            </w:r>
          </w:p>
          <w:p w14:paraId="61A4F795" w14:textId="77777777" w:rsidR="001D323E" w:rsidRPr="00556B9B" w:rsidRDefault="001D323E" w:rsidP="00437484">
            <w:pPr>
              <w:pStyle w:val="EndnoteText"/>
              <w:widowControl w:val="0"/>
              <w:rPr>
                <w:color w:val="000000"/>
              </w:rPr>
            </w:pPr>
            <w:r w:rsidRPr="00556B9B">
              <w:rPr>
                <w:color w:val="000000"/>
              </w:rPr>
              <w:t>(3 hét)</w:t>
            </w:r>
          </w:p>
        </w:tc>
        <w:tc>
          <w:tcPr>
            <w:tcW w:w="6929" w:type="dxa"/>
            <w:shd w:val="clear" w:color="auto" w:fill="auto"/>
          </w:tcPr>
          <w:p w14:paraId="10BB0BAA" w14:textId="77777777" w:rsidR="001D323E" w:rsidRPr="00556B9B" w:rsidRDefault="001D323E" w:rsidP="00437484">
            <w:pPr>
              <w:pStyle w:val="EndnoteText"/>
              <w:widowControl w:val="0"/>
              <w:rPr>
                <w:color w:val="000000"/>
              </w:rPr>
            </w:pPr>
            <w:r w:rsidRPr="00556B9B">
              <w:rPr>
                <w:color w:val="000000"/>
              </w:rPr>
              <w:t>Metotrexát (5 g/m</w:t>
            </w:r>
            <w:r w:rsidRPr="00556B9B">
              <w:rPr>
                <w:color w:val="000000"/>
                <w:vertAlign w:val="superscript"/>
              </w:rPr>
              <w:t>2</w:t>
            </w:r>
            <w:r w:rsidRPr="00556B9B">
              <w:rPr>
                <w:color w:val="000000"/>
              </w:rPr>
              <w:t xml:space="preserve"> 24 óra alatt, </w:t>
            </w:r>
            <w:r w:rsidR="004953E8" w:rsidRPr="00556B9B">
              <w:rPr>
                <w:color w:val="000000"/>
              </w:rPr>
              <w:t>iv.</w:t>
            </w:r>
            <w:r w:rsidRPr="00556B9B">
              <w:rPr>
                <w:color w:val="000000"/>
              </w:rPr>
              <w:t>): 1. nap</w:t>
            </w:r>
          </w:p>
          <w:p w14:paraId="72BB27E3" w14:textId="77777777" w:rsidR="001D323E" w:rsidRPr="00556B9B" w:rsidRDefault="001D323E" w:rsidP="00437484">
            <w:pPr>
              <w:pStyle w:val="EndnoteText"/>
              <w:widowControl w:val="0"/>
              <w:rPr>
                <w:color w:val="000000"/>
              </w:rPr>
            </w:pPr>
            <w:r w:rsidRPr="00556B9B">
              <w:rPr>
                <w:color w:val="000000"/>
              </w:rPr>
              <w:t>Leukovorin (75 mg/m</w:t>
            </w:r>
            <w:r w:rsidRPr="00556B9B">
              <w:rPr>
                <w:color w:val="000000"/>
                <w:vertAlign w:val="superscript"/>
              </w:rPr>
              <w:t>2</w:t>
            </w:r>
            <w:r w:rsidRPr="00556B9B">
              <w:rPr>
                <w:color w:val="000000"/>
              </w:rPr>
              <w:t xml:space="preserve"> a 36. órában, </w:t>
            </w:r>
            <w:r w:rsidR="004953E8" w:rsidRPr="00556B9B">
              <w:rPr>
                <w:color w:val="000000"/>
              </w:rPr>
              <w:t>iv.</w:t>
            </w:r>
            <w:r w:rsidRPr="00556B9B">
              <w:rPr>
                <w:color w:val="000000"/>
                <w:lang w:val="en-US"/>
              </w:rPr>
              <w:t>; 15 mg/m</w:t>
            </w:r>
            <w:r w:rsidRPr="00556B9B">
              <w:rPr>
                <w:color w:val="000000"/>
                <w:vertAlign w:val="superscript"/>
                <w:lang w:val="en-US"/>
              </w:rPr>
              <w:t>2</w:t>
            </w:r>
            <w:r w:rsidRPr="00556B9B">
              <w:rPr>
                <w:color w:val="000000"/>
                <w:lang w:val="en-US"/>
              </w:rPr>
              <w:t xml:space="preserve"> </w:t>
            </w:r>
            <w:r w:rsidR="004953E8" w:rsidRPr="00556B9B">
              <w:rPr>
                <w:color w:val="000000"/>
                <w:lang w:val="en-US"/>
              </w:rPr>
              <w:t>iv.</w:t>
            </w:r>
            <w:r w:rsidRPr="00556B9B">
              <w:rPr>
                <w:color w:val="000000"/>
                <w:lang w:val="en-US"/>
              </w:rPr>
              <w:t xml:space="preserve"> vagy </w:t>
            </w:r>
            <w:r w:rsidR="00163DE2" w:rsidRPr="00556B9B">
              <w:rPr>
                <w:color w:val="000000"/>
                <w:lang w:val="en-US"/>
              </w:rPr>
              <w:t>p.o.</w:t>
            </w:r>
            <w:r w:rsidRPr="00556B9B">
              <w:rPr>
                <w:color w:val="000000"/>
                <w:lang w:val="en-US"/>
              </w:rPr>
              <w:t xml:space="preserve"> </w:t>
            </w:r>
            <w:r w:rsidRPr="00556B9B">
              <w:rPr>
                <w:color w:val="000000"/>
              </w:rPr>
              <w:t>6 óránként, 6</w:t>
            </w:r>
            <w:r w:rsidR="00163DE2" w:rsidRPr="00556B9B">
              <w:rPr>
                <w:color w:val="000000"/>
              </w:rPr>
              <w:t> </w:t>
            </w:r>
            <w:r w:rsidRPr="00556B9B">
              <w:rPr>
                <w:color w:val="000000"/>
              </w:rPr>
              <w:t>dózis)iii: 2. és 3. nap</w:t>
            </w:r>
          </w:p>
          <w:p w14:paraId="10F612F9" w14:textId="77777777" w:rsidR="001D323E" w:rsidRPr="00556B9B" w:rsidRDefault="001D323E" w:rsidP="00437484">
            <w:pPr>
              <w:pStyle w:val="EndnoteText"/>
              <w:widowControl w:val="0"/>
              <w:rPr>
                <w:color w:val="000000"/>
              </w:rPr>
            </w:pPr>
            <w:r w:rsidRPr="00556B9B">
              <w:rPr>
                <w:color w:val="000000"/>
              </w:rPr>
              <w:t xml:space="preserve">Hármas </w:t>
            </w:r>
            <w:r w:rsidR="004C7DF3" w:rsidRPr="00556B9B">
              <w:rPr>
                <w:color w:val="000000"/>
              </w:rPr>
              <w:t>i.t.</w:t>
            </w:r>
            <w:r w:rsidRPr="00556B9B">
              <w:rPr>
                <w:color w:val="000000"/>
              </w:rPr>
              <w:t xml:space="preserve"> kezelés (életkorra korrigált): 1. nap</w:t>
            </w:r>
          </w:p>
          <w:p w14:paraId="4B429653" w14:textId="77777777" w:rsidR="001D323E" w:rsidRPr="00556B9B" w:rsidRDefault="001D323E" w:rsidP="00437484">
            <w:pPr>
              <w:pStyle w:val="EndnoteText"/>
              <w:widowControl w:val="0"/>
              <w:rPr>
                <w:color w:val="000000"/>
              </w:rPr>
            </w:pPr>
            <w:r w:rsidRPr="00556B9B">
              <w:rPr>
                <w:color w:val="000000"/>
              </w:rPr>
              <w:t>ARA</w:t>
            </w:r>
            <w:r w:rsidRPr="00556B9B">
              <w:rPr>
                <w:color w:val="000000"/>
              </w:rPr>
              <w:noBreakHyphen/>
              <w:t>C (3 g/m</w:t>
            </w:r>
            <w:r w:rsidRPr="00556B9B">
              <w:rPr>
                <w:color w:val="000000"/>
                <w:vertAlign w:val="superscript"/>
              </w:rPr>
              <w:t>2</w:t>
            </w:r>
            <w:r w:rsidRPr="00556B9B">
              <w:rPr>
                <w:color w:val="000000"/>
              </w:rPr>
              <w:t xml:space="preserve">/dózis 12 óránként x 4, </w:t>
            </w:r>
            <w:r w:rsidR="004953E8" w:rsidRPr="00556B9B">
              <w:rPr>
                <w:color w:val="000000"/>
              </w:rPr>
              <w:t>iv.</w:t>
            </w:r>
            <w:r w:rsidRPr="00556B9B">
              <w:rPr>
                <w:color w:val="000000"/>
              </w:rPr>
              <w:t>): 2. és 3. nap</w:t>
            </w:r>
          </w:p>
          <w:p w14:paraId="548DCD03" w14:textId="77777777" w:rsidR="001D323E" w:rsidRPr="00556B9B" w:rsidRDefault="001D323E" w:rsidP="00437484">
            <w:pPr>
              <w:pStyle w:val="EndnoteText"/>
              <w:widowControl w:val="0"/>
              <w:rPr>
                <w:color w:val="000000"/>
              </w:rPr>
            </w:pPr>
            <w:r w:rsidRPr="00556B9B">
              <w:rPr>
                <w:color w:val="000000"/>
              </w:rPr>
              <w:t>G</w:t>
            </w:r>
            <w:r w:rsidRPr="00556B9B">
              <w:rPr>
                <w:color w:val="000000"/>
              </w:rPr>
              <w:noBreakHyphen/>
              <w:t>CSF (5</w:t>
            </w:r>
            <w:r w:rsidR="00163DE2" w:rsidRPr="00556B9B">
              <w:rPr>
                <w:color w:val="000000"/>
              </w:rPr>
              <w:t> </w:t>
            </w:r>
            <w:r w:rsidRPr="00556B9B">
              <w:rPr>
                <w:color w:val="000000"/>
              </w:rPr>
              <w:t xml:space="preserve">μg/kg, </w:t>
            </w:r>
            <w:r w:rsidR="004953E8" w:rsidRPr="00556B9B">
              <w:rPr>
                <w:color w:val="000000"/>
              </w:rPr>
              <w:t>sc.</w:t>
            </w:r>
            <w:r w:rsidRPr="00556B9B">
              <w:rPr>
                <w:color w:val="000000"/>
              </w:rPr>
              <w:t>): 4</w:t>
            </w:r>
            <w:r w:rsidRPr="00556B9B">
              <w:rPr>
                <w:color w:val="000000"/>
              </w:rPr>
              <w:noBreakHyphen/>
              <w:t>13. nap vagy addig, amíg az ANC</w:t>
            </w:r>
            <w:r w:rsidR="00163DE2" w:rsidRPr="00556B9B">
              <w:rPr>
                <w:color w:val="000000"/>
              </w:rPr>
              <w:t> </w:t>
            </w:r>
            <w:r w:rsidRPr="00556B9B">
              <w:rPr>
                <w:color w:val="000000"/>
              </w:rPr>
              <w:t>&gt;</w:t>
            </w:r>
            <w:r w:rsidR="00163DE2" w:rsidRPr="00556B9B">
              <w:rPr>
                <w:color w:val="000000"/>
              </w:rPr>
              <w:t> </w:t>
            </w:r>
            <w:r w:rsidRPr="00556B9B">
              <w:rPr>
                <w:color w:val="000000"/>
              </w:rPr>
              <w:t xml:space="preserve">1500 a </w:t>
            </w:r>
            <w:r w:rsidR="00FF4F60" w:rsidRPr="00556B9B">
              <w:rPr>
                <w:color w:val="000000"/>
              </w:rPr>
              <w:t>mélypont</w:t>
            </w:r>
            <w:r w:rsidR="00D5561F" w:rsidRPr="00556B9B">
              <w:rPr>
                <w:color w:val="000000"/>
              </w:rPr>
              <w:t xml:space="preserve"> </w:t>
            </w:r>
            <w:r w:rsidRPr="00556B9B">
              <w:rPr>
                <w:color w:val="000000"/>
              </w:rPr>
              <w:t>után</w:t>
            </w:r>
          </w:p>
        </w:tc>
      </w:tr>
      <w:tr w:rsidR="001D323E" w:rsidRPr="00462020" w14:paraId="3CFF2A0F" w14:textId="77777777" w:rsidTr="005C6E7A">
        <w:trPr>
          <w:cantSplit/>
        </w:trPr>
        <w:tc>
          <w:tcPr>
            <w:tcW w:w="2358" w:type="dxa"/>
            <w:shd w:val="clear" w:color="auto" w:fill="auto"/>
          </w:tcPr>
          <w:p w14:paraId="6EBCCFFA" w14:textId="77777777" w:rsidR="001D323E" w:rsidRPr="00556B9B" w:rsidRDefault="001D323E" w:rsidP="00437484">
            <w:pPr>
              <w:pStyle w:val="EndnoteText"/>
              <w:widowControl w:val="0"/>
              <w:rPr>
                <w:color w:val="000000"/>
              </w:rPr>
            </w:pPr>
            <w:r w:rsidRPr="00556B9B">
              <w:rPr>
                <w:color w:val="000000"/>
              </w:rPr>
              <w:lastRenderedPageBreak/>
              <w:t>1.</w:t>
            </w:r>
            <w:r w:rsidR="00163DE2" w:rsidRPr="00556B9B">
              <w:rPr>
                <w:color w:val="000000"/>
              </w:rPr>
              <w:t> </w:t>
            </w:r>
            <w:r w:rsidRPr="00556B9B">
              <w:rPr>
                <w:color w:val="000000"/>
              </w:rPr>
              <w:t>reindukciós blokk</w:t>
            </w:r>
          </w:p>
          <w:p w14:paraId="5C839125" w14:textId="77777777" w:rsidR="001D323E" w:rsidRPr="00556B9B" w:rsidRDefault="001D323E" w:rsidP="00437484">
            <w:pPr>
              <w:pStyle w:val="EndnoteText"/>
              <w:widowControl w:val="0"/>
              <w:rPr>
                <w:color w:val="000000"/>
              </w:rPr>
            </w:pPr>
            <w:r w:rsidRPr="00556B9B">
              <w:rPr>
                <w:color w:val="000000"/>
              </w:rPr>
              <w:t>(3 hét)</w:t>
            </w:r>
          </w:p>
        </w:tc>
        <w:tc>
          <w:tcPr>
            <w:tcW w:w="6929" w:type="dxa"/>
            <w:shd w:val="clear" w:color="auto" w:fill="auto"/>
          </w:tcPr>
          <w:p w14:paraId="3E6424DD" w14:textId="77777777" w:rsidR="001D323E" w:rsidRPr="00556B9B" w:rsidRDefault="001D323E" w:rsidP="00437484">
            <w:pPr>
              <w:pStyle w:val="EndnoteText"/>
              <w:widowControl w:val="0"/>
              <w:rPr>
                <w:color w:val="000000"/>
              </w:rPr>
            </w:pPr>
            <w:r w:rsidRPr="00556B9B">
              <w:rPr>
                <w:color w:val="000000"/>
              </w:rPr>
              <w:t>VCR (1,5 mg/m</w:t>
            </w:r>
            <w:r w:rsidRPr="00556B9B">
              <w:rPr>
                <w:color w:val="000000"/>
                <w:vertAlign w:val="superscript"/>
              </w:rPr>
              <w:t>2</w:t>
            </w:r>
            <w:r w:rsidRPr="00556B9B">
              <w:rPr>
                <w:color w:val="000000"/>
              </w:rPr>
              <w:t xml:space="preserve">/nap, </w:t>
            </w:r>
            <w:r w:rsidR="004953E8" w:rsidRPr="00556B9B">
              <w:rPr>
                <w:color w:val="000000"/>
              </w:rPr>
              <w:t>iv.</w:t>
            </w:r>
            <w:r w:rsidRPr="00556B9B">
              <w:rPr>
                <w:color w:val="000000"/>
              </w:rPr>
              <w:t>): 1., 8. és 15. nap</w:t>
            </w:r>
          </w:p>
          <w:p w14:paraId="22E705C2" w14:textId="77777777" w:rsidR="001D323E" w:rsidRPr="00556B9B" w:rsidRDefault="001D323E" w:rsidP="00437484">
            <w:pPr>
              <w:pStyle w:val="EndnoteText"/>
              <w:widowControl w:val="0"/>
              <w:rPr>
                <w:color w:val="000000"/>
              </w:rPr>
            </w:pPr>
            <w:r w:rsidRPr="00556B9B">
              <w:rPr>
                <w:color w:val="000000"/>
              </w:rPr>
              <w:t>DAUN (45 mg/m</w:t>
            </w:r>
            <w:r w:rsidRPr="00556B9B">
              <w:rPr>
                <w:color w:val="000000"/>
                <w:vertAlign w:val="superscript"/>
              </w:rPr>
              <w:t>2</w:t>
            </w:r>
            <w:r w:rsidRPr="00556B9B">
              <w:rPr>
                <w:color w:val="000000"/>
              </w:rPr>
              <w:t xml:space="preserve">/nap bólus, </w:t>
            </w:r>
            <w:r w:rsidR="004953E8" w:rsidRPr="00556B9B">
              <w:rPr>
                <w:color w:val="000000"/>
              </w:rPr>
              <w:t>iv.</w:t>
            </w:r>
            <w:r w:rsidRPr="00556B9B">
              <w:rPr>
                <w:color w:val="000000"/>
              </w:rPr>
              <w:t>): 1. és 2. nap</w:t>
            </w:r>
          </w:p>
          <w:p w14:paraId="13D4A44B" w14:textId="77777777" w:rsidR="001D323E" w:rsidRPr="00556B9B" w:rsidRDefault="001D323E" w:rsidP="00437484">
            <w:pPr>
              <w:pStyle w:val="EndnoteText"/>
              <w:widowControl w:val="0"/>
              <w:rPr>
                <w:color w:val="000000"/>
              </w:rPr>
            </w:pPr>
            <w:r w:rsidRPr="00556B9B">
              <w:rPr>
                <w:color w:val="000000"/>
              </w:rPr>
              <w:t>CPM (250 mg/m</w:t>
            </w:r>
            <w:r w:rsidRPr="00556B9B">
              <w:rPr>
                <w:color w:val="000000"/>
                <w:vertAlign w:val="superscript"/>
              </w:rPr>
              <w:t>2</w:t>
            </w:r>
            <w:r w:rsidRPr="00556B9B">
              <w:rPr>
                <w:color w:val="000000"/>
              </w:rPr>
              <w:t>/dózis 12 óránként, 4</w:t>
            </w:r>
            <w:r w:rsidR="00163DE2" w:rsidRPr="00556B9B">
              <w:rPr>
                <w:color w:val="000000"/>
              </w:rPr>
              <w:t> </w:t>
            </w:r>
            <w:r w:rsidRPr="00556B9B">
              <w:rPr>
                <w:color w:val="000000"/>
              </w:rPr>
              <w:t xml:space="preserve">dózis, </w:t>
            </w:r>
            <w:r w:rsidR="004953E8" w:rsidRPr="00556B9B">
              <w:rPr>
                <w:color w:val="000000"/>
              </w:rPr>
              <w:t>iv.</w:t>
            </w:r>
            <w:r w:rsidRPr="00556B9B">
              <w:rPr>
                <w:color w:val="000000"/>
              </w:rPr>
              <w:t>): 3. és 4. nap</w:t>
            </w:r>
          </w:p>
          <w:p w14:paraId="5FAF894A" w14:textId="77777777" w:rsidR="001D323E" w:rsidRPr="00556B9B" w:rsidRDefault="001D323E" w:rsidP="00437484">
            <w:pPr>
              <w:pStyle w:val="EndnoteText"/>
              <w:widowControl w:val="0"/>
              <w:rPr>
                <w:color w:val="000000"/>
                <w:lang w:val="it-IT"/>
              </w:rPr>
            </w:pPr>
            <w:r w:rsidRPr="00556B9B">
              <w:rPr>
                <w:color w:val="000000"/>
                <w:lang w:val="it-IT"/>
              </w:rPr>
              <w:t>PEG</w:t>
            </w:r>
            <w:r w:rsidRPr="00556B9B">
              <w:rPr>
                <w:color w:val="000000"/>
                <w:lang w:val="it-IT"/>
              </w:rPr>
              <w:noBreakHyphen/>
              <w:t>ASP (2500</w:t>
            </w:r>
            <w:r w:rsidR="00163DE2" w:rsidRPr="00556B9B">
              <w:rPr>
                <w:color w:val="000000"/>
                <w:lang w:val="it-IT"/>
              </w:rPr>
              <w:t> </w:t>
            </w:r>
            <w:r w:rsidRPr="00556B9B">
              <w:rPr>
                <w:color w:val="000000"/>
                <w:lang w:val="it-IT"/>
              </w:rPr>
              <w:t>NE/m</w:t>
            </w:r>
            <w:r w:rsidRPr="00556B9B">
              <w:rPr>
                <w:color w:val="000000"/>
                <w:vertAlign w:val="superscript"/>
                <w:lang w:val="it-IT"/>
              </w:rPr>
              <w:t>2</w:t>
            </w:r>
            <w:r w:rsidRPr="00556B9B">
              <w:rPr>
                <w:color w:val="000000"/>
                <w:lang w:val="it-IT"/>
              </w:rPr>
              <w:t xml:space="preserve">, </w:t>
            </w:r>
            <w:r w:rsidR="00163DE2" w:rsidRPr="00556B9B">
              <w:rPr>
                <w:color w:val="000000"/>
                <w:lang w:val="it-IT"/>
              </w:rPr>
              <w:t>i.m.</w:t>
            </w:r>
            <w:r w:rsidRPr="00556B9B">
              <w:rPr>
                <w:color w:val="000000"/>
                <w:lang w:val="it-IT"/>
              </w:rPr>
              <w:t>): 4. nap</w:t>
            </w:r>
          </w:p>
          <w:p w14:paraId="6C32D6FD" w14:textId="77777777" w:rsidR="001D323E" w:rsidRPr="00556B9B" w:rsidRDefault="001D323E" w:rsidP="00437484">
            <w:pPr>
              <w:pStyle w:val="EndnoteText"/>
              <w:widowControl w:val="0"/>
              <w:rPr>
                <w:color w:val="000000"/>
                <w:lang w:val="it-IT"/>
              </w:rPr>
            </w:pPr>
            <w:r w:rsidRPr="00556B9B">
              <w:rPr>
                <w:color w:val="000000"/>
                <w:lang w:val="it-IT"/>
              </w:rPr>
              <w:t>G</w:t>
            </w:r>
            <w:r w:rsidRPr="00556B9B">
              <w:rPr>
                <w:color w:val="000000"/>
                <w:lang w:val="it-IT"/>
              </w:rPr>
              <w:noBreakHyphen/>
              <w:t>CSF (5</w:t>
            </w:r>
            <w:r w:rsidR="00580342" w:rsidRPr="00556B9B">
              <w:rPr>
                <w:color w:val="000000"/>
                <w:lang w:val="it-IT"/>
              </w:rPr>
              <w:t> </w:t>
            </w:r>
            <w:r w:rsidRPr="00556B9B">
              <w:rPr>
                <w:color w:val="000000"/>
              </w:rPr>
              <w:t>μ</w:t>
            </w:r>
            <w:r w:rsidRPr="00556B9B">
              <w:rPr>
                <w:color w:val="000000"/>
                <w:lang w:val="it-IT"/>
              </w:rPr>
              <w:t xml:space="preserve">g/kg, </w:t>
            </w:r>
            <w:r w:rsidR="004953E8" w:rsidRPr="00556B9B">
              <w:rPr>
                <w:color w:val="000000"/>
                <w:lang w:val="it-IT"/>
              </w:rPr>
              <w:t>sc.</w:t>
            </w:r>
            <w:r w:rsidRPr="00556B9B">
              <w:rPr>
                <w:color w:val="000000"/>
                <w:lang w:val="it-IT"/>
              </w:rPr>
              <w:t>): 5</w:t>
            </w:r>
            <w:r w:rsidRPr="00556B9B">
              <w:rPr>
                <w:color w:val="000000"/>
                <w:lang w:val="it-IT"/>
              </w:rPr>
              <w:noBreakHyphen/>
              <w:t>14. nap vagy addig, amíg az ANC</w:t>
            </w:r>
            <w:r w:rsidR="00163DE2" w:rsidRPr="00556B9B">
              <w:rPr>
                <w:color w:val="000000"/>
                <w:lang w:val="it-IT"/>
              </w:rPr>
              <w:t> </w:t>
            </w:r>
            <w:r w:rsidRPr="00556B9B">
              <w:rPr>
                <w:color w:val="000000"/>
                <w:lang w:val="it-IT"/>
              </w:rPr>
              <w:t>&gt;</w:t>
            </w:r>
            <w:r w:rsidR="00163DE2" w:rsidRPr="00556B9B">
              <w:rPr>
                <w:color w:val="000000"/>
                <w:lang w:val="it-IT"/>
              </w:rPr>
              <w:t> </w:t>
            </w:r>
            <w:r w:rsidRPr="00556B9B">
              <w:rPr>
                <w:color w:val="000000"/>
                <w:lang w:val="it-IT"/>
              </w:rPr>
              <w:t xml:space="preserve">1500 a </w:t>
            </w:r>
            <w:r w:rsidR="000901C9" w:rsidRPr="00556B9B">
              <w:rPr>
                <w:color w:val="000000"/>
                <w:lang w:val="it-IT"/>
              </w:rPr>
              <w:t>mélypont</w:t>
            </w:r>
            <w:r w:rsidR="00D5561F" w:rsidRPr="00556B9B">
              <w:rPr>
                <w:color w:val="000000"/>
                <w:lang w:val="it-IT"/>
              </w:rPr>
              <w:t xml:space="preserve"> </w:t>
            </w:r>
            <w:r w:rsidRPr="00556B9B">
              <w:rPr>
                <w:color w:val="000000"/>
                <w:lang w:val="it-IT"/>
              </w:rPr>
              <w:t>után</w:t>
            </w:r>
          </w:p>
          <w:p w14:paraId="756E9275" w14:textId="77777777" w:rsidR="001D323E" w:rsidRPr="00556B9B" w:rsidRDefault="001D323E" w:rsidP="00437484">
            <w:pPr>
              <w:pStyle w:val="EndnoteText"/>
              <w:widowControl w:val="0"/>
              <w:rPr>
                <w:color w:val="000000"/>
                <w:lang w:val="it-IT"/>
              </w:rPr>
            </w:pPr>
            <w:r w:rsidRPr="00556B9B">
              <w:rPr>
                <w:color w:val="000000"/>
                <w:lang w:val="it-IT"/>
              </w:rPr>
              <w:t xml:space="preserve">Hármas </w:t>
            </w:r>
            <w:r w:rsidR="004C7DF3" w:rsidRPr="00556B9B">
              <w:rPr>
                <w:color w:val="000000"/>
                <w:lang w:val="it-IT"/>
              </w:rPr>
              <w:t>i.t.</w:t>
            </w:r>
            <w:r w:rsidRPr="00556B9B">
              <w:rPr>
                <w:color w:val="000000"/>
                <w:lang w:val="it-IT"/>
              </w:rPr>
              <w:t xml:space="preserve"> kezelés (életkorra korrigált): 1. és 15. nap</w:t>
            </w:r>
          </w:p>
          <w:p w14:paraId="2DF577BC" w14:textId="77777777" w:rsidR="001D323E" w:rsidRPr="00FE57F2" w:rsidRDefault="001D323E" w:rsidP="00437484">
            <w:pPr>
              <w:pStyle w:val="EndnoteText"/>
              <w:widowControl w:val="0"/>
              <w:rPr>
                <w:color w:val="000000"/>
                <w:lang w:val="it-IT"/>
              </w:rPr>
            </w:pPr>
            <w:r w:rsidRPr="00FE57F2">
              <w:rPr>
                <w:color w:val="000000"/>
                <w:lang w:val="it-IT"/>
              </w:rPr>
              <w:t>DEX (6 mg/m</w:t>
            </w:r>
            <w:r w:rsidRPr="00FE57F2">
              <w:rPr>
                <w:color w:val="000000"/>
                <w:vertAlign w:val="superscript"/>
                <w:lang w:val="it-IT"/>
              </w:rPr>
              <w:t>2</w:t>
            </w:r>
            <w:r w:rsidRPr="00FE57F2">
              <w:rPr>
                <w:color w:val="000000"/>
                <w:lang w:val="it-IT"/>
              </w:rPr>
              <w:t xml:space="preserve">/nap, </w:t>
            </w:r>
            <w:r w:rsidR="00163DE2" w:rsidRPr="00FE57F2">
              <w:rPr>
                <w:color w:val="000000"/>
                <w:lang w:val="it-IT"/>
              </w:rPr>
              <w:t>p.o.</w:t>
            </w:r>
            <w:r w:rsidRPr="00FE57F2">
              <w:rPr>
                <w:color w:val="000000"/>
                <w:lang w:val="it-IT"/>
              </w:rPr>
              <w:t>): 1</w:t>
            </w:r>
            <w:r w:rsidRPr="00FE57F2">
              <w:rPr>
                <w:color w:val="000000"/>
                <w:lang w:val="it-IT"/>
              </w:rPr>
              <w:noBreakHyphen/>
              <w:t>7. és 15</w:t>
            </w:r>
            <w:r w:rsidRPr="00FE57F2">
              <w:rPr>
                <w:color w:val="000000"/>
                <w:lang w:val="it-IT"/>
              </w:rPr>
              <w:noBreakHyphen/>
              <w:t>21. nap</w:t>
            </w:r>
          </w:p>
        </w:tc>
      </w:tr>
      <w:tr w:rsidR="001D323E" w:rsidRPr="001D3D33" w14:paraId="41D0388D" w14:textId="77777777" w:rsidTr="005C6E7A">
        <w:trPr>
          <w:cantSplit/>
        </w:trPr>
        <w:tc>
          <w:tcPr>
            <w:tcW w:w="2358" w:type="dxa"/>
            <w:shd w:val="clear" w:color="auto" w:fill="auto"/>
          </w:tcPr>
          <w:p w14:paraId="23FD5539" w14:textId="77777777" w:rsidR="001D323E" w:rsidRPr="00556B9B" w:rsidRDefault="001D323E" w:rsidP="00437484">
            <w:pPr>
              <w:pStyle w:val="EndnoteText"/>
              <w:widowControl w:val="0"/>
              <w:rPr>
                <w:color w:val="000000"/>
              </w:rPr>
            </w:pPr>
            <w:r w:rsidRPr="00556B9B">
              <w:rPr>
                <w:color w:val="000000"/>
              </w:rPr>
              <w:t>1.</w:t>
            </w:r>
            <w:r w:rsidR="00163DE2" w:rsidRPr="00556B9B">
              <w:rPr>
                <w:color w:val="000000"/>
              </w:rPr>
              <w:t> </w:t>
            </w:r>
            <w:r w:rsidRPr="00556B9B">
              <w:rPr>
                <w:color w:val="000000"/>
              </w:rPr>
              <w:t>intenzifikációs blokk</w:t>
            </w:r>
          </w:p>
          <w:p w14:paraId="48BB2208" w14:textId="77777777" w:rsidR="001D323E" w:rsidRPr="00556B9B" w:rsidRDefault="001D323E" w:rsidP="00437484">
            <w:pPr>
              <w:pStyle w:val="EndnoteText"/>
              <w:widowControl w:val="0"/>
              <w:rPr>
                <w:color w:val="000000"/>
              </w:rPr>
            </w:pPr>
            <w:r w:rsidRPr="00556B9B">
              <w:rPr>
                <w:color w:val="000000"/>
              </w:rPr>
              <w:t>(9 hét)</w:t>
            </w:r>
          </w:p>
        </w:tc>
        <w:tc>
          <w:tcPr>
            <w:tcW w:w="6929" w:type="dxa"/>
            <w:shd w:val="clear" w:color="auto" w:fill="auto"/>
          </w:tcPr>
          <w:p w14:paraId="4E155AD5" w14:textId="77777777" w:rsidR="001D323E" w:rsidRPr="00556B9B" w:rsidRDefault="001D323E" w:rsidP="00437484">
            <w:pPr>
              <w:pStyle w:val="EndnoteText"/>
              <w:widowControl w:val="0"/>
              <w:rPr>
                <w:color w:val="000000"/>
              </w:rPr>
            </w:pPr>
            <w:r w:rsidRPr="00556B9B">
              <w:rPr>
                <w:color w:val="000000"/>
              </w:rPr>
              <w:t>Metotrexát (5 g/m</w:t>
            </w:r>
            <w:r w:rsidRPr="00556B9B">
              <w:rPr>
                <w:color w:val="000000"/>
                <w:vertAlign w:val="superscript"/>
              </w:rPr>
              <w:t>2</w:t>
            </w:r>
            <w:r w:rsidRPr="00556B9B">
              <w:rPr>
                <w:color w:val="000000"/>
              </w:rPr>
              <w:t xml:space="preserve"> 24 óra alatt, </w:t>
            </w:r>
            <w:r w:rsidR="004953E8" w:rsidRPr="00556B9B">
              <w:rPr>
                <w:color w:val="000000"/>
              </w:rPr>
              <w:t>iv.</w:t>
            </w:r>
            <w:r w:rsidRPr="00556B9B">
              <w:rPr>
                <w:color w:val="000000"/>
              </w:rPr>
              <w:t>): 1. és 15. nap</w:t>
            </w:r>
          </w:p>
          <w:p w14:paraId="244A73A0" w14:textId="77777777" w:rsidR="001D323E" w:rsidRPr="00556B9B" w:rsidRDefault="001D323E" w:rsidP="00437484">
            <w:pPr>
              <w:pStyle w:val="EndnoteText"/>
              <w:widowControl w:val="0"/>
              <w:rPr>
                <w:color w:val="000000"/>
              </w:rPr>
            </w:pPr>
            <w:r w:rsidRPr="00556B9B">
              <w:rPr>
                <w:color w:val="000000"/>
              </w:rPr>
              <w:t>Leukovorin (75 mg/m</w:t>
            </w:r>
            <w:r w:rsidRPr="00556B9B">
              <w:rPr>
                <w:color w:val="000000"/>
                <w:vertAlign w:val="superscript"/>
              </w:rPr>
              <w:t>2</w:t>
            </w:r>
            <w:r w:rsidRPr="00556B9B">
              <w:rPr>
                <w:color w:val="000000"/>
              </w:rPr>
              <w:t xml:space="preserve"> a 36. órában, </w:t>
            </w:r>
            <w:r w:rsidR="004953E8" w:rsidRPr="00556B9B">
              <w:rPr>
                <w:color w:val="000000"/>
              </w:rPr>
              <w:t>iv.</w:t>
            </w:r>
            <w:r w:rsidRPr="00556B9B">
              <w:rPr>
                <w:color w:val="000000"/>
              </w:rPr>
              <w:t>; 15 mg/m</w:t>
            </w:r>
            <w:r w:rsidRPr="00556B9B">
              <w:rPr>
                <w:color w:val="000000"/>
                <w:vertAlign w:val="superscript"/>
              </w:rPr>
              <w:t>2</w:t>
            </w:r>
            <w:r w:rsidRPr="00556B9B">
              <w:rPr>
                <w:color w:val="000000"/>
              </w:rPr>
              <w:t xml:space="preserve"> </w:t>
            </w:r>
            <w:r w:rsidR="004953E8" w:rsidRPr="00556B9B">
              <w:rPr>
                <w:color w:val="000000"/>
              </w:rPr>
              <w:t>iv.</w:t>
            </w:r>
            <w:r w:rsidRPr="00556B9B">
              <w:rPr>
                <w:color w:val="000000"/>
              </w:rPr>
              <w:t xml:space="preserve"> vagy </w:t>
            </w:r>
            <w:r w:rsidR="00163DE2" w:rsidRPr="00556B9B">
              <w:rPr>
                <w:color w:val="000000"/>
              </w:rPr>
              <w:t>p.o.</w:t>
            </w:r>
            <w:r w:rsidRPr="00556B9B">
              <w:rPr>
                <w:color w:val="000000"/>
              </w:rPr>
              <w:t xml:space="preserve"> 6 óránként, 6</w:t>
            </w:r>
            <w:r w:rsidR="00163DE2" w:rsidRPr="00556B9B">
              <w:rPr>
                <w:color w:val="000000"/>
              </w:rPr>
              <w:t> </w:t>
            </w:r>
            <w:r w:rsidRPr="00556B9B">
              <w:rPr>
                <w:color w:val="000000"/>
              </w:rPr>
              <w:t>dózis)iii: 2., 3., 16. és 17. nap</w:t>
            </w:r>
          </w:p>
          <w:p w14:paraId="57427739" w14:textId="77777777" w:rsidR="001D323E" w:rsidRPr="00556B9B" w:rsidRDefault="001D323E" w:rsidP="00437484">
            <w:pPr>
              <w:pStyle w:val="EndnoteText"/>
              <w:widowControl w:val="0"/>
              <w:rPr>
                <w:color w:val="000000"/>
              </w:rPr>
            </w:pPr>
            <w:r w:rsidRPr="00556B9B">
              <w:rPr>
                <w:color w:val="000000"/>
              </w:rPr>
              <w:t xml:space="preserve">Hármas </w:t>
            </w:r>
            <w:r w:rsidR="004C7DF3" w:rsidRPr="00556B9B">
              <w:rPr>
                <w:color w:val="000000"/>
              </w:rPr>
              <w:t>i.t.</w:t>
            </w:r>
            <w:r w:rsidRPr="00556B9B">
              <w:rPr>
                <w:color w:val="000000"/>
              </w:rPr>
              <w:t xml:space="preserve"> kezelés (életkorra korrigált): 1. és 22. nap</w:t>
            </w:r>
          </w:p>
          <w:p w14:paraId="2BE4A518" w14:textId="77777777" w:rsidR="001D323E" w:rsidRPr="001D3D33" w:rsidRDefault="001D323E" w:rsidP="00437484">
            <w:pPr>
              <w:pStyle w:val="EndnoteText"/>
              <w:widowControl w:val="0"/>
              <w:rPr>
                <w:color w:val="000000"/>
                <w:lang w:val="da-DK"/>
              </w:rPr>
            </w:pPr>
            <w:r w:rsidRPr="001D3D33">
              <w:rPr>
                <w:color w:val="000000"/>
                <w:lang w:val="da-DK"/>
              </w:rPr>
              <w:t>VP</w:t>
            </w:r>
            <w:r w:rsidRPr="001D3D33">
              <w:rPr>
                <w:color w:val="000000"/>
                <w:lang w:val="da-DK"/>
              </w:rPr>
              <w:noBreakHyphen/>
              <w:t>16 (100 mg/m</w:t>
            </w:r>
            <w:r w:rsidRPr="001D3D33">
              <w:rPr>
                <w:color w:val="000000"/>
                <w:vertAlign w:val="superscript"/>
                <w:lang w:val="da-DK"/>
              </w:rPr>
              <w:t>2</w:t>
            </w:r>
            <w:r w:rsidRPr="001D3D33">
              <w:rPr>
                <w:color w:val="000000"/>
                <w:lang w:val="da-DK"/>
              </w:rPr>
              <w:t xml:space="preserve">/nap, </w:t>
            </w:r>
            <w:r w:rsidR="004953E8" w:rsidRPr="001D3D33">
              <w:rPr>
                <w:color w:val="000000"/>
                <w:lang w:val="da-DK"/>
              </w:rPr>
              <w:t>iv.</w:t>
            </w:r>
            <w:r w:rsidRPr="001D3D33">
              <w:rPr>
                <w:color w:val="000000"/>
                <w:lang w:val="da-DK"/>
              </w:rPr>
              <w:t>): 22</w:t>
            </w:r>
            <w:r w:rsidRPr="001D3D33">
              <w:rPr>
                <w:color w:val="000000"/>
                <w:lang w:val="da-DK"/>
              </w:rPr>
              <w:noBreakHyphen/>
              <w:t>26. nap</w:t>
            </w:r>
          </w:p>
          <w:p w14:paraId="7D9E45F5" w14:textId="77777777" w:rsidR="001D323E" w:rsidRPr="001D3D33" w:rsidRDefault="001D323E" w:rsidP="00437484">
            <w:pPr>
              <w:pStyle w:val="EndnoteText"/>
              <w:widowControl w:val="0"/>
              <w:rPr>
                <w:color w:val="000000"/>
                <w:lang w:val="da-DK"/>
              </w:rPr>
            </w:pPr>
            <w:r w:rsidRPr="001D3D33">
              <w:rPr>
                <w:color w:val="000000"/>
                <w:lang w:val="da-DK"/>
              </w:rPr>
              <w:t>CPM (300 mg/m</w:t>
            </w:r>
            <w:r w:rsidRPr="001D3D33">
              <w:rPr>
                <w:color w:val="000000"/>
                <w:vertAlign w:val="superscript"/>
                <w:lang w:val="da-DK"/>
              </w:rPr>
              <w:t>2</w:t>
            </w:r>
            <w:r w:rsidRPr="001D3D33">
              <w:rPr>
                <w:color w:val="000000"/>
                <w:lang w:val="da-DK"/>
              </w:rPr>
              <w:t xml:space="preserve">/nap, </w:t>
            </w:r>
            <w:r w:rsidR="004953E8" w:rsidRPr="001D3D33">
              <w:rPr>
                <w:color w:val="000000"/>
                <w:lang w:val="da-DK"/>
              </w:rPr>
              <w:t>iv.</w:t>
            </w:r>
            <w:r w:rsidRPr="001D3D33">
              <w:rPr>
                <w:color w:val="000000"/>
                <w:lang w:val="da-DK"/>
              </w:rPr>
              <w:t>): 22</w:t>
            </w:r>
            <w:r w:rsidRPr="001D3D33">
              <w:rPr>
                <w:color w:val="000000"/>
                <w:lang w:val="da-DK"/>
              </w:rPr>
              <w:noBreakHyphen/>
              <w:t>26. nap</w:t>
            </w:r>
          </w:p>
          <w:p w14:paraId="3BEEC9B5" w14:textId="77777777" w:rsidR="001D323E" w:rsidRPr="001D3D33" w:rsidRDefault="001D323E" w:rsidP="00437484">
            <w:pPr>
              <w:pStyle w:val="EndnoteText"/>
              <w:widowControl w:val="0"/>
              <w:rPr>
                <w:color w:val="000000"/>
                <w:lang w:val="da-DK"/>
              </w:rPr>
            </w:pPr>
            <w:r w:rsidRPr="001D3D33">
              <w:rPr>
                <w:color w:val="000000"/>
                <w:lang w:val="da-DK"/>
              </w:rPr>
              <w:t>MESNA (150 mg/m</w:t>
            </w:r>
            <w:r w:rsidRPr="001D3D33">
              <w:rPr>
                <w:color w:val="000000"/>
                <w:vertAlign w:val="superscript"/>
                <w:lang w:val="da-DK"/>
              </w:rPr>
              <w:t>2</w:t>
            </w:r>
            <w:r w:rsidRPr="001D3D33">
              <w:rPr>
                <w:color w:val="000000"/>
                <w:lang w:val="da-DK"/>
              </w:rPr>
              <w:t xml:space="preserve">/nap, </w:t>
            </w:r>
            <w:r w:rsidR="004953E8" w:rsidRPr="001D3D33">
              <w:rPr>
                <w:color w:val="000000"/>
                <w:lang w:val="da-DK"/>
              </w:rPr>
              <w:t>iv.</w:t>
            </w:r>
            <w:r w:rsidRPr="001D3D33">
              <w:rPr>
                <w:color w:val="000000"/>
                <w:lang w:val="da-DK"/>
              </w:rPr>
              <w:t>): 22</w:t>
            </w:r>
            <w:r w:rsidRPr="001D3D33">
              <w:rPr>
                <w:color w:val="000000"/>
                <w:lang w:val="da-DK"/>
              </w:rPr>
              <w:noBreakHyphen/>
              <w:t>26. nap</w:t>
            </w:r>
          </w:p>
          <w:p w14:paraId="52BCE86A" w14:textId="77777777" w:rsidR="001D323E" w:rsidRPr="001D3D33" w:rsidRDefault="001D323E" w:rsidP="00437484">
            <w:pPr>
              <w:pStyle w:val="EndnoteText"/>
              <w:widowControl w:val="0"/>
              <w:rPr>
                <w:color w:val="000000"/>
                <w:lang w:val="da-DK"/>
              </w:rPr>
            </w:pPr>
            <w:r w:rsidRPr="001D3D33">
              <w:rPr>
                <w:color w:val="000000"/>
                <w:lang w:val="da-DK"/>
              </w:rPr>
              <w:t>G</w:t>
            </w:r>
            <w:r w:rsidRPr="001D3D33">
              <w:rPr>
                <w:color w:val="000000"/>
                <w:lang w:val="da-DK"/>
              </w:rPr>
              <w:noBreakHyphen/>
              <w:t>CSF (5</w:t>
            </w:r>
            <w:r w:rsidR="00163DE2" w:rsidRPr="001D3D33">
              <w:rPr>
                <w:color w:val="000000"/>
                <w:lang w:val="da-DK"/>
              </w:rPr>
              <w:t> </w:t>
            </w:r>
            <w:r w:rsidRPr="00556B9B">
              <w:rPr>
                <w:color w:val="000000"/>
              </w:rPr>
              <w:t>μ</w:t>
            </w:r>
            <w:r w:rsidRPr="001D3D33">
              <w:rPr>
                <w:color w:val="000000"/>
                <w:lang w:val="da-DK"/>
              </w:rPr>
              <w:t xml:space="preserve">g/kg, </w:t>
            </w:r>
            <w:r w:rsidR="004953E8" w:rsidRPr="001D3D33">
              <w:rPr>
                <w:color w:val="000000"/>
                <w:lang w:val="da-DK"/>
              </w:rPr>
              <w:t>sc.</w:t>
            </w:r>
            <w:r w:rsidRPr="001D3D33">
              <w:rPr>
                <w:color w:val="000000"/>
                <w:lang w:val="da-DK"/>
              </w:rPr>
              <w:t>): 27</w:t>
            </w:r>
            <w:r w:rsidRPr="001D3D33">
              <w:rPr>
                <w:color w:val="000000"/>
                <w:lang w:val="da-DK"/>
              </w:rPr>
              <w:noBreakHyphen/>
              <w:t>36. nap vagy addig, amíg az ANC</w:t>
            </w:r>
            <w:r w:rsidR="00163DE2" w:rsidRPr="001D3D33">
              <w:rPr>
                <w:color w:val="000000"/>
                <w:lang w:val="da-DK"/>
              </w:rPr>
              <w:t> </w:t>
            </w:r>
            <w:r w:rsidRPr="001D3D33">
              <w:rPr>
                <w:color w:val="000000"/>
                <w:lang w:val="da-DK"/>
              </w:rPr>
              <w:t>&gt;</w:t>
            </w:r>
            <w:r w:rsidR="00163DE2" w:rsidRPr="001D3D33">
              <w:rPr>
                <w:color w:val="000000"/>
                <w:lang w:val="da-DK"/>
              </w:rPr>
              <w:t> </w:t>
            </w:r>
            <w:r w:rsidRPr="001D3D33">
              <w:rPr>
                <w:color w:val="000000"/>
                <w:lang w:val="da-DK"/>
              </w:rPr>
              <w:t xml:space="preserve">1500 a </w:t>
            </w:r>
            <w:r w:rsidR="000901C9" w:rsidRPr="001D3D33">
              <w:rPr>
                <w:color w:val="000000"/>
                <w:lang w:val="da-DK"/>
              </w:rPr>
              <w:t>mélypont</w:t>
            </w:r>
            <w:r w:rsidR="00D5561F" w:rsidRPr="001D3D33">
              <w:rPr>
                <w:color w:val="000000"/>
                <w:lang w:val="da-DK"/>
              </w:rPr>
              <w:t xml:space="preserve"> </w:t>
            </w:r>
            <w:r w:rsidRPr="001D3D33">
              <w:rPr>
                <w:color w:val="000000"/>
                <w:lang w:val="da-DK"/>
              </w:rPr>
              <w:t>után</w:t>
            </w:r>
          </w:p>
          <w:p w14:paraId="342D052C" w14:textId="77777777" w:rsidR="001D323E" w:rsidRPr="00556B9B" w:rsidRDefault="001D323E" w:rsidP="00437484">
            <w:pPr>
              <w:pStyle w:val="EndnoteText"/>
              <w:widowControl w:val="0"/>
              <w:rPr>
                <w:color w:val="000000"/>
                <w:lang w:val="it-IT"/>
              </w:rPr>
            </w:pPr>
            <w:r w:rsidRPr="001D3D33">
              <w:rPr>
                <w:color w:val="000000"/>
                <w:lang w:val="da-DK"/>
              </w:rPr>
              <w:t>ARA</w:t>
            </w:r>
            <w:r w:rsidRPr="001D3D33">
              <w:rPr>
                <w:color w:val="000000"/>
                <w:lang w:val="da-DK"/>
              </w:rPr>
              <w:noBreakHyphen/>
              <w:t>C (3 g/m</w:t>
            </w:r>
            <w:r w:rsidRPr="001D3D33">
              <w:rPr>
                <w:color w:val="000000"/>
                <w:vertAlign w:val="superscript"/>
                <w:lang w:val="da-DK"/>
              </w:rPr>
              <w:t>2</w:t>
            </w:r>
            <w:r w:rsidRPr="001D3D33">
              <w:rPr>
                <w:color w:val="000000"/>
                <w:lang w:val="da-DK"/>
              </w:rPr>
              <w:t xml:space="preserve">, 12 óránként, </w:t>
            </w:r>
            <w:r w:rsidR="004953E8" w:rsidRPr="001D3D33">
              <w:rPr>
                <w:color w:val="000000"/>
                <w:lang w:val="da-DK"/>
              </w:rPr>
              <w:t>iv.</w:t>
            </w:r>
            <w:r w:rsidRPr="001D3D33">
              <w:rPr>
                <w:color w:val="000000"/>
                <w:lang w:val="da-DK"/>
              </w:rPr>
              <w:t xml:space="preserve">): 43. </w:t>
            </w:r>
            <w:r w:rsidRPr="00556B9B">
              <w:rPr>
                <w:color w:val="000000"/>
                <w:lang w:val="it-IT"/>
              </w:rPr>
              <w:t>44. nap</w:t>
            </w:r>
          </w:p>
          <w:p w14:paraId="3E2C3A95" w14:textId="77777777" w:rsidR="001D323E" w:rsidRPr="00556B9B" w:rsidRDefault="001D323E" w:rsidP="00437484">
            <w:pPr>
              <w:pStyle w:val="EndnoteText"/>
              <w:widowControl w:val="0"/>
              <w:rPr>
                <w:color w:val="000000"/>
                <w:lang w:val="it-IT"/>
              </w:rPr>
            </w:pPr>
            <w:r w:rsidRPr="00556B9B">
              <w:rPr>
                <w:color w:val="000000"/>
                <w:lang w:val="it-IT"/>
              </w:rPr>
              <w:t>L</w:t>
            </w:r>
            <w:r w:rsidRPr="00556B9B">
              <w:rPr>
                <w:color w:val="000000"/>
                <w:lang w:val="it-IT"/>
              </w:rPr>
              <w:noBreakHyphen/>
              <w:t>ASP (6000</w:t>
            </w:r>
            <w:r w:rsidR="00163DE2" w:rsidRPr="00556B9B">
              <w:rPr>
                <w:color w:val="000000"/>
                <w:lang w:val="it-IT"/>
              </w:rPr>
              <w:t> </w:t>
            </w:r>
            <w:r w:rsidRPr="00556B9B">
              <w:rPr>
                <w:color w:val="000000"/>
                <w:lang w:val="it-IT"/>
              </w:rPr>
              <w:t>NE/m</w:t>
            </w:r>
            <w:r w:rsidRPr="00556B9B">
              <w:rPr>
                <w:color w:val="000000"/>
                <w:vertAlign w:val="superscript"/>
                <w:lang w:val="it-IT"/>
              </w:rPr>
              <w:t>2</w:t>
            </w:r>
            <w:r w:rsidRPr="00556B9B">
              <w:rPr>
                <w:color w:val="000000"/>
                <w:lang w:val="it-IT"/>
              </w:rPr>
              <w:t xml:space="preserve">, </w:t>
            </w:r>
            <w:r w:rsidR="00163DE2" w:rsidRPr="00556B9B">
              <w:rPr>
                <w:color w:val="000000"/>
                <w:lang w:val="it-IT"/>
              </w:rPr>
              <w:t>i.m.</w:t>
            </w:r>
            <w:r w:rsidRPr="00556B9B">
              <w:rPr>
                <w:color w:val="000000"/>
                <w:lang w:val="it-IT"/>
              </w:rPr>
              <w:t>): 44. </w:t>
            </w:r>
            <w:r w:rsidR="00DE69C7" w:rsidRPr="00556B9B">
              <w:rPr>
                <w:color w:val="000000"/>
                <w:lang w:val="it-IT"/>
              </w:rPr>
              <w:t>N</w:t>
            </w:r>
            <w:r w:rsidRPr="00556B9B">
              <w:rPr>
                <w:color w:val="000000"/>
                <w:lang w:val="it-IT"/>
              </w:rPr>
              <w:t>ap</w:t>
            </w:r>
          </w:p>
        </w:tc>
      </w:tr>
      <w:tr w:rsidR="001D323E" w:rsidRPr="00462020" w14:paraId="3849DDDF" w14:textId="77777777" w:rsidTr="005C6E7A">
        <w:trPr>
          <w:cantSplit/>
        </w:trPr>
        <w:tc>
          <w:tcPr>
            <w:tcW w:w="2358" w:type="dxa"/>
            <w:shd w:val="clear" w:color="auto" w:fill="auto"/>
          </w:tcPr>
          <w:p w14:paraId="6C164B91" w14:textId="77777777" w:rsidR="001D323E" w:rsidRPr="00556B9B" w:rsidRDefault="001D323E" w:rsidP="00437484">
            <w:pPr>
              <w:pStyle w:val="EndnoteText"/>
              <w:widowControl w:val="0"/>
              <w:rPr>
                <w:color w:val="000000"/>
              </w:rPr>
            </w:pPr>
            <w:r w:rsidRPr="00556B9B">
              <w:rPr>
                <w:color w:val="000000"/>
              </w:rPr>
              <w:t>2.</w:t>
            </w:r>
            <w:r w:rsidR="00163DE2" w:rsidRPr="00556B9B">
              <w:rPr>
                <w:color w:val="000000"/>
              </w:rPr>
              <w:t> </w:t>
            </w:r>
            <w:r w:rsidRPr="00556B9B">
              <w:rPr>
                <w:color w:val="000000"/>
              </w:rPr>
              <w:t>reindukciós blokk</w:t>
            </w:r>
          </w:p>
          <w:p w14:paraId="2E5DEB6B" w14:textId="77777777" w:rsidR="001D323E" w:rsidRPr="00556B9B" w:rsidRDefault="001D323E" w:rsidP="00437484">
            <w:pPr>
              <w:pStyle w:val="EndnoteText"/>
              <w:widowControl w:val="0"/>
              <w:rPr>
                <w:color w:val="000000"/>
              </w:rPr>
            </w:pPr>
            <w:r w:rsidRPr="00556B9B">
              <w:rPr>
                <w:color w:val="000000"/>
              </w:rPr>
              <w:t>(3 hét)</w:t>
            </w:r>
          </w:p>
        </w:tc>
        <w:tc>
          <w:tcPr>
            <w:tcW w:w="6929" w:type="dxa"/>
            <w:shd w:val="clear" w:color="auto" w:fill="auto"/>
          </w:tcPr>
          <w:p w14:paraId="641D3785" w14:textId="77777777" w:rsidR="001D323E" w:rsidRPr="00556B9B" w:rsidRDefault="001D323E" w:rsidP="00437484">
            <w:pPr>
              <w:pStyle w:val="EndnoteText"/>
              <w:widowControl w:val="0"/>
              <w:rPr>
                <w:color w:val="000000"/>
              </w:rPr>
            </w:pPr>
            <w:r w:rsidRPr="00556B9B">
              <w:rPr>
                <w:color w:val="000000"/>
              </w:rPr>
              <w:t>VCR (1,5 mg/m</w:t>
            </w:r>
            <w:r w:rsidRPr="00556B9B">
              <w:rPr>
                <w:color w:val="000000"/>
                <w:vertAlign w:val="superscript"/>
              </w:rPr>
              <w:t>2</w:t>
            </w:r>
            <w:r w:rsidRPr="00556B9B">
              <w:rPr>
                <w:color w:val="000000"/>
              </w:rPr>
              <w:t xml:space="preserve">/nap, </w:t>
            </w:r>
            <w:r w:rsidR="004953E8" w:rsidRPr="00556B9B">
              <w:rPr>
                <w:color w:val="000000"/>
              </w:rPr>
              <w:t>iv.</w:t>
            </w:r>
            <w:r w:rsidRPr="00556B9B">
              <w:rPr>
                <w:color w:val="000000"/>
              </w:rPr>
              <w:t>): 1., 8. és 15. nap</w:t>
            </w:r>
          </w:p>
          <w:p w14:paraId="4FE7C660" w14:textId="77777777" w:rsidR="001D323E" w:rsidRPr="00556B9B" w:rsidRDefault="001D323E" w:rsidP="00437484">
            <w:pPr>
              <w:pStyle w:val="EndnoteText"/>
              <w:widowControl w:val="0"/>
              <w:rPr>
                <w:color w:val="000000"/>
              </w:rPr>
            </w:pPr>
            <w:r w:rsidRPr="00556B9B">
              <w:rPr>
                <w:color w:val="000000"/>
              </w:rPr>
              <w:t>DAUN (45 mg/m</w:t>
            </w:r>
            <w:r w:rsidRPr="00556B9B">
              <w:rPr>
                <w:color w:val="000000"/>
                <w:vertAlign w:val="superscript"/>
              </w:rPr>
              <w:t>2</w:t>
            </w:r>
            <w:r w:rsidRPr="00556B9B">
              <w:rPr>
                <w:color w:val="000000"/>
              </w:rPr>
              <w:t xml:space="preserve">/nap bólus, </w:t>
            </w:r>
            <w:r w:rsidR="004953E8" w:rsidRPr="00556B9B">
              <w:rPr>
                <w:color w:val="000000"/>
              </w:rPr>
              <w:t>iv.</w:t>
            </w:r>
            <w:r w:rsidRPr="00556B9B">
              <w:rPr>
                <w:color w:val="000000"/>
              </w:rPr>
              <w:t>): 1. és 2. nap</w:t>
            </w:r>
          </w:p>
          <w:p w14:paraId="09B241A5" w14:textId="77777777" w:rsidR="001D323E" w:rsidRPr="00556B9B" w:rsidRDefault="001D323E" w:rsidP="00437484">
            <w:pPr>
              <w:pStyle w:val="EndnoteText"/>
              <w:widowControl w:val="0"/>
              <w:rPr>
                <w:color w:val="000000"/>
              </w:rPr>
            </w:pPr>
            <w:r w:rsidRPr="00556B9B">
              <w:rPr>
                <w:color w:val="000000"/>
              </w:rPr>
              <w:t>CPM (250 mg/m</w:t>
            </w:r>
            <w:r w:rsidRPr="00556B9B">
              <w:rPr>
                <w:color w:val="000000"/>
                <w:vertAlign w:val="superscript"/>
              </w:rPr>
              <w:t>2</w:t>
            </w:r>
            <w:r w:rsidRPr="00556B9B">
              <w:rPr>
                <w:color w:val="000000"/>
              </w:rPr>
              <w:t>/dózis 12 óránként, 4</w:t>
            </w:r>
            <w:r w:rsidR="00580342" w:rsidRPr="00556B9B">
              <w:rPr>
                <w:color w:val="000000"/>
              </w:rPr>
              <w:t> </w:t>
            </w:r>
            <w:r w:rsidRPr="00556B9B">
              <w:rPr>
                <w:color w:val="000000"/>
              </w:rPr>
              <w:t xml:space="preserve">dózis, </w:t>
            </w:r>
            <w:r w:rsidR="004953E8" w:rsidRPr="00556B9B">
              <w:rPr>
                <w:color w:val="000000"/>
              </w:rPr>
              <w:t>iv.</w:t>
            </w:r>
            <w:r w:rsidRPr="00556B9B">
              <w:rPr>
                <w:color w:val="000000"/>
              </w:rPr>
              <w:t>): 3. és 4. nap</w:t>
            </w:r>
          </w:p>
          <w:p w14:paraId="168D1895" w14:textId="77777777" w:rsidR="001D323E" w:rsidRPr="00556B9B" w:rsidRDefault="001D323E" w:rsidP="00437484">
            <w:pPr>
              <w:pStyle w:val="EndnoteText"/>
              <w:widowControl w:val="0"/>
              <w:rPr>
                <w:color w:val="000000"/>
                <w:lang w:val="it-IT"/>
              </w:rPr>
            </w:pPr>
            <w:r w:rsidRPr="00556B9B">
              <w:rPr>
                <w:color w:val="000000"/>
                <w:lang w:val="it-IT"/>
              </w:rPr>
              <w:t>PEG</w:t>
            </w:r>
            <w:r w:rsidRPr="00556B9B">
              <w:rPr>
                <w:color w:val="000000"/>
                <w:lang w:val="it-IT"/>
              </w:rPr>
              <w:noBreakHyphen/>
              <w:t>ASP (2500</w:t>
            </w:r>
            <w:r w:rsidR="00163DE2" w:rsidRPr="00556B9B">
              <w:rPr>
                <w:color w:val="000000"/>
                <w:lang w:val="it-IT"/>
              </w:rPr>
              <w:t> </w:t>
            </w:r>
            <w:r w:rsidRPr="00556B9B">
              <w:rPr>
                <w:color w:val="000000"/>
                <w:lang w:val="it-IT"/>
              </w:rPr>
              <w:t>NE/m</w:t>
            </w:r>
            <w:r w:rsidRPr="00556B9B">
              <w:rPr>
                <w:color w:val="000000"/>
                <w:vertAlign w:val="superscript"/>
                <w:lang w:val="it-IT"/>
              </w:rPr>
              <w:t>2</w:t>
            </w:r>
            <w:r w:rsidRPr="00556B9B">
              <w:rPr>
                <w:color w:val="000000"/>
                <w:lang w:val="it-IT"/>
              </w:rPr>
              <w:t xml:space="preserve">, </w:t>
            </w:r>
            <w:r w:rsidR="00163DE2" w:rsidRPr="00556B9B">
              <w:rPr>
                <w:color w:val="000000"/>
                <w:lang w:val="it-IT"/>
              </w:rPr>
              <w:t>i.m.</w:t>
            </w:r>
            <w:r w:rsidRPr="00556B9B">
              <w:rPr>
                <w:color w:val="000000"/>
                <w:lang w:val="it-IT"/>
              </w:rPr>
              <w:t>): 4. nap</w:t>
            </w:r>
          </w:p>
          <w:p w14:paraId="3DF4C41A" w14:textId="77777777" w:rsidR="001D323E" w:rsidRPr="00556B9B" w:rsidRDefault="001D323E" w:rsidP="00437484">
            <w:pPr>
              <w:pStyle w:val="EndnoteText"/>
              <w:widowControl w:val="0"/>
              <w:rPr>
                <w:color w:val="000000"/>
                <w:lang w:val="it-IT"/>
              </w:rPr>
            </w:pPr>
            <w:r w:rsidRPr="00556B9B">
              <w:rPr>
                <w:color w:val="000000"/>
                <w:lang w:val="it-IT"/>
              </w:rPr>
              <w:t>G</w:t>
            </w:r>
            <w:r w:rsidRPr="00556B9B">
              <w:rPr>
                <w:color w:val="000000"/>
                <w:lang w:val="it-IT"/>
              </w:rPr>
              <w:noBreakHyphen/>
              <w:t>CSF (5</w:t>
            </w:r>
            <w:r w:rsidR="00580342" w:rsidRPr="00556B9B">
              <w:rPr>
                <w:color w:val="000000"/>
                <w:lang w:val="it-IT"/>
              </w:rPr>
              <w:t> </w:t>
            </w:r>
            <w:r w:rsidRPr="00556B9B">
              <w:rPr>
                <w:color w:val="000000"/>
              </w:rPr>
              <w:t>μ</w:t>
            </w:r>
            <w:r w:rsidRPr="00556B9B">
              <w:rPr>
                <w:color w:val="000000"/>
                <w:lang w:val="it-IT"/>
              </w:rPr>
              <w:t xml:space="preserve">g/kg, </w:t>
            </w:r>
            <w:r w:rsidR="004953E8" w:rsidRPr="00556B9B">
              <w:rPr>
                <w:color w:val="000000"/>
                <w:lang w:val="it-IT"/>
              </w:rPr>
              <w:t>sc.</w:t>
            </w:r>
            <w:r w:rsidRPr="00556B9B">
              <w:rPr>
                <w:color w:val="000000"/>
                <w:lang w:val="it-IT"/>
              </w:rPr>
              <w:t>): 5</w:t>
            </w:r>
            <w:r w:rsidRPr="00556B9B">
              <w:rPr>
                <w:color w:val="000000"/>
                <w:lang w:val="it-IT"/>
              </w:rPr>
              <w:noBreakHyphen/>
              <w:t>14. nap vagy addig, amíg az ANC</w:t>
            </w:r>
            <w:r w:rsidR="00163DE2" w:rsidRPr="00556B9B">
              <w:rPr>
                <w:color w:val="000000"/>
                <w:lang w:val="it-IT"/>
              </w:rPr>
              <w:t> </w:t>
            </w:r>
            <w:r w:rsidRPr="00556B9B">
              <w:rPr>
                <w:color w:val="000000"/>
                <w:lang w:val="it-IT"/>
              </w:rPr>
              <w:t>&gt;</w:t>
            </w:r>
            <w:r w:rsidR="00163DE2" w:rsidRPr="00556B9B">
              <w:rPr>
                <w:color w:val="000000"/>
                <w:lang w:val="it-IT"/>
              </w:rPr>
              <w:t> </w:t>
            </w:r>
            <w:r w:rsidRPr="00556B9B">
              <w:rPr>
                <w:color w:val="000000"/>
                <w:lang w:val="it-IT"/>
              </w:rPr>
              <w:t xml:space="preserve">1500 a </w:t>
            </w:r>
            <w:r w:rsidR="000901C9" w:rsidRPr="00556B9B">
              <w:rPr>
                <w:color w:val="000000"/>
                <w:lang w:val="it-IT"/>
              </w:rPr>
              <w:t>mélypont</w:t>
            </w:r>
            <w:r w:rsidR="00D5561F" w:rsidRPr="00556B9B">
              <w:rPr>
                <w:color w:val="000000"/>
                <w:lang w:val="it-IT"/>
              </w:rPr>
              <w:t xml:space="preserve"> </w:t>
            </w:r>
            <w:r w:rsidRPr="00556B9B">
              <w:rPr>
                <w:color w:val="000000"/>
                <w:lang w:val="it-IT"/>
              </w:rPr>
              <w:t>után</w:t>
            </w:r>
          </w:p>
          <w:p w14:paraId="7213E738" w14:textId="77777777" w:rsidR="001D323E" w:rsidRPr="00556B9B" w:rsidRDefault="001D323E" w:rsidP="00437484">
            <w:pPr>
              <w:pStyle w:val="EndnoteText"/>
              <w:widowControl w:val="0"/>
              <w:rPr>
                <w:color w:val="000000"/>
                <w:lang w:val="it-IT"/>
              </w:rPr>
            </w:pPr>
            <w:r w:rsidRPr="00556B9B">
              <w:rPr>
                <w:color w:val="000000"/>
                <w:lang w:val="it-IT"/>
              </w:rPr>
              <w:t xml:space="preserve">Hármas </w:t>
            </w:r>
            <w:r w:rsidR="004C7DF3" w:rsidRPr="00556B9B">
              <w:rPr>
                <w:color w:val="000000"/>
                <w:lang w:val="it-IT"/>
              </w:rPr>
              <w:t>i.t.</w:t>
            </w:r>
            <w:r w:rsidRPr="00556B9B">
              <w:rPr>
                <w:color w:val="000000"/>
                <w:lang w:val="it-IT"/>
              </w:rPr>
              <w:t xml:space="preserve"> kezelés (életkorra korrigált): 1. és 15. nap</w:t>
            </w:r>
          </w:p>
          <w:p w14:paraId="009A3E04" w14:textId="77777777" w:rsidR="001D323E" w:rsidRPr="00FE57F2" w:rsidRDefault="001D323E" w:rsidP="00437484">
            <w:pPr>
              <w:pStyle w:val="EndnoteText"/>
              <w:widowControl w:val="0"/>
              <w:rPr>
                <w:color w:val="000000"/>
                <w:lang w:val="it-IT"/>
              </w:rPr>
            </w:pPr>
            <w:r w:rsidRPr="00FE57F2">
              <w:rPr>
                <w:color w:val="000000"/>
                <w:lang w:val="it-IT"/>
              </w:rPr>
              <w:t>DEX (6 mg/m</w:t>
            </w:r>
            <w:r w:rsidRPr="00FE57F2">
              <w:rPr>
                <w:color w:val="000000"/>
                <w:vertAlign w:val="superscript"/>
                <w:lang w:val="it-IT"/>
              </w:rPr>
              <w:t>2</w:t>
            </w:r>
            <w:r w:rsidRPr="00FE57F2">
              <w:rPr>
                <w:color w:val="000000"/>
                <w:lang w:val="it-IT"/>
              </w:rPr>
              <w:t xml:space="preserve">/nap, </w:t>
            </w:r>
            <w:r w:rsidR="00163DE2" w:rsidRPr="00FE57F2">
              <w:rPr>
                <w:color w:val="000000"/>
                <w:lang w:val="it-IT"/>
              </w:rPr>
              <w:t>p.o.</w:t>
            </w:r>
            <w:r w:rsidRPr="00FE57F2">
              <w:rPr>
                <w:color w:val="000000"/>
                <w:lang w:val="it-IT"/>
              </w:rPr>
              <w:t>): 1</w:t>
            </w:r>
            <w:r w:rsidRPr="00FE57F2">
              <w:rPr>
                <w:color w:val="000000"/>
                <w:lang w:val="it-IT"/>
              </w:rPr>
              <w:noBreakHyphen/>
              <w:t>7. és 15</w:t>
            </w:r>
            <w:r w:rsidRPr="00FE57F2">
              <w:rPr>
                <w:color w:val="000000"/>
                <w:lang w:val="it-IT"/>
              </w:rPr>
              <w:noBreakHyphen/>
              <w:t>21. nap</w:t>
            </w:r>
          </w:p>
        </w:tc>
      </w:tr>
      <w:tr w:rsidR="001D323E" w:rsidRPr="00462020" w14:paraId="74E476D8" w14:textId="77777777" w:rsidTr="005C6E7A">
        <w:trPr>
          <w:cantSplit/>
        </w:trPr>
        <w:tc>
          <w:tcPr>
            <w:tcW w:w="2358" w:type="dxa"/>
            <w:shd w:val="clear" w:color="auto" w:fill="auto"/>
          </w:tcPr>
          <w:p w14:paraId="04D17342" w14:textId="77777777" w:rsidR="001D323E" w:rsidRPr="00556B9B" w:rsidRDefault="001D323E" w:rsidP="00437484">
            <w:pPr>
              <w:pStyle w:val="EndnoteText"/>
              <w:widowControl w:val="0"/>
              <w:rPr>
                <w:color w:val="000000"/>
                <w:lang w:val="it-IT"/>
              </w:rPr>
            </w:pPr>
            <w:r w:rsidRPr="00556B9B">
              <w:rPr>
                <w:color w:val="000000"/>
                <w:lang w:val="it-IT"/>
              </w:rPr>
              <w:t>2.</w:t>
            </w:r>
            <w:r w:rsidR="00163DE2" w:rsidRPr="00556B9B">
              <w:rPr>
                <w:color w:val="000000"/>
                <w:lang w:val="it-IT"/>
              </w:rPr>
              <w:t> </w:t>
            </w:r>
            <w:r w:rsidRPr="00556B9B">
              <w:rPr>
                <w:color w:val="000000"/>
                <w:lang w:val="it-IT"/>
              </w:rPr>
              <w:t>intenzifikációs blokk</w:t>
            </w:r>
          </w:p>
          <w:p w14:paraId="723F4F3D" w14:textId="77777777" w:rsidR="001D323E" w:rsidRPr="00556B9B" w:rsidRDefault="001D323E" w:rsidP="00437484">
            <w:pPr>
              <w:pStyle w:val="EndnoteText"/>
              <w:widowControl w:val="0"/>
              <w:rPr>
                <w:color w:val="000000"/>
                <w:lang w:val="it-IT"/>
              </w:rPr>
            </w:pPr>
            <w:r w:rsidRPr="00556B9B">
              <w:rPr>
                <w:color w:val="000000"/>
                <w:lang w:val="it-IT"/>
              </w:rPr>
              <w:t>(9 hét)</w:t>
            </w:r>
          </w:p>
        </w:tc>
        <w:tc>
          <w:tcPr>
            <w:tcW w:w="6929" w:type="dxa"/>
            <w:shd w:val="clear" w:color="auto" w:fill="auto"/>
          </w:tcPr>
          <w:p w14:paraId="01CFD412" w14:textId="77777777" w:rsidR="001D323E" w:rsidRPr="00556B9B" w:rsidRDefault="001D323E" w:rsidP="00437484">
            <w:pPr>
              <w:pStyle w:val="EndnoteText"/>
              <w:widowControl w:val="0"/>
              <w:rPr>
                <w:color w:val="000000"/>
                <w:lang w:val="it-IT"/>
              </w:rPr>
            </w:pPr>
            <w:r w:rsidRPr="00556B9B">
              <w:rPr>
                <w:color w:val="000000"/>
                <w:lang w:val="it-IT"/>
              </w:rPr>
              <w:t>Metotrexát (5 g/m</w:t>
            </w:r>
            <w:r w:rsidRPr="00556B9B">
              <w:rPr>
                <w:color w:val="000000"/>
                <w:vertAlign w:val="superscript"/>
                <w:lang w:val="it-IT"/>
              </w:rPr>
              <w:t>2</w:t>
            </w:r>
            <w:r w:rsidRPr="00556B9B">
              <w:rPr>
                <w:color w:val="000000"/>
                <w:lang w:val="it-IT"/>
              </w:rPr>
              <w:t xml:space="preserve"> 24 óra alatt, </w:t>
            </w:r>
            <w:r w:rsidR="004953E8" w:rsidRPr="00556B9B">
              <w:rPr>
                <w:color w:val="000000"/>
                <w:lang w:val="it-IT"/>
              </w:rPr>
              <w:t>iv.</w:t>
            </w:r>
            <w:r w:rsidRPr="00556B9B">
              <w:rPr>
                <w:color w:val="000000"/>
                <w:lang w:val="it-IT"/>
              </w:rPr>
              <w:t>): 1. és 15. nap</w:t>
            </w:r>
          </w:p>
          <w:p w14:paraId="1D07623A" w14:textId="77777777" w:rsidR="001D323E" w:rsidRPr="00556B9B" w:rsidRDefault="001D323E" w:rsidP="00437484">
            <w:pPr>
              <w:pStyle w:val="EndnoteText"/>
              <w:widowControl w:val="0"/>
              <w:rPr>
                <w:color w:val="000000"/>
                <w:lang w:val="it-IT"/>
              </w:rPr>
            </w:pPr>
            <w:r w:rsidRPr="00556B9B">
              <w:rPr>
                <w:color w:val="000000"/>
                <w:lang w:val="it-IT"/>
              </w:rPr>
              <w:t>Leukovorin (75 mg/m</w:t>
            </w:r>
            <w:r w:rsidRPr="00556B9B">
              <w:rPr>
                <w:color w:val="000000"/>
                <w:vertAlign w:val="superscript"/>
                <w:lang w:val="it-IT"/>
              </w:rPr>
              <w:t>2</w:t>
            </w:r>
            <w:r w:rsidRPr="00556B9B">
              <w:rPr>
                <w:color w:val="000000"/>
                <w:lang w:val="it-IT"/>
              </w:rPr>
              <w:t xml:space="preserve"> a 36. órában, </w:t>
            </w:r>
            <w:r w:rsidR="004953E8" w:rsidRPr="00556B9B">
              <w:rPr>
                <w:color w:val="000000"/>
                <w:lang w:val="it-IT"/>
              </w:rPr>
              <w:t>iv.</w:t>
            </w:r>
            <w:r w:rsidRPr="00556B9B">
              <w:rPr>
                <w:color w:val="000000"/>
                <w:lang w:val="it-IT"/>
              </w:rPr>
              <w:t>; 15 mg/m</w:t>
            </w:r>
            <w:r w:rsidRPr="00556B9B">
              <w:rPr>
                <w:color w:val="000000"/>
                <w:vertAlign w:val="superscript"/>
                <w:lang w:val="it-IT"/>
              </w:rPr>
              <w:t>2</w:t>
            </w:r>
            <w:r w:rsidRPr="00556B9B">
              <w:rPr>
                <w:color w:val="000000"/>
                <w:lang w:val="it-IT"/>
              </w:rPr>
              <w:t xml:space="preserve"> </w:t>
            </w:r>
            <w:r w:rsidR="004953E8" w:rsidRPr="00556B9B">
              <w:rPr>
                <w:color w:val="000000"/>
                <w:lang w:val="it-IT"/>
              </w:rPr>
              <w:t>iv.</w:t>
            </w:r>
            <w:r w:rsidRPr="00556B9B">
              <w:rPr>
                <w:color w:val="000000"/>
                <w:lang w:val="it-IT"/>
              </w:rPr>
              <w:t xml:space="preserve"> vagy </w:t>
            </w:r>
            <w:r w:rsidR="0094660A" w:rsidRPr="00556B9B">
              <w:rPr>
                <w:color w:val="000000"/>
                <w:lang w:val="it-IT"/>
              </w:rPr>
              <w:t>p.o.</w:t>
            </w:r>
            <w:r w:rsidRPr="00556B9B">
              <w:rPr>
                <w:color w:val="000000"/>
                <w:lang w:val="it-IT"/>
              </w:rPr>
              <w:t xml:space="preserve"> 6 óránként, 6</w:t>
            </w:r>
            <w:r w:rsidR="0094660A" w:rsidRPr="00556B9B">
              <w:rPr>
                <w:color w:val="000000"/>
                <w:lang w:val="it-IT"/>
              </w:rPr>
              <w:t> </w:t>
            </w:r>
            <w:r w:rsidRPr="00556B9B">
              <w:rPr>
                <w:color w:val="000000"/>
                <w:lang w:val="it-IT"/>
              </w:rPr>
              <w:t>dózis)iii: 2., 3., 16. és 17. nap</w:t>
            </w:r>
          </w:p>
          <w:p w14:paraId="3F4FFA94" w14:textId="77777777" w:rsidR="001D323E" w:rsidRPr="00556B9B" w:rsidRDefault="001D323E" w:rsidP="00437484">
            <w:pPr>
              <w:pStyle w:val="EndnoteText"/>
              <w:widowControl w:val="0"/>
              <w:rPr>
                <w:color w:val="000000"/>
                <w:lang w:val="it-IT"/>
              </w:rPr>
            </w:pPr>
            <w:r w:rsidRPr="00556B9B">
              <w:rPr>
                <w:color w:val="000000"/>
                <w:lang w:val="it-IT"/>
              </w:rPr>
              <w:t xml:space="preserve">Hármas </w:t>
            </w:r>
            <w:r w:rsidR="004C7DF3" w:rsidRPr="00556B9B">
              <w:rPr>
                <w:color w:val="000000"/>
                <w:lang w:val="it-IT"/>
              </w:rPr>
              <w:t>i.t.</w:t>
            </w:r>
            <w:r w:rsidRPr="00556B9B">
              <w:rPr>
                <w:color w:val="000000"/>
                <w:lang w:val="it-IT"/>
              </w:rPr>
              <w:t xml:space="preserve"> kezelés (életkorra korrigált): 1. és 22. nap</w:t>
            </w:r>
          </w:p>
          <w:p w14:paraId="7A4CD063" w14:textId="77777777" w:rsidR="001D323E" w:rsidRPr="001D3D33" w:rsidRDefault="001D323E" w:rsidP="00437484">
            <w:pPr>
              <w:pStyle w:val="EndnoteText"/>
              <w:widowControl w:val="0"/>
              <w:rPr>
                <w:color w:val="000000"/>
                <w:lang w:val="da-DK"/>
              </w:rPr>
            </w:pPr>
            <w:r w:rsidRPr="001D3D33">
              <w:rPr>
                <w:color w:val="000000"/>
                <w:lang w:val="da-DK"/>
              </w:rPr>
              <w:t>VP</w:t>
            </w:r>
            <w:r w:rsidRPr="001D3D33">
              <w:rPr>
                <w:color w:val="000000"/>
                <w:lang w:val="da-DK"/>
              </w:rPr>
              <w:noBreakHyphen/>
              <w:t>16 (100 mg/m</w:t>
            </w:r>
            <w:r w:rsidRPr="001D3D33">
              <w:rPr>
                <w:color w:val="000000"/>
                <w:vertAlign w:val="superscript"/>
                <w:lang w:val="da-DK"/>
              </w:rPr>
              <w:t>2</w:t>
            </w:r>
            <w:r w:rsidRPr="001D3D33">
              <w:rPr>
                <w:color w:val="000000"/>
                <w:lang w:val="da-DK"/>
              </w:rPr>
              <w:t xml:space="preserve">/nap, </w:t>
            </w:r>
            <w:r w:rsidR="004953E8" w:rsidRPr="001D3D33">
              <w:rPr>
                <w:color w:val="000000"/>
                <w:lang w:val="da-DK"/>
              </w:rPr>
              <w:t>iv.</w:t>
            </w:r>
            <w:r w:rsidRPr="001D3D33">
              <w:rPr>
                <w:color w:val="000000"/>
                <w:lang w:val="da-DK"/>
              </w:rPr>
              <w:t>): 22</w:t>
            </w:r>
            <w:r w:rsidRPr="001D3D33">
              <w:rPr>
                <w:color w:val="000000"/>
                <w:lang w:val="da-DK"/>
              </w:rPr>
              <w:noBreakHyphen/>
              <w:t>26. nap</w:t>
            </w:r>
          </w:p>
          <w:p w14:paraId="6FE350E3" w14:textId="77777777" w:rsidR="001D323E" w:rsidRPr="001D3D33" w:rsidRDefault="001D323E" w:rsidP="00437484">
            <w:pPr>
              <w:pStyle w:val="EndnoteText"/>
              <w:widowControl w:val="0"/>
              <w:rPr>
                <w:color w:val="000000"/>
                <w:lang w:val="da-DK"/>
              </w:rPr>
            </w:pPr>
            <w:r w:rsidRPr="001D3D33">
              <w:rPr>
                <w:color w:val="000000"/>
                <w:lang w:val="da-DK"/>
              </w:rPr>
              <w:t>CPM (300 mg/m</w:t>
            </w:r>
            <w:r w:rsidRPr="001D3D33">
              <w:rPr>
                <w:color w:val="000000"/>
                <w:vertAlign w:val="superscript"/>
                <w:lang w:val="da-DK"/>
              </w:rPr>
              <w:t>2</w:t>
            </w:r>
            <w:r w:rsidRPr="001D3D33">
              <w:rPr>
                <w:color w:val="000000"/>
                <w:lang w:val="da-DK"/>
              </w:rPr>
              <w:t xml:space="preserve">/nap, </w:t>
            </w:r>
            <w:r w:rsidR="004953E8" w:rsidRPr="001D3D33">
              <w:rPr>
                <w:color w:val="000000"/>
                <w:lang w:val="da-DK"/>
              </w:rPr>
              <w:t>iv.</w:t>
            </w:r>
            <w:r w:rsidRPr="001D3D33">
              <w:rPr>
                <w:color w:val="000000"/>
                <w:lang w:val="da-DK"/>
              </w:rPr>
              <w:t>): 22</w:t>
            </w:r>
            <w:r w:rsidRPr="001D3D33">
              <w:rPr>
                <w:color w:val="000000"/>
                <w:lang w:val="da-DK"/>
              </w:rPr>
              <w:noBreakHyphen/>
              <w:t>26. nap</w:t>
            </w:r>
          </w:p>
          <w:p w14:paraId="7EA2F618" w14:textId="77777777" w:rsidR="001D323E" w:rsidRPr="001D3D33" w:rsidRDefault="001D323E" w:rsidP="00437484">
            <w:pPr>
              <w:pStyle w:val="EndnoteText"/>
              <w:widowControl w:val="0"/>
              <w:rPr>
                <w:color w:val="000000"/>
                <w:lang w:val="da-DK"/>
              </w:rPr>
            </w:pPr>
            <w:r w:rsidRPr="001D3D33">
              <w:rPr>
                <w:color w:val="000000"/>
                <w:lang w:val="da-DK"/>
              </w:rPr>
              <w:t>MESNA (150 mg/m</w:t>
            </w:r>
            <w:r w:rsidRPr="001D3D33">
              <w:rPr>
                <w:color w:val="000000"/>
                <w:vertAlign w:val="superscript"/>
                <w:lang w:val="da-DK"/>
              </w:rPr>
              <w:t>2</w:t>
            </w:r>
            <w:r w:rsidRPr="001D3D33">
              <w:rPr>
                <w:color w:val="000000"/>
                <w:lang w:val="da-DK"/>
              </w:rPr>
              <w:t xml:space="preserve">/nap, </w:t>
            </w:r>
            <w:r w:rsidR="004953E8" w:rsidRPr="001D3D33">
              <w:rPr>
                <w:color w:val="000000"/>
                <w:lang w:val="da-DK"/>
              </w:rPr>
              <w:t>iv.</w:t>
            </w:r>
            <w:r w:rsidRPr="001D3D33">
              <w:rPr>
                <w:color w:val="000000"/>
                <w:lang w:val="da-DK"/>
              </w:rPr>
              <w:t>): 22</w:t>
            </w:r>
            <w:r w:rsidRPr="001D3D33">
              <w:rPr>
                <w:color w:val="000000"/>
                <w:lang w:val="da-DK"/>
              </w:rPr>
              <w:noBreakHyphen/>
              <w:t>26. nap</w:t>
            </w:r>
          </w:p>
          <w:p w14:paraId="4CC7EAA2" w14:textId="77777777" w:rsidR="001D323E" w:rsidRPr="001D3D33" w:rsidRDefault="001D323E" w:rsidP="00437484">
            <w:pPr>
              <w:pStyle w:val="EndnoteText"/>
              <w:widowControl w:val="0"/>
              <w:rPr>
                <w:color w:val="000000"/>
                <w:lang w:val="da-DK"/>
              </w:rPr>
            </w:pPr>
            <w:r w:rsidRPr="001D3D33">
              <w:rPr>
                <w:color w:val="000000"/>
                <w:lang w:val="da-DK"/>
              </w:rPr>
              <w:t>G</w:t>
            </w:r>
            <w:r w:rsidRPr="001D3D33">
              <w:rPr>
                <w:color w:val="000000"/>
                <w:lang w:val="da-DK"/>
              </w:rPr>
              <w:noBreakHyphen/>
              <w:t>CSF (5</w:t>
            </w:r>
            <w:r w:rsidR="0094660A" w:rsidRPr="001D3D33">
              <w:rPr>
                <w:color w:val="000000"/>
                <w:lang w:val="da-DK"/>
              </w:rPr>
              <w:t> </w:t>
            </w:r>
            <w:r w:rsidRPr="00556B9B">
              <w:rPr>
                <w:color w:val="000000"/>
              </w:rPr>
              <w:t>μ</w:t>
            </w:r>
            <w:r w:rsidRPr="001D3D33">
              <w:rPr>
                <w:color w:val="000000"/>
                <w:lang w:val="da-DK"/>
              </w:rPr>
              <w:t xml:space="preserve">g/kg, </w:t>
            </w:r>
            <w:r w:rsidR="004953E8" w:rsidRPr="001D3D33">
              <w:rPr>
                <w:color w:val="000000"/>
                <w:lang w:val="da-DK"/>
              </w:rPr>
              <w:t>sc.</w:t>
            </w:r>
            <w:r w:rsidRPr="001D3D33">
              <w:rPr>
                <w:color w:val="000000"/>
                <w:lang w:val="da-DK"/>
              </w:rPr>
              <w:t>): 27</w:t>
            </w:r>
            <w:r w:rsidRPr="001D3D33">
              <w:rPr>
                <w:color w:val="000000"/>
                <w:lang w:val="da-DK"/>
              </w:rPr>
              <w:noBreakHyphen/>
              <w:t>36. nap vagy addig, amíg az ANC</w:t>
            </w:r>
            <w:r w:rsidR="0094660A" w:rsidRPr="001D3D33">
              <w:rPr>
                <w:color w:val="000000"/>
                <w:lang w:val="da-DK"/>
              </w:rPr>
              <w:t> </w:t>
            </w:r>
            <w:r w:rsidRPr="001D3D33">
              <w:rPr>
                <w:color w:val="000000"/>
                <w:lang w:val="da-DK"/>
              </w:rPr>
              <w:t>&gt;</w:t>
            </w:r>
            <w:r w:rsidR="0094660A" w:rsidRPr="001D3D33">
              <w:rPr>
                <w:color w:val="000000"/>
                <w:lang w:val="da-DK"/>
              </w:rPr>
              <w:t> </w:t>
            </w:r>
            <w:r w:rsidRPr="001D3D33">
              <w:rPr>
                <w:color w:val="000000"/>
                <w:lang w:val="da-DK"/>
              </w:rPr>
              <w:t xml:space="preserve">1500 a </w:t>
            </w:r>
            <w:r w:rsidR="004707DC" w:rsidRPr="001D3D33">
              <w:rPr>
                <w:color w:val="000000"/>
                <w:lang w:val="da-DK"/>
              </w:rPr>
              <w:t>mélypont</w:t>
            </w:r>
            <w:r w:rsidR="00D5561F" w:rsidRPr="001D3D33">
              <w:rPr>
                <w:color w:val="000000"/>
                <w:lang w:val="da-DK"/>
              </w:rPr>
              <w:t xml:space="preserve"> </w:t>
            </w:r>
            <w:r w:rsidRPr="001D3D33">
              <w:rPr>
                <w:color w:val="000000"/>
                <w:lang w:val="da-DK"/>
              </w:rPr>
              <w:t>után</w:t>
            </w:r>
          </w:p>
          <w:p w14:paraId="2C8122B1" w14:textId="77777777" w:rsidR="001D323E" w:rsidRPr="001D3D33" w:rsidRDefault="001D323E" w:rsidP="00437484">
            <w:pPr>
              <w:pStyle w:val="EndnoteText"/>
              <w:widowControl w:val="0"/>
              <w:rPr>
                <w:color w:val="000000"/>
                <w:lang w:val="da-DK"/>
              </w:rPr>
            </w:pPr>
            <w:r w:rsidRPr="001D3D33">
              <w:rPr>
                <w:color w:val="000000"/>
                <w:lang w:val="da-DK"/>
              </w:rPr>
              <w:t>ARA</w:t>
            </w:r>
            <w:r w:rsidRPr="001D3D33">
              <w:rPr>
                <w:color w:val="000000"/>
                <w:lang w:val="da-DK"/>
              </w:rPr>
              <w:noBreakHyphen/>
              <w:t>C (3 g/m</w:t>
            </w:r>
            <w:r w:rsidRPr="001D3D33">
              <w:rPr>
                <w:color w:val="000000"/>
                <w:vertAlign w:val="superscript"/>
                <w:lang w:val="da-DK"/>
              </w:rPr>
              <w:t>2</w:t>
            </w:r>
            <w:r w:rsidRPr="001D3D33">
              <w:rPr>
                <w:color w:val="000000"/>
                <w:lang w:val="da-DK"/>
              </w:rPr>
              <w:t xml:space="preserve">, 12 óránként, </w:t>
            </w:r>
            <w:r w:rsidR="004953E8" w:rsidRPr="001D3D33">
              <w:rPr>
                <w:color w:val="000000"/>
                <w:lang w:val="da-DK"/>
              </w:rPr>
              <w:t>iv.</w:t>
            </w:r>
            <w:r w:rsidRPr="001D3D33">
              <w:rPr>
                <w:color w:val="000000"/>
                <w:lang w:val="da-DK"/>
              </w:rPr>
              <w:t>): 43., 44. nap</w:t>
            </w:r>
          </w:p>
          <w:p w14:paraId="711CB1F8" w14:textId="77777777" w:rsidR="001D323E" w:rsidRPr="00556B9B" w:rsidRDefault="001D323E" w:rsidP="00437484">
            <w:pPr>
              <w:pStyle w:val="EndnoteText"/>
              <w:widowControl w:val="0"/>
              <w:rPr>
                <w:color w:val="000000"/>
                <w:lang w:val="it-IT"/>
              </w:rPr>
            </w:pPr>
            <w:r w:rsidRPr="00556B9B">
              <w:rPr>
                <w:color w:val="000000"/>
                <w:lang w:val="it-IT"/>
              </w:rPr>
              <w:t>L</w:t>
            </w:r>
            <w:r w:rsidRPr="00556B9B">
              <w:rPr>
                <w:color w:val="000000"/>
                <w:lang w:val="it-IT"/>
              </w:rPr>
              <w:noBreakHyphen/>
              <w:t>ASP (6000</w:t>
            </w:r>
            <w:r w:rsidR="0094660A" w:rsidRPr="00556B9B">
              <w:rPr>
                <w:color w:val="000000"/>
                <w:lang w:val="it-IT"/>
              </w:rPr>
              <w:t> </w:t>
            </w:r>
            <w:r w:rsidRPr="00556B9B">
              <w:rPr>
                <w:color w:val="000000"/>
                <w:lang w:val="it-IT"/>
              </w:rPr>
              <w:t>NE/m</w:t>
            </w:r>
            <w:r w:rsidRPr="00556B9B">
              <w:rPr>
                <w:color w:val="000000"/>
                <w:vertAlign w:val="superscript"/>
                <w:lang w:val="it-IT"/>
              </w:rPr>
              <w:t>2</w:t>
            </w:r>
            <w:r w:rsidRPr="00556B9B">
              <w:rPr>
                <w:color w:val="000000"/>
                <w:lang w:val="it-IT"/>
              </w:rPr>
              <w:t xml:space="preserve">, </w:t>
            </w:r>
            <w:r w:rsidR="0094660A" w:rsidRPr="00556B9B">
              <w:rPr>
                <w:color w:val="000000"/>
                <w:lang w:val="it-IT"/>
              </w:rPr>
              <w:t>i.m.</w:t>
            </w:r>
            <w:r w:rsidRPr="00556B9B">
              <w:rPr>
                <w:color w:val="000000"/>
                <w:lang w:val="it-IT"/>
              </w:rPr>
              <w:t>): 44. </w:t>
            </w:r>
            <w:r w:rsidR="00DE69C7" w:rsidRPr="00556B9B">
              <w:rPr>
                <w:color w:val="000000"/>
                <w:lang w:val="it-IT"/>
              </w:rPr>
              <w:t>N</w:t>
            </w:r>
            <w:r w:rsidRPr="00556B9B">
              <w:rPr>
                <w:color w:val="000000"/>
                <w:lang w:val="it-IT"/>
              </w:rPr>
              <w:t>ap</w:t>
            </w:r>
          </w:p>
        </w:tc>
      </w:tr>
      <w:tr w:rsidR="001D323E" w:rsidRPr="00556B9B" w14:paraId="78489C76" w14:textId="77777777" w:rsidTr="005C6E7A">
        <w:trPr>
          <w:cantSplit/>
        </w:trPr>
        <w:tc>
          <w:tcPr>
            <w:tcW w:w="2358" w:type="dxa"/>
            <w:shd w:val="clear" w:color="auto" w:fill="auto"/>
          </w:tcPr>
          <w:p w14:paraId="7BB03121" w14:textId="77777777" w:rsidR="001D323E" w:rsidRPr="001D3D33" w:rsidRDefault="001D323E" w:rsidP="00437484">
            <w:pPr>
              <w:pStyle w:val="EndnoteText"/>
              <w:widowControl w:val="0"/>
              <w:rPr>
                <w:color w:val="000000"/>
              </w:rPr>
            </w:pPr>
            <w:r w:rsidRPr="001D3D33">
              <w:rPr>
                <w:color w:val="000000"/>
              </w:rPr>
              <w:t>Fenntartó</w:t>
            </w:r>
            <w:r w:rsidR="00050A52" w:rsidRPr="001D3D33">
              <w:rPr>
                <w:color w:val="000000"/>
              </w:rPr>
              <w:t xml:space="preserve"> kezelés</w:t>
            </w:r>
          </w:p>
          <w:p w14:paraId="3159B826" w14:textId="77777777" w:rsidR="001D323E" w:rsidRPr="001D3D33" w:rsidRDefault="001D323E" w:rsidP="00437484">
            <w:pPr>
              <w:pStyle w:val="EndnoteText"/>
              <w:widowControl w:val="0"/>
              <w:rPr>
                <w:color w:val="000000"/>
              </w:rPr>
            </w:pPr>
            <w:r w:rsidRPr="001D3D33">
              <w:rPr>
                <w:color w:val="000000"/>
              </w:rPr>
              <w:t>(8</w:t>
            </w:r>
            <w:r w:rsidR="00353CD3" w:rsidRPr="001D3D33">
              <w:rPr>
                <w:color w:val="000000"/>
              </w:rPr>
              <w:t> </w:t>
            </w:r>
            <w:r w:rsidRPr="001D3D33">
              <w:rPr>
                <w:color w:val="000000"/>
              </w:rPr>
              <w:t>hetes ciklusok)</w:t>
            </w:r>
          </w:p>
          <w:p w14:paraId="59FA58B4" w14:textId="77777777" w:rsidR="001D323E" w:rsidRPr="001D3D33" w:rsidRDefault="001D323E" w:rsidP="00437484">
            <w:pPr>
              <w:pStyle w:val="EndnoteText"/>
              <w:widowControl w:val="0"/>
              <w:rPr>
                <w:color w:val="000000"/>
              </w:rPr>
            </w:pPr>
            <w:r w:rsidRPr="001D3D33">
              <w:rPr>
                <w:color w:val="000000"/>
              </w:rPr>
              <w:t>1–4.</w:t>
            </w:r>
            <w:r w:rsidR="00353CD3" w:rsidRPr="001D3D33">
              <w:rPr>
                <w:color w:val="000000"/>
              </w:rPr>
              <w:t> </w:t>
            </w:r>
            <w:r w:rsidR="00EF353C" w:rsidRPr="001D3D33">
              <w:rPr>
                <w:color w:val="000000"/>
              </w:rPr>
              <w:t>C</w:t>
            </w:r>
            <w:r w:rsidRPr="001D3D33">
              <w:rPr>
                <w:color w:val="000000"/>
              </w:rPr>
              <w:t>iklus</w:t>
            </w:r>
          </w:p>
        </w:tc>
        <w:tc>
          <w:tcPr>
            <w:tcW w:w="6929" w:type="dxa"/>
            <w:shd w:val="clear" w:color="auto" w:fill="auto"/>
          </w:tcPr>
          <w:p w14:paraId="7429D57E" w14:textId="77777777" w:rsidR="001D323E" w:rsidRPr="001D3D33" w:rsidRDefault="001D323E" w:rsidP="00437484">
            <w:pPr>
              <w:pStyle w:val="EndnoteText"/>
              <w:widowControl w:val="0"/>
              <w:rPr>
                <w:color w:val="000000"/>
                <w:lang w:val="sv-SE"/>
              </w:rPr>
            </w:pPr>
            <w:r w:rsidRPr="001D3D33">
              <w:rPr>
                <w:color w:val="000000"/>
                <w:lang w:val="sv-SE"/>
              </w:rPr>
              <w:t>MTX (5 g/m</w:t>
            </w:r>
            <w:r w:rsidRPr="001D3D33">
              <w:rPr>
                <w:color w:val="000000"/>
                <w:vertAlign w:val="superscript"/>
                <w:lang w:val="sv-SE"/>
              </w:rPr>
              <w:t>2</w:t>
            </w:r>
            <w:r w:rsidRPr="001D3D33">
              <w:rPr>
                <w:color w:val="000000"/>
                <w:lang w:val="sv-SE"/>
              </w:rPr>
              <w:t xml:space="preserve"> 24 óra alatt, </w:t>
            </w:r>
            <w:r w:rsidR="004953E8" w:rsidRPr="001D3D33">
              <w:rPr>
                <w:color w:val="000000"/>
                <w:lang w:val="sv-SE"/>
              </w:rPr>
              <w:t>iv.</w:t>
            </w:r>
            <w:r w:rsidRPr="001D3D33">
              <w:rPr>
                <w:color w:val="000000"/>
                <w:lang w:val="sv-SE"/>
              </w:rPr>
              <w:t>): 1. nap</w:t>
            </w:r>
          </w:p>
          <w:p w14:paraId="03F03664" w14:textId="77777777" w:rsidR="001D323E" w:rsidRPr="001D3D33" w:rsidRDefault="001D323E" w:rsidP="00437484">
            <w:pPr>
              <w:pStyle w:val="EndnoteText"/>
              <w:widowControl w:val="0"/>
              <w:rPr>
                <w:color w:val="000000"/>
                <w:lang w:val="sv-SE"/>
              </w:rPr>
            </w:pPr>
            <w:r w:rsidRPr="001D3D33">
              <w:rPr>
                <w:color w:val="000000"/>
                <w:lang w:val="sv-SE"/>
              </w:rPr>
              <w:t>Leukovorin (75 mg/m</w:t>
            </w:r>
            <w:r w:rsidRPr="001D3D33">
              <w:rPr>
                <w:color w:val="000000"/>
                <w:vertAlign w:val="superscript"/>
                <w:lang w:val="sv-SE"/>
              </w:rPr>
              <w:t>2</w:t>
            </w:r>
            <w:r w:rsidRPr="001D3D33">
              <w:rPr>
                <w:color w:val="000000"/>
                <w:lang w:val="sv-SE"/>
              </w:rPr>
              <w:t xml:space="preserve"> a 36. órában, </w:t>
            </w:r>
            <w:r w:rsidR="004953E8" w:rsidRPr="001D3D33">
              <w:rPr>
                <w:color w:val="000000"/>
                <w:lang w:val="sv-SE"/>
              </w:rPr>
              <w:t>iv.</w:t>
            </w:r>
            <w:r w:rsidRPr="001D3D33">
              <w:rPr>
                <w:color w:val="000000"/>
                <w:lang w:val="sv-SE"/>
              </w:rPr>
              <w:t>; 15 mg/m</w:t>
            </w:r>
            <w:r w:rsidRPr="001D3D33">
              <w:rPr>
                <w:color w:val="000000"/>
                <w:vertAlign w:val="superscript"/>
                <w:lang w:val="sv-SE"/>
              </w:rPr>
              <w:t>2</w:t>
            </w:r>
            <w:r w:rsidRPr="001D3D33">
              <w:rPr>
                <w:color w:val="000000"/>
                <w:lang w:val="sv-SE"/>
              </w:rPr>
              <w:t xml:space="preserve"> </w:t>
            </w:r>
            <w:r w:rsidR="004953E8" w:rsidRPr="001D3D33">
              <w:rPr>
                <w:color w:val="000000"/>
                <w:lang w:val="sv-SE"/>
              </w:rPr>
              <w:t>iv.</w:t>
            </w:r>
            <w:r w:rsidRPr="001D3D33">
              <w:rPr>
                <w:color w:val="000000"/>
                <w:lang w:val="sv-SE"/>
              </w:rPr>
              <w:t xml:space="preserve"> vagy </w:t>
            </w:r>
            <w:r w:rsidR="0094660A" w:rsidRPr="001D3D33">
              <w:rPr>
                <w:color w:val="000000"/>
                <w:lang w:val="sv-SE"/>
              </w:rPr>
              <w:t>p.o.</w:t>
            </w:r>
            <w:r w:rsidRPr="001D3D33">
              <w:rPr>
                <w:color w:val="000000"/>
                <w:lang w:val="sv-SE"/>
              </w:rPr>
              <w:t xml:space="preserve"> 6 óránként, 6</w:t>
            </w:r>
            <w:r w:rsidR="0094660A" w:rsidRPr="001D3D33">
              <w:rPr>
                <w:color w:val="000000"/>
                <w:lang w:val="sv-SE"/>
              </w:rPr>
              <w:t> </w:t>
            </w:r>
            <w:r w:rsidRPr="001D3D33">
              <w:rPr>
                <w:color w:val="000000"/>
                <w:lang w:val="sv-SE"/>
              </w:rPr>
              <w:t>dózis)iii: 2. és 3. nap</w:t>
            </w:r>
          </w:p>
          <w:p w14:paraId="3163584C" w14:textId="77777777" w:rsidR="001D323E" w:rsidRPr="001D3D33" w:rsidRDefault="001D323E" w:rsidP="00437484">
            <w:pPr>
              <w:pStyle w:val="EndnoteText"/>
              <w:widowControl w:val="0"/>
              <w:rPr>
                <w:color w:val="000000"/>
                <w:lang w:val="sv-SE"/>
              </w:rPr>
            </w:pPr>
            <w:r w:rsidRPr="001D3D33">
              <w:rPr>
                <w:color w:val="000000"/>
                <w:lang w:val="sv-SE"/>
              </w:rPr>
              <w:t xml:space="preserve">Hármas </w:t>
            </w:r>
            <w:r w:rsidR="004C7DF3" w:rsidRPr="001D3D33">
              <w:rPr>
                <w:color w:val="000000"/>
                <w:lang w:val="sv-SE"/>
              </w:rPr>
              <w:t>i.t.</w:t>
            </w:r>
            <w:r w:rsidRPr="001D3D33">
              <w:rPr>
                <w:color w:val="000000"/>
                <w:lang w:val="sv-SE"/>
              </w:rPr>
              <w:t xml:space="preserve"> kezelés (életkorra korrigált): 1., 29. nap</w:t>
            </w:r>
          </w:p>
          <w:p w14:paraId="4B3F1767" w14:textId="77777777" w:rsidR="001D323E" w:rsidRPr="001D3D33" w:rsidRDefault="001D323E" w:rsidP="00437484">
            <w:pPr>
              <w:pStyle w:val="EndnoteText"/>
              <w:widowControl w:val="0"/>
              <w:rPr>
                <w:color w:val="000000"/>
                <w:lang w:val="sv-SE"/>
              </w:rPr>
            </w:pPr>
            <w:r w:rsidRPr="001D3D33">
              <w:rPr>
                <w:color w:val="000000"/>
                <w:lang w:val="sv-SE"/>
              </w:rPr>
              <w:t>VCR (1,5 mg/m</w:t>
            </w:r>
            <w:r w:rsidRPr="001D3D33">
              <w:rPr>
                <w:color w:val="000000"/>
                <w:vertAlign w:val="superscript"/>
                <w:lang w:val="sv-SE"/>
              </w:rPr>
              <w:t>2</w:t>
            </w:r>
            <w:r w:rsidRPr="001D3D33">
              <w:rPr>
                <w:color w:val="000000"/>
                <w:lang w:val="sv-SE"/>
              </w:rPr>
              <w:t xml:space="preserve">, </w:t>
            </w:r>
            <w:r w:rsidR="004953E8" w:rsidRPr="001D3D33">
              <w:rPr>
                <w:color w:val="000000"/>
                <w:lang w:val="sv-SE"/>
              </w:rPr>
              <w:t>iv.</w:t>
            </w:r>
            <w:r w:rsidRPr="001D3D33">
              <w:rPr>
                <w:color w:val="000000"/>
                <w:lang w:val="sv-SE"/>
              </w:rPr>
              <w:t>): 1., 29. nap</w:t>
            </w:r>
          </w:p>
          <w:p w14:paraId="4E71A24F" w14:textId="77777777" w:rsidR="001D323E" w:rsidRPr="001D3D33" w:rsidRDefault="001D323E" w:rsidP="00437484">
            <w:pPr>
              <w:pStyle w:val="EndnoteText"/>
              <w:widowControl w:val="0"/>
              <w:rPr>
                <w:color w:val="000000"/>
                <w:lang w:val="sv-SE"/>
              </w:rPr>
            </w:pPr>
            <w:r w:rsidRPr="001D3D33">
              <w:rPr>
                <w:color w:val="000000"/>
                <w:lang w:val="sv-SE"/>
              </w:rPr>
              <w:t>DEX (6 mg/m</w:t>
            </w:r>
            <w:r w:rsidRPr="001D3D33">
              <w:rPr>
                <w:color w:val="000000"/>
                <w:vertAlign w:val="superscript"/>
                <w:lang w:val="sv-SE"/>
              </w:rPr>
              <w:t>2</w:t>
            </w:r>
            <w:r w:rsidRPr="001D3D33">
              <w:rPr>
                <w:color w:val="000000"/>
                <w:lang w:val="sv-SE"/>
              </w:rPr>
              <w:t xml:space="preserve">/nap, </w:t>
            </w:r>
            <w:r w:rsidR="0094660A" w:rsidRPr="001D3D33">
              <w:rPr>
                <w:color w:val="000000"/>
                <w:lang w:val="sv-SE"/>
              </w:rPr>
              <w:t>p.o.</w:t>
            </w:r>
            <w:r w:rsidRPr="001D3D33">
              <w:rPr>
                <w:color w:val="000000"/>
                <w:lang w:val="sv-SE"/>
              </w:rPr>
              <w:t>): 1</w:t>
            </w:r>
            <w:r w:rsidRPr="001D3D33">
              <w:rPr>
                <w:color w:val="000000"/>
                <w:lang w:val="sv-SE"/>
              </w:rPr>
              <w:noBreakHyphen/>
              <w:t>5.; 29</w:t>
            </w:r>
            <w:r w:rsidRPr="001D3D33">
              <w:rPr>
                <w:color w:val="000000"/>
                <w:lang w:val="sv-SE"/>
              </w:rPr>
              <w:noBreakHyphen/>
              <w:t>33. nap</w:t>
            </w:r>
          </w:p>
          <w:p w14:paraId="786C8D02" w14:textId="77777777" w:rsidR="001D323E" w:rsidRPr="001D3D33" w:rsidRDefault="001D323E" w:rsidP="00437484">
            <w:pPr>
              <w:pStyle w:val="EndnoteText"/>
              <w:widowControl w:val="0"/>
              <w:rPr>
                <w:color w:val="000000"/>
                <w:lang w:val="sv-SE"/>
              </w:rPr>
            </w:pPr>
            <w:r w:rsidRPr="001D3D33">
              <w:rPr>
                <w:color w:val="000000"/>
                <w:lang w:val="sv-SE"/>
              </w:rPr>
              <w:t>6</w:t>
            </w:r>
            <w:r w:rsidRPr="001D3D33">
              <w:rPr>
                <w:color w:val="000000"/>
                <w:lang w:val="sv-SE"/>
              </w:rPr>
              <w:noBreakHyphen/>
              <w:t>MP (75 mg/m</w:t>
            </w:r>
            <w:r w:rsidRPr="001D3D33">
              <w:rPr>
                <w:color w:val="000000"/>
                <w:vertAlign w:val="superscript"/>
                <w:lang w:val="sv-SE"/>
              </w:rPr>
              <w:t>2</w:t>
            </w:r>
            <w:r w:rsidRPr="001D3D33">
              <w:rPr>
                <w:color w:val="000000"/>
                <w:lang w:val="sv-SE"/>
              </w:rPr>
              <w:t xml:space="preserve">/nap, </w:t>
            </w:r>
            <w:r w:rsidR="0094660A" w:rsidRPr="001D3D33">
              <w:rPr>
                <w:color w:val="000000"/>
                <w:lang w:val="sv-SE"/>
              </w:rPr>
              <w:t>p.o.</w:t>
            </w:r>
            <w:r w:rsidRPr="001D3D33">
              <w:rPr>
                <w:color w:val="000000"/>
                <w:lang w:val="sv-SE"/>
              </w:rPr>
              <w:t>): 8</w:t>
            </w:r>
            <w:r w:rsidRPr="001D3D33">
              <w:rPr>
                <w:color w:val="000000"/>
                <w:lang w:val="sv-SE"/>
              </w:rPr>
              <w:noBreakHyphen/>
              <w:t>28. nap</w:t>
            </w:r>
          </w:p>
          <w:p w14:paraId="776A7D89" w14:textId="77777777" w:rsidR="001D323E" w:rsidRPr="001D3D33" w:rsidRDefault="001D323E" w:rsidP="00437484">
            <w:pPr>
              <w:pStyle w:val="EndnoteText"/>
              <w:widowControl w:val="0"/>
              <w:rPr>
                <w:color w:val="000000"/>
                <w:lang w:val="sv-SE"/>
              </w:rPr>
            </w:pPr>
            <w:r w:rsidRPr="001D3D33">
              <w:rPr>
                <w:color w:val="000000"/>
                <w:lang w:val="sv-SE"/>
              </w:rPr>
              <w:t>Metotrexát (20 mg/m</w:t>
            </w:r>
            <w:r w:rsidRPr="001D3D33">
              <w:rPr>
                <w:color w:val="000000"/>
                <w:vertAlign w:val="superscript"/>
                <w:lang w:val="sv-SE"/>
              </w:rPr>
              <w:t>2</w:t>
            </w:r>
            <w:r w:rsidRPr="001D3D33">
              <w:rPr>
                <w:color w:val="000000"/>
                <w:lang w:val="sv-SE"/>
              </w:rPr>
              <w:t xml:space="preserve">/hét, </w:t>
            </w:r>
            <w:r w:rsidR="0094660A" w:rsidRPr="001D3D33">
              <w:rPr>
                <w:color w:val="000000"/>
                <w:lang w:val="sv-SE"/>
              </w:rPr>
              <w:t>p.o.</w:t>
            </w:r>
            <w:r w:rsidRPr="001D3D33">
              <w:rPr>
                <w:color w:val="000000"/>
                <w:lang w:val="sv-SE"/>
              </w:rPr>
              <w:t>): 8., 15., 22. nap</w:t>
            </w:r>
          </w:p>
          <w:p w14:paraId="4B5EDBB1" w14:textId="77777777" w:rsidR="001D323E" w:rsidRPr="001D3D33" w:rsidRDefault="001D323E" w:rsidP="00437484">
            <w:pPr>
              <w:pStyle w:val="EndnoteText"/>
              <w:widowControl w:val="0"/>
              <w:rPr>
                <w:color w:val="000000"/>
                <w:lang w:val="sv-SE"/>
              </w:rPr>
            </w:pPr>
            <w:r w:rsidRPr="001D3D33">
              <w:rPr>
                <w:color w:val="000000"/>
                <w:lang w:val="sv-SE"/>
              </w:rPr>
              <w:t>VP</w:t>
            </w:r>
            <w:r w:rsidRPr="001D3D33">
              <w:rPr>
                <w:color w:val="000000"/>
                <w:lang w:val="sv-SE"/>
              </w:rPr>
              <w:noBreakHyphen/>
              <w:t>16 (100 mg/m</w:t>
            </w:r>
            <w:r w:rsidRPr="001D3D33">
              <w:rPr>
                <w:color w:val="000000"/>
                <w:vertAlign w:val="superscript"/>
                <w:lang w:val="sv-SE"/>
              </w:rPr>
              <w:t>2</w:t>
            </w:r>
            <w:r w:rsidRPr="001D3D33">
              <w:rPr>
                <w:color w:val="000000"/>
                <w:lang w:val="sv-SE"/>
              </w:rPr>
              <w:t xml:space="preserve">, </w:t>
            </w:r>
            <w:r w:rsidR="004953E8" w:rsidRPr="001D3D33">
              <w:rPr>
                <w:color w:val="000000"/>
                <w:lang w:val="sv-SE"/>
              </w:rPr>
              <w:t>iv.</w:t>
            </w:r>
            <w:r w:rsidRPr="001D3D33">
              <w:rPr>
                <w:color w:val="000000"/>
                <w:lang w:val="sv-SE"/>
              </w:rPr>
              <w:t>): 29</w:t>
            </w:r>
            <w:r w:rsidRPr="001D3D33">
              <w:rPr>
                <w:color w:val="000000"/>
                <w:lang w:val="sv-SE"/>
              </w:rPr>
              <w:noBreakHyphen/>
              <w:t>33. nap</w:t>
            </w:r>
          </w:p>
          <w:p w14:paraId="111EF6EF" w14:textId="77777777" w:rsidR="001D323E" w:rsidRPr="001D3D33" w:rsidRDefault="001D323E" w:rsidP="00437484">
            <w:pPr>
              <w:pStyle w:val="EndnoteText"/>
              <w:widowControl w:val="0"/>
              <w:rPr>
                <w:color w:val="000000"/>
                <w:lang w:val="sv-SE"/>
              </w:rPr>
            </w:pPr>
            <w:r w:rsidRPr="001D3D33">
              <w:rPr>
                <w:color w:val="000000"/>
                <w:lang w:val="sv-SE"/>
              </w:rPr>
              <w:t>CPM (300 mg/m</w:t>
            </w:r>
            <w:r w:rsidRPr="001D3D33">
              <w:rPr>
                <w:color w:val="000000"/>
                <w:vertAlign w:val="superscript"/>
                <w:lang w:val="sv-SE"/>
              </w:rPr>
              <w:t>2</w:t>
            </w:r>
            <w:r w:rsidRPr="001D3D33">
              <w:rPr>
                <w:color w:val="000000"/>
                <w:lang w:val="sv-SE"/>
              </w:rPr>
              <w:t xml:space="preserve">, </w:t>
            </w:r>
            <w:r w:rsidR="004953E8" w:rsidRPr="001D3D33">
              <w:rPr>
                <w:color w:val="000000"/>
                <w:lang w:val="sv-SE"/>
              </w:rPr>
              <w:t>iv.</w:t>
            </w:r>
            <w:r w:rsidRPr="001D3D33">
              <w:rPr>
                <w:color w:val="000000"/>
                <w:lang w:val="sv-SE"/>
              </w:rPr>
              <w:t>): 29</w:t>
            </w:r>
            <w:r w:rsidRPr="001D3D33">
              <w:rPr>
                <w:color w:val="000000"/>
                <w:lang w:val="sv-SE"/>
              </w:rPr>
              <w:noBreakHyphen/>
              <w:t>33. nap</w:t>
            </w:r>
          </w:p>
          <w:p w14:paraId="6BF3FC4C" w14:textId="77777777" w:rsidR="001D323E" w:rsidRPr="001D3D33" w:rsidRDefault="00E44850" w:rsidP="00437484">
            <w:pPr>
              <w:pStyle w:val="EndnoteText"/>
              <w:widowControl w:val="0"/>
              <w:rPr>
                <w:color w:val="000000"/>
                <w:lang w:val="sv-SE"/>
              </w:rPr>
            </w:pPr>
            <w:r w:rsidRPr="001D3D33">
              <w:rPr>
                <w:color w:val="000000"/>
                <w:lang w:val="sv-SE"/>
              </w:rPr>
              <w:t xml:space="preserve">MESNA </w:t>
            </w:r>
            <w:r w:rsidR="004953E8" w:rsidRPr="001D3D33">
              <w:rPr>
                <w:color w:val="000000"/>
                <w:lang w:val="sv-SE"/>
              </w:rPr>
              <w:t>iv.</w:t>
            </w:r>
            <w:r w:rsidR="001D323E" w:rsidRPr="001D3D33">
              <w:rPr>
                <w:color w:val="000000"/>
                <w:lang w:val="sv-SE"/>
              </w:rPr>
              <w:t>, 29</w:t>
            </w:r>
            <w:r w:rsidR="001D323E" w:rsidRPr="001D3D33">
              <w:rPr>
                <w:color w:val="000000"/>
                <w:lang w:val="sv-SE"/>
              </w:rPr>
              <w:noBreakHyphen/>
              <w:t>33. nap</w:t>
            </w:r>
          </w:p>
          <w:p w14:paraId="0A22E8C6" w14:textId="77777777" w:rsidR="001D323E" w:rsidRPr="00556B9B" w:rsidRDefault="001D323E" w:rsidP="00437484">
            <w:pPr>
              <w:pStyle w:val="EndnoteText"/>
              <w:widowControl w:val="0"/>
              <w:rPr>
                <w:color w:val="000000"/>
                <w:lang w:val="it-IT"/>
              </w:rPr>
            </w:pPr>
            <w:r w:rsidRPr="001D3D33">
              <w:rPr>
                <w:color w:val="000000"/>
                <w:lang w:val="sv-SE"/>
              </w:rPr>
              <w:t>G</w:t>
            </w:r>
            <w:r w:rsidRPr="001D3D33">
              <w:rPr>
                <w:color w:val="000000"/>
                <w:lang w:val="sv-SE"/>
              </w:rPr>
              <w:noBreakHyphen/>
              <w:t>CSF (5</w:t>
            </w:r>
            <w:r w:rsidR="0094660A" w:rsidRPr="001D3D33">
              <w:rPr>
                <w:color w:val="000000"/>
                <w:lang w:val="sv-SE"/>
              </w:rPr>
              <w:t> </w:t>
            </w:r>
            <w:r w:rsidRPr="00556B9B">
              <w:rPr>
                <w:color w:val="000000"/>
              </w:rPr>
              <w:t>μ</w:t>
            </w:r>
            <w:r w:rsidRPr="001D3D33">
              <w:rPr>
                <w:color w:val="000000"/>
                <w:lang w:val="sv-SE"/>
              </w:rPr>
              <w:t xml:space="preserve">g/kg, </w:t>
            </w:r>
            <w:r w:rsidR="004953E8" w:rsidRPr="001D3D33">
              <w:rPr>
                <w:color w:val="000000"/>
                <w:lang w:val="sv-SE"/>
              </w:rPr>
              <w:t>sc.</w:t>
            </w:r>
            <w:r w:rsidRPr="001D3D33">
              <w:rPr>
                <w:color w:val="000000"/>
                <w:lang w:val="sv-SE"/>
              </w:rPr>
              <w:t>): 34</w:t>
            </w:r>
            <w:r w:rsidRPr="001D3D33">
              <w:rPr>
                <w:color w:val="000000"/>
                <w:lang w:val="sv-SE"/>
              </w:rPr>
              <w:noBreakHyphen/>
              <w:t>43. </w:t>
            </w:r>
            <w:r w:rsidR="00DE69C7" w:rsidRPr="00556B9B">
              <w:rPr>
                <w:color w:val="000000"/>
                <w:lang w:val="it-IT"/>
              </w:rPr>
              <w:t>N</w:t>
            </w:r>
            <w:r w:rsidRPr="00556B9B">
              <w:rPr>
                <w:color w:val="000000"/>
                <w:lang w:val="it-IT"/>
              </w:rPr>
              <w:t>ap</w:t>
            </w:r>
          </w:p>
        </w:tc>
      </w:tr>
      <w:tr w:rsidR="001D323E" w:rsidRPr="001D3D33" w14:paraId="3DA67614" w14:textId="77777777" w:rsidTr="005C6E7A">
        <w:trPr>
          <w:cantSplit/>
        </w:trPr>
        <w:tc>
          <w:tcPr>
            <w:tcW w:w="2358" w:type="dxa"/>
            <w:shd w:val="clear" w:color="auto" w:fill="auto"/>
          </w:tcPr>
          <w:p w14:paraId="14A76556" w14:textId="77777777" w:rsidR="001D323E" w:rsidRPr="001D3D33" w:rsidRDefault="001D323E" w:rsidP="00437484">
            <w:pPr>
              <w:pStyle w:val="EndnoteText"/>
              <w:widowControl w:val="0"/>
              <w:rPr>
                <w:color w:val="000000"/>
              </w:rPr>
            </w:pPr>
            <w:r w:rsidRPr="001D3D33">
              <w:rPr>
                <w:color w:val="000000"/>
              </w:rPr>
              <w:lastRenderedPageBreak/>
              <w:t>Fenntartó</w:t>
            </w:r>
            <w:r w:rsidR="00050A52" w:rsidRPr="001D3D33">
              <w:rPr>
                <w:color w:val="000000"/>
              </w:rPr>
              <w:t xml:space="preserve"> kezelés</w:t>
            </w:r>
          </w:p>
          <w:p w14:paraId="74E7617E" w14:textId="77777777" w:rsidR="001D323E" w:rsidRPr="001D3D33" w:rsidRDefault="001D323E" w:rsidP="00437484">
            <w:pPr>
              <w:pStyle w:val="EndnoteText"/>
              <w:widowControl w:val="0"/>
              <w:rPr>
                <w:color w:val="000000"/>
              </w:rPr>
            </w:pPr>
            <w:r w:rsidRPr="001D3D33">
              <w:rPr>
                <w:color w:val="000000"/>
              </w:rPr>
              <w:t>(8</w:t>
            </w:r>
            <w:r w:rsidR="00353CD3" w:rsidRPr="001D3D33">
              <w:rPr>
                <w:color w:val="000000"/>
              </w:rPr>
              <w:t> </w:t>
            </w:r>
            <w:r w:rsidRPr="001D3D33">
              <w:rPr>
                <w:color w:val="000000"/>
              </w:rPr>
              <w:t>hetes ciklusok)</w:t>
            </w:r>
          </w:p>
          <w:p w14:paraId="6B940306" w14:textId="77777777" w:rsidR="001D323E" w:rsidRPr="001D3D33" w:rsidRDefault="001D323E" w:rsidP="00437484">
            <w:pPr>
              <w:pStyle w:val="EndnoteText"/>
              <w:widowControl w:val="0"/>
              <w:rPr>
                <w:color w:val="000000"/>
              </w:rPr>
            </w:pPr>
            <w:r w:rsidRPr="001D3D33">
              <w:rPr>
                <w:color w:val="000000"/>
              </w:rPr>
              <w:t>5.</w:t>
            </w:r>
            <w:r w:rsidR="00353CD3" w:rsidRPr="001D3D33">
              <w:rPr>
                <w:color w:val="000000"/>
              </w:rPr>
              <w:t> </w:t>
            </w:r>
            <w:r w:rsidRPr="001D3D33">
              <w:rPr>
                <w:color w:val="000000"/>
              </w:rPr>
              <w:t>ciklus</w:t>
            </w:r>
          </w:p>
        </w:tc>
        <w:tc>
          <w:tcPr>
            <w:tcW w:w="6929" w:type="dxa"/>
            <w:shd w:val="clear" w:color="auto" w:fill="auto"/>
          </w:tcPr>
          <w:p w14:paraId="2844FEE2" w14:textId="77777777" w:rsidR="001D323E" w:rsidRPr="001D3D33" w:rsidRDefault="001D323E" w:rsidP="00437484">
            <w:pPr>
              <w:pStyle w:val="EndnoteText"/>
              <w:widowControl w:val="0"/>
              <w:rPr>
                <w:color w:val="000000"/>
              </w:rPr>
            </w:pPr>
            <w:r w:rsidRPr="001D3D33">
              <w:rPr>
                <w:color w:val="000000"/>
              </w:rPr>
              <w:t>Koponya irradiáció (csak az 5.</w:t>
            </w:r>
            <w:r w:rsidR="00353CD3" w:rsidRPr="001D3D33">
              <w:rPr>
                <w:color w:val="000000"/>
              </w:rPr>
              <w:t> </w:t>
            </w:r>
            <w:r w:rsidRPr="001D3D33">
              <w:rPr>
                <w:color w:val="000000"/>
              </w:rPr>
              <w:t>blokkban)</w:t>
            </w:r>
          </w:p>
          <w:p w14:paraId="79F2E7C2" w14:textId="77777777" w:rsidR="001D323E" w:rsidRPr="001D3D33" w:rsidRDefault="001D323E" w:rsidP="00437484">
            <w:pPr>
              <w:pStyle w:val="EndnoteText"/>
              <w:widowControl w:val="0"/>
              <w:rPr>
                <w:color w:val="000000"/>
              </w:rPr>
            </w:pPr>
            <w:r w:rsidRPr="001D3D33">
              <w:rPr>
                <w:color w:val="000000"/>
              </w:rPr>
              <w:t>12</w:t>
            </w:r>
            <w:r w:rsidR="00353CD3" w:rsidRPr="001D3D33">
              <w:rPr>
                <w:color w:val="000000"/>
              </w:rPr>
              <w:t> </w:t>
            </w:r>
            <w:r w:rsidRPr="001D3D33">
              <w:rPr>
                <w:color w:val="000000"/>
              </w:rPr>
              <w:t>Gy 8</w:t>
            </w:r>
            <w:r w:rsidR="00353CD3" w:rsidRPr="001D3D33">
              <w:rPr>
                <w:color w:val="000000"/>
              </w:rPr>
              <w:t> </w:t>
            </w:r>
            <w:r w:rsidRPr="001D3D33">
              <w:rPr>
                <w:color w:val="000000"/>
              </w:rPr>
              <w:t>frakcióban, minden olyan betegnél, aki a diagnózis pillanatában CNS1 és CNS2 stádiumban van</w:t>
            </w:r>
          </w:p>
          <w:p w14:paraId="76B1FE80" w14:textId="77777777" w:rsidR="001D323E" w:rsidRPr="001D3D33" w:rsidRDefault="001D323E" w:rsidP="00437484">
            <w:pPr>
              <w:pStyle w:val="EndnoteText"/>
              <w:widowControl w:val="0"/>
              <w:rPr>
                <w:color w:val="000000"/>
              </w:rPr>
            </w:pPr>
            <w:r w:rsidRPr="001D3D33">
              <w:rPr>
                <w:color w:val="000000"/>
              </w:rPr>
              <w:t>18</w:t>
            </w:r>
            <w:r w:rsidR="00580342" w:rsidRPr="001D3D33">
              <w:rPr>
                <w:color w:val="000000"/>
              </w:rPr>
              <w:t> </w:t>
            </w:r>
            <w:r w:rsidRPr="001D3D33">
              <w:rPr>
                <w:color w:val="000000"/>
              </w:rPr>
              <w:t>Gy 10</w:t>
            </w:r>
            <w:r w:rsidR="00580342" w:rsidRPr="001D3D33">
              <w:rPr>
                <w:color w:val="000000"/>
              </w:rPr>
              <w:t> </w:t>
            </w:r>
            <w:r w:rsidRPr="001D3D33">
              <w:rPr>
                <w:color w:val="000000"/>
              </w:rPr>
              <w:t>frakcióban, minden olyan betegnél, aki a diagnózis pillanatában CNS3 stádiumban van</w:t>
            </w:r>
          </w:p>
          <w:p w14:paraId="257D6C9D" w14:textId="77777777" w:rsidR="001D323E" w:rsidRPr="001D3D33" w:rsidRDefault="001D323E" w:rsidP="00437484">
            <w:pPr>
              <w:pStyle w:val="EndnoteText"/>
              <w:widowControl w:val="0"/>
              <w:rPr>
                <w:color w:val="000000"/>
                <w:lang w:val="da-DK"/>
              </w:rPr>
            </w:pPr>
            <w:r w:rsidRPr="001D3D33">
              <w:rPr>
                <w:color w:val="000000"/>
                <w:lang w:val="da-DK"/>
              </w:rPr>
              <w:t>VCR (1,5 mg/m</w:t>
            </w:r>
            <w:r w:rsidRPr="001D3D33">
              <w:rPr>
                <w:color w:val="000000"/>
                <w:vertAlign w:val="superscript"/>
                <w:lang w:val="da-DK"/>
              </w:rPr>
              <w:t>2</w:t>
            </w:r>
            <w:r w:rsidRPr="001D3D33">
              <w:rPr>
                <w:color w:val="000000"/>
                <w:lang w:val="da-DK"/>
              </w:rPr>
              <w:t xml:space="preserve">/nap, </w:t>
            </w:r>
            <w:r w:rsidR="004953E8" w:rsidRPr="001D3D33">
              <w:rPr>
                <w:color w:val="000000"/>
                <w:lang w:val="da-DK"/>
              </w:rPr>
              <w:t>iv.</w:t>
            </w:r>
            <w:r w:rsidRPr="001D3D33">
              <w:rPr>
                <w:color w:val="000000"/>
                <w:lang w:val="da-DK"/>
              </w:rPr>
              <w:t>): 1., 29. nap</w:t>
            </w:r>
          </w:p>
          <w:p w14:paraId="57BC7D1A" w14:textId="77777777" w:rsidR="001D323E" w:rsidRPr="001D3D33" w:rsidRDefault="001D323E" w:rsidP="00437484">
            <w:pPr>
              <w:pStyle w:val="EndnoteText"/>
              <w:widowControl w:val="0"/>
              <w:rPr>
                <w:color w:val="000000"/>
                <w:lang w:val="da-DK"/>
              </w:rPr>
            </w:pPr>
            <w:r w:rsidRPr="001D3D33">
              <w:rPr>
                <w:color w:val="000000"/>
                <w:lang w:val="da-DK"/>
              </w:rPr>
              <w:t>DEX (6 mg/m</w:t>
            </w:r>
            <w:r w:rsidRPr="001D3D33">
              <w:rPr>
                <w:color w:val="000000"/>
                <w:vertAlign w:val="superscript"/>
                <w:lang w:val="da-DK"/>
              </w:rPr>
              <w:t>2</w:t>
            </w:r>
            <w:r w:rsidRPr="001D3D33">
              <w:rPr>
                <w:color w:val="000000"/>
                <w:lang w:val="da-DK"/>
              </w:rPr>
              <w:t xml:space="preserve">/nap, </w:t>
            </w:r>
            <w:r w:rsidR="00353CD3" w:rsidRPr="001D3D33">
              <w:rPr>
                <w:color w:val="000000"/>
                <w:lang w:val="da-DK"/>
              </w:rPr>
              <w:t>p.o.</w:t>
            </w:r>
            <w:r w:rsidRPr="001D3D33">
              <w:rPr>
                <w:color w:val="000000"/>
                <w:lang w:val="da-DK"/>
              </w:rPr>
              <w:t>): 1</w:t>
            </w:r>
            <w:r w:rsidRPr="001D3D33">
              <w:rPr>
                <w:color w:val="000000"/>
                <w:lang w:val="da-DK"/>
              </w:rPr>
              <w:noBreakHyphen/>
              <w:t>5.; 29</w:t>
            </w:r>
            <w:r w:rsidRPr="001D3D33">
              <w:rPr>
                <w:color w:val="000000"/>
                <w:lang w:val="da-DK"/>
              </w:rPr>
              <w:noBreakHyphen/>
              <w:t>33. nap</w:t>
            </w:r>
          </w:p>
          <w:p w14:paraId="751845E1" w14:textId="77777777" w:rsidR="001D323E" w:rsidRPr="001D3D33" w:rsidRDefault="001D323E" w:rsidP="00437484">
            <w:pPr>
              <w:pStyle w:val="EndnoteText"/>
              <w:widowControl w:val="0"/>
              <w:rPr>
                <w:color w:val="000000"/>
                <w:lang w:val="da-DK"/>
              </w:rPr>
            </w:pPr>
            <w:r w:rsidRPr="001D3D33">
              <w:rPr>
                <w:color w:val="000000"/>
                <w:lang w:val="da-DK"/>
              </w:rPr>
              <w:t>6</w:t>
            </w:r>
            <w:r w:rsidRPr="001D3D33">
              <w:rPr>
                <w:color w:val="000000"/>
                <w:lang w:val="da-DK"/>
              </w:rPr>
              <w:noBreakHyphen/>
              <w:t>MP (75 mg/m</w:t>
            </w:r>
            <w:r w:rsidRPr="001D3D33">
              <w:rPr>
                <w:color w:val="000000"/>
                <w:vertAlign w:val="superscript"/>
                <w:lang w:val="da-DK"/>
              </w:rPr>
              <w:t>2</w:t>
            </w:r>
            <w:r w:rsidRPr="001D3D33">
              <w:rPr>
                <w:color w:val="000000"/>
                <w:lang w:val="da-DK"/>
              </w:rPr>
              <w:t xml:space="preserve">/nap, </w:t>
            </w:r>
            <w:r w:rsidR="00353CD3" w:rsidRPr="001D3D33">
              <w:rPr>
                <w:color w:val="000000"/>
                <w:lang w:val="da-DK"/>
              </w:rPr>
              <w:t>p.o.</w:t>
            </w:r>
            <w:r w:rsidRPr="001D3D33">
              <w:rPr>
                <w:color w:val="000000"/>
                <w:lang w:val="da-DK"/>
              </w:rPr>
              <w:t>): 11</w:t>
            </w:r>
            <w:r w:rsidRPr="001D3D33">
              <w:rPr>
                <w:color w:val="000000"/>
                <w:lang w:val="da-DK"/>
              </w:rPr>
              <w:noBreakHyphen/>
              <w:t>56. nap (Az 5.</w:t>
            </w:r>
            <w:r w:rsidR="00353CD3" w:rsidRPr="001D3D33">
              <w:rPr>
                <w:color w:val="000000"/>
                <w:lang w:val="da-DK"/>
              </w:rPr>
              <w:t> </w:t>
            </w:r>
            <w:r w:rsidRPr="001D3D33">
              <w:rPr>
                <w:color w:val="000000"/>
                <w:lang w:val="da-DK"/>
              </w:rPr>
              <w:t>ciklus 1. napján kezdődő koponya irradiáció 6</w:t>
            </w:r>
            <w:r w:rsidRPr="001D3D33">
              <w:rPr>
                <w:color w:val="000000"/>
                <w:lang w:val="da-DK"/>
              </w:rPr>
              <w:noBreakHyphen/>
              <w:t>10. napja alatt a 6</w:t>
            </w:r>
            <w:r w:rsidRPr="001D3D33">
              <w:rPr>
                <w:color w:val="000000"/>
                <w:lang w:val="da-DK"/>
              </w:rPr>
              <w:noBreakHyphen/>
              <w:t>MP adását abba kell hagyni. A 6</w:t>
            </w:r>
            <w:r w:rsidRPr="001D3D33">
              <w:rPr>
                <w:color w:val="000000"/>
                <w:lang w:val="da-DK"/>
              </w:rPr>
              <w:noBreakHyphen/>
              <w:t>MP</w:t>
            </w:r>
            <w:r w:rsidRPr="001D3D33">
              <w:rPr>
                <w:color w:val="000000"/>
                <w:lang w:val="da-DK"/>
              </w:rPr>
              <w:noBreakHyphen/>
              <w:t>t a koponya irradiáció befejezése utáni 1. nap kell elkezdeni.)</w:t>
            </w:r>
          </w:p>
          <w:p w14:paraId="3F3DB71C" w14:textId="77777777" w:rsidR="001D323E" w:rsidRPr="001D3D33" w:rsidRDefault="001D323E" w:rsidP="00437484">
            <w:pPr>
              <w:pStyle w:val="EndnoteText"/>
              <w:widowControl w:val="0"/>
              <w:rPr>
                <w:color w:val="000000"/>
                <w:lang w:val="da-DK"/>
              </w:rPr>
            </w:pPr>
            <w:r w:rsidRPr="001D3D33">
              <w:rPr>
                <w:color w:val="000000"/>
                <w:lang w:val="da-DK"/>
              </w:rPr>
              <w:t>Metotrexát (20 mg/m</w:t>
            </w:r>
            <w:r w:rsidRPr="001D3D33">
              <w:rPr>
                <w:color w:val="000000"/>
                <w:vertAlign w:val="superscript"/>
                <w:lang w:val="da-DK"/>
              </w:rPr>
              <w:t>2</w:t>
            </w:r>
            <w:r w:rsidRPr="001D3D33">
              <w:rPr>
                <w:color w:val="000000"/>
                <w:lang w:val="da-DK"/>
              </w:rPr>
              <w:t xml:space="preserve">/hét, </w:t>
            </w:r>
            <w:r w:rsidR="00353CD3" w:rsidRPr="001D3D33">
              <w:rPr>
                <w:color w:val="000000"/>
                <w:lang w:val="da-DK"/>
              </w:rPr>
              <w:t>p.o.</w:t>
            </w:r>
            <w:r w:rsidRPr="001D3D33">
              <w:rPr>
                <w:color w:val="000000"/>
                <w:lang w:val="da-DK"/>
              </w:rPr>
              <w:t>): 8., 15., 22., 29., 36., 43., 50. nap</w:t>
            </w:r>
          </w:p>
        </w:tc>
      </w:tr>
      <w:tr w:rsidR="001D323E" w:rsidRPr="001D3D33" w14:paraId="00B85702" w14:textId="77777777" w:rsidTr="005C6E7A">
        <w:trPr>
          <w:cantSplit/>
        </w:trPr>
        <w:tc>
          <w:tcPr>
            <w:tcW w:w="2358" w:type="dxa"/>
            <w:shd w:val="clear" w:color="auto" w:fill="auto"/>
          </w:tcPr>
          <w:p w14:paraId="360CACFE" w14:textId="77777777" w:rsidR="001D323E" w:rsidRPr="001D3D33" w:rsidRDefault="001D323E" w:rsidP="005C6E7A">
            <w:pPr>
              <w:pStyle w:val="EndnoteText"/>
              <w:keepNext/>
              <w:widowControl w:val="0"/>
              <w:rPr>
                <w:color w:val="000000"/>
                <w:lang w:val="da-DK"/>
              </w:rPr>
            </w:pPr>
            <w:r w:rsidRPr="001D3D33">
              <w:rPr>
                <w:color w:val="000000"/>
                <w:lang w:val="da-DK"/>
              </w:rPr>
              <w:t>Fenntartó</w:t>
            </w:r>
            <w:r w:rsidR="00050A52" w:rsidRPr="001D3D33">
              <w:rPr>
                <w:color w:val="000000"/>
                <w:lang w:val="da-DK"/>
              </w:rPr>
              <w:t xml:space="preserve"> kezelés</w:t>
            </w:r>
          </w:p>
          <w:p w14:paraId="1F5549F1" w14:textId="77777777" w:rsidR="001D323E" w:rsidRPr="001D3D33" w:rsidRDefault="001D323E" w:rsidP="005C6E7A">
            <w:pPr>
              <w:pStyle w:val="EndnoteText"/>
              <w:keepNext/>
              <w:widowControl w:val="0"/>
              <w:rPr>
                <w:color w:val="000000"/>
                <w:lang w:val="da-DK"/>
              </w:rPr>
            </w:pPr>
            <w:r w:rsidRPr="001D3D33">
              <w:rPr>
                <w:color w:val="000000"/>
                <w:lang w:val="da-DK"/>
              </w:rPr>
              <w:t>(8</w:t>
            </w:r>
            <w:r w:rsidR="00353CD3" w:rsidRPr="001D3D33">
              <w:rPr>
                <w:color w:val="000000"/>
                <w:lang w:val="da-DK"/>
              </w:rPr>
              <w:t> </w:t>
            </w:r>
            <w:r w:rsidRPr="001D3D33">
              <w:rPr>
                <w:color w:val="000000"/>
                <w:lang w:val="da-DK"/>
              </w:rPr>
              <w:t>hetes ciklusok)</w:t>
            </w:r>
          </w:p>
          <w:p w14:paraId="260268D6" w14:textId="77777777" w:rsidR="001D323E" w:rsidRPr="001D3D33" w:rsidRDefault="001D323E" w:rsidP="005C6E7A">
            <w:pPr>
              <w:pStyle w:val="EndnoteText"/>
              <w:keepNext/>
              <w:widowControl w:val="0"/>
              <w:rPr>
                <w:color w:val="000000"/>
                <w:lang w:val="da-DK"/>
              </w:rPr>
            </w:pPr>
            <w:r w:rsidRPr="001D3D33">
              <w:rPr>
                <w:color w:val="000000"/>
                <w:lang w:val="da-DK"/>
              </w:rPr>
              <w:t>6</w:t>
            </w:r>
            <w:r w:rsidRPr="001D3D33">
              <w:rPr>
                <w:color w:val="000000"/>
                <w:lang w:val="da-DK"/>
              </w:rPr>
              <w:noBreakHyphen/>
              <w:t>12.</w:t>
            </w:r>
            <w:r w:rsidR="00353CD3" w:rsidRPr="001D3D33">
              <w:rPr>
                <w:color w:val="000000"/>
                <w:lang w:val="da-DK"/>
              </w:rPr>
              <w:t> </w:t>
            </w:r>
            <w:r w:rsidRPr="001D3D33">
              <w:rPr>
                <w:color w:val="000000"/>
                <w:lang w:val="da-DK"/>
              </w:rPr>
              <w:t>ciklus</w:t>
            </w:r>
          </w:p>
        </w:tc>
        <w:tc>
          <w:tcPr>
            <w:tcW w:w="6929" w:type="dxa"/>
            <w:shd w:val="clear" w:color="auto" w:fill="auto"/>
          </w:tcPr>
          <w:p w14:paraId="457C9BC1" w14:textId="77777777" w:rsidR="001D323E" w:rsidRPr="001D3D33" w:rsidRDefault="001D323E" w:rsidP="005C6E7A">
            <w:pPr>
              <w:pStyle w:val="EndnoteText"/>
              <w:keepNext/>
              <w:widowControl w:val="0"/>
              <w:rPr>
                <w:color w:val="000000"/>
                <w:lang w:val="da-DK"/>
              </w:rPr>
            </w:pPr>
            <w:r w:rsidRPr="001D3D33">
              <w:rPr>
                <w:color w:val="000000"/>
                <w:lang w:val="da-DK"/>
              </w:rPr>
              <w:t>VCR (1,5 mg/m</w:t>
            </w:r>
            <w:r w:rsidRPr="001D3D33">
              <w:rPr>
                <w:color w:val="000000"/>
                <w:vertAlign w:val="superscript"/>
                <w:lang w:val="da-DK"/>
              </w:rPr>
              <w:t>2</w:t>
            </w:r>
            <w:r w:rsidRPr="001D3D33">
              <w:rPr>
                <w:color w:val="000000"/>
                <w:lang w:val="da-DK"/>
              </w:rPr>
              <w:t xml:space="preserve">/nap, </w:t>
            </w:r>
            <w:r w:rsidR="004953E8" w:rsidRPr="001D3D33">
              <w:rPr>
                <w:color w:val="000000"/>
                <w:lang w:val="da-DK"/>
              </w:rPr>
              <w:t>iv.</w:t>
            </w:r>
            <w:r w:rsidRPr="001D3D33">
              <w:rPr>
                <w:color w:val="000000"/>
                <w:lang w:val="da-DK"/>
              </w:rPr>
              <w:t>): 1., 29. nap</w:t>
            </w:r>
          </w:p>
          <w:p w14:paraId="587015ED" w14:textId="77777777" w:rsidR="001D323E" w:rsidRPr="001D3D33" w:rsidRDefault="001D323E" w:rsidP="005C6E7A">
            <w:pPr>
              <w:pStyle w:val="EndnoteText"/>
              <w:keepNext/>
              <w:widowControl w:val="0"/>
              <w:rPr>
                <w:color w:val="000000"/>
                <w:lang w:val="da-DK"/>
              </w:rPr>
            </w:pPr>
            <w:r w:rsidRPr="001D3D33">
              <w:rPr>
                <w:color w:val="000000"/>
                <w:lang w:val="da-DK"/>
              </w:rPr>
              <w:t>DEX (6 mg/m</w:t>
            </w:r>
            <w:r w:rsidRPr="001D3D33">
              <w:rPr>
                <w:color w:val="000000"/>
                <w:vertAlign w:val="superscript"/>
                <w:lang w:val="da-DK"/>
              </w:rPr>
              <w:t>2</w:t>
            </w:r>
            <w:r w:rsidRPr="001D3D33">
              <w:rPr>
                <w:color w:val="000000"/>
                <w:lang w:val="da-DK"/>
              </w:rPr>
              <w:t xml:space="preserve">/nap, </w:t>
            </w:r>
            <w:r w:rsidR="00353CD3" w:rsidRPr="001D3D33">
              <w:rPr>
                <w:color w:val="000000"/>
                <w:lang w:val="da-DK"/>
              </w:rPr>
              <w:t>p.o.</w:t>
            </w:r>
            <w:r w:rsidRPr="001D3D33">
              <w:rPr>
                <w:color w:val="000000"/>
                <w:lang w:val="da-DK"/>
              </w:rPr>
              <w:t>): 1</w:t>
            </w:r>
            <w:r w:rsidRPr="001D3D33">
              <w:rPr>
                <w:color w:val="000000"/>
                <w:lang w:val="da-DK"/>
              </w:rPr>
              <w:noBreakHyphen/>
              <w:t>5.; 29</w:t>
            </w:r>
            <w:r w:rsidRPr="001D3D33">
              <w:rPr>
                <w:color w:val="000000"/>
                <w:lang w:val="da-DK"/>
              </w:rPr>
              <w:noBreakHyphen/>
              <w:t>33. nap</w:t>
            </w:r>
          </w:p>
          <w:p w14:paraId="5F0604A1" w14:textId="77777777" w:rsidR="001D323E" w:rsidRPr="001D3D33" w:rsidRDefault="001D323E" w:rsidP="005C6E7A">
            <w:pPr>
              <w:pStyle w:val="EndnoteText"/>
              <w:keepNext/>
              <w:widowControl w:val="0"/>
              <w:rPr>
                <w:color w:val="000000"/>
                <w:lang w:val="da-DK"/>
              </w:rPr>
            </w:pPr>
            <w:r w:rsidRPr="001D3D33">
              <w:rPr>
                <w:color w:val="000000"/>
                <w:lang w:val="da-DK"/>
              </w:rPr>
              <w:t>6</w:t>
            </w:r>
            <w:r w:rsidRPr="001D3D33">
              <w:rPr>
                <w:color w:val="000000"/>
                <w:lang w:val="da-DK"/>
              </w:rPr>
              <w:noBreakHyphen/>
              <w:t>MP (75 mg/m</w:t>
            </w:r>
            <w:r w:rsidRPr="001D3D33">
              <w:rPr>
                <w:color w:val="000000"/>
                <w:vertAlign w:val="superscript"/>
                <w:lang w:val="da-DK"/>
              </w:rPr>
              <w:t>2</w:t>
            </w:r>
            <w:r w:rsidRPr="001D3D33">
              <w:rPr>
                <w:color w:val="000000"/>
                <w:lang w:val="da-DK"/>
              </w:rPr>
              <w:t xml:space="preserve">/nap, </w:t>
            </w:r>
            <w:r w:rsidR="00353CD3" w:rsidRPr="001D3D33">
              <w:rPr>
                <w:color w:val="000000"/>
                <w:lang w:val="da-DK"/>
              </w:rPr>
              <w:t>p.o.</w:t>
            </w:r>
            <w:r w:rsidRPr="001D3D33">
              <w:rPr>
                <w:color w:val="000000"/>
                <w:lang w:val="da-DK"/>
              </w:rPr>
              <w:t>): 1</w:t>
            </w:r>
            <w:r w:rsidRPr="001D3D33">
              <w:rPr>
                <w:color w:val="000000"/>
                <w:lang w:val="da-DK"/>
              </w:rPr>
              <w:noBreakHyphen/>
              <w:t>56. nap</w:t>
            </w:r>
          </w:p>
          <w:p w14:paraId="04EC8509" w14:textId="77777777" w:rsidR="001D323E" w:rsidRPr="001D3D33" w:rsidRDefault="001D323E" w:rsidP="005C6E7A">
            <w:pPr>
              <w:pStyle w:val="EndnoteText"/>
              <w:keepNext/>
              <w:widowControl w:val="0"/>
              <w:rPr>
                <w:color w:val="000000"/>
                <w:lang w:val="da-DK"/>
              </w:rPr>
            </w:pPr>
            <w:r w:rsidRPr="001D3D33">
              <w:rPr>
                <w:color w:val="000000"/>
                <w:lang w:val="da-DK"/>
              </w:rPr>
              <w:t>Metotrexát (20 mg/m</w:t>
            </w:r>
            <w:r w:rsidRPr="001D3D33">
              <w:rPr>
                <w:color w:val="000000"/>
                <w:vertAlign w:val="superscript"/>
                <w:lang w:val="da-DK"/>
              </w:rPr>
              <w:t>2</w:t>
            </w:r>
            <w:r w:rsidRPr="001D3D33">
              <w:rPr>
                <w:color w:val="000000"/>
                <w:lang w:val="da-DK"/>
              </w:rPr>
              <w:t xml:space="preserve">/hét, </w:t>
            </w:r>
            <w:r w:rsidR="00353CD3" w:rsidRPr="001D3D33">
              <w:rPr>
                <w:color w:val="000000"/>
                <w:lang w:val="da-DK"/>
              </w:rPr>
              <w:t>p.o.</w:t>
            </w:r>
            <w:r w:rsidRPr="001D3D33">
              <w:rPr>
                <w:color w:val="000000"/>
                <w:lang w:val="da-DK"/>
              </w:rPr>
              <w:t>): 1., 8., 15., 22., 29., 36., 43., 50. nap</w:t>
            </w:r>
          </w:p>
        </w:tc>
      </w:tr>
    </w:tbl>
    <w:p w14:paraId="3AEE85B3" w14:textId="77777777" w:rsidR="001D323E" w:rsidRPr="006D0F5F" w:rsidRDefault="001D323E" w:rsidP="005C6E7A">
      <w:pPr>
        <w:pStyle w:val="EndnoteText"/>
        <w:keepLines/>
        <w:widowControl w:val="0"/>
        <w:rPr>
          <w:color w:val="000000"/>
          <w:szCs w:val="22"/>
          <w:lang w:val="hu-HU"/>
        </w:rPr>
      </w:pPr>
      <w:r w:rsidRPr="00556B9B">
        <w:rPr>
          <w:color w:val="000000"/>
          <w:lang w:val="hu-HU" w:eastAsia="hu-HU"/>
        </w:rPr>
        <w:t>G</w:t>
      </w:r>
      <w:r w:rsidRPr="001D3D33">
        <w:rPr>
          <w:color w:val="000000"/>
          <w:lang w:val="da-DK"/>
        </w:rPr>
        <w:noBreakHyphen/>
      </w:r>
      <w:r w:rsidRPr="00556B9B">
        <w:rPr>
          <w:color w:val="000000"/>
          <w:lang w:val="hu-HU" w:eastAsia="hu-HU"/>
        </w:rPr>
        <w:t>CSF</w:t>
      </w:r>
      <w:r w:rsidR="00DC2FDA" w:rsidRPr="00556B9B">
        <w:rPr>
          <w:color w:val="000000"/>
          <w:lang w:val="hu-HU" w:eastAsia="hu-HU"/>
        </w:rPr>
        <w:t> = </w:t>
      </w:r>
      <w:r w:rsidRPr="00556B9B">
        <w:rPr>
          <w:color w:val="000000"/>
          <w:lang w:val="hu-HU" w:eastAsia="hu-HU"/>
        </w:rPr>
        <w:t>granulocyta</w:t>
      </w:r>
      <w:r w:rsidRPr="001D3D33">
        <w:rPr>
          <w:color w:val="000000"/>
          <w:lang w:val="da-DK"/>
        </w:rPr>
        <w:noBreakHyphen/>
      </w:r>
      <w:r w:rsidRPr="00556B9B">
        <w:rPr>
          <w:color w:val="000000"/>
          <w:lang w:val="hu-HU" w:eastAsia="hu-HU"/>
        </w:rPr>
        <w:t>kolónia stimuláló faktor, VP</w:t>
      </w:r>
      <w:r w:rsidRPr="001D3D33">
        <w:rPr>
          <w:color w:val="000000"/>
          <w:lang w:val="da-DK"/>
        </w:rPr>
        <w:noBreakHyphen/>
      </w:r>
      <w:r w:rsidRPr="00556B9B">
        <w:rPr>
          <w:color w:val="000000"/>
          <w:lang w:val="hu-HU" w:eastAsia="hu-HU"/>
        </w:rPr>
        <w:t>16</w:t>
      </w:r>
      <w:r w:rsidR="00DC2FDA" w:rsidRPr="00556B9B">
        <w:rPr>
          <w:color w:val="000000"/>
          <w:lang w:val="hu-HU" w:eastAsia="hu-HU"/>
        </w:rPr>
        <w:t> = </w:t>
      </w:r>
      <w:r w:rsidRPr="00556B9B">
        <w:rPr>
          <w:color w:val="000000"/>
          <w:lang w:val="hu-HU" w:eastAsia="hu-HU"/>
        </w:rPr>
        <w:t>etopozid, MTX</w:t>
      </w:r>
      <w:r w:rsidR="00DC2FDA" w:rsidRPr="00556B9B">
        <w:rPr>
          <w:color w:val="000000"/>
          <w:lang w:val="hu-HU" w:eastAsia="hu-HU"/>
        </w:rPr>
        <w:t> = </w:t>
      </w:r>
      <w:r w:rsidRPr="00556B9B">
        <w:rPr>
          <w:color w:val="000000"/>
          <w:lang w:val="hu-HU" w:eastAsia="hu-HU"/>
        </w:rPr>
        <w:t xml:space="preserve">metotrexát, </w:t>
      </w:r>
      <w:r w:rsidR="00415B7A" w:rsidRPr="00556B9B">
        <w:rPr>
          <w:color w:val="000000"/>
          <w:lang w:val="hu-HU" w:eastAsia="hu-HU"/>
        </w:rPr>
        <w:t>iv.</w:t>
      </w:r>
      <w:r w:rsidR="00DC2FDA" w:rsidRPr="00556B9B">
        <w:rPr>
          <w:color w:val="000000"/>
          <w:lang w:val="hu-HU" w:eastAsia="hu-HU"/>
        </w:rPr>
        <w:t> = </w:t>
      </w:r>
      <w:r w:rsidRPr="00556B9B">
        <w:rPr>
          <w:color w:val="000000"/>
          <w:lang w:val="hu-HU" w:eastAsia="hu-HU"/>
        </w:rPr>
        <w:t xml:space="preserve">intravénás, </w:t>
      </w:r>
      <w:r w:rsidR="004953E8" w:rsidRPr="00556B9B">
        <w:rPr>
          <w:color w:val="000000"/>
          <w:lang w:val="hu-HU" w:eastAsia="hu-HU"/>
        </w:rPr>
        <w:t>sc.</w:t>
      </w:r>
      <w:r w:rsidR="00DC2FDA" w:rsidRPr="00556B9B">
        <w:rPr>
          <w:color w:val="000000"/>
          <w:lang w:val="hu-HU" w:eastAsia="hu-HU"/>
        </w:rPr>
        <w:t> = </w:t>
      </w:r>
      <w:r w:rsidRPr="00556B9B">
        <w:rPr>
          <w:color w:val="000000"/>
          <w:lang w:val="hu-HU" w:eastAsia="hu-HU"/>
        </w:rPr>
        <w:t xml:space="preserve">subcutan, </w:t>
      </w:r>
      <w:r w:rsidR="00415B7A" w:rsidRPr="00556B9B">
        <w:rPr>
          <w:color w:val="000000"/>
          <w:lang w:val="hu-HU" w:eastAsia="hu-HU"/>
        </w:rPr>
        <w:t>i.t.</w:t>
      </w:r>
      <w:r w:rsidR="00DC2FDA" w:rsidRPr="00556B9B">
        <w:rPr>
          <w:color w:val="000000"/>
          <w:lang w:val="hu-HU" w:eastAsia="hu-HU"/>
        </w:rPr>
        <w:t> = </w:t>
      </w:r>
      <w:r w:rsidRPr="00556B9B">
        <w:rPr>
          <w:color w:val="000000"/>
          <w:lang w:val="hu-HU" w:eastAsia="hu-HU"/>
        </w:rPr>
        <w:t xml:space="preserve">intrathecalis, </w:t>
      </w:r>
      <w:r w:rsidR="00415B7A" w:rsidRPr="00556B9B">
        <w:rPr>
          <w:color w:val="000000"/>
          <w:lang w:val="hu-HU" w:eastAsia="hu-HU"/>
        </w:rPr>
        <w:t>p.o.</w:t>
      </w:r>
      <w:r w:rsidR="00DC2FDA" w:rsidRPr="00556B9B">
        <w:rPr>
          <w:color w:val="000000"/>
          <w:lang w:val="hu-HU" w:eastAsia="hu-HU"/>
        </w:rPr>
        <w:t> = </w:t>
      </w:r>
      <w:r w:rsidRPr="00556B9B">
        <w:rPr>
          <w:color w:val="000000"/>
          <w:lang w:val="hu-HU" w:eastAsia="hu-HU"/>
        </w:rPr>
        <w:t xml:space="preserve">per os, </w:t>
      </w:r>
      <w:r w:rsidR="00415B7A" w:rsidRPr="00556B9B">
        <w:rPr>
          <w:color w:val="000000"/>
          <w:lang w:val="hu-HU" w:eastAsia="hu-HU"/>
        </w:rPr>
        <w:t>i.m.</w:t>
      </w:r>
      <w:r w:rsidR="00DC2FDA" w:rsidRPr="00556B9B">
        <w:rPr>
          <w:color w:val="000000"/>
          <w:lang w:val="hu-HU" w:eastAsia="hu-HU"/>
        </w:rPr>
        <w:t> = </w:t>
      </w:r>
      <w:r w:rsidRPr="00556B9B">
        <w:rPr>
          <w:color w:val="000000"/>
          <w:lang w:val="hu-HU" w:eastAsia="hu-HU"/>
        </w:rPr>
        <w:t>intramuscularis, ARA</w:t>
      </w:r>
      <w:r w:rsidRPr="00556B9B">
        <w:rPr>
          <w:color w:val="000000"/>
          <w:lang w:val="hu-HU"/>
        </w:rPr>
        <w:noBreakHyphen/>
      </w:r>
      <w:r w:rsidRPr="00556B9B">
        <w:rPr>
          <w:color w:val="000000"/>
          <w:lang w:val="hu-HU" w:eastAsia="hu-HU"/>
        </w:rPr>
        <w:t>C</w:t>
      </w:r>
      <w:r w:rsidR="00DC2FDA" w:rsidRPr="00556B9B">
        <w:rPr>
          <w:color w:val="000000"/>
          <w:lang w:val="hu-HU" w:eastAsia="hu-HU"/>
        </w:rPr>
        <w:t> = </w:t>
      </w:r>
      <w:r w:rsidRPr="00556B9B">
        <w:rPr>
          <w:color w:val="000000"/>
          <w:lang w:val="hu-HU" w:eastAsia="hu-HU"/>
        </w:rPr>
        <w:t>citarabin, CPM</w:t>
      </w:r>
      <w:r w:rsidR="00DC2FDA" w:rsidRPr="00556B9B">
        <w:rPr>
          <w:color w:val="000000"/>
          <w:lang w:val="hu-HU" w:eastAsia="hu-HU"/>
        </w:rPr>
        <w:t> = </w:t>
      </w:r>
      <w:r w:rsidRPr="00556B9B">
        <w:rPr>
          <w:color w:val="000000"/>
          <w:lang w:val="hu-HU" w:eastAsia="hu-HU"/>
        </w:rPr>
        <w:t>ciklofoszfamid, VCR</w:t>
      </w:r>
      <w:r w:rsidR="00DC2FDA" w:rsidRPr="00556B9B">
        <w:rPr>
          <w:color w:val="000000"/>
          <w:lang w:val="hu-HU" w:eastAsia="hu-HU"/>
        </w:rPr>
        <w:t> = </w:t>
      </w:r>
      <w:r w:rsidRPr="00556B9B">
        <w:rPr>
          <w:color w:val="000000"/>
          <w:lang w:val="hu-HU" w:eastAsia="hu-HU"/>
        </w:rPr>
        <w:t>vinkrisztin, DEX</w:t>
      </w:r>
      <w:r w:rsidR="00DC2FDA" w:rsidRPr="00556B9B">
        <w:rPr>
          <w:color w:val="000000"/>
          <w:lang w:val="hu-HU" w:eastAsia="hu-HU"/>
        </w:rPr>
        <w:t> = </w:t>
      </w:r>
      <w:r w:rsidRPr="00556B9B">
        <w:rPr>
          <w:color w:val="000000"/>
          <w:lang w:val="hu-HU" w:eastAsia="hu-HU"/>
        </w:rPr>
        <w:t>dexametazon, DAUN</w:t>
      </w:r>
      <w:r w:rsidR="00DC2FDA" w:rsidRPr="00556B9B">
        <w:rPr>
          <w:color w:val="000000"/>
          <w:lang w:val="hu-HU" w:eastAsia="hu-HU"/>
        </w:rPr>
        <w:t> = </w:t>
      </w:r>
      <w:r w:rsidRPr="00556B9B">
        <w:rPr>
          <w:color w:val="000000"/>
          <w:lang w:val="hu-HU" w:eastAsia="hu-HU"/>
        </w:rPr>
        <w:t>daunorubicin, 6</w:t>
      </w:r>
      <w:r w:rsidRPr="00556B9B">
        <w:rPr>
          <w:color w:val="000000"/>
          <w:lang w:val="hu-HU"/>
        </w:rPr>
        <w:noBreakHyphen/>
      </w:r>
      <w:r w:rsidRPr="00556B9B">
        <w:rPr>
          <w:color w:val="000000"/>
          <w:lang w:val="hu-HU" w:eastAsia="hu-HU"/>
        </w:rPr>
        <w:t>MP</w:t>
      </w:r>
      <w:r w:rsidR="00DC2FDA" w:rsidRPr="00556B9B">
        <w:rPr>
          <w:color w:val="000000"/>
          <w:lang w:val="hu-HU" w:eastAsia="hu-HU"/>
        </w:rPr>
        <w:t> = </w:t>
      </w:r>
      <w:r w:rsidRPr="00556B9B">
        <w:rPr>
          <w:color w:val="000000"/>
          <w:lang w:val="hu-HU" w:eastAsia="hu-HU"/>
        </w:rPr>
        <w:t>6</w:t>
      </w:r>
      <w:r w:rsidRPr="00556B9B">
        <w:rPr>
          <w:color w:val="000000"/>
          <w:lang w:val="hu-HU"/>
        </w:rPr>
        <w:noBreakHyphen/>
      </w:r>
      <w:r w:rsidRPr="00556B9B">
        <w:rPr>
          <w:color w:val="000000"/>
          <w:lang w:val="hu-HU" w:eastAsia="hu-HU"/>
        </w:rPr>
        <w:t>merkaptopurin, E.</w:t>
      </w:r>
      <w:r w:rsidR="004C55F5" w:rsidRPr="00556B9B">
        <w:rPr>
          <w:color w:val="000000"/>
          <w:lang w:val="hu-HU" w:eastAsia="hu-HU"/>
        </w:rPr>
        <w:t xml:space="preserve"> </w:t>
      </w:r>
      <w:r w:rsidRPr="00556B9B">
        <w:rPr>
          <w:color w:val="000000"/>
          <w:lang w:val="hu-HU" w:eastAsia="hu-HU"/>
        </w:rPr>
        <w:t>Coli L</w:t>
      </w:r>
      <w:r w:rsidRPr="00556B9B">
        <w:rPr>
          <w:color w:val="000000"/>
          <w:lang w:val="hu-HU"/>
        </w:rPr>
        <w:noBreakHyphen/>
      </w:r>
      <w:r w:rsidRPr="00556B9B">
        <w:rPr>
          <w:color w:val="000000"/>
          <w:lang w:val="hu-HU" w:eastAsia="hu-HU"/>
        </w:rPr>
        <w:t>ASP</w:t>
      </w:r>
      <w:r w:rsidR="00DC2FDA" w:rsidRPr="00556B9B">
        <w:rPr>
          <w:color w:val="000000"/>
          <w:lang w:val="hu-HU" w:eastAsia="hu-HU"/>
        </w:rPr>
        <w:t> = </w:t>
      </w:r>
      <w:r w:rsidRPr="00556B9B">
        <w:rPr>
          <w:color w:val="000000"/>
          <w:lang w:val="hu-HU" w:eastAsia="hu-HU"/>
        </w:rPr>
        <w:t>L</w:t>
      </w:r>
      <w:r w:rsidRPr="00556B9B">
        <w:rPr>
          <w:color w:val="000000"/>
          <w:lang w:val="hu-HU"/>
        </w:rPr>
        <w:noBreakHyphen/>
      </w:r>
      <w:r w:rsidRPr="00556B9B">
        <w:rPr>
          <w:color w:val="000000"/>
          <w:lang w:val="hu-HU" w:eastAsia="hu-HU"/>
        </w:rPr>
        <w:t>aszparagináz, PEG</w:t>
      </w:r>
      <w:r w:rsidRPr="00556B9B">
        <w:rPr>
          <w:color w:val="000000"/>
          <w:lang w:val="hu-HU"/>
        </w:rPr>
        <w:noBreakHyphen/>
      </w:r>
      <w:r w:rsidRPr="00556B9B">
        <w:rPr>
          <w:color w:val="000000"/>
          <w:lang w:val="hu-HU" w:eastAsia="hu-HU"/>
        </w:rPr>
        <w:t>ASP</w:t>
      </w:r>
      <w:r w:rsidR="00DC2FDA" w:rsidRPr="00556B9B">
        <w:rPr>
          <w:color w:val="000000"/>
          <w:lang w:val="hu-HU" w:eastAsia="hu-HU"/>
        </w:rPr>
        <w:t> = </w:t>
      </w:r>
      <w:r w:rsidRPr="00556B9B">
        <w:rPr>
          <w:color w:val="000000"/>
          <w:lang w:val="hu-HU" w:eastAsia="hu-HU"/>
        </w:rPr>
        <w:t>PEG aszparagináz, MESNA</w:t>
      </w:r>
      <w:r w:rsidR="00415B7A" w:rsidRPr="00556B9B">
        <w:rPr>
          <w:color w:val="000000"/>
          <w:lang w:val="hu-HU" w:eastAsia="hu-HU"/>
        </w:rPr>
        <w:t> </w:t>
      </w:r>
      <w:r w:rsidRPr="00556B9B">
        <w:rPr>
          <w:color w:val="000000"/>
          <w:lang w:val="hu-HU" w:eastAsia="hu-HU"/>
        </w:rPr>
        <w:t>=</w:t>
      </w:r>
      <w:r w:rsidR="00415B7A" w:rsidRPr="00556B9B">
        <w:rPr>
          <w:color w:val="000000"/>
          <w:lang w:val="hu-HU" w:eastAsia="hu-HU"/>
        </w:rPr>
        <w:t> </w:t>
      </w:r>
      <w:r w:rsidRPr="00556B9B">
        <w:rPr>
          <w:color w:val="000000"/>
          <w:lang w:val="hu-HU" w:eastAsia="hu-HU"/>
        </w:rPr>
        <w:t>2</w:t>
      </w:r>
      <w:r w:rsidRPr="00556B9B">
        <w:rPr>
          <w:color w:val="000000"/>
          <w:lang w:val="hu-HU"/>
        </w:rPr>
        <w:noBreakHyphen/>
      </w:r>
      <w:r w:rsidRPr="00556B9B">
        <w:rPr>
          <w:color w:val="000000"/>
          <w:lang w:val="hu-HU" w:eastAsia="hu-HU"/>
        </w:rPr>
        <w:t>merkaptoetán</w:t>
      </w:r>
      <w:r w:rsidR="004C55F5" w:rsidRPr="00556B9B">
        <w:rPr>
          <w:color w:val="000000"/>
          <w:lang w:val="hu-HU" w:eastAsia="hu-HU"/>
        </w:rPr>
        <w:noBreakHyphen/>
      </w:r>
      <w:r w:rsidRPr="00556B9B">
        <w:rPr>
          <w:color w:val="000000"/>
          <w:lang w:val="hu-HU" w:eastAsia="hu-HU"/>
        </w:rPr>
        <w:t>szulfonát</w:t>
      </w:r>
      <w:r w:rsidRPr="00556B9B">
        <w:rPr>
          <w:color w:val="000000"/>
          <w:lang w:val="hu-HU"/>
        </w:rPr>
        <w:noBreakHyphen/>
      </w:r>
      <w:r w:rsidRPr="00556B9B">
        <w:rPr>
          <w:color w:val="000000"/>
          <w:lang w:val="hu-HU" w:eastAsia="hu-HU"/>
        </w:rPr>
        <w:t>nátrium, iii</w:t>
      </w:r>
      <w:r w:rsidR="004C55F5" w:rsidRPr="00556B9B">
        <w:rPr>
          <w:color w:val="000000"/>
          <w:lang w:val="hu-HU" w:eastAsia="hu-HU"/>
        </w:rPr>
        <w:t> </w:t>
      </w:r>
      <w:r w:rsidRPr="00556B9B">
        <w:rPr>
          <w:color w:val="000000"/>
          <w:lang w:val="hu-HU" w:eastAsia="hu-HU"/>
        </w:rPr>
        <w:t>=</w:t>
      </w:r>
      <w:r w:rsidR="00415B7A" w:rsidRPr="00556B9B">
        <w:rPr>
          <w:color w:val="000000"/>
          <w:lang w:val="hu-HU" w:eastAsia="hu-HU"/>
        </w:rPr>
        <w:t> </w:t>
      </w:r>
      <w:r w:rsidRPr="00556B9B">
        <w:rPr>
          <w:color w:val="000000"/>
          <w:lang w:val="hu-HU" w:eastAsia="hu-HU"/>
        </w:rPr>
        <w:t>vagy amíg a MTX</w:t>
      </w:r>
      <w:r w:rsidRPr="00556B9B">
        <w:rPr>
          <w:color w:val="000000"/>
          <w:lang w:val="hu-HU"/>
        </w:rPr>
        <w:noBreakHyphen/>
      </w:r>
      <w:r w:rsidRPr="00556B9B">
        <w:rPr>
          <w:color w:val="000000"/>
          <w:lang w:val="hu-HU" w:eastAsia="hu-HU"/>
        </w:rPr>
        <w:t>szint</w:t>
      </w:r>
      <w:r w:rsidR="00415B7A" w:rsidRPr="00556B9B">
        <w:rPr>
          <w:color w:val="000000"/>
          <w:lang w:val="hu-HU" w:eastAsia="hu-HU"/>
        </w:rPr>
        <w:t> </w:t>
      </w:r>
      <w:r w:rsidRPr="00556B9B">
        <w:rPr>
          <w:color w:val="000000"/>
          <w:lang w:val="hu-HU" w:eastAsia="hu-HU"/>
        </w:rPr>
        <w:t>&lt;</w:t>
      </w:r>
      <w:r w:rsidR="00415B7A" w:rsidRPr="00556B9B">
        <w:rPr>
          <w:color w:val="000000"/>
          <w:lang w:val="hu-HU" w:eastAsia="hu-HU"/>
        </w:rPr>
        <w:t> </w:t>
      </w:r>
      <w:r w:rsidRPr="00556B9B">
        <w:rPr>
          <w:color w:val="000000"/>
          <w:lang w:val="hu-HU" w:eastAsia="hu-HU"/>
        </w:rPr>
        <w:t>0,1</w:t>
      </w:r>
      <w:r w:rsidR="00415B7A" w:rsidRPr="00556B9B">
        <w:rPr>
          <w:color w:val="000000"/>
          <w:lang w:val="hu-HU" w:eastAsia="hu-HU"/>
        </w:rPr>
        <w:t> </w:t>
      </w:r>
      <w:r w:rsidRPr="00556B9B">
        <w:rPr>
          <w:color w:val="000000"/>
          <w:lang w:val="hu-HU" w:eastAsia="hu-HU"/>
        </w:rPr>
        <w:t xml:space="preserve">µM, </w:t>
      </w:r>
      <w:r w:rsidRPr="006D0F5F">
        <w:rPr>
          <w:color w:val="000000"/>
          <w:lang w:val="hu-HU" w:eastAsia="hu-HU"/>
        </w:rPr>
        <w:t>Gy</w:t>
      </w:r>
      <w:r w:rsidR="00DC2FDA" w:rsidRPr="006D0F5F">
        <w:rPr>
          <w:color w:val="000000"/>
          <w:lang w:val="hu-HU" w:eastAsia="hu-HU"/>
        </w:rPr>
        <w:t> = </w:t>
      </w:r>
      <w:r w:rsidRPr="006D0F5F">
        <w:rPr>
          <w:color w:val="000000"/>
          <w:lang w:val="hu-HU" w:eastAsia="hu-HU"/>
        </w:rPr>
        <w:t>Gray</w:t>
      </w:r>
    </w:p>
    <w:p w14:paraId="6B8BF0AE" w14:textId="77777777" w:rsidR="001D323E" w:rsidRPr="006D0F5F" w:rsidRDefault="001D323E" w:rsidP="001D323E">
      <w:pPr>
        <w:pStyle w:val="EndnoteText"/>
        <w:widowControl w:val="0"/>
        <w:jc w:val="both"/>
        <w:rPr>
          <w:color w:val="000000"/>
          <w:sz w:val="20"/>
          <w:lang w:val="hu-HU"/>
        </w:rPr>
      </w:pPr>
    </w:p>
    <w:p w14:paraId="729D218B" w14:textId="78941FFB" w:rsidR="001D323E" w:rsidRPr="00556B9B" w:rsidRDefault="001D323E" w:rsidP="001D323E">
      <w:pPr>
        <w:pStyle w:val="EndnoteText"/>
        <w:widowControl w:val="0"/>
        <w:rPr>
          <w:color w:val="000000"/>
          <w:lang w:val="hu-HU"/>
        </w:rPr>
      </w:pPr>
      <w:r w:rsidRPr="006D0F5F">
        <w:rPr>
          <w:color w:val="000000"/>
          <w:lang w:val="hu-HU" w:eastAsia="hu-HU"/>
        </w:rPr>
        <w:t>Az AIT07</w:t>
      </w:r>
      <w:r w:rsidRPr="006D0F5F">
        <w:rPr>
          <w:color w:val="000000"/>
          <w:lang w:val="hu-HU"/>
        </w:rPr>
        <w:noBreakHyphen/>
      </w:r>
      <w:r w:rsidRPr="006D0F5F">
        <w:rPr>
          <w:color w:val="000000"/>
          <w:lang w:val="hu-HU" w:eastAsia="hu-HU"/>
        </w:rPr>
        <w:t>vizsgálat egy multicentrikus, nyílt elrendezésű, randomizált, II/III</w:t>
      </w:r>
      <w:r w:rsidR="007C1956" w:rsidRPr="006D0F5F">
        <w:rPr>
          <w:color w:val="000000"/>
          <w:lang w:val="hu-HU" w:eastAsia="hu-HU"/>
        </w:rPr>
        <w:t>. fázisú</w:t>
      </w:r>
      <w:r w:rsidRPr="006D0F5F">
        <w:rPr>
          <w:color w:val="000000"/>
          <w:lang w:val="hu-HU" w:eastAsia="hu-HU"/>
        </w:rPr>
        <w:t xml:space="preserve"> vizsgálat volt, amelyben 128 (1</w:t>
      </w:r>
      <w:r w:rsidR="00415B7A" w:rsidRPr="006D0F5F">
        <w:rPr>
          <w:color w:val="000000"/>
          <w:lang w:val="hu-HU" w:eastAsia="hu-HU"/>
        </w:rPr>
        <w:t> </w:t>
      </w:r>
      <w:r w:rsidRPr="006D0F5F">
        <w:rPr>
          <w:color w:val="000000"/>
          <w:lang w:val="hu-HU"/>
        </w:rPr>
        <w:noBreakHyphen/>
      </w:r>
      <w:r w:rsidR="00415B7A" w:rsidRPr="006D0F5F">
        <w:rPr>
          <w:color w:val="000000"/>
          <w:lang w:val="hu-HU" w:eastAsia="hu-HU"/>
        </w:rPr>
        <w:t> </w:t>
      </w:r>
      <w:r w:rsidRPr="006D0F5F">
        <w:rPr>
          <w:color w:val="000000"/>
          <w:lang w:val="hu-HU" w:eastAsia="hu-HU"/>
        </w:rPr>
        <w:t>&lt;</w:t>
      </w:r>
      <w:r w:rsidR="00415B7A" w:rsidRPr="006D0F5F">
        <w:rPr>
          <w:color w:val="000000"/>
          <w:lang w:val="hu-HU" w:eastAsia="hu-HU"/>
        </w:rPr>
        <w:t> </w:t>
      </w:r>
      <w:r w:rsidRPr="006D0F5F">
        <w:rPr>
          <w:color w:val="000000"/>
          <w:lang w:val="hu-HU" w:eastAsia="hu-HU"/>
        </w:rPr>
        <w:t>18</w:t>
      </w:r>
      <w:r w:rsidRPr="006D0F5F">
        <w:rPr>
          <w:color w:val="000000"/>
          <w:lang w:val="hu-HU"/>
        </w:rPr>
        <w:t> év</w:t>
      </w:r>
      <w:r w:rsidRPr="006D0F5F">
        <w:rPr>
          <w:color w:val="000000"/>
          <w:lang w:val="hu-HU" w:eastAsia="hu-HU"/>
        </w:rPr>
        <w:t>es), kemoterápiával kombinációban imatinibbel kezelt beteg vett</w:t>
      </w:r>
      <w:r w:rsidRPr="00556B9B">
        <w:rPr>
          <w:color w:val="000000"/>
          <w:lang w:val="hu-HU" w:eastAsia="hu-HU"/>
        </w:rPr>
        <w:t xml:space="preserve"> részt. </w:t>
      </w:r>
      <w:r w:rsidR="001C2432" w:rsidRPr="00556B9B">
        <w:rPr>
          <w:color w:val="000000"/>
          <w:lang w:val="hu-HU" w:eastAsia="hu-HU"/>
        </w:rPr>
        <w:t>úgy Tűnik, hogy e</w:t>
      </w:r>
      <w:r w:rsidRPr="00556B9B">
        <w:rPr>
          <w:color w:val="000000"/>
          <w:lang w:val="hu-HU" w:eastAsia="hu-HU"/>
        </w:rPr>
        <w:t xml:space="preserve">nnek a vizsgálatnak a biztonságossági adatai </w:t>
      </w:r>
      <w:r w:rsidR="001C2432" w:rsidRPr="00556B9B">
        <w:rPr>
          <w:color w:val="000000"/>
          <w:lang w:val="hu-HU" w:eastAsia="hu-HU"/>
        </w:rPr>
        <w:t>a Ph+ALL</w:t>
      </w:r>
      <w:r w:rsidR="001C2432" w:rsidRPr="00556B9B">
        <w:rPr>
          <w:color w:val="000000"/>
          <w:lang w:val="hu-HU"/>
        </w:rPr>
        <w:noBreakHyphen/>
      </w:r>
      <w:r w:rsidR="001C2432" w:rsidRPr="00556B9B">
        <w:rPr>
          <w:color w:val="000000"/>
          <w:lang w:val="hu-HU" w:eastAsia="hu-HU"/>
        </w:rPr>
        <w:t>ben szenvedő betegeknél</w:t>
      </w:r>
      <w:r w:rsidR="001C2432" w:rsidRPr="00556B9B" w:rsidDel="001C2432">
        <w:rPr>
          <w:color w:val="000000"/>
          <w:lang w:val="hu-HU" w:eastAsia="hu-HU"/>
        </w:rPr>
        <w:t xml:space="preserve"> </w:t>
      </w:r>
      <w:r w:rsidR="008D4936" w:rsidRPr="00556B9B">
        <w:rPr>
          <w:color w:val="000000"/>
          <w:lang w:val="hu-HU" w:eastAsia="hu-HU"/>
        </w:rPr>
        <w:t xml:space="preserve">összhangban vannak </w:t>
      </w:r>
      <w:r w:rsidRPr="00556B9B">
        <w:rPr>
          <w:color w:val="000000"/>
          <w:lang w:val="hu-HU" w:eastAsia="hu-HU"/>
        </w:rPr>
        <w:t>az imatinib biztonságossági profiljá</w:t>
      </w:r>
      <w:r w:rsidR="008D4936" w:rsidRPr="00556B9B">
        <w:rPr>
          <w:color w:val="000000"/>
          <w:lang w:val="hu-HU" w:eastAsia="hu-HU"/>
        </w:rPr>
        <w:t>val</w:t>
      </w:r>
      <w:r w:rsidRPr="00556B9B">
        <w:rPr>
          <w:color w:val="000000"/>
          <w:lang w:val="hu-HU" w:eastAsia="hu-HU"/>
        </w:rPr>
        <w:t>.</w:t>
      </w:r>
    </w:p>
    <w:p w14:paraId="111CC5B7" w14:textId="77777777" w:rsidR="001D323E" w:rsidRPr="00556B9B" w:rsidRDefault="001D323E" w:rsidP="001D323E">
      <w:pPr>
        <w:rPr>
          <w:lang w:val="hu-HU"/>
        </w:rPr>
      </w:pPr>
    </w:p>
    <w:p w14:paraId="17D9A678" w14:textId="77777777" w:rsidR="00910FC8" w:rsidRPr="00556B9B" w:rsidRDefault="00910FC8">
      <w:pPr>
        <w:pStyle w:val="Heading1"/>
        <w:numPr>
          <w:ilvl w:val="0"/>
          <w:numId w:val="0"/>
        </w:numPr>
        <w:spacing w:before="0" w:after="0" w:line="240" w:lineRule="auto"/>
        <w:rPr>
          <w:b w:val="0"/>
          <w:caps w:val="0"/>
          <w:color w:val="000000"/>
          <w:sz w:val="22"/>
          <w:lang w:val="hu-HU"/>
        </w:rPr>
      </w:pPr>
      <w:r w:rsidRPr="00556B9B">
        <w:rPr>
          <w:b w:val="0"/>
          <w:i/>
          <w:caps w:val="0"/>
          <w:color w:val="000000"/>
          <w:sz w:val="22"/>
          <w:lang w:val="hu-HU"/>
        </w:rPr>
        <w:t xml:space="preserve">Recidiváló/refrakter Ph+ </w:t>
      </w:r>
      <w:smartTag w:uri="urn:schemas-microsoft-com:office:smarttags" w:element="stockticker">
        <w:r w:rsidRPr="00556B9B">
          <w:rPr>
            <w:b w:val="0"/>
            <w:i/>
            <w:caps w:val="0"/>
            <w:color w:val="000000"/>
            <w:sz w:val="22"/>
            <w:lang w:val="hu-HU"/>
          </w:rPr>
          <w:t>ALL</w:t>
        </w:r>
      </w:smartTag>
      <w:r w:rsidRPr="00556B9B">
        <w:rPr>
          <w:b w:val="0"/>
          <w:i/>
          <w:caps w:val="0"/>
          <w:color w:val="000000"/>
          <w:sz w:val="22"/>
          <w:lang w:val="hu-HU"/>
        </w:rPr>
        <w:t xml:space="preserve">: </w:t>
      </w:r>
      <w:r w:rsidRPr="00556B9B">
        <w:rPr>
          <w:b w:val="0"/>
          <w:caps w:val="0"/>
          <w:color w:val="000000"/>
          <w:sz w:val="22"/>
          <w:lang w:val="hu-HU"/>
        </w:rPr>
        <w:t xml:space="preserve">Imatinib monoterápiát alkalmazva recidiváló/refrakter Ph+ </w:t>
      </w:r>
      <w:smartTag w:uri="urn:schemas-microsoft-com:office:smarttags" w:element="stockticker">
        <w:r w:rsidRPr="00556B9B">
          <w:rPr>
            <w:b w:val="0"/>
            <w:caps w:val="0"/>
            <w:color w:val="000000"/>
            <w:sz w:val="22"/>
            <w:lang w:val="hu-HU"/>
          </w:rPr>
          <w:t>ALL</w:t>
        </w:r>
      </w:smartTag>
      <w:r w:rsidRPr="00556B9B">
        <w:rPr>
          <w:b w:val="0"/>
          <w:caps w:val="0"/>
          <w:color w:val="000000"/>
          <w:sz w:val="22"/>
          <w:lang w:val="hu-HU"/>
        </w:rPr>
        <w:noBreakHyphen/>
        <w:t>es betegekben, a terápiás válasz szempontjából értékelhető a 411 betegből 53 betegben 30%</w:t>
      </w:r>
      <w:r w:rsidRPr="00556B9B">
        <w:rPr>
          <w:b w:val="0"/>
          <w:caps w:val="0"/>
          <w:color w:val="000000"/>
          <w:sz w:val="22"/>
          <w:lang w:val="hu-HU"/>
        </w:rPr>
        <w:noBreakHyphen/>
        <w:t>os hematológiai válaszarányt (9% komplett) és 23%</w:t>
      </w:r>
      <w:r w:rsidRPr="00556B9B">
        <w:rPr>
          <w:b w:val="0"/>
          <w:caps w:val="0"/>
          <w:color w:val="000000"/>
          <w:sz w:val="22"/>
          <w:lang w:val="hu-HU"/>
        </w:rPr>
        <w:noBreakHyphen/>
        <w:t xml:space="preserve">os </w:t>
      </w:r>
      <w:r w:rsidR="000B2EBD" w:rsidRPr="00556B9B">
        <w:rPr>
          <w:b w:val="0"/>
          <w:caps w:val="0"/>
          <w:color w:val="000000"/>
          <w:sz w:val="22"/>
          <w:lang w:val="hu-HU"/>
        </w:rPr>
        <w:t>nagyfokú</w:t>
      </w:r>
      <w:r w:rsidRPr="00556B9B">
        <w:rPr>
          <w:b w:val="0"/>
          <w:caps w:val="0"/>
          <w:color w:val="000000"/>
          <w:sz w:val="22"/>
          <w:lang w:val="hu-HU"/>
        </w:rPr>
        <w:t xml:space="preserve"> cytogenetikai válaszarányt értek el. (Fontos megjegyezni, hogy a 411 betegből 353</w:t>
      </w:r>
      <w:r w:rsidRPr="00556B9B">
        <w:rPr>
          <w:b w:val="0"/>
          <w:caps w:val="0"/>
          <w:color w:val="000000"/>
          <w:sz w:val="22"/>
          <w:lang w:val="hu-HU"/>
        </w:rPr>
        <w:noBreakHyphen/>
        <w:t xml:space="preserve">at egy kiterjesztett gyógyszerhozzáférési program keretében kezeltek, és esetükben nem gyűjtöttek adatokat a primer válaszról.) A progresszióig eltelt idő mediánértéke a teljes 411 fős recidiváló/refrakter Ph+ </w:t>
      </w:r>
      <w:smartTag w:uri="urn:schemas-microsoft-com:office:smarttags" w:element="stockticker">
        <w:r w:rsidRPr="00556B9B">
          <w:rPr>
            <w:b w:val="0"/>
            <w:caps w:val="0"/>
            <w:color w:val="000000"/>
            <w:sz w:val="22"/>
            <w:lang w:val="hu-HU"/>
          </w:rPr>
          <w:t>ALL</w:t>
        </w:r>
      </w:smartTag>
      <w:r w:rsidRPr="00556B9B">
        <w:rPr>
          <w:b w:val="0"/>
          <w:caps w:val="0"/>
          <w:color w:val="000000"/>
          <w:sz w:val="22"/>
          <w:lang w:val="hu-HU"/>
        </w:rPr>
        <w:noBreakHyphen/>
        <w:t>es betegmintában 2,6</w:t>
      </w:r>
      <w:r w:rsidRPr="00556B9B">
        <w:rPr>
          <w:b w:val="0"/>
          <w:caps w:val="0"/>
          <w:color w:val="000000"/>
          <w:sz w:val="22"/>
          <w:lang w:val="hu-HU"/>
        </w:rPr>
        <w:noBreakHyphen/>
        <w:t>3,1 hónap volt, a teljes túlélés mediánértéke a 401 értékelhető beteg esetében 4,9</w:t>
      </w:r>
      <w:r w:rsidRPr="00556B9B">
        <w:rPr>
          <w:b w:val="0"/>
          <w:caps w:val="0"/>
          <w:color w:val="000000"/>
          <w:sz w:val="22"/>
          <w:lang w:val="hu-HU"/>
        </w:rPr>
        <w:noBreakHyphen/>
        <w:t>9 hónap volt. Hasonló eredményeket kaptak, amikor az adatok ismételt elemzésekor csak az 55 éves és idősebb betegek adatait vizsgálták.</w:t>
      </w:r>
    </w:p>
    <w:p w14:paraId="13D40AC9" w14:textId="77777777" w:rsidR="00910FC8" w:rsidRPr="00556B9B" w:rsidRDefault="00910FC8">
      <w:pPr>
        <w:rPr>
          <w:color w:val="000000"/>
          <w:lang w:val="hu-HU"/>
        </w:rPr>
      </w:pPr>
    </w:p>
    <w:p w14:paraId="48AE758B" w14:textId="77777777" w:rsidR="00910FC8" w:rsidRPr="00556B9B" w:rsidRDefault="00910FC8" w:rsidP="005C6E7A">
      <w:pPr>
        <w:keepNext/>
        <w:rPr>
          <w:color w:val="000000"/>
          <w:lang w:val="hu-HU"/>
        </w:rPr>
      </w:pPr>
      <w:r w:rsidRPr="00556B9B">
        <w:rPr>
          <w:color w:val="000000"/>
          <w:u w:val="single"/>
          <w:lang w:val="hu-HU"/>
        </w:rPr>
        <w:t>Klinikai vizsgálatok MDS/MPD</w:t>
      </w:r>
      <w:r w:rsidRPr="00556B9B">
        <w:rPr>
          <w:color w:val="000000"/>
          <w:u w:val="single"/>
          <w:lang w:val="hu-HU"/>
        </w:rPr>
        <w:noBreakHyphen/>
        <w:t>ben</w:t>
      </w:r>
    </w:p>
    <w:p w14:paraId="67E03BFF" w14:textId="246FBC1F" w:rsidR="005077B2" w:rsidRPr="00556B9B" w:rsidRDefault="00910FC8" w:rsidP="00BF2A89">
      <w:pPr>
        <w:spacing w:line="240" w:lineRule="auto"/>
        <w:rPr>
          <w:color w:val="000000"/>
          <w:lang w:val="hu-HU"/>
        </w:rPr>
      </w:pPr>
      <w:r w:rsidRPr="00556B9B">
        <w:rPr>
          <w:color w:val="000000"/>
          <w:lang w:val="hu-HU"/>
        </w:rPr>
        <w:t xml:space="preserve">Ebben az indikációban a Glivec alkalmazásáról nagyon kevés tapasztalat áll rendelkezésre. </w:t>
      </w:r>
      <w:r w:rsidRPr="006D0F5F">
        <w:rPr>
          <w:color w:val="000000"/>
          <w:lang w:val="hu-HU"/>
        </w:rPr>
        <w:t>Ezen tapasztalatok a hematológiai és a cytogenetikai válaszarányokon alapulnak. Nem végeztek klinikai előnyt vagy a túlélés javulását igazoló klinikai vizsgálatokat. Egy nyílt, multicentrikus, II</w:t>
      </w:r>
      <w:r w:rsidR="007C1956" w:rsidRPr="006D0F5F">
        <w:rPr>
          <w:color w:val="000000"/>
          <w:lang w:val="hu-HU"/>
        </w:rPr>
        <w:t>. fázisú</w:t>
      </w:r>
      <w:r w:rsidRPr="006D0F5F">
        <w:rPr>
          <w:color w:val="000000"/>
          <w:lang w:val="hu-HU"/>
        </w:rPr>
        <w:t xml:space="preserve"> klinikai vizsgálatban (B2225 vizsgálat) tanulmányozták a Glivec hatásait Abl, Kit vagy PDGFR</w:t>
      </w:r>
      <w:r w:rsidRPr="00556B9B">
        <w:rPr>
          <w:color w:val="000000"/>
          <w:lang w:val="hu-HU"/>
        </w:rPr>
        <w:t xml:space="preserve"> protein tirozinkinázokkal kapcsolatban álló, életet veszélyeztető betegségekben szenvedő egyénekből álló különböző betegcsoportokban. Ebbe a vizsgálatba 7 </w:t>
      </w:r>
      <w:smartTag w:uri="urn:schemas-microsoft-com:office:smarttags" w:element="stockticker">
        <w:r w:rsidRPr="00556B9B">
          <w:rPr>
            <w:color w:val="000000"/>
            <w:lang w:val="hu-HU"/>
          </w:rPr>
          <w:t>MDS</w:t>
        </w:r>
      </w:smartTag>
      <w:r w:rsidRPr="00556B9B">
        <w:rPr>
          <w:color w:val="000000"/>
          <w:lang w:val="hu-HU"/>
        </w:rPr>
        <w:t>/MPD</w:t>
      </w:r>
      <w:r w:rsidRPr="00556B9B">
        <w:rPr>
          <w:color w:val="000000"/>
          <w:lang w:val="hu-HU"/>
        </w:rPr>
        <w:noBreakHyphen/>
        <w:t>ben szenvedő beteget vontak be, akik napi 400 mg Glivec</w:t>
      </w:r>
      <w:r w:rsidRPr="00556B9B">
        <w:rPr>
          <w:color w:val="000000"/>
          <w:lang w:val="hu-HU"/>
        </w:rPr>
        <w:noBreakHyphen/>
        <w:t>et kaptak. 3 betegnél komplett hematológiai válasz (</w:t>
      </w:r>
      <w:smartTag w:uri="urn:schemas-microsoft-com:office:smarttags" w:element="stockticker">
        <w:r w:rsidRPr="00556B9B">
          <w:rPr>
            <w:color w:val="000000"/>
            <w:lang w:val="hu-HU"/>
          </w:rPr>
          <w:t>CHR</w:t>
        </w:r>
      </w:smartTag>
      <w:r w:rsidRPr="00556B9B">
        <w:rPr>
          <w:color w:val="000000"/>
          <w:lang w:val="hu-HU"/>
        </w:rPr>
        <w:t>), egy betegnél részleges hematológiai válasz (</w:t>
      </w:r>
      <w:smartTag w:uri="urn:schemas-microsoft-com:office:smarttags" w:element="stockticker">
        <w:r w:rsidRPr="00556B9B">
          <w:rPr>
            <w:color w:val="000000"/>
            <w:lang w:val="hu-HU"/>
          </w:rPr>
          <w:t>PHR</w:t>
        </w:r>
      </w:smartTag>
      <w:r w:rsidRPr="00556B9B">
        <w:rPr>
          <w:color w:val="000000"/>
          <w:lang w:val="hu-HU"/>
        </w:rPr>
        <w:t>) jelentkezett. Az eredeti analízis idején a 4 PDGFR génátrendeződést mutató beteg közül 3</w:t>
      </w:r>
      <w:r w:rsidRPr="00556B9B">
        <w:rPr>
          <w:color w:val="000000"/>
          <w:lang w:val="hu-HU"/>
        </w:rPr>
        <w:noBreakHyphen/>
        <w:t>nál jelentkezett hematológiai válasz (2 </w:t>
      </w:r>
      <w:smartTag w:uri="urn:schemas-microsoft-com:office:smarttags" w:element="stockticker">
        <w:r w:rsidRPr="00556B9B">
          <w:rPr>
            <w:color w:val="000000"/>
            <w:lang w:val="hu-HU"/>
          </w:rPr>
          <w:t>CHR</w:t>
        </w:r>
      </w:smartTag>
      <w:r w:rsidRPr="00556B9B">
        <w:rPr>
          <w:color w:val="000000"/>
          <w:lang w:val="hu-HU"/>
        </w:rPr>
        <w:t xml:space="preserve"> és 1 </w:t>
      </w:r>
      <w:smartTag w:uri="urn:schemas-microsoft-com:office:smarttags" w:element="stockticker">
        <w:r w:rsidRPr="00556B9B">
          <w:rPr>
            <w:color w:val="000000"/>
            <w:lang w:val="hu-HU"/>
          </w:rPr>
          <w:t>PHR</w:t>
        </w:r>
      </w:smartTag>
      <w:r w:rsidRPr="00556B9B">
        <w:rPr>
          <w:color w:val="000000"/>
          <w:lang w:val="hu-HU"/>
        </w:rPr>
        <w:t>). Ezen betegek életkora 20</w:t>
      </w:r>
      <w:r w:rsidRPr="00556B9B">
        <w:rPr>
          <w:color w:val="000000"/>
          <w:lang w:val="hu-HU"/>
        </w:rPr>
        <w:noBreakHyphen/>
        <w:t>72 év között volt.</w:t>
      </w:r>
    </w:p>
    <w:p w14:paraId="206A920F" w14:textId="77777777" w:rsidR="005077B2" w:rsidRPr="00556B9B" w:rsidRDefault="005077B2" w:rsidP="00BF2A89">
      <w:pPr>
        <w:spacing w:line="240" w:lineRule="auto"/>
        <w:rPr>
          <w:color w:val="000000"/>
          <w:lang w:val="hu-HU"/>
        </w:rPr>
      </w:pPr>
    </w:p>
    <w:p w14:paraId="33721CEC" w14:textId="77777777" w:rsidR="005077B2" w:rsidRPr="00556B9B" w:rsidRDefault="00D053F4" w:rsidP="00BF2A89">
      <w:pPr>
        <w:pStyle w:val="EndnoteText"/>
        <w:widowControl w:val="0"/>
        <w:spacing w:line="240" w:lineRule="auto"/>
        <w:rPr>
          <w:color w:val="000000"/>
          <w:szCs w:val="22"/>
          <w:lang w:val="hu-HU"/>
        </w:rPr>
      </w:pPr>
      <w:r w:rsidRPr="00556B9B">
        <w:rPr>
          <w:lang w:val="hu-HU"/>
        </w:rPr>
        <w:t xml:space="preserve">Azért, </w:t>
      </w:r>
      <w:r w:rsidR="005077B2" w:rsidRPr="00556B9B">
        <w:rPr>
          <w:lang w:val="hu-HU"/>
        </w:rPr>
        <w:t>hogy hosszú távú biztonságossági és hatásossági adatokat gyűjtsenek a PDGFR</w:t>
      </w:r>
      <w:r w:rsidR="005077B2" w:rsidRPr="00556B9B">
        <w:rPr>
          <w:lang w:val="hu-HU"/>
        </w:rPr>
        <w:noBreakHyphen/>
      </w:r>
      <w:r w:rsidR="005077B2" w:rsidRPr="00556B9B">
        <w:t>β</w:t>
      </w:r>
      <w:r w:rsidR="005077B2" w:rsidRPr="00556B9B">
        <w:rPr>
          <w:lang w:val="hu-HU"/>
        </w:rPr>
        <w:t xml:space="preserve"> génátrendeződéssel társuló myeloproliferativ daganatokban szenvedő olyan betegek</w:t>
      </w:r>
      <w:r w:rsidR="00D27999" w:rsidRPr="00556B9B">
        <w:rPr>
          <w:lang w:val="hu-HU"/>
        </w:rPr>
        <w:t>tő</w:t>
      </w:r>
      <w:r w:rsidR="005077B2" w:rsidRPr="00556B9B">
        <w:rPr>
          <w:lang w:val="hu-HU"/>
        </w:rPr>
        <w:t>l, akiket Glivec</w:t>
      </w:r>
      <w:r w:rsidR="005077B2" w:rsidRPr="00556B9B">
        <w:rPr>
          <w:lang w:val="hu-HU"/>
        </w:rPr>
        <w:noBreakHyphen/>
        <w:t>kel kezeltek</w:t>
      </w:r>
      <w:r w:rsidRPr="00556B9B">
        <w:rPr>
          <w:lang w:val="hu-HU"/>
        </w:rPr>
        <w:t>, egy obszervációs regisztert (L2401</w:t>
      </w:r>
      <w:r w:rsidRPr="00556B9B">
        <w:rPr>
          <w:lang w:val="hu-HU"/>
        </w:rPr>
        <w:noBreakHyphen/>
        <w:t>vizsgálat) hoztak létre</w:t>
      </w:r>
      <w:r w:rsidR="005077B2" w:rsidRPr="00556B9B">
        <w:rPr>
          <w:lang w:val="hu-HU"/>
        </w:rPr>
        <w:t xml:space="preserve">. </w:t>
      </w:r>
      <w:r w:rsidR="005077B2" w:rsidRPr="00556B9B">
        <w:rPr>
          <w:color w:val="000000"/>
          <w:lang w:val="hu-HU"/>
        </w:rPr>
        <w:t>Az ebbe a regiszterbe bevont 23 beteg 264 mg</w:t>
      </w:r>
      <w:r w:rsidR="005077B2" w:rsidRPr="00556B9B">
        <w:rPr>
          <w:color w:val="000000"/>
          <w:lang w:val="hu-HU"/>
        </w:rPr>
        <w:noBreakHyphen/>
        <w:t>os medián napi dózisban kapott Glivec</w:t>
      </w:r>
      <w:r w:rsidR="005077B2" w:rsidRPr="00556B9B">
        <w:rPr>
          <w:color w:val="000000"/>
          <w:lang w:val="hu-HU"/>
        </w:rPr>
        <w:noBreakHyphen/>
        <w:t>et (szélső értékek: 100</w:t>
      </w:r>
      <w:r w:rsidR="005077B2" w:rsidRPr="00556B9B">
        <w:rPr>
          <w:color w:val="000000"/>
          <w:lang w:val="hu-HU"/>
        </w:rPr>
        <w:noBreakHyphen/>
        <w:t>400 mg), 7,2 éves medián időtartamban (</w:t>
      </w:r>
      <w:r w:rsidR="001146D8" w:rsidRPr="00556B9B">
        <w:rPr>
          <w:color w:val="000000"/>
          <w:lang w:val="hu-HU"/>
        </w:rPr>
        <w:t>szélső értékek</w:t>
      </w:r>
      <w:r w:rsidR="005077B2" w:rsidRPr="00556B9B">
        <w:rPr>
          <w:color w:val="000000"/>
          <w:lang w:val="hu-HU"/>
        </w:rPr>
        <w:t>: 0,1</w:t>
      </w:r>
      <w:r w:rsidR="00B13AD8" w:rsidRPr="00556B9B">
        <w:rPr>
          <w:color w:val="000000"/>
          <w:lang w:val="hu-HU"/>
        </w:rPr>
        <w:t> </w:t>
      </w:r>
      <w:r w:rsidR="00B13AD8" w:rsidRPr="00556B9B">
        <w:rPr>
          <w:color w:val="000000"/>
          <w:lang w:val="hu-HU"/>
        </w:rPr>
        <w:noBreakHyphen/>
        <w:t> </w:t>
      </w:r>
      <w:r w:rsidR="005077B2" w:rsidRPr="00556B9B">
        <w:rPr>
          <w:color w:val="000000"/>
          <w:lang w:val="hu-HU"/>
        </w:rPr>
        <w:t xml:space="preserve">12,7 év). </w:t>
      </w:r>
      <w:r w:rsidR="00B91F8A" w:rsidRPr="00556B9B">
        <w:rPr>
          <w:lang w:val="hu-HU"/>
        </w:rPr>
        <w:t>A regiszter obszervációs jellegéből adódóan a 23</w:t>
      </w:r>
      <w:r w:rsidR="002B01CA" w:rsidRPr="00556B9B">
        <w:rPr>
          <w:lang w:val="hu-HU"/>
        </w:rPr>
        <w:t> </w:t>
      </w:r>
      <w:r w:rsidR="00B91F8A" w:rsidRPr="00556B9B">
        <w:rPr>
          <w:lang w:val="hu-HU"/>
        </w:rPr>
        <w:t>bevont betegből</w:t>
      </w:r>
      <w:r w:rsidR="005077B2" w:rsidRPr="00556B9B">
        <w:rPr>
          <w:lang w:val="hu-HU"/>
        </w:rPr>
        <w:t xml:space="preserve"> a hematol</w:t>
      </w:r>
      <w:r w:rsidR="001146D8" w:rsidRPr="00556B9B">
        <w:rPr>
          <w:lang w:val="hu-HU"/>
        </w:rPr>
        <w:t>ó</w:t>
      </w:r>
      <w:r w:rsidR="005077B2" w:rsidRPr="00556B9B">
        <w:rPr>
          <w:lang w:val="hu-HU"/>
        </w:rPr>
        <w:t>giai</w:t>
      </w:r>
      <w:r w:rsidR="00B91F8A" w:rsidRPr="00556B9B">
        <w:rPr>
          <w:lang w:val="hu-HU"/>
        </w:rPr>
        <w:t xml:space="preserve"> vizsgálati adatok 22</w:t>
      </w:r>
      <w:r w:rsidR="002B01CA" w:rsidRPr="00556B9B">
        <w:rPr>
          <w:lang w:val="hu-HU"/>
        </w:rPr>
        <w:t> </w:t>
      </w:r>
      <w:r w:rsidR="00B91F8A" w:rsidRPr="00556B9B">
        <w:rPr>
          <w:lang w:val="hu-HU"/>
        </w:rPr>
        <w:t>betegnél, a citogenetikai vizsgálati eredmények 9</w:t>
      </w:r>
      <w:r w:rsidR="002B01CA" w:rsidRPr="00556B9B">
        <w:rPr>
          <w:lang w:val="hu-HU"/>
        </w:rPr>
        <w:t> </w:t>
      </w:r>
      <w:r w:rsidR="00B91F8A" w:rsidRPr="00556B9B">
        <w:rPr>
          <w:lang w:val="hu-HU"/>
        </w:rPr>
        <w:t>betegnél</w:t>
      </w:r>
      <w:r w:rsidR="002B01CA" w:rsidRPr="00556B9B">
        <w:rPr>
          <w:lang w:val="hu-HU"/>
        </w:rPr>
        <w:t>,</w:t>
      </w:r>
      <w:r w:rsidR="00B91F8A" w:rsidRPr="00556B9B">
        <w:rPr>
          <w:lang w:val="hu-HU"/>
        </w:rPr>
        <w:t xml:space="preserve"> a</w:t>
      </w:r>
      <w:r w:rsidR="005077B2" w:rsidRPr="00556B9B">
        <w:rPr>
          <w:lang w:val="hu-HU"/>
        </w:rPr>
        <w:t xml:space="preserve"> molekuláris vizsgálati adatok 17</w:t>
      </w:r>
      <w:r w:rsidR="002B01CA" w:rsidRPr="00556B9B">
        <w:rPr>
          <w:lang w:val="hu-HU"/>
        </w:rPr>
        <w:t> </w:t>
      </w:r>
      <w:r w:rsidR="00B91F8A" w:rsidRPr="00556B9B">
        <w:rPr>
          <w:lang w:val="hu-HU"/>
        </w:rPr>
        <w:t>beteg</w:t>
      </w:r>
      <w:r w:rsidR="005077B2" w:rsidRPr="00556B9B">
        <w:rPr>
          <w:lang w:val="hu-HU"/>
        </w:rPr>
        <w:t>nél</w:t>
      </w:r>
      <w:r w:rsidR="00565E5E" w:rsidRPr="00556B9B">
        <w:rPr>
          <w:lang w:val="hu-HU"/>
        </w:rPr>
        <w:t xml:space="preserve"> álltak rendelkezésre.</w:t>
      </w:r>
      <w:r w:rsidR="005077B2" w:rsidRPr="00556B9B">
        <w:rPr>
          <w:color w:val="000000"/>
          <w:lang w:val="hu-HU"/>
        </w:rPr>
        <w:t xml:space="preserve"> Konzervatívan feltételezve, hogy azok a betegek, akiknél az adatok hiányoztak, non</w:t>
      </w:r>
      <w:r w:rsidR="005077B2" w:rsidRPr="00556B9B">
        <w:rPr>
          <w:color w:val="000000"/>
          <w:lang w:val="hu-HU"/>
        </w:rPr>
        <w:noBreakHyphen/>
        <w:t xml:space="preserve">reszponderek voltak, komplett hematológiai választ 20/23 (87%) betegnél, komplett cytogenetikai választ 9/23 </w:t>
      </w:r>
      <w:r w:rsidR="005077B2" w:rsidRPr="00556B9B">
        <w:rPr>
          <w:color w:val="000000"/>
          <w:lang w:val="hu-HU"/>
        </w:rPr>
        <w:lastRenderedPageBreak/>
        <w:t xml:space="preserve">(39,1%) betegnél, és molekuláris választ 11/23 (47,8%) betegnél figyeltek meg. Amikor a válaszadási arányt olyan betegeknél számították, akiknél legalább egy </w:t>
      </w:r>
      <w:r w:rsidR="00565E5E" w:rsidRPr="00556B9B">
        <w:rPr>
          <w:color w:val="000000"/>
          <w:lang w:val="hu-HU"/>
        </w:rPr>
        <w:t xml:space="preserve">valós </w:t>
      </w:r>
      <w:r w:rsidR="005077B2" w:rsidRPr="00556B9B">
        <w:rPr>
          <w:color w:val="000000"/>
          <w:lang w:val="hu-HU"/>
        </w:rPr>
        <w:t xml:space="preserve">vizsgálati adat volt, a CHR, CCyR és MR válaszadási arány sorrendben </w:t>
      </w:r>
      <w:r w:rsidR="004B1059" w:rsidRPr="00556B9B">
        <w:rPr>
          <w:color w:val="000000"/>
          <w:lang w:val="hu-HU"/>
        </w:rPr>
        <w:t>20</w:t>
      </w:r>
      <w:r w:rsidR="005077B2" w:rsidRPr="00556B9B">
        <w:rPr>
          <w:color w:val="000000"/>
          <w:lang w:val="hu-HU"/>
        </w:rPr>
        <w:t>/22 (90,9%), 9/9 (100%) és 11/17 (64,7%) volt.</w:t>
      </w:r>
    </w:p>
    <w:p w14:paraId="3BCC4A8C" w14:textId="77777777" w:rsidR="005077B2" w:rsidRPr="00556B9B" w:rsidRDefault="005077B2" w:rsidP="00BF2A89">
      <w:pPr>
        <w:spacing w:line="240" w:lineRule="auto"/>
        <w:rPr>
          <w:color w:val="000000"/>
          <w:lang w:val="hu-HU"/>
        </w:rPr>
      </w:pPr>
    </w:p>
    <w:p w14:paraId="2754BB45" w14:textId="77777777" w:rsidR="00910FC8" w:rsidRPr="00556B9B" w:rsidRDefault="00910FC8" w:rsidP="00BF2A89">
      <w:pPr>
        <w:spacing w:line="240" w:lineRule="auto"/>
        <w:rPr>
          <w:color w:val="000000"/>
          <w:lang w:val="hu-HU"/>
        </w:rPr>
      </w:pPr>
      <w:r w:rsidRPr="00556B9B">
        <w:rPr>
          <w:color w:val="000000"/>
          <w:lang w:val="hu-HU"/>
        </w:rPr>
        <w:t>13 publikált esettanulmányban további 24 </w:t>
      </w:r>
      <w:smartTag w:uri="urn:schemas-microsoft-com:office:smarttags" w:element="stockticker">
        <w:r w:rsidRPr="00556B9B">
          <w:rPr>
            <w:color w:val="000000"/>
            <w:lang w:val="hu-HU"/>
          </w:rPr>
          <w:t>MDS</w:t>
        </w:r>
      </w:smartTag>
      <w:r w:rsidRPr="00556B9B">
        <w:rPr>
          <w:color w:val="000000"/>
          <w:lang w:val="hu-HU"/>
        </w:rPr>
        <w:t>/MPD</w:t>
      </w:r>
      <w:r w:rsidRPr="00556B9B">
        <w:rPr>
          <w:color w:val="000000"/>
          <w:lang w:val="hu-HU"/>
        </w:rPr>
        <w:noBreakHyphen/>
        <w:t>s betegről számoltak be. 21 beteget kezeltek napi 400 mg Glivec</w:t>
      </w:r>
      <w:r w:rsidRPr="00556B9B">
        <w:rPr>
          <w:color w:val="000000"/>
          <w:lang w:val="hu-HU"/>
        </w:rPr>
        <w:noBreakHyphen/>
        <w:t>kel, míg a másik 3 beteg kisebb adagot kapott. 11 betegben mutattak ki PDGFR génátrendeződést, akik közül 9</w:t>
      </w:r>
      <w:r w:rsidRPr="00556B9B">
        <w:rPr>
          <w:color w:val="000000"/>
          <w:lang w:val="hu-HU"/>
        </w:rPr>
        <w:noBreakHyphen/>
        <w:t xml:space="preserve">nél jelentkezett </w:t>
      </w:r>
      <w:smartTag w:uri="urn:schemas-microsoft-com:office:smarttags" w:element="stockticker">
        <w:r w:rsidRPr="00556B9B">
          <w:rPr>
            <w:color w:val="000000"/>
            <w:lang w:val="hu-HU"/>
          </w:rPr>
          <w:t>CHR</w:t>
        </w:r>
      </w:smartTag>
      <w:r w:rsidRPr="00556B9B">
        <w:rPr>
          <w:color w:val="000000"/>
          <w:lang w:val="hu-HU"/>
        </w:rPr>
        <w:t xml:space="preserve"> és egynél </w:t>
      </w:r>
      <w:smartTag w:uri="urn:schemas-microsoft-com:office:smarttags" w:element="stockticker">
        <w:r w:rsidRPr="00556B9B">
          <w:rPr>
            <w:color w:val="000000"/>
            <w:lang w:val="hu-HU"/>
          </w:rPr>
          <w:t>PHR</w:t>
        </w:r>
      </w:smartTag>
      <w:r w:rsidRPr="00556B9B">
        <w:rPr>
          <w:color w:val="000000"/>
          <w:lang w:val="hu-HU"/>
        </w:rPr>
        <w:t>. Ezen betegek életkora 2</w:t>
      </w:r>
      <w:r w:rsidRPr="00556B9B">
        <w:rPr>
          <w:color w:val="000000"/>
          <w:lang w:val="hu-HU"/>
        </w:rPr>
        <w:noBreakHyphen/>
        <w:t>79 év között volt. Egy utóbb megjelent publikáció szerint, mely ebből a 11 betegből 6</w:t>
      </w:r>
      <w:r w:rsidRPr="00556B9B">
        <w:rPr>
          <w:color w:val="000000"/>
          <w:lang w:val="hu-HU"/>
        </w:rPr>
        <w:noBreakHyphen/>
        <w:t>ról naprakész információkat közöl, ezen betegek mindegyike cytogenetikai remisszióban maradt (32</w:t>
      </w:r>
      <w:r w:rsidRPr="00556B9B">
        <w:rPr>
          <w:color w:val="000000"/>
          <w:lang w:val="hu-HU"/>
        </w:rPr>
        <w:noBreakHyphen/>
        <w:t xml:space="preserve">38 hónap). Ugyanez a publikáció hosszú távú követési adatokat közöl 12 PDGFR génátrendeződéssel társuló </w:t>
      </w:r>
      <w:smartTag w:uri="urn:schemas-microsoft-com:office:smarttags" w:element="stockticker">
        <w:r w:rsidRPr="00556B9B">
          <w:rPr>
            <w:color w:val="000000"/>
            <w:lang w:val="hu-HU"/>
          </w:rPr>
          <w:t>MDS</w:t>
        </w:r>
      </w:smartTag>
      <w:r w:rsidRPr="00556B9B">
        <w:rPr>
          <w:color w:val="000000"/>
          <w:lang w:val="hu-HU"/>
        </w:rPr>
        <w:t>/MPD</w:t>
      </w:r>
      <w:r w:rsidRPr="00556B9B">
        <w:rPr>
          <w:color w:val="000000"/>
          <w:lang w:val="hu-HU"/>
        </w:rPr>
        <w:noBreakHyphen/>
        <w:t>ben szenvedő betegről (a B2225 vizsgálatba bevont 5 beteg). Ezek a betegek átlagosan 47 hónapon keresztül (24 nap</w:t>
      </w:r>
      <w:r w:rsidRPr="00556B9B">
        <w:rPr>
          <w:color w:val="000000"/>
          <w:lang w:val="hu-HU"/>
        </w:rPr>
        <w:noBreakHyphen/>
        <w:t>60 hónap) kaptak Glivec</w:t>
      </w:r>
      <w:r w:rsidRPr="00556B9B">
        <w:rPr>
          <w:color w:val="000000"/>
          <w:lang w:val="hu-HU"/>
        </w:rPr>
        <w:noBreakHyphen/>
        <w:t xml:space="preserve">et. Ezek közül 6 beteg esetében a követési idő jelenleg meghaladja a 4 évet. 11 beteg esetében jelentkezett gyorsan kialakuló </w:t>
      </w:r>
      <w:smartTag w:uri="urn:schemas-microsoft-com:office:smarttags" w:element="stockticker">
        <w:r w:rsidRPr="00556B9B">
          <w:rPr>
            <w:color w:val="000000"/>
            <w:lang w:val="hu-HU"/>
          </w:rPr>
          <w:t>CHR</w:t>
        </w:r>
      </w:smartTag>
      <w:r w:rsidRPr="00556B9B">
        <w:rPr>
          <w:color w:val="000000"/>
          <w:lang w:val="hu-HU"/>
        </w:rPr>
        <w:t>, 10 beteg esetében szűntek meg teljesen a cytogenetikai rendellenességek és csökkent vagy nem volt kimutatható a RT</w:t>
      </w:r>
      <w:r w:rsidRPr="00556B9B">
        <w:rPr>
          <w:color w:val="000000"/>
          <w:lang w:val="hu-HU"/>
        </w:rPr>
        <w:noBreakHyphen/>
      </w:r>
      <w:smartTag w:uri="urn:schemas-microsoft-com:office:smarttags" w:element="stockticker">
        <w:r w:rsidRPr="00556B9B">
          <w:rPr>
            <w:color w:val="000000"/>
            <w:lang w:val="hu-HU"/>
          </w:rPr>
          <w:t>PCR</w:t>
        </w:r>
      </w:smartTag>
      <w:r w:rsidRPr="00556B9B">
        <w:rPr>
          <w:color w:val="000000"/>
          <w:lang w:val="hu-HU"/>
        </w:rPr>
        <w:noBreakHyphen/>
        <w:t>rel mért fúziós transzkripció. A hematológiai válasz átlagosan 49 hónapig (19</w:t>
      </w:r>
      <w:r w:rsidRPr="00556B9B">
        <w:rPr>
          <w:color w:val="000000"/>
          <w:lang w:val="hu-HU"/>
        </w:rPr>
        <w:noBreakHyphen/>
        <w:t>60 hónap), illetve a cytogenetikai válasz átlagosan 47 hónapig (16</w:t>
      </w:r>
      <w:r w:rsidRPr="00556B9B">
        <w:rPr>
          <w:color w:val="000000"/>
          <w:lang w:val="hu-HU"/>
        </w:rPr>
        <w:noBreakHyphen/>
        <w:t>59 hónap) maradt fent. A teljes túlélés a diagnózis időpontjától számítva 65 hónap (25</w:t>
      </w:r>
      <w:r w:rsidRPr="00556B9B">
        <w:rPr>
          <w:color w:val="000000"/>
          <w:lang w:val="hu-HU"/>
        </w:rPr>
        <w:noBreakHyphen/>
        <w:t>234 hónap). A Glivec alkalmazása a genetikai transzlokációt nem mutató betegek esetében rendszerint nem eredményez javulást.</w:t>
      </w:r>
    </w:p>
    <w:p w14:paraId="78A11ACF" w14:textId="77777777" w:rsidR="00910FC8" w:rsidRPr="00556B9B" w:rsidRDefault="00910FC8">
      <w:pPr>
        <w:pStyle w:val="Heading1"/>
        <w:numPr>
          <w:ilvl w:val="0"/>
          <w:numId w:val="0"/>
        </w:numPr>
        <w:spacing w:before="0" w:after="0" w:line="240" w:lineRule="auto"/>
        <w:rPr>
          <w:b w:val="0"/>
          <w:caps w:val="0"/>
          <w:color w:val="000000"/>
          <w:sz w:val="22"/>
          <w:u w:val="single"/>
          <w:lang w:val="hu-HU"/>
        </w:rPr>
      </w:pPr>
    </w:p>
    <w:p w14:paraId="578E61BF" w14:textId="40EFA6E0" w:rsidR="00C871EE" w:rsidRPr="006D0F5F" w:rsidRDefault="00C871EE" w:rsidP="00C871EE">
      <w:pPr>
        <w:pStyle w:val="EndnoteText"/>
        <w:widowControl w:val="0"/>
        <w:rPr>
          <w:lang w:val="hu-HU"/>
        </w:rPr>
      </w:pPr>
      <w:r w:rsidRPr="00556B9B">
        <w:rPr>
          <w:rStyle w:val="WW8Num1z0"/>
          <w:rFonts w:ascii="Times New Roman" w:hAnsi="Times New Roman"/>
          <w:color w:val="000000"/>
          <w:lang w:val="hu-HU" w:eastAsia="hu-HU"/>
        </w:rPr>
        <w:t>MDS/MPD</w:t>
      </w:r>
      <w:r w:rsidRPr="00556B9B">
        <w:rPr>
          <w:rStyle w:val="WW8Num1z0"/>
          <w:color w:val="000000"/>
          <w:lang w:val="hu-HU"/>
        </w:rPr>
        <w:noBreakHyphen/>
      </w:r>
      <w:r w:rsidRPr="00556B9B">
        <w:rPr>
          <w:rStyle w:val="WW8Num1z0"/>
          <w:rFonts w:ascii="Times New Roman" w:hAnsi="Times New Roman"/>
          <w:color w:val="000000"/>
          <w:lang w:val="hu-HU" w:eastAsia="hu-HU"/>
        </w:rPr>
        <w:t xml:space="preserve">ben szenvedő gyermekgyógyászati betegekkel nincsenek kontrollos vizsgálatok. Négy publikációban </w:t>
      </w:r>
      <w:r w:rsidR="00535318" w:rsidRPr="00556B9B">
        <w:rPr>
          <w:rStyle w:val="WW8Num1z0"/>
          <w:rFonts w:ascii="Times New Roman" w:hAnsi="Times New Roman"/>
          <w:color w:val="000000"/>
          <w:lang w:val="hu-HU" w:eastAsia="hu-HU"/>
        </w:rPr>
        <w:t>öt (</w:t>
      </w:r>
      <w:r w:rsidRPr="00556B9B">
        <w:rPr>
          <w:rStyle w:val="WW8Num1z0"/>
          <w:rFonts w:ascii="Times New Roman" w:hAnsi="Times New Roman"/>
          <w:color w:val="000000"/>
          <w:lang w:val="hu-HU" w:eastAsia="hu-HU"/>
        </w:rPr>
        <w:t>5</w:t>
      </w:r>
      <w:r w:rsidR="00535318" w:rsidRPr="00556B9B">
        <w:rPr>
          <w:rStyle w:val="WW8Num1z0"/>
          <w:rFonts w:ascii="Times New Roman" w:hAnsi="Times New Roman"/>
          <w:color w:val="000000"/>
          <w:lang w:val="hu-HU" w:eastAsia="hu-HU"/>
        </w:rPr>
        <w:t>)</w:t>
      </w:r>
      <w:r w:rsidRPr="00556B9B">
        <w:rPr>
          <w:rStyle w:val="WW8Num1z0"/>
          <w:rFonts w:ascii="Times New Roman" w:hAnsi="Times New Roman"/>
          <w:color w:val="000000"/>
          <w:lang w:val="hu-HU" w:eastAsia="hu-HU"/>
        </w:rPr>
        <w:t>, PDGFR</w:t>
      </w:r>
      <w:r w:rsidRPr="00556B9B">
        <w:rPr>
          <w:rStyle w:val="WW8Num1z0"/>
          <w:color w:val="000000"/>
          <w:lang w:val="hu-HU"/>
        </w:rPr>
        <w:noBreakHyphen/>
      </w:r>
      <w:r w:rsidRPr="00556B9B">
        <w:rPr>
          <w:rStyle w:val="WW8Num1z0"/>
          <w:rFonts w:ascii="Times New Roman" w:hAnsi="Times New Roman"/>
          <w:color w:val="000000"/>
          <w:lang w:val="hu-HU" w:eastAsia="hu-HU"/>
        </w:rPr>
        <w:t>rel társult, MDS/MPD</w:t>
      </w:r>
      <w:r w:rsidRPr="00556B9B">
        <w:rPr>
          <w:rStyle w:val="WW8Num1z0"/>
          <w:color w:val="000000"/>
          <w:lang w:val="hu-HU"/>
        </w:rPr>
        <w:noBreakHyphen/>
      </w:r>
      <w:r w:rsidRPr="00556B9B">
        <w:rPr>
          <w:rStyle w:val="WW8Num1z0"/>
          <w:rFonts w:ascii="Times New Roman" w:hAnsi="Times New Roman"/>
          <w:color w:val="000000"/>
          <w:lang w:val="hu-HU" w:eastAsia="hu-HU"/>
        </w:rPr>
        <w:t xml:space="preserve">ben szenvedő betegnél génátrendeződésről számoltak be. </w:t>
      </w:r>
      <w:r w:rsidRPr="00556B9B">
        <w:rPr>
          <w:rStyle w:val="WW8Num1z0"/>
          <w:rFonts w:ascii="Times New Roman" w:hAnsi="Times New Roman"/>
          <w:lang w:val="hu-HU" w:eastAsia="hu-HU"/>
        </w:rPr>
        <w:t>Eze</w:t>
      </w:r>
      <w:r w:rsidR="00251472" w:rsidRPr="00556B9B">
        <w:rPr>
          <w:rStyle w:val="WW8Num1z0"/>
          <w:rFonts w:ascii="Times New Roman" w:hAnsi="Times New Roman"/>
          <w:lang w:val="hu-HU" w:eastAsia="hu-HU"/>
        </w:rPr>
        <w:t>n</w:t>
      </w:r>
      <w:r w:rsidRPr="00556B9B">
        <w:rPr>
          <w:rStyle w:val="WW8Num1z0"/>
          <w:rFonts w:ascii="Times New Roman" w:hAnsi="Times New Roman"/>
          <w:lang w:val="hu-HU" w:eastAsia="hu-HU"/>
        </w:rPr>
        <w:t xml:space="preserve"> betegek életkora 3</w:t>
      </w:r>
      <w:r w:rsidRPr="00556B9B">
        <w:rPr>
          <w:rStyle w:val="WW8Num1z0"/>
          <w:lang w:val="hu-HU"/>
        </w:rPr>
        <w:t> hóna</w:t>
      </w:r>
      <w:r w:rsidRPr="00556B9B">
        <w:rPr>
          <w:rStyle w:val="WW8Num1z0"/>
          <w:rFonts w:ascii="Times New Roman" w:hAnsi="Times New Roman"/>
          <w:lang w:val="hu-HU" w:eastAsia="hu-HU"/>
        </w:rPr>
        <w:t>p és 4</w:t>
      </w:r>
      <w:r w:rsidRPr="00556B9B">
        <w:rPr>
          <w:rStyle w:val="WW8Num1z0"/>
          <w:lang w:val="hu-HU"/>
        </w:rPr>
        <w:t> év</w:t>
      </w:r>
      <w:r w:rsidRPr="00556B9B">
        <w:rPr>
          <w:rStyle w:val="WW8Num1z0"/>
          <w:rFonts w:ascii="Times New Roman" w:hAnsi="Times New Roman"/>
          <w:lang w:val="hu-HU" w:eastAsia="hu-HU"/>
        </w:rPr>
        <w:t xml:space="preserve"> közé esett, és az imatinibet napi</w:t>
      </w:r>
      <w:r w:rsidR="00535318" w:rsidRPr="00556B9B">
        <w:rPr>
          <w:rStyle w:val="WW8Num1z0"/>
          <w:rFonts w:ascii="Times New Roman" w:hAnsi="Times New Roman"/>
          <w:lang w:val="hu-HU" w:eastAsia="hu-HU"/>
        </w:rPr>
        <w:t xml:space="preserve"> 50 mg</w:t>
      </w:r>
      <w:r w:rsidR="00535318" w:rsidRPr="00556B9B">
        <w:rPr>
          <w:rStyle w:val="WW8Num1z0"/>
          <w:rFonts w:ascii="Times New Roman" w:hAnsi="Times New Roman"/>
          <w:lang w:val="hu-HU" w:eastAsia="hu-HU"/>
        </w:rPr>
        <w:noBreakHyphen/>
        <w:t>os dózisban vagy</w:t>
      </w:r>
      <w:r w:rsidRPr="00556B9B">
        <w:rPr>
          <w:rStyle w:val="WW8Num1z0"/>
          <w:rFonts w:ascii="Times New Roman" w:hAnsi="Times New Roman"/>
          <w:lang w:val="hu-HU" w:eastAsia="hu-HU"/>
        </w:rPr>
        <w:t xml:space="preserve"> </w:t>
      </w:r>
      <w:r w:rsidR="000A4928" w:rsidRPr="00556B9B">
        <w:rPr>
          <w:rStyle w:val="WW8Num1z0"/>
          <w:rFonts w:ascii="Times New Roman" w:hAnsi="Times New Roman"/>
          <w:lang w:val="hu-HU" w:eastAsia="hu-HU"/>
        </w:rPr>
        <w:t xml:space="preserve">napi </w:t>
      </w:r>
      <w:r w:rsidRPr="00556B9B">
        <w:rPr>
          <w:rStyle w:val="WW8Num1z0"/>
          <w:rFonts w:ascii="Times New Roman" w:hAnsi="Times New Roman"/>
          <w:color w:val="000000"/>
          <w:lang w:val="hu-HU" w:eastAsia="hu-HU"/>
        </w:rPr>
        <w:t>92,5</w:t>
      </w:r>
      <w:r w:rsidRPr="00556B9B">
        <w:rPr>
          <w:rStyle w:val="WW8Num1z0"/>
          <w:color w:val="000000"/>
          <w:lang w:val="hu-HU"/>
        </w:rPr>
        <w:noBreakHyphen/>
      </w:r>
      <w:r w:rsidRPr="00556B9B">
        <w:rPr>
          <w:rStyle w:val="WW8Num1z0"/>
          <w:rFonts w:ascii="Times New Roman" w:hAnsi="Times New Roman"/>
          <w:color w:val="000000"/>
          <w:lang w:val="hu-HU" w:eastAsia="hu-HU"/>
        </w:rPr>
        <w:t>340</w:t>
      </w:r>
      <w:r w:rsidRPr="00556B9B">
        <w:rPr>
          <w:rStyle w:val="WW8Num1z0"/>
          <w:color w:val="000000"/>
          <w:lang w:val="hu-HU"/>
        </w:rPr>
        <w:t> mg</w:t>
      </w:r>
      <w:r w:rsidRPr="00556B9B">
        <w:rPr>
          <w:rStyle w:val="WW8Num1z0"/>
          <w:rFonts w:ascii="Times New Roman" w:hAnsi="Times New Roman"/>
          <w:color w:val="000000"/>
          <w:lang w:val="hu-HU" w:eastAsia="hu-HU"/>
        </w:rPr>
        <w:t>/m</w:t>
      </w:r>
      <w:r w:rsidRPr="00556B9B">
        <w:rPr>
          <w:rStyle w:val="WW8Num1z0"/>
          <w:rFonts w:ascii="Times New Roman" w:hAnsi="Times New Roman"/>
          <w:color w:val="000000"/>
          <w:vertAlign w:val="superscript"/>
          <w:lang w:val="hu-HU" w:eastAsia="hu-HU"/>
        </w:rPr>
        <w:t>2</w:t>
      </w:r>
      <w:r w:rsidRPr="00556B9B">
        <w:rPr>
          <w:rStyle w:val="WW8Num1z0"/>
          <w:rFonts w:ascii="Times New Roman" w:hAnsi="Times New Roman"/>
          <w:color w:val="000000"/>
          <w:lang w:val="hu-HU" w:eastAsia="hu-HU"/>
        </w:rPr>
        <w:t xml:space="preserve"> közötti dózis</w:t>
      </w:r>
      <w:r w:rsidR="00535318" w:rsidRPr="00556B9B">
        <w:rPr>
          <w:rStyle w:val="WW8Num1z0"/>
          <w:rFonts w:ascii="Times New Roman" w:hAnsi="Times New Roman"/>
          <w:color w:val="000000"/>
          <w:lang w:val="hu-HU" w:eastAsia="hu-HU"/>
        </w:rPr>
        <w:t>ok</w:t>
      </w:r>
      <w:r w:rsidRPr="00556B9B">
        <w:rPr>
          <w:rStyle w:val="WW8Num1z0"/>
          <w:rFonts w:ascii="Times New Roman" w:hAnsi="Times New Roman"/>
          <w:color w:val="000000"/>
          <w:lang w:val="hu-HU" w:eastAsia="hu-HU"/>
        </w:rPr>
        <w:t xml:space="preserve">ban </w:t>
      </w:r>
      <w:r w:rsidR="00251472" w:rsidRPr="00556B9B">
        <w:rPr>
          <w:rStyle w:val="WW8Num1z0"/>
          <w:rFonts w:ascii="Times New Roman" w:hAnsi="Times New Roman"/>
          <w:color w:val="000000"/>
          <w:lang w:val="hu-HU" w:eastAsia="hu-HU"/>
        </w:rPr>
        <w:t>kapták</w:t>
      </w:r>
      <w:r w:rsidRPr="00556B9B">
        <w:rPr>
          <w:rStyle w:val="WW8Num1z0"/>
          <w:rFonts w:ascii="Times New Roman" w:hAnsi="Times New Roman"/>
          <w:color w:val="000000"/>
          <w:lang w:val="hu-HU" w:eastAsia="hu-HU"/>
        </w:rPr>
        <w:t>. Minden beteg teljes hematol</w:t>
      </w:r>
      <w:r w:rsidR="009537CF" w:rsidRPr="00556B9B">
        <w:rPr>
          <w:rStyle w:val="WW8Num1z0"/>
          <w:rFonts w:ascii="Times New Roman" w:hAnsi="Times New Roman"/>
          <w:color w:val="000000"/>
          <w:lang w:val="hu-HU" w:eastAsia="hu-HU"/>
        </w:rPr>
        <w:t>ó</w:t>
      </w:r>
      <w:r w:rsidRPr="00556B9B">
        <w:rPr>
          <w:rStyle w:val="WW8Num1z0"/>
          <w:rFonts w:ascii="Times New Roman" w:hAnsi="Times New Roman"/>
          <w:color w:val="000000"/>
          <w:lang w:val="hu-HU" w:eastAsia="hu-HU"/>
        </w:rPr>
        <w:t xml:space="preserve">giai választ, cytogenetikai választ és/vagy klinikai </w:t>
      </w:r>
      <w:r w:rsidRPr="006D0F5F">
        <w:rPr>
          <w:rStyle w:val="WW8Num1z0"/>
          <w:rFonts w:ascii="Times New Roman" w:hAnsi="Times New Roman"/>
          <w:color w:val="000000"/>
          <w:lang w:val="hu-HU" w:eastAsia="hu-HU"/>
        </w:rPr>
        <w:t>választ ért el.</w:t>
      </w:r>
    </w:p>
    <w:p w14:paraId="0C48C19E" w14:textId="77777777" w:rsidR="00C871EE" w:rsidRPr="006D0F5F" w:rsidRDefault="00C871EE" w:rsidP="00C871EE">
      <w:pPr>
        <w:rPr>
          <w:lang w:val="hu-HU"/>
        </w:rPr>
      </w:pPr>
    </w:p>
    <w:p w14:paraId="5E388D15" w14:textId="77777777" w:rsidR="00910FC8" w:rsidRPr="006D0F5F" w:rsidRDefault="00910FC8" w:rsidP="005C6E7A">
      <w:pPr>
        <w:pStyle w:val="Heading1"/>
        <w:keepNext/>
        <w:numPr>
          <w:ilvl w:val="0"/>
          <w:numId w:val="0"/>
        </w:numPr>
        <w:spacing w:before="0" w:after="0" w:line="240" w:lineRule="auto"/>
        <w:rPr>
          <w:b w:val="0"/>
          <w:caps w:val="0"/>
          <w:color w:val="000000"/>
          <w:sz w:val="22"/>
          <w:u w:val="single"/>
          <w:lang w:val="hu-HU"/>
        </w:rPr>
      </w:pPr>
      <w:r w:rsidRPr="006D0F5F">
        <w:rPr>
          <w:b w:val="0"/>
          <w:caps w:val="0"/>
          <w:color w:val="000000"/>
          <w:sz w:val="22"/>
          <w:u w:val="single"/>
          <w:lang w:val="hu-HU"/>
        </w:rPr>
        <w:t>Klinikai vizsgálatok HES/</w:t>
      </w:r>
      <w:smartTag w:uri="urn:schemas-microsoft-com:office:smarttags" w:element="stockticker">
        <w:r w:rsidRPr="006D0F5F">
          <w:rPr>
            <w:b w:val="0"/>
            <w:caps w:val="0"/>
            <w:color w:val="000000"/>
            <w:sz w:val="22"/>
            <w:u w:val="single"/>
            <w:lang w:val="hu-HU"/>
          </w:rPr>
          <w:t>CEL</w:t>
        </w:r>
      </w:smartTag>
      <w:r w:rsidRPr="006D0F5F">
        <w:rPr>
          <w:b w:val="0"/>
          <w:caps w:val="0"/>
          <w:color w:val="000000"/>
          <w:sz w:val="22"/>
          <w:u w:val="single"/>
          <w:lang w:val="hu-HU"/>
        </w:rPr>
        <w:noBreakHyphen/>
        <w:t>ben</w:t>
      </w:r>
    </w:p>
    <w:p w14:paraId="3A8951CB" w14:textId="6D90A81B" w:rsidR="00910FC8" w:rsidRPr="00556B9B" w:rsidRDefault="00910FC8">
      <w:pPr>
        <w:rPr>
          <w:color w:val="000000"/>
          <w:lang w:val="hu-HU"/>
        </w:rPr>
      </w:pPr>
      <w:r w:rsidRPr="006D0F5F">
        <w:rPr>
          <w:color w:val="000000"/>
          <w:lang w:val="hu-HU"/>
        </w:rPr>
        <w:t>Egy nyílt, multicentrikus,</w:t>
      </w:r>
      <w:r w:rsidR="007C1956" w:rsidRPr="006D0F5F">
        <w:rPr>
          <w:color w:val="000000"/>
          <w:lang w:val="hu-HU"/>
        </w:rPr>
        <w:t xml:space="preserve"> </w:t>
      </w:r>
      <w:r w:rsidRPr="006D0F5F">
        <w:rPr>
          <w:color w:val="000000"/>
          <w:lang w:val="hu-HU"/>
        </w:rPr>
        <w:t>II</w:t>
      </w:r>
      <w:r w:rsidR="007C1956" w:rsidRPr="006D0F5F">
        <w:rPr>
          <w:color w:val="000000"/>
          <w:lang w:val="hu-HU"/>
        </w:rPr>
        <w:t>. fázisú</w:t>
      </w:r>
      <w:r w:rsidRPr="006D0F5F">
        <w:rPr>
          <w:color w:val="000000"/>
          <w:lang w:val="hu-HU"/>
        </w:rPr>
        <w:t xml:space="preserve"> klinikai vizsgálatban (B2225 vizsgálat) az Abl, Kit vagy PDGFR protein tirozinkinázokkal kapcsolatban álló életveszélyes betegségekben szenvedő betegek különféle populációiban vizsgálták a Glivec</w:t>
      </w:r>
      <w:r w:rsidRPr="006D0F5F">
        <w:rPr>
          <w:color w:val="000000"/>
          <w:lang w:val="hu-HU"/>
        </w:rPr>
        <w:noBreakHyphen/>
        <w:t>et. Az ezen</w:t>
      </w:r>
      <w:r w:rsidRPr="00556B9B">
        <w:rPr>
          <w:color w:val="000000"/>
          <w:lang w:val="hu-HU"/>
        </w:rPr>
        <w:t xml:space="preserve"> vizsgálatba bevont 14 HES/</w:t>
      </w:r>
      <w:smartTag w:uri="urn:schemas-microsoft-com:office:smarttags" w:element="stockticker">
        <w:r w:rsidRPr="00556B9B">
          <w:rPr>
            <w:color w:val="000000"/>
            <w:lang w:val="hu-HU"/>
          </w:rPr>
          <w:t>CEL</w:t>
        </w:r>
      </w:smartTag>
      <w:r w:rsidRPr="00556B9B">
        <w:rPr>
          <w:color w:val="000000"/>
          <w:lang w:val="hu-HU"/>
        </w:rPr>
        <w:noBreakHyphen/>
        <w:t>ben szenvedő beteg naponta 100</w:t>
      </w:r>
      <w:r w:rsidRPr="00556B9B">
        <w:rPr>
          <w:color w:val="000000"/>
          <w:lang w:val="hu-HU"/>
        </w:rPr>
        <w:noBreakHyphen/>
        <w:t>1000 mg adagban kapott Glivec</w:t>
      </w:r>
      <w:r w:rsidRPr="00556B9B">
        <w:rPr>
          <w:color w:val="000000"/>
          <w:lang w:val="hu-HU"/>
        </w:rPr>
        <w:noBreakHyphen/>
        <w:t>et. 35 publikált esettanulmányban és eset</w:t>
      </w:r>
      <w:r w:rsidRPr="00556B9B">
        <w:rPr>
          <w:color w:val="000000"/>
          <w:lang w:val="hu-HU"/>
        </w:rPr>
        <w:noBreakHyphen/>
        <w:t>sorozatban további 162 HES/</w:t>
      </w:r>
      <w:smartTag w:uri="urn:schemas-microsoft-com:office:smarttags" w:element="stockticker">
        <w:r w:rsidRPr="00556B9B">
          <w:rPr>
            <w:color w:val="000000"/>
            <w:lang w:val="hu-HU"/>
          </w:rPr>
          <w:t>CEL</w:t>
        </w:r>
      </w:smartTag>
      <w:r w:rsidRPr="00556B9B">
        <w:rPr>
          <w:color w:val="000000"/>
          <w:lang w:val="hu-HU"/>
        </w:rPr>
        <w:noBreakHyphen/>
        <w:t>ben szenvedő betegről számoltak be, akik naponta 75</w:t>
      </w:r>
      <w:r w:rsidRPr="00556B9B">
        <w:rPr>
          <w:color w:val="000000"/>
          <w:lang w:val="hu-HU"/>
        </w:rPr>
        <w:noBreakHyphen/>
        <w:t>800 mg adagban kaptak Glivec</w:t>
      </w:r>
      <w:r w:rsidRPr="00556B9B">
        <w:rPr>
          <w:color w:val="000000"/>
          <w:lang w:val="hu-HU"/>
        </w:rPr>
        <w:noBreakHyphen/>
        <w:t>et. Összesen 176 betegből 117 esetében vizsgálták a citogenetikai rendellenességeket. E 117 beteg közül 61 esetében mutatták ki a FIP1L1-PDGFR</w:t>
      </w:r>
      <w:r w:rsidRPr="00556B9B">
        <w:rPr>
          <w:color w:val="000000"/>
        </w:rPr>
        <w:t>α</w:t>
      </w:r>
      <w:r w:rsidRPr="00556B9B">
        <w:rPr>
          <w:color w:val="000000"/>
          <w:lang w:val="hu-HU"/>
        </w:rPr>
        <w:t xml:space="preserve"> fúziós kinázt. 3 másik publikációban további 4 FIP1L1-PDGFR</w:t>
      </w:r>
      <w:r w:rsidRPr="00556B9B">
        <w:rPr>
          <w:color w:val="000000"/>
        </w:rPr>
        <w:t>α</w:t>
      </w:r>
      <w:r w:rsidRPr="00556B9B">
        <w:rPr>
          <w:color w:val="000000"/>
          <w:lang w:val="hu-HU"/>
        </w:rPr>
        <w:t xml:space="preserve"> fúziós kináz pozitív, HES</w:t>
      </w:r>
      <w:r w:rsidRPr="00556B9B">
        <w:rPr>
          <w:color w:val="000000"/>
          <w:lang w:val="hu-HU"/>
        </w:rPr>
        <w:noBreakHyphen/>
        <w:t>ben szenvedő betegről számoltak be. Mind a 65 FIP1L1-PDGFR</w:t>
      </w:r>
      <w:r w:rsidRPr="00556B9B">
        <w:rPr>
          <w:color w:val="000000"/>
        </w:rPr>
        <w:t>α</w:t>
      </w:r>
      <w:r w:rsidRPr="00556B9B">
        <w:rPr>
          <w:color w:val="000000"/>
          <w:lang w:val="hu-HU"/>
        </w:rPr>
        <w:t xml:space="preserve"> fúziós kináz pozitív beteg teljes hematológiai választ ért el, amely hónapokig fennmaradt (1+</w:t>
      </w:r>
      <w:r w:rsidRPr="00556B9B">
        <w:rPr>
          <w:color w:val="000000"/>
          <w:lang w:val="hu-HU"/>
        </w:rPr>
        <w:noBreakHyphen/>
        <w:t>44+ hónap, a bejelentés időpontjakor cenzorálva). Amint arról egy utóbb megjelent publikációban beszámoltak, a 65 beteg közül 21 ért el teljes molekuláris remissziót átlagosan 28 hónapos (13</w:t>
      </w:r>
      <w:r w:rsidRPr="00556B9B">
        <w:rPr>
          <w:color w:val="000000"/>
          <w:lang w:val="hu-HU"/>
        </w:rPr>
        <w:noBreakHyphen/>
        <w:t>67 hónap) követési idő mellett. Ezen betegek életkora 25</w:t>
      </w:r>
      <w:r w:rsidRPr="00556B9B">
        <w:rPr>
          <w:color w:val="000000"/>
          <w:lang w:val="hu-HU"/>
        </w:rPr>
        <w:noBreakHyphen/>
        <w:t>72 év között volt. Az esettanulmányokban ezenkívül a vizsgálatvezetők a tünetegyüttes és az egyéb szervekben fellépett működési rendellenességek javulásáról számoltak be. Javulásról számoltak be az alábbi szervrendszerek tekintetében: idegrendszer, bőr/bőr alatti szövetek, légzőrendszer/mellkas/mediastinum, vázizom/kötőszövet/érrendszer és emésztőrendszer.</w:t>
      </w:r>
    </w:p>
    <w:p w14:paraId="4113B98E" w14:textId="77777777" w:rsidR="00910FC8" w:rsidRPr="00556B9B" w:rsidRDefault="00910FC8">
      <w:pPr>
        <w:pStyle w:val="Heading1"/>
        <w:numPr>
          <w:ilvl w:val="0"/>
          <w:numId w:val="0"/>
        </w:numPr>
        <w:spacing w:before="0" w:after="0" w:line="240" w:lineRule="auto"/>
        <w:rPr>
          <w:b w:val="0"/>
          <w:caps w:val="0"/>
          <w:color w:val="000000"/>
          <w:sz w:val="22"/>
          <w:u w:val="single"/>
          <w:lang w:val="hu-HU"/>
        </w:rPr>
      </w:pPr>
    </w:p>
    <w:p w14:paraId="2CC24A23" w14:textId="77777777" w:rsidR="009537CF" w:rsidRPr="006D0F5F" w:rsidRDefault="009537CF" w:rsidP="009537CF">
      <w:pPr>
        <w:pStyle w:val="Text"/>
        <w:spacing w:before="0"/>
        <w:jc w:val="left"/>
        <w:rPr>
          <w:color w:val="000000"/>
          <w:sz w:val="22"/>
          <w:szCs w:val="22"/>
          <w:lang w:val="hu-HU"/>
        </w:rPr>
      </w:pPr>
      <w:r w:rsidRPr="00556B9B">
        <w:rPr>
          <w:rStyle w:val="WW8Num3z0"/>
          <w:color w:val="000000"/>
          <w:sz w:val="22"/>
          <w:lang w:val="hu-HU"/>
        </w:rPr>
        <w:t>HES/CEL</w:t>
      </w:r>
      <w:r w:rsidRPr="00556B9B">
        <w:rPr>
          <w:rStyle w:val="WW8Num3z0"/>
          <w:color w:val="000000"/>
          <w:sz w:val="22"/>
          <w:lang w:val="hu-HU"/>
        </w:rPr>
        <w:noBreakHyphen/>
        <w:t xml:space="preserve">ben szenvedő gyermekgyógyászati betegekkel nincsenek kontrollos vizsgálatok. Három publikációban </w:t>
      </w:r>
      <w:r w:rsidR="000A4928" w:rsidRPr="00556B9B">
        <w:rPr>
          <w:rStyle w:val="WW8Num3z0"/>
          <w:color w:val="000000"/>
          <w:sz w:val="22"/>
          <w:lang w:val="hu-HU"/>
        </w:rPr>
        <w:t>három (</w:t>
      </w:r>
      <w:r w:rsidRPr="00556B9B">
        <w:rPr>
          <w:rStyle w:val="WW8Num3z0"/>
          <w:color w:val="000000"/>
          <w:sz w:val="22"/>
          <w:lang w:val="hu-HU"/>
        </w:rPr>
        <w:t>3</w:t>
      </w:r>
      <w:r w:rsidR="000A4928" w:rsidRPr="00556B9B">
        <w:rPr>
          <w:rStyle w:val="WW8Num3z0"/>
          <w:color w:val="000000"/>
          <w:sz w:val="22"/>
          <w:lang w:val="hu-HU"/>
        </w:rPr>
        <w:t>)</w:t>
      </w:r>
      <w:r w:rsidRPr="00556B9B">
        <w:rPr>
          <w:rStyle w:val="WW8Num3z0"/>
          <w:color w:val="000000"/>
          <w:sz w:val="22"/>
          <w:lang w:val="hu-HU"/>
        </w:rPr>
        <w:t>, PDGFR</w:t>
      </w:r>
      <w:r w:rsidRPr="00556B9B">
        <w:rPr>
          <w:rStyle w:val="WW8Num3z0"/>
          <w:color w:val="000000"/>
          <w:sz w:val="22"/>
          <w:lang w:val="hu-HU"/>
        </w:rPr>
        <w:noBreakHyphen/>
        <w:t>rel társult, HES</w:t>
      </w:r>
      <w:r w:rsidRPr="00556B9B">
        <w:rPr>
          <w:rStyle w:val="WW8Num3z0"/>
          <w:color w:val="000000"/>
          <w:sz w:val="22"/>
          <w:lang w:val="hu-HU"/>
        </w:rPr>
        <w:noBreakHyphen/>
        <w:t>ben és CEL</w:t>
      </w:r>
      <w:r w:rsidRPr="00556B9B">
        <w:rPr>
          <w:rStyle w:val="WW8Num3z0"/>
          <w:color w:val="000000"/>
          <w:sz w:val="22"/>
          <w:lang w:val="hu-HU"/>
        </w:rPr>
        <w:noBreakHyphen/>
        <w:t>ben szenvedő betegnél génátrendeződésről számoltak be. Eze</w:t>
      </w:r>
      <w:r w:rsidR="00251472" w:rsidRPr="00556B9B">
        <w:rPr>
          <w:rStyle w:val="WW8Num3z0"/>
          <w:color w:val="000000"/>
          <w:sz w:val="22"/>
          <w:lang w:val="hu-HU"/>
        </w:rPr>
        <w:t>n</w:t>
      </w:r>
      <w:r w:rsidRPr="00556B9B">
        <w:rPr>
          <w:rStyle w:val="WW8Num3z0"/>
          <w:color w:val="000000"/>
          <w:sz w:val="22"/>
          <w:lang w:val="hu-HU"/>
        </w:rPr>
        <w:t xml:space="preserve"> betegek életkora 2 és 16 év közé esett, és az imatinibet </w:t>
      </w:r>
      <w:r w:rsidR="000A4928" w:rsidRPr="00556B9B">
        <w:rPr>
          <w:rStyle w:val="WW8Num3z0"/>
          <w:color w:val="000000"/>
          <w:sz w:val="22"/>
          <w:lang w:val="hu-HU"/>
        </w:rPr>
        <w:t>napi 300 mg/m</w:t>
      </w:r>
      <w:r w:rsidR="000A4928" w:rsidRPr="00556B9B">
        <w:rPr>
          <w:rStyle w:val="WW8Num3z0"/>
          <w:color w:val="000000"/>
          <w:sz w:val="22"/>
          <w:vertAlign w:val="superscript"/>
          <w:lang w:val="hu-HU"/>
        </w:rPr>
        <w:t>2</w:t>
      </w:r>
      <w:r w:rsidR="000A4928" w:rsidRPr="00556B9B">
        <w:rPr>
          <w:rStyle w:val="WW8Num3z0"/>
          <w:color w:val="000000"/>
          <w:sz w:val="22"/>
          <w:lang w:val="hu-HU"/>
        </w:rPr>
        <w:noBreakHyphen/>
        <w:t xml:space="preserve">es dózisban vagy </w:t>
      </w:r>
      <w:r w:rsidRPr="00556B9B">
        <w:rPr>
          <w:rStyle w:val="WW8Num3z0"/>
          <w:color w:val="000000"/>
          <w:sz w:val="22"/>
          <w:lang w:val="hu-HU"/>
        </w:rPr>
        <w:t>napi 200</w:t>
      </w:r>
      <w:r w:rsidRPr="00556B9B">
        <w:rPr>
          <w:rStyle w:val="WW8Num3z0"/>
          <w:color w:val="000000"/>
          <w:sz w:val="22"/>
          <w:lang w:val="hu-HU"/>
        </w:rPr>
        <w:noBreakHyphen/>
        <w:t xml:space="preserve">400 mg közötti </w:t>
      </w:r>
      <w:r w:rsidR="000A4928" w:rsidRPr="00556B9B">
        <w:rPr>
          <w:rStyle w:val="WW8Num3z0"/>
          <w:color w:val="000000"/>
          <w:sz w:val="22"/>
          <w:lang w:val="hu-HU"/>
        </w:rPr>
        <w:t>dózisokban</w:t>
      </w:r>
      <w:r w:rsidRPr="00556B9B">
        <w:rPr>
          <w:rStyle w:val="WW8Num3z0"/>
          <w:color w:val="000000"/>
          <w:sz w:val="22"/>
          <w:lang w:val="hu-HU"/>
        </w:rPr>
        <w:t xml:space="preserve"> </w:t>
      </w:r>
      <w:r w:rsidR="00251472" w:rsidRPr="00556B9B">
        <w:rPr>
          <w:rStyle w:val="WW8Num3z0"/>
          <w:color w:val="000000"/>
          <w:sz w:val="22"/>
          <w:lang w:val="hu-HU"/>
        </w:rPr>
        <w:t>kapták</w:t>
      </w:r>
      <w:r w:rsidRPr="00556B9B">
        <w:rPr>
          <w:rStyle w:val="WW8Num3z0"/>
          <w:color w:val="000000"/>
          <w:sz w:val="22"/>
          <w:lang w:val="hu-HU"/>
        </w:rPr>
        <w:t xml:space="preserve">. Minden beteg teljes hematológiai választ, teljes cytogenetikai választ és/vagy teljes </w:t>
      </w:r>
      <w:r w:rsidRPr="006D0F5F">
        <w:rPr>
          <w:rStyle w:val="WW8Num3z0"/>
          <w:color w:val="000000"/>
          <w:sz w:val="22"/>
          <w:lang w:val="hu-HU"/>
        </w:rPr>
        <w:t>molekuláris választ ért el.</w:t>
      </w:r>
    </w:p>
    <w:p w14:paraId="34A2FA7B" w14:textId="77777777" w:rsidR="009537CF" w:rsidRPr="006D0F5F" w:rsidRDefault="009537CF" w:rsidP="009537CF">
      <w:pPr>
        <w:rPr>
          <w:lang w:val="hu-HU"/>
        </w:rPr>
      </w:pPr>
    </w:p>
    <w:p w14:paraId="6B700B63" w14:textId="77777777" w:rsidR="00D37E84" w:rsidRPr="006D0F5F" w:rsidRDefault="00D37E84" w:rsidP="005C6E7A">
      <w:pPr>
        <w:pStyle w:val="Heading1"/>
        <w:keepNext/>
        <w:numPr>
          <w:ilvl w:val="0"/>
          <w:numId w:val="0"/>
        </w:numPr>
        <w:spacing w:before="0" w:after="0" w:line="240" w:lineRule="auto"/>
        <w:rPr>
          <w:b w:val="0"/>
          <w:caps w:val="0"/>
          <w:color w:val="000000"/>
          <w:sz w:val="22"/>
          <w:u w:val="single"/>
          <w:lang w:val="hu-HU"/>
        </w:rPr>
      </w:pPr>
      <w:r w:rsidRPr="006D0F5F">
        <w:rPr>
          <w:b w:val="0"/>
          <w:caps w:val="0"/>
          <w:color w:val="000000"/>
          <w:sz w:val="22"/>
          <w:u w:val="single"/>
          <w:lang w:val="hu-HU"/>
        </w:rPr>
        <w:t xml:space="preserve">Klinikai vizsgálatok </w:t>
      </w:r>
      <w:r w:rsidRPr="006D0F5F">
        <w:rPr>
          <w:b w:val="0"/>
          <w:caps w:val="0"/>
          <w:color w:val="000000"/>
          <w:sz w:val="22"/>
          <w:szCs w:val="22"/>
          <w:u w:val="single"/>
          <w:lang w:val="hu-HU"/>
        </w:rPr>
        <w:t>nem reszekábilis és/vagy metasztatikus</w:t>
      </w:r>
      <w:r w:rsidRPr="006D0F5F">
        <w:rPr>
          <w:b w:val="0"/>
          <w:caps w:val="0"/>
          <w:color w:val="000000"/>
          <w:u w:val="single"/>
          <w:lang w:val="hu-HU"/>
        </w:rPr>
        <w:t xml:space="preserve"> </w:t>
      </w:r>
      <w:r w:rsidRPr="006D0F5F">
        <w:rPr>
          <w:b w:val="0"/>
          <w:caps w:val="0"/>
          <w:color w:val="000000"/>
          <w:sz w:val="22"/>
          <w:u w:val="single"/>
          <w:lang w:val="hu-HU"/>
        </w:rPr>
        <w:t>GIST</w:t>
      </w:r>
      <w:r w:rsidRPr="006D0F5F">
        <w:rPr>
          <w:b w:val="0"/>
          <w:caps w:val="0"/>
          <w:color w:val="000000"/>
          <w:sz w:val="22"/>
          <w:u w:val="single"/>
          <w:lang w:val="hu-HU"/>
        </w:rPr>
        <w:noBreakHyphen/>
        <w:t>ben</w:t>
      </w:r>
    </w:p>
    <w:p w14:paraId="4471B27A" w14:textId="32E8144A" w:rsidR="00910FC8" w:rsidRPr="00556B9B" w:rsidRDefault="00910FC8">
      <w:pPr>
        <w:spacing w:line="240" w:lineRule="auto"/>
        <w:rPr>
          <w:color w:val="000000"/>
          <w:lang w:val="hu-HU"/>
        </w:rPr>
      </w:pPr>
      <w:r w:rsidRPr="006D0F5F">
        <w:rPr>
          <w:color w:val="000000"/>
          <w:lang w:val="hu-HU"/>
        </w:rPr>
        <w:t>Egy nyílt, randomizált, nem kontrollos, nemzetközi II.</w:t>
      </w:r>
      <w:r w:rsidR="007C1956" w:rsidRPr="006D0F5F">
        <w:rPr>
          <w:color w:val="000000"/>
          <w:lang w:val="hu-HU"/>
        </w:rPr>
        <w:t xml:space="preserve"> fázisú</w:t>
      </w:r>
      <w:r w:rsidRPr="006D0F5F">
        <w:rPr>
          <w:color w:val="000000"/>
          <w:lang w:val="hu-HU"/>
        </w:rPr>
        <w:t xml:space="preserve"> vizsgálat történt</w:t>
      </w:r>
      <w:r w:rsidRPr="00556B9B">
        <w:rPr>
          <w:color w:val="000000"/>
          <w:lang w:val="hu-HU"/>
        </w:rPr>
        <w:t xml:space="preserve"> nem-operábilis vagy metasztatizáló malignus gastrointestinalis stromalis tumorban (GIST</w:t>
      </w:r>
      <w:r w:rsidRPr="00556B9B">
        <w:rPr>
          <w:color w:val="000000"/>
          <w:lang w:val="hu-HU"/>
        </w:rPr>
        <w:noBreakHyphen/>
        <w:t>ben) szenvedő betegek bevonásával. 147 beteget válogattak be a vizsgálatba, és a randomizációt követően napi egyszer 400 vagy 600 mg Glivec</w:t>
      </w:r>
      <w:r w:rsidRPr="00556B9B">
        <w:rPr>
          <w:color w:val="000000"/>
          <w:lang w:val="hu-HU"/>
        </w:rPr>
        <w:noBreakHyphen/>
        <w:t xml:space="preserve">et kaptak </w:t>
      </w:r>
      <w:r w:rsidRPr="00556B9B">
        <w:rPr>
          <w:i/>
          <w:color w:val="000000"/>
          <w:lang w:val="hu-HU"/>
        </w:rPr>
        <w:t>per os</w:t>
      </w:r>
      <w:r w:rsidRPr="00556B9B">
        <w:rPr>
          <w:color w:val="000000"/>
          <w:lang w:val="hu-HU"/>
        </w:rPr>
        <w:t>, 36 hónapig. Ezen betegek életkora 18</w:t>
      </w:r>
      <w:r w:rsidRPr="00556B9B">
        <w:rPr>
          <w:color w:val="000000"/>
          <w:lang w:val="hu-HU"/>
        </w:rPr>
        <w:noBreakHyphen/>
        <w:t>tól 83 év közötti, kórszövettani diagnózisuk Kit</w:t>
      </w:r>
      <w:r w:rsidRPr="00556B9B">
        <w:rPr>
          <w:color w:val="000000"/>
          <w:lang w:val="hu-HU"/>
        </w:rPr>
        <w:noBreakHyphen/>
        <w:t>pozitív malignus GIST volt, mely inoperábilis és/vagy metasztatikus volt.</w:t>
      </w:r>
    </w:p>
    <w:p w14:paraId="58D8C02B" w14:textId="77777777" w:rsidR="00910FC8" w:rsidRPr="00556B9B" w:rsidRDefault="00910FC8">
      <w:pPr>
        <w:spacing w:line="240" w:lineRule="auto"/>
        <w:rPr>
          <w:color w:val="000000"/>
          <w:lang w:val="hu-HU"/>
        </w:rPr>
      </w:pPr>
      <w:r w:rsidRPr="00556B9B">
        <w:rPr>
          <w:color w:val="000000"/>
          <w:lang w:val="hu-HU"/>
        </w:rPr>
        <w:lastRenderedPageBreak/>
        <w:t>Az immunhisztokémiai vizsgálatuk rutinszerűen Kit antitesttel történt (A</w:t>
      </w:r>
      <w:r w:rsidRPr="00556B9B">
        <w:rPr>
          <w:color w:val="000000"/>
          <w:lang w:val="hu-HU"/>
        </w:rPr>
        <w:noBreakHyphen/>
        <w:t>4502, nyúl polyclonalis antiszérum, 1:100; DAKO Corporation, Carpinteria, CA), antigen visszanyeréses avidin</w:t>
      </w:r>
      <w:r w:rsidRPr="00556B9B">
        <w:rPr>
          <w:color w:val="000000"/>
          <w:lang w:val="hu-HU"/>
        </w:rPr>
        <w:noBreakHyphen/>
        <w:t>biotin</w:t>
      </w:r>
      <w:r w:rsidRPr="00556B9B">
        <w:rPr>
          <w:color w:val="000000"/>
          <w:lang w:val="hu-HU"/>
        </w:rPr>
        <w:noBreakHyphen/>
        <w:t>peroxidáz komplex módszerrel történő vizsgálat szerint.</w:t>
      </w:r>
    </w:p>
    <w:p w14:paraId="0E512743" w14:textId="77777777" w:rsidR="00910FC8" w:rsidRPr="00556B9B" w:rsidRDefault="00910FC8">
      <w:pPr>
        <w:spacing w:line="240" w:lineRule="auto"/>
        <w:rPr>
          <w:color w:val="000000"/>
          <w:lang w:val="hu-HU"/>
        </w:rPr>
      </w:pPr>
    </w:p>
    <w:p w14:paraId="5A5BEF8F" w14:textId="77777777" w:rsidR="00910FC8" w:rsidRPr="00556B9B" w:rsidRDefault="00910FC8">
      <w:pPr>
        <w:spacing w:line="240" w:lineRule="auto"/>
        <w:rPr>
          <w:color w:val="000000"/>
          <w:lang w:val="hu-HU"/>
        </w:rPr>
      </w:pPr>
      <w:r w:rsidRPr="00556B9B">
        <w:rPr>
          <w:color w:val="000000"/>
          <w:lang w:val="hu-HU"/>
        </w:rPr>
        <w:t xml:space="preserve">Az objektív terápiás válasz volt a hatékonyság elsődleges bizonyítéka. A daganatnak legalább egy helyen mérhetőnek kellett lennie. A terápiás válaszokat a Southwestern Oncology Group (SWOG) kritériumok alapján mérték. Az eredményeket a </w:t>
      </w:r>
      <w:r w:rsidR="00053E70" w:rsidRPr="00556B9B">
        <w:rPr>
          <w:color w:val="000000"/>
          <w:lang w:val="hu-HU"/>
        </w:rPr>
        <w:t>6</w:t>
      </w:r>
      <w:r w:rsidRPr="00556B9B">
        <w:rPr>
          <w:color w:val="000000"/>
          <w:lang w:val="hu-HU"/>
        </w:rPr>
        <w:t>. táblázat mutatja be.</w:t>
      </w:r>
    </w:p>
    <w:p w14:paraId="14021FF6" w14:textId="77777777" w:rsidR="00910FC8" w:rsidRPr="00556B9B" w:rsidRDefault="00910FC8">
      <w:pPr>
        <w:spacing w:line="240" w:lineRule="auto"/>
        <w:rPr>
          <w:color w:val="000000"/>
          <w:lang w:val="hu-HU"/>
        </w:rPr>
      </w:pPr>
    </w:p>
    <w:p w14:paraId="3090E022" w14:textId="77777777" w:rsidR="00910FC8" w:rsidRPr="00556B9B" w:rsidRDefault="00053E70" w:rsidP="005C6E7A">
      <w:pPr>
        <w:keepNext/>
        <w:tabs>
          <w:tab w:val="left" w:pos="1134"/>
        </w:tabs>
        <w:spacing w:line="240" w:lineRule="auto"/>
        <w:rPr>
          <w:b/>
          <w:color w:val="000000"/>
          <w:lang w:val="hu-HU"/>
        </w:rPr>
      </w:pPr>
      <w:r w:rsidRPr="00556B9B">
        <w:rPr>
          <w:b/>
          <w:color w:val="000000"/>
          <w:lang w:val="hu-HU"/>
        </w:rPr>
        <w:t>6</w:t>
      </w:r>
      <w:r w:rsidR="00910FC8" w:rsidRPr="00556B9B">
        <w:rPr>
          <w:b/>
          <w:color w:val="000000"/>
          <w:lang w:val="hu-HU"/>
        </w:rPr>
        <w:t>. táblázat</w:t>
      </w:r>
      <w:r w:rsidR="00910FC8" w:rsidRPr="00556B9B">
        <w:rPr>
          <w:b/>
          <w:color w:val="000000"/>
          <w:lang w:val="hu-HU"/>
        </w:rPr>
        <w:tab/>
        <w:t>A legjobb tumorválasz az STIB2222 vizsgálatban (GIST)</w:t>
      </w:r>
    </w:p>
    <w:p w14:paraId="40F341EE" w14:textId="77777777" w:rsidR="00910FC8" w:rsidRPr="00556B9B" w:rsidRDefault="00910FC8" w:rsidP="005C6E7A">
      <w:pPr>
        <w:pStyle w:val="EndnoteText"/>
        <w:keepNext/>
        <w:widowControl w:val="0"/>
        <w:rPr>
          <w:color w:val="00000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910FC8" w:rsidRPr="00556B9B" w14:paraId="1B86EA2E" w14:textId="77777777" w:rsidTr="005C6E7A">
        <w:trPr>
          <w:cantSplit/>
        </w:trPr>
        <w:tc>
          <w:tcPr>
            <w:tcW w:w="4643" w:type="dxa"/>
            <w:tcBorders>
              <w:left w:val="nil"/>
              <w:bottom w:val="single" w:sz="4" w:space="0" w:color="auto"/>
              <w:right w:val="nil"/>
            </w:tcBorders>
          </w:tcPr>
          <w:p w14:paraId="4F352F89" w14:textId="77777777" w:rsidR="00910FC8" w:rsidRPr="00556B9B" w:rsidRDefault="00910FC8" w:rsidP="005C6E7A">
            <w:pPr>
              <w:pStyle w:val="EndnoteText"/>
              <w:keepNext/>
              <w:widowControl w:val="0"/>
              <w:rPr>
                <w:color w:val="000000"/>
                <w:lang w:val="hu-HU"/>
              </w:rPr>
            </w:pPr>
          </w:p>
          <w:p w14:paraId="466D8013" w14:textId="77777777" w:rsidR="00910FC8" w:rsidRPr="00556B9B" w:rsidRDefault="00910FC8" w:rsidP="005C6E7A">
            <w:pPr>
              <w:pStyle w:val="EndnoteText"/>
              <w:keepNext/>
              <w:widowControl w:val="0"/>
              <w:rPr>
                <w:color w:val="000000"/>
                <w:lang w:val="hu-HU"/>
              </w:rPr>
            </w:pPr>
          </w:p>
          <w:p w14:paraId="71D7228E" w14:textId="77777777" w:rsidR="00910FC8" w:rsidRPr="00556B9B" w:rsidRDefault="00910FC8" w:rsidP="005C6E7A">
            <w:pPr>
              <w:pStyle w:val="EndnoteText"/>
              <w:keepNext/>
              <w:widowControl w:val="0"/>
              <w:rPr>
                <w:color w:val="000000"/>
                <w:lang w:val="hu-HU"/>
              </w:rPr>
            </w:pPr>
          </w:p>
          <w:p w14:paraId="655590A1" w14:textId="77777777" w:rsidR="00910FC8" w:rsidRPr="00556B9B" w:rsidRDefault="00910FC8" w:rsidP="005C6E7A">
            <w:pPr>
              <w:pStyle w:val="EndnoteText"/>
              <w:keepNext/>
              <w:widowControl w:val="0"/>
              <w:rPr>
                <w:color w:val="000000"/>
                <w:lang w:val="hu-HU"/>
              </w:rPr>
            </w:pPr>
            <w:r w:rsidRPr="00556B9B">
              <w:rPr>
                <w:color w:val="000000"/>
                <w:lang w:val="hu-HU"/>
              </w:rPr>
              <w:t>A legjobb válasz</w:t>
            </w:r>
          </w:p>
        </w:tc>
        <w:tc>
          <w:tcPr>
            <w:tcW w:w="4643" w:type="dxa"/>
            <w:tcBorders>
              <w:left w:val="nil"/>
              <w:bottom w:val="single" w:sz="4" w:space="0" w:color="auto"/>
              <w:right w:val="nil"/>
            </w:tcBorders>
          </w:tcPr>
          <w:p w14:paraId="1E9A51D3" w14:textId="77777777" w:rsidR="00910FC8" w:rsidRPr="00556B9B" w:rsidRDefault="00910FC8" w:rsidP="005C6E7A">
            <w:pPr>
              <w:pStyle w:val="EndnoteText"/>
              <w:keepNext/>
              <w:widowControl w:val="0"/>
              <w:jc w:val="center"/>
              <w:rPr>
                <w:color w:val="000000"/>
                <w:lang w:val="hu-HU"/>
              </w:rPr>
            </w:pPr>
            <w:r w:rsidRPr="00556B9B">
              <w:rPr>
                <w:color w:val="000000"/>
                <w:lang w:val="hu-HU"/>
              </w:rPr>
              <w:t>Minden dózis (n = 147)</w:t>
            </w:r>
          </w:p>
          <w:p w14:paraId="2141BD42" w14:textId="77777777" w:rsidR="00910FC8" w:rsidRPr="00556B9B" w:rsidRDefault="00910FC8" w:rsidP="005C6E7A">
            <w:pPr>
              <w:pStyle w:val="EndnoteText"/>
              <w:keepNext/>
              <w:widowControl w:val="0"/>
              <w:jc w:val="center"/>
              <w:rPr>
                <w:color w:val="000000"/>
                <w:lang w:val="hu-HU"/>
              </w:rPr>
            </w:pPr>
            <w:r w:rsidRPr="00556B9B">
              <w:rPr>
                <w:color w:val="000000"/>
                <w:lang w:val="hu-HU"/>
              </w:rPr>
              <w:t>400 mg (n = 73)</w:t>
            </w:r>
          </w:p>
          <w:p w14:paraId="720649E4" w14:textId="77777777" w:rsidR="00910FC8" w:rsidRPr="00556B9B" w:rsidRDefault="00910FC8" w:rsidP="005C6E7A">
            <w:pPr>
              <w:pStyle w:val="EndnoteText"/>
              <w:keepNext/>
              <w:widowControl w:val="0"/>
              <w:jc w:val="center"/>
              <w:rPr>
                <w:color w:val="000000"/>
                <w:lang w:val="hu-HU"/>
              </w:rPr>
            </w:pPr>
            <w:r w:rsidRPr="00556B9B">
              <w:rPr>
                <w:color w:val="000000"/>
                <w:lang w:val="hu-HU"/>
              </w:rPr>
              <w:t>600 mg (n = 74)</w:t>
            </w:r>
          </w:p>
          <w:p w14:paraId="764DA384" w14:textId="77777777" w:rsidR="00910FC8" w:rsidRPr="00556B9B" w:rsidRDefault="00910FC8" w:rsidP="005C6E7A">
            <w:pPr>
              <w:pStyle w:val="EndnoteText"/>
              <w:keepNext/>
              <w:widowControl w:val="0"/>
              <w:jc w:val="center"/>
              <w:rPr>
                <w:color w:val="000000"/>
                <w:lang w:val="hu-HU"/>
              </w:rPr>
            </w:pPr>
            <w:r w:rsidRPr="00556B9B">
              <w:rPr>
                <w:color w:val="000000"/>
                <w:lang w:val="hu-HU"/>
              </w:rPr>
              <w:t>n (%)</w:t>
            </w:r>
          </w:p>
        </w:tc>
      </w:tr>
      <w:tr w:rsidR="00910FC8" w:rsidRPr="00556B9B" w14:paraId="57EE287F" w14:textId="77777777" w:rsidTr="005C6E7A">
        <w:trPr>
          <w:cantSplit/>
        </w:trPr>
        <w:tc>
          <w:tcPr>
            <w:tcW w:w="4643" w:type="dxa"/>
            <w:tcBorders>
              <w:top w:val="nil"/>
              <w:left w:val="nil"/>
              <w:bottom w:val="nil"/>
              <w:right w:val="nil"/>
            </w:tcBorders>
          </w:tcPr>
          <w:p w14:paraId="21D2977E" w14:textId="77777777" w:rsidR="00910FC8" w:rsidRPr="00556B9B" w:rsidRDefault="00910FC8" w:rsidP="005C6E7A">
            <w:pPr>
              <w:pStyle w:val="EndnoteText"/>
              <w:keepNext/>
              <w:widowControl w:val="0"/>
              <w:rPr>
                <w:color w:val="000000"/>
                <w:lang w:val="hu-HU"/>
              </w:rPr>
            </w:pPr>
            <w:r w:rsidRPr="00556B9B">
              <w:rPr>
                <w:color w:val="000000"/>
                <w:lang w:val="hu-HU"/>
              </w:rPr>
              <w:t>Komplett válasz</w:t>
            </w:r>
          </w:p>
        </w:tc>
        <w:tc>
          <w:tcPr>
            <w:tcW w:w="4643" w:type="dxa"/>
            <w:tcBorders>
              <w:top w:val="nil"/>
              <w:left w:val="nil"/>
              <w:bottom w:val="nil"/>
              <w:right w:val="nil"/>
            </w:tcBorders>
          </w:tcPr>
          <w:p w14:paraId="270A79C4" w14:textId="77777777" w:rsidR="00910FC8" w:rsidRPr="00556B9B" w:rsidRDefault="00910FC8" w:rsidP="005C6E7A">
            <w:pPr>
              <w:pStyle w:val="EndnoteText"/>
              <w:keepNext/>
              <w:widowControl w:val="0"/>
              <w:jc w:val="center"/>
              <w:rPr>
                <w:color w:val="000000"/>
                <w:lang w:val="hu-HU"/>
              </w:rPr>
            </w:pPr>
            <w:r w:rsidRPr="00556B9B">
              <w:rPr>
                <w:color w:val="000000"/>
                <w:lang w:val="hu-HU"/>
              </w:rPr>
              <w:t>1 (0,7)</w:t>
            </w:r>
          </w:p>
        </w:tc>
      </w:tr>
      <w:tr w:rsidR="00910FC8" w:rsidRPr="00556B9B" w14:paraId="24CE8AD0" w14:textId="77777777" w:rsidTr="005C6E7A">
        <w:trPr>
          <w:cantSplit/>
        </w:trPr>
        <w:tc>
          <w:tcPr>
            <w:tcW w:w="4643" w:type="dxa"/>
            <w:tcBorders>
              <w:top w:val="nil"/>
              <w:left w:val="nil"/>
              <w:bottom w:val="nil"/>
              <w:right w:val="nil"/>
            </w:tcBorders>
          </w:tcPr>
          <w:p w14:paraId="6694773C" w14:textId="77777777" w:rsidR="00910FC8" w:rsidRPr="00556B9B" w:rsidRDefault="00910FC8" w:rsidP="005C6E7A">
            <w:pPr>
              <w:pStyle w:val="EndnoteText"/>
              <w:keepNext/>
              <w:widowControl w:val="0"/>
              <w:rPr>
                <w:color w:val="000000"/>
                <w:lang w:val="hu-HU"/>
              </w:rPr>
            </w:pPr>
            <w:r w:rsidRPr="00556B9B">
              <w:rPr>
                <w:color w:val="000000"/>
                <w:lang w:val="hu-HU"/>
              </w:rPr>
              <w:t>Részleges válasz</w:t>
            </w:r>
          </w:p>
        </w:tc>
        <w:tc>
          <w:tcPr>
            <w:tcW w:w="4643" w:type="dxa"/>
            <w:tcBorders>
              <w:top w:val="nil"/>
              <w:left w:val="nil"/>
              <w:bottom w:val="nil"/>
              <w:right w:val="nil"/>
            </w:tcBorders>
          </w:tcPr>
          <w:p w14:paraId="68AF3699" w14:textId="77777777" w:rsidR="00910FC8" w:rsidRPr="00556B9B" w:rsidRDefault="00910FC8" w:rsidP="005C6E7A">
            <w:pPr>
              <w:pStyle w:val="EndnoteText"/>
              <w:keepNext/>
              <w:widowControl w:val="0"/>
              <w:jc w:val="center"/>
              <w:rPr>
                <w:color w:val="000000"/>
                <w:lang w:val="hu-HU"/>
              </w:rPr>
            </w:pPr>
            <w:r w:rsidRPr="00556B9B">
              <w:rPr>
                <w:color w:val="000000"/>
                <w:lang w:val="hu-HU"/>
              </w:rPr>
              <w:t>98 (66,7)</w:t>
            </w:r>
          </w:p>
        </w:tc>
      </w:tr>
      <w:tr w:rsidR="00910FC8" w:rsidRPr="00556B9B" w14:paraId="6335EBE3" w14:textId="77777777" w:rsidTr="005C6E7A">
        <w:trPr>
          <w:cantSplit/>
        </w:trPr>
        <w:tc>
          <w:tcPr>
            <w:tcW w:w="4643" w:type="dxa"/>
            <w:tcBorders>
              <w:top w:val="nil"/>
              <w:left w:val="nil"/>
              <w:bottom w:val="nil"/>
              <w:right w:val="nil"/>
            </w:tcBorders>
          </w:tcPr>
          <w:p w14:paraId="22B01160" w14:textId="77777777" w:rsidR="00910FC8" w:rsidRPr="00556B9B" w:rsidRDefault="00910FC8" w:rsidP="005C6E7A">
            <w:pPr>
              <w:pStyle w:val="EndnoteText"/>
              <w:keepNext/>
              <w:widowControl w:val="0"/>
              <w:rPr>
                <w:color w:val="000000"/>
                <w:lang w:val="hu-HU"/>
              </w:rPr>
            </w:pPr>
            <w:r w:rsidRPr="00556B9B">
              <w:rPr>
                <w:color w:val="000000"/>
                <w:lang w:val="hu-HU"/>
              </w:rPr>
              <w:t>Stabil betegség</w:t>
            </w:r>
          </w:p>
        </w:tc>
        <w:tc>
          <w:tcPr>
            <w:tcW w:w="4643" w:type="dxa"/>
            <w:tcBorders>
              <w:top w:val="nil"/>
              <w:left w:val="nil"/>
              <w:bottom w:val="nil"/>
              <w:right w:val="nil"/>
            </w:tcBorders>
          </w:tcPr>
          <w:p w14:paraId="5797521C" w14:textId="77777777" w:rsidR="00910FC8" w:rsidRPr="00556B9B" w:rsidRDefault="00910FC8" w:rsidP="005C6E7A">
            <w:pPr>
              <w:pStyle w:val="EndnoteText"/>
              <w:keepNext/>
              <w:widowControl w:val="0"/>
              <w:jc w:val="center"/>
              <w:rPr>
                <w:color w:val="000000"/>
                <w:lang w:val="hu-HU"/>
              </w:rPr>
            </w:pPr>
            <w:r w:rsidRPr="00556B9B">
              <w:rPr>
                <w:color w:val="000000"/>
                <w:lang w:val="hu-HU"/>
              </w:rPr>
              <w:t>23 (15,6)</w:t>
            </w:r>
          </w:p>
        </w:tc>
      </w:tr>
      <w:tr w:rsidR="00910FC8" w:rsidRPr="00556B9B" w14:paraId="20F13CDE" w14:textId="77777777" w:rsidTr="005C6E7A">
        <w:trPr>
          <w:cantSplit/>
        </w:trPr>
        <w:tc>
          <w:tcPr>
            <w:tcW w:w="4643" w:type="dxa"/>
            <w:tcBorders>
              <w:top w:val="nil"/>
              <w:left w:val="nil"/>
              <w:bottom w:val="nil"/>
              <w:right w:val="nil"/>
            </w:tcBorders>
          </w:tcPr>
          <w:p w14:paraId="26A75D00" w14:textId="77777777" w:rsidR="00910FC8" w:rsidRPr="00556B9B" w:rsidRDefault="00910FC8" w:rsidP="005C6E7A">
            <w:pPr>
              <w:pStyle w:val="EndnoteText"/>
              <w:keepNext/>
              <w:widowControl w:val="0"/>
              <w:rPr>
                <w:color w:val="000000"/>
                <w:lang w:val="hu-HU"/>
              </w:rPr>
            </w:pPr>
            <w:r w:rsidRPr="00556B9B">
              <w:rPr>
                <w:color w:val="000000"/>
                <w:lang w:val="hu-HU"/>
              </w:rPr>
              <w:t>Progresszív betegség</w:t>
            </w:r>
          </w:p>
        </w:tc>
        <w:tc>
          <w:tcPr>
            <w:tcW w:w="4643" w:type="dxa"/>
            <w:tcBorders>
              <w:top w:val="nil"/>
              <w:left w:val="nil"/>
              <w:bottom w:val="nil"/>
              <w:right w:val="nil"/>
            </w:tcBorders>
          </w:tcPr>
          <w:p w14:paraId="7DA7944D" w14:textId="77777777" w:rsidR="00910FC8" w:rsidRPr="00556B9B" w:rsidRDefault="00910FC8" w:rsidP="005C6E7A">
            <w:pPr>
              <w:pStyle w:val="EndnoteText"/>
              <w:keepNext/>
              <w:widowControl w:val="0"/>
              <w:jc w:val="center"/>
              <w:rPr>
                <w:color w:val="000000"/>
                <w:lang w:val="hu-HU"/>
              </w:rPr>
            </w:pPr>
            <w:r w:rsidRPr="00556B9B">
              <w:rPr>
                <w:color w:val="000000"/>
                <w:lang w:val="hu-HU"/>
              </w:rPr>
              <w:t>18 (12,2)</w:t>
            </w:r>
          </w:p>
        </w:tc>
      </w:tr>
      <w:tr w:rsidR="00910FC8" w:rsidRPr="00556B9B" w14:paraId="11318BA5" w14:textId="77777777" w:rsidTr="005C6E7A">
        <w:trPr>
          <w:cantSplit/>
        </w:trPr>
        <w:tc>
          <w:tcPr>
            <w:tcW w:w="4643" w:type="dxa"/>
            <w:tcBorders>
              <w:top w:val="nil"/>
              <w:left w:val="nil"/>
              <w:bottom w:val="nil"/>
              <w:right w:val="nil"/>
            </w:tcBorders>
          </w:tcPr>
          <w:p w14:paraId="61B8E3E4" w14:textId="77777777" w:rsidR="00910FC8" w:rsidRPr="00556B9B" w:rsidRDefault="00910FC8" w:rsidP="005C6E7A">
            <w:pPr>
              <w:pStyle w:val="EndnoteText"/>
              <w:keepNext/>
              <w:widowControl w:val="0"/>
              <w:rPr>
                <w:color w:val="000000"/>
                <w:lang w:val="hu-HU"/>
              </w:rPr>
            </w:pPr>
            <w:r w:rsidRPr="00556B9B">
              <w:rPr>
                <w:color w:val="000000"/>
                <w:lang w:val="hu-HU"/>
              </w:rPr>
              <w:t>Nem értékelhető</w:t>
            </w:r>
          </w:p>
        </w:tc>
        <w:tc>
          <w:tcPr>
            <w:tcW w:w="4643" w:type="dxa"/>
            <w:tcBorders>
              <w:top w:val="nil"/>
              <w:left w:val="nil"/>
              <w:bottom w:val="nil"/>
              <w:right w:val="nil"/>
            </w:tcBorders>
          </w:tcPr>
          <w:p w14:paraId="0D0B9A77" w14:textId="77777777" w:rsidR="00910FC8" w:rsidRPr="00556B9B" w:rsidRDefault="00910FC8" w:rsidP="005C6E7A">
            <w:pPr>
              <w:pStyle w:val="EndnoteText"/>
              <w:keepNext/>
              <w:widowControl w:val="0"/>
              <w:jc w:val="center"/>
              <w:rPr>
                <w:color w:val="000000"/>
                <w:lang w:val="hu-HU"/>
              </w:rPr>
            </w:pPr>
            <w:r w:rsidRPr="00556B9B">
              <w:rPr>
                <w:color w:val="000000"/>
                <w:lang w:val="hu-HU"/>
              </w:rPr>
              <w:t>5 (3,4)</w:t>
            </w:r>
          </w:p>
        </w:tc>
      </w:tr>
      <w:tr w:rsidR="00910FC8" w:rsidRPr="00556B9B" w14:paraId="5C8FD6F6" w14:textId="77777777" w:rsidTr="005C6E7A">
        <w:trPr>
          <w:cantSplit/>
        </w:trPr>
        <w:tc>
          <w:tcPr>
            <w:tcW w:w="4643" w:type="dxa"/>
            <w:tcBorders>
              <w:top w:val="nil"/>
              <w:left w:val="nil"/>
              <w:right w:val="nil"/>
            </w:tcBorders>
          </w:tcPr>
          <w:p w14:paraId="34C6E633" w14:textId="77777777" w:rsidR="00910FC8" w:rsidRPr="00556B9B" w:rsidRDefault="00910FC8">
            <w:pPr>
              <w:pStyle w:val="EndnoteText"/>
              <w:widowControl w:val="0"/>
              <w:rPr>
                <w:color w:val="000000"/>
                <w:lang w:val="hu-HU"/>
              </w:rPr>
            </w:pPr>
            <w:r w:rsidRPr="00556B9B">
              <w:rPr>
                <w:color w:val="000000"/>
                <w:lang w:val="hu-HU"/>
              </w:rPr>
              <w:t>Nem ismert</w:t>
            </w:r>
          </w:p>
        </w:tc>
        <w:tc>
          <w:tcPr>
            <w:tcW w:w="4643" w:type="dxa"/>
            <w:tcBorders>
              <w:top w:val="nil"/>
              <w:left w:val="nil"/>
              <w:right w:val="nil"/>
            </w:tcBorders>
          </w:tcPr>
          <w:p w14:paraId="4D7A0147" w14:textId="77777777" w:rsidR="00910FC8" w:rsidRPr="00556B9B" w:rsidRDefault="00910FC8">
            <w:pPr>
              <w:pStyle w:val="EndnoteText"/>
              <w:widowControl w:val="0"/>
              <w:jc w:val="center"/>
              <w:rPr>
                <w:color w:val="000000"/>
                <w:lang w:val="hu-HU"/>
              </w:rPr>
            </w:pPr>
            <w:r w:rsidRPr="00556B9B">
              <w:rPr>
                <w:color w:val="000000"/>
                <w:lang w:val="hu-HU"/>
              </w:rPr>
              <w:t>2 (1,4)</w:t>
            </w:r>
          </w:p>
        </w:tc>
      </w:tr>
    </w:tbl>
    <w:p w14:paraId="153670DD" w14:textId="77777777" w:rsidR="00910FC8" w:rsidRPr="00556B9B" w:rsidRDefault="00910FC8">
      <w:pPr>
        <w:spacing w:line="240" w:lineRule="auto"/>
        <w:rPr>
          <w:color w:val="000000"/>
          <w:lang w:val="hu-HU"/>
        </w:rPr>
      </w:pPr>
    </w:p>
    <w:p w14:paraId="64948B6D" w14:textId="77777777" w:rsidR="00910FC8" w:rsidRPr="00556B9B" w:rsidRDefault="00910FC8">
      <w:pPr>
        <w:rPr>
          <w:color w:val="000000"/>
          <w:lang w:val="hu-HU"/>
        </w:rPr>
      </w:pPr>
      <w:r w:rsidRPr="00556B9B">
        <w:rPr>
          <w:color w:val="000000"/>
          <w:lang w:val="hu-HU"/>
        </w:rPr>
        <w:t>A két dozírozású csoport között a terápiás válasz vonatkozásában nem volt különbség. Az interim analízis idején stabil állapotban levő betegek szignifikáns része részleges választ ért el a hosszabb kezelés során (a medián követési idő 31 hónap). A válasz megjelenéséig eltelt idő mediánértéke 13 hét volt (95% CI 12–23). A kezelésre reagálók között a kezelés elégtelenné válásáig eltelt idő mediánértéke 122 hét volt (95% CI 106–147), míg a teljes vizsgálati mintában ez az érték 84 hét volt (95% CI 71–109). Az általános túlélés mediánértéke még nem értékelhető. A Kaplan</w:t>
      </w:r>
      <w:r w:rsidRPr="00556B9B">
        <w:rPr>
          <w:color w:val="000000"/>
          <w:lang w:val="hu-HU"/>
        </w:rPr>
        <w:noBreakHyphen/>
        <w:t>Meier becslés szerint a 36 hónapos nyomonkövetés utáni túlélés 68% volt.</w:t>
      </w:r>
    </w:p>
    <w:p w14:paraId="31B5B6D4" w14:textId="77777777" w:rsidR="00910FC8" w:rsidRPr="00556B9B" w:rsidRDefault="00910FC8">
      <w:pPr>
        <w:rPr>
          <w:color w:val="000000"/>
          <w:lang w:val="hu-HU"/>
        </w:rPr>
      </w:pPr>
    </w:p>
    <w:p w14:paraId="2333C1E0" w14:textId="77777777" w:rsidR="00910FC8" w:rsidRPr="006D0F5F" w:rsidRDefault="00910FC8">
      <w:pPr>
        <w:rPr>
          <w:color w:val="000000"/>
          <w:lang w:val="hu-HU"/>
        </w:rPr>
      </w:pPr>
      <w:r w:rsidRPr="00556B9B">
        <w:rPr>
          <w:color w:val="000000"/>
          <w:lang w:val="hu-HU"/>
        </w:rPr>
        <w:t>Két klinikai vizsgálatban (B2222 vizsgálat és az S0033 intergroup vizsgálat) a Glivec napi adagját 800 mg</w:t>
      </w:r>
      <w:r w:rsidRPr="00556B9B">
        <w:rPr>
          <w:color w:val="000000"/>
          <w:lang w:val="hu-HU"/>
        </w:rPr>
        <w:noBreakHyphen/>
        <w:t>ig emelték azon betegekben, akiknek a betegsége alacsonyabb, napi 400 mg vagy 600 mg adag mellett progressziót mutatott. A napi adagot összesen 103 betegben emelték 800 mg</w:t>
      </w:r>
      <w:r w:rsidRPr="00556B9B">
        <w:rPr>
          <w:color w:val="000000"/>
          <w:lang w:val="hu-HU"/>
        </w:rPr>
        <w:noBreakHyphen/>
        <w:t>ra; 6 beteg ért el részleges választ, és 21 beteg állapota stabilizálódott az adag emelését követően, ami 26%</w:t>
      </w:r>
      <w:r w:rsidRPr="00556B9B">
        <w:rPr>
          <w:color w:val="000000"/>
          <w:lang w:val="hu-HU"/>
        </w:rPr>
        <w:noBreakHyphen/>
        <w:t>os klinikai előnynek felel meg. A rendelkezésre álló biztonsági adatok arra utalnak, hogy a napi 400 mg vagy 600 mg adag mellett progressziót mutató betegekben a Glivec napi adagjának 800 mg</w:t>
      </w:r>
      <w:r w:rsidRPr="00556B9B">
        <w:rPr>
          <w:color w:val="000000"/>
          <w:lang w:val="hu-HU"/>
        </w:rPr>
        <w:noBreakHyphen/>
      </w:r>
      <w:r w:rsidRPr="006D0F5F">
        <w:rPr>
          <w:color w:val="000000"/>
          <w:lang w:val="hu-HU"/>
        </w:rPr>
        <w:t>ra való emelése nem befolyásolja a készítmény biztonságossági profilját.</w:t>
      </w:r>
    </w:p>
    <w:p w14:paraId="13A18692" w14:textId="77777777" w:rsidR="00910FC8" w:rsidRPr="006D0F5F" w:rsidRDefault="00910FC8">
      <w:pPr>
        <w:spacing w:line="240" w:lineRule="auto"/>
        <w:rPr>
          <w:color w:val="000000"/>
          <w:lang w:val="hu-HU"/>
        </w:rPr>
      </w:pPr>
    </w:p>
    <w:p w14:paraId="36B43A80" w14:textId="77777777" w:rsidR="00D37E84" w:rsidRPr="006D0F5F" w:rsidRDefault="00D37E84" w:rsidP="00D37E84">
      <w:pPr>
        <w:pStyle w:val="Nottoc-headings"/>
        <w:spacing w:before="0" w:after="0"/>
        <w:rPr>
          <w:rFonts w:ascii="Times New Roman" w:eastAsia="MS Mincho" w:hAnsi="Times New Roman"/>
          <w:b w:val="0"/>
          <w:color w:val="000000"/>
          <w:sz w:val="22"/>
          <w:szCs w:val="22"/>
          <w:u w:val="single"/>
          <w:lang w:val="hu-HU" w:eastAsia="ja-JP"/>
        </w:rPr>
      </w:pPr>
      <w:r w:rsidRPr="006D0F5F">
        <w:rPr>
          <w:rFonts w:ascii="Times New Roman" w:eastAsia="MS Mincho" w:hAnsi="Times New Roman"/>
          <w:b w:val="0"/>
          <w:color w:val="000000"/>
          <w:sz w:val="22"/>
          <w:szCs w:val="22"/>
          <w:u w:val="single"/>
          <w:lang w:val="hu-HU" w:eastAsia="ja-JP"/>
        </w:rPr>
        <w:t>A GIST adjuváns kezelése során folytatott klinikai vizsgálat</w:t>
      </w:r>
      <w:r w:rsidR="00686FA8" w:rsidRPr="006D0F5F">
        <w:rPr>
          <w:rFonts w:ascii="Times New Roman" w:eastAsia="MS Mincho" w:hAnsi="Times New Roman"/>
          <w:b w:val="0"/>
          <w:color w:val="000000"/>
          <w:sz w:val="22"/>
          <w:szCs w:val="22"/>
          <w:u w:val="single"/>
          <w:lang w:val="hu-HU" w:eastAsia="ja-JP"/>
        </w:rPr>
        <w:t>ok</w:t>
      </w:r>
    </w:p>
    <w:p w14:paraId="3B350177" w14:textId="37FB56F9" w:rsidR="00D37E84" w:rsidRPr="006D0F5F" w:rsidRDefault="00D37E84" w:rsidP="00D37E84">
      <w:pPr>
        <w:pStyle w:val="Text"/>
        <w:spacing w:before="0"/>
        <w:jc w:val="left"/>
        <w:rPr>
          <w:rFonts w:eastAsia="MS Mincho"/>
          <w:color w:val="000000"/>
          <w:sz w:val="22"/>
          <w:szCs w:val="22"/>
          <w:lang w:val="hu-HU" w:eastAsia="ja-JP"/>
        </w:rPr>
      </w:pPr>
      <w:r w:rsidRPr="006D0F5F">
        <w:rPr>
          <w:rFonts w:eastAsia="MS Mincho"/>
          <w:color w:val="000000"/>
          <w:sz w:val="22"/>
          <w:szCs w:val="22"/>
          <w:lang w:val="hu-HU" w:eastAsia="ja-JP"/>
        </w:rPr>
        <w:t>Adjuváns</w:t>
      </w:r>
      <w:r w:rsidR="008D7825" w:rsidRPr="006D0F5F">
        <w:rPr>
          <w:rFonts w:eastAsia="MS Mincho"/>
          <w:color w:val="000000"/>
          <w:sz w:val="22"/>
          <w:szCs w:val="22"/>
          <w:lang w:val="hu-HU" w:eastAsia="ja-JP"/>
        </w:rPr>
        <w:t>ként</w:t>
      </w:r>
      <w:r w:rsidRPr="006D0F5F">
        <w:rPr>
          <w:rFonts w:eastAsia="MS Mincho"/>
          <w:color w:val="000000"/>
          <w:sz w:val="22"/>
          <w:szCs w:val="22"/>
          <w:lang w:val="hu-HU" w:eastAsia="ja-JP"/>
        </w:rPr>
        <w:t xml:space="preserve"> a Glivec</w:t>
      </w:r>
      <w:r w:rsidRPr="006D0F5F">
        <w:rPr>
          <w:rFonts w:eastAsia="MS Mincho"/>
          <w:color w:val="000000"/>
          <w:sz w:val="22"/>
          <w:szCs w:val="22"/>
          <w:lang w:val="hu-HU" w:eastAsia="ja-JP"/>
        </w:rPr>
        <w:noBreakHyphen/>
        <w:t>et egy multicentrikus, kettős</w:t>
      </w:r>
      <w:r w:rsidRPr="006D0F5F">
        <w:rPr>
          <w:rFonts w:eastAsia="MS Mincho"/>
          <w:color w:val="000000"/>
          <w:sz w:val="22"/>
          <w:szCs w:val="22"/>
          <w:lang w:val="hu-HU" w:eastAsia="ja-JP"/>
        </w:rPr>
        <w:noBreakHyphen/>
        <w:t>vak, hosszú távú</w:t>
      </w:r>
      <w:r w:rsidR="00184427" w:rsidRPr="006D0F5F">
        <w:rPr>
          <w:rFonts w:eastAsia="MS Mincho"/>
          <w:color w:val="000000"/>
          <w:sz w:val="22"/>
          <w:szCs w:val="22"/>
          <w:lang w:val="hu-HU" w:eastAsia="ja-JP"/>
        </w:rPr>
        <w:t>,</w:t>
      </w:r>
      <w:r w:rsidRPr="006D0F5F">
        <w:rPr>
          <w:rFonts w:eastAsia="MS Mincho"/>
          <w:color w:val="000000"/>
          <w:sz w:val="22"/>
          <w:szCs w:val="22"/>
          <w:lang w:val="hu-HU" w:eastAsia="ja-JP"/>
        </w:rPr>
        <w:t xml:space="preserve"> placebo</w:t>
      </w:r>
      <w:r w:rsidRPr="006D0F5F">
        <w:rPr>
          <w:rFonts w:eastAsia="MS Mincho"/>
          <w:color w:val="000000"/>
          <w:sz w:val="22"/>
          <w:szCs w:val="22"/>
          <w:lang w:val="hu-HU" w:eastAsia="ja-JP"/>
        </w:rPr>
        <w:noBreakHyphen/>
        <w:t>kontrollos</w:t>
      </w:r>
      <w:r w:rsidR="00184427" w:rsidRPr="006D0F5F">
        <w:rPr>
          <w:rFonts w:eastAsia="MS Mincho"/>
          <w:color w:val="000000"/>
          <w:sz w:val="22"/>
          <w:szCs w:val="22"/>
          <w:lang w:val="hu-HU" w:eastAsia="ja-JP"/>
        </w:rPr>
        <w:t>,</w:t>
      </w:r>
      <w:r w:rsidRPr="006D0F5F">
        <w:rPr>
          <w:rFonts w:eastAsia="MS Mincho"/>
          <w:color w:val="000000"/>
          <w:sz w:val="22"/>
          <w:szCs w:val="22"/>
          <w:lang w:val="hu-HU" w:eastAsia="ja-JP"/>
        </w:rPr>
        <w:t xml:space="preserve"> III</w:t>
      </w:r>
      <w:r w:rsidR="007C1956" w:rsidRPr="006D0F5F">
        <w:rPr>
          <w:rFonts w:eastAsia="MS Mincho"/>
          <w:color w:val="000000"/>
          <w:sz w:val="22"/>
          <w:szCs w:val="22"/>
          <w:lang w:val="hu-HU" w:eastAsia="ja-JP"/>
        </w:rPr>
        <w:t>. fázisú</w:t>
      </w:r>
      <w:r w:rsidRPr="006D0F5F">
        <w:rPr>
          <w:rFonts w:eastAsia="MS Mincho"/>
          <w:color w:val="000000"/>
          <w:sz w:val="22"/>
          <w:szCs w:val="22"/>
          <w:lang w:val="hu-HU" w:eastAsia="ja-JP"/>
        </w:rPr>
        <w:t xml:space="preserve"> vizsgálatban (Z9001) értékelték, melybe 773 beteget vontak be. Ezeknek a betegeknek az életkora 18 és 91 év között volt. Olyan betegeket vontak be, akiknek a szövettani diagnózisa immunhisztokémiai vizsgálattal igazolt, Kit protein expresszáló primer GIST volt, és a tumor legnagyobb átmérője ≥ 3 cm volt, és a GIST teljes, makroszkópos reszekciója a nyilvántartásba vétel előtt 14</w:t>
      </w:r>
      <w:r w:rsidRPr="006D0F5F">
        <w:rPr>
          <w:rFonts w:eastAsia="MS Mincho"/>
          <w:color w:val="000000"/>
          <w:sz w:val="22"/>
          <w:szCs w:val="22"/>
          <w:lang w:val="hu-HU" w:eastAsia="ja-JP"/>
        </w:rPr>
        <w:noBreakHyphen/>
        <w:t>70 nappal történt. A primer GIST reszekcióját követően a betegeket a két kar egyikébe randomizálták: napi 400 mg Glivec vagy ennek megfelelő placebo, egy éven át.</w:t>
      </w:r>
    </w:p>
    <w:p w14:paraId="7B85F836" w14:textId="77777777" w:rsidR="00D37E84" w:rsidRPr="006D0F5F" w:rsidRDefault="00D37E84" w:rsidP="00D37E84">
      <w:pPr>
        <w:pStyle w:val="Text"/>
        <w:spacing w:before="0"/>
        <w:jc w:val="left"/>
        <w:rPr>
          <w:rFonts w:eastAsia="MS Mincho"/>
          <w:color w:val="000000"/>
          <w:sz w:val="22"/>
          <w:szCs w:val="22"/>
          <w:lang w:val="hu-HU" w:eastAsia="ja-JP"/>
        </w:rPr>
      </w:pPr>
    </w:p>
    <w:p w14:paraId="5D90227B" w14:textId="77777777" w:rsidR="00D37E84" w:rsidRPr="00556B9B" w:rsidRDefault="00D37E84" w:rsidP="00D37E84">
      <w:pPr>
        <w:pStyle w:val="Text"/>
        <w:spacing w:before="0"/>
        <w:jc w:val="left"/>
        <w:rPr>
          <w:rFonts w:eastAsia="MS Mincho"/>
          <w:color w:val="000000"/>
          <w:sz w:val="22"/>
          <w:szCs w:val="22"/>
          <w:lang w:val="hu-HU" w:eastAsia="ja-JP"/>
        </w:rPr>
      </w:pPr>
      <w:r w:rsidRPr="006D0F5F">
        <w:rPr>
          <w:rFonts w:eastAsia="MS Mincho"/>
          <w:color w:val="000000"/>
          <w:sz w:val="22"/>
          <w:szCs w:val="22"/>
          <w:lang w:val="hu-HU" w:eastAsia="ja-JP"/>
        </w:rPr>
        <w:t>A vizsgálat elsődleges végpontja a kiújulás</w:t>
      </w:r>
      <w:r w:rsidRPr="006D0F5F">
        <w:rPr>
          <w:rFonts w:eastAsia="MS Mincho"/>
          <w:color w:val="000000"/>
          <w:sz w:val="22"/>
          <w:szCs w:val="22"/>
          <w:lang w:val="hu-HU" w:eastAsia="ja-JP"/>
        </w:rPr>
        <w:noBreakHyphen/>
        <w:t xml:space="preserve">mentes túlélés (recurrence-free survival – </w:t>
      </w:r>
      <w:smartTag w:uri="urn:schemas-microsoft-com:office:smarttags" w:element="stockticker">
        <w:r w:rsidRPr="006D0F5F">
          <w:rPr>
            <w:rFonts w:eastAsia="MS Mincho"/>
            <w:color w:val="000000"/>
            <w:sz w:val="22"/>
            <w:szCs w:val="22"/>
            <w:lang w:val="hu-HU" w:eastAsia="ja-JP"/>
          </w:rPr>
          <w:t>RFS</w:t>
        </w:r>
      </w:smartTag>
      <w:r w:rsidRPr="006D0F5F">
        <w:rPr>
          <w:rFonts w:eastAsia="MS Mincho"/>
          <w:color w:val="000000"/>
          <w:sz w:val="22"/>
          <w:szCs w:val="22"/>
          <w:lang w:val="hu-HU" w:eastAsia="ja-JP"/>
        </w:rPr>
        <w:t>) volt, melynek definíciója a randomizációtól a kiújulásig vagy a bármely okból bekövetkező halál</w:t>
      </w:r>
      <w:r w:rsidRPr="00556B9B">
        <w:rPr>
          <w:rFonts w:eastAsia="MS Mincho"/>
          <w:color w:val="000000"/>
          <w:sz w:val="22"/>
          <w:szCs w:val="22"/>
          <w:lang w:val="hu-HU" w:eastAsia="ja-JP"/>
        </w:rPr>
        <w:t xml:space="preserve"> időpontjáig eltelt idő.</w:t>
      </w:r>
    </w:p>
    <w:p w14:paraId="7D87B40D" w14:textId="77777777" w:rsidR="00D37E84" w:rsidRPr="00556B9B" w:rsidRDefault="00D37E84" w:rsidP="00D37E84">
      <w:pPr>
        <w:pStyle w:val="Text"/>
        <w:spacing w:before="0"/>
        <w:jc w:val="left"/>
        <w:rPr>
          <w:rFonts w:eastAsia="MS Mincho"/>
          <w:color w:val="000000"/>
          <w:sz w:val="22"/>
          <w:szCs w:val="22"/>
          <w:lang w:val="hu-HU" w:eastAsia="ja-JP"/>
        </w:rPr>
      </w:pPr>
    </w:p>
    <w:p w14:paraId="5A136217" w14:textId="77777777" w:rsidR="00D37E84" w:rsidRPr="00556B9B" w:rsidRDefault="00D37E84" w:rsidP="00D37E84">
      <w:pPr>
        <w:pStyle w:val="Text"/>
        <w:spacing w:before="0"/>
        <w:jc w:val="left"/>
        <w:rPr>
          <w:rFonts w:eastAsia="MS Mincho"/>
          <w:color w:val="000000"/>
          <w:sz w:val="22"/>
          <w:szCs w:val="22"/>
          <w:lang w:val="hu-HU" w:eastAsia="ja-JP"/>
        </w:rPr>
      </w:pPr>
      <w:r w:rsidRPr="00556B9B">
        <w:rPr>
          <w:rFonts w:eastAsia="MS Mincho"/>
          <w:color w:val="000000"/>
          <w:sz w:val="22"/>
          <w:szCs w:val="22"/>
          <w:lang w:val="hu-HU" w:eastAsia="ja-JP"/>
        </w:rPr>
        <w:t>A Glivec szignifikánsan meghosszabbította a kiújulás</w:t>
      </w:r>
      <w:r w:rsidRPr="00556B9B">
        <w:rPr>
          <w:rFonts w:eastAsia="MS Mincho"/>
          <w:color w:val="000000"/>
          <w:sz w:val="22"/>
          <w:szCs w:val="22"/>
          <w:lang w:val="hu-HU" w:eastAsia="ja-JP"/>
        </w:rPr>
        <w:noBreakHyphen/>
        <w:t>mentes túlélést, a Glivec</w:t>
      </w:r>
      <w:r w:rsidRPr="00556B9B">
        <w:rPr>
          <w:rFonts w:eastAsia="MS Mincho"/>
          <w:color w:val="000000"/>
          <w:sz w:val="22"/>
          <w:szCs w:val="22"/>
          <w:lang w:val="hu-HU" w:eastAsia="ja-JP"/>
        </w:rPr>
        <w:noBreakHyphen/>
        <w:t>csoportban a betegek 75%</w:t>
      </w:r>
      <w:r w:rsidRPr="00556B9B">
        <w:rPr>
          <w:rFonts w:eastAsia="MS Mincho"/>
          <w:color w:val="000000"/>
          <w:sz w:val="22"/>
          <w:szCs w:val="22"/>
          <w:lang w:val="hu-HU" w:eastAsia="ja-JP"/>
        </w:rPr>
        <w:noBreakHyphen/>
        <w:t>a kiújulás</w:t>
      </w:r>
      <w:r w:rsidRPr="00556B9B">
        <w:rPr>
          <w:rFonts w:eastAsia="MS Mincho"/>
          <w:color w:val="000000"/>
          <w:sz w:val="22"/>
          <w:szCs w:val="22"/>
          <w:lang w:val="hu-HU" w:eastAsia="ja-JP"/>
        </w:rPr>
        <w:noBreakHyphen/>
        <w:t>mentes volt a 38. hónapban, a placebo</w:t>
      </w:r>
      <w:r w:rsidRPr="00556B9B">
        <w:rPr>
          <w:rFonts w:eastAsia="MS Mincho"/>
          <w:color w:val="000000"/>
          <w:sz w:val="22"/>
          <w:szCs w:val="22"/>
          <w:lang w:val="hu-HU" w:eastAsia="ja-JP"/>
        </w:rPr>
        <w:noBreakHyphen/>
        <w:t>csoportban észlelt 20 hónappal szemben (95%</w:t>
      </w:r>
      <w:r w:rsidRPr="00556B9B">
        <w:rPr>
          <w:rFonts w:eastAsia="MS Mincho"/>
          <w:color w:val="000000"/>
          <w:sz w:val="22"/>
          <w:szCs w:val="22"/>
          <w:lang w:val="hu-HU" w:eastAsia="ja-JP"/>
        </w:rPr>
        <w:noBreakHyphen/>
        <w:t>os CI sorrendben: [30 - nem megbecsülhető]; [14 - nem megbecsülhető); (relatív hazárd = 0,398 [0,259</w:t>
      </w:r>
      <w:r w:rsidRPr="00556B9B">
        <w:rPr>
          <w:rFonts w:eastAsia="MS Mincho"/>
          <w:color w:val="000000"/>
          <w:sz w:val="22"/>
          <w:szCs w:val="22"/>
          <w:lang w:val="hu-HU" w:eastAsia="ja-JP"/>
        </w:rPr>
        <w:noBreakHyphen/>
        <w:t>0,610], p</w:t>
      </w:r>
      <w:r w:rsidR="00974495" w:rsidRPr="00556B9B">
        <w:rPr>
          <w:rFonts w:eastAsia="MS Mincho"/>
          <w:color w:val="000000"/>
          <w:sz w:val="22"/>
          <w:szCs w:val="22"/>
          <w:lang w:val="hu-HU" w:eastAsia="ja-JP"/>
        </w:rPr>
        <w:t> </w:t>
      </w:r>
      <w:r w:rsidRPr="00556B9B">
        <w:rPr>
          <w:rFonts w:eastAsia="MS Mincho"/>
          <w:color w:val="000000"/>
          <w:sz w:val="22"/>
          <w:szCs w:val="22"/>
          <w:lang w:val="hu-HU" w:eastAsia="ja-JP"/>
        </w:rPr>
        <w:t>&lt;</w:t>
      </w:r>
      <w:r w:rsidR="00974495" w:rsidRPr="00556B9B">
        <w:rPr>
          <w:rFonts w:eastAsia="MS Mincho"/>
          <w:color w:val="000000"/>
          <w:sz w:val="22"/>
          <w:szCs w:val="22"/>
          <w:lang w:val="hu-HU" w:eastAsia="ja-JP"/>
        </w:rPr>
        <w:t> </w:t>
      </w:r>
      <w:r w:rsidRPr="00556B9B">
        <w:rPr>
          <w:rFonts w:eastAsia="MS Mincho"/>
          <w:color w:val="000000"/>
          <w:sz w:val="22"/>
          <w:szCs w:val="22"/>
          <w:lang w:val="hu-HU" w:eastAsia="ja-JP"/>
        </w:rPr>
        <w:t>0,0001). Egy év után a teljes kiújulás</w:t>
      </w:r>
      <w:r w:rsidRPr="00556B9B">
        <w:rPr>
          <w:rFonts w:eastAsia="MS Mincho"/>
          <w:color w:val="000000"/>
          <w:sz w:val="22"/>
          <w:szCs w:val="22"/>
          <w:lang w:val="hu-HU" w:eastAsia="ja-JP"/>
        </w:rPr>
        <w:noBreakHyphen/>
        <w:t>mentes túlélés szignifikánsan jobb volt a Glivec (97,7%), mint a placebo esetén (82,3%), (p</w:t>
      </w:r>
      <w:r w:rsidR="00974495" w:rsidRPr="00556B9B">
        <w:rPr>
          <w:rFonts w:eastAsia="MS Mincho"/>
          <w:color w:val="000000"/>
          <w:sz w:val="22"/>
          <w:szCs w:val="22"/>
          <w:lang w:val="hu-HU" w:eastAsia="ja-JP"/>
        </w:rPr>
        <w:t> </w:t>
      </w:r>
      <w:r w:rsidRPr="00556B9B">
        <w:rPr>
          <w:rFonts w:eastAsia="MS Mincho"/>
          <w:color w:val="000000"/>
          <w:sz w:val="22"/>
          <w:szCs w:val="22"/>
          <w:lang w:val="hu-HU" w:eastAsia="ja-JP"/>
        </w:rPr>
        <w:t>&lt;</w:t>
      </w:r>
      <w:r w:rsidR="00974495" w:rsidRPr="00556B9B">
        <w:rPr>
          <w:rFonts w:eastAsia="MS Mincho"/>
          <w:color w:val="000000"/>
          <w:sz w:val="22"/>
          <w:szCs w:val="22"/>
          <w:lang w:val="hu-HU" w:eastAsia="ja-JP"/>
        </w:rPr>
        <w:t> </w:t>
      </w:r>
      <w:r w:rsidRPr="00556B9B">
        <w:rPr>
          <w:rFonts w:eastAsia="MS Mincho"/>
          <w:color w:val="000000"/>
          <w:sz w:val="22"/>
          <w:szCs w:val="22"/>
          <w:lang w:val="hu-HU" w:eastAsia="ja-JP"/>
        </w:rPr>
        <w:t>0,0001). A kiújulás kockázata a placebóhoz képest így mintegy 89%</w:t>
      </w:r>
      <w:r w:rsidRPr="00556B9B">
        <w:rPr>
          <w:rFonts w:eastAsia="MS Mincho"/>
          <w:color w:val="000000"/>
          <w:sz w:val="22"/>
          <w:szCs w:val="22"/>
          <w:lang w:val="hu-HU" w:eastAsia="ja-JP"/>
        </w:rPr>
        <w:noBreakHyphen/>
        <w:t>kal csökkent (relatív hazárd = 0,113 [0,049</w:t>
      </w:r>
      <w:r w:rsidRPr="00556B9B">
        <w:rPr>
          <w:rFonts w:eastAsia="MS Mincho"/>
          <w:color w:val="000000"/>
          <w:sz w:val="22"/>
          <w:szCs w:val="22"/>
          <w:lang w:val="hu-HU" w:eastAsia="ja-JP"/>
        </w:rPr>
        <w:noBreakHyphen/>
        <w:t>0,264]).</w:t>
      </w:r>
    </w:p>
    <w:p w14:paraId="34A6E080" w14:textId="77777777" w:rsidR="00D37E84" w:rsidRPr="00556B9B" w:rsidRDefault="00D37E84" w:rsidP="00D37E84">
      <w:pPr>
        <w:pStyle w:val="Text"/>
        <w:spacing w:before="0"/>
        <w:jc w:val="left"/>
        <w:rPr>
          <w:rFonts w:eastAsia="MS Mincho"/>
          <w:color w:val="000000"/>
          <w:sz w:val="22"/>
          <w:szCs w:val="22"/>
          <w:lang w:val="hu-HU" w:eastAsia="ja-JP"/>
        </w:rPr>
      </w:pPr>
    </w:p>
    <w:p w14:paraId="00FF67AB" w14:textId="77777777" w:rsidR="00D37E84" w:rsidRPr="00556B9B" w:rsidRDefault="00D37E84" w:rsidP="00D37E84">
      <w:pPr>
        <w:pStyle w:val="Text"/>
        <w:spacing w:before="0"/>
        <w:jc w:val="left"/>
        <w:rPr>
          <w:color w:val="000000"/>
          <w:lang w:val="hu-HU"/>
        </w:rPr>
      </w:pPr>
      <w:r w:rsidRPr="00556B9B">
        <w:rPr>
          <w:rFonts w:eastAsia="MS Mincho"/>
          <w:color w:val="000000"/>
          <w:sz w:val="22"/>
          <w:szCs w:val="22"/>
          <w:lang w:val="hu-HU" w:eastAsia="ja-JP"/>
        </w:rPr>
        <w:t>A primer GIST operációján átesett betegeknél a kiújulás kockázatát az alábbi prognosztikai faktorok alapján retrospektív módon értékelték: a daganat mérete, a mitotikus</w:t>
      </w:r>
      <w:r w:rsidRPr="00556B9B">
        <w:rPr>
          <w:rFonts w:eastAsia="MS Mincho"/>
          <w:color w:val="000000"/>
          <w:sz w:val="22"/>
          <w:szCs w:val="22"/>
          <w:lang w:val="hu-HU" w:eastAsia="ja-JP"/>
        </w:rPr>
        <w:noBreakHyphen/>
        <w:t xml:space="preserve">index, a daganat lokalizációja. A </w:t>
      </w:r>
      <w:r w:rsidR="008C1E11" w:rsidRPr="00556B9B">
        <w:rPr>
          <w:rFonts w:eastAsia="MS Mincho"/>
          <w:color w:val="000000"/>
          <w:sz w:val="22"/>
          <w:szCs w:val="22"/>
          <w:lang w:val="hu-HU" w:eastAsia="ja-JP"/>
        </w:rPr>
        <w:t>713</w:t>
      </w:r>
      <w:r w:rsidRPr="00556B9B">
        <w:rPr>
          <w:rFonts w:eastAsia="MS Mincho"/>
          <w:color w:val="000000"/>
          <w:sz w:val="22"/>
          <w:szCs w:val="22"/>
          <w:lang w:val="hu-HU" w:eastAsia="ja-JP"/>
        </w:rPr>
        <w:t xml:space="preserve"> fős beválogatás szerinti populációból (intention-to-treat – </w:t>
      </w:r>
      <w:smartTag w:uri="urn:schemas-microsoft-com:office:smarttags" w:element="stockticker">
        <w:r w:rsidRPr="00556B9B">
          <w:rPr>
            <w:rFonts w:eastAsia="MS Mincho"/>
            <w:color w:val="000000"/>
            <w:sz w:val="22"/>
            <w:szCs w:val="22"/>
            <w:lang w:val="hu-HU" w:eastAsia="ja-JP"/>
          </w:rPr>
          <w:t>ITT</w:t>
        </w:r>
      </w:smartTag>
      <w:r w:rsidRPr="00556B9B">
        <w:rPr>
          <w:rFonts w:eastAsia="MS Mincho"/>
          <w:color w:val="000000"/>
          <w:sz w:val="22"/>
          <w:szCs w:val="22"/>
          <w:lang w:val="hu-HU" w:eastAsia="ja-JP"/>
        </w:rPr>
        <w:t>) a mitotikus</w:t>
      </w:r>
      <w:r w:rsidRPr="00556B9B">
        <w:rPr>
          <w:rFonts w:eastAsia="MS Mincho"/>
          <w:color w:val="000000"/>
          <w:sz w:val="22"/>
          <w:szCs w:val="22"/>
          <w:lang w:val="hu-HU" w:eastAsia="ja-JP"/>
        </w:rPr>
        <w:noBreakHyphen/>
        <w:t>indexre vonatkozó adatok 556 beteg esetén álltak rendelkezésre. A</w:t>
      </w:r>
      <w:r w:rsidR="00857B13" w:rsidRPr="00556B9B">
        <w:rPr>
          <w:rFonts w:eastAsia="MS Mincho"/>
          <w:color w:val="000000"/>
          <w:sz w:val="22"/>
          <w:szCs w:val="22"/>
          <w:lang w:val="hu-HU" w:eastAsia="ja-JP"/>
        </w:rPr>
        <w:t xml:space="preserve"> United States National Institutes of Health (NIH) és az</w:t>
      </w:r>
      <w:r w:rsidRPr="00556B9B">
        <w:rPr>
          <w:rFonts w:eastAsia="MS Mincho"/>
          <w:color w:val="000000"/>
          <w:sz w:val="22"/>
          <w:szCs w:val="22"/>
          <w:lang w:val="hu-HU" w:eastAsia="ja-JP"/>
        </w:rPr>
        <w:t xml:space="preserve"> Armed Forces Institute of Pathology (AFIP) kockázat-besorolása szerint végzett alcsoport-analízis eredményeit a </w:t>
      </w:r>
      <w:r w:rsidR="00053E70" w:rsidRPr="00556B9B">
        <w:rPr>
          <w:rFonts w:eastAsia="MS Mincho"/>
          <w:color w:val="000000"/>
          <w:sz w:val="22"/>
          <w:szCs w:val="22"/>
          <w:lang w:val="hu-HU" w:eastAsia="ja-JP"/>
        </w:rPr>
        <w:t>7</w:t>
      </w:r>
      <w:r w:rsidRPr="00556B9B">
        <w:rPr>
          <w:rFonts w:eastAsia="MS Mincho"/>
          <w:color w:val="000000"/>
          <w:sz w:val="22"/>
          <w:szCs w:val="22"/>
          <w:lang w:val="hu-HU" w:eastAsia="ja-JP"/>
        </w:rPr>
        <w:t>. táblázat mutatja.</w:t>
      </w:r>
      <w:r w:rsidR="00857B13" w:rsidRPr="00556B9B">
        <w:rPr>
          <w:rFonts w:eastAsia="MS Mincho"/>
          <w:color w:val="000000"/>
          <w:sz w:val="22"/>
          <w:szCs w:val="22"/>
          <w:lang w:val="hu-HU" w:eastAsia="ja-JP"/>
        </w:rPr>
        <w:t xml:space="preserve"> Nem </w:t>
      </w:r>
      <w:r w:rsidR="0087184D" w:rsidRPr="00556B9B">
        <w:rPr>
          <w:rFonts w:eastAsia="MS Mincho"/>
          <w:color w:val="000000"/>
          <w:sz w:val="22"/>
          <w:szCs w:val="22"/>
          <w:lang w:val="hu-HU" w:eastAsia="ja-JP"/>
        </w:rPr>
        <w:t>észleltek</w:t>
      </w:r>
      <w:r w:rsidR="00857B13" w:rsidRPr="00556B9B">
        <w:rPr>
          <w:rFonts w:eastAsia="MS Mincho"/>
          <w:color w:val="000000"/>
          <w:sz w:val="22"/>
          <w:szCs w:val="22"/>
          <w:lang w:val="hu-HU" w:eastAsia="ja-JP"/>
        </w:rPr>
        <w:t xml:space="preserve"> előnyt az alacsony és a nagyon alacsony kockázat</w:t>
      </w:r>
      <w:r w:rsidR="007B18BA" w:rsidRPr="00556B9B">
        <w:rPr>
          <w:rFonts w:eastAsia="MS Mincho"/>
          <w:color w:val="000000"/>
          <w:sz w:val="22"/>
          <w:szCs w:val="22"/>
          <w:lang w:val="hu-HU" w:eastAsia="ja-JP"/>
        </w:rPr>
        <w:t xml:space="preserve">ú csoportokban. Nem </w:t>
      </w:r>
      <w:r w:rsidR="0087184D" w:rsidRPr="00556B9B">
        <w:rPr>
          <w:rFonts w:eastAsia="MS Mincho"/>
          <w:color w:val="000000"/>
          <w:sz w:val="22"/>
          <w:szCs w:val="22"/>
          <w:lang w:val="hu-HU" w:eastAsia="ja-JP"/>
        </w:rPr>
        <w:t>észleltek</w:t>
      </w:r>
      <w:r w:rsidR="007B18BA" w:rsidRPr="00556B9B">
        <w:rPr>
          <w:rFonts w:eastAsia="MS Mincho"/>
          <w:color w:val="000000"/>
          <w:sz w:val="22"/>
          <w:szCs w:val="22"/>
          <w:lang w:val="hu-HU" w:eastAsia="ja-JP"/>
        </w:rPr>
        <w:t xml:space="preserve"> teljes túlélési előnyt.</w:t>
      </w:r>
    </w:p>
    <w:p w14:paraId="6138C471" w14:textId="77777777" w:rsidR="00D37E84" w:rsidRPr="00556B9B" w:rsidRDefault="00D37E84" w:rsidP="00D37E84">
      <w:pPr>
        <w:pStyle w:val="Text"/>
        <w:spacing w:before="0"/>
        <w:jc w:val="left"/>
        <w:rPr>
          <w:color w:val="000000"/>
          <w:lang w:val="hu-HU"/>
        </w:rPr>
      </w:pPr>
    </w:p>
    <w:p w14:paraId="59D4FB2B" w14:textId="77777777" w:rsidR="007B18BA" w:rsidRPr="00556B9B" w:rsidRDefault="00053E70" w:rsidP="005C6E7A">
      <w:pPr>
        <w:pStyle w:val="Heading6"/>
        <w:keepLines/>
        <w:tabs>
          <w:tab w:val="clear" w:pos="567"/>
          <w:tab w:val="clear" w:pos="4536"/>
          <w:tab w:val="left" w:pos="1134"/>
        </w:tabs>
        <w:spacing w:line="240" w:lineRule="auto"/>
        <w:ind w:left="1134" w:hanging="1134"/>
        <w:rPr>
          <w:rFonts w:eastAsia="MS Mincho"/>
          <w:b/>
          <w:i w:val="0"/>
          <w:color w:val="000000"/>
          <w:szCs w:val="22"/>
          <w:lang w:val="hu-HU" w:eastAsia="ja-JP"/>
        </w:rPr>
      </w:pPr>
      <w:r w:rsidRPr="00556B9B">
        <w:rPr>
          <w:rFonts w:eastAsia="MS Mincho"/>
          <w:b/>
          <w:i w:val="0"/>
          <w:color w:val="000000"/>
          <w:szCs w:val="22"/>
          <w:lang w:val="hu-HU" w:eastAsia="ja-JP"/>
        </w:rPr>
        <w:t>7</w:t>
      </w:r>
      <w:r w:rsidR="007B18BA" w:rsidRPr="00556B9B">
        <w:rPr>
          <w:rFonts w:eastAsia="MS Mincho"/>
          <w:b/>
          <w:i w:val="0"/>
          <w:color w:val="000000"/>
          <w:szCs w:val="22"/>
          <w:lang w:val="hu-HU" w:eastAsia="ja-JP"/>
        </w:rPr>
        <w:t>. táblázat</w:t>
      </w:r>
      <w:r w:rsidR="007B18BA" w:rsidRPr="00556B9B">
        <w:rPr>
          <w:rFonts w:eastAsia="MS Mincho"/>
          <w:b/>
          <w:i w:val="0"/>
          <w:color w:val="000000"/>
          <w:szCs w:val="22"/>
          <w:lang w:val="hu-HU" w:eastAsia="ja-JP"/>
        </w:rPr>
        <w:tab/>
        <w:t>A Z9001</w:t>
      </w:r>
      <w:r w:rsidR="007B18BA" w:rsidRPr="00556B9B">
        <w:rPr>
          <w:rFonts w:eastAsia="MS Mincho"/>
          <w:b/>
          <w:i w:val="0"/>
          <w:color w:val="000000"/>
          <w:szCs w:val="22"/>
          <w:lang w:val="hu-HU" w:eastAsia="ja-JP"/>
        </w:rPr>
        <w:noBreakHyphen/>
        <w:t>vizsgálat NIH és AFIP kockázat-besorolása szerinti kiújulás</w:t>
      </w:r>
      <w:r w:rsidR="007B18BA" w:rsidRPr="00556B9B">
        <w:rPr>
          <w:rFonts w:eastAsia="MS Mincho"/>
          <w:b/>
          <w:i w:val="0"/>
          <w:color w:val="000000"/>
          <w:szCs w:val="22"/>
          <w:lang w:val="hu-HU" w:eastAsia="ja-JP"/>
        </w:rPr>
        <w:noBreakHyphen/>
        <w:t>mentes túlélés (</w:t>
      </w:r>
      <w:smartTag w:uri="urn:schemas-microsoft-com:office:smarttags" w:element="stockticker">
        <w:r w:rsidR="007B18BA" w:rsidRPr="00556B9B">
          <w:rPr>
            <w:rFonts w:eastAsia="MS Mincho"/>
            <w:b/>
            <w:i w:val="0"/>
            <w:color w:val="000000"/>
            <w:szCs w:val="22"/>
            <w:lang w:val="hu-HU" w:eastAsia="ja-JP"/>
          </w:rPr>
          <w:t>RFS</w:t>
        </w:r>
      </w:smartTag>
      <w:r w:rsidR="007B18BA" w:rsidRPr="00556B9B">
        <w:rPr>
          <w:rFonts w:eastAsia="MS Mincho"/>
          <w:b/>
          <w:i w:val="0"/>
          <w:color w:val="000000"/>
          <w:szCs w:val="22"/>
          <w:lang w:val="hu-HU" w:eastAsia="ja-JP"/>
        </w:rPr>
        <w:t>) analíziseinek összefoglalása</w:t>
      </w:r>
    </w:p>
    <w:p w14:paraId="5AB476F0" w14:textId="77777777" w:rsidR="007B18BA" w:rsidRPr="00556B9B" w:rsidRDefault="007B18BA" w:rsidP="007B18BA">
      <w:pPr>
        <w:keepNext/>
        <w:spacing w:line="240" w:lineRule="auto"/>
        <w:rPr>
          <w:rFonts w:eastAsia="MS Mincho"/>
          <w:color w:val="000000"/>
          <w:lang w:val="hu-HU"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992"/>
        <w:gridCol w:w="1881"/>
        <w:gridCol w:w="1800"/>
        <w:gridCol w:w="1440"/>
        <w:gridCol w:w="1360"/>
      </w:tblGrid>
      <w:tr w:rsidR="007B18BA" w:rsidRPr="00556B9B" w14:paraId="55A7E3B3" w14:textId="77777777" w:rsidTr="00A72D34">
        <w:trPr>
          <w:cantSplit/>
        </w:trPr>
        <w:tc>
          <w:tcPr>
            <w:tcW w:w="1271" w:type="dxa"/>
            <w:vMerge w:val="restart"/>
          </w:tcPr>
          <w:p w14:paraId="5843B89E" w14:textId="77777777" w:rsidR="007B18BA" w:rsidRPr="00556B9B" w:rsidRDefault="00D905DA" w:rsidP="00A72D34">
            <w:pPr>
              <w:keepNext/>
              <w:spacing w:before="120"/>
              <w:jc w:val="center"/>
              <w:rPr>
                <w:b/>
                <w:color w:val="000000"/>
                <w:szCs w:val="22"/>
              </w:rPr>
            </w:pPr>
            <w:r w:rsidRPr="00556B9B">
              <w:rPr>
                <w:rFonts w:eastAsia="MS Mincho"/>
                <w:b/>
                <w:color w:val="000000"/>
                <w:szCs w:val="22"/>
                <w:lang w:val="hu-HU" w:eastAsia="ja-JP"/>
              </w:rPr>
              <w:t>Kockázat-besorolás</w:t>
            </w:r>
          </w:p>
        </w:tc>
        <w:tc>
          <w:tcPr>
            <w:tcW w:w="1276" w:type="dxa"/>
            <w:vMerge w:val="restart"/>
            <w:tcBorders>
              <w:right w:val="single" w:sz="4" w:space="0" w:color="auto"/>
            </w:tcBorders>
          </w:tcPr>
          <w:p w14:paraId="390E60A9" w14:textId="77777777" w:rsidR="007B18BA" w:rsidRPr="00556B9B" w:rsidRDefault="00D905DA" w:rsidP="00A72D34">
            <w:pPr>
              <w:keepNext/>
              <w:spacing w:before="120"/>
              <w:rPr>
                <w:b/>
                <w:color w:val="000000"/>
                <w:szCs w:val="22"/>
              </w:rPr>
            </w:pPr>
            <w:r w:rsidRPr="00556B9B">
              <w:rPr>
                <w:b/>
                <w:color w:val="000000"/>
                <w:szCs w:val="22"/>
                <w:lang w:val="hu-HU"/>
              </w:rPr>
              <w:t>Kockázati szint</w:t>
            </w:r>
          </w:p>
        </w:tc>
        <w:tc>
          <w:tcPr>
            <w:tcW w:w="992" w:type="dxa"/>
            <w:vMerge w:val="restart"/>
            <w:tcBorders>
              <w:left w:val="single" w:sz="4" w:space="0" w:color="auto"/>
              <w:right w:val="single" w:sz="4" w:space="0" w:color="auto"/>
            </w:tcBorders>
          </w:tcPr>
          <w:p w14:paraId="779F165F" w14:textId="77777777" w:rsidR="007B18BA" w:rsidRPr="00556B9B" w:rsidRDefault="00D905DA" w:rsidP="00A72D34">
            <w:pPr>
              <w:keepNext/>
              <w:spacing w:before="120"/>
              <w:jc w:val="center"/>
              <w:rPr>
                <w:b/>
                <w:color w:val="000000"/>
                <w:szCs w:val="22"/>
              </w:rPr>
            </w:pPr>
            <w:r w:rsidRPr="00556B9B">
              <w:rPr>
                <w:b/>
                <w:color w:val="000000"/>
                <w:szCs w:val="22"/>
                <w:lang w:val="hu-HU"/>
              </w:rPr>
              <w:t>Betegek %-a</w:t>
            </w:r>
          </w:p>
        </w:tc>
        <w:tc>
          <w:tcPr>
            <w:tcW w:w="1881" w:type="dxa"/>
            <w:vMerge w:val="restart"/>
            <w:tcBorders>
              <w:left w:val="single" w:sz="4" w:space="0" w:color="auto"/>
              <w:right w:val="single" w:sz="4" w:space="0" w:color="auto"/>
            </w:tcBorders>
          </w:tcPr>
          <w:p w14:paraId="2D2A38B1" w14:textId="77777777" w:rsidR="007B18BA" w:rsidRPr="00556B9B" w:rsidRDefault="00D905DA" w:rsidP="00A72D34">
            <w:pPr>
              <w:keepNext/>
              <w:spacing w:before="120"/>
              <w:jc w:val="center"/>
              <w:rPr>
                <w:b/>
                <w:color w:val="000000"/>
                <w:szCs w:val="22"/>
              </w:rPr>
            </w:pPr>
            <w:r w:rsidRPr="00556B9B">
              <w:rPr>
                <w:b/>
                <w:color w:val="000000"/>
                <w:szCs w:val="22"/>
                <w:lang w:val="hu-HU"/>
              </w:rPr>
              <w:t>Események száma /</w:t>
            </w:r>
            <w:r w:rsidR="007B18BA" w:rsidRPr="00556B9B">
              <w:rPr>
                <w:b/>
                <w:color w:val="000000"/>
                <w:szCs w:val="22"/>
              </w:rPr>
              <w:br/>
            </w:r>
            <w:r w:rsidRPr="00556B9B">
              <w:rPr>
                <w:b/>
                <w:color w:val="000000"/>
                <w:szCs w:val="22"/>
                <w:lang w:val="hu-HU"/>
              </w:rPr>
              <w:t>Betegek száma</w:t>
            </w:r>
          </w:p>
        </w:tc>
        <w:tc>
          <w:tcPr>
            <w:tcW w:w="1800" w:type="dxa"/>
            <w:vMerge w:val="restart"/>
            <w:tcBorders>
              <w:left w:val="single" w:sz="4" w:space="0" w:color="auto"/>
              <w:right w:val="single" w:sz="4" w:space="0" w:color="auto"/>
            </w:tcBorders>
          </w:tcPr>
          <w:p w14:paraId="47CDB3A5" w14:textId="77777777" w:rsidR="007B18BA" w:rsidRPr="00556B9B" w:rsidRDefault="00D905DA" w:rsidP="00A72D34">
            <w:pPr>
              <w:keepNext/>
              <w:jc w:val="center"/>
              <w:rPr>
                <w:b/>
                <w:color w:val="000000"/>
                <w:szCs w:val="22"/>
                <w:lang w:val="es-ES"/>
              </w:rPr>
            </w:pPr>
            <w:r w:rsidRPr="00556B9B">
              <w:rPr>
                <w:b/>
                <w:color w:val="000000"/>
                <w:szCs w:val="22"/>
                <w:lang w:val="hu-HU"/>
              </w:rPr>
              <w:t>Összesített relatív hazárd (95%-os CI)*</w:t>
            </w:r>
          </w:p>
        </w:tc>
        <w:tc>
          <w:tcPr>
            <w:tcW w:w="2800" w:type="dxa"/>
            <w:gridSpan w:val="2"/>
            <w:tcBorders>
              <w:left w:val="single" w:sz="4" w:space="0" w:color="auto"/>
            </w:tcBorders>
          </w:tcPr>
          <w:p w14:paraId="39719683" w14:textId="77777777" w:rsidR="007B18BA" w:rsidRPr="00556B9B" w:rsidRDefault="00D905DA" w:rsidP="00A72D34">
            <w:pPr>
              <w:keepNext/>
              <w:jc w:val="center"/>
              <w:rPr>
                <w:b/>
                <w:color w:val="000000"/>
                <w:szCs w:val="22"/>
              </w:rPr>
            </w:pPr>
            <w:smartTag w:uri="urn:schemas-microsoft-com:office:smarttags" w:element="stockticker">
              <w:r w:rsidRPr="00556B9B">
                <w:rPr>
                  <w:b/>
                  <w:color w:val="000000"/>
                  <w:szCs w:val="22"/>
                  <w:lang w:val="hu-HU"/>
                </w:rPr>
                <w:t>RFS</w:t>
              </w:r>
            </w:smartTag>
            <w:r w:rsidRPr="00556B9B">
              <w:rPr>
                <w:b/>
                <w:color w:val="000000"/>
                <w:szCs w:val="22"/>
                <w:lang w:val="hu-HU"/>
              </w:rPr>
              <w:t>-arányok (%)</w:t>
            </w:r>
          </w:p>
        </w:tc>
      </w:tr>
      <w:tr w:rsidR="007B18BA" w:rsidRPr="00556B9B" w14:paraId="0469AFD9" w14:textId="77777777" w:rsidTr="00A72D34">
        <w:trPr>
          <w:cantSplit/>
        </w:trPr>
        <w:tc>
          <w:tcPr>
            <w:tcW w:w="1271" w:type="dxa"/>
            <w:vMerge/>
          </w:tcPr>
          <w:p w14:paraId="24D72824" w14:textId="77777777" w:rsidR="007B18BA" w:rsidRPr="00556B9B" w:rsidRDefault="007B18BA" w:rsidP="00A72D34">
            <w:pPr>
              <w:keepNext/>
              <w:rPr>
                <w:b/>
                <w:color w:val="000000"/>
                <w:szCs w:val="22"/>
              </w:rPr>
            </w:pPr>
          </w:p>
        </w:tc>
        <w:tc>
          <w:tcPr>
            <w:tcW w:w="1276" w:type="dxa"/>
            <w:vMerge/>
            <w:tcBorders>
              <w:right w:val="single" w:sz="4" w:space="0" w:color="auto"/>
            </w:tcBorders>
          </w:tcPr>
          <w:p w14:paraId="6D2BA5F2" w14:textId="77777777" w:rsidR="007B18BA" w:rsidRPr="00556B9B" w:rsidRDefault="007B18BA" w:rsidP="00A72D34">
            <w:pPr>
              <w:keepNext/>
              <w:rPr>
                <w:b/>
                <w:color w:val="000000"/>
                <w:szCs w:val="22"/>
              </w:rPr>
            </w:pPr>
          </w:p>
        </w:tc>
        <w:tc>
          <w:tcPr>
            <w:tcW w:w="992" w:type="dxa"/>
            <w:vMerge/>
            <w:tcBorders>
              <w:left w:val="single" w:sz="4" w:space="0" w:color="auto"/>
              <w:right w:val="single" w:sz="4" w:space="0" w:color="auto"/>
            </w:tcBorders>
          </w:tcPr>
          <w:p w14:paraId="3E8A2FF2" w14:textId="77777777" w:rsidR="007B18BA" w:rsidRPr="00556B9B" w:rsidRDefault="007B18BA" w:rsidP="00A72D34">
            <w:pPr>
              <w:keepNext/>
              <w:jc w:val="center"/>
              <w:rPr>
                <w:b/>
                <w:color w:val="000000"/>
                <w:szCs w:val="22"/>
              </w:rPr>
            </w:pPr>
          </w:p>
        </w:tc>
        <w:tc>
          <w:tcPr>
            <w:tcW w:w="1881" w:type="dxa"/>
            <w:vMerge/>
            <w:tcBorders>
              <w:left w:val="single" w:sz="4" w:space="0" w:color="auto"/>
              <w:right w:val="single" w:sz="4" w:space="0" w:color="auto"/>
            </w:tcBorders>
          </w:tcPr>
          <w:p w14:paraId="565E3AA5" w14:textId="77777777" w:rsidR="007B18BA" w:rsidRPr="00556B9B" w:rsidRDefault="007B18BA" w:rsidP="00A72D34">
            <w:pPr>
              <w:keepNext/>
              <w:jc w:val="center"/>
              <w:rPr>
                <w:b/>
                <w:color w:val="000000"/>
                <w:szCs w:val="22"/>
              </w:rPr>
            </w:pPr>
          </w:p>
        </w:tc>
        <w:tc>
          <w:tcPr>
            <w:tcW w:w="1800" w:type="dxa"/>
            <w:vMerge/>
            <w:tcBorders>
              <w:left w:val="single" w:sz="4" w:space="0" w:color="auto"/>
              <w:right w:val="single" w:sz="4" w:space="0" w:color="auto"/>
            </w:tcBorders>
          </w:tcPr>
          <w:p w14:paraId="77FC9CB6" w14:textId="77777777" w:rsidR="007B18BA" w:rsidRPr="00556B9B" w:rsidRDefault="007B18BA" w:rsidP="00A72D34">
            <w:pPr>
              <w:keepNext/>
              <w:rPr>
                <w:b/>
                <w:color w:val="000000"/>
                <w:szCs w:val="22"/>
              </w:rPr>
            </w:pPr>
          </w:p>
        </w:tc>
        <w:tc>
          <w:tcPr>
            <w:tcW w:w="1440" w:type="dxa"/>
            <w:tcBorders>
              <w:left w:val="single" w:sz="4" w:space="0" w:color="auto"/>
              <w:right w:val="single" w:sz="4" w:space="0" w:color="auto"/>
            </w:tcBorders>
          </w:tcPr>
          <w:p w14:paraId="3114EAFA" w14:textId="77777777" w:rsidR="007B18BA" w:rsidRPr="00556B9B" w:rsidRDefault="00D905DA" w:rsidP="00A72D34">
            <w:pPr>
              <w:keepNext/>
              <w:jc w:val="center"/>
              <w:rPr>
                <w:b/>
                <w:color w:val="000000"/>
                <w:szCs w:val="22"/>
              </w:rPr>
            </w:pPr>
            <w:r w:rsidRPr="00556B9B">
              <w:rPr>
                <w:b/>
                <w:color w:val="000000"/>
                <w:szCs w:val="22"/>
                <w:lang w:val="hu-HU"/>
              </w:rPr>
              <w:t>12 hónap</w:t>
            </w:r>
          </w:p>
        </w:tc>
        <w:tc>
          <w:tcPr>
            <w:tcW w:w="1360" w:type="dxa"/>
            <w:tcBorders>
              <w:left w:val="single" w:sz="4" w:space="0" w:color="auto"/>
            </w:tcBorders>
          </w:tcPr>
          <w:p w14:paraId="0A875237" w14:textId="77777777" w:rsidR="007B18BA" w:rsidRPr="00556B9B" w:rsidRDefault="00D905DA" w:rsidP="00A72D34">
            <w:pPr>
              <w:keepNext/>
              <w:jc w:val="center"/>
              <w:rPr>
                <w:b/>
                <w:color w:val="000000"/>
                <w:szCs w:val="22"/>
              </w:rPr>
            </w:pPr>
            <w:r w:rsidRPr="00556B9B">
              <w:rPr>
                <w:b/>
                <w:color w:val="000000"/>
                <w:szCs w:val="22"/>
                <w:lang w:val="hu-HU"/>
              </w:rPr>
              <w:t>24 hónap</w:t>
            </w:r>
          </w:p>
        </w:tc>
      </w:tr>
      <w:tr w:rsidR="007B18BA" w:rsidRPr="00556B9B" w14:paraId="01223E59" w14:textId="77777777" w:rsidTr="00A72D34">
        <w:trPr>
          <w:cantSplit/>
        </w:trPr>
        <w:tc>
          <w:tcPr>
            <w:tcW w:w="1271" w:type="dxa"/>
            <w:vMerge/>
          </w:tcPr>
          <w:p w14:paraId="658BBD38" w14:textId="77777777" w:rsidR="007B18BA" w:rsidRPr="00556B9B" w:rsidRDefault="007B18BA" w:rsidP="00A72D34">
            <w:pPr>
              <w:keepNext/>
              <w:rPr>
                <w:b/>
                <w:color w:val="000000"/>
                <w:szCs w:val="22"/>
              </w:rPr>
            </w:pPr>
          </w:p>
        </w:tc>
        <w:tc>
          <w:tcPr>
            <w:tcW w:w="1276" w:type="dxa"/>
            <w:vMerge/>
            <w:tcBorders>
              <w:right w:val="single" w:sz="4" w:space="0" w:color="auto"/>
            </w:tcBorders>
          </w:tcPr>
          <w:p w14:paraId="3CE6FFAF" w14:textId="77777777" w:rsidR="007B18BA" w:rsidRPr="00556B9B" w:rsidRDefault="007B18BA" w:rsidP="00A72D34">
            <w:pPr>
              <w:keepNext/>
              <w:rPr>
                <w:b/>
                <w:color w:val="000000"/>
                <w:szCs w:val="22"/>
              </w:rPr>
            </w:pPr>
          </w:p>
        </w:tc>
        <w:tc>
          <w:tcPr>
            <w:tcW w:w="992" w:type="dxa"/>
            <w:vMerge/>
            <w:tcBorders>
              <w:left w:val="single" w:sz="4" w:space="0" w:color="auto"/>
              <w:right w:val="single" w:sz="4" w:space="0" w:color="auto"/>
            </w:tcBorders>
          </w:tcPr>
          <w:p w14:paraId="04EBBD76" w14:textId="77777777" w:rsidR="007B18BA" w:rsidRPr="00556B9B" w:rsidRDefault="007B18BA" w:rsidP="00A72D34">
            <w:pPr>
              <w:keepNext/>
              <w:jc w:val="center"/>
              <w:rPr>
                <w:b/>
                <w:color w:val="000000"/>
                <w:szCs w:val="22"/>
              </w:rPr>
            </w:pPr>
          </w:p>
        </w:tc>
        <w:tc>
          <w:tcPr>
            <w:tcW w:w="1881" w:type="dxa"/>
            <w:tcBorders>
              <w:left w:val="single" w:sz="4" w:space="0" w:color="auto"/>
              <w:bottom w:val="single" w:sz="4" w:space="0" w:color="auto"/>
              <w:right w:val="single" w:sz="4" w:space="0" w:color="auto"/>
            </w:tcBorders>
          </w:tcPr>
          <w:p w14:paraId="62D00605" w14:textId="77777777" w:rsidR="007B18BA" w:rsidRPr="00556B9B" w:rsidRDefault="00D905DA" w:rsidP="00A72D34">
            <w:pPr>
              <w:keepNext/>
              <w:jc w:val="center"/>
              <w:rPr>
                <w:b/>
                <w:color w:val="000000"/>
                <w:szCs w:val="22"/>
              </w:rPr>
            </w:pPr>
            <w:r w:rsidRPr="00556B9B">
              <w:rPr>
                <w:b/>
                <w:color w:val="000000"/>
                <w:szCs w:val="22"/>
                <w:lang w:val="hu-HU"/>
              </w:rPr>
              <w:t>Glivec vs. placebo</w:t>
            </w:r>
          </w:p>
        </w:tc>
        <w:tc>
          <w:tcPr>
            <w:tcW w:w="1800" w:type="dxa"/>
            <w:vMerge/>
            <w:tcBorders>
              <w:left w:val="single" w:sz="4" w:space="0" w:color="auto"/>
              <w:bottom w:val="single" w:sz="4" w:space="0" w:color="auto"/>
              <w:right w:val="single" w:sz="4" w:space="0" w:color="auto"/>
            </w:tcBorders>
          </w:tcPr>
          <w:p w14:paraId="6183E9D2" w14:textId="77777777" w:rsidR="007B18BA" w:rsidRPr="00556B9B" w:rsidRDefault="007B18BA" w:rsidP="00A72D34">
            <w:pPr>
              <w:keepNext/>
              <w:jc w:val="center"/>
              <w:rPr>
                <w:b/>
                <w:color w:val="000000"/>
                <w:szCs w:val="22"/>
              </w:rPr>
            </w:pPr>
          </w:p>
        </w:tc>
        <w:tc>
          <w:tcPr>
            <w:tcW w:w="1440" w:type="dxa"/>
            <w:tcBorders>
              <w:left w:val="single" w:sz="4" w:space="0" w:color="auto"/>
              <w:bottom w:val="single" w:sz="4" w:space="0" w:color="auto"/>
              <w:right w:val="single" w:sz="4" w:space="0" w:color="auto"/>
            </w:tcBorders>
          </w:tcPr>
          <w:p w14:paraId="1CAE0EBC" w14:textId="77777777" w:rsidR="007B18BA" w:rsidRPr="00556B9B" w:rsidRDefault="00D905DA" w:rsidP="00A72D34">
            <w:pPr>
              <w:keepNext/>
              <w:jc w:val="center"/>
              <w:rPr>
                <w:b/>
                <w:color w:val="000000"/>
                <w:szCs w:val="22"/>
              </w:rPr>
            </w:pPr>
            <w:r w:rsidRPr="00556B9B">
              <w:rPr>
                <w:b/>
                <w:color w:val="000000"/>
                <w:szCs w:val="22"/>
                <w:lang w:val="hu-HU"/>
              </w:rPr>
              <w:t>Glivec vs. placebo</w:t>
            </w:r>
          </w:p>
        </w:tc>
        <w:tc>
          <w:tcPr>
            <w:tcW w:w="1360" w:type="dxa"/>
            <w:tcBorders>
              <w:left w:val="single" w:sz="4" w:space="0" w:color="auto"/>
            </w:tcBorders>
          </w:tcPr>
          <w:p w14:paraId="5C77F5EC" w14:textId="77777777" w:rsidR="007B18BA" w:rsidRPr="00556B9B" w:rsidRDefault="00D905DA" w:rsidP="00A72D34">
            <w:pPr>
              <w:keepNext/>
              <w:jc w:val="center"/>
              <w:rPr>
                <w:b/>
                <w:color w:val="000000"/>
                <w:szCs w:val="22"/>
              </w:rPr>
            </w:pPr>
            <w:r w:rsidRPr="00556B9B">
              <w:rPr>
                <w:b/>
                <w:color w:val="000000"/>
                <w:szCs w:val="22"/>
                <w:lang w:val="hu-HU"/>
              </w:rPr>
              <w:t>Glivec vs. placebo</w:t>
            </w:r>
          </w:p>
        </w:tc>
      </w:tr>
      <w:tr w:rsidR="007B18BA" w:rsidRPr="00556B9B" w14:paraId="2B407306" w14:textId="77777777" w:rsidTr="00A72D34">
        <w:trPr>
          <w:cantSplit/>
        </w:trPr>
        <w:tc>
          <w:tcPr>
            <w:tcW w:w="1271" w:type="dxa"/>
            <w:vMerge w:val="restart"/>
            <w:shd w:val="clear" w:color="auto" w:fill="auto"/>
          </w:tcPr>
          <w:p w14:paraId="19BE871E" w14:textId="77777777" w:rsidR="007B18BA" w:rsidRPr="00556B9B" w:rsidRDefault="007B18BA" w:rsidP="00A72D34">
            <w:pPr>
              <w:keepNext/>
              <w:spacing w:before="360"/>
              <w:rPr>
                <w:color w:val="000000"/>
                <w:szCs w:val="22"/>
              </w:rPr>
            </w:pPr>
            <w:r w:rsidRPr="00556B9B">
              <w:rPr>
                <w:color w:val="000000"/>
                <w:szCs w:val="22"/>
              </w:rPr>
              <w:t>NIH</w:t>
            </w:r>
          </w:p>
        </w:tc>
        <w:tc>
          <w:tcPr>
            <w:tcW w:w="1276" w:type="dxa"/>
            <w:tcBorders>
              <w:bottom w:val="nil"/>
              <w:right w:val="single" w:sz="4" w:space="0" w:color="auto"/>
            </w:tcBorders>
            <w:vAlign w:val="bottom"/>
          </w:tcPr>
          <w:p w14:paraId="3D5258E0" w14:textId="77777777" w:rsidR="007B18BA" w:rsidRPr="00556B9B" w:rsidRDefault="00D905DA" w:rsidP="00A72D34">
            <w:pPr>
              <w:keepNext/>
              <w:spacing w:before="40" w:after="20"/>
              <w:ind w:left="57" w:hanging="57"/>
              <w:rPr>
                <w:color w:val="000000"/>
                <w:szCs w:val="22"/>
              </w:rPr>
            </w:pPr>
            <w:r w:rsidRPr="00556B9B">
              <w:rPr>
                <w:color w:val="000000"/>
                <w:szCs w:val="22"/>
              </w:rPr>
              <w:t>Alacsony</w:t>
            </w:r>
          </w:p>
        </w:tc>
        <w:tc>
          <w:tcPr>
            <w:tcW w:w="992" w:type="dxa"/>
            <w:tcBorders>
              <w:left w:val="single" w:sz="4" w:space="0" w:color="auto"/>
              <w:bottom w:val="nil"/>
              <w:right w:val="single" w:sz="4" w:space="0" w:color="auto"/>
            </w:tcBorders>
            <w:vAlign w:val="bottom"/>
          </w:tcPr>
          <w:p w14:paraId="1B285997" w14:textId="77777777" w:rsidR="007B18BA" w:rsidRPr="00556B9B" w:rsidRDefault="00D905DA" w:rsidP="00A72D34">
            <w:pPr>
              <w:keepNext/>
              <w:spacing w:before="40" w:after="20"/>
              <w:ind w:left="57" w:hanging="57"/>
              <w:jc w:val="center"/>
              <w:rPr>
                <w:color w:val="000000"/>
                <w:szCs w:val="22"/>
              </w:rPr>
            </w:pPr>
            <w:r w:rsidRPr="00556B9B">
              <w:rPr>
                <w:color w:val="000000"/>
                <w:szCs w:val="22"/>
              </w:rPr>
              <w:t>29,</w:t>
            </w:r>
            <w:r w:rsidR="007B18BA" w:rsidRPr="00556B9B">
              <w:rPr>
                <w:color w:val="000000"/>
                <w:szCs w:val="22"/>
              </w:rPr>
              <w:t>5</w:t>
            </w:r>
          </w:p>
        </w:tc>
        <w:tc>
          <w:tcPr>
            <w:tcW w:w="1881" w:type="dxa"/>
            <w:tcBorders>
              <w:left w:val="single" w:sz="4" w:space="0" w:color="auto"/>
              <w:bottom w:val="nil"/>
              <w:right w:val="single" w:sz="4" w:space="0" w:color="auto"/>
            </w:tcBorders>
            <w:vAlign w:val="bottom"/>
          </w:tcPr>
          <w:p w14:paraId="7601A74E" w14:textId="77777777" w:rsidR="007B18BA" w:rsidRPr="00556B9B" w:rsidRDefault="007B18BA" w:rsidP="00A72D34">
            <w:pPr>
              <w:keepNext/>
              <w:spacing w:before="40" w:after="20"/>
              <w:ind w:left="57" w:hanging="57"/>
              <w:rPr>
                <w:color w:val="000000"/>
                <w:szCs w:val="22"/>
              </w:rPr>
            </w:pPr>
            <w:r w:rsidRPr="00556B9B">
              <w:rPr>
                <w:color w:val="000000"/>
                <w:szCs w:val="22"/>
              </w:rPr>
              <w:t>0/86 vs. 2/90</w:t>
            </w:r>
          </w:p>
        </w:tc>
        <w:tc>
          <w:tcPr>
            <w:tcW w:w="1800" w:type="dxa"/>
            <w:tcBorders>
              <w:left w:val="single" w:sz="4" w:space="0" w:color="auto"/>
              <w:bottom w:val="nil"/>
              <w:right w:val="single" w:sz="4" w:space="0" w:color="auto"/>
            </w:tcBorders>
            <w:vAlign w:val="bottom"/>
          </w:tcPr>
          <w:p w14:paraId="387C570B" w14:textId="77777777" w:rsidR="007B18BA" w:rsidRPr="00556B9B" w:rsidRDefault="007B18BA" w:rsidP="00A72D34">
            <w:pPr>
              <w:keepNext/>
              <w:spacing w:before="40" w:after="20"/>
              <w:ind w:left="57" w:hanging="57"/>
              <w:rPr>
                <w:color w:val="000000"/>
                <w:szCs w:val="22"/>
              </w:rPr>
            </w:pPr>
            <w:r w:rsidRPr="00556B9B">
              <w:rPr>
                <w:color w:val="000000"/>
                <w:szCs w:val="22"/>
              </w:rPr>
              <w:t>N.</w:t>
            </w:r>
            <w:r w:rsidR="007518BF" w:rsidRPr="00556B9B">
              <w:rPr>
                <w:color w:val="000000"/>
                <w:szCs w:val="22"/>
              </w:rPr>
              <w:t>m</w:t>
            </w:r>
            <w:r w:rsidRPr="00556B9B">
              <w:rPr>
                <w:color w:val="000000"/>
                <w:szCs w:val="22"/>
              </w:rPr>
              <w:t>.</w:t>
            </w:r>
          </w:p>
        </w:tc>
        <w:tc>
          <w:tcPr>
            <w:tcW w:w="1440" w:type="dxa"/>
            <w:tcBorders>
              <w:left w:val="single" w:sz="4" w:space="0" w:color="auto"/>
              <w:bottom w:val="nil"/>
              <w:right w:val="single" w:sz="4" w:space="0" w:color="auto"/>
            </w:tcBorders>
            <w:vAlign w:val="bottom"/>
          </w:tcPr>
          <w:p w14:paraId="152416A4" w14:textId="77777777" w:rsidR="007B18BA" w:rsidRPr="00556B9B" w:rsidRDefault="007B18BA" w:rsidP="00A72D34">
            <w:pPr>
              <w:keepNext/>
              <w:spacing w:before="40" w:after="20"/>
              <w:ind w:left="57" w:hanging="57"/>
              <w:rPr>
                <w:color w:val="000000"/>
                <w:szCs w:val="22"/>
              </w:rPr>
            </w:pPr>
            <w:r w:rsidRPr="00556B9B">
              <w:rPr>
                <w:color w:val="000000"/>
                <w:szCs w:val="22"/>
              </w:rPr>
              <w:t>100 vs</w:t>
            </w:r>
            <w:r w:rsidR="00292471" w:rsidRPr="00556B9B">
              <w:rPr>
                <w:color w:val="000000"/>
                <w:szCs w:val="22"/>
              </w:rPr>
              <w:t>.</w:t>
            </w:r>
            <w:r w:rsidRPr="00556B9B">
              <w:rPr>
                <w:color w:val="000000"/>
                <w:szCs w:val="22"/>
              </w:rPr>
              <w:t xml:space="preserve"> 98</w:t>
            </w:r>
            <w:r w:rsidR="00D905DA" w:rsidRPr="00556B9B">
              <w:rPr>
                <w:color w:val="000000"/>
                <w:szCs w:val="22"/>
              </w:rPr>
              <w:t>,</w:t>
            </w:r>
            <w:r w:rsidRPr="00556B9B">
              <w:rPr>
                <w:color w:val="000000"/>
                <w:szCs w:val="22"/>
              </w:rPr>
              <w:t>7</w:t>
            </w:r>
          </w:p>
        </w:tc>
        <w:tc>
          <w:tcPr>
            <w:tcW w:w="1360" w:type="dxa"/>
            <w:tcBorders>
              <w:left w:val="single" w:sz="4" w:space="0" w:color="auto"/>
              <w:bottom w:val="nil"/>
            </w:tcBorders>
            <w:vAlign w:val="bottom"/>
          </w:tcPr>
          <w:p w14:paraId="24855CA9" w14:textId="77777777" w:rsidR="007B18BA" w:rsidRPr="00556B9B" w:rsidRDefault="00D905DA" w:rsidP="00A72D34">
            <w:pPr>
              <w:keepNext/>
              <w:spacing w:before="40" w:after="20"/>
              <w:ind w:left="57" w:hanging="57"/>
              <w:rPr>
                <w:color w:val="000000"/>
                <w:szCs w:val="22"/>
              </w:rPr>
            </w:pPr>
            <w:r w:rsidRPr="00556B9B">
              <w:rPr>
                <w:color w:val="000000"/>
                <w:szCs w:val="22"/>
              </w:rPr>
              <w:t>100 vs.</w:t>
            </w:r>
            <w:r w:rsidR="00292471" w:rsidRPr="00556B9B">
              <w:rPr>
                <w:color w:val="000000"/>
                <w:szCs w:val="22"/>
              </w:rPr>
              <w:t xml:space="preserve"> </w:t>
            </w:r>
            <w:r w:rsidRPr="00556B9B">
              <w:rPr>
                <w:color w:val="000000"/>
                <w:szCs w:val="22"/>
              </w:rPr>
              <w:t>95,</w:t>
            </w:r>
            <w:r w:rsidR="007B18BA" w:rsidRPr="00556B9B">
              <w:rPr>
                <w:color w:val="000000"/>
                <w:szCs w:val="22"/>
              </w:rPr>
              <w:t>5</w:t>
            </w:r>
          </w:p>
        </w:tc>
      </w:tr>
      <w:tr w:rsidR="007B18BA" w:rsidRPr="00556B9B" w14:paraId="23C2D624" w14:textId="77777777" w:rsidTr="00A72D34">
        <w:trPr>
          <w:cantSplit/>
        </w:trPr>
        <w:tc>
          <w:tcPr>
            <w:tcW w:w="1271" w:type="dxa"/>
            <w:vMerge/>
            <w:shd w:val="clear" w:color="auto" w:fill="auto"/>
          </w:tcPr>
          <w:p w14:paraId="6289666C" w14:textId="77777777" w:rsidR="007B18BA" w:rsidRPr="00556B9B" w:rsidRDefault="007B18BA" w:rsidP="00A72D34">
            <w:pPr>
              <w:keepNext/>
              <w:rPr>
                <w:b/>
                <w:color w:val="000000"/>
                <w:szCs w:val="22"/>
              </w:rPr>
            </w:pPr>
          </w:p>
        </w:tc>
        <w:tc>
          <w:tcPr>
            <w:tcW w:w="1276" w:type="dxa"/>
            <w:tcBorders>
              <w:top w:val="nil"/>
              <w:bottom w:val="nil"/>
              <w:right w:val="single" w:sz="4" w:space="0" w:color="auto"/>
            </w:tcBorders>
            <w:vAlign w:val="bottom"/>
          </w:tcPr>
          <w:p w14:paraId="4C2B34BF" w14:textId="77777777" w:rsidR="007B18BA" w:rsidRPr="00556B9B" w:rsidRDefault="00D905DA" w:rsidP="00A72D34">
            <w:pPr>
              <w:keepNext/>
              <w:rPr>
                <w:color w:val="000000"/>
                <w:szCs w:val="22"/>
              </w:rPr>
            </w:pPr>
            <w:r w:rsidRPr="00556B9B">
              <w:rPr>
                <w:color w:val="000000"/>
                <w:szCs w:val="22"/>
              </w:rPr>
              <w:t>Köz</w:t>
            </w:r>
            <w:r w:rsidR="00732E4B" w:rsidRPr="00556B9B">
              <w:rPr>
                <w:color w:val="000000"/>
                <w:szCs w:val="22"/>
              </w:rPr>
              <w:t>epes</w:t>
            </w:r>
          </w:p>
        </w:tc>
        <w:tc>
          <w:tcPr>
            <w:tcW w:w="992" w:type="dxa"/>
            <w:tcBorders>
              <w:top w:val="nil"/>
              <w:left w:val="single" w:sz="4" w:space="0" w:color="auto"/>
              <w:bottom w:val="nil"/>
              <w:right w:val="single" w:sz="4" w:space="0" w:color="auto"/>
            </w:tcBorders>
            <w:vAlign w:val="bottom"/>
          </w:tcPr>
          <w:p w14:paraId="3093525D" w14:textId="77777777" w:rsidR="007B18BA" w:rsidRPr="00556B9B" w:rsidRDefault="00D905DA" w:rsidP="00A72D34">
            <w:pPr>
              <w:keepNext/>
              <w:jc w:val="center"/>
              <w:rPr>
                <w:color w:val="000000"/>
                <w:szCs w:val="22"/>
              </w:rPr>
            </w:pPr>
            <w:r w:rsidRPr="00556B9B">
              <w:rPr>
                <w:color w:val="000000"/>
                <w:szCs w:val="22"/>
              </w:rPr>
              <w:t>25,</w:t>
            </w:r>
            <w:r w:rsidR="007B18BA" w:rsidRPr="00556B9B">
              <w:rPr>
                <w:color w:val="000000"/>
                <w:szCs w:val="22"/>
              </w:rPr>
              <w:t>7</w:t>
            </w:r>
          </w:p>
        </w:tc>
        <w:tc>
          <w:tcPr>
            <w:tcW w:w="1881" w:type="dxa"/>
            <w:tcBorders>
              <w:top w:val="nil"/>
              <w:left w:val="single" w:sz="4" w:space="0" w:color="auto"/>
              <w:bottom w:val="nil"/>
              <w:right w:val="single" w:sz="4" w:space="0" w:color="auto"/>
            </w:tcBorders>
            <w:vAlign w:val="bottom"/>
          </w:tcPr>
          <w:p w14:paraId="1ECB7E7F" w14:textId="77777777" w:rsidR="007B18BA" w:rsidRPr="00556B9B" w:rsidRDefault="007B18BA" w:rsidP="00A72D34">
            <w:pPr>
              <w:keepNext/>
              <w:rPr>
                <w:color w:val="000000"/>
                <w:szCs w:val="22"/>
              </w:rPr>
            </w:pPr>
            <w:r w:rsidRPr="00556B9B">
              <w:rPr>
                <w:color w:val="000000"/>
                <w:szCs w:val="22"/>
              </w:rPr>
              <w:t>4/75 vs. 6/78</w:t>
            </w:r>
          </w:p>
        </w:tc>
        <w:tc>
          <w:tcPr>
            <w:tcW w:w="1800" w:type="dxa"/>
            <w:tcBorders>
              <w:top w:val="nil"/>
              <w:left w:val="single" w:sz="4" w:space="0" w:color="auto"/>
              <w:bottom w:val="nil"/>
              <w:right w:val="single" w:sz="4" w:space="0" w:color="auto"/>
            </w:tcBorders>
            <w:vAlign w:val="bottom"/>
          </w:tcPr>
          <w:p w14:paraId="7FC09743" w14:textId="77777777" w:rsidR="007B18BA" w:rsidRPr="00556B9B" w:rsidRDefault="00D905DA" w:rsidP="00A72D34">
            <w:pPr>
              <w:keepNext/>
              <w:rPr>
                <w:color w:val="000000"/>
                <w:szCs w:val="22"/>
              </w:rPr>
            </w:pPr>
            <w:r w:rsidRPr="00556B9B">
              <w:rPr>
                <w:color w:val="000000"/>
                <w:szCs w:val="22"/>
              </w:rPr>
              <w:t>0,59 (0,</w:t>
            </w:r>
            <w:r w:rsidR="007B18BA" w:rsidRPr="00556B9B">
              <w:rPr>
                <w:color w:val="000000"/>
                <w:szCs w:val="22"/>
              </w:rPr>
              <w:t xml:space="preserve">17; </w:t>
            </w:r>
            <w:r w:rsidRPr="00556B9B">
              <w:rPr>
                <w:color w:val="000000"/>
                <w:szCs w:val="22"/>
              </w:rPr>
              <w:t>2,</w:t>
            </w:r>
            <w:r w:rsidR="007B18BA" w:rsidRPr="00556B9B">
              <w:rPr>
                <w:color w:val="000000"/>
                <w:szCs w:val="22"/>
              </w:rPr>
              <w:t>10)</w:t>
            </w:r>
          </w:p>
        </w:tc>
        <w:tc>
          <w:tcPr>
            <w:tcW w:w="1440" w:type="dxa"/>
            <w:tcBorders>
              <w:top w:val="nil"/>
              <w:left w:val="single" w:sz="4" w:space="0" w:color="auto"/>
              <w:bottom w:val="nil"/>
              <w:right w:val="single" w:sz="4" w:space="0" w:color="auto"/>
            </w:tcBorders>
            <w:vAlign w:val="bottom"/>
          </w:tcPr>
          <w:p w14:paraId="1A77F056" w14:textId="77777777" w:rsidR="007B18BA" w:rsidRPr="00556B9B" w:rsidRDefault="00D905DA" w:rsidP="00A72D34">
            <w:pPr>
              <w:keepNext/>
              <w:rPr>
                <w:color w:val="000000"/>
                <w:szCs w:val="22"/>
              </w:rPr>
            </w:pPr>
            <w:r w:rsidRPr="00556B9B">
              <w:rPr>
                <w:color w:val="000000"/>
                <w:szCs w:val="22"/>
              </w:rPr>
              <w:t>100 vs. 94,</w:t>
            </w:r>
            <w:r w:rsidR="007B18BA" w:rsidRPr="00556B9B">
              <w:rPr>
                <w:color w:val="000000"/>
                <w:szCs w:val="22"/>
              </w:rPr>
              <w:t>8</w:t>
            </w:r>
          </w:p>
        </w:tc>
        <w:tc>
          <w:tcPr>
            <w:tcW w:w="1360" w:type="dxa"/>
            <w:tcBorders>
              <w:top w:val="nil"/>
              <w:left w:val="single" w:sz="4" w:space="0" w:color="auto"/>
              <w:bottom w:val="nil"/>
            </w:tcBorders>
            <w:vAlign w:val="bottom"/>
          </w:tcPr>
          <w:p w14:paraId="064BC4A0" w14:textId="77777777" w:rsidR="007B18BA" w:rsidRPr="00556B9B" w:rsidRDefault="00D905DA" w:rsidP="00A72D34">
            <w:pPr>
              <w:keepNext/>
              <w:rPr>
                <w:color w:val="000000"/>
                <w:szCs w:val="22"/>
              </w:rPr>
            </w:pPr>
            <w:r w:rsidRPr="00556B9B">
              <w:rPr>
                <w:color w:val="000000"/>
                <w:szCs w:val="22"/>
              </w:rPr>
              <w:t>97,</w:t>
            </w:r>
            <w:r w:rsidR="007B18BA" w:rsidRPr="00556B9B">
              <w:rPr>
                <w:color w:val="000000"/>
                <w:szCs w:val="22"/>
              </w:rPr>
              <w:t>8 vs.</w:t>
            </w:r>
            <w:r w:rsidRPr="00556B9B">
              <w:rPr>
                <w:color w:val="000000"/>
                <w:szCs w:val="22"/>
              </w:rPr>
              <w:t xml:space="preserve"> 89,</w:t>
            </w:r>
            <w:r w:rsidR="007B18BA" w:rsidRPr="00556B9B">
              <w:rPr>
                <w:color w:val="000000"/>
                <w:szCs w:val="22"/>
              </w:rPr>
              <w:t>5</w:t>
            </w:r>
          </w:p>
        </w:tc>
      </w:tr>
      <w:tr w:rsidR="007B18BA" w:rsidRPr="00556B9B" w14:paraId="6591DF9D" w14:textId="77777777" w:rsidTr="00A72D34">
        <w:trPr>
          <w:cantSplit/>
        </w:trPr>
        <w:tc>
          <w:tcPr>
            <w:tcW w:w="1271" w:type="dxa"/>
            <w:vMerge/>
            <w:shd w:val="clear" w:color="auto" w:fill="auto"/>
          </w:tcPr>
          <w:p w14:paraId="049DD668" w14:textId="77777777" w:rsidR="007B18BA" w:rsidRPr="00556B9B" w:rsidRDefault="007B18BA" w:rsidP="00A72D34">
            <w:pPr>
              <w:keepNext/>
              <w:rPr>
                <w:color w:val="000000"/>
                <w:szCs w:val="22"/>
              </w:rPr>
            </w:pPr>
          </w:p>
        </w:tc>
        <w:tc>
          <w:tcPr>
            <w:tcW w:w="1276" w:type="dxa"/>
            <w:tcBorders>
              <w:top w:val="nil"/>
              <w:right w:val="single" w:sz="4" w:space="0" w:color="auto"/>
            </w:tcBorders>
            <w:vAlign w:val="bottom"/>
          </w:tcPr>
          <w:p w14:paraId="36371784" w14:textId="77777777" w:rsidR="007B18BA" w:rsidRPr="00556B9B" w:rsidRDefault="00D905DA" w:rsidP="00A72D34">
            <w:pPr>
              <w:keepNext/>
              <w:rPr>
                <w:color w:val="000000"/>
                <w:szCs w:val="22"/>
              </w:rPr>
            </w:pPr>
            <w:r w:rsidRPr="00556B9B">
              <w:rPr>
                <w:color w:val="000000"/>
                <w:szCs w:val="22"/>
              </w:rPr>
              <w:t>Magas</w:t>
            </w:r>
          </w:p>
        </w:tc>
        <w:tc>
          <w:tcPr>
            <w:tcW w:w="992" w:type="dxa"/>
            <w:tcBorders>
              <w:top w:val="nil"/>
              <w:left w:val="single" w:sz="4" w:space="0" w:color="auto"/>
              <w:right w:val="single" w:sz="4" w:space="0" w:color="auto"/>
            </w:tcBorders>
            <w:vAlign w:val="bottom"/>
          </w:tcPr>
          <w:p w14:paraId="7A8E0495" w14:textId="77777777" w:rsidR="007B18BA" w:rsidRPr="00556B9B" w:rsidRDefault="00D905DA" w:rsidP="00A72D34">
            <w:pPr>
              <w:keepNext/>
              <w:jc w:val="center"/>
              <w:rPr>
                <w:color w:val="000000"/>
                <w:szCs w:val="22"/>
              </w:rPr>
            </w:pPr>
            <w:r w:rsidRPr="00556B9B">
              <w:rPr>
                <w:color w:val="000000"/>
                <w:szCs w:val="22"/>
              </w:rPr>
              <w:t>44,</w:t>
            </w:r>
            <w:r w:rsidR="007B18BA" w:rsidRPr="00556B9B">
              <w:rPr>
                <w:color w:val="000000"/>
                <w:szCs w:val="22"/>
              </w:rPr>
              <w:t>8</w:t>
            </w:r>
          </w:p>
        </w:tc>
        <w:tc>
          <w:tcPr>
            <w:tcW w:w="1881" w:type="dxa"/>
            <w:tcBorders>
              <w:top w:val="nil"/>
              <w:left w:val="single" w:sz="4" w:space="0" w:color="auto"/>
              <w:right w:val="single" w:sz="4" w:space="0" w:color="auto"/>
            </w:tcBorders>
            <w:vAlign w:val="bottom"/>
          </w:tcPr>
          <w:p w14:paraId="3552BBF8" w14:textId="77777777" w:rsidR="007B18BA" w:rsidRPr="00556B9B" w:rsidRDefault="007B18BA" w:rsidP="00A72D34">
            <w:pPr>
              <w:keepNext/>
              <w:rPr>
                <w:color w:val="000000"/>
                <w:szCs w:val="22"/>
              </w:rPr>
            </w:pPr>
            <w:r w:rsidRPr="00556B9B">
              <w:rPr>
                <w:color w:val="000000"/>
                <w:szCs w:val="22"/>
              </w:rPr>
              <w:t>21/140 vs. 51/127</w:t>
            </w:r>
          </w:p>
        </w:tc>
        <w:tc>
          <w:tcPr>
            <w:tcW w:w="1800" w:type="dxa"/>
            <w:tcBorders>
              <w:top w:val="nil"/>
              <w:left w:val="single" w:sz="4" w:space="0" w:color="auto"/>
              <w:right w:val="single" w:sz="4" w:space="0" w:color="auto"/>
            </w:tcBorders>
            <w:vAlign w:val="bottom"/>
          </w:tcPr>
          <w:p w14:paraId="4201EC0A" w14:textId="77777777" w:rsidR="007B18BA" w:rsidRPr="00556B9B" w:rsidRDefault="00D905DA" w:rsidP="00A72D34">
            <w:pPr>
              <w:keepNext/>
              <w:rPr>
                <w:color w:val="000000"/>
                <w:szCs w:val="22"/>
              </w:rPr>
            </w:pPr>
            <w:r w:rsidRPr="00556B9B">
              <w:rPr>
                <w:color w:val="000000"/>
                <w:szCs w:val="22"/>
              </w:rPr>
              <w:t>0,29 (0,</w:t>
            </w:r>
            <w:r w:rsidR="007B18BA" w:rsidRPr="00556B9B">
              <w:rPr>
                <w:color w:val="000000"/>
                <w:szCs w:val="22"/>
              </w:rPr>
              <w:t>18;</w:t>
            </w:r>
            <w:r w:rsidRPr="00556B9B">
              <w:rPr>
                <w:color w:val="000000"/>
                <w:szCs w:val="22"/>
              </w:rPr>
              <w:t xml:space="preserve"> 0,</w:t>
            </w:r>
            <w:r w:rsidR="007B18BA" w:rsidRPr="00556B9B">
              <w:rPr>
                <w:color w:val="000000"/>
                <w:szCs w:val="22"/>
              </w:rPr>
              <w:t>49)</w:t>
            </w:r>
          </w:p>
        </w:tc>
        <w:tc>
          <w:tcPr>
            <w:tcW w:w="1440" w:type="dxa"/>
            <w:tcBorders>
              <w:top w:val="nil"/>
              <w:left w:val="single" w:sz="4" w:space="0" w:color="auto"/>
              <w:right w:val="single" w:sz="4" w:space="0" w:color="auto"/>
            </w:tcBorders>
            <w:vAlign w:val="bottom"/>
          </w:tcPr>
          <w:p w14:paraId="5EC91864" w14:textId="77777777" w:rsidR="007B18BA" w:rsidRPr="00556B9B" w:rsidRDefault="00D905DA" w:rsidP="00A72D34">
            <w:pPr>
              <w:keepNext/>
              <w:rPr>
                <w:color w:val="000000"/>
                <w:szCs w:val="22"/>
              </w:rPr>
            </w:pPr>
            <w:r w:rsidRPr="00556B9B">
              <w:rPr>
                <w:color w:val="000000"/>
                <w:szCs w:val="22"/>
              </w:rPr>
              <w:t>94,</w:t>
            </w:r>
            <w:r w:rsidR="007B18BA" w:rsidRPr="00556B9B">
              <w:rPr>
                <w:color w:val="000000"/>
                <w:szCs w:val="22"/>
              </w:rPr>
              <w:t>8 vs.</w:t>
            </w:r>
            <w:r w:rsidRPr="00556B9B">
              <w:rPr>
                <w:color w:val="000000"/>
                <w:szCs w:val="22"/>
              </w:rPr>
              <w:t xml:space="preserve"> 64,</w:t>
            </w:r>
            <w:r w:rsidR="007B18BA" w:rsidRPr="00556B9B">
              <w:rPr>
                <w:color w:val="000000"/>
                <w:szCs w:val="22"/>
              </w:rPr>
              <w:t>0</w:t>
            </w:r>
          </w:p>
        </w:tc>
        <w:tc>
          <w:tcPr>
            <w:tcW w:w="1360" w:type="dxa"/>
            <w:tcBorders>
              <w:top w:val="nil"/>
              <w:left w:val="single" w:sz="4" w:space="0" w:color="auto"/>
            </w:tcBorders>
            <w:vAlign w:val="bottom"/>
          </w:tcPr>
          <w:p w14:paraId="63B9AF95" w14:textId="77777777" w:rsidR="007B18BA" w:rsidRPr="00556B9B" w:rsidRDefault="00D905DA" w:rsidP="00A72D34">
            <w:pPr>
              <w:keepNext/>
              <w:rPr>
                <w:color w:val="000000"/>
                <w:szCs w:val="22"/>
              </w:rPr>
            </w:pPr>
            <w:r w:rsidRPr="00556B9B">
              <w:rPr>
                <w:color w:val="000000"/>
                <w:szCs w:val="22"/>
              </w:rPr>
              <w:t>80,</w:t>
            </w:r>
            <w:r w:rsidR="007B18BA" w:rsidRPr="00556B9B">
              <w:rPr>
                <w:color w:val="000000"/>
                <w:szCs w:val="22"/>
              </w:rPr>
              <w:t>7 vs.</w:t>
            </w:r>
            <w:r w:rsidRPr="00556B9B">
              <w:rPr>
                <w:color w:val="000000"/>
                <w:szCs w:val="22"/>
              </w:rPr>
              <w:t xml:space="preserve"> 46,</w:t>
            </w:r>
            <w:r w:rsidR="007B18BA" w:rsidRPr="00556B9B">
              <w:rPr>
                <w:color w:val="000000"/>
                <w:szCs w:val="22"/>
              </w:rPr>
              <w:t>6</w:t>
            </w:r>
          </w:p>
        </w:tc>
      </w:tr>
      <w:tr w:rsidR="007B18BA" w:rsidRPr="00556B9B" w14:paraId="542983B4" w14:textId="77777777" w:rsidTr="00A72D34">
        <w:trPr>
          <w:cantSplit/>
        </w:trPr>
        <w:tc>
          <w:tcPr>
            <w:tcW w:w="1271" w:type="dxa"/>
            <w:vMerge w:val="restart"/>
            <w:shd w:val="clear" w:color="auto" w:fill="auto"/>
          </w:tcPr>
          <w:p w14:paraId="283C66E0" w14:textId="77777777" w:rsidR="007B18BA" w:rsidRPr="00556B9B" w:rsidRDefault="007B18BA" w:rsidP="00A72D34">
            <w:pPr>
              <w:keepNext/>
              <w:spacing w:before="480"/>
              <w:rPr>
                <w:color w:val="000000"/>
                <w:szCs w:val="22"/>
              </w:rPr>
            </w:pPr>
            <w:r w:rsidRPr="00556B9B">
              <w:rPr>
                <w:color w:val="000000"/>
                <w:szCs w:val="22"/>
              </w:rPr>
              <w:t>AFIP</w:t>
            </w:r>
          </w:p>
        </w:tc>
        <w:tc>
          <w:tcPr>
            <w:tcW w:w="1276" w:type="dxa"/>
            <w:tcBorders>
              <w:bottom w:val="nil"/>
              <w:right w:val="single" w:sz="4" w:space="0" w:color="auto"/>
            </w:tcBorders>
            <w:vAlign w:val="bottom"/>
          </w:tcPr>
          <w:p w14:paraId="304354E0" w14:textId="77777777" w:rsidR="007B18BA" w:rsidRPr="00556B9B" w:rsidRDefault="00D905DA" w:rsidP="00A72D34">
            <w:pPr>
              <w:keepNext/>
              <w:rPr>
                <w:color w:val="000000"/>
                <w:szCs w:val="22"/>
              </w:rPr>
            </w:pPr>
            <w:r w:rsidRPr="00556B9B">
              <w:rPr>
                <w:color w:val="000000"/>
                <w:szCs w:val="22"/>
              </w:rPr>
              <w:t>Nagyon alacsony</w:t>
            </w:r>
          </w:p>
        </w:tc>
        <w:tc>
          <w:tcPr>
            <w:tcW w:w="992" w:type="dxa"/>
            <w:tcBorders>
              <w:left w:val="single" w:sz="4" w:space="0" w:color="auto"/>
              <w:bottom w:val="nil"/>
              <w:right w:val="single" w:sz="4" w:space="0" w:color="auto"/>
            </w:tcBorders>
            <w:vAlign w:val="bottom"/>
          </w:tcPr>
          <w:p w14:paraId="221BE361" w14:textId="77777777" w:rsidR="007B18BA" w:rsidRPr="00556B9B" w:rsidRDefault="00D905DA" w:rsidP="00A72D34">
            <w:pPr>
              <w:keepNext/>
              <w:jc w:val="center"/>
              <w:rPr>
                <w:color w:val="000000"/>
                <w:szCs w:val="22"/>
              </w:rPr>
            </w:pPr>
            <w:r w:rsidRPr="00556B9B">
              <w:rPr>
                <w:color w:val="000000"/>
                <w:szCs w:val="22"/>
              </w:rPr>
              <w:t>20,</w:t>
            </w:r>
            <w:r w:rsidR="007B18BA" w:rsidRPr="00556B9B">
              <w:rPr>
                <w:color w:val="000000"/>
                <w:szCs w:val="22"/>
              </w:rPr>
              <w:t>7</w:t>
            </w:r>
          </w:p>
        </w:tc>
        <w:tc>
          <w:tcPr>
            <w:tcW w:w="1881" w:type="dxa"/>
            <w:tcBorders>
              <w:left w:val="single" w:sz="4" w:space="0" w:color="auto"/>
              <w:bottom w:val="nil"/>
              <w:right w:val="single" w:sz="4" w:space="0" w:color="auto"/>
            </w:tcBorders>
            <w:vAlign w:val="bottom"/>
          </w:tcPr>
          <w:p w14:paraId="22EEB717" w14:textId="77777777" w:rsidR="007B18BA" w:rsidRPr="00556B9B" w:rsidRDefault="007B18BA" w:rsidP="00A72D34">
            <w:pPr>
              <w:keepNext/>
              <w:rPr>
                <w:color w:val="000000"/>
                <w:szCs w:val="22"/>
              </w:rPr>
            </w:pPr>
            <w:r w:rsidRPr="00556B9B">
              <w:rPr>
                <w:color w:val="000000"/>
                <w:szCs w:val="22"/>
              </w:rPr>
              <w:t>0/52 vs. 2/63</w:t>
            </w:r>
          </w:p>
        </w:tc>
        <w:tc>
          <w:tcPr>
            <w:tcW w:w="1800" w:type="dxa"/>
            <w:tcBorders>
              <w:left w:val="single" w:sz="4" w:space="0" w:color="auto"/>
              <w:bottom w:val="nil"/>
              <w:right w:val="single" w:sz="4" w:space="0" w:color="auto"/>
            </w:tcBorders>
            <w:vAlign w:val="bottom"/>
          </w:tcPr>
          <w:p w14:paraId="3AF29F55" w14:textId="77777777" w:rsidR="007B18BA" w:rsidRPr="00556B9B" w:rsidRDefault="007B18BA" w:rsidP="00A72D34">
            <w:pPr>
              <w:keepNext/>
              <w:rPr>
                <w:color w:val="000000"/>
                <w:szCs w:val="22"/>
              </w:rPr>
            </w:pPr>
            <w:r w:rsidRPr="00556B9B">
              <w:rPr>
                <w:color w:val="000000"/>
                <w:szCs w:val="22"/>
              </w:rPr>
              <w:t>N.</w:t>
            </w:r>
            <w:r w:rsidR="007518BF" w:rsidRPr="00556B9B">
              <w:rPr>
                <w:color w:val="000000"/>
                <w:szCs w:val="22"/>
              </w:rPr>
              <w:t>m</w:t>
            </w:r>
            <w:r w:rsidRPr="00556B9B">
              <w:rPr>
                <w:color w:val="000000"/>
                <w:szCs w:val="22"/>
              </w:rPr>
              <w:t>.</w:t>
            </w:r>
          </w:p>
        </w:tc>
        <w:tc>
          <w:tcPr>
            <w:tcW w:w="1440" w:type="dxa"/>
            <w:tcBorders>
              <w:left w:val="single" w:sz="4" w:space="0" w:color="auto"/>
              <w:bottom w:val="nil"/>
              <w:right w:val="single" w:sz="4" w:space="0" w:color="auto"/>
            </w:tcBorders>
            <w:vAlign w:val="bottom"/>
          </w:tcPr>
          <w:p w14:paraId="08D75FA4" w14:textId="77777777" w:rsidR="007B18BA" w:rsidRPr="00556B9B" w:rsidRDefault="00D905DA" w:rsidP="00A72D34">
            <w:pPr>
              <w:keepNext/>
              <w:rPr>
                <w:color w:val="000000"/>
                <w:szCs w:val="22"/>
              </w:rPr>
            </w:pPr>
            <w:r w:rsidRPr="00556B9B">
              <w:rPr>
                <w:color w:val="000000"/>
                <w:szCs w:val="22"/>
              </w:rPr>
              <w:t>100 vs. 98,</w:t>
            </w:r>
            <w:r w:rsidR="007B18BA" w:rsidRPr="00556B9B">
              <w:rPr>
                <w:color w:val="000000"/>
                <w:szCs w:val="22"/>
              </w:rPr>
              <w:t>1</w:t>
            </w:r>
          </w:p>
        </w:tc>
        <w:tc>
          <w:tcPr>
            <w:tcW w:w="1360" w:type="dxa"/>
            <w:tcBorders>
              <w:left w:val="single" w:sz="4" w:space="0" w:color="auto"/>
              <w:bottom w:val="nil"/>
            </w:tcBorders>
            <w:vAlign w:val="bottom"/>
          </w:tcPr>
          <w:p w14:paraId="497CCF4C" w14:textId="77777777" w:rsidR="007B18BA" w:rsidRPr="00556B9B" w:rsidRDefault="00D905DA" w:rsidP="00A72D34">
            <w:pPr>
              <w:keepNext/>
              <w:rPr>
                <w:color w:val="000000"/>
                <w:szCs w:val="22"/>
              </w:rPr>
            </w:pPr>
            <w:r w:rsidRPr="00556B9B">
              <w:rPr>
                <w:color w:val="000000"/>
                <w:szCs w:val="22"/>
              </w:rPr>
              <w:t>100 vs. 93,</w:t>
            </w:r>
            <w:r w:rsidR="007B18BA" w:rsidRPr="00556B9B">
              <w:rPr>
                <w:color w:val="000000"/>
                <w:szCs w:val="22"/>
              </w:rPr>
              <w:t>0</w:t>
            </w:r>
          </w:p>
        </w:tc>
      </w:tr>
      <w:tr w:rsidR="007B18BA" w:rsidRPr="00556B9B" w14:paraId="4D3936CA" w14:textId="77777777" w:rsidTr="00A72D34">
        <w:trPr>
          <w:cantSplit/>
        </w:trPr>
        <w:tc>
          <w:tcPr>
            <w:tcW w:w="1271" w:type="dxa"/>
            <w:vMerge/>
            <w:shd w:val="clear" w:color="auto" w:fill="auto"/>
          </w:tcPr>
          <w:p w14:paraId="57AE7C36" w14:textId="77777777" w:rsidR="007B18BA" w:rsidRPr="00556B9B" w:rsidRDefault="007B18BA" w:rsidP="00A72D34">
            <w:pPr>
              <w:keepNext/>
              <w:rPr>
                <w:color w:val="000000"/>
                <w:szCs w:val="22"/>
              </w:rPr>
            </w:pPr>
          </w:p>
        </w:tc>
        <w:tc>
          <w:tcPr>
            <w:tcW w:w="1276" w:type="dxa"/>
            <w:tcBorders>
              <w:top w:val="nil"/>
              <w:bottom w:val="nil"/>
              <w:right w:val="single" w:sz="4" w:space="0" w:color="auto"/>
            </w:tcBorders>
            <w:vAlign w:val="bottom"/>
          </w:tcPr>
          <w:p w14:paraId="5BE00C11" w14:textId="77777777" w:rsidR="007B18BA" w:rsidRPr="00556B9B" w:rsidRDefault="00D905DA" w:rsidP="00A72D34">
            <w:pPr>
              <w:keepNext/>
              <w:rPr>
                <w:color w:val="000000"/>
                <w:szCs w:val="22"/>
              </w:rPr>
            </w:pPr>
            <w:r w:rsidRPr="00556B9B">
              <w:rPr>
                <w:color w:val="000000"/>
                <w:szCs w:val="22"/>
              </w:rPr>
              <w:t>Alacsony</w:t>
            </w:r>
          </w:p>
        </w:tc>
        <w:tc>
          <w:tcPr>
            <w:tcW w:w="992" w:type="dxa"/>
            <w:tcBorders>
              <w:top w:val="nil"/>
              <w:left w:val="single" w:sz="4" w:space="0" w:color="auto"/>
              <w:bottom w:val="nil"/>
              <w:right w:val="single" w:sz="4" w:space="0" w:color="auto"/>
            </w:tcBorders>
            <w:vAlign w:val="bottom"/>
          </w:tcPr>
          <w:p w14:paraId="3D3BC9F5" w14:textId="77777777" w:rsidR="007B18BA" w:rsidRPr="00556B9B" w:rsidRDefault="00D905DA" w:rsidP="00A72D34">
            <w:pPr>
              <w:keepNext/>
              <w:jc w:val="center"/>
              <w:rPr>
                <w:color w:val="000000"/>
                <w:szCs w:val="22"/>
              </w:rPr>
            </w:pPr>
            <w:r w:rsidRPr="00556B9B">
              <w:rPr>
                <w:color w:val="000000"/>
                <w:szCs w:val="22"/>
              </w:rPr>
              <w:t>25,</w:t>
            </w:r>
            <w:r w:rsidR="007B18BA" w:rsidRPr="00556B9B">
              <w:rPr>
                <w:color w:val="000000"/>
                <w:szCs w:val="22"/>
              </w:rPr>
              <w:t>0</w:t>
            </w:r>
          </w:p>
        </w:tc>
        <w:tc>
          <w:tcPr>
            <w:tcW w:w="1881" w:type="dxa"/>
            <w:tcBorders>
              <w:top w:val="nil"/>
              <w:left w:val="single" w:sz="4" w:space="0" w:color="auto"/>
              <w:bottom w:val="nil"/>
              <w:right w:val="single" w:sz="4" w:space="0" w:color="auto"/>
            </w:tcBorders>
            <w:vAlign w:val="bottom"/>
          </w:tcPr>
          <w:p w14:paraId="39BF976B" w14:textId="77777777" w:rsidR="007B18BA" w:rsidRPr="00556B9B" w:rsidRDefault="007B18BA" w:rsidP="00A72D34">
            <w:pPr>
              <w:keepNext/>
              <w:rPr>
                <w:color w:val="000000"/>
                <w:szCs w:val="22"/>
              </w:rPr>
            </w:pPr>
            <w:r w:rsidRPr="00556B9B">
              <w:rPr>
                <w:color w:val="000000"/>
                <w:szCs w:val="22"/>
              </w:rPr>
              <w:t>2/70 vs. 0/69</w:t>
            </w:r>
          </w:p>
        </w:tc>
        <w:tc>
          <w:tcPr>
            <w:tcW w:w="1800" w:type="dxa"/>
            <w:tcBorders>
              <w:top w:val="nil"/>
              <w:left w:val="single" w:sz="4" w:space="0" w:color="auto"/>
              <w:bottom w:val="nil"/>
              <w:right w:val="single" w:sz="4" w:space="0" w:color="auto"/>
            </w:tcBorders>
            <w:vAlign w:val="bottom"/>
          </w:tcPr>
          <w:p w14:paraId="0620AE6E" w14:textId="77777777" w:rsidR="007B18BA" w:rsidRPr="00556B9B" w:rsidRDefault="007B18BA" w:rsidP="00A72D34">
            <w:pPr>
              <w:keepNext/>
              <w:rPr>
                <w:color w:val="000000"/>
                <w:szCs w:val="22"/>
              </w:rPr>
            </w:pPr>
            <w:r w:rsidRPr="00556B9B">
              <w:rPr>
                <w:color w:val="000000"/>
                <w:szCs w:val="22"/>
              </w:rPr>
              <w:t>N.</w:t>
            </w:r>
            <w:r w:rsidR="007518BF" w:rsidRPr="00556B9B">
              <w:rPr>
                <w:color w:val="000000"/>
                <w:szCs w:val="22"/>
              </w:rPr>
              <w:t>m</w:t>
            </w:r>
            <w:r w:rsidRPr="00556B9B">
              <w:rPr>
                <w:color w:val="000000"/>
                <w:szCs w:val="22"/>
              </w:rPr>
              <w:t>.</w:t>
            </w:r>
          </w:p>
        </w:tc>
        <w:tc>
          <w:tcPr>
            <w:tcW w:w="1440" w:type="dxa"/>
            <w:tcBorders>
              <w:top w:val="nil"/>
              <w:left w:val="single" w:sz="4" w:space="0" w:color="auto"/>
              <w:bottom w:val="nil"/>
              <w:right w:val="single" w:sz="4" w:space="0" w:color="auto"/>
            </w:tcBorders>
            <w:vAlign w:val="bottom"/>
          </w:tcPr>
          <w:p w14:paraId="2ED05B2C" w14:textId="77777777" w:rsidR="007B18BA" w:rsidRPr="00556B9B" w:rsidRDefault="007B18BA" w:rsidP="00A72D34">
            <w:pPr>
              <w:keepNext/>
              <w:rPr>
                <w:color w:val="000000"/>
                <w:szCs w:val="22"/>
              </w:rPr>
            </w:pPr>
            <w:r w:rsidRPr="00556B9B">
              <w:rPr>
                <w:color w:val="000000"/>
                <w:szCs w:val="22"/>
              </w:rPr>
              <w:t>100 vs. 100</w:t>
            </w:r>
          </w:p>
        </w:tc>
        <w:tc>
          <w:tcPr>
            <w:tcW w:w="1360" w:type="dxa"/>
            <w:tcBorders>
              <w:top w:val="nil"/>
              <w:left w:val="single" w:sz="4" w:space="0" w:color="auto"/>
              <w:bottom w:val="nil"/>
            </w:tcBorders>
            <w:vAlign w:val="bottom"/>
          </w:tcPr>
          <w:p w14:paraId="0A467D15" w14:textId="77777777" w:rsidR="007B18BA" w:rsidRPr="00556B9B" w:rsidRDefault="007B18BA" w:rsidP="00A72D34">
            <w:pPr>
              <w:keepNext/>
              <w:rPr>
                <w:color w:val="000000"/>
                <w:szCs w:val="22"/>
              </w:rPr>
            </w:pPr>
            <w:r w:rsidRPr="00556B9B">
              <w:rPr>
                <w:color w:val="000000"/>
                <w:szCs w:val="22"/>
              </w:rPr>
              <w:t>97</w:t>
            </w:r>
            <w:r w:rsidR="00D905DA" w:rsidRPr="00556B9B">
              <w:rPr>
                <w:color w:val="000000"/>
                <w:szCs w:val="22"/>
              </w:rPr>
              <w:t>,</w:t>
            </w:r>
            <w:r w:rsidRPr="00556B9B">
              <w:rPr>
                <w:color w:val="000000"/>
                <w:szCs w:val="22"/>
              </w:rPr>
              <w:t>8 vs. 100</w:t>
            </w:r>
          </w:p>
        </w:tc>
      </w:tr>
      <w:tr w:rsidR="007B18BA" w:rsidRPr="00556B9B" w14:paraId="307153C0" w14:textId="77777777" w:rsidTr="00A72D34">
        <w:trPr>
          <w:cantSplit/>
        </w:trPr>
        <w:tc>
          <w:tcPr>
            <w:tcW w:w="1271" w:type="dxa"/>
            <w:vMerge/>
            <w:shd w:val="clear" w:color="auto" w:fill="auto"/>
          </w:tcPr>
          <w:p w14:paraId="26F7CB03" w14:textId="77777777" w:rsidR="007B18BA" w:rsidRPr="00556B9B" w:rsidRDefault="007B18BA" w:rsidP="00A72D34">
            <w:pPr>
              <w:keepNext/>
              <w:rPr>
                <w:b/>
                <w:color w:val="000000"/>
                <w:szCs w:val="22"/>
              </w:rPr>
            </w:pPr>
          </w:p>
        </w:tc>
        <w:tc>
          <w:tcPr>
            <w:tcW w:w="1276" w:type="dxa"/>
            <w:tcBorders>
              <w:top w:val="nil"/>
              <w:bottom w:val="nil"/>
              <w:right w:val="single" w:sz="4" w:space="0" w:color="auto"/>
            </w:tcBorders>
            <w:vAlign w:val="bottom"/>
          </w:tcPr>
          <w:p w14:paraId="0B33ED96" w14:textId="77777777" w:rsidR="007B18BA" w:rsidRPr="00556B9B" w:rsidRDefault="00D905DA" w:rsidP="00A72D34">
            <w:pPr>
              <w:keepNext/>
              <w:rPr>
                <w:color w:val="000000"/>
                <w:szCs w:val="22"/>
              </w:rPr>
            </w:pPr>
            <w:r w:rsidRPr="00556B9B">
              <w:rPr>
                <w:color w:val="000000"/>
                <w:szCs w:val="22"/>
              </w:rPr>
              <w:t>Közepes</w:t>
            </w:r>
          </w:p>
        </w:tc>
        <w:tc>
          <w:tcPr>
            <w:tcW w:w="992" w:type="dxa"/>
            <w:tcBorders>
              <w:top w:val="nil"/>
              <w:left w:val="single" w:sz="4" w:space="0" w:color="auto"/>
              <w:bottom w:val="nil"/>
              <w:right w:val="single" w:sz="4" w:space="0" w:color="auto"/>
            </w:tcBorders>
            <w:vAlign w:val="bottom"/>
          </w:tcPr>
          <w:p w14:paraId="622E4F82" w14:textId="77777777" w:rsidR="007B18BA" w:rsidRPr="00556B9B" w:rsidRDefault="00D905DA" w:rsidP="00A72D34">
            <w:pPr>
              <w:keepNext/>
              <w:jc w:val="center"/>
              <w:rPr>
                <w:color w:val="000000"/>
                <w:szCs w:val="22"/>
              </w:rPr>
            </w:pPr>
            <w:r w:rsidRPr="00556B9B">
              <w:rPr>
                <w:color w:val="000000"/>
                <w:szCs w:val="22"/>
              </w:rPr>
              <w:t>24,</w:t>
            </w:r>
            <w:r w:rsidR="007B18BA" w:rsidRPr="00556B9B">
              <w:rPr>
                <w:color w:val="000000"/>
                <w:szCs w:val="22"/>
              </w:rPr>
              <w:t>6</w:t>
            </w:r>
          </w:p>
        </w:tc>
        <w:tc>
          <w:tcPr>
            <w:tcW w:w="1881" w:type="dxa"/>
            <w:tcBorders>
              <w:top w:val="nil"/>
              <w:left w:val="single" w:sz="4" w:space="0" w:color="auto"/>
              <w:bottom w:val="nil"/>
              <w:right w:val="single" w:sz="4" w:space="0" w:color="auto"/>
            </w:tcBorders>
            <w:vAlign w:val="bottom"/>
          </w:tcPr>
          <w:p w14:paraId="25AD1B06" w14:textId="77777777" w:rsidR="007B18BA" w:rsidRPr="00556B9B" w:rsidRDefault="007B18BA" w:rsidP="00A72D34">
            <w:pPr>
              <w:keepNext/>
              <w:rPr>
                <w:color w:val="000000"/>
                <w:szCs w:val="22"/>
              </w:rPr>
            </w:pPr>
            <w:r w:rsidRPr="00556B9B">
              <w:rPr>
                <w:color w:val="000000"/>
                <w:szCs w:val="22"/>
              </w:rPr>
              <w:t>2/70 vs. 11/67</w:t>
            </w:r>
          </w:p>
        </w:tc>
        <w:tc>
          <w:tcPr>
            <w:tcW w:w="1800" w:type="dxa"/>
            <w:tcBorders>
              <w:top w:val="nil"/>
              <w:left w:val="single" w:sz="4" w:space="0" w:color="auto"/>
              <w:bottom w:val="nil"/>
              <w:right w:val="single" w:sz="4" w:space="0" w:color="auto"/>
            </w:tcBorders>
            <w:vAlign w:val="bottom"/>
          </w:tcPr>
          <w:p w14:paraId="7CF28520" w14:textId="77777777" w:rsidR="007B18BA" w:rsidRPr="00556B9B" w:rsidRDefault="00D905DA" w:rsidP="00A72D34">
            <w:pPr>
              <w:keepNext/>
              <w:rPr>
                <w:color w:val="000000"/>
                <w:szCs w:val="22"/>
              </w:rPr>
            </w:pPr>
            <w:r w:rsidRPr="00556B9B">
              <w:rPr>
                <w:color w:val="000000"/>
                <w:szCs w:val="22"/>
              </w:rPr>
              <w:t>0,16 (0,</w:t>
            </w:r>
            <w:r w:rsidR="007B18BA" w:rsidRPr="00556B9B">
              <w:rPr>
                <w:color w:val="000000"/>
                <w:szCs w:val="22"/>
              </w:rPr>
              <w:t>03;</w:t>
            </w:r>
            <w:r w:rsidRPr="00556B9B">
              <w:rPr>
                <w:color w:val="000000"/>
                <w:szCs w:val="22"/>
              </w:rPr>
              <w:t xml:space="preserve"> 0,</w:t>
            </w:r>
            <w:r w:rsidR="007B18BA" w:rsidRPr="00556B9B">
              <w:rPr>
                <w:color w:val="000000"/>
                <w:szCs w:val="22"/>
              </w:rPr>
              <w:t>70)</w:t>
            </w:r>
          </w:p>
        </w:tc>
        <w:tc>
          <w:tcPr>
            <w:tcW w:w="1440" w:type="dxa"/>
            <w:tcBorders>
              <w:top w:val="nil"/>
              <w:left w:val="single" w:sz="4" w:space="0" w:color="auto"/>
              <w:bottom w:val="nil"/>
              <w:right w:val="single" w:sz="4" w:space="0" w:color="auto"/>
            </w:tcBorders>
            <w:vAlign w:val="bottom"/>
          </w:tcPr>
          <w:p w14:paraId="7EEA158E" w14:textId="77777777" w:rsidR="007B18BA" w:rsidRPr="00556B9B" w:rsidRDefault="00D905DA" w:rsidP="00A72D34">
            <w:pPr>
              <w:keepNext/>
              <w:rPr>
                <w:color w:val="000000"/>
                <w:szCs w:val="22"/>
              </w:rPr>
            </w:pPr>
            <w:r w:rsidRPr="00556B9B">
              <w:rPr>
                <w:color w:val="000000"/>
                <w:szCs w:val="22"/>
              </w:rPr>
              <w:t>97,</w:t>
            </w:r>
            <w:r w:rsidR="007B18BA" w:rsidRPr="00556B9B">
              <w:rPr>
                <w:color w:val="000000"/>
                <w:szCs w:val="22"/>
              </w:rPr>
              <w:t>9 vs.</w:t>
            </w:r>
            <w:r w:rsidRPr="00556B9B">
              <w:rPr>
                <w:color w:val="000000"/>
                <w:szCs w:val="22"/>
              </w:rPr>
              <w:t xml:space="preserve"> 90,</w:t>
            </w:r>
            <w:r w:rsidR="007B18BA" w:rsidRPr="00556B9B">
              <w:rPr>
                <w:color w:val="000000"/>
                <w:szCs w:val="22"/>
              </w:rPr>
              <w:t>8</w:t>
            </w:r>
          </w:p>
        </w:tc>
        <w:tc>
          <w:tcPr>
            <w:tcW w:w="1360" w:type="dxa"/>
            <w:tcBorders>
              <w:top w:val="nil"/>
              <w:left w:val="single" w:sz="4" w:space="0" w:color="auto"/>
              <w:bottom w:val="nil"/>
            </w:tcBorders>
            <w:vAlign w:val="bottom"/>
          </w:tcPr>
          <w:p w14:paraId="7549EF61" w14:textId="77777777" w:rsidR="007B18BA" w:rsidRPr="00556B9B" w:rsidRDefault="00D905DA" w:rsidP="00A72D34">
            <w:pPr>
              <w:keepNext/>
              <w:rPr>
                <w:color w:val="000000"/>
                <w:szCs w:val="22"/>
              </w:rPr>
            </w:pPr>
            <w:r w:rsidRPr="00556B9B">
              <w:rPr>
                <w:color w:val="000000"/>
                <w:szCs w:val="22"/>
              </w:rPr>
              <w:t>97,</w:t>
            </w:r>
            <w:r w:rsidR="007B18BA" w:rsidRPr="00556B9B">
              <w:rPr>
                <w:color w:val="000000"/>
                <w:szCs w:val="22"/>
              </w:rPr>
              <w:t>9 vs.</w:t>
            </w:r>
            <w:r w:rsidRPr="00556B9B">
              <w:rPr>
                <w:color w:val="000000"/>
                <w:szCs w:val="22"/>
              </w:rPr>
              <w:t xml:space="preserve"> 73,</w:t>
            </w:r>
            <w:r w:rsidR="007B18BA" w:rsidRPr="00556B9B">
              <w:rPr>
                <w:color w:val="000000"/>
                <w:szCs w:val="22"/>
              </w:rPr>
              <w:t>3</w:t>
            </w:r>
          </w:p>
        </w:tc>
      </w:tr>
      <w:tr w:rsidR="007B18BA" w:rsidRPr="00556B9B" w14:paraId="1E95CBDE" w14:textId="77777777" w:rsidTr="00A72D34">
        <w:trPr>
          <w:cantSplit/>
        </w:trPr>
        <w:tc>
          <w:tcPr>
            <w:tcW w:w="1271" w:type="dxa"/>
            <w:vMerge/>
            <w:tcBorders>
              <w:bottom w:val="single" w:sz="4" w:space="0" w:color="auto"/>
            </w:tcBorders>
            <w:shd w:val="clear" w:color="auto" w:fill="auto"/>
          </w:tcPr>
          <w:p w14:paraId="06A6BBCE" w14:textId="77777777" w:rsidR="007B18BA" w:rsidRPr="00556B9B" w:rsidRDefault="007B18BA" w:rsidP="00A72D34">
            <w:pPr>
              <w:keepNext/>
              <w:rPr>
                <w:color w:val="000000"/>
                <w:szCs w:val="22"/>
              </w:rPr>
            </w:pPr>
          </w:p>
        </w:tc>
        <w:tc>
          <w:tcPr>
            <w:tcW w:w="1276" w:type="dxa"/>
            <w:tcBorders>
              <w:top w:val="nil"/>
              <w:bottom w:val="single" w:sz="4" w:space="0" w:color="auto"/>
              <w:right w:val="single" w:sz="4" w:space="0" w:color="auto"/>
            </w:tcBorders>
            <w:vAlign w:val="bottom"/>
          </w:tcPr>
          <w:p w14:paraId="457F7326" w14:textId="77777777" w:rsidR="007B18BA" w:rsidRPr="00556B9B" w:rsidRDefault="00D905DA" w:rsidP="00A72D34">
            <w:pPr>
              <w:keepNext/>
              <w:rPr>
                <w:color w:val="000000"/>
                <w:szCs w:val="22"/>
              </w:rPr>
            </w:pPr>
            <w:r w:rsidRPr="00556B9B">
              <w:rPr>
                <w:color w:val="000000"/>
                <w:szCs w:val="22"/>
              </w:rPr>
              <w:t>Magas</w:t>
            </w:r>
          </w:p>
        </w:tc>
        <w:tc>
          <w:tcPr>
            <w:tcW w:w="992" w:type="dxa"/>
            <w:tcBorders>
              <w:top w:val="nil"/>
              <w:left w:val="single" w:sz="4" w:space="0" w:color="auto"/>
              <w:bottom w:val="single" w:sz="4" w:space="0" w:color="auto"/>
              <w:right w:val="single" w:sz="4" w:space="0" w:color="auto"/>
            </w:tcBorders>
            <w:vAlign w:val="bottom"/>
          </w:tcPr>
          <w:p w14:paraId="4571642D" w14:textId="77777777" w:rsidR="007B18BA" w:rsidRPr="00556B9B" w:rsidRDefault="00D905DA" w:rsidP="00A72D34">
            <w:pPr>
              <w:keepNext/>
              <w:ind w:right="-3"/>
              <w:jc w:val="center"/>
              <w:rPr>
                <w:color w:val="000000"/>
                <w:szCs w:val="22"/>
              </w:rPr>
            </w:pPr>
            <w:r w:rsidRPr="00556B9B">
              <w:rPr>
                <w:color w:val="000000"/>
                <w:szCs w:val="22"/>
              </w:rPr>
              <w:t>29,</w:t>
            </w:r>
            <w:r w:rsidR="007B18BA" w:rsidRPr="00556B9B">
              <w:rPr>
                <w:color w:val="000000"/>
                <w:szCs w:val="22"/>
              </w:rPr>
              <w:t>7</w:t>
            </w:r>
          </w:p>
        </w:tc>
        <w:tc>
          <w:tcPr>
            <w:tcW w:w="1881" w:type="dxa"/>
            <w:tcBorders>
              <w:top w:val="nil"/>
              <w:left w:val="single" w:sz="4" w:space="0" w:color="auto"/>
              <w:bottom w:val="single" w:sz="4" w:space="0" w:color="auto"/>
              <w:right w:val="single" w:sz="4" w:space="0" w:color="auto"/>
            </w:tcBorders>
            <w:vAlign w:val="bottom"/>
          </w:tcPr>
          <w:p w14:paraId="2A1CF75A" w14:textId="77777777" w:rsidR="007B18BA" w:rsidRPr="00556B9B" w:rsidRDefault="007B18BA" w:rsidP="00A72D34">
            <w:pPr>
              <w:keepNext/>
              <w:rPr>
                <w:color w:val="000000"/>
                <w:szCs w:val="22"/>
              </w:rPr>
            </w:pPr>
            <w:r w:rsidRPr="00556B9B">
              <w:rPr>
                <w:color w:val="000000"/>
                <w:szCs w:val="22"/>
              </w:rPr>
              <w:t>16/84 vs. 39/81</w:t>
            </w:r>
          </w:p>
        </w:tc>
        <w:tc>
          <w:tcPr>
            <w:tcW w:w="1800" w:type="dxa"/>
            <w:tcBorders>
              <w:top w:val="nil"/>
              <w:left w:val="single" w:sz="4" w:space="0" w:color="auto"/>
              <w:bottom w:val="single" w:sz="4" w:space="0" w:color="auto"/>
              <w:right w:val="single" w:sz="4" w:space="0" w:color="auto"/>
            </w:tcBorders>
            <w:vAlign w:val="bottom"/>
          </w:tcPr>
          <w:p w14:paraId="344A0BD7" w14:textId="77777777" w:rsidR="007B18BA" w:rsidRPr="00556B9B" w:rsidRDefault="00D905DA" w:rsidP="00A72D34">
            <w:pPr>
              <w:keepNext/>
              <w:rPr>
                <w:color w:val="000000"/>
                <w:szCs w:val="22"/>
              </w:rPr>
            </w:pPr>
            <w:r w:rsidRPr="00556B9B">
              <w:rPr>
                <w:color w:val="000000"/>
                <w:szCs w:val="22"/>
              </w:rPr>
              <w:t>0,27 (0,</w:t>
            </w:r>
            <w:r w:rsidR="007B18BA" w:rsidRPr="00556B9B">
              <w:rPr>
                <w:color w:val="000000"/>
                <w:szCs w:val="22"/>
              </w:rPr>
              <w:t>15;</w:t>
            </w:r>
            <w:r w:rsidRPr="00556B9B">
              <w:rPr>
                <w:color w:val="000000"/>
                <w:szCs w:val="22"/>
              </w:rPr>
              <w:t xml:space="preserve"> 0,</w:t>
            </w:r>
            <w:r w:rsidR="007B18BA" w:rsidRPr="00556B9B">
              <w:rPr>
                <w:color w:val="000000"/>
                <w:szCs w:val="22"/>
              </w:rPr>
              <w:t>48)</w:t>
            </w:r>
          </w:p>
        </w:tc>
        <w:tc>
          <w:tcPr>
            <w:tcW w:w="1440" w:type="dxa"/>
            <w:tcBorders>
              <w:top w:val="nil"/>
              <w:left w:val="single" w:sz="4" w:space="0" w:color="auto"/>
              <w:bottom w:val="single" w:sz="4" w:space="0" w:color="auto"/>
              <w:right w:val="single" w:sz="4" w:space="0" w:color="auto"/>
            </w:tcBorders>
            <w:vAlign w:val="bottom"/>
          </w:tcPr>
          <w:p w14:paraId="17B51046" w14:textId="77777777" w:rsidR="007B18BA" w:rsidRPr="00556B9B" w:rsidRDefault="00D905DA" w:rsidP="00A72D34">
            <w:pPr>
              <w:keepNext/>
              <w:rPr>
                <w:color w:val="000000"/>
                <w:szCs w:val="22"/>
              </w:rPr>
            </w:pPr>
            <w:r w:rsidRPr="00556B9B">
              <w:rPr>
                <w:color w:val="000000"/>
                <w:szCs w:val="22"/>
              </w:rPr>
              <w:t>98,</w:t>
            </w:r>
            <w:r w:rsidR="007B18BA" w:rsidRPr="00556B9B">
              <w:rPr>
                <w:color w:val="000000"/>
                <w:szCs w:val="22"/>
              </w:rPr>
              <w:t>7 vs.</w:t>
            </w:r>
            <w:r w:rsidRPr="00556B9B">
              <w:rPr>
                <w:color w:val="000000"/>
                <w:szCs w:val="22"/>
              </w:rPr>
              <w:t xml:space="preserve"> 56,</w:t>
            </w:r>
            <w:r w:rsidR="007B18BA" w:rsidRPr="00556B9B">
              <w:rPr>
                <w:color w:val="000000"/>
                <w:szCs w:val="22"/>
              </w:rPr>
              <w:t>1</w:t>
            </w:r>
          </w:p>
        </w:tc>
        <w:tc>
          <w:tcPr>
            <w:tcW w:w="1360" w:type="dxa"/>
            <w:tcBorders>
              <w:top w:val="nil"/>
              <w:left w:val="single" w:sz="4" w:space="0" w:color="auto"/>
              <w:bottom w:val="single" w:sz="4" w:space="0" w:color="auto"/>
            </w:tcBorders>
            <w:vAlign w:val="bottom"/>
          </w:tcPr>
          <w:p w14:paraId="183E06C1" w14:textId="77777777" w:rsidR="007B18BA" w:rsidRPr="00556B9B" w:rsidRDefault="00D905DA" w:rsidP="00A72D34">
            <w:pPr>
              <w:keepNext/>
              <w:rPr>
                <w:color w:val="000000"/>
                <w:szCs w:val="22"/>
              </w:rPr>
            </w:pPr>
            <w:r w:rsidRPr="00556B9B">
              <w:rPr>
                <w:color w:val="000000"/>
                <w:szCs w:val="22"/>
              </w:rPr>
              <w:t>79,</w:t>
            </w:r>
            <w:r w:rsidR="007B18BA" w:rsidRPr="00556B9B">
              <w:rPr>
                <w:color w:val="000000"/>
                <w:szCs w:val="22"/>
              </w:rPr>
              <w:t>9 vs.</w:t>
            </w:r>
            <w:r w:rsidRPr="00556B9B">
              <w:rPr>
                <w:color w:val="000000"/>
                <w:szCs w:val="22"/>
              </w:rPr>
              <w:t xml:space="preserve"> 41,</w:t>
            </w:r>
            <w:r w:rsidR="007B18BA" w:rsidRPr="00556B9B">
              <w:rPr>
                <w:color w:val="000000"/>
                <w:szCs w:val="22"/>
              </w:rPr>
              <w:t>5</w:t>
            </w:r>
          </w:p>
        </w:tc>
      </w:tr>
    </w:tbl>
    <w:p w14:paraId="73BACE80" w14:textId="77777777" w:rsidR="007B18BA" w:rsidRPr="006D0F5F" w:rsidRDefault="007B18BA" w:rsidP="00A72D34">
      <w:pPr>
        <w:pStyle w:val="Text"/>
        <w:spacing w:before="0"/>
        <w:rPr>
          <w:color w:val="000000"/>
          <w:sz w:val="22"/>
          <w:szCs w:val="22"/>
          <w:lang w:val="hu-HU"/>
        </w:rPr>
      </w:pPr>
      <w:r w:rsidRPr="00556B9B">
        <w:rPr>
          <w:color w:val="000000"/>
          <w:sz w:val="22"/>
          <w:szCs w:val="22"/>
        </w:rPr>
        <w:t xml:space="preserve">* </w:t>
      </w:r>
      <w:r w:rsidR="00D905DA" w:rsidRPr="00556B9B">
        <w:rPr>
          <w:color w:val="000000"/>
          <w:sz w:val="22"/>
          <w:szCs w:val="22"/>
          <w:lang w:val="hu-HU"/>
        </w:rPr>
        <w:t>Teljes követési időszak; N</w:t>
      </w:r>
      <w:r w:rsidR="007518BF" w:rsidRPr="00556B9B">
        <w:rPr>
          <w:color w:val="000000"/>
          <w:sz w:val="22"/>
          <w:szCs w:val="22"/>
          <w:lang w:val="hu-HU"/>
        </w:rPr>
        <w:t>.m.</w:t>
      </w:r>
      <w:r w:rsidR="00D905DA" w:rsidRPr="00556B9B">
        <w:rPr>
          <w:color w:val="000000"/>
          <w:sz w:val="22"/>
          <w:szCs w:val="22"/>
          <w:lang w:val="hu-HU"/>
        </w:rPr>
        <w:t xml:space="preserve"> – Nem </w:t>
      </w:r>
      <w:r w:rsidR="00D905DA" w:rsidRPr="006D0F5F">
        <w:rPr>
          <w:color w:val="000000"/>
          <w:sz w:val="22"/>
          <w:szCs w:val="22"/>
          <w:lang w:val="hu-HU"/>
        </w:rPr>
        <w:t>megbecsülhető</w:t>
      </w:r>
    </w:p>
    <w:p w14:paraId="6090EFF2" w14:textId="77777777" w:rsidR="00405E73" w:rsidRPr="006D0F5F" w:rsidRDefault="00405E73" w:rsidP="00405E73">
      <w:pPr>
        <w:pStyle w:val="Text"/>
        <w:spacing w:before="0"/>
        <w:jc w:val="left"/>
        <w:rPr>
          <w:rFonts w:eastAsia="MS Mincho"/>
          <w:color w:val="000000"/>
          <w:sz w:val="22"/>
          <w:szCs w:val="22"/>
          <w:lang w:val="hu-HU" w:eastAsia="ja-JP"/>
        </w:rPr>
      </w:pPr>
    </w:p>
    <w:p w14:paraId="33520309" w14:textId="40444D06" w:rsidR="00405E73" w:rsidRPr="00556B9B" w:rsidRDefault="00405E73" w:rsidP="00405E73">
      <w:pPr>
        <w:rPr>
          <w:rFonts w:eastAsia="MS Mincho"/>
          <w:iCs/>
          <w:szCs w:val="22"/>
          <w:lang w:val="hu-HU"/>
        </w:rPr>
      </w:pPr>
      <w:r w:rsidRPr="006D0F5F">
        <w:rPr>
          <w:lang w:val="hu-HU"/>
        </w:rPr>
        <w:t>Egy második multicentrikus, nyílt, III</w:t>
      </w:r>
      <w:r w:rsidR="007C1956" w:rsidRPr="006D0F5F">
        <w:rPr>
          <w:lang w:val="hu-HU"/>
        </w:rPr>
        <w:t>. fázisú</w:t>
      </w:r>
      <w:r w:rsidRPr="006D0F5F">
        <w:rPr>
          <w:lang w:val="hu-HU"/>
        </w:rPr>
        <w:t xml:space="preserve"> vizsgálat (SSG XVIII/AIO) a 12</w:t>
      </w:r>
      <w:r w:rsidR="00E43D1C" w:rsidRPr="006D0F5F">
        <w:rPr>
          <w:lang w:val="hu-HU"/>
        </w:rPr>
        <w:t> </w:t>
      </w:r>
      <w:r w:rsidRPr="006D0F5F">
        <w:rPr>
          <w:lang w:val="hu-HU"/>
        </w:rPr>
        <w:t>hónapig tartó, napi 400 mg Glivec</w:t>
      </w:r>
      <w:r w:rsidRPr="006D0F5F">
        <w:rPr>
          <w:lang w:val="hu-HU"/>
        </w:rPr>
        <w:noBreakHyphen/>
        <w:t>kezelést hasonlította össze a 36</w:t>
      </w:r>
      <w:r w:rsidR="00E43D1C" w:rsidRPr="006D0F5F">
        <w:rPr>
          <w:lang w:val="hu-HU"/>
        </w:rPr>
        <w:t> </w:t>
      </w:r>
      <w:r w:rsidRPr="006D0F5F">
        <w:rPr>
          <w:lang w:val="hu-HU"/>
        </w:rPr>
        <w:t>hónapos</w:t>
      </w:r>
      <w:r w:rsidRPr="00556B9B">
        <w:rPr>
          <w:lang w:val="hu-HU"/>
        </w:rPr>
        <w:t xml:space="preserve"> kezeléssel olyan betegeknél, akiknél megtörtént a GIST műtéti reszekciója, és teljesült a következők egyike: a tumor átmérője &gt; 5 cm és a mitózisszám nagy nagyítású látót</w:t>
      </w:r>
      <w:r w:rsidR="00674177" w:rsidRPr="00556B9B">
        <w:rPr>
          <w:lang w:val="hu-HU"/>
        </w:rPr>
        <w:t>erenként</w:t>
      </w:r>
      <w:r w:rsidRPr="00556B9B">
        <w:rPr>
          <w:lang w:val="hu-HU"/>
        </w:rPr>
        <w:t xml:space="preserve"> &gt; 5/50, vagy a tumor átmérője &gt; 10 cm bármilyen mitózisszám mellett, vagy bármilyen tumorméret mellett a mitózisszám nagy nagyítású látót</w:t>
      </w:r>
      <w:r w:rsidR="00674177" w:rsidRPr="00556B9B">
        <w:rPr>
          <w:lang w:val="hu-HU"/>
        </w:rPr>
        <w:t>erenként</w:t>
      </w:r>
      <w:r w:rsidRPr="00556B9B">
        <w:rPr>
          <w:lang w:val="hu-HU"/>
        </w:rPr>
        <w:t xml:space="preserve"> &gt; 10/50, vagy a tumor rupturált a peritoneális űrbe. Összesen 397 beteg egyezett bele a részvételbe, és került randomizálásra a vizsgálatba (199 beteg a 12</w:t>
      </w:r>
      <w:r w:rsidR="005012CC" w:rsidRPr="00556B9B">
        <w:rPr>
          <w:lang w:val="hu-HU"/>
        </w:rPr>
        <w:t> </w:t>
      </w:r>
      <w:r w:rsidRPr="00556B9B">
        <w:rPr>
          <w:lang w:val="hu-HU"/>
        </w:rPr>
        <w:t>hónapos karra és 198 beteg a 36</w:t>
      </w:r>
      <w:r w:rsidR="005012CC" w:rsidRPr="00556B9B">
        <w:rPr>
          <w:lang w:val="hu-HU"/>
        </w:rPr>
        <w:t> </w:t>
      </w:r>
      <w:r w:rsidRPr="00556B9B">
        <w:rPr>
          <w:lang w:val="hu-HU"/>
        </w:rPr>
        <w:t>hónapos karra), akiknek a medián életkora 61 év volt (szélső értékek 22 és 84 év). A követés medián időtartama 54 hónap volt (a randomizáció napjától az adatok lezárásáig), és az első beteg randomizálásától az adatok lezárásáig eltelt idő összesen 83 hónap volt.</w:t>
      </w:r>
    </w:p>
    <w:p w14:paraId="6C4B4E3A" w14:textId="77777777" w:rsidR="00405E73" w:rsidRPr="00556B9B" w:rsidRDefault="00405E73" w:rsidP="00405E73">
      <w:pPr>
        <w:rPr>
          <w:rFonts w:eastAsia="MS Mincho"/>
          <w:iCs/>
          <w:szCs w:val="22"/>
          <w:lang w:val="hu-HU"/>
        </w:rPr>
      </w:pPr>
    </w:p>
    <w:p w14:paraId="2004FEBC" w14:textId="77777777" w:rsidR="00405E73" w:rsidRPr="00556B9B" w:rsidRDefault="00405E73" w:rsidP="00405E73">
      <w:pPr>
        <w:rPr>
          <w:rFonts w:eastAsia="MS Mincho"/>
          <w:szCs w:val="22"/>
          <w:lang w:val="hu-HU"/>
        </w:rPr>
      </w:pPr>
      <w:r w:rsidRPr="00556B9B">
        <w:rPr>
          <w:lang w:val="hu-HU"/>
        </w:rPr>
        <w:t>A vizsgálat elsődleges végpontja a kiújulás</w:t>
      </w:r>
      <w:r w:rsidRPr="00556B9B">
        <w:rPr>
          <w:lang w:val="hu-HU"/>
        </w:rPr>
        <w:noBreakHyphen/>
        <w:t>mentes túlélés (RFS) volt, amit a randomizációtól a recidíváig vagy a bármilyen okból bekövetkező elhalálozásig eltelt idővel definiáltak.</w:t>
      </w:r>
    </w:p>
    <w:p w14:paraId="7AAD28EB" w14:textId="77777777" w:rsidR="00405E73" w:rsidRPr="00556B9B" w:rsidRDefault="00405E73" w:rsidP="00405E73">
      <w:pPr>
        <w:rPr>
          <w:rFonts w:eastAsia="MS Mincho"/>
          <w:szCs w:val="22"/>
          <w:lang w:val="hu-HU"/>
        </w:rPr>
      </w:pPr>
    </w:p>
    <w:p w14:paraId="6007A92B" w14:textId="77777777" w:rsidR="00405E73" w:rsidRPr="00556B9B" w:rsidRDefault="00405E73" w:rsidP="00405E73">
      <w:pPr>
        <w:rPr>
          <w:rFonts w:eastAsia="MS Mincho"/>
          <w:iCs/>
          <w:color w:val="000000"/>
          <w:szCs w:val="22"/>
          <w:lang w:val="hu-HU"/>
        </w:rPr>
      </w:pPr>
      <w:r w:rsidRPr="00556B9B">
        <w:rPr>
          <w:lang w:val="hu-HU"/>
        </w:rPr>
        <w:t>A 36</w:t>
      </w:r>
      <w:r w:rsidR="005012CC" w:rsidRPr="00556B9B">
        <w:rPr>
          <w:lang w:val="hu-HU"/>
        </w:rPr>
        <w:t> </w:t>
      </w:r>
      <w:r w:rsidRPr="00556B9B">
        <w:rPr>
          <w:lang w:val="hu-HU"/>
        </w:rPr>
        <w:t>hónapos Glivec</w:t>
      </w:r>
      <w:r w:rsidRPr="00556B9B">
        <w:rPr>
          <w:lang w:val="hu-HU"/>
        </w:rPr>
        <w:noBreakHyphen/>
        <w:t>kezelés a 12</w:t>
      </w:r>
      <w:r w:rsidR="005012CC" w:rsidRPr="00556B9B">
        <w:rPr>
          <w:lang w:val="hu-HU"/>
        </w:rPr>
        <w:t> </w:t>
      </w:r>
      <w:r w:rsidRPr="00556B9B">
        <w:rPr>
          <w:lang w:val="hu-HU"/>
        </w:rPr>
        <w:t>hónapos Glivec</w:t>
      </w:r>
      <w:r w:rsidRPr="00556B9B">
        <w:rPr>
          <w:lang w:val="hu-HU"/>
        </w:rPr>
        <w:noBreakHyphen/>
        <w:t>kezeléshez képest szignifikánsan meghosszabbította a kiújulás</w:t>
      </w:r>
      <w:r w:rsidRPr="00556B9B">
        <w:rPr>
          <w:lang w:val="hu-HU"/>
        </w:rPr>
        <w:noBreakHyphen/>
        <w:t>mentes túlélést (a teljes relatív hazárd [HR] = 0,46 [0,32, 0,65], p</w:t>
      </w:r>
      <w:r w:rsidR="00974495" w:rsidRPr="00556B9B">
        <w:rPr>
          <w:lang w:val="hu-HU"/>
        </w:rPr>
        <w:t> </w:t>
      </w:r>
      <w:r w:rsidRPr="00556B9B">
        <w:rPr>
          <w:lang w:val="hu-HU"/>
        </w:rPr>
        <w:t>&lt;</w:t>
      </w:r>
      <w:r w:rsidR="00974495" w:rsidRPr="00556B9B">
        <w:rPr>
          <w:lang w:val="hu-HU"/>
        </w:rPr>
        <w:t> </w:t>
      </w:r>
      <w:r w:rsidRPr="00556B9B">
        <w:rPr>
          <w:lang w:val="hu-HU"/>
        </w:rPr>
        <w:t>0,0001</w:t>
      </w:r>
      <w:r w:rsidR="008F3238" w:rsidRPr="00556B9B">
        <w:rPr>
          <w:lang w:val="hu-HU"/>
        </w:rPr>
        <w:t>)</w:t>
      </w:r>
      <w:r w:rsidR="009B75A8" w:rsidRPr="00556B9B">
        <w:rPr>
          <w:lang w:val="hu-HU"/>
        </w:rPr>
        <w:t xml:space="preserve"> (</w:t>
      </w:r>
      <w:r w:rsidR="00053E70" w:rsidRPr="00556B9B">
        <w:rPr>
          <w:lang w:val="hu-HU"/>
        </w:rPr>
        <w:t>8</w:t>
      </w:r>
      <w:r w:rsidR="009B75A8" w:rsidRPr="00556B9B">
        <w:rPr>
          <w:lang w:val="hu-HU"/>
        </w:rPr>
        <w:t>. táblázat, 1. ábra).</w:t>
      </w:r>
    </w:p>
    <w:p w14:paraId="20F1C2BF" w14:textId="77777777" w:rsidR="00405E73" w:rsidRPr="00556B9B" w:rsidRDefault="00405E73" w:rsidP="00405E73">
      <w:pPr>
        <w:rPr>
          <w:rFonts w:eastAsia="MS Mincho"/>
          <w:iCs/>
          <w:color w:val="000000"/>
          <w:szCs w:val="22"/>
          <w:lang w:val="hu-HU"/>
        </w:rPr>
      </w:pPr>
    </w:p>
    <w:p w14:paraId="75C8D0FB" w14:textId="77777777" w:rsidR="009B75A8" w:rsidRPr="00556B9B" w:rsidRDefault="00405E73" w:rsidP="00405E73">
      <w:pPr>
        <w:rPr>
          <w:color w:val="000000"/>
          <w:lang w:val="hu-HU"/>
        </w:rPr>
      </w:pPr>
      <w:r w:rsidRPr="00556B9B">
        <w:rPr>
          <w:color w:val="000000"/>
          <w:lang w:val="hu-HU"/>
        </w:rPr>
        <w:t>Emellett a 36</w:t>
      </w:r>
      <w:r w:rsidR="00674177" w:rsidRPr="00556B9B">
        <w:rPr>
          <w:color w:val="000000"/>
          <w:lang w:val="hu-HU"/>
        </w:rPr>
        <w:t> </w:t>
      </w:r>
      <w:r w:rsidRPr="00556B9B">
        <w:rPr>
          <w:color w:val="000000"/>
          <w:lang w:val="hu-HU"/>
        </w:rPr>
        <w:t>hónapos Glivec</w:t>
      </w:r>
      <w:r w:rsidRPr="00556B9B">
        <w:rPr>
          <w:color w:val="000000"/>
          <w:lang w:val="hu-HU"/>
        </w:rPr>
        <w:noBreakHyphen/>
        <w:t>kezelés a 12</w:t>
      </w:r>
      <w:r w:rsidR="00674177" w:rsidRPr="00556B9B">
        <w:rPr>
          <w:color w:val="000000"/>
          <w:lang w:val="hu-HU"/>
        </w:rPr>
        <w:t> </w:t>
      </w:r>
      <w:r w:rsidRPr="00556B9B">
        <w:rPr>
          <w:color w:val="000000"/>
          <w:lang w:val="hu-HU"/>
        </w:rPr>
        <w:t>hónapos Glivec</w:t>
      </w:r>
      <w:r w:rsidRPr="00556B9B">
        <w:rPr>
          <w:color w:val="000000"/>
          <w:lang w:val="hu-HU"/>
        </w:rPr>
        <w:noBreakHyphen/>
        <w:t>kezeléshez képest szignifikánsan meghosszabbította a teljes túlélést (OS) (HR = 0,45 [0,22, 0,89], p</w:t>
      </w:r>
      <w:r w:rsidR="00674177" w:rsidRPr="00556B9B">
        <w:rPr>
          <w:color w:val="000000"/>
          <w:lang w:val="hu-HU"/>
        </w:rPr>
        <w:t> </w:t>
      </w:r>
      <w:r w:rsidRPr="00556B9B">
        <w:rPr>
          <w:color w:val="000000"/>
          <w:lang w:val="hu-HU"/>
        </w:rPr>
        <w:t>=</w:t>
      </w:r>
      <w:r w:rsidR="00674177" w:rsidRPr="00556B9B">
        <w:rPr>
          <w:color w:val="000000"/>
          <w:lang w:val="hu-HU"/>
        </w:rPr>
        <w:t> </w:t>
      </w:r>
      <w:r w:rsidRPr="00556B9B">
        <w:rPr>
          <w:color w:val="000000"/>
          <w:lang w:val="hu-HU"/>
        </w:rPr>
        <w:t>0,0187) (</w:t>
      </w:r>
      <w:r w:rsidR="00053E70" w:rsidRPr="00556B9B">
        <w:rPr>
          <w:color w:val="000000"/>
          <w:lang w:val="hu-HU"/>
        </w:rPr>
        <w:t>8</w:t>
      </w:r>
      <w:r w:rsidRPr="00556B9B">
        <w:rPr>
          <w:color w:val="000000"/>
          <w:lang w:val="hu-HU"/>
        </w:rPr>
        <w:t>. táblázat, 2. ábra).</w:t>
      </w:r>
    </w:p>
    <w:p w14:paraId="340624D8" w14:textId="77777777" w:rsidR="009B75A8" w:rsidRPr="00556B9B" w:rsidRDefault="009B75A8" w:rsidP="00405E73">
      <w:pPr>
        <w:rPr>
          <w:color w:val="000000"/>
          <w:lang w:val="hu-HU"/>
        </w:rPr>
      </w:pPr>
    </w:p>
    <w:p w14:paraId="6AC04F74" w14:textId="77777777" w:rsidR="009B75A8" w:rsidRPr="00556B9B" w:rsidRDefault="009B75A8" w:rsidP="00405E73">
      <w:pPr>
        <w:rPr>
          <w:color w:val="000000"/>
          <w:lang w:val="hu-HU"/>
        </w:rPr>
      </w:pPr>
      <w:r w:rsidRPr="00556B9B">
        <w:rPr>
          <w:color w:val="000000"/>
          <w:lang w:val="hu-HU"/>
        </w:rPr>
        <w:t>Hosszabb kezelési időtartam (</w:t>
      </w:r>
      <w:r w:rsidRPr="00556B9B">
        <w:rPr>
          <w:rFonts w:eastAsia="MS Mincho"/>
          <w:szCs w:val="22"/>
          <w:lang w:val="hu-HU" w:eastAsia="ja-JP"/>
        </w:rPr>
        <w:t>&gt; 36 hónap) késleltetheti a további kiújulásokat, bár ennek a teljes túlélésre kifejtett hatása nem ismert.</w:t>
      </w:r>
    </w:p>
    <w:p w14:paraId="6EB4FEF0" w14:textId="77777777" w:rsidR="009B75A8" w:rsidRPr="00556B9B" w:rsidRDefault="009B75A8" w:rsidP="00405E73">
      <w:pPr>
        <w:rPr>
          <w:color w:val="000000"/>
          <w:lang w:val="hu-HU"/>
        </w:rPr>
      </w:pPr>
    </w:p>
    <w:p w14:paraId="30A5294F" w14:textId="77777777" w:rsidR="00405E73" w:rsidRPr="00556B9B" w:rsidRDefault="00405E73" w:rsidP="00405E73">
      <w:pPr>
        <w:rPr>
          <w:color w:val="000000"/>
          <w:lang w:val="hu-HU"/>
        </w:rPr>
      </w:pPr>
      <w:r w:rsidRPr="00556B9B">
        <w:rPr>
          <w:color w:val="000000"/>
          <w:lang w:val="hu-HU"/>
        </w:rPr>
        <w:t>Az összes halálesetek száma 25</w:t>
      </w:r>
      <w:r w:rsidR="00B26501" w:rsidRPr="00556B9B">
        <w:rPr>
          <w:color w:val="000000"/>
          <w:lang w:val="hu-HU"/>
        </w:rPr>
        <w:t> </w:t>
      </w:r>
      <w:r w:rsidRPr="00556B9B">
        <w:rPr>
          <w:color w:val="000000"/>
          <w:lang w:val="hu-HU"/>
        </w:rPr>
        <w:t>volt a 12</w:t>
      </w:r>
      <w:r w:rsidR="00674177" w:rsidRPr="00556B9B">
        <w:rPr>
          <w:color w:val="000000"/>
          <w:lang w:val="hu-HU"/>
        </w:rPr>
        <w:t> </w:t>
      </w:r>
      <w:r w:rsidRPr="00556B9B">
        <w:rPr>
          <w:color w:val="000000"/>
          <w:lang w:val="hu-HU"/>
        </w:rPr>
        <w:t>hónapos terápiás karon és 12 volt a 36</w:t>
      </w:r>
      <w:r w:rsidR="00674177" w:rsidRPr="00556B9B">
        <w:rPr>
          <w:color w:val="000000"/>
          <w:lang w:val="hu-HU"/>
        </w:rPr>
        <w:t> </w:t>
      </w:r>
      <w:r w:rsidRPr="00556B9B">
        <w:rPr>
          <w:color w:val="000000"/>
          <w:lang w:val="hu-HU"/>
        </w:rPr>
        <w:t>hónapos terápiás karon.</w:t>
      </w:r>
    </w:p>
    <w:p w14:paraId="4B2E99BC" w14:textId="77777777" w:rsidR="009B75A8" w:rsidRPr="00556B9B" w:rsidRDefault="009B75A8" w:rsidP="00405E73">
      <w:pPr>
        <w:rPr>
          <w:color w:val="000000"/>
          <w:lang w:val="hu-HU"/>
        </w:rPr>
      </w:pPr>
    </w:p>
    <w:p w14:paraId="55CC9990" w14:textId="77777777" w:rsidR="009B75A8" w:rsidRPr="00556B9B" w:rsidRDefault="004D3EDA" w:rsidP="00405E73">
      <w:pPr>
        <w:rPr>
          <w:rFonts w:eastAsia="MS Mincho"/>
          <w:iCs/>
          <w:color w:val="000000"/>
          <w:szCs w:val="22"/>
          <w:lang w:val="hu-HU"/>
        </w:rPr>
      </w:pPr>
      <w:r w:rsidRPr="00556B9B">
        <w:rPr>
          <w:rFonts w:eastAsia="MS Mincho"/>
          <w:iCs/>
          <w:color w:val="000000"/>
          <w:szCs w:val="22"/>
          <w:lang w:val="hu-HU"/>
        </w:rPr>
        <w:lastRenderedPageBreak/>
        <w:t>A 36 hónapos imatinib</w:t>
      </w:r>
      <w:r w:rsidR="00674177" w:rsidRPr="00556B9B">
        <w:rPr>
          <w:rFonts w:eastAsia="MS Mincho"/>
          <w:iCs/>
          <w:color w:val="000000"/>
          <w:szCs w:val="22"/>
          <w:lang w:val="hu-HU"/>
        </w:rPr>
        <w:noBreakHyphen/>
      </w:r>
      <w:r w:rsidRPr="00556B9B">
        <w:rPr>
          <w:rFonts w:eastAsia="MS Mincho"/>
          <w:iCs/>
          <w:color w:val="000000"/>
          <w:szCs w:val="22"/>
          <w:lang w:val="hu-HU"/>
        </w:rPr>
        <w:t xml:space="preserve">kezelés jobb volt a 12 hónaposnál az ITT analízisben, </w:t>
      </w:r>
      <w:r w:rsidR="007977E4" w:rsidRPr="00556B9B">
        <w:rPr>
          <w:rFonts w:eastAsia="MS Mincho"/>
          <w:iCs/>
          <w:color w:val="000000"/>
          <w:szCs w:val="22"/>
          <w:lang w:val="hu-HU"/>
        </w:rPr>
        <w:t xml:space="preserve">azaz </w:t>
      </w:r>
      <w:r w:rsidRPr="00556B9B">
        <w:rPr>
          <w:rFonts w:eastAsia="MS Mincho"/>
          <w:iCs/>
          <w:color w:val="000000"/>
          <w:szCs w:val="22"/>
          <w:lang w:val="hu-HU"/>
        </w:rPr>
        <w:t xml:space="preserve">a teljes vizsgálati populációt tekintve. </w:t>
      </w:r>
      <w:r w:rsidR="004744DD" w:rsidRPr="00556B9B">
        <w:rPr>
          <w:rFonts w:eastAsia="MS Mincho"/>
          <w:iCs/>
          <w:color w:val="000000"/>
          <w:szCs w:val="22"/>
          <w:lang w:val="hu-HU"/>
        </w:rPr>
        <w:t>Egy tervezett mutáció</w:t>
      </w:r>
      <w:r w:rsidR="004744DD" w:rsidRPr="00556B9B">
        <w:rPr>
          <w:rFonts w:eastAsia="MS Mincho"/>
          <w:iCs/>
          <w:color w:val="000000"/>
          <w:szCs w:val="22"/>
          <w:lang w:val="hu-HU"/>
        </w:rPr>
        <w:noBreakHyphen/>
      </w:r>
      <w:r w:rsidRPr="00556B9B">
        <w:rPr>
          <w:rFonts w:eastAsia="MS Mincho"/>
          <w:iCs/>
          <w:color w:val="000000"/>
          <w:szCs w:val="22"/>
          <w:lang w:val="hu-HU"/>
        </w:rPr>
        <w:t>típus szerinti alcsoport</w:t>
      </w:r>
      <w:r w:rsidRPr="00556B9B">
        <w:rPr>
          <w:rFonts w:eastAsia="MS Mincho"/>
          <w:iCs/>
          <w:color w:val="000000"/>
          <w:szCs w:val="22"/>
          <w:lang w:val="hu-HU"/>
        </w:rPr>
        <w:noBreakHyphen/>
        <w:t>analízisben</w:t>
      </w:r>
      <w:r w:rsidR="004744DD" w:rsidRPr="00556B9B">
        <w:rPr>
          <w:rFonts w:eastAsia="MS Mincho"/>
          <w:iCs/>
          <w:color w:val="000000"/>
          <w:szCs w:val="22"/>
          <w:lang w:val="hu-HU"/>
        </w:rPr>
        <w:t xml:space="preserve"> az olyan betegek 36 hónapos kezelés</w:t>
      </w:r>
      <w:r w:rsidR="007977E4" w:rsidRPr="00556B9B">
        <w:rPr>
          <w:rFonts w:eastAsia="MS Mincho"/>
          <w:iCs/>
          <w:color w:val="000000"/>
          <w:szCs w:val="22"/>
          <w:lang w:val="hu-HU"/>
        </w:rPr>
        <w:t>re vonatkozó</w:t>
      </w:r>
      <w:r w:rsidR="004744DD" w:rsidRPr="00556B9B">
        <w:rPr>
          <w:rFonts w:eastAsia="MS Mincho"/>
          <w:iCs/>
          <w:color w:val="000000"/>
          <w:szCs w:val="22"/>
          <w:lang w:val="hu-HU"/>
        </w:rPr>
        <w:t xml:space="preserve"> </w:t>
      </w:r>
      <w:r w:rsidR="004744DD" w:rsidRPr="00556B9B">
        <w:rPr>
          <w:lang w:val="hu-HU"/>
        </w:rPr>
        <w:t>kiújulás</w:t>
      </w:r>
      <w:r w:rsidR="004744DD" w:rsidRPr="00556B9B">
        <w:rPr>
          <w:lang w:val="hu-HU"/>
        </w:rPr>
        <w:noBreakHyphen/>
        <w:t>mentes túlélés relatív hazárdja, akiknél a 11-es exon mutálódott, 0,35 volt</w:t>
      </w:r>
      <w:r w:rsidR="004744DD" w:rsidRPr="00556B9B">
        <w:rPr>
          <w:rFonts w:eastAsia="MS Mincho"/>
          <w:iCs/>
          <w:szCs w:val="22"/>
          <w:lang w:val="hu-HU" w:eastAsia="ja-JP"/>
        </w:rPr>
        <w:t xml:space="preserve"> [95% CI: 0</w:t>
      </w:r>
      <w:r w:rsidR="00B26501" w:rsidRPr="00556B9B">
        <w:rPr>
          <w:rFonts w:eastAsia="MS Mincho"/>
          <w:iCs/>
          <w:szCs w:val="22"/>
          <w:lang w:val="hu-HU" w:eastAsia="ja-JP"/>
        </w:rPr>
        <w:t>,</w:t>
      </w:r>
      <w:r w:rsidR="004744DD" w:rsidRPr="00556B9B">
        <w:rPr>
          <w:rFonts w:eastAsia="MS Mincho"/>
          <w:iCs/>
          <w:szCs w:val="22"/>
          <w:lang w:val="hu-HU" w:eastAsia="ja-JP"/>
        </w:rPr>
        <w:t>22, 0</w:t>
      </w:r>
      <w:r w:rsidR="00B26501" w:rsidRPr="00556B9B">
        <w:rPr>
          <w:rFonts w:eastAsia="MS Mincho"/>
          <w:iCs/>
          <w:szCs w:val="22"/>
          <w:lang w:val="hu-HU" w:eastAsia="ja-JP"/>
        </w:rPr>
        <w:t>,</w:t>
      </w:r>
      <w:r w:rsidR="004744DD" w:rsidRPr="00556B9B">
        <w:rPr>
          <w:rFonts w:eastAsia="MS Mincho"/>
          <w:iCs/>
          <w:szCs w:val="22"/>
          <w:lang w:val="hu-HU" w:eastAsia="ja-JP"/>
        </w:rPr>
        <w:t>56]</w:t>
      </w:r>
      <w:r w:rsidR="004744DD" w:rsidRPr="00556B9B">
        <w:rPr>
          <w:lang w:val="hu-HU"/>
        </w:rPr>
        <w:t>. Az alacsony észlelt esetszám miatt más, kevésbé általános mutáció alcsoportokra nem lehet következtetéseket levonni.</w:t>
      </w:r>
    </w:p>
    <w:p w14:paraId="252C021B" w14:textId="77777777" w:rsidR="00405E73" w:rsidRPr="00556B9B" w:rsidRDefault="00405E73" w:rsidP="00405E73">
      <w:pPr>
        <w:rPr>
          <w:rFonts w:eastAsia="MS Mincho"/>
          <w:iCs/>
          <w:szCs w:val="22"/>
          <w:lang w:val="hu-HU"/>
        </w:rPr>
      </w:pPr>
    </w:p>
    <w:p w14:paraId="245982A7" w14:textId="77777777" w:rsidR="00405E73" w:rsidRPr="00556B9B" w:rsidRDefault="00053E70" w:rsidP="00A72D34">
      <w:pPr>
        <w:keepNext/>
        <w:ind w:left="1134" w:hanging="1134"/>
        <w:rPr>
          <w:rFonts w:eastAsia="MS Mincho"/>
          <w:b/>
          <w:szCs w:val="22"/>
          <w:lang w:val="hu-HU"/>
        </w:rPr>
      </w:pPr>
      <w:r w:rsidRPr="00556B9B">
        <w:rPr>
          <w:b/>
          <w:lang w:val="hu-HU"/>
        </w:rPr>
        <w:t>8</w:t>
      </w:r>
      <w:r w:rsidR="00405E73" w:rsidRPr="00556B9B">
        <w:rPr>
          <w:b/>
          <w:lang w:val="hu-HU"/>
        </w:rPr>
        <w:t>.</w:t>
      </w:r>
      <w:r w:rsidR="00B26501" w:rsidRPr="00556B9B">
        <w:rPr>
          <w:b/>
          <w:lang w:val="hu-HU"/>
        </w:rPr>
        <w:t> </w:t>
      </w:r>
      <w:r w:rsidR="00405E73" w:rsidRPr="00556B9B">
        <w:rPr>
          <w:b/>
          <w:lang w:val="hu-HU"/>
        </w:rPr>
        <w:t>táblázat</w:t>
      </w:r>
      <w:r w:rsidR="00405E73" w:rsidRPr="00556B9B">
        <w:rPr>
          <w:lang w:val="hu-HU"/>
        </w:rPr>
        <w:tab/>
      </w:r>
      <w:r w:rsidR="00405E73" w:rsidRPr="00556B9B">
        <w:rPr>
          <w:b/>
          <w:lang w:val="hu-HU"/>
        </w:rPr>
        <w:t>12</w:t>
      </w:r>
      <w:r w:rsidR="005012CC" w:rsidRPr="00556B9B">
        <w:rPr>
          <w:b/>
          <w:lang w:val="hu-HU"/>
        </w:rPr>
        <w:t> </w:t>
      </w:r>
      <w:r w:rsidR="00405E73" w:rsidRPr="00556B9B">
        <w:rPr>
          <w:b/>
          <w:lang w:val="hu-HU"/>
        </w:rPr>
        <w:t>hónapos és 36</w:t>
      </w:r>
      <w:r w:rsidR="005012CC" w:rsidRPr="00556B9B">
        <w:rPr>
          <w:b/>
          <w:lang w:val="hu-HU"/>
        </w:rPr>
        <w:t> </w:t>
      </w:r>
      <w:r w:rsidR="00405E73" w:rsidRPr="00556B9B">
        <w:rPr>
          <w:b/>
          <w:lang w:val="hu-HU"/>
        </w:rPr>
        <w:t>hónapos Glivec</w:t>
      </w:r>
      <w:r w:rsidR="00405E73" w:rsidRPr="00556B9B">
        <w:rPr>
          <w:b/>
          <w:lang w:val="hu-HU"/>
        </w:rPr>
        <w:noBreakHyphen/>
        <w:t>kezelés (SSGXVIII/AIO</w:t>
      </w:r>
      <w:r w:rsidR="00405E73" w:rsidRPr="00556B9B">
        <w:rPr>
          <w:b/>
          <w:lang w:val="hu-HU"/>
        </w:rPr>
        <w:noBreakHyphen/>
        <w:t>vizsgálat)</w:t>
      </w:r>
    </w:p>
    <w:p w14:paraId="18F60707" w14:textId="77777777" w:rsidR="00405E73" w:rsidRPr="00556B9B" w:rsidRDefault="00405E73" w:rsidP="00A72D34">
      <w:pPr>
        <w:keepNext/>
        <w:rPr>
          <w:rFonts w:eastAsia="MS Mincho"/>
          <w:szCs w:val="22"/>
          <w:lang w:val="hu-HU"/>
        </w:rPr>
      </w:pPr>
    </w:p>
    <w:tbl>
      <w:tblPr>
        <w:tblW w:w="9299" w:type="dxa"/>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405E73" w:rsidRPr="00556B9B" w14:paraId="0BCF84E5" w14:textId="77777777" w:rsidTr="00B45FE1">
        <w:trPr>
          <w:cantSplit/>
        </w:trPr>
        <w:tc>
          <w:tcPr>
            <w:tcW w:w="3099" w:type="dxa"/>
            <w:tcBorders>
              <w:top w:val="single" w:sz="4" w:space="0" w:color="auto"/>
              <w:bottom w:val="nil"/>
            </w:tcBorders>
            <w:shd w:val="clear" w:color="auto" w:fill="auto"/>
          </w:tcPr>
          <w:p w14:paraId="31786086" w14:textId="77777777" w:rsidR="00405E73" w:rsidRPr="00556B9B" w:rsidRDefault="00405E73" w:rsidP="00A72D34">
            <w:pPr>
              <w:keepNext/>
              <w:tabs>
                <w:tab w:val="left" w:pos="284"/>
              </w:tabs>
              <w:rPr>
                <w:rFonts w:eastAsia="MS Mincho"/>
                <w:szCs w:val="22"/>
                <w:lang w:val="hu-HU"/>
              </w:rPr>
            </w:pPr>
          </w:p>
        </w:tc>
        <w:tc>
          <w:tcPr>
            <w:tcW w:w="3100" w:type="dxa"/>
            <w:tcBorders>
              <w:top w:val="single" w:sz="4" w:space="0" w:color="auto"/>
              <w:bottom w:val="nil"/>
            </w:tcBorders>
            <w:shd w:val="clear" w:color="auto" w:fill="auto"/>
          </w:tcPr>
          <w:p w14:paraId="721BCB5E" w14:textId="77777777" w:rsidR="00405E73" w:rsidRPr="00556B9B" w:rsidRDefault="00405E73" w:rsidP="00A72D34">
            <w:pPr>
              <w:keepNext/>
              <w:tabs>
                <w:tab w:val="left" w:pos="284"/>
              </w:tabs>
              <w:rPr>
                <w:rFonts w:eastAsia="MS Mincho"/>
                <w:b/>
                <w:szCs w:val="22"/>
              </w:rPr>
            </w:pPr>
            <w:r w:rsidRPr="00556B9B">
              <w:rPr>
                <w:b/>
              </w:rPr>
              <w:t>12</w:t>
            </w:r>
            <w:r w:rsidR="007977E4" w:rsidRPr="00556B9B">
              <w:rPr>
                <w:b/>
              </w:rPr>
              <w:t> </w:t>
            </w:r>
            <w:r w:rsidRPr="00556B9B">
              <w:rPr>
                <w:b/>
              </w:rPr>
              <w:t>hónapos terápiás kar</w:t>
            </w:r>
          </w:p>
        </w:tc>
        <w:tc>
          <w:tcPr>
            <w:tcW w:w="3100" w:type="dxa"/>
            <w:tcBorders>
              <w:top w:val="single" w:sz="4" w:space="0" w:color="auto"/>
              <w:bottom w:val="nil"/>
            </w:tcBorders>
            <w:shd w:val="clear" w:color="auto" w:fill="auto"/>
          </w:tcPr>
          <w:p w14:paraId="2F55DB6C" w14:textId="77777777" w:rsidR="00405E73" w:rsidRPr="00556B9B" w:rsidRDefault="00405E73" w:rsidP="00A72D34">
            <w:pPr>
              <w:keepNext/>
              <w:tabs>
                <w:tab w:val="left" w:pos="284"/>
              </w:tabs>
              <w:rPr>
                <w:rFonts w:eastAsia="MS Mincho"/>
                <w:b/>
                <w:szCs w:val="22"/>
              </w:rPr>
            </w:pPr>
            <w:r w:rsidRPr="00556B9B">
              <w:rPr>
                <w:b/>
              </w:rPr>
              <w:t>36</w:t>
            </w:r>
            <w:r w:rsidR="007977E4" w:rsidRPr="00556B9B">
              <w:rPr>
                <w:b/>
              </w:rPr>
              <w:t> </w:t>
            </w:r>
            <w:r w:rsidRPr="00556B9B">
              <w:rPr>
                <w:b/>
              </w:rPr>
              <w:t>hónapos terápiás kar</w:t>
            </w:r>
          </w:p>
        </w:tc>
      </w:tr>
      <w:tr w:rsidR="00405E73" w:rsidRPr="00556B9B" w14:paraId="7E07BCBE" w14:textId="77777777" w:rsidTr="00B45FE1">
        <w:trPr>
          <w:cantSplit/>
        </w:trPr>
        <w:tc>
          <w:tcPr>
            <w:tcW w:w="3099" w:type="dxa"/>
            <w:tcBorders>
              <w:top w:val="nil"/>
            </w:tcBorders>
            <w:shd w:val="clear" w:color="auto" w:fill="auto"/>
          </w:tcPr>
          <w:p w14:paraId="332A03AF" w14:textId="77777777" w:rsidR="00405E73" w:rsidRPr="00556B9B" w:rsidRDefault="00405E73" w:rsidP="00A72D34">
            <w:pPr>
              <w:keepNext/>
              <w:tabs>
                <w:tab w:val="left" w:pos="284"/>
              </w:tabs>
              <w:rPr>
                <w:rFonts w:eastAsia="MS Mincho"/>
                <w:b/>
                <w:szCs w:val="22"/>
              </w:rPr>
            </w:pPr>
            <w:r w:rsidRPr="00556B9B">
              <w:rPr>
                <w:b/>
              </w:rPr>
              <w:t>RFS</w:t>
            </w:r>
          </w:p>
        </w:tc>
        <w:tc>
          <w:tcPr>
            <w:tcW w:w="3100" w:type="dxa"/>
            <w:tcBorders>
              <w:top w:val="nil"/>
            </w:tcBorders>
            <w:shd w:val="clear" w:color="auto" w:fill="auto"/>
          </w:tcPr>
          <w:p w14:paraId="6DDC16C8" w14:textId="77777777" w:rsidR="00405E73" w:rsidRPr="00556B9B" w:rsidRDefault="00405E73" w:rsidP="00A72D34">
            <w:pPr>
              <w:keepNext/>
              <w:tabs>
                <w:tab w:val="left" w:pos="284"/>
              </w:tabs>
              <w:rPr>
                <w:rFonts w:eastAsia="MS Mincho"/>
                <w:b/>
                <w:szCs w:val="22"/>
              </w:rPr>
            </w:pPr>
            <w:r w:rsidRPr="00556B9B">
              <w:rPr>
                <w:b/>
              </w:rPr>
              <w:t>%(CI)</w:t>
            </w:r>
          </w:p>
        </w:tc>
        <w:tc>
          <w:tcPr>
            <w:tcW w:w="3100" w:type="dxa"/>
            <w:tcBorders>
              <w:top w:val="nil"/>
            </w:tcBorders>
            <w:shd w:val="clear" w:color="auto" w:fill="auto"/>
          </w:tcPr>
          <w:p w14:paraId="2F62D810" w14:textId="77777777" w:rsidR="00405E73" w:rsidRPr="00556B9B" w:rsidRDefault="00405E73" w:rsidP="00A72D34">
            <w:pPr>
              <w:keepNext/>
              <w:tabs>
                <w:tab w:val="left" w:pos="284"/>
              </w:tabs>
              <w:rPr>
                <w:rFonts w:eastAsia="MS Mincho"/>
                <w:b/>
                <w:szCs w:val="22"/>
              </w:rPr>
            </w:pPr>
            <w:r w:rsidRPr="00556B9B">
              <w:rPr>
                <w:b/>
              </w:rPr>
              <w:t>%(CI)</w:t>
            </w:r>
          </w:p>
        </w:tc>
      </w:tr>
      <w:tr w:rsidR="00405E73" w:rsidRPr="00556B9B" w14:paraId="2F2B77E9" w14:textId="77777777" w:rsidTr="00B45FE1">
        <w:trPr>
          <w:cantSplit/>
        </w:trPr>
        <w:tc>
          <w:tcPr>
            <w:tcW w:w="3099" w:type="dxa"/>
            <w:shd w:val="clear" w:color="auto" w:fill="auto"/>
          </w:tcPr>
          <w:p w14:paraId="09E0CA8D" w14:textId="77777777" w:rsidR="00405E73" w:rsidRPr="00556B9B" w:rsidRDefault="00405E73" w:rsidP="00A72D34">
            <w:pPr>
              <w:keepNext/>
              <w:ind w:left="284"/>
              <w:rPr>
                <w:rFonts w:eastAsia="MS Mincho"/>
                <w:szCs w:val="22"/>
              </w:rPr>
            </w:pPr>
            <w:r w:rsidRPr="00556B9B">
              <w:t>12 hónap</w:t>
            </w:r>
          </w:p>
        </w:tc>
        <w:tc>
          <w:tcPr>
            <w:tcW w:w="3100" w:type="dxa"/>
            <w:shd w:val="clear" w:color="auto" w:fill="auto"/>
          </w:tcPr>
          <w:p w14:paraId="0FC72AB7" w14:textId="77777777" w:rsidR="00405E73" w:rsidRPr="00556B9B" w:rsidRDefault="00405E73" w:rsidP="00A72D34">
            <w:pPr>
              <w:keepNext/>
              <w:tabs>
                <w:tab w:val="left" w:pos="284"/>
              </w:tabs>
              <w:rPr>
                <w:rFonts w:eastAsia="MS Mincho"/>
                <w:szCs w:val="22"/>
              </w:rPr>
            </w:pPr>
            <w:r w:rsidRPr="00556B9B">
              <w:t>93,7 (89,2</w:t>
            </w:r>
            <w:r w:rsidRPr="00556B9B">
              <w:noBreakHyphen/>
              <w:t>96,4)</w:t>
            </w:r>
          </w:p>
        </w:tc>
        <w:tc>
          <w:tcPr>
            <w:tcW w:w="3100" w:type="dxa"/>
            <w:shd w:val="clear" w:color="auto" w:fill="auto"/>
          </w:tcPr>
          <w:p w14:paraId="66BE5764" w14:textId="77777777" w:rsidR="00405E73" w:rsidRPr="00556B9B" w:rsidRDefault="00405E73" w:rsidP="00A72D34">
            <w:pPr>
              <w:keepNext/>
              <w:tabs>
                <w:tab w:val="left" w:pos="284"/>
              </w:tabs>
              <w:rPr>
                <w:rFonts w:eastAsia="MS Mincho"/>
                <w:szCs w:val="22"/>
              </w:rPr>
            </w:pPr>
            <w:r w:rsidRPr="00556B9B">
              <w:t>95,9 (91,9</w:t>
            </w:r>
            <w:r w:rsidRPr="00556B9B">
              <w:noBreakHyphen/>
              <w:t>97,9)</w:t>
            </w:r>
          </w:p>
        </w:tc>
      </w:tr>
      <w:tr w:rsidR="00405E73" w:rsidRPr="00556B9B" w14:paraId="34BFB72A" w14:textId="77777777" w:rsidTr="00B45FE1">
        <w:trPr>
          <w:cantSplit/>
        </w:trPr>
        <w:tc>
          <w:tcPr>
            <w:tcW w:w="3099" w:type="dxa"/>
            <w:shd w:val="clear" w:color="auto" w:fill="auto"/>
          </w:tcPr>
          <w:p w14:paraId="31A404A8" w14:textId="77777777" w:rsidR="00405E73" w:rsidRPr="00556B9B" w:rsidRDefault="00405E73" w:rsidP="00A72D34">
            <w:pPr>
              <w:keepNext/>
              <w:ind w:left="284"/>
              <w:rPr>
                <w:rFonts w:eastAsia="MS Mincho"/>
                <w:szCs w:val="22"/>
              </w:rPr>
            </w:pPr>
            <w:r w:rsidRPr="00556B9B">
              <w:t>24 hónap</w:t>
            </w:r>
          </w:p>
        </w:tc>
        <w:tc>
          <w:tcPr>
            <w:tcW w:w="3100" w:type="dxa"/>
            <w:shd w:val="clear" w:color="auto" w:fill="auto"/>
          </w:tcPr>
          <w:p w14:paraId="7C5360CB" w14:textId="77777777" w:rsidR="00405E73" w:rsidRPr="00556B9B" w:rsidRDefault="00405E73" w:rsidP="00A72D34">
            <w:pPr>
              <w:keepNext/>
              <w:tabs>
                <w:tab w:val="left" w:pos="284"/>
              </w:tabs>
              <w:rPr>
                <w:rFonts w:eastAsia="MS Mincho"/>
                <w:szCs w:val="22"/>
              </w:rPr>
            </w:pPr>
            <w:r w:rsidRPr="00556B9B">
              <w:t>75,4 (68,6</w:t>
            </w:r>
            <w:r w:rsidRPr="00556B9B">
              <w:noBreakHyphen/>
              <w:t>81,0)</w:t>
            </w:r>
          </w:p>
        </w:tc>
        <w:tc>
          <w:tcPr>
            <w:tcW w:w="3100" w:type="dxa"/>
            <w:shd w:val="clear" w:color="auto" w:fill="auto"/>
          </w:tcPr>
          <w:p w14:paraId="25B53BB1" w14:textId="77777777" w:rsidR="00405E73" w:rsidRPr="00556B9B" w:rsidRDefault="00405E73" w:rsidP="00A72D34">
            <w:pPr>
              <w:keepNext/>
              <w:tabs>
                <w:tab w:val="left" w:pos="284"/>
              </w:tabs>
              <w:rPr>
                <w:rFonts w:eastAsia="MS Mincho"/>
                <w:szCs w:val="22"/>
              </w:rPr>
            </w:pPr>
            <w:r w:rsidRPr="00556B9B">
              <w:t>90,7 (85,6</w:t>
            </w:r>
            <w:r w:rsidRPr="00556B9B">
              <w:noBreakHyphen/>
              <w:t>94</w:t>
            </w:r>
            <w:r w:rsidR="009B75A8" w:rsidRPr="00556B9B">
              <w:t>,0</w:t>
            </w:r>
            <w:r w:rsidRPr="00556B9B">
              <w:t>)</w:t>
            </w:r>
          </w:p>
        </w:tc>
      </w:tr>
      <w:tr w:rsidR="00405E73" w:rsidRPr="00556B9B" w14:paraId="6AB6B102" w14:textId="77777777" w:rsidTr="00B45FE1">
        <w:trPr>
          <w:cantSplit/>
        </w:trPr>
        <w:tc>
          <w:tcPr>
            <w:tcW w:w="3099" w:type="dxa"/>
            <w:shd w:val="clear" w:color="auto" w:fill="auto"/>
          </w:tcPr>
          <w:p w14:paraId="39E29323" w14:textId="77777777" w:rsidR="00405E73" w:rsidRPr="00556B9B" w:rsidRDefault="00405E73" w:rsidP="00A72D34">
            <w:pPr>
              <w:keepNext/>
              <w:ind w:left="284"/>
              <w:rPr>
                <w:rFonts w:eastAsia="MS Mincho"/>
                <w:szCs w:val="22"/>
              </w:rPr>
            </w:pPr>
            <w:r w:rsidRPr="00556B9B">
              <w:t>36 hónap</w:t>
            </w:r>
          </w:p>
        </w:tc>
        <w:tc>
          <w:tcPr>
            <w:tcW w:w="3100" w:type="dxa"/>
            <w:shd w:val="clear" w:color="auto" w:fill="auto"/>
          </w:tcPr>
          <w:p w14:paraId="44336721" w14:textId="77777777" w:rsidR="00405E73" w:rsidRPr="00556B9B" w:rsidRDefault="00405E73" w:rsidP="00A72D34">
            <w:pPr>
              <w:keepNext/>
              <w:tabs>
                <w:tab w:val="left" w:pos="284"/>
              </w:tabs>
              <w:rPr>
                <w:rFonts w:eastAsia="MS Mincho"/>
                <w:szCs w:val="22"/>
              </w:rPr>
            </w:pPr>
            <w:r w:rsidRPr="00556B9B">
              <w:t>60,1 (52,5</w:t>
            </w:r>
            <w:r w:rsidRPr="00556B9B">
              <w:noBreakHyphen/>
              <w:t>66,9)</w:t>
            </w:r>
          </w:p>
        </w:tc>
        <w:tc>
          <w:tcPr>
            <w:tcW w:w="3100" w:type="dxa"/>
            <w:shd w:val="clear" w:color="auto" w:fill="auto"/>
          </w:tcPr>
          <w:p w14:paraId="0308266C" w14:textId="77777777" w:rsidR="00405E73" w:rsidRPr="00556B9B" w:rsidRDefault="00405E73" w:rsidP="00A72D34">
            <w:pPr>
              <w:keepNext/>
              <w:tabs>
                <w:tab w:val="left" w:pos="284"/>
              </w:tabs>
              <w:rPr>
                <w:rFonts w:eastAsia="MS Mincho"/>
                <w:szCs w:val="22"/>
              </w:rPr>
            </w:pPr>
            <w:r w:rsidRPr="00556B9B">
              <w:t>86,6 (80,8</w:t>
            </w:r>
            <w:r w:rsidRPr="00556B9B">
              <w:noBreakHyphen/>
              <w:t>90,8)</w:t>
            </w:r>
          </w:p>
        </w:tc>
      </w:tr>
      <w:tr w:rsidR="00405E73" w:rsidRPr="00556B9B" w14:paraId="1B482732" w14:textId="77777777" w:rsidTr="00B45FE1">
        <w:trPr>
          <w:cantSplit/>
        </w:trPr>
        <w:tc>
          <w:tcPr>
            <w:tcW w:w="3099" w:type="dxa"/>
            <w:shd w:val="clear" w:color="auto" w:fill="auto"/>
          </w:tcPr>
          <w:p w14:paraId="7DB18745" w14:textId="77777777" w:rsidR="00405E73" w:rsidRPr="00556B9B" w:rsidRDefault="00405E73" w:rsidP="00A72D34">
            <w:pPr>
              <w:keepNext/>
              <w:ind w:left="284"/>
              <w:rPr>
                <w:rFonts w:eastAsia="MS Mincho"/>
                <w:szCs w:val="22"/>
              </w:rPr>
            </w:pPr>
            <w:r w:rsidRPr="00556B9B">
              <w:t>48 hónap</w:t>
            </w:r>
          </w:p>
        </w:tc>
        <w:tc>
          <w:tcPr>
            <w:tcW w:w="3100" w:type="dxa"/>
            <w:shd w:val="clear" w:color="auto" w:fill="auto"/>
          </w:tcPr>
          <w:p w14:paraId="1E9F6857" w14:textId="77777777" w:rsidR="00405E73" w:rsidRPr="00556B9B" w:rsidRDefault="00405E73" w:rsidP="00A72D34">
            <w:pPr>
              <w:keepNext/>
              <w:tabs>
                <w:tab w:val="left" w:pos="284"/>
              </w:tabs>
              <w:rPr>
                <w:rFonts w:eastAsia="MS Mincho"/>
                <w:szCs w:val="22"/>
              </w:rPr>
            </w:pPr>
            <w:r w:rsidRPr="00556B9B">
              <w:t>52,3 (44,0</w:t>
            </w:r>
            <w:r w:rsidRPr="00556B9B">
              <w:noBreakHyphen/>
              <w:t>59,8)</w:t>
            </w:r>
          </w:p>
        </w:tc>
        <w:tc>
          <w:tcPr>
            <w:tcW w:w="3100" w:type="dxa"/>
            <w:shd w:val="clear" w:color="auto" w:fill="auto"/>
          </w:tcPr>
          <w:p w14:paraId="64729843" w14:textId="77777777" w:rsidR="00405E73" w:rsidRPr="00556B9B" w:rsidRDefault="00405E73" w:rsidP="00A72D34">
            <w:pPr>
              <w:keepNext/>
              <w:tabs>
                <w:tab w:val="left" w:pos="284"/>
              </w:tabs>
              <w:rPr>
                <w:rFonts w:eastAsia="MS Mincho"/>
                <w:szCs w:val="22"/>
              </w:rPr>
            </w:pPr>
            <w:r w:rsidRPr="00556B9B">
              <w:t>78,3 (70,8</w:t>
            </w:r>
            <w:r w:rsidRPr="00556B9B">
              <w:noBreakHyphen/>
              <w:t>84,1)</w:t>
            </w:r>
          </w:p>
        </w:tc>
      </w:tr>
      <w:tr w:rsidR="00405E73" w:rsidRPr="00556B9B" w14:paraId="24A57D7F" w14:textId="77777777" w:rsidTr="00B45FE1">
        <w:trPr>
          <w:cantSplit/>
        </w:trPr>
        <w:tc>
          <w:tcPr>
            <w:tcW w:w="3099" w:type="dxa"/>
            <w:shd w:val="clear" w:color="auto" w:fill="auto"/>
          </w:tcPr>
          <w:p w14:paraId="3A146F5F" w14:textId="77777777" w:rsidR="00405E73" w:rsidRPr="00556B9B" w:rsidRDefault="00405E73" w:rsidP="00A72D34">
            <w:pPr>
              <w:keepNext/>
              <w:ind w:left="284"/>
              <w:rPr>
                <w:rFonts w:eastAsia="MS Mincho"/>
                <w:szCs w:val="22"/>
              </w:rPr>
            </w:pPr>
            <w:r w:rsidRPr="00556B9B">
              <w:t>60 hónap</w:t>
            </w:r>
          </w:p>
        </w:tc>
        <w:tc>
          <w:tcPr>
            <w:tcW w:w="3100" w:type="dxa"/>
            <w:shd w:val="clear" w:color="auto" w:fill="auto"/>
          </w:tcPr>
          <w:p w14:paraId="3D0170EB" w14:textId="77777777" w:rsidR="00405E73" w:rsidRPr="00556B9B" w:rsidRDefault="00405E73" w:rsidP="00A72D34">
            <w:pPr>
              <w:keepNext/>
              <w:tabs>
                <w:tab w:val="left" w:pos="284"/>
              </w:tabs>
              <w:rPr>
                <w:rFonts w:eastAsia="MS Mincho"/>
                <w:szCs w:val="22"/>
              </w:rPr>
            </w:pPr>
            <w:r w:rsidRPr="00556B9B">
              <w:t>47,9 (39,0</w:t>
            </w:r>
            <w:r w:rsidRPr="00556B9B">
              <w:noBreakHyphen/>
              <w:t>56,3)</w:t>
            </w:r>
          </w:p>
        </w:tc>
        <w:tc>
          <w:tcPr>
            <w:tcW w:w="3100" w:type="dxa"/>
            <w:shd w:val="clear" w:color="auto" w:fill="auto"/>
          </w:tcPr>
          <w:p w14:paraId="7B55C64D" w14:textId="77777777" w:rsidR="00405E73" w:rsidRPr="00556B9B" w:rsidRDefault="00405E73" w:rsidP="00A72D34">
            <w:pPr>
              <w:keepNext/>
              <w:tabs>
                <w:tab w:val="left" w:pos="284"/>
              </w:tabs>
              <w:rPr>
                <w:rFonts w:eastAsia="MS Mincho"/>
                <w:szCs w:val="22"/>
              </w:rPr>
            </w:pPr>
            <w:r w:rsidRPr="00556B9B">
              <w:t>65,6 (56,1</w:t>
            </w:r>
            <w:r w:rsidRPr="00556B9B">
              <w:noBreakHyphen/>
              <w:t>73,4)</w:t>
            </w:r>
          </w:p>
        </w:tc>
      </w:tr>
      <w:tr w:rsidR="00405E73" w:rsidRPr="00556B9B" w14:paraId="501FA1C8" w14:textId="77777777" w:rsidTr="00B45FE1">
        <w:trPr>
          <w:cantSplit/>
        </w:trPr>
        <w:tc>
          <w:tcPr>
            <w:tcW w:w="3099" w:type="dxa"/>
            <w:shd w:val="clear" w:color="auto" w:fill="auto"/>
          </w:tcPr>
          <w:p w14:paraId="7BCC3EFC" w14:textId="77777777" w:rsidR="00405E73" w:rsidRPr="00556B9B" w:rsidRDefault="00405E73" w:rsidP="00A72D34">
            <w:pPr>
              <w:keepNext/>
              <w:tabs>
                <w:tab w:val="left" w:pos="284"/>
              </w:tabs>
              <w:rPr>
                <w:rFonts w:eastAsia="MS Mincho"/>
                <w:b/>
                <w:szCs w:val="22"/>
              </w:rPr>
            </w:pPr>
            <w:r w:rsidRPr="00556B9B">
              <w:rPr>
                <w:b/>
              </w:rPr>
              <w:t>Túlélés</w:t>
            </w:r>
          </w:p>
        </w:tc>
        <w:tc>
          <w:tcPr>
            <w:tcW w:w="3100" w:type="dxa"/>
            <w:shd w:val="clear" w:color="auto" w:fill="auto"/>
          </w:tcPr>
          <w:p w14:paraId="65993F2F" w14:textId="77777777" w:rsidR="00405E73" w:rsidRPr="00556B9B" w:rsidRDefault="00405E73" w:rsidP="00A72D34">
            <w:pPr>
              <w:keepNext/>
              <w:tabs>
                <w:tab w:val="left" w:pos="284"/>
              </w:tabs>
              <w:rPr>
                <w:rFonts w:eastAsia="MS Mincho"/>
                <w:szCs w:val="22"/>
              </w:rPr>
            </w:pPr>
          </w:p>
        </w:tc>
        <w:tc>
          <w:tcPr>
            <w:tcW w:w="3100" w:type="dxa"/>
            <w:shd w:val="clear" w:color="auto" w:fill="auto"/>
          </w:tcPr>
          <w:p w14:paraId="4319CECF" w14:textId="77777777" w:rsidR="00405E73" w:rsidRPr="00556B9B" w:rsidRDefault="00405E73" w:rsidP="00A72D34">
            <w:pPr>
              <w:keepNext/>
              <w:tabs>
                <w:tab w:val="left" w:pos="284"/>
              </w:tabs>
              <w:rPr>
                <w:rFonts w:eastAsia="MS Mincho"/>
                <w:szCs w:val="22"/>
              </w:rPr>
            </w:pPr>
          </w:p>
        </w:tc>
      </w:tr>
      <w:tr w:rsidR="00405E73" w:rsidRPr="00556B9B" w14:paraId="3AD5EC08" w14:textId="77777777" w:rsidTr="00B45FE1">
        <w:trPr>
          <w:cantSplit/>
        </w:trPr>
        <w:tc>
          <w:tcPr>
            <w:tcW w:w="3099" w:type="dxa"/>
            <w:shd w:val="clear" w:color="auto" w:fill="auto"/>
          </w:tcPr>
          <w:p w14:paraId="688E538A" w14:textId="77777777" w:rsidR="00405E73" w:rsidRPr="00556B9B" w:rsidRDefault="00405E73" w:rsidP="00A72D34">
            <w:pPr>
              <w:keepNext/>
              <w:ind w:left="284"/>
              <w:rPr>
                <w:rFonts w:eastAsia="MS Mincho"/>
                <w:szCs w:val="22"/>
              </w:rPr>
            </w:pPr>
            <w:r w:rsidRPr="00556B9B">
              <w:t>36 hónap</w:t>
            </w:r>
          </w:p>
        </w:tc>
        <w:tc>
          <w:tcPr>
            <w:tcW w:w="3100" w:type="dxa"/>
            <w:shd w:val="clear" w:color="auto" w:fill="auto"/>
          </w:tcPr>
          <w:p w14:paraId="3727C5D3" w14:textId="77777777" w:rsidR="00405E73" w:rsidRPr="00556B9B" w:rsidRDefault="00405E73" w:rsidP="00A72D34">
            <w:pPr>
              <w:keepNext/>
              <w:tabs>
                <w:tab w:val="left" w:pos="284"/>
              </w:tabs>
              <w:rPr>
                <w:rFonts w:eastAsia="MS Mincho"/>
                <w:szCs w:val="22"/>
              </w:rPr>
            </w:pPr>
            <w:r w:rsidRPr="00556B9B">
              <w:t>94,0 (89,5</w:t>
            </w:r>
            <w:r w:rsidRPr="00556B9B">
              <w:noBreakHyphen/>
              <w:t>96,7)</w:t>
            </w:r>
          </w:p>
        </w:tc>
        <w:tc>
          <w:tcPr>
            <w:tcW w:w="3100" w:type="dxa"/>
            <w:shd w:val="clear" w:color="auto" w:fill="auto"/>
          </w:tcPr>
          <w:p w14:paraId="0BDD10B0" w14:textId="77777777" w:rsidR="00405E73" w:rsidRPr="00556B9B" w:rsidRDefault="00405E73" w:rsidP="00A72D34">
            <w:pPr>
              <w:keepNext/>
              <w:tabs>
                <w:tab w:val="left" w:pos="284"/>
              </w:tabs>
              <w:rPr>
                <w:rFonts w:eastAsia="MS Mincho"/>
                <w:szCs w:val="22"/>
              </w:rPr>
            </w:pPr>
            <w:r w:rsidRPr="00556B9B">
              <w:t>96,3 (92,4</w:t>
            </w:r>
            <w:r w:rsidRPr="00556B9B">
              <w:noBreakHyphen/>
              <w:t>98,2)</w:t>
            </w:r>
          </w:p>
        </w:tc>
      </w:tr>
      <w:tr w:rsidR="00405E73" w:rsidRPr="00556B9B" w14:paraId="43F35DAC" w14:textId="77777777" w:rsidTr="00B45FE1">
        <w:trPr>
          <w:cantSplit/>
        </w:trPr>
        <w:tc>
          <w:tcPr>
            <w:tcW w:w="3099" w:type="dxa"/>
            <w:shd w:val="clear" w:color="auto" w:fill="auto"/>
          </w:tcPr>
          <w:p w14:paraId="3BCCBC4F" w14:textId="77777777" w:rsidR="00405E73" w:rsidRPr="00556B9B" w:rsidRDefault="00405E73" w:rsidP="00A72D34">
            <w:pPr>
              <w:keepNext/>
              <w:ind w:left="284"/>
              <w:rPr>
                <w:rFonts w:eastAsia="MS Mincho"/>
                <w:szCs w:val="22"/>
              </w:rPr>
            </w:pPr>
            <w:r w:rsidRPr="00556B9B">
              <w:t>48 hónap</w:t>
            </w:r>
          </w:p>
        </w:tc>
        <w:tc>
          <w:tcPr>
            <w:tcW w:w="3100" w:type="dxa"/>
            <w:shd w:val="clear" w:color="auto" w:fill="auto"/>
          </w:tcPr>
          <w:p w14:paraId="3860EE87" w14:textId="77777777" w:rsidR="00405E73" w:rsidRPr="00556B9B" w:rsidRDefault="00405E73" w:rsidP="00A72D34">
            <w:pPr>
              <w:keepNext/>
              <w:tabs>
                <w:tab w:val="left" w:pos="284"/>
              </w:tabs>
              <w:rPr>
                <w:rFonts w:eastAsia="MS Mincho"/>
                <w:szCs w:val="22"/>
              </w:rPr>
            </w:pPr>
            <w:r w:rsidRPr="00556B9B">
              <w:t>87,9 (81,1</w:t>
            </w:r>
            <w:r w:rsidRPr="00556B9B">
              <w:noBreakHyphen/>
              <w:t>92,3)</w:t>
            </w:r>
          </w:p>
        </w:tc>
        <w:tc>
          <w:tcPr>
            <w:tcW w:w="3100" w:type="dxa"/>
            <w:shd w:val="clear" w:color="auto" w:fill="auto"/>
          </w:tcPr>
          <w:p w14:paraId="79AB83FC" w14:textId="77777777" w:rsidR="00405E73" w:rsidRPr="00556B9B" w:rsidRDefault="00405E73" w:rsidP="00A72D34">
            <w:pPr>
              <w:keepNext/>
              <w:tabs>
                <w:tab w:val="left" w:pos="284"/>
              </w:tabs>
              <w:rPr>
                <w:rFonts w:eastAsia="MS Mincho"/>
                <w:szCs w:val="22"/>
              </w:rPr>
            </w:pPr>
            <w:r w:rsidRPr="00556B9B">
              <w:t>95,6 (91,2</w:t>
            </w:r>
            <w:r w:rsidRPr="00556B9B">
              <w:noBreakHyphen/>
              <w:t>97,8)</w:t>
            </w:r>
          </w:p>
        </w:tc>
      </w:tr>
      <w:tr w:rsidR="00405E73" w:rsidRPr="00556B9B" w14:paraId="449E153F" w14:textId="77777777" w:rsidTr="00B45FE1">
        <w:trPr>
          <w:cantSplit/>
        </w:trPr>
        <w:tc>
          <w:tcPr>
            <w:tcW w:w="3099" w:type="dxa"/>
            <w:shd w:val="clear" w:color="auto" w:fill="auto"/>
          </w:tcPr>
          <w:p w14:paraId="6A5D6487" w14:textId="77777777" w:rsidR="00405E73" w:rsidRPr="00556B9B" w:rsidRDefault="00405E73" w:rsidP="00A72D34">
            <w:pPr>
              <w:ind w:left="284"/>
              <w:rPr>
                <w:rFonts w:eastAsia="MS Mincho"/>
                <w:szCs w:val="22"/>
              </w:rPr>
            </w:pPr>
            <w:r w:rsidRPr="00556B9B">
              <w:t>60 hónap</w:t>
            </w:r>
          </w:p>
        </w:tc>
        <w:tc>
          <w:tcPr>
            <w:tcW w:w="3100" w:type="dxa"/>
            <w:shd w:val="clear" w:color="auto" w:fill="auto"/>
          </w:tcPr>
          <w:p w14:paraId="1BE66F1B" w14:textId="77777777" w:rsidR="00405E73" w:rsidRPr="00556B9B" w:rsidRDefault="00405E73" w:rsidP="00A72D34">
            <w:pPr>
              <w:tabs>
                <w:tab w:val="left" w:pos="284"/>
              </w:tabs>
              <w:rPr>
                <w:rFonts w:eastAsia="MS Mincho"/>
                <w:szCs w:val="22"/>
              </w:rPr>
            </w:pPr>
            <w:r w:rsidRPr="00556B9B">
              <w:t>81,7 (73,0</w:t>
            </w:r>
            <w:r w:rsidRPr="00556B9B">
              <w:noBreakHyphen/>
              <w:t>87,8)</w:t>
            </w:r>
          </w:p>
        </w:tc>
        <w:tc>
          <w:tcPr>
            <w:tcW w:w="3100" w:type="dxa"/>
            <w:shd w:val="clear" w:color="auto" w:fill="auto"/>
          </w:tcPr>
          <w:p w14:paraId="72410D09" w14:textId="77777777" w:rsidR="00405E73" w:rsidRPr="00556B9B" w:rsidRDefault="00405E73" w:rsidP="00A72D34">
            <w:pPr>
              <w:tabs>
                <w:tab w:val="left" w:pos="284"/>
              </w:tabs>
              <w:rPr>
                <w:rFonts w:eastAsia="MS Mincho"/>
                <w:szCs w:val="22"/>
              </w:rPr>
            </w:pPr>
            <w:r w:rsidRPr="00556B9B">
              <w:t>92,0 (85,3</w:t>
            </w:r>
            <w:r w:rsidRPr="00556B9B">
              <w:noBreakHyphen/>
              <w:t>95,7)</w:t>
            </w:r>
          </w:p>
        </w:tc>
      </w:tr>
    </w:tbl>
    <w:p w14:paraId="7FA1D8D7" w14:textId="77777777" w:rsidR="00B45FE1" w:rsidRPr="00654EF1" w:rsidRDefault="00B45FE1" w:rsidP="00B45FE1">
      <w:pPr>
        <w:widowControl w:val="0"/>
        <w:spacing w:line="240" w:lineRule="auto"/>
        <w:rPr>
          <w:rFonts w:eastAsia="MS Mincho"/>
          <w:szCs w:val="22"/>
          <w:lang w:val="en-US"/>
        </w:rPr>
      </w:pPr>
    </w:p>
    <w:p w14:paraId="7F08B0D4" w14:textId="77777777" w:rsidR="00B45FE1" w:rsidRPr="00556B9B" w:rsidRDefault="00B45FE1" w:rsidP="00B45FE1">
      <w:pPr>
        <w:keepNext/>
        <w:widowControl w:val="0"/>
        <w:ind w:left="1134" w:hanging="1134"/>
        <w:rPr>
          <w:rFonts w:eastAsia="MS Mincho"/>
          <w:szCs w:val="22"/>
        </w:rPr>
      </w:pPr>
      <w:r w:rsidRPr="00556B9B">
        <w:rPr>
          <w:rFonts w:cs="Times New Roman"/>
          <w:b/>
          <w:szCs w:val="22"/>
          <w:lang w:val="hu-HU" w:eastAsia="en-US" w:bidi="ar-SA"/>
        </w:rPr>
        <w:t>1. ábra</w:t>
      </w:r>
      <w:r w:rsidRPr="00556B9B">
        <w:rPr>
          <w:rFonts w:cs="Times New Roman"/>
          <w:b/>
          <w:szCs w:val="22"/>
          <w:lang w:val="hu-HU" w:eastAsia="en-US" w:bidi="ar-SA"/>
        </w:rPr>
        <w:tab/>
        <w:t>A primer kiújulás-mentes túlélés végpont Kaplan-Meier—féle becslése (ITT populáció)</w:t>
      </w:r>
    </w:p>
    <w:p w14:paraId="0B74B79F" w14:textId="77777777" w:rsidR="00B45FE1" w:rsidRPr="00654EF1" w:rsidRDefault="00B45FE1" w:rsidP="00B45FE1">
      <w:pPr>
        <w:keepNext/>
        <w:widowControl w:val="0"/>
        <w:tabs>
          <w:tab w:val="left" w:pos="1134"/>
        </w:tabs>
        <w:spacing w:line="240" w:lineRule="auto"/>
        <w:ind w:left="1134" w:hanging="1134"/>
        <w:outlineLvl w:val="6"/>
        <w:rPr>
          <w:rFonts w:eastAsia="MS Mincho"/>
          <w:szCs w:val="22"/>
          <w:lang w:val="en-US"/>
        </w:rPr>
      </w:pPr>
      <w:r w:rsidRPr="00654EF1">
        <w:rPr>
          <w:noProof/>
          <w:lang w:val="en-US" w:eastAsia="en-US" w:bidi="ar-SA"/>
        </w:rPr>
        <mc:AlternateContent>
          <mc:Choice Requires="wps">
            <w:drawing>
              <wp:anchor distT="0" distB="0" distL="114300" distR="114300" simplePos="0" relativeHeight="251663360" behindDoc="0" locked="0" layoutInCell="1" allowOverlap="1" wp14:anchorId="7B3018CD" wp14:editId="7F345F10">
                <wp:simplePos x="0" y="0"/>
                <wp:positionH relativeFrom="column">
                  <wp:posOffset>-200715</wp:posOffset>
                </wp:positionH>
                <wp:positionV relativeFrom="paragraph">
                  <wp:posOffset>108088</wp:posOffset>
                </wp:positionV>
                <wp:extent cx="335915" cy="2485721"/>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48572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13AE67" w14:textId="77777777" w:rsidR="009E303A" w:rsidRPr="00A33DBA" w:rsidRDefault="009E303A" w:rsidP="00B45FE1">
                            <w:pPr>
                              <w:rPr>
                                <w:rFonts w:ascii="Arial" w:hAnsi="Arial" w:cs="Arial"/>
                                <w:sz w:val="20"/>
                              </w:rPr>
                            </w:pPr>
                            <w:r>
                              <w:rPr>
                                <w:rFonts w:ascii="Arial" w:hAnsi="Arial"/>
                                <w:sz w:val="20"/>
                              </w:rPr>
                              <w:t>A kiújulás-mentes túlélés valószínűsége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3018CD" id="_x0000_t202" coordsize="21600,21600" o:spt="202" path="m,l,21600r21600,l21600,xe">
                <v:stroke joinstyle="miter"/>
                <v:path gradientshapeok="t" o:connecttype="rect"/>
              </v:shapetype>
              <v:shape id="Text Box 28" o:spid="_x0000_s1026" type="#_x0000_t202" style="position:absolute;left:0;text-align:left;margin-left:-15.8pt;margin-top:8.5pt;width:26.45pt;height:19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" stroked="f">
                <v:fill opacity="0"/>
                <v:textbox style="layout-flow:vertical;mso-layout-flow-alt:bottom-to-top">
                  <w:txbxContent>
                    <w:p w14:paraId="7613AE67" w14:textId="77777777" w:rsidR="009E303A" w:rsidRPr="00A33DBA" w:rsidRDefault="009E303A" w:rsidP="00B45FE1">
                      <w:pPr>
                        <w:rPr>
                          <w:rFonts w:ascii="Arial" w:hAnsi="Arial" w:cs="Arial"/>
                          <w:sz w:val="20"/>
                        </w:rPr>
                      </w:pPr>
                      <w:r>
                        <w:rPr>
                          <w:rFonts w:ascii="Arial" w:hAnsi="Arial"/>
                          <w:sz w:val="20"/>
                        </w:rPr>
                        <w:t>A kiújulás-mentes túlélés valószínűsége</w:t>
                      </w:r>
                    </w:p>
                  </w:txbxContent>
                </v:textbox>
              </v:shape>
            </w:pict>
          </mc:Fallback>
        </mc:AlternateContent>
      </w:r>
    </w:p>
    <w:p w14:paraId="17B4F2F4" w14:textId="77777777" w:rsidR="00B45FE1" w:rsidRPr="00654EF1" w:rsidRDefault="00B45FE1" w:rsidP="00B45FE1">
      <w:pPr>
        <w:widowControl w:val="0"/>
        <w:tabs>
          <w:tab w:val="left" w:pos="1134"/>
        </w:tabs>
        <w:spacing w:line="240" w:lineRule="auto"/>
        <w:ind w:left="1134" w:hanging="1134"/>
        <w:outlineLvl w:val="6"/>
        <w:rPr>
          <w:rFonts w:eastAsia="MS Mincho"/>
          <w:szCs w:val="22"/>
          <w:lang w:val="en-US"/>
        </w:rPr>
      </w:pPr>
      <w:r w:rsidRPr="00556B9B">
        <w:rPr>
          <w:rFonts w:eastAsia="MS Mincho"/>
          <w:noProof/>
          <w:szCs w:val="22"/>
          <w:lang w:val="en-US" w:eastAsia="en-US" w:bidi="ar-SA"/>
        </w:rPr>
        <mc:AlternateContent>
          <mc:Choice Requires="wps">
            <w:drawing>
              <wp:anchor distT="0" distB="0" distL="114300" distR="114300" simplePos="0" relativeHeight="251667456" behindDoc="0" locked="0" layoutInCell="1" allowOverlap="1" wp14:anchorId="172FECEA" wp14:editId="24A0897A">
                <wp:simplePos x="0" y="0"/>
                <wp:positionH relativeFrom="column">
                  <wp:posOffset>389614</wp:posOffset>
                </wp:positionH>
                <wp:positionV relativeFrom="paragraph">
                  <wp:posOffset>1141978</wp:posOffset>
                </wp:positionV>
                <wp:extent cx="4585335" cy="12954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83"/>
                              <w:gridCol w:w="850"/>
                            </w:tblGrid>
                            <w:tr w:rsidR="009E303A" w:rsidRPr="00462020" w14:paraId="0719F2B8" w14:textId="77777777" w:rsidTr="00A841F1">
                              <w:trPr>
                                <w:gridAfter w:val="4"/>
                                <w:wAfter w:w="2855" w:type="dxa"/>
                              </w:trPr>
                              <w:tc>
                                <w:tcPr>
                                  <w:tcW w:w="3281" w:type="dxa"/>
                                  <w:gridSpan w:val="2"/>
                                  <w:shd w:val="clear" w:color="auto" w:fill="auto"/>
                                </w:tcPr>
                                <w:p w14:paraId="391F3611" w14:textId="77777777" w:rsidR="009E303A" w:rsidRPr="00AA1F7F" w:rsidRDefault="009E303A" w:rsidP="00A841F1">
                                  <w:pPr>
                                    <w:rPr>
                                      <w:rFonts w:ascii="Arial" w:hAnsi="Arial" w:cs="Arial"/>
                                      <w:sz w:val="20"/>
                                      <w:lang w:val="es-ES"/>
                                    </w:rPr>
                                  </w:pPr>
                                  <w:r w:rsidRPr="00AA1F7F">
                                    <w:rPr>
                                      <w:rFonts w:ascii="Arial" w:hAnsi="Arial" w:cs="Arial"/>
                                      <w:sz w:val="20"/>
                                      <w:lang w:val="es-ES"/>
                                    </w:rPr>
                                    <w:t>P</w:t>
                                  </w:r>
                                  <w:r>
                                    <w:rPr>
                                      <w:rFonts w:ascii="Arial" w:hAnsi="Arial" w:cs="Arial"/>
                                      <w:sz w:val="20"/>
                                      <w:lang w:val="es-ES"/>
                                    </w:rPr>
                                    <w:t> </w:t>
                                  </w:r>
                                  <w:r w:rsidRPr="00AA1F7F">
                                    <w:rPr>
                                      <w:rFonts w:ascii="Arial" w:hAnsi="Arial" w:cs="Arial"/>
                                      <w:sz w:val="20"/>
                                      <w:lang w:val="es-ES"/>
                                    </w:rPr>
                                    <w:t>&lt;</w:t>
                                  </w:r>
                                  <w:r>
                                    <w:rPr>
                                      <w:rFonts w:ascii="Arial" w:hAnsi="Arial" w:cs="Arial"/>
                                      <w:sz w:val="20"/>
                                      <w:lang w:val="es-ES"/>
                                    </w:rPr>
                                    <w:t> </w:t>
                                  </w:r>
                                  <w:r w:rsidRPr="00AA1F7F">
                                    <w:rPr>
                                      <w:rFonts w:ascii="Arial" w:hAnsi="Arial" w:cs="Arial"/>
                                      <w:sz w:val="20"/>
                                      <w:lang w:val="es-ES"/>
                                    </w:rPr>
                                    <w:t>0,0001</w:t>
                                  </w:r>
                                </w:p>
                                <w:p w14:paraId="7D69EC56" w14:textId="77777777" w:rsidR="009E303A" w:rsidRPr="00AA1F7F" w:rsidRDefault="009E303A" w:rsidP="00A841F1">
                                  <w:pPr>
                                    <w:rPr>
                                      <w:rFonts w:ascii="Arial" w:hAnsi="Arial" w:cs="Arial"/>
                                      <w:sz w:val="20"/>
                                      <w:lang w:val="es-ES"/>
                                    </w:rPr>
                                  </w:pPr>
                                  <w:r w:rsidRPr="00574FBC">
                                    <w:rPr>
                                      <w:rFonts w:ascii="Arial" w:hAnsi="Arial"/>
                                      <w:sz w:val="20"/>
                                      <w:lang w:val="pt-PT"/>
                                    </w:rPr>
                                    <w:t xml:space="preserve">relatív hazárd = </w:t>
                                  </w:r>
                                  <w:r w:rsidRPr="00AA1F7F">
                                    <w:rPr>
                                      <w:rFonts w:ascii="Arial" w:hAnsi="Arial" w:cs="Arial"/>
                                      <w:sz w:val="20"/>
                                      <w:lang w:val="es-ES"/>
                                    </w:rPr>
                                    <w:t>0,46</w:t>
                                  </w:r>
                                </w:p>
                                <w:p w14:paraId="639C87FD" w14:textId="77777777" w:rsidR="009E303A" w:rsidRPr="00AA1F7F" w:rsidRDefault="009E303A" w:rsidP="00A841F1">
                                  <w:pPr>
                                    <w:rPr>
                                      <w:rFonts w:ascii="Arial" w:hAnsi="Arial" w:cs="Arial"/>
                                      <w:sz w:val="20"/>
                                      <w:lang w:val="es-ES"/>
                                    </w:rPr>
                                  </w:pPr>
                                  <w:r w:rsidRPr="00574FBC">
                                    <w:rPr>
                                      <w:rFonts w:ascii="Arial" w:hAnsi="Arial"/>
                                      <w:sz w:val="20"/>
                                      <w:lang w:val="pt-PT"/>
                                    </w:rPr>
                                    <w:t>(95%-os Cl</w:t>
                                  </w:r>
                                  <w:r>
                                    <w:rPr>
                                      <w:rFonts w:ascii="Arial" w:hAnsi="Arial"/>
                                      <w:sz w:val="20"/>
                                      <w:lang w:val="pt-PT"/>
                                    </w:rPr>
                                    <w:t>,</w:t>
                                  </w:r>
                                  <w:r w:rsidRPr="00AA1F7F">
                                    <w:rPr>
                                      <w:rFonts w:ascii="Arial" w:hAnsi="Arial" w:cs="Arial"/>
                                      <w:sz w:val="20"/>
                                      <w:lang w:val="es-ES"/>
                                    </w:rPr>
                                    <w:t xml:space="preserve"> 0,32</w:t>
                                  </w:r>
                                  <w:r w:rsidRPr="00AA1F7F">
                                    <w:rPr>
                                      <w:rFonts w:ascii="Arial" w:hAnsi="Arial" w:cs="Arial"/>
                                      <w:sz w:val="20"/>
                                      <w:lang w:val="es-ES"/>
                                    </w:rPr>
                                    <w:noBreakHyphen/>
                                    <w:t>0,65)</w:t>
                                  </w:r>
                                </w:p>
                              </w:tc>
                            </w:tr>
                            <w:tr w:rsidR="009E303A" w:rsidRPr="0055776F" w14:paraId="05FC834A" w14:textId="77777777" w:rsidTr="00660EA0">
                              <w:tc>
                                <w:tcPr>
                                  <w:tcW w:w="817" w:type="dxa"/>
                                  <w:shd w:val="clear" w:color="auto" w:fill="auto"/>
                                </w:tcPr>
                                <w:p w14:paraId="09812F59" w14:textId="77777777" w:rsidR="009E303A" w:rsidRPr="00AA1F7F" w:rsidRDefault="009E303A" w:rsidP="001A0ED7">
                                  <w:pPr>
                                    <w:rPr>
                                      <w:rFonts w:ascii="Arial" w:hAnsi="Arial" w:cs="Arial"/>
                                      <w:sz w:val="20"/>
                                      <w:lang w:val="es-ES"/>
                                    </w:rPr>
                                  </w:pPr>
                                </w:p>
                              </w:tc>
                              <w:tc>
                                <w:tcPr>
                                  <w:tcW w:w="2835" w:type="dxa"/>
                                  <w:gridSpan w:val="2"/>
                                  <w:shd w:val="clear" w:color="auto" w:fill="auto"/>
                                </w:tcPr>
                                <w:p w14:paraId="3C022D25" w14:textId="77777777" w:rsidR="009E303A" w:rsidRPr="00AA1F7F" w:rsidRDefault="009E303A" w:rsidP="001A0ED7">
                                  <w:pPr>
                                    <w:rPr>
                                      <w:rFonts w:ascii="Arial" w:hAnsi="Arial" w:cs="Arial"/>
                                      <w:sz w:val="20"/>
                                      <w:lang w:val="es-ES"/>
                                    </w:rPr>
                                  </w:pPr>
                                </w:p>
                              </w:tc>
                              <w:tc>
                                <w:tcPr>
                                  <w:tcW w:w="851" w:type="dxa"/>
                                  <w:tcBorders>
                                    <w:bottom w:val="single" w:sz="4" w:space="0" w:color="auto"/>
                                  </w:tcBorders>
                                  <w:shd w:val="clear" w:color="auto" w:fill="auto"/>
                                </w:tcPr>
                                <w:p w14:paraId="3A8AA6AE" w14:textId="77777777" w:rsidR="009E303A" w:rsidRPr="00660EA0" w:rsidRDefault="009E303A" w:rsidP="001A0ED7">
                                  <w:pPr>
                                    <w:rPr>
                                      <w:rFonts w:ascii="Arial" w:hAnsi="Arial" w:cs="Arial"/>
                                      <w:sz w:val="20"/>
                                    </w:rPr>
                                  </w:pPr>
                                  <w:r w:rsidRPr="00660EA0">
                                    <w:rPr>
                                      <w:rFonts w:ascii="Arial" w:hAnsi="Arial" w:cs="Arial"/>
                                      <w:sz w:val="20"/>
                                      <w:lang w:val="de-DE"/>
                                    </w:rPr>
                                    <w:t>N</w:t>
                                  </w:r>
                                </w:p>
                              </w:tc>
                              <w:tc>
                                <w:tcPr>
                                  <w:tcW w:w="783" w:type="dxa"/>
                                  <w:tcBorders>
                                    <w:bottom w:val="single" w:sz="4" w:space="0" w:color="auto"/>
                                  </w:tcBorders>
                                  <w:shd w:val="clear" w:color="auto" w:fill="auto"/>
                                </w:tcPr>
                                <w:p w14:paraId="74292A90" w14:textId="77777777" w:rsidR="009E303A" w:rsidRPr="00660EA0" w:rsidRDefault="009E303A" w:rsidP="001A0ED7">
                                  <w:pPr>
                                    <w:rPr>
                                      <w:rFonts w:ascii="Arial" w:hAnsi="Arial" w:cs="Arial"/>
                                      <w:sz w:val="20"/>
                                    </w:rPr>
                                  </w:pPr>
                                  <w:r w:rsidRPr="00660EA0">
                                    <w:rPr>
                                      <w:rFonts w:ascii="Arial" w:hAnsi="Arial"/>
                                      <w:sz w:val="20"/>
                                      <w:lang w:val="de-CH"/>
                                    </w:rPr>
                                    <w:t>Esem.</w:t>
                                  </w:r>
                                </w:p>
                              </w:tc>
                              <w:tc>
                                <w:tcPr>
                                  <w:tcW w:w="850" w:type="dxa"/>
                                  <w:tcBorders>
                                    <w:bottom w:val="single" w:sz="4" w:space="0" w:color="auto"/>
                                  </w:tcBorders>
                                  <w:shd w:val="clear" w:color="auto" w:fill="auto"/>
                                </w:tcPr>
                                <w:p w14:paraId="6A52CFD8" w14:textId="77777777" w:rsidR="009E303A" w:rsidRPr="00660EA0" w:rsidRDefault="009E303A" w:rsidP="001A0ED7">
                                  <w:pPr>
                                    <w:rPr>
                                      <w:rFonts w:ascii="Arial" w:hAnsi="Arial" w:cs="Arial"/>
                                      <w:sz w:val="20"/>
                                    </w:rPr>
                                  </w:pPr>
                                  <w:r w:rsidRPr="00660EA0">
                                    <w:rPr>
                                      <w:rFonts w:ascii="Arial" w:hAnsi="Arial"/>
                                      <w:sz w:val="20"/>
                                      <w:lang w:val="de-CH"/>
                                    </w:rPr>
                                    <w:t>Cenz.</w:t>
                                  </w:r>
                                </w:p>
                              </w:tc>
                            </w:tr>
                            <w:tr w:rsidR="009E303A" w:rsidRPr="0055776F" w14:paraId="66A7C441" w14:textId="77777777" w:rsidTr="00660EA0">
                              <w:tc>
                                <w:tcPr>
                                  <w:tcW w:w="817" w:type="dxa"/>
                                  <w:shd w:val="clear" w:color="auto" w:fill="auto"/>
                                </w:tcPr>
                                <w:p w14:paraId="43455DFD" w14:textId="77777777" w:rsidR="009E303A" w:rsidRPr="0055776F" w:rsidRDefault="009E303A" w:rsidP="001A0ED7">
                                  <w:pPr>
                                    <w:rPr>
                                      <w:rFonts w:ascii="Arial" w:hAnsi="Arial" w:cs="Arial"/>
                                      <w:sz w:val="20"/>
                                    </w:rPr>
                                  </w:pPr>
                                  <w:r w:rsidRPr="0055776F">
                                    <w:rPr>
                                      <w:rFonts w:ascii="Arial" w:hAnsi="Arial" w:cs="Arial"/>
                                      <w:b/>
                                      <w:sz w:val="20"/>
                                    </w:rPr>
                                    <w:t>——</w:t>
                                  </w:r>
                                </w:p>
                              </w:tc>
                              <w:tc>
                                <w:tcPr>
                                  <w:tcW w:w="2835" w:type="dxa"/>
                                  <w:gridSpan w:val="2"/>
                                  <w:shd w:val="clear" w:color="auto" w:fill="auto"/>
                                </w:tcPr>
                                <w:p w14:paraId="57337DEA" w14:textId="77777777" w:rsidR="009E303A" w:rsidRPr="0055776F" w:rsidRDefault="009E303A" w:rsidP="001A0ED7">
                                  <w:pPr>
                                    <w:rPr>
                                      <w:rFonts w:ascii="Arial" w:hAnsi="Arial" w:cs="Arial"/>
                                      <w:sz w:val="20"/>
                                    </w:rPr>
                                  </w:pPr>
                                  <w:r>
                                    <w:rPr>
                                      <w:rFonts w:ascii="Arial" w:hAnsi="Arial"/>
                                      <w:sz w:val="20"/>
                                      <w:lang w:val="pt-PT"/>
                                    </w:rPr>
                                    <w:t>(1) Imatinib 12 </w:t>
                                  </w:r>
                                  <w:r w:rsidRPr="00574FBC">
                                    <w:rPr>
                                      <w:rFonts w:ascii="Arial" w:hAnsi="Arial"/>
                                      <w:sz w:val="20"/>
                                      <w:lang w:val="pt-PT"/>
                                    </w:rPr>
                                    <w:t>HÓ:</w:t>
                                  </w:r>
                                </w:p>
                              </w:tc>
                              <w:tc>
                                <w:tcPr>
                                  <w:tcW w:w="851" w:type="dxa"/>
                                  <w:tcBorders>
                                    <w:top w:val="single" w:sz="4" w:space="0" w:color="auto"/>
                                  </w:tcBorders>
                                  <w:shd w:val="clear" w:color="auto" w:fill="auto"/>
                                </w:tcPr>
                                <w:p w14:paraId="6D724D07" w14:textId="77777777" w:rsidR="009E303A" w:rsidRPr="0055776F" w:rsidRDefault="009E303A" w:rsidP="001A0ED7">
                                  <w:pPr>
                                    <w:rPr>
                                      <w:rFonts w:ascii="Arial" w:hAnsi="Arial" w:cs="Arial"/>
                                      <w:sz w:val="20"/>
                                    </w:rPr>
                                  </w:pPr>
                                  <w:r w:rsidRPr="0055776F">
                                    <w:rPr>
                                      <w:rFonts w:ascii="Arial" w:hAnsi="Arial" w:cs="Arial"/>
                                      <w:sz w:val="20"/>
                                    </w:rPr>
                                    <w:t>199</w:t>
                                  </w:r>
                                </w:p>
                              </w:tc>
                              <w:tc>
                                <w:tcPr>
                                  <w:tcW w:w="783" w:type="dxa"/>
                                  <w:tcBorders>
                                    <w:top w:val="single" w:sz="4" w:space="0" w:color="auto"/>
                                  </w:tcBorders>
                                  <w:shd w:val="clear" w:color="auto" w:fill="auto"/>
                                </w:tcPr>
                                <w:p w14:paraId="5501E946" w14:textId="77777777" w:rsidR="009E303A" w:rsidRPr="0055776F" w:rsidRDefault="009E303A" w:rsidP="001A0ED7">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455EF347" w14:textId="77777777" w:rsidR="009E303A" w:rsidRPr="0055776F" w:rsidRDefault="009E303A" w:rsidP="001A0ED7">
                                  <w:pPr>
                                    <w:rPr>
                                      <w:rFonts w:ascii="Arial" w:hAnsi="Arial" w:cs="Arial"/>
                                      <w:sz w:val="20"/>
                                    </w:rPr>
                                  </w:pPr>
                                  <w:r w:rsidRPr="0055776F">
                                    <w:rPr>
                                      <w:rFonts w:ascii="Arial" w:hAnsi="Arial" w:cs="Arial"/>
                                      <w:sz w:val="20"/>
                                    </w:rPr>
                                    <w:t>115</w:t>
                                  </w:r>
                                </w:p>
                              </w:tc>
                            </w:tr>
                            <w:tr w:rsidR="009E303A" w:rsidRPr="0055776F" w14:paraId="5E2D6595" w14:textId="77777777" w:rsidTr="00660EA0">
                              <w:tc>
                                <w:tcPr>
                                  <w:tcW w:w="817" w:type="dxa"/>
                                  <w:shd w:val="clear" w:color="auto" w:fill="auto"/>
                                </w:tcPr>
                                <w:p w14:paraId="4D20ED2B" w14:textId="77777777" w:rsidR="009E303A" w:rsidRPr="0055776F" w:rsidRDefault="009E303A" w:rsidP="001A0ED7">
                                  <w:pPr>
                                    <w:rPr>
                                      <w:rFonts w:ascii="Arial" w:hAnsi="Arial" w:cs="Arial"/>
                                      <w:sz w:val="20"/>
                                    </w:rPr>
                                  </w:pPr>
                                  <w:r w:rsidRPr="0055776F">
                                    <w:rPr>
                                      <w:rFonts w:ascii="Arial" w:hAnsi="Arial" w:cs="Arial"/>
                                      <w:sz w:val="20"/>
                                    </w:rPr>
                                    <w:t>-----</w:t>
                                  </w:r>
                                </w:p>
                              </w:tc>
                              <w:tc>
                                <w:tcPr>
                                  <w:tcW w:w="2835" w:type="dxa"/>
                                  <w:gridSpan w:val="2"/>
                                  <w:shd w:val="clear" w:color="auto" w:fill="auto"/>
                                </w:tcPr>
                                <w:p w14:paraId="0337789F" w14:textId="77777777" w:rsidR="009E303A" w:rsidRPr="0055776F" w:rsidRDefault="009E303A" w:rsidP="001A0ED7">
                                  <w:pPr>
                                    <w:rPr>
                                      <w:rFonts w:ascii="Arial" w:hAnsi="Arial" w:cs="Arial"/>
                                      <w:sz w:val="20"/>
                                    </w:rPr>
                                  </w:pPr>
                                  <w:r>
                                    <w:rPr>
                                      <w:rFonts w:ascii="Arial" w:hAnsi="Arial"/>
                                      <w:sz w:val="20"/>
                                    </w:rPr>
                                    <w:t>(2) Imatinib 36 HÓ:</w:t>
                                  </w:r>
                                </w:p>
                              </w:tc>
                              <w:tc>
                                <w:tcPr>
                                  <w:tcW w:w="851" w:type="dxa"/>
                                  <w:tcBorders>
                                    <w:bottom w:val="single" w:sz="4" w:space="0" w:color="auto"/>
                                  </w:tcBorders>
                                  <w:shd w:val="clear" w:color="auto" w:fill="auto"/>
                                </w:tcPr>
                                <w:p w14:paraId="021B11C1" w14:textId="77777777" w:rsidR="009E303A" w:rsidRPr="0055776F" w:rsidRDefault="009E303A" w:rsidP="001A0ED7">
                                  <w:pPr>
                                    <w:rPr>
                                      <w:rFonts w:ascii="Arial" w:hAnsi="Arial" w:cs="Arial"/>
                                      <w:sz w:val="20"/>
                                    </w:rPr>
                                  </w:pPr>
                                  <w:r w:rsidRPr="0055776F">
                                    <w:rPr>
                                      <w:rFonts w:ascii="Arial" w:hAnsi="Arial" w:cs="Arial"/>
                                      <w:sz w:val="20"/>
                                    </w:rPr>
                                    <w:t>198</w:t>
                                  </w:r>
                                </w:p>
                              </w:tc>
                              <w:tc>
                                <w:tcPr>
                                  <w:tcW w:w="783" w:type="dxa"/>
                                  <w:tcBorders>
                                    <w:bottom w:val="single" w:sz="4" w:space="0" w:color="auto"/>
                                  </w:tcBorders>
                                  <w:shd w:val="clear" w:color="auto" w:fill="auto"/>
                                </w:tcPr>
                                <w:p w14:paraId="6384D01C" w14:textId="77777777" w:rsidR="009E303A" w:rsidRPr="0055776F" w:rsidRDefault="009E303A" w:rsidP="001A0ED7">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7930BF72" w14:textId="77777777" w:rsidR="009E303A" w:rsidRPr="0055776F" w:rsidRDefault="009E303A" w:rsidP="001A0ED7">
                                  <w:pPr>
                                    <w:rPr>
                                      <w:rFonts w:ascii="Arial" w:hAnsi="Arial" w:cs="Arial"/>
                                      <w:sz w:val="20"/>
                                    </w:rPr>
                                  </w:pPr>
                                  <w:r w:rsidRPr="0055776F">
                                    <w:rPr>
                                      <w:rFonts w:ascii="Arial" w:hAnsi="Arial" w:cs="Arial"/>
                                      <w:sz w:val="20"/>
                                    </w:rPr>
                                    <w:t>148</w:t>
                                  </w:r>
                                </w:p>
                              </w:tc>
                            </w:tr>
                            <w:tr w:rsidR="009E303A" w:rsidRPr="0055776F" w14:paraId="0C29CB6E" w14:textId="77777777" w:rsidTr="00660EA0">
                              <w:tc>
                                <w:tcPr>
                                  <w:tcW w:w="817" w:type="dxa"/>
                                  <w:shd w:val="clear" w:color="auto" w:fill="auto"/>
                                </w:tcPr>
                                <w:p w14:paraId="0E9EF7FF" w14:textId="77777777" w:rsidR="009E303A" w:rsidRPr="0055776F" w:rsidRDefault="009E303A" w:rsidP="001A0ED7">
                                  <w:pPr>
                                    <w:rPr>
                                      <w:rFonts w:ascii="Arial" w:hAnsi="Arial" w:cs="Arial"/>
                                      <w:sz w:val="20"/>
                                    </w:rPr>
                                  </w:pPr>
                                  <w:r w:rsidRPr="0055776F">
                                    <w:rPr>
                                      <w:rFonts w:ascii="Arial" w:hAnsi="Arial" w:cs="Arial"/>
                                      <w:sz w:val="20"/>
                                    </w:rPr>
                                    <w:t>│││</w:t>
                                  </w:r>
                                </w:p>
                              </w:tc>
                              <w:tc>
                                <w:tcPr>
                                  <w:tcW w:w="2835" w:type="dxa"/>
                                  <w:gridSpan w:val="2"/>
                                  <w:shd w:val="clear" w:color="auto" w:fill="auto"/>
                                </w:tcPr>
                                <w:p w14:paraId="039CB693" w14:textId="77777777" w:rsidR="009E303A" w:rsidRPr="0055776F" w:rsidRDefault="009E303A" w:rsidP="001A0ED7">
                                  <w:pPr>
                                    <w:rPr>
                                      <w:rFonts w:ascii="Arial" w:hAnsi="Arial" w:cs="Arial"/>
                                      <w:sz w:val="20"/>
                                    </w:rPr>
                                  </w:pPr>
                                  <w:r>
                                    <w:rPr>
                                      <w:rFonts w:ascii="Arial" w:hAnsi="Arial"/>
                                      <w:sz w:val="20"/>
                                    </w:rPr>
                                    <w:t>Cenzúrázott megfigyelések</w:t>
                                  </w:r>
                                </w:p>
                              </w:tc>
                              <w:tc>
                                <w:tcPr>
                                  <w:tcW w:w="851" w:type="dxa"/>
                                  <w:tcBorders>
                                    <w:top w:val="single" w:sz="4" w:space="0" w:color="auto"/>
                                  </w:tcBorders>
                                  <w:shd w:val="clear" w:color="auto" w:fill="auto"/>
                                </w:tcPr>
                                <w:p w14:paraId="2E14DD13" w14:textId="77777777" w:rsidR="009E303A" w:rsidRPr="0055776F" w:rsidRDefault="009E303A" w:rsidP="001A0ED7">
                                  <w:pPr>
                                    <w:rPr>
                                      <w:rFonts w:ascii="Arial" w:hAnsi="Arial" w:cs="Arial"/>
                                      <w:sz w:val="20"/>
                                    </w:rPr>
                                  </w:pPr>
                                </w:p>
                              </w:tc>
                              <w:tc>
                                <w:tcPr>
                                  <w:tcW w:w="783" w:type="dxa"/>
                                  <w:tcBorders>
                                    <w:top w:val="single" w:sz="4" w:space="0" w:color="auto"/>
                                  </w:tcBorders>
                                  <w:shd w:val="clear" w:color="auto" w:fill="auto"/>
                                </w:tcPr>
                                <w:p w14:paraId="7171FA2A" w14:textId="77777777" w:rsidR="009E303A" w:rsidRPr="0055776F" w:rsidRDefault="009E303A" w:rsidP="001A0ED7">
                                  <w:pPr>
                                    <w:rPr>
                                      <w:rFonts w:ascii="Arial" w:hAnsi="Arial" w:cs="Arial"/>
                                      <w:sz w:val="20"/>
                                    </w:rPr>
                                  </w:pPr>
                                </w:p>
                              </w:tc>
                              <w:tc>
                                <w:tcPr>
                                  <w:tcW w:w="850" w:type="dxa"/>
                                  <w:tcBorders>
                                    <w:top w:val="single" w:sz="4" w:space="0" w:color="auto"/>
                                  </w:tcBorders>
                                  <w:shd w:val="clear" w:color="auto" w:fill="auto"/>
                                </w:tcPr>
                                <w:p w14:paraId="3C971C69" w14:textId="77777777" w:rsidR="009E303A" w:rsidRPr="0055776F" w:rsidRDefault="009E303A" w:rsidP="001A0ED7">
                                  <w:pPr>
                                    <w:rPr>
                                      <w:rFonts w:ascii="Arial" w:hAnsi="Arial" w:cs="Arial"/>
                                      <w:sz w:val="20"/>
                                    </w:rPr>
                                  </w:pPr>
                                </w:p>
                              </w:tc>
                            </w:tr>
                          </w:tbl>
                          <w:p w14:paraId="3A6DE1ED" w14:textId="77777777" w:rsidR="009E303A" w:rsidRPr="00A33DBA" w:rsidRDefault="009E303A" w:rsidP="00B45FE1">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FECEA" id="Text Box 2" o:spid="_x0000_s1027" type="#_x0000_t202" style="position:absolute;left:0;text-align:left;margin-left:30.7pt;margin-top:89.9pt;width:361.05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" filled="f" stroked="f">
                <v:textbox>
                  <w:txbxContent>
                    <w:tbl>
                      <w:tblPr>
                        <w:tblW w:w="0" w:type="auto"/>
                        <w:tblLook w:val="04A0" w:firstRow="1" w:lastRow="0" w:firstColumn="1" w:lastColumn="0" w:noHBand="0" w:noVBand="1"/>
                      </w:tblPr>
                      <w:tblGrid>
                        <w:gridCol w:w="817"/>
                        <w:gridCol w:w="2464"/>
                        <w:gridCol w:w="371"/>
                        <w:gridCol w:w="851"/>
                        <w:gridCol w:w="783"/>
                        <w:gridCol w:w="850"/>
                      </w:tblGrid>
                      <w:tr w:rsidR="009E303A" w:rsidRPr="00462020" w14:paraId="0719F2B8" w14:textId="77777777" w:rsidTr="00A841F1">
                        <w:trPr>
                          <w:gridAfter w:val="4"/>
                          <w:wAfter w:w="2855" w:type="dxa"/>
                        </w:trPr>
                        <w:tc>
                          <w:tcPr>
                            <w:tcW w:w="3281" w:type="dxa"/>
                            <w:gridSpan w:val="2"/>
                            <w:shd w:val="clear" w:color="auto" w:fill="auto"/>
                          </w:tcPr>
                          <w:p w14:paraId="391F3611" w14:textId="77777777" w:rsidR="009E303A" w:rsidRPr="00AA1F7F" w:rsidRDefault="009E303A" w:rsidP="00A841F1">
                            <w:pPr>
                              <w:rPr>
                                <w:rFonts w:ascii="Arial" w:hAnsi="Arial" w:cs="Arial"/>
                                <w:sz w:val="20"/>
                                <w:lang w:val="es-ES"/>
                              </w:rPr>
                            </w:pPr>
                            <w:r w:rsidRPr="00AA1F7F">
                              <w:rPr>
                                <w:rFonts w:ascii="Arial" w:hAnsi="Arial" w:cs="Arial"/>
                                <w:sz w:val="20"/>
                                <w:lang w:val="es-ES"/>
                              </w:rPr>
                              <w:t>P</w:t>
                            </w:r>
                            <w:r>
                              <w:rPr>
                                <w:rFonts w:ascii="Arial" w:hAnsi="Arial" w:cs="Arial"/>
                                <w:sz w:val="20"/>
                                <w:lang w:val="es-ES"/>
                              </w:rPr>
                              <w:t> </w:t>
                            </w:r>
                            <w:r w:rsidRPr="00AA1F7F">
                              <w:rPr>
                                <w:rFonts w:ascii="Arial" w:hAnsi="Arial" w:cs="Arial"/>
                                <w:sz w:val="20"/>
                                <w:lang w:val="es-ES"/>
                              </w:rPr>
                              <w:t>&lt;</w:t>
                            </w:r>
                            <w:r>
                              <w:rPr>
                                <w:rFonts w:ascii="Arial" w:hAnsi="Arial" w:cs="Arial"/>
                                <w:sz w:val="20"/>
                                <w:lang w:val="es-ES"/>
                              </w:rPr>
                              <w:t> </w:t>
                            </w:r>
                            <w:r w:rsidRPr="00AA1F7F">
                              <w:rPr>
                                <w:rFonts w:ascii="Arial" w:hAnsi="Arial" w:cs="Arial"/>
                                <w:sz w:val="20"/>
                                <w:lang w:val="es-ES"/>
                              </w:rPr>
                              <w:t>0,0001</w:t>
                            </w:r>
                          </w:p>
                          <w:p w14:paraId="7D69EC56" w14:textId="77777777" w:rsidR="009E303A" w:rsidRPr="00AA1F7F" w:rsidRDefault="009E303A" w:rsidP="00A841F1">
                            <w:pPr>
                              <w:rPr>
                                <w:rFonts w:ascii="Arial" w:hAnsi="Arial" w:cs="Arial"/>
                                <w:sz w:val="20"/>
                                <w:lang w:val="es-ES"/>
                              </w:rPr>
                            </w:pPr>
                            <w:r w:rsidRPr="00574FBC">
                              <w:rPr>
                                <w:rFonts w:ascii="Arial" w:hAnsi="Arial"/>
                                <w:sz w:val="20"/>
                                <w:lang w:val="pt-PT"/>
                              </w:rPr>
                              <w:t xml:space="preserve">relatív hazárd = </w:t>
                            </w:r>
                            <w:r w:rsidRPr="00AA1F7F">
                              <w:rPr>
                                <w:rFonts w:ascii="Arial" w:hAnsi="Arial" w:cs="Arial"/>
                                <w:sz w:val="20"/>
                                <w:lang w:val="es-ES"/>
                              </w:rPr>
                              <w:t>0,46</w:t>
                            </w:r>
                          </w:p>
                          <w:p w14:paraId="639C87FD" w14:textId="77777777" w:rsidR="009E303A" w:rsidRPr="00AA1F7F" w:rsidRDefault="009E303A" w:rsidP="00A841F1">
                            <w:pPr>
                              <w:rPr>
                                <w:rFonts w:ascii="Arial" w:hAnsi="Arial" w:cs="Arial"/>
                                <w:sz w:val="20"/>
                                <w:lang w:val="es-ES"/>
                              </w:rPr>
                            </w:pPr>
                            <w:r w:rsidRPr="00574FBC">
                              <w:rPr>
                                <w:rFonts w:ascii="Arial" w:hAnsi="Arial"/>
                                <w:sz w:val="20"/>
                                <w:lang w:val="pt-PT"/>
                              </w:rPr>
                              <w:t>(95%-os Cl</w:t>
                            </w:r>
                            <w:r>
                              <w:rPr>
                                <w:rFonts w:ascii="Arial" w:hAnsi="Arial"/>
                                <w:sz w:val="20"/>
                                <w:lang w:val="pt-PT"/>
                              </w:rPr>
                              <w:t>,</w:t>
                            </w:r>
                            <w:r w:rsidRPr="00AA1F7F">
                              <w:rPr>
                                <w:rFonts w:ascii="Arial" w:hAnsi="Arial" w:cs="Arial"/>
                                <w:sz w:val="20"/>
                                <w:lang w:val="es-ES"/>
                              </w:rPr>
                              <w:t xml:space="preserve"> 0,32</w:t>
                            </w:r>
                            <w:r w:rsidRPr="00AA1F7F">
                              <w:rPr>
                                <w:rFonts w:ascii="Arial" w:hAnsi="Arial" w:cs="Arial"/>
                                <w:sz w:val="20"/>
                                <w:lang w:val="es-ES"/>
                              </w:rPr>
                              <w:noBreakHyphen/>
                              <w:t>0,65)</w:t>
                            </w:r>
                          </w:p>
                        </w:tc>
                      </w:tr>
                      <w:tr w:rsidR="009E303A" w:rsidRPr="0055776F" w14:paraId="05FC834A" w14:textId="77777777" w:rsidTr="00660EA0">
                        <w:tc>
                          <w:tcPr>
                            <w:tcW w:w="817" w:type="dxa"/>
                            <w:shd w:val="clear" w:color="auto" w:fill="auto"/>
                          </w:tcPr>
                          <w:p w14:paraId="09812F59" w14:textId="77777777" w:rsidR="009E303A" w:rsidRPr="00AA1F7F" w:rsidRDefault="009E303A" w:rsidP="001A0ED7">
                            <w:pPr>
                              <w:rPr>
                                <w:rFonts w:ascii="Arial" w:hAnsi="Arial" w:cs="Arial"/>
                                <w:sz w:val="20"/>
                                <w:lang w:val="es-ES"/>
                              </w:rPr>
                            </w:pPr>
                          </w:p>
                        </w:tc>
                        <w:tc>
                          <w:tcPr>
                            <w:tcW w:w="2835" w:type="dxa"/>
                            <w:gridSpan w:val="2"/>
                            <w:shd w:val="clear" w:color="auto" w:fill="auto"/>
                          </w:tcPr>
                          <w:p w14:paraId="3C022D25" w14:textId="77777777" w:rsidR="009E303A" w:rsidRPr="00AA1F7F" w:rsidRDefault="009E303A" w:rsidP="001A0ED7">
                            <w:pPr>
                              <w:rPr>
                                <w:rFonts w:ascii="Arial" w:hAnsi="Arial" w:cs="Arial"/>
                                <w:sz w:val="20"/>
                                <w:lang w:val="es-ES"/>
                              </w:rPr>
                            </w:pPr>
                          </w:p>
                        </w:tc>
                        <w:tc>
                          <w:tcPr>
                            <w:tcW w:w="851" w:type="dxa"/>
                            <w:tcBorders>
                              <w:bottom w:val="single" w:sz="4" w:space="0" w:color="auto"/>
                            </w:tcBorders>
                            <w:shd w:val="clear" w:color="auto" w:fill="auto"/>
                          </w:tcPr>
                          <w:p w14:paraId="3A8AA6AE" w14:textId="77777777" w:rsidR="009E303A" w:rsidRPr="00660EA0" w:rsidRDefault="009E303A" w:rsidP="001A0ED7">
                            <w:pPr>
                              <w:rPr>
                                <w:rFonts w:ascii="Arial" w:hAnsi="Arial" w:cs="Arial"/>
                                <w:sz w:val="20"/>
                              </w:rPr>
                            </w:pPr>
                            <w:r w:rsidRPr="00660EA0">
                              <w:rPr>
                                <w:rFonts w:ascii="Arial" w:hAnsi="Arial" w:cs="Arial"/>
                                <w:sz w:val="20"/>
                                <w:lang w:val="de-DE"/>
                              </w:rPr>
                              <w:t>N</w:t>
                            </w:r>
                          </w:p>
                        </w:tc>
                        <w:tc>
                          <w:tcPr>
                            <w:tcW w:w="783" w:type="dxa"/>
                            <w:tcBorders>
                              <w:bottom w:val="single" w:sz="4" w:space="0" w:color="auto"/>
                            </w:tcBorders>
                            <w:shd w:val="clear" w:color="auto" w:fill="auto"/>
                          </w:tcPr>
                          <w:p w14:paraId="74292A90" w14:textId="77777777" w:rsidR="009E303A" w:rsidRPr="00660EA0" w:rsidRDefault="009E303A" w:rsidP="001A0ED7">
                            <w:pPr>
                              <w:rPr>
                                <w:rFonts w:ascii="Arial" w:hAnsi="Arial" w:cs="Arial"/>
                                <w:sz w:val="20"/>
                              </w:rPr>
                            </w:pPr>
                            <w:r w:rsidRPr="00660EA0">
                              <w:rPr>
                                <w:rFonts w:ascii="Arial" w:hAnsi="Arial"/>
                                <w:sz w:val="20"/>
                                <w:lang w:val="de-CH"/>
                              </w:rPr>
                              <w:t>Esem.</w:t>
                            </w:r>
                          </w:p>
                        </w:tc>
                        <w:tc>
                          <w:tcPr>
                            <w:tcW w:w="850" w:type="dxa"/>
                            <w:tcBorders>
                              <w:bottom w:val="single" w:sz="4" w:space="0" w:color="auto"/>
                            </w:tcBorders>
                            <w:shd w:val="clear" w:color="auto" w:fill="auto"/>
                          </w:tcPr>
                          <w:p w14:paraId="6A52CFD8" w14:textId="77777777" w:rsidR="009E303A" w:rsidRPr="00660EA0" w:rsidRDefault="009E303A" w:rsidP="001A0ED7">
                            <w:pPr>
                              <w:rPr>
                                <w:rFonts w:ascii="Arial" w:hAnsi="Arial" w:cs="Arial"/>
                                <w:sz w:val="20"/>
                              </w:rPr>
                            </w:pPr>
                            <w:r w:rsidRPr="00660EA0">
                              <w:rPr>
                                <w:rFonts w:ascii="Arial" w:hAnsi="Arial"/>
                                <w:sz w:val="20"/>
                                <w:lang w:val="de-CH"/>
                              </w:rPr>
                              <w:t>Cenz.</w:t>
                            </w:r>
                          </w:p>
                        </w:tc>
                      </w:tr>
                      <w:tr w:rsidR="009E303A" w:rsidRPr="0055776F" w14:paraId="66A7C441" w14:textId="77777777" w:rsidTr="00660EA0">
                        <w:tc>
                          <w:tcPr>
                            <w:tcW w:w="817" w:type="dxa"/>
                            <w:shd w:val="clear" w:color="auto" w:fill="auto"/>
                          </w:tcPr>
                          <w:p w14:paraId="43455DFD" w14:textId="77777777" w:rsidR="009E303A" w:rsidRPr="0055776F" w:rsidRDefault="009E303A" w:rsidP="001A0ED7">
                            <w:pPr>
                              <w:rPr>
                                <w:rFonts w:ascii="Arial" w:hAnsi="Arial" w:cs="Arial"/>
                                <w:sz w:val="20"/>
                              </w:rPr>
                            </w:pPr>
                            <w:r w:rsidRPr="0055776F">
                              <w:rPr>
                                <w:rFonts w:ascii="Arial" w:hAnsi="Arial" w:cs="Arial"/>
                                <w:b/>
                                <w:sz w:val="20"/>
                              </w:rPr>
                              <w:t>——</w:t>
                            </w:r>
                          </w:p>
                        </w:tc>
                        <w:tc>
                          <w:tcPr>
                            <w:tcW w:w="2835" w:type="dxa"/>
                            <w:gridSpan w:val="2"/>
                            <w:shd w:val="clear" w:color="auto" w:fill="auto"/>
                          </w:tcPr>
                          <w:p w14:paraId="57337DEA" w14:textId="77777777" w:rsidR="009E303A" w:rsidRPr="0055776F" w:rsidRDefault="009E303A" w:rsidP="001A0ED7">
                            <w:pPr>
                              <w:rPr>
                                <w:rFonts w:ascii="Arial" w:hAnsi="Arial" w:cs="Arial"/>
                                <w:sz w:val="20"/>
                              </w:rPr>
                            </w:pPr>
                            <w:r>
                              <w:rPr>
                                <w:rFonts w:ascii="Arial" w:hAnsi="Arial"/>
                                <w:sz w:val="20"/>
                                <w:lang w:val="pt-PT"/>
                              </w:rPr>
                              <w:t>(1) Imatinib 12 </w:t>
                            </w:r>
                            <w:r w:rsidRPr="00574FBC">
                              <w:rPr>
                                <w:rFonts w:ascii="Arial" w:hAnsi="Arial"/>
                                <w:sz w:val="20"/>
                                <w:lang w:val="pt-PT"/>
                              </w:rPr>
                              <w:t>HÓ:</w:t>
                            </w:r>
                          </w:p>
                        </w:tc>
                        <w:tc>
                          <w:tcPr>
                            <w:tcW w:w="851" w:type="dxa"/>
                            <w:tcBorders>
                              <w:top w:val="single" w:sz="4" w:space="0" w:color="auto"/>
                            </w:tcBorders>
                            <w:shd w:val="clear" w:color="auto" w:fill="auto"/>
                          </w:tcPr>
                          <w:p w14:paraId="6D724D07" w14:textId="77777777" w:rsidR="009E303A" w:rsidRPr="0055776F" w:rsidRDefault="009E303A" w:rsidP="001A0ED7">
                            <w:pPr>
                              <w:rPr>
                                <w:rFonts w:ascii="Arial" w:hAnsi="Arial" w:cs="Arial"/>
                                <w:sz w:val="20"/>
                              </w:rPr>
                            </w:pPr>
                            <w:r w:rsidRPr="0055776F">
                              <w:rPr>
                                <w:rFonts w:ascii="Arial" w:hAnsi="Arial" w:cs="Arial"/>
                                <w:sz w:val="20"/>
                              </w:rPr>
                              <w:t>199</w:t>
                            </w:r>
                          </w:p>
                        </w:tc>
                        <w:tc>
                          <w:tcPr>
                            <w:tcW w:w="783" w:type="dxa"/>
                            <w:tcBorders>
                              <w:top w:val="single" w:sz="4" w:space="0" w:color="auto"/>
                            </w:tcBorders>
                            <w:shd w:val="clear" w:color="auto" w:fill="auto"/>
                          </w:tcPr>
                          <w:p w14:paraId="5501E946" w14:textId="77777777" w:rsidR="009E303A" w:rsidRPr="0055776F" w:rsidRDefault="009E303A" w:rsidP="001A0ED7">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455EF347" w14:textId="77777777" w:rsidR="009E303A" w:rsidRPr="0055776F" w:rsidRDefault="009E303A" w:rsidP="001A0ED7">
                            <w:pPr>
                              <w:rPr>
                                <w:rFonts w:ascii="Arial" w:hAnsi="Arial" w:cs="Arial"/>
                                <w:sz w:val="20"/>
                              </w:rPr>
                            </w:pPr>
                            <w:r w:rsidRPr="0055776F">
                              <w:rPr>
                                <w:rFonts w:ascii="Arial" w:hAnsi="Arial" w:cs="Arial"/>
                                <w:sz w:val="20"/>
                              </w:rPr>
                              <w:t>115</w:t>
                            </w:r>
                          </w:p>
                        </w:tc>
                      </w:tr>
                      <w:tr w:rsidR="009E303A" w:rsidRPr="0055776F" w14:paraId="5E2D6595" w14:textId="77777777" w:rsidTr="00660EA0">
                        <w:tc>
                          <w:tcPr>
                            <w:tcW w:w="817" w:type="dxa"/>
                            <w:shd w:val="clear" w:color="auto" w:fill="auto"/>
                          </w:tcPr>
                          <w:p w14:paraId="4D20ED2B" w14:textId="77777777" w:rsidR="009E303A" w:rsidRPr="0055776F" w:rsidRDefault="009E303A" w:rsidP="001A0ED7">
                            <w:pPr>
                              <w:rPr>
                                <w:rFonts w:ascii="Arial" w:hAnsi="Arial" w:cs="Arial"/>
                                <w:sz w:val="20"/>
                              </w:rPr>
                            </w:pPr>
                            <w:r w:rsidRPr="0055776F">
                              <w:rPr>
                                <w:rFonts w:ascii="Arial" w:hAnsi="Arial" w:cs="Arial"/>
                                <w:sz w:val="20"/>
                              </w:rPr>
                              <w:t>-----</w:t>
                            </w:r>
                          </w:p>
                        </w:tc>
                        <w:tc>
                          <w:tcPr>
                            <w:tcW w:w="2835" w:type="dxa"/>
                            <w:gridSpan w:val="2"/>
                            <w:shd w:val="clear" w:color="auto" w:fill="auto"/>
                          </w:tcPr>
                          <w:p w14:paraId="0337789F" w14:textId="77777777" w:rsidR="009E303A" w:rsidRPr="0055776F" w:rsidRDefault="009E303A" w:rsidP="001A0ED7">
                            <w:pPr>
                              <w:rPr>
                                <w:rFonts w:ascii="Arial" w:hAnsi="Arial" w:cs="Arial"/>
                                <w:sz w:val="20"/>
                              </w:rPr>
                            </w:pPr>
                            <w:r>
                              <w:rPr>
                                <w:rFonts w:ascii="Arial" w:hAnsi="Arial"/>
                                <w:sz w:val="20"/>
                              </w:rPr>
                              <w:t>(2) Imatinib 36 HÓ:</w:t>
                            </w:r>
                          </w:p>
                        </w:tc>
                        <w:tc>
                          <w:tcPr>
                            <w:tcW w:w="851" w:type="dxa"/>
                            <w:tcBorders>
                              <w:bottom w:val="single" w:sz="4" w:space="0" w:color="auto"/>
                            </w:tcBorders>
                            <w:shd w:val="clear" w:color="auto" w:fill="auto"/>
                          </w:tcPr>
                          <w:p w14:paraId="021B11C1" w14:textId="77777777" w:rsidR="009E303A" w:rsidRPr="0055776F" w:rsidRDefault="009E303A" w:rsidP="001A0ED7">
                            <w:pPr>
                              <w:rPr>
                                <w:rFonts w:ascii="Arial" w:hAnsi="Arial" w:cs="Arial"/>
                                <w:sz w:val="20"/>
                              </w:rPr>
                            </w:pPr>
                            <w:r w:rsidRPr="0055776F">
                              <w:rPr>
                                <w:rFonts w:ascii="Arial" w:hAnsi="Arial" w:cs="Arial"/>
                                <w:sz w:val="20"/>
                              </w:rPr>
                              <w:t>198</w:t>
                            </w:r>
                          </w:p>
                        </w:tc>
                        <w:tc>
                          <w:tcPr>
                            <w:tcW w:w="783" w:type="dxa"/>
                            <w:tcBorders>
                              <w:bottom w:val="single" w:sz="4" w:space="0" w:color="auto"/>
                            </w:tcBorders>
                            <w:shd w:val="clear" w:color="auto" w:fill="auto"/>
                          </w:tcPr>
                          <w:p w14:paraId="6384D01C" w14:textId="77777777" w:rsidR="009E303A" w:rsidRPr="0055776F" w:rsidRDefault="009E303A" w:rsidP="001A0ED7">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7930BF72" w14:textId="77777777" w:rsidR="009E303A" w:rsidRPr="0055776F" w:rsidRDefault="009E303A" w:rsidP="001A0ED7">
                            <w:pPr>
                              <w:rPr>
                                <w:rFonts w:ascii="Arial" w:hAnsi="Arial" w:cs="Arial"/>
                                <w:sz w:val="20"/>
                              </w:rPr>
                            </w:pPr>
                            <w:r w:rsidRPr="0055776F">
                              <w:rPr>
                                <w:rFonts w:ascii="Arial" w:hAnsi="Arial" w:cs="Arial"/>
                                <w:sz w:val="20"/>
                              </w:rPr>
                              <w:t>148</w:t>
                            </w:r>
                          </w:p>
                        </w:tc>
                      </w:tr>
                      <w:tr w:rsidR="009E303A" w:rsidRPr="0055776F" w14:paraId="0C29CB6E" w14:textId="77777777" w:rsidTr="00660EA0">
                        <w:tc>
                          <w:tcPr>
                            <w:tcW w:w="817" w:type="dxa"/>
                            <w:shd w:val="clear" w:color="auto" w:fill="auto"/>
                          </w:tcPr>
                          <w:p w14:paraId="0E9EF7FF" w14:textId="77777777" w:rsidR="009E303A" w:rsidRPr="0055776F" w:rsidRDefault="009E303A" w:rsidP="001A0ED7">
                            <w:pPr>
                              <w:rPr>
                                <w:rFonts w:ascii="Arial" w:hAnsi="Arial" w:cs="Arial"/>
                                <w:sz w:val="20"/>
                              </w:rPr>
                            </w:pPr>
                            <w:r w:rsidRPr="0055776F">
                              <w:rPr>
                                <w:rFonts w:ascii="Arial" w:hAnsi="Arial" w:cs="Arial"/>
                                <w:sz w:val="20"/>
                              </w:rPr>
                              <w:t>│││</w:t>
                            </w:r>
                          </w:p>
                        </w:tc>
                        <w:tc>
                          <w:tcPr>
                            <w:tcW w:w="2835" w:type="dxa"/>
                            <w:gridSpan w:val="2"/>
                            <w:shd w:val="clear" w:color="auto" w:fill="auto"/>
                          </w:tcPr>
                          <w:p w14:paraId="039CB693" w14:textId="77777777" w:rsidR="009E303A" w:rsidRPr="0055776F" w:rsidRDefault="009E303A" w:rsidP="001A0ED7">
                            <w:pPr>
                              <w:rPr>
                                <w:rFonts w:ascii="Arial" w:hAnsi="Arial" w:cs="Arial"/>
                                <w:sz w:val="20"/>
                              </w:rPr>
                            </w:pPr>
                            <w:r>
                              <w:rPr>
                                <w:rFonts w:ascii="Arial" w:hAnsi="Arial"/>
                                <w:sz w:val="20"/>
                              </w:rPr>
                              <w:t>Cenzúrázott megfigyelések</w:t>
                            </w:r>
                          </w:p>
                        </w:tc>
                        <w:tc>
                          <w:tcPr>
                            <w:tcW w:w="851" w:type="dxa"/>
                            <w:tcBorders>
                              <w:top w:val="single" w:sz="4" w:space="0" w:color="auto"/>
                            </w:tcBorders>
                            <w:shd w:val="clear" w:color="auto" w:fill="auto"/>
                          </w:tcPr>
                          <w:p w14:paraId="2E14DD13" w14:textId="77777777" w:rsidR="009E303A" w:rsidRPr="0055776F" w:rsidRDefault="009E303A" w:rsidP="001A0ED7">
                            <w:pPr>
                              <w:rPr>
                                <w:rFonts w:ascii="Arial" w:hAnsi="Arial" w:cs="Arial"/>
                                <w:sz w:val="20"/>
                              </w:rPr>
                            </w:pPr>
                          </w:p>
                        </w:tc>
                        <w:tc>
                          <w:tcPr>
                            <w:tcW w:w="783" w:type="dxa"/>
                            <w:tcBorders>
                              <w:top w:val="single" w:sz="4" w:space="0" w:color="auto"/>
                            </w:tcBorders>
                            <w:shd w:val="clear" w:color="auto" w:fill="auto"/>
                          </w:tcPr>
                          <w:p w14:paraId="7171FA2A" w14:textId="77777777" w:rsidR="009E303A" w:rsidRPr="0055776F" w:rsidRDefault="009E303A" w:rsidP="001A0ED7">
                            <w:pPr>
                              <w:rPr>
                                <w:rFonts w:ascii="Arial" w:hAnsi="Arial" w:cs="Arial"/>
                                <w:sz w:val="20"/>
                              </w:rPr>
                            </w:pPr>
                          </w:p>
                        </w:tc>
                        <w:tc>
                          <w:tcPr>
                            <w:tcW w:w="850" w:type="dxa"/>
                            <w:tcBorders>
                              <w:top w:val="single" w:sz="4" w:space="0" w:color="auto"/>
                            </w:tcBorders>
                            <w:shd w:val="clear" w:color="auto" w:fill="auto"/>
                          </w:tcPr>
                          <w:p w14:paraId="3C971C69" w14:textId="77777777" w:rsidR="009E303A" w:rsidRPr="0055776F" w:rsidRDefault="009E303A" w:rsidP="001A0ED7">
                            <w:pPr>
                              <w:rPr>
                                <w:rFonts w:ascii="Arial" w:hAnsi="Arial" w:cs="Arial"/>
                                <w:sz w:val="20"/>
                              </w:rPr>
                            </w:pPr>
                          </w:p>
                        </w:tc>
                      </w:tr>
                    </w:tbl>
                    <w:p w14:paraId="3A6DE1ED" w14:textId="77777777" w:rsidR="009E303A" w:rsidRPr="00A33DBA" w:rsidRDefault="009E303A" w:rsidP="00B45FE1">
                      <w:pPr>
                        <w:rPr>
                          <w:rFonts w:ascii="Arial" w:hAnsi="Arial" w:cs="Arial"/>
                          <w:sz w:val="20"/>
                        </w:rPr>
                      </w:pPr>
                    </w:p>
                  </w:txbxContent>
                </v:textbox>
              </v:shape>
            </w:pict>
          </mc:Fallback>
        </mc:AlternateContent>
      </w:r>
      <w:r w:rsidRPr="00654EF1">
        <w:rPr>
          <w:noProof/>
          <w:lang w:val="en-US" w:eastAsia="en-US" w:bidi="ar-SA"/>
        </w:rPr>
        <w:drawing>
          <wp:inline distT="0" distB="0" distL="0" distR="0" wp14:anchorId="3DC6D733" wp14:editId="103A9D1E">
            <wp:extent cx="5939790" cy="2679700"/>
            <wp:effectExtent l="0" t="0" r="381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13D94A38" w14:textId="77777777" w:rsidR="00B45FE1" w:rsidRPr="00654EF1" w:rsidRDefault="00B45FE1" w:rsidP="00B45FE1">
      <w:pPr>
        <w:widowControl w:val="0"/>
        <w:tabs>
          <w:tab w:val="left" w:pos="1134"/>
        </w:tabs>
        <w:spacing w:line="240" w:lineRule="auto"/>
        <w:ind w:left="1134" w:hanging="1134"/>
        <w:outlineLvl w:val="6"/>
        <w:rPr>
          <w:rFonts w:eastAsia="MS Mincho"/>
          <w:szCs w:val="22"/>
          <w:lang w:val="en-US"/>
        </w:rPr>
      </w:pPr>
      <w:r w:rsidRPr="00654EF1">
        <w:rPr>
          <w:rFonts w:eastAsia="MS Mincho"/>
          <w:noProof/>
          <w:szCs w:val="22"/>
          <w:lang w:val="en-US" w:eastAsia="en-US" w:bidi="ar-SA"/>
        </w:rPr>
        <mc:AlternateContent>
          <mc:Choice Requires="wps">
            <w:drawing>
              <wp:anchor distT="0" distB="0" distL="114300" distR="114300" simplePos="0" relativeHeight="251665408" behindDoc="0" locked="0" layoutInCell="1" allowOverlap="1" wp14:anchorId="33AA365B" wp14:editId="23F40C37">
                <wp:simplePos x="0" y="0"/>
                <wp:positionH relativeFrom="column">
                  <wp:posOffset>2327800</wp:posOffset>
                </wp:positionH>
                <wp:positionV relativeFrom="paragraph">
                  <wp:posOffset>12534</wp:posOffset>
                </wp:positionV>
                <wp:extent cx="1661822" cy="29527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822"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E5F13" w14:textId="77777777" w:rsidR="009E303A" w:rsidRPr="00A33DBA" w:rsidRDefault="009E303A" w:rsidP="00B45FE1">
                            <w:pPr>
                              <w:rPr>
                                <w:rFonts w:ascii="Arial" w:hAnsi="Arial" w:cs="Arial"/>
                                <w:sz w:val="20"/>
                              </w:rPr>
                            </w:pPr>
                            <w:r>
                              <w:rPr>
                                <w:rFonts w:ascii="Arial" w:hAnsi="Arial"/>
                                <w:sz w:val="20"/>
                              </w:rPr>
                              <w:t>Túlélési idő hónapokban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A365B" id="Text Box 26" o:spid="_x0000_s1028" type="#_x0000_t202" style="position:absolute;left:0;text-align:left;margin-left:183.3pt;margin-top:1pt;width:130.8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" stroked="f">
                <v:fill opacity="0"/>
                <v:textbox>
                  <w:txbxContent>
                    <w:p w14:paraId="04CE5F13" w14:textId="77777777" w:rsidR="009E303A" w:rsidRPr="00A33DBA" w:rsidRDefault="009E303A" w:rsidP="00B45FE1">
                      <w:pPr>
                        <w:rPr>
                          <w:rFonts w:ascii="Arial" w:hAnsi="Arial" w:cs="Arial"/>
                          <w:sz w:val="20"/>
                        </w:rPr>
                      </w:pPr>
                      <w:r>
                        <w:rPr>
                          <w:rFonts w:ascii="Arial" w:hAnsi="Arial"/>
                          <w:sz w:val="20"/>
                        </w:rPr>
                        <w:t>Túlélési idő hónapokban</w:t>
                      </w:r>
                    </w:p>
                  </w:txbxContent>
                </v:textbox>
              </v:shape>
            </w:pict>
          </mc:Fallback>
        </mc:AlternateContent>
      </w:r>
    </w:p>
    <w:p w14:paraId="1200F614" w14:textId="77777777" w:rsidR="00B45FE1" w:rsidRPr="00654EF1" w:rsidRDefault="00B45FE1" w:rsidP="00B45FE1">
      <w:pPr>
        <w:widowControl w:val="0"/>
        <w:spacing w:line="240" w:lineRule="auto"/>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B45FE1" w:rsidRPr="00556B9B" w14:paraId="24F60E3A" w14:textId="77777777" w:rsidTr="00F926B9">
        <w:tc>
          <w:tcPr>
            <w:tcW w:w="10599" w:type="dxa"/>
            <w:gridSpan w:val="16"/>
            <w:shd w:val="clear" w:color="auto" w:fill="auto"/>
          </w:tcPr>
          <w:p w14:paraId="49ED056D" w14:textId="77777777" w:rsidR="00B45FE1" w:rsidRPr="00556B9B" w:rsidRDefault="00B45FE1" w:rsidP="00F926B9">
            <w:pPr>
              <w:keepNext/>
              <w:widowControl w:val="0"/>
              <w:ind w:left="-27"/>
              <w:rPr>
                <w:rFonts w:ascii="Arial" w:hAnsi="Arial" w:cs="Arial"/>
                <w:sz w:val="16"/>
                <w:szCs w:val="16"/>
              </w:rPr>
            </w:pPr>
            <w:r w:rsidRPr="00556B9B">
              <w:rPr>
                <w:rFonts w:ascii="Arial" w:hAnsi="Arial" w:cs="Arial"/>
                <w:sz w:val="20"/>
              </w:rPr>
              <w:t>Veszélyeztetettek: Események</w:t>
            </w:r>
          </w:p>
        </w:tc>
      </w:tr>
      <w:tr w:rsidR="00B45FE1" w:rsidRPr="00556B9B" w14:paraId="0B7195D8" w14:textId="77777777" w:rsidTr="00F926B9">
        <w:tc>
          <w:tcPr>
            <w:tcW w:w="450" w:type="dxa"/>
            <w:shd w:val="clear" w:color="auto" w:fill="auto"/>
          </w:tcPr>
          <w:p w14:paraId="0E8C8291" w14:textId="77777777" w:rsidR="00B45FE1" w:rsidRPr="00556B9B" w:rsidRDefault="00B45FE1" w:rsidP="00F926B9">
            <w:pPr>
              <w:keepNext/>
              <w:widowControl w:val="0"/>
              <w:rPr>
                <w:sz w:val="20"/>
              </w:rPr>
            </w:pPr>
            <w:r w:rsidRPr="00556B9B">
              <w:rPr>
                <w:sz w:val="20"/>
              </w:rPr>
              <w:t>(1)</w:t>
            </w:r>
          </w:p>
        </w:tc>
        <w:tc>
          <w:tcPr>
            <w:tcW w:w="646" w:type="dxa"/>
            <w:shd w:val="clear" w:color="auto" w:fill="auto"/>
          </w:tcPr>
          <w:p w14:paraId="3F79B0B2" w14:textId="77777777" w:rsidR="00B45FE1" w:rsidRPr="00556B9B" w:rsidRDefault="00B45FE1" w:rsidP="00F926B9">
            <w:pPr>
              <w:keepNext/>
              <w:widowControl w:val="0"/>
              <w:ind w:left="-27"/>
              <w:rPr>
                <w:sz w:val="20"/>
              </w:rPr>
            </w:pPr>
            <w:r w:rsidRPr="00556B9B">
              <w:rPr>
                <w:sz w:val="20"/>
              </w:rPr>
              <w:t>199:0</w:t>
            </w:r>
          </w:p>
        </w:tc>
        <w:tc>
          <w:tcPr>
            <w:tcW w:w="645" w:type="dxa"/>
            <w:shd w:val="clear" w:color="auto" w:fill="auto"/>
          </w:tcPr>
          <w:p w14:paraId="3A7C6319" w14:textId="77777777" w:rsidR="00B45FE1" w:rsidRPr="00556B9B" w:rsidRDefault="00B45FE1" w:rsidP="00F926B9">
            <w:pPr>
              <w:keepNext/>
              <w:widowControl w:val="0"/>
              <w:ind w:left="-27"/>
              <w:rPr>
                <w:sz w:val="20"/>
              </w:rPr>
            </w:pPr>
            <w:r w:rsidRPr="00556B9B">
              <w:rPr>
                <w:sz w:val="20"/>
              </w:rPr>
              <w:t>182:8</w:t>
            </w:r>
          </w:p>
        </w:tc>
        <w:tc>
          <w:tcPr>
            <w:tcW w:w="745" w:type="dxa"/>
            <w:shd w:val="clear" w:color="auto" w:fill="auto"/>
          </w:tcPr>
          <w:p w14:paraId="50F28608" w14:textId="77777777" w:rsidR="00B45FE1" w:rsidRPr="00556B9B" w:rsidRDefault="00B45FE1" w:rsidP="00F926B9">
            <w:pPr>
              <w:keepNext/>
              <w:widowControl w:val="0"/>
              <w:ind w:left="-27"/>
              <w:rPr>
                <w:sz w:val="20"/>
              </w:rPr>
            </w:pPr>
            <w:r w:rsidRPr="00556B9B">
              <w:rPr>
                <w:sz w:val="20"/>
              </w:rPr>
              <w:t>177:12</w:t>
            </w:r>
          </w:p>
        </w:tc>
        <w:tc>
          <w:tcPr>
            <w:tcW w:w="745" w:type="dxa"/>
            <w:shd w:val="clear" w:color="auto" w:fill="auto"/>
          </w:tcPr>
          <w:p w14:paraId="030CB37B" w14:textId="77777777" w:rsidR="00B45FE1" w:rsidRPr="00556B9B" w:rsidRDefault="00B45FE1" w:rsidP="00F926B9">
            <w:pPr>
              <w:keepNext/>
              <w:widowControl w:val="0"/>
              <w:ind w:left="-27"/>
              <w:rPr>
                <w:sz w:val="20"/>
              </w:rPr>
            </w:pPr>
            <w:r w:rsidRPr="00556B9B">
              <w:rPr>
                <w:sz w:val="20"/>
              </w:rPr>
              <w:t>163:25</w:t>
            </w:r>
          </w:p>
        </w:tc>
        <w:tc>
          <w:tcPr>
            <w:tcW w:w="745" w:type="dxa"/>
            <w:shd w:val="clear" w:color="auto" w:fill="auto"/>
          </w:tcPr>
          <w:p w14:paraId="194E2F9B" w14:textId="77777777" w:rsidR="00B45FE1" w:rsidRPr="00556B9B" w:rsidRDefault="00B45FE1" w:rsidP="00F926B9">
            <w:pPr>
              <w:keepNext/>
              <w:widowControl w:val="0"/>
              <w:ind w:left="-27"/>
              <w:rPr>
                <w:sz w:val="20"/>
              </w:rPr>
            </w:pPr>
            <w:r w:rsidRPr="00556B9B">
              <w:rPr>
                <w:sz w:val="20"/>
              </w:rPr>
              <w:t>137:46</w:t>
            </w:r>
          </w:p>
        </w:tc>
        <w:tc>
          <w:tcPr>
            <w:tcW w:w="752" w:type="dxa"/>
            <w:shd w:val="clear" w:color="auto" w:fill="auto"/>
          </w:tcPr>
          <w:p w14:paraId="67851072" w14:textId="77777777" w:rsidR="00B45FE1" w:rsidRPr="00556B9B" w:rsidRDefault="00B45FE1" w:rsidP="00F926B9">
            <w:pPr>
              <w:keepNext/>
              <w:widowControl w:val="0"/>
              <w:ind w:left="-27"/>
              <w:rPr>
                <w:sz w:val="20"/>
              </w:rPr>
            </w:pPr>
            <w:r w:rsidRPr="00556B9B">
              <w:rPr>
                <w:sz w:val="20"/>
              </w:rPr>
              <w:t>105:65</w:t>
            </w:r>
          </w:p>
        </w:tc>
        <w:tc>
          <w:tcPr>
            <w:tcW w:w="745" w:type="dxa"/>
            <w:shd w:val="clear" w:color="auto" w:fill="auto"/>
          </w:tcPr>
          <w:p w14:paraId="76D4CCAA" w14:textId="77777777" w:rsidR="00B45FE1" w:rsidRPr="00556B9B" w:rsidRDefault="00B45FE1" w:rsidP="00F926B9">
            <w:pPr>
              <w:keepNext/>
              <w:widowControl w:val="0"/>
              <w:ind w:left="-27"/>
              <w:rPr>
                <w:sz w:val="20"/>
              </w:rPr>
            </w:pPr>
            <w:r w:rsidRPr="00556B9B">
              <w:rPr>
                <w:sz w:val="20"/>
              </w:rPr>
              <w:t>88:72</w:t>
            </w:r>
          </w:p>
        </w:tc>
        <w:tc>
          <w:tcPr>
            <w:tcW w:w="745" w:type="dxa"/>
            <w:shd w:val="clear" w:color="auto" w:fill="auto"/>
          </w:tcPr>
          <w:p w14:paraId="5CBC7B22" w14:textId="77777777" w:rsidR="00B45FE1" w:rsidRPr="00556B9B" w:rsidRDefault="00B45FE1" w:rsidP="00F926B9">
            <w:pPr>
              <w:keepNext/>
              <w:widowControl w:val="0"/>
              <w:ind w:left="-27"/>
              <w:rPr>
                <w:sz w:val="20"/>
              </w:rPr>
            </w:pPr>
            <w:r w:rsidRPr="00556B9B">
              <w:rPr>
                <w:sz w:val="20"/>
              </w:rPr>
              <w:t>61:77</w:t>
            </w:r>
          </w:p>
        </w:tc>
        <w:tc>
          <w:tcPr>
            <w:tcW w:w="652" w:type="dxa"/>
            <w:shd w:val="clear" w:color="auto" w:fill="auto"/>
          </w:tcPr>
          <w:p w14:paraId="45CCBE6A" w14:textId="77777777" w:rsidR="00B45FE1" w:rsidRPr="00556B9B" w:rsidRDefault="00B45FE1" w:rsidP="00F926B9">
            <w:pPr>
              <w:keepNext/>
              <w:widowControl w:val="0"/>
              <w:ind w:left="-27"/>
              <w:rPr>
                <w:sz w:val="20"/>
              </w:rPr>
            </w:pPr>
            <w:r w:rsidRPr="00556B9B">
              <w:rPr>
                <w:sz w:val="20"/>
              </w:rPr>
              <w:t>49:81</w:t>
            </w:r>
          </w:p>
        </w:tc>
        <w:tc>
          <w:tcPr>
            <w:tcW w:w="652" w:type="dxa"/>
            <w:shd w:val="clear" w:color="auto" w:fill="auto"/>
          </w:tcPr>
          <w:p w14:paraId="5AB1B409" w14:textId="77777777" w:rsidR="00B45FE1" w:rsidRPr="00556B9B" w:rsidRDefault="00B45FE1" w:rsidP="00F926B9">
            <w:pPr>
              <w:keepNext/>
              <w:widowControl w:val="0"/>
              <w:ind w:left="-27"/>
              <w:rPr>
                <w:sz w:val="20"/>
              </w:rPr>
            </w:pPr>
            <w:r w:rsidRPr="00556B9B">
              <w:rPr>
                <w:sz w:val="20"/>
              </w:rPr>
              <w:t>36:83</w:t>
            </w:r>
          </w:p>
        </w:tc>
        <w:tc>
          <w:tcPr>
            <w:tcW w:w="649" w:type="dxa"/>
            <w:shd w:val="clear" w:color="auto" w:fill="auto"/>
          </w:tcPr>
          <w:p w14:paraId="6E549AB4" w14:textId="77777777" w:rsidR="00B45FE1" w:rsidRPr="00556B9B" w:rsidRDefault="00B45FE1" w:rsidP="00F926B9">
            <w:pPr>
              <w:keepNext/>
              <w:widowControl w:val="0"/>
              <w:ind w:left="-27"/>
              <w:rPr>
                <w:sz w:val="20"/>
              </w:rPr>
            </w:pPr>
            <w:r w:rsidRPr="00556B9B">
              <w:rPr>
                <w:sz w:val="20"/>
              </w:rPr>
              <w:t>27:84</w:t>
            </w:r>
          </w:p>
        </w:tc>
        <w:tc>
          <w:tcPr>
            <w:tcW w:w="660" w:type="dxa"/>
            <w:shd w:val="clear" w:color="auto" w:fill="auto"/>
          </w:tcPr>
          <w:p w14:paraId="3EBFD8A3" w14:textId="77777777" w:rsidR="00B45FE1" w:rsidRPr="00556B9B" w:rsidRDefault="00B45FE1" w:rsidP="00F926B9">
            <w:pPr>
              <w:keepNext/>
              <w:widowControl w:val="0"/>
              <w:ind w:left="-27"/>
              <w:rPr>
                <w:sz w:val="20"/>
              </w:rPr>
            </w:pPr>
            <w:r w:rsidRPr="00556B9B">
              <w:rPr>
                <w:sz w:val="20"/>
              </w:rPr>
              <w:t>14:84</w:t>
            </w:r>
          </w:p>
        </w:tc>
        <w:tc>
          <w:tcPr>
            <w:tcW w:w="649" w:type="dxa"/>
            <w:shd w:val="clear" w:color="auto" w:fill="auto"/>
          </w:tcPr>
          <w:p w14:paraId="60E6B8C2" w14:textId="77777777" w:rsidR="00B45FE1" w:rsidRPr="00556B9B" w:rsidRDefault="00B45FE1" w:rsidP="00F926B9">
            <w:pPr>
              <w:keepNext/>
              <w:widowControl w:val="0"/>
              <w:ind w:left="-27"/>
              <w:rPr>
                <w:sz w:val="20"/>
              </w:rPr>
            </w:pPr>
            <w:r w:rsidRPr="00556B9B">
              <w:rPr>
                <w:sz w:val="20"/>
              </w:rPr>
              <w:t>10:84</w:t>
            </w:r>
          </w:p>
        </w:tc>
        <w:tc>
          <w:tcPr>
            <w:tcW w:w="564" w:type="dxa"/>
            <w:shd w:val="clear" w:color="auto" w:fill="auto"/>
          </w:tcPr>
          <w:p w14:paraId="0E4AD8A0" w14:textId="77777777" w:rsidR="00B45FE1" w:rsidRPr="00556B9B" w:rsidRDefault="00B45FE1" w:rsidP="00F926B9">
            <w:pPr>
              <w:keepNext/>
              <w:widowControl w:val="0"/>
              <w:ind w:left="-27"/>
              <w:rPr>
                <w:sz w:val="20"/>
              </w:rPr>
            </w:pPr>
            <w:r w:rsidRPr="00556B9B">
              <w:rPr>
                <w:sz w:val="20"/>
              </w:rPr>
              <w:t>2:84</w:t>
            </w:r>
          </w:p>
        </w:tc>
        <w:tc>
          <w:tcPr>
            <w:tcW w:w="555" w:type="dxa"/>
            <w:shd w:val="clear" w:color="auto" w:fill="auto"/>
          </w:tcPr>
          <w:p w14:paraId="6865260C" w14:textId="77777777" w:rsidR="00B45FE1" w:rsidRPr="00556B9B" w:rsidRDefault="00B45FE1" w:rsidP="00F926B9">
            <w:pPr>
              <w:keepNext/>
              <w:widowControl w:val="0"/>
              <w:ind w:left="-27"/>
              <w:rPr>
                <w:sz w:val="20"/>
              </w:rPr>
            </w:pPr>
            <w:r w:rsidRPr="00556B9B">
              <w:rPr>
                <w:sz w:val="20"/>
              </w:rPr>
              <w:t>0:84</w:t>
            </w:r>
          </w:p>
        </w:tc>
      </w:tr>
      <w:tr w:rsidR="00B45FE1" w:rsidRPr="00556B9B" w14:paraId="5D8FEFFC" w14:textId="77777777" w:rsidTr="00F926B9">
        <w:tc>
          <w:tcPr>
            <w:tcW w:w="450" w:type="dxa"/>
            <w:shd w:val="clear" w:color="auto" w:fill="auto"/>
          </w:tcPr>
          <w:p w14:paraId="1F8E4022" w14:textId="77777777" w:rsidR="00B45FE1" w:rsidRPr="00556B9B" w:rsidRDefault="00B45FE1" w:rsidP="00F926B9">
            <w:pPr>
              <w:rPr>
                <w:sz w:val="20"/>
              </w:rPr>
            </w:pPr>
            <w:r w:rsidRPr="00556B9B">
              <w:rPr>
                <w:sz w:val="20"/>
              </w:rPr>
              <w:t>(2)</w:t>
            </w:r>
          </w:p>
        </w:tc>
        <w:tc>
          <w:tcPr>
            <w:tcW w:w="646" w:type="dxa"/>
            <w:shd w:val="clear" w:color="auto" w:fill="auto"/>
          </w:tcPr>
          <w:p w14:paraId="2F3F28D3" w14:textId="77777777" w:rsidR="00B45FE1" w:rsidRPr="00556B9B" w:rsidRDefault="00B45FE1" w:rsidP="00F926B9">
            <w:pPr>
              <w:ind w:left="-27"/>
              <w:rPr>
                <w:sz w:val="20"/>
              </w:rPr>
            </w:pPr>
            <w:r w:rsidRPr="00556B9B">
              <w:rPr>
                <w:sz w:val="20"/>
              </w:rPr>
              <w:t>198:0</w:t>
            </w:r>
          </w:p>
        </w:tc>
        <w:tc>
          <w:tcPr>
            <w:tcW w:w="645" w:type="dxa"/>
            <w:shd w:val="clear" w:color="auto" w:fill="auto"/>
          </w:tcPr>
          <w:p w14:paraId="250E03A4" w14:textId="77777777" w:rsidR="00B45FE1" w:rsidRPr="00556B9B" w:rsidRDefault="00B45FE1" w:rsidP="00F926B9">
            <w:pPr>
              <w:ind w:left="-27"/>
              <w:rPr>
                <w:sz w:val="20"/>
              </w:rPr>
            </w:pPr>
            <w:r w:rsidRPr="00556B9B">
              <w:rPr>
                <w:sz w:val="20"/>
              </w:rPr>
              <w:t>189:5</w:t>
            </w:r>
          </w:p>
        </w:tc>
        <w:tc>
          <w:tcPr>
            <w:tcW w:w="745" w:type="dxa"/>
            <w:shd w:val="clear" w:color="auto" w:fill="auto"/>
          </w:tcPr>
          <w:p w14:paraId="25AE6E04" w14:textId="77777777" w:rsidR="00B45FE1" w:rsidRPr="00556B9B" w:rsidRDefault="00B45FE1" w:rsidP="00F926B9">
            <w:pPr>
              <w:ind w:left="-27"/>
              <w:rPr>
                <w:sz w:val="20"/>
              </w:rPr>
            </w:pPr>
            <w:r w:rsidRPr="00556B9B">
              <w:rPr>
                <w:sz w:val="20"/>
              </w:rPr>
              <w:t>184:8</w:t>
            </w:r>
          </w:p>
        </w:tc>
        <w:tc>
          <w:tcPr>
            <w:tcW w:w="745" w:type="dxa"/>
            <w:shd w:val="clear" w:color="auto" w:fill="auto"/>
          </w:tcPr>
          <w:p w14:paraId="2FBF5536" w14:textId="77777777" w:rsidR="00B45FE1" w:rsidRPr="00556B9B" w:rsidRDefault="00B45FE1" w:rsidP="00F926B9">
            <w:pPr>
              <w:ind w:left="-27"/>
              <w:rPr>
                <w:sz w:val="20"/>
              </w:rPr>
            </w:pPr>
            <w:r w:rsidRPr="00556B9B">
              <w:rPr>
                <w:sz w:val="20"/>
              </w:rPr>
              <w:t>181:11</w:t>
            </w:r>
          </w:p>
        </w:tc>
        <w:tc>
          <w:tcPr>
            <w:tcW w:w="745" w:type="dxa"/>
            <w:shd w:val="clear" w:color="auto" w:fill="auto"/>
          </w:tcPr>
          <w:p w14:paraId="5A34D693" w14:textId="77777777" w:rsidR="00B45FE1" w:rsidRPr="00556B9B" w:rsidRDefault="00B45FE1" w:rsidP="00F926B9">
            <w:pPr>
              <w:ind w:left="-27"/>
              <w:rPr>
                <w:sz w:val="20"/>
              </w:rPr>
            </w:pPr>
            <w:r w:rsidRPr="00556B9B">
              <w:rPr>
                <w:sz w:val="20"/>
              </w:rPr>
              <w:t>173:18</w:t>
            </w:r>
          </w:p>
        </w:tc>
        <w:tc>
          <w:tcPr>
            <w:tcW w:w="752" w:type="dxa"/>
            <w:shd w:val="clear" w:color="auto" w:fill="auto"/>
          </w:tcPr>
          <w:p w14:paraId="3818BD10" w14:textId="77777777" w:rsidR="00B45FE1" w:rsidRPr="00556B9B" w:rsidRDefault="00B45FE1" w:rsidP="00F926B9">
            <w:pPr>
              <w:ind w:left="-27"/>
              <w:rPr>
                <w:sz w:val="20"/>
              </w:rPr>
            </w:pPr>
            <w:r w:rsidRPr="00556B9B">
              <w:rPr>
                <w:sz w:val="20"/>
              </w:rPr>
              <w:t>152:22</w:t>
            </w:r>
          </w:p>
        </w:tc>
        <w:tc>
          <w:tcPr>
            <w:tcW w:w="745" w:type="dxa"/>
            <w:shd w:val="clear" w:color="auto" w:fill="auto"/>
          </w:tcPr>
          <w:p w14:paraId="2819EBBA" w14:textId="77777777" w:rsidR="00B45FE1" w:rsidRPr="00556B9B" w:rsidRDefault="00B45FE1" w:rsidP="00F926B9">
            <w:pPr>
              <w:ind w:left="-27"/>
              <w:rPr>
                <w:sz w:val="20"/>
              </w:rPr>
            </w:pPr>
            <w:r w:rsidRPr="00556B9B">
              <w:rPr>
                <w:sz w:val="20"/>
              </w:rPr>
              <w:t>133:25</w:t>
            </w:r>
          </w:p>
        </w:tc>
        <w:tc>
          <w:tcPr>
            <w:tcW w:w="745" w:type="dxa"/>
            <w:shd w:val="clear" w:color="auto" w:fill="auto"/>
          </w:tcPr>
          <w:p w14:paraId="0574FB0B" w14:textId="77777777" w:rsidR="00B45FE1" w:rsidRPr="00556B9B" w:rsidRDefault="00B45FE1" w:rsidP="00F926B9">
            <w:pPr>
              <w:ind w:left="-27"/>
              <w:rPr>
                <w:sz w:val="20"/>
              </w:rPr>
            </w:pPr>
            <w:r w:rsidRPr="00556B9B">
              <w:rPr>
                <w:sz w:val="20"/>
              </w:rPr>
              <w:t>102:29</w:t>
            </w:r>
          </w:p>
        </w:tc>
        <w:tc>
          <w:tcPr>
            <w:tcW w:w="652" w:type="dxa"/>
            <w:shd w:val="clear" w:color="auto" w:fill="auto"/>
          </w:tcPr>
          <w:p w14:paraId="73CF7882" w14:textId="77777777" w:rsidR="00B45FE1" w:rsidRPr="00556B9B" w:rsidRDefault="00B45FE1" w:rsidP="00F926B9">
            <w:pPr>
              <w:ind w:left="-27"/>
              <w:rPr>
                <w:sz w:val="20"/>
              </w:rPr>
            </w:pPr>
            <w:r w:rsidRPr="00556B9B">
              <w:rPr>
                <w:sz w:val="20"/>
              </w:rPr>
              <w:t>82:35</w:t>
            </w:r>
          </w:p>
        </w:tc>
        <w:tc>
          <w:tcPr>
            <w:tcW w:w="652" w:type="dxa"/>
            <w:shd w:val="clear" w:color="auto" w:fill="auto"/>
          </w:tcPr>
          <w:p w14:paraId="794F172C" w14:textId="77777777" w:rsidR="00B45FE1" w:rsidRPr="00556B9B" w:rsidRDefault="00B45FE1" w:rsidP="00F926B9">
            <w:pPr>
              <w:ind w:left="-27"/>
              <w:rPr>
                <w:sz w:val="20"/>
              </w:rPr>
            </w:pPr>
            <w:r w:rsidRPr="00556B9B">
              <w:rPr>
                <w:sz w:val="20"/>
              </w:rPr>
              <w:t>54:46</w:t>
            </w:r>
          </w:p>
        </w:tc>
        <w:tc>
          <w:tcPr>
            <w:tcW w:w="649" w:type="dxa"/>
            <w:shd w:val="clear" w:color="auto" w:fill="auto"/>
          </w:tcPr>
          <w:p w14:paraId="6A38EE3D" w14:textId="77777777" w:rsidR="00B45FE1" w:rsidRPr="00556B9B" w:rsidRDefault="00B45FE1" w:rsidP="00F926B9">
            <w:pPr>
              <w:ind w:left="-27"/>
              <w:rPr>
                <w:sz w:val="20"/>
              </w:rPr>
            </w:pPr>
            <w:r w:rsidRPr="00556B9B">
              <w:rPr>
                <w:sz w:val="20"/>
              </w:rPr>
              <w:t>39:47</w:t>
            </w:r>
          </w:p>
        </w:tc>
        <w:tc>
          <w:tcPr>
            <w:tcW w:w="660" w:type="dxa"/>
            <w:shd w:val="clear" w:color="auto" w:fill="auto"/>
          </w:tcPr>
          <w:p w14:paraId="251892B9" w14:textId="77777777" w:rsidR="00B45FE1" w:rsidRPr="00556B9B" w:rsidRDefault="00B45FE1" w:rsidP="00F926B9">
            <w:pPr>
              <w:ind w:left="-27"/>
              <w:rPr>
                <w:sz w:val="20"/>
              </w:rPr>
            </w:pPr>
            <w:r w:rsidRPr="00556B9B">
              <w:rPr>
                <w:sz w:val="20"/>
              </w:rPr>
              <w:t>21:49</w:t>
            </w:r>
          </w:p>
        </w:tc>
        <w:tc>
          <w:tcPr>
            <w:tcW w:w="649" w:type="dxa"/>
            <w:shd w:val="clear" w:color="auto" w:fill="auto"/>
          </w:tcPr>
          <w:p w14:paraId="3AC180A6" w14:textId="77777777" w:rsidR="00B45FE1" w:rsidRPr="00556B9B" w:rsidRDefault="00B45FE1" w:rsidP="00F926B9">
            <w:pPr>
              <w:ind w:left="-27"/>
              <w:rPr>
                <w:sz w:val="20"/>
              </w:rPr>
            </w:pPr>
            <w:r w:rsidRPr="00556B9B">
              <w:rPr>
                <w:sz w:val="20"/>
              </w:rPr>
              <w:t>8:50</w:t>
            </w:r>
          </w:p>
        </w:tc>
        <w:tc>
          <w:tcPr>
            <w:tcW w:w="564" w:type="dxa"/>
            <w:shd w:val="clear" w:color="auto" w:fill="auto"/>
          </w:tcPr>
          <w:p w14:paraId="2C71380C" w14:textId="77777777" w:rsidR="00B45FE1" w:rsidRPr="00556B9B" w:rsidRDefault="00B45FE1" w:rsidP="00F926B9">
            <w:pPr>
              <w:ind w:left="-27"/>
              <w:rPr>
                <w:sz w:val="20"/>
              </w:rPr>
            </w:pPr>
            <w:r w:rsidRPr="00556B9B">
              <w:rPr>
                <w:sz w:val="20"/>
              </w:rPr>
              <w:t>0:50</w:t>
            </w:r>
          </w:p>
        </w:tc>
        <w:tc>
          <w:tcPr>
            <w:tcW w:w="555" w:type="dxa"/>
            <w:shd w:val="clear" w:color="auto" w:fill="auto"/>
          </w:tcPr>
          <w:p w14:paraId="0E7FF2BD" w14:textId="77777777" w:rsidR="00B45FE1" w:rsidRPr="00556B9B" w:rsidRDefault="00B45FE1" w:rsidP="00F926B9">
            <w:pPr>
              <w:ind w:left="-27"/>
              <w:rPr>
                <w:sz w:val="20"/>
              </w:rPr>
            </w:pPr>
          </w:p>
        </w:tc>
      </w:tr>
    </w:tbl>
    <w:p w14:paraId="75F680A4" w14:textId="77777777" w:rsidR="00B45FE1" w:rsidRPr="00654EF1" w:rsidRDefault="00B45FE1" w:rsidP="00B45FE1">
      <w:pPr>
        <w:widowControl w:val="0"/>
        <w:spacing w:line="240" w:lineRule="auto"/>
        <w:rPr>
          <w:rFonts w:eastAsia="MS Mincho"/>
          <w:szCs w:val="22"/>
          <w:lang w:val="en-US"/>
        </w:rPr>
      </w:pPr>
    </w:p>
    <w:p w14:paraId="0CB21B94" w14:textId="77777777" w:rsidR="00B45FE1" w:rsidRPr="00654EF1" w:rsidRDefault="00B45FE1" w:rsidP="00B45FE1">
      <w:pPr>
        <w:keepNext/>
        <w:widowControl w:val="0"/>
        <w:spacing w:line="240" w:lineRule="auto"/>
        <w:ind w:left="1134" w:hanging="1134"/>
        <w:outlineLvl w:val="6"/>
        <w:rPr>
          <w:rFonts w:eastAsia="MS Mincho"/>
          <w:b/>
          <w:szCs w:val="22"/>
          <w:lang w:val="en-US"/>
        </w:rPr>
      </w:pPr>
      <w:r w:rsidRPr="00556B9B">
        <w:rPr>
          <w:rFonts w:cs="Times New Roman"/>
          <w:b/>
          <w:szCs w:val="22"/>
          <w:lang w:val="hu-HU" w:eastAsia="en-US" w:bidi="ar-SA"/>
        </w:rPr>
        <w:lastRenderedPageBreak/>
        <w:t>2. ábra</w:t>
      </w:r>
      <w:r w:rsidRPr="00556B9B">
        <w:rPr>
          <w:rFonts w:cs="Times New Roman"/>
          <w:b/>
          <w:szCs w:val="22"/>
          <w:lang w:val="hu-HU" w:eastAsia="en-US" w:bidi="ar-SA"/>
        </w:rPr>
        <w:tab/>
        <w:t>A teljes túlélés Kaplan-Meier—féle becslése (ITT populáció)</w:t>
      </w:r>
    </w:p>
    <w:p w14:paraId="27D8A3F4" w14:textId="77777777" w:rsidR="00B45FE1" w:rsidRPr="00654EF1" w:rsidRDefault="00B45FE1" w:rsidP="00B45FE1">
      <w:pPr>
        <w:keepNext/>
        <w:widowControl w:val="0"/>
        <w:spacing w:line="240" w:lineRule="auto"/>
        <w:ind w:left="1134" w:hanging="1134"/>
        <w:outlineLvl w:val="6"/>
        <w:rPr>
          <w:rFonts w:eastAsia="MS Mincho"/>
          <w:szCs w:val="22"/>
          <w:lang w:val="en-US"/>
        </w:rPr>
      </w:pPr>
    </w:p>
    <w:p w14:paraId="3D16A168" w14:textId="77777777" w:rsidR="00B45FE1" w:rsidRPr="00654EF1" w:rsidRDefault="00B45FE1" w:rsidP="00B45FE1">
      <w:pPr>
        <w:keepNext/>
        <w:widowControl w:val="0"/>
        <w:spacing w:line="240" w:lineRule="auto"/>
        <w:ind w:left="1134" w:hanging="1134"/>
        <w:outlineLvl w:val="6"/>
        <w:rPr>
          <w:rFonts w:eastAsia="MS Mincho"/>
          <w:szCs w:val="22"/>
          <w:lang w:val="en-US"/>
        </w:rPr>
      </w:pPr>
      <w:r w:rsidRPr="00556B9B">
        <w:rPr>
          <w:rFonts w:eastAsia="MS Mincho"/>
          <w:noProof/>
          <w:szCs w:val="22"/>
          <w:lang w:val="en-US" w:eastAsia="en-US" w:bidi="ar-SA"/>
        </w:rPr>
        <mc:AlternateContent>
          <mc:Choice Requires="wps">
            <w:drawing>
              <wp:anchor distT="0" distB="0" distL="114300" distR="114300" simplePos="0" relativeHeight="251673600" behindDoc="0" locked="0" layoutInCell="1" allowOverlap="1" wp14:anchorId="64855493" wp14:editId="6A0A66E3">
                <wp:simplePos x="0" y="0"/>
                <wp:positionH relativeFrom="column">
                  <wp:posOffset>310101</wp:posOffset>
                </wp:positionH>
                <wp:positionV relativeFrom="paragraph">
                  <wp:posOffset>897863</wp:posOffset>
                </wp:positionV>
                <wp:extent cx="4585335" cy="1428750"/>
                <wp:effectExtent l="0" t="0" r="0" b="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68983" w14:textId="77777777" w:rsidR="009E303A" w:rsidRDefault="009E303A" w:rsidP="00B45FE1">
                            <w:pPr>
                              <w:rPr>
                                <w:rFonts w:ascii="Arial" w:hAnsi="Arial" w:cs="Arial"/>
                                <w:sz w:val="20"/>
                              </w:rPr>
                            </w:pPr>
                          </w:p>
                          <w:tbl>
                            <w:tblPr>
                              <w:tblW w:w="0" w:type="auto"/>
                              <w:tblLook w:val="04A0" w:firstRow="1" w:lastRow="0" w:firstColumn="1" w:lastColumn="0" w:noHBand="0" w:noVBand="1"/>
                            </w:tblPr>
                            <w:tblGrid>
                              <w:gridCol w:w="817"/>
                              <w:gridCol w:w="2464"/>
                              <w:gridCol w:w="851"/>
                              <w:gridCol w:w="783"/>
                              <w:gridCol w:w="850"/>
                            </w:tblGrid>
                            <w:tr w:rsidR="009E303A" w:rsidRPr="00462020" w14:paraId="7EB8105D" w14:textId="77777777" w:rsidTr="001A0ED7">
                              <w:tc>
                                <w:tcPr>
                                  <w:tcW w:w="5691" w:type="dxa"/>
                                  <w:gridSpan w:val="5"/>
                                  <w:shd w:val="clear" w:color="auto" w:fill="auto"/>
                                </w:tcPr>
                                <w:p w14:paraId="75A64D50" w14:textId="77777777" w:rsidR="009E303A" w:rsidRPr="00574FBC" w:rsidRDefault="009E303A" w:rsidP="00660EA0">
                                  <w:pPr>
                                    <w:rPr>
                                      <w:rFonts w:ascii="Arial" w:hAnsi="Arial" w:cs="Arial"/>
                                      <w:sz w:val="20"/>
                                      <w:lang w:val="pt-PT"/>
                                    </w:rPr>
                                  </w:pPr>
                                  <w:r>
                                    <w:rPr>
                                      <w:rFonts w:ascii="Arial" w:hAnsi="Arial"/>
                                      <w:sz w:val="20"/>
                                      <w:lang w:val="pt-PT"/>
                                    </w:rPr>
                                    <w:t>P = </w:t>
                                  </w:r>
                                  <w:r w:rsidRPr="00574FBC">
                                    <w:rPr>
                                      <w:rFonts w:ascii="Arial" w:hAnsi="Arial"/>
                                      <w:sz w:val="20"/>
                                      <w:lang w:val="pt-PT"/>
                                    </w:rPr>
                                    <w:t>0,</w:t>
                                  </w:r>
                                  <w:r>
                                    <w:rPr>
                                      <w:rFonts w:ascii="Arial" w:hAnsi="Arial"/>
                                      <w:sz w:val="20"/>
                                      <w:lang w:val="pt-PT"/>
                                    </w:rPr>
                                    <w:t>0</w:t>
                                  </w:r>
                                  <w:r w:rsidRPr="00574FBC">
                                    <w:rPr>
                                      <w:rFonts w:ascii="Arial" w:hAnsi="Arial"/>
                                      <w:sz w:val="20"/>
                                      <w:lang w:val="pt-PT"/>
                                    </w:rPr>
                                    <w:t>19</w:t>
                                  </w:r>
                                </w:p>
                                <w:p w14:paraId="07F0F764" w14:textId="77777777" w:rsidR="009E303A" w:rsidRPr="00574FBC" w:rsidRDefault="009E303A" w:rsidP="00660EA0">
                                  <w:pPr>
                                    <w:rPr>
                                      <w:rFonts w:ascii="Arial" w:hAnsi="Arial" w:cs="Arial"/>
                                      <w:sz w:val="20"/>
                                      <w:lang w:val="pt-PT"/>
                                    </w:rPr>
                                  </w:pPr>
                                  <w:r w:rsidRPr="00574FBC">
                                    <w:rPr>
                                      <w:rFonts w:ascii="Arial" w:hAnsi="Arial"/>
                                      <w:sz w:val="20"/>
                                      <w:lang w:val="pt-PT"/>
                                    </w:rPr>
                                    <w:t>relatív hazárd = 0,45</w:t>
                                  </w:r>
                                </w:p>
                                <w:p w14:paraId="424F7E96" w14:textId="77777777" w:rsidR="009E303A" w:rsidRPr="00AA1F7F" w:rsidRDefault="009E303A" w:rsidP="00660EA0">
                                  <w:pPr>
                                    <w:rPr>
                                      <w:rFonts w:ascii="Arial" w:hAnsi="Arial" w:cs="Arial"/>
                                      <w:sz w:val="20"/>
                                      <w:lang w:val="es-ES"/>
                                    </w:rPr>
                                  </w:pPr>
                                  <w:r>
                                    <w:rPr>
                                      <w:rFonts w:ascii="Arial" w:hAnsi="Arial"/>
                                      <w:sz w:val="20"/>
                                      <w:lang w:val="pt-PT"/>
                                    </w:rPr>
                                    <w:t>(95%-os Cl, 0,22</w:t>
                                  </w:r>
                                  <w:r>
                                    <w:rPr>
                                      <w:rFonts w:ascii="Arial" w:hAnsi="Arial"/>
                                      <w:sz w:val="20"/>
                                      <w:lang w:val="pt-PT"/>
                                    </w:rPr>
                                    <w:noBreakHyphen/>
                                  </w:r>
                                  <w:r w:rsidRPr="00574FBC">
                                    <w:rPr>
                                      <w:rFonts w:ascii="Arial" w:hAnsi="Arial"/>
                                      <w:sz w:val="20"/>
                                      <w:lang w:val="pt-PT"/>
                                    </w:rPr>
                                    <w:t>0,89)</w:t>
                                  </w:r>
                                </w:p>
                              </w:tc>
                            </w:tr>
                            <w:tr w:rsidR="009E303A" w:rsidRPr="0055776F" w14:paraId="2380FD94" w14:textId="77777777" w:rsidTr="001A0ED7">
                              <w:tc>
                                <w:tcPr>
                                  <w:tcW w:w="817" w:type="dxa"/>
                                  <w:shd w:val="clear" w:color="auto" w:fill="auto"/>
                                </w:tcPr>
                                <w:p w14:paraId="7658B1C0" w14:textId="77777777" w:rsidR="009E303A" w:rsidRPr="00AA1F7F" w:rsidRDefault="009E303A" w:rsidP="001A0ED7">
                                  <w:pPr>
                                    <w:rPr>
                                      <w:rFonts w:ascii="Arial" w:hAnsi="Arial" w:cs="Arial"/>
                                      <w:sz w:val="20"/>
                                      <w:lang w:val="es-ES"/>
                                    </w:rPr>
                                  </w:pPr>
                                </w:p>
                              </w:tc>
                              <w:tc>
                                <w:tcPr>
                                  <w:tcW w:w="2464" w:type="dxa"/>
                                  <w:shd w:val="clear" w:color="auto" w:fill="auto"/>
                                </w:tcPr>
                                <w:p w14:paraId="43A7F73B" w14:textId="77777777" w:rsidR="009E303A" w:rsidRPr="00AA1F7F" w:rsidRDefault="009E303A" w:rsidP="001A0ED7">
                                  <w:pPr>
                                    <w:rPr>
                                      <w:rFonts w:ascii="Arial" w:hAnsi="Arial" w:cs="Arial"/>
                                      <w:sz w:val="20"/>
                                      <w:lang w:val="es-ES"/>
                                    </w:rPr>
                                  </w:pPr>
                                </w:p>
                              </w:tc>
                              <w:tc>
                                <w:tcPr>
                                  <w:tcW w:w="851" w:type="dxa"/>
                                  <w:tcBorders>
                                    <w:bottom w:val="single" w:sz="4" w:space="0" w:color="auto"/>
                                  </w:tcBorders>
                                  <w:shd w:val="clear" w:color="auto" w:fill="auto"/>
                                </w:tcPr>
                                <w:p w14:paraId="1DC45C3E" w14:textId="77777777" w:rsidR="009E303A" w:rsidRPr="0055776F" w:rsidRDefault="009E303A" w:rsidP="001A0ED7">
                                  <w:pPr>
                                    <w:rPr>
                                      <w:rFonts w:ascii="Arial" w:hAnsi="Arial" w:cs="Arial"/>
                                      <w:sz w:val="20"/>
                                    </w:rPr>
                                  </w:pPr>
                                  <w:r w:rsidRPr="00660EA0">
                                    <w:rPr>
                                      <w:rFonts w:ascii="Arial" w:hAnsi="Arial" w:cs="Arial"/>
                                      <w:sz w:val="20"/>
                                      <w:lang w:val="de-DE"/>
                                    </w:rPr>
                                    <w:t>N</w:t>
                                  </w:r>
                                </w:p>
                              </w:tc>
                              <w:tc>
                                <w:tcPr>
                                  <w:tcW w:w="709" w:type="dxa"/>
                                  <w:tcBorders>
                                    <w:bottom w:val="single" w:sz="4" w:space="0" w:color="auto"/>
                                  </w:tcBorders>
                                  <w:shd w:val="clear" w:color="auto" w:fill="auto"/>
                                </w:tcPr>
                                <w:p w14:paraId="111366C8" w14:textId="77777777" w:rsidR="009E303A" w:rsidRPr="0055776F" w:rsidRDefault="009E303A" w:rsidP="001A0ED7">
                                  <w:pPr>
                                    <w:rPr>
                                      <w:rFonts w:ascii="Arial" w:hAnsi="Arial" w:cs="Arial"/>
                                      <w:sz w:val="20"/>
                                    </w:rPr>
                                  </w:pPr>
                                  <w:r w:rsidRPr="00660EA0">
                                    <w:rPr>
                                      <w:rFonts w:ascii="Arial" w:hAnsi="Arial"/>
                                      <w:sz w:val="20"/>
                                      <w:lang w:val="de-CH"/>
                                    </w:rPr>
                                    <w:t>Esem.</w:t>
                                  </w:r>
                                </w:p>
                              </w:tc>
                              <w:tc>
                                <w:tcPr>
                                  <w:tcW w:w="850" w:type="dxa"/>
                                  <w:tcBorders>
                                    <w:bottom w:val="single" w:sz="4" w:space="0" w:color="auto"/>
                                  </w:tcBorders>
                                  <w:shd w:val="clear" w:color="auto" w:fill="auto"/>
                                </w:tcPr>
                                <w:p w14:paraId="305AB93C" w14:textId="77777777" w:rsidR="009E303A" w:rsidRPr="0055776F" w:rsidRDefault="009E303A" w:rsidP="001A0ED7">
                                  <w:pPr>
                                    <w:rPr>
                                      <w:rFonts w:ascii="Arial" w:hAnsi="Arial" w:cs="Arial"/>
                                      <w:sz w:val="20"/>
                                    </w:rPr>
                                  </w:pPr>
                                  <w:r w:rsidRPr="00660EA0">
                                    <w:rPr>
                                      <w:rFonts w:ascii="Arial" w:hAnsi="Arial"/>
                                      <w:sz w:val="20"/>
                                      <w:lang w:val="de-CH"/>
                                    </w:rPr>
                                    <w:t>Cenz.</w:t>
                                  </w:r>
                                </w:p>
                              </w:tc>
                            </w:tr>
                            <w:tr w:rsidR="009E303A" w:rsidRPr="0055776F" w14:paraId="4F15D51F" w14:textId="77777777" w:rsidTr="001A0ED7">
                              <w:tc>
                                <w:tcPr>
                                  <w:tcW w:w="817" w:type="dxa"/>
                                  <w:shd w:val="clear" w:color="auto" w:fill="auto"/>
                                </w:tcPr>
                                <w:p w14:paraId="268CD4E2" w14:textId="77777777" w:rsidR="009E303A" w:rsidRPr="0055776F" w:rsidRDefault="009E303A" w:rsidP="001A0ED7">
                                  <w:pPr>
                                    <w:rPr>
                                      <w:rFonts w:ascii="Arial" w:hAnsi="Arial" w:cs="Arial"/>
                                      <w:sz w:val="20"/>
                                    </w:rPr>
                                  </w:pPr>
                                  <w:r w:rsidRPr="0055776F">
                                    <w:rPr>
                                      <w:rFonts w:ascii="Arial" w:hAnsi="Arial" w:cs="Arial"/>
                                      <w:b/>
                                      <w:sz w:val="20"/>
                                    </w:rPr>
                                    <w:t>——</w:t>
                                  </w:r>
                                </w:p>
                              </w:tc>
                              <w:tc>
                                <w:tcPr>
                                  <w:tcW w:w="2464" w:type="dxa"/>
                                  <w:shd w:val="clear" w:color="auto" w:fill="auto"/>
                                </w:tcPr>
                                <w:p w14:paraId="03CFABD6" w14:textId="77777777" w:rsidR="009E303A" w:rsidRPr="0055776F" w:rsidRDefault="009E303A" w:rsidP="001A0ED7">
                                  <w:pPr>
                                    <w:rPr>
                                      <w:rFonts w:ascii="Arial" w:hAnsi="Arial" w:cs="Arial"/>
                                      <w:sz w:val="20"/>
                                    </w:rPr>
                                  </w:pPr>
                                  <w:r>
                                    <w:rPr>
                                      <w:rFonts w:ascii="Arial" w:hAnsi="Arial"/>
                                      <w:sz w:val="20"/>
                                      <w:lang w:val="pt-PT"/>
                                    </w:rPr>
                                    <w:t>(1) Imatinib 12 </w:t>
                                  </w:r>
                                  <w:r w:rsidRPr="00574FBC">
                                    <w:rPr>
                                      <w:rFonts w:ascii="Arial" w:hAnsi="Arial"/>
                                      <w:sz w:val="20"/>
                                      <w:lang w:val="pt-PT"/>
                                    </w:rPr>
                                    <w:t>HÓ:</w:t>
                                  </w:r>
                                </w:p>
                              </w:tc>
                              <w:tc>
                                <w:tcPr>
                                  <w:tcW w:w="851" w:type="dxa"/>
                                  <w:tcBorders>
                                    <w:top w:val="single" w:sz="4" w:space="0" w:color="auto"/>
                                  </w:tcBorders>
                                  <w:shd w:val="clear" w:color="auto" w:fill="auto"/>
                                </w:tcPr>
                                <w:p w14:paraId="50FFDA07" w14:textId="77777777" w:rsidR="009E303A" w:rsidRPr="0055776F" w:rsidRDefault="009E303A" w:rsidP="001A0ED7">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25C1B9C" w14:textId="77777777" w:rsidR="009E303A" w:rsidRPr="0055776F" w:rsidRDefault="009E303A" w:rsidP="001A0ED7">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229BD3B7" w14:textId="77777777" w:rsidR="009E303A" w:rsidRPr="0055776F" w:rsidRDefault="009E303A" w:rsidP="001A0ED7">
                                  <w:pPr>
                                    <w:rPr>
                                      <w:rFonts w:ascii="Arial" w:hAnsi="Arial" w:cs="Arial"/>
                                      <w:sz w:val="20"/>
                                    </w:rPr>
                                  </w:pPr>
                                  <w:r w:rsidRPr="0055776F">
                                    <w:rPr>
                                      <w:rFonts w:ascii="Arial" w:hAnsi="Arial" w:cs="Arial"/>
                                      <w:sz w:val="20"/>
                                    </w:rPr>
                                    <w:t>174</w:t>
                                  </w:r>
                                </w:p>
                              </w:tc>
                            </w:tr>
                            <w:tr w:rsidR="009E303A" w:rsidRPr="0055776F" w14:paraId="60D79FA4" w14:textId="77777777" w:rsidTr="001A0ED7">
                              <w:tc>
                                <w:tcPr>
                                  <w:tcW w:w="817" w:type="dxa"/>
                                  <w:shd w:val="clear" w:color="auto" w:fill="auto"/>
                                </w:tcPr>
                                <w:p w14:paraId="139DD53D" w14:textId="77777777" w:rsidR="009E303A" w:rsidRPr="0055776F" w:rsidRDefault="009E303A" w:rsidP="001A0ED7">
                                  <w:pPr>
                                    <w:rPr>
                                      <w:rFonts w:ascii="Arial" w:hAnsi="Arial" w:cs="Arial"/>
                                      <w:sz w:val="20"/>
                                    </w:rPr>
                                  </w:pPr>
                                  <w:r w:rsidRPr="0055776F">
                                    <w:rPr>
                                      <w:rFonts w:ascii="Arial" w:hAnsi="Arial" w:cs="Arial"/>
                                      <w:sz w:val="20"/>
                                    </w:rPr>
                                    <w:t>-----</w:t>
                                  </w:r>
                                </w:p>
                              </w:tc>
                              <w:tc>
                                <w:tcPr>
                                  <w:tcW w:w="2464" w:type="dxa"/>
                                  <w:shd w:val="clear" w:color="auto" w:fill="auto"/>
                                </w:tcPr>
                                <w:p w14:paraId="290A49DF" w14:textId="77777777" w:rsidR="009E303A" w:rsidRPr="0055776F" w:rsidRDefault="009E303A" w:rsidP="001A0ED7">
                                  <w:pPr>
                                    <w:rPr>
                                      <w:rFonts w:ascii="Arial" w:hAnsi="Arial" w:cs="Arial"/>
                                      <w:sz w:val="20"/>
                                    </w:rPr>
                                  </w:pPr>
                                  <w:r>
                                    <w:rPr>
                                      <w:rFonts w:ascii="Arial" w:hAnsi="Arial"/>
                                      <w:sz w:val="20"/>
                                    </w:rPr>
                                    <w:t>(2) Imatinib 36 HÓ:</w:t>
                                  </w:r>
                                </w:p>
                              </w:tc>
                              <w:tc>
                                <w:tcPr>
                                  <w:tcW w:w="851" w:type="dxa"/>
                                  <w:tcBorders>
                                    <w:bottom w:val="single" w:sz="4" w:space="0" w:color="auto"/>
                                  </w:tcBorders>
                                  <w:shd w:val="clear" w:color="auto" w:fill="auto"/>
                                </w:tcPr>
                                <w:p w14:paraId="0AC0B925" w14:textId="77777777" w:rsidR="009E303A" w:rsidRPr="0055776F" w:rsidRDefault="009E303A" w:rsidP="001A0ED7">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E8B7EB6" w14:textId="77777777" w:rsidR="009E303A" w:rsidRPr="0055776F" w:rsidRDefault="009E303A" w:rsidP="001A0ED7">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6888BD6B" w14:textId="77777777" w:rsidR="009E303A" w:rsidRPr="0055776F" w:rsidRDefault="009E303A" w:rsidP="001A0ED7">
                                  <w:pPr>
                                    <w:rPr>
                                      <w:rFonts w:ascii="Arial" w:hAnsi="Arial" w:cs="Arial"/>
                                      <w:sz w:val="20"/>
                                    </w:rPr>
                                  </w:pPr>
                                  <w:r w:rsidRPr="0055776F">
                                    <w:rPr>
                                      <w:rFonts w:ascii="Arial" w:hAnsi="Arial" w:cs="Arial"/>
                                      <w:sz w:val="20"/>
                                    </w:rPr>
                                    <w:t>186</w:t>
                                  </w:r>
                                </w:p>
                              </w:tc>
                            </w:tr>
                            <w:tr w:rsidR="009E303A" w:rsidRPr="0055776F" w14:paraId="4381361B" w14:textId="77777777" w:rsidTr="001A0ED7">
                              <w:tc>
                                <w:tcPr>
                                  <w:tcW w:w="817" w:type="dxa"/>
                                  <w:shd w:val="clear" w:color="auto" w:fill="auto"/>
                                </w:tcPr>
                                <w:p w14:paraId="4B143463" w14:textId="77777777" w:rsidR="009E303A" w:rsidRPr="0055776F" w:rsidRDefault="009E303A" w:rsidP="001A0ED7">
                                  <w:pPr>
                                    <w:rPr>
                                      <w:rFonts w:ascii="Arial" w:hAnsi="Arial" w:cs="Arial"/>
                                      <w:sz w:val="20"/>
                                    </w:rPr>
                                  </w:pPr>
                                  <w:r w:rsidRPr="0055776F">
                                    <w:rPr>
                                      <w:rFonts w:ascii="Arial" w:hAnsi="Arial" w:cs="Arial"/>
                                      <w:sz w:val="20"/>
                                    </w:rPr>
                                    <w:t>│││</w:t>
                                  </w:r>
                                </w:p>
                              </w:tc>
                              <w:tc>
                                <w:tcPr>
                                  <w:tcW w:w="2464" w:type="dxa"/>
                                  <w:shd w:val="clear" w:color="auto" w:fill="auto"/>
                                </w:tcPr>
                                <w:p w14:paraId="612AA3B0" w14:textId="77777777" w:rsidR="009E303A" w:rsidRPr="0055776F" w:rsidRDefault="009E303A" w:rsidP="001A0ED7">
                                  <w:pPr>
                                    <w:rPr>
                                      <w:rFonts w:ascii="Arial" w:hAnsi="Arial" w:cs="Arial"/>
                                      <w:sz w:val="20"/>
                                    </w:rPr>
                                  </w:pPr>
                                  <w:r>
                                    <w:rPr>
                                      <w:rFonts w:ascii="Arial" w:hAnsi="Arial"/>
                                      <w:sz w:val="20"/>
                                    </w:rPr>
                                    <w:t>Cenzúrázott megfigyelések</w:t>
                                  </w:r>
                                </w:p>
                              </w:tc>
                              <w:tc>
                                <w:tcPr>
                                  <w:tcW w:w="851" w:type="dxa"/>
                                  <w:tcBorders>
                                    <w:top w:val="single" w:sz="4" w:space="0" w:color="auto"/>
                                  </w:tcBorders>
                                  <w:shd w:val="clear" w:color="auto" w:fill="auto"/>
                                </w:tcPr>
                                <w:p w14:paraId="3BD67C17" w14:textId="77777777" w:rsidR="009E303A" w:rsidRPr="0055776F" w:rsidRDefault="009E303A" w:rsidP="001A0ED7">
                                  <w:pPr>
                                    <w:rPr>
                                      <w:rFonts w:ascii="Arial" w:hAnsi="Arial" w:cs="Arial"/>
                                      <w:sz w:val="20"/>
                                    </w:rPr>
                                  </w:pPr>
                                </w:p>
                              </w:tc>
                              <w:tc>
                                <w:tcPr>
                                  <w:tcW w:w="709" w:type="dxa"/>
                                  <w:tcBorders>
                                    <w:top w:val="single" w:sz="4" w:space="0" w:color="auto"/>
                                  </w:tcBorders>
                                  <w:shd w:val="clear" w:color="auto" w:fill="auto"/>
                                </w:tcPr>
                                <w:p w14:paraId="2E636070" w14:textId="77777777" w:rsidR="009E303A" w:rsidRPr="0055776F" w:rsidRDefault="009E303A" w:rsidP="001A0ED7">
                                  <w:pPr>
                                    <w:rPr>
                                      <w:rFonts w:ascii="Arial" w:hAnsi="Arial" w:cs="Arial"/>
                                      <w:sz w:val="20"/>
                                    </w:rPr>
                                  </w:pPr>
                                </w:p>
                              </w:tc>
                              <w:tc>
                                <w:tcPr>
                                  <w:tcW w:w="850" w:type="dxa"/>
                                  <w:tcBorders>
                                    <w:top w:val="single" w:sz="4" w:space="0" w:color="auto"/>
                                  </w:tcBorders>
                                  <w:shd w:val="clear" w:color="auto" w:fill="auto"/>
                                </w:tcPr>
                                <w:p w14:paraId="3577799C" w14:textId="77777777" w:rsidR="009E303A" w:rsidRPr="0055776F" w:rsidRDefault="009E303A" w:rsidP="001A0ED7">
                                  <w:pPr>
                                    <w:rPr>
                                      <w:rFonts w:ascii="Arial" w:hAnsi="Arial" w:cs="Arial"/>
                                      <w:sz w:val="20"/>
                                    </w:rPr>
                                  </w:pPr>
                                </w:p>
                              </w:tc>
                            </w:tr>
                          </w:tbl>
                          <w:p w14:paraId="4F057AE1" w14:textId="77777777" w:rsidR="009E303A" w:rsidRPr="00A33DBA" w:rsidRDefault="009E303A" w:rsidP="00B45FE1">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855493" id="_x0000_s1029" type="#_x0000_t202" style="position:absolute;left:0;text-align:left;margin-left:24.4pt;margin-top:70.7pt;width:361.0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" filled="f" stroked="f">
                <v:textbox>
                  <w:txbxContent>
                    <w:p w14:paraId="42168983" w14:textId="77777777" w:rsidR="009E303A" w:rsidRDefault="009E303A" w:rsidP="00B45FE1">
                      <w:pPr>
                        <w:rPr>
                          <w:rFonts w:ascii="Arial" w:hAnsi="Arial" w:cs="Arial"/>
                          <w:sz w:val="20"/>
                        </w:rPr>
                      </w:pPr>
                    </w:p>
                    <w:tbl>
                      <w:tblPr>
                        <w:tblW w:w="0" w:type="auto"/>
                        <w:tblLook w:val="04A0" w:firstRow="1" w:lastRow="0" w:firstColumn="1" w:lastColumn="0" w:noHBand="0" w:noVBand="1"/>
                      </w:tblPr>
                      <w:tblGrid>
                        <w:gridCol w:w="817"/>
                        <w:gridCol w:w="2464"/>
                        <w:gridCol w:w="851"/>
                        <w:gridCol w:w="783"/>
                        <w:gridCol w:w="850"/>
                      </w:tblGrid>
                      <w:tr w:rsidR="009E303A" w:rsidRPr="00462020" w14:paraId="7EB8105D" w14:textId="77777777" w:rsidTr="001A0ED7">
                        <w:tc>
                          <w:tcPr>
                            <w:tcW w:w="5691" w:type="dxa"/>
                            <w:gridSpan w:val="5"/>
                            <w:shd w:val="clear" w:color="auto" w:fill="auto"/>
                          </w:tcPr>
                          <w:p w14:paraId="75A64D50" w14:textId="77777777" w:rsidR="009E303A" w:rsidRPr="00574FBC" w:rsidRDefault="009E303A" w:rsidP="00660EA0">
                            <w:pPr>
                              <w:rPr>
                                <w:rFonts w:ascii="Arial" w:hAnsi="Arial" w:cs="Arial"/>
                                <w:sz w:val="20"/>
                                <w:lang w:val="pt-PT"/>
                              </w:rPr>
                            </w:pPr>
                            <w:r>
                              <w:rPr>
                                <w:rFonts w:ascii="Arial" w:hAnsi="Arial"/>
                                <w:sz w:val="20"/>
                                <w:lang w:val="pt-PT"/>
                              </w:rPr>
                              <w:t>P = </w:t>
                            </w:r>
                            <w:r w:rsidRPr="00574FBC">
                              <w:rPr>
                                <w:rFonts w:ascii="Arial" w:hAnsi="Arial"/>
                                <w:sz w:val="20"/>
                                <w:lang w:val="pt-PT"/>
                              </w:rPr>
                              <w:t>0,</w:t>
                            </w:r>
                            <w:r>
                              <w:rPr>
                                <w:rFonts w:ascii="Arial" w:hAnsi="Arial"/>
                                <w:sz w:val="20"/>
                                <w:lang w:val="pt-PT"/>
                              </w:rPr>
                              <w:t>0</w:t>
                            </w:r>
                            <w:r w:rsidRPr="00574FBC">
                              <w:rPr>
                                <w:rFonts w:ascii="Arial" w:hAnsi="Arial"/>
                                <w:sz w:val="20"/>
                                <w:lang w:val="pt-PT"/>
                              </w:rPr>
                              <w:t>19</w:t>
                            </w:r>
                          </w:p>
                          <w:p w14:paraId="07F0F764" w14:textId="77777777" w:rsidR="009E303A" w:rsidRPr="00574FBC" w:rsidRDefault="009E303A" w:rsidP="00660EA0">
                            <w:pPr>
                              <w:rPr>
                                <w:rFonts w:ascii="Arial" w:hAnsi="Arial" w:cs="Arial"/>
                                <w:sz w:val="20"/>
                                <w:lang w:val="pt-PT"/>
                              </w:rPr>
                            </w:pPr>
                            <w:r w:rsidRPr="00574FBC">
                              <w:rPr>
                                <w:rFonts w:ascii="Arial" w:hAnsi="Arial"/>
                                <w:sz w:val="20"/>
                                <w:lang w:val="pt-PT"/>
                              </w:rPr>
                              <w:t>relatív hazárd = 0,45</w:t>
                            </w:r>
                          </w:p>
                          <w:p w14:paraId="424F7E96" w14:textId="77777777" w:rsidR="009E303A" w:rsidRPr="00AA1F7F" w:rsidRDefault="009E303A" w:rsidP="00660EA0">
                            <w:pPr>
                              <w:rPr>
                                <w:rFonts w:ascii="Arial" w:hAnsi="Arial" w:cs="Arial"/>
                                <w:sz w:val="20"/>
                                <w:lang w:val="es-ES"/>
                              </w:rPr>
                            </w:pPr>
                            <w:r>
                              <w:rPr>
                                <w:rFonts w:ascii="Arial" w:hAnsi="Arial"/>
                                <w:sz w:val="20"/>
                                <w:lang w:val="pt-PT"/>
                              </w:rPr>
                              <w:t>(95%-os Cl, 0,22</w:t>
                            </w:r>
                            <w:r>
                              <w:rPr>
                                <w:rFonts w:ascii="Arial" w:hAnsi="Arial"/>
                                <w:sz w:val="20"/>
                                <w:lang w:val="pt-PT"/>
                              </w:rPr>
                              <w:noBreakHyphen/>
                            </w:r>
                            <w:r w:rsidRPr="00574FBC">
                              <w:rPr>
                                <w:rFonts w:ascii="Arial" w:hAnsi="Arial"/>
                                <w:sz w:val="20"/>
                                <w:lang w:val="pt-PT"/>
                              </w:rPr>
                              <w:t>0,89)</w:t>
                            </w:r>
                          </w:p>
                        </w:tc>
                      </w:tr>
                      <w:tr w:rsidR="009E303A" w:rsidRPr="0055776F" w14:paraId="2380FD94" w14:textId="77777777" w:rsidTr="001A0ED7">
                        <w:tc>
                          <w:tcPr>
                            <w:tcW w:w="817" w:type="dxa"/>
                            <w:shd w:val="clear" w:color="auto" w:fill="auto"/>
                          </w:tcPr>
                          <w:p w14:paraId="7658B1C0" w14:textId="77777777" w:rsidR="009E303A" w:rsidRPr="00AA1F7F" w:rsidRDefault="009E303A" w:rsidP="001A0ED7">
                            <w:pPr>
                              <w:rPr>
                                <w:rFonts w:ascii="Arial" w:hAnsi="Arial" w:cs="Arial"/>
                                <w:sz w:val="20"/>
                                <w:lang w:val="es-ES"/>
                              </w:rPr>
                            </w:pPr>
                          </w:p>
                        </w:tc>
                        <w:tc>
                          <w:tcPr>
                            <w:tcW w:w="2464" w:type="dxa"/>
                            <w:shd w:val="clear" w:color="auto" w:fill="auto"/>
                          </w:tcPr>
                          <w:p w14:paraId="43A7F73B" w14:textId="77777777" w:rsidR="009E303A" w:rsidRPr="00AA1F7F" w:rsidRDefault="009E303A" w:rsidP="001A0ED7">
                            <w:pPr>
                              <w:rPr>
                                <w:rFonts w:ascii="Arial" w:hAnsi="Arial" w:cs="Arial"/>
                                <w:sz w:val="20"/>
                                <w:lang w:val="es-ES"/>
                              </w:rPr>
                            </w:pPr>
                          </w:p>
                        </w:tc>
                        <w:tc>
                          <w:tcPr>
                            <w:tcW w:w="851" w:type="dxa"/>
                            <w:tcBorders>
                              <w:bottom w:val="single" w:sz="4" w:space="0" w:color="auto"/>
                            </w:tcBorders>
                            <w:shd w:val="clear" w:color="auto" w:fill="auto"/>
                          </w:tcPr>
                          <w:p w14:paraId="1DC45C3E" w14:textId="77777777" w:rsidR="009E303A" w:rsidRPr="0055776F" w:rsidRDefault="009E303A" w:rsidP="001A0ED7">
                            <w:pPr>
                              <w:rPr>
                                <w:rFonts w:ascii="Arial" w:hAnsi="Arial" w:cs="Arial"/>
                                <w:sz w:val="20"/>
                              </w:rPr>
                            </w:pPr>
                            <w:r w:rsidRPr="00660EA0">
                              <w:rPr>
                                <w:rFonts w:ascii="Arial" w:hAnsi="Arial" w:cs="Arial"/>
                                <w:sz w:val="20"/>
                                <w:lang w:val="de-DE"/>
                              </w:rPr>
                              <w:t>N</w:t>
                            </w:r>
                          </w:p>
                        </w:tc>
                        <w:tc>
                          <w:tcPr>
                            <w:tcW w:w="709" w:type="dxa"/>
                            <w:tcBorders>
                              <w:bottom w:val="single" w:sz="4" w:space="0" w:color="auto"/>
                            </w:tcBorders>
                            <w:shd w:val="clear" w:color="auto" w:fill="auto"/>
                          </w:tcPr>
                          <w:p w14:paraId="111366C8" w14:textId="77777777" w:rsidR="009E303A" w:rsidRPr="0055776F" w:rsidRDefault="009E303A" w:rsidP="001A0ED7">
                            <w:pPr>
                              <w:rPr>
                                <w:rFonts w:ascii="Arial" w:hAnsi="Arial" w:cs="Arial"/>
                                <w:sz w:val="20"/>
                              </w:rPr>
                            </w:pPr>
                            <w:r w:rsidRPr="00660EA0">
                              <w:rPr>
                                <w:rFonts w:ascii="Arial" w:hAnsi="Arial"/>
                                <w:sz w:val="20"/>
                                <w:lang w:val="de-CH"/>
                              </w:rPr>
                              <w:t>Esem.</w:t>
                            </w:r>
                          </w:p>
                        </w:tc>
                        <w:tc>
                          <w:tcPr>
                            <w:tcW w:w="850" w:type="dxa"/>
                            <w:tcBorders>
                              <w:bottom w:val="single" w:sz="4" w:space="0" w:color="auto"/>
                            </w:tcBorders>
                            <w:shd w:val="clear" w:color="auto" w:fill="auto"/>
                          </w:tcPr>
                          <w:p w14:paraId="305AB93C" w14:textId="77777777" w:rsidR="009E303A" w:rsidRPr="0055776F" w:rsidRDefault="009E303A" w:rsidP="001A0ED7">
                            <w:pPr>
                              <w:rPr>
                                <w:rFonts w:ascii="Arial" w:hAnsi="Arial" w:cs="Arial"/>
                                <w:sz w:val="20"/>
                              </w:rPr>
                            </w:pPr>
                            <w:r w:rsidRPr="00660EA0">
                              <w:rPr>
                                <w:rFonts w:ascii="Arial" w:hAnsi="Arial"/>
                                <w:sz w:val="20"/>
                                <w:lang w:val="de-CH"/>
                              </w:rPr>
                              <w:t>Cenz.</w:t>
                            </w:r>
                          </w:p>
                        </w:tc>
                      </w:tr>
                      <w:tr w:rsidR="009E303A" w:rsidRPr="0055776F" w14:paraId="4F15D51F" w14:textId="77777777" w:rsidTr="001A0ED7">
                        <w:tc>
                          <w:tcPr>
                            <w:tcW w:w="817" w:type="dxa"/>
                            <w:shd w:val="clear" w:color="auto" w:fill="auto"/>
                          </w:tcPr>
                          <w:p w14:paraId="268CD4E2" w14:textId="77777777" w:rsidR="009E303A" w:rsidRPr="0055776F" w:rsidRDefault="009E303A" w:rsidP="001A0ED7">
                            <w:pPr>
                              <w:rPr>
                                <w:rFonts w:ascii="Arial" w:hAnsi="Arial" w:cs="Arial"/>
                                <w:sz w:val="20"/>
                              </w:rPr>
                            </w:pPr>
                            <w:r w:rsidRPr="0055776F">
                              <w:rPr>
                                <w:rFonts w:ascii="Arial" w:hAnsi="Arial" w:cs="Arial"/>
                                <w:b/>
                                <w:sz w:val="20"/>
                              </w:rPr>
                              <w:t>——</w:t>
                            </w:r>
                          </w:p>
                        </w:tc>
                        <w:tc>
                          <w:tcPr>
                            <w:tcW w:w="2464" w:type="dxa"/>
                            <w:shd w:val="clear" w:color="auto" w:fill="auto"/>
                          </w:tcPr>
                          <w:p w14:paraId="03CFABD6" w14:textId="77777777" w:rsidR="009E303A" w:rsidRPr="0055776F" w:rsidRDefault="009E303A" w:rsidP="001A0ED7">
                            <w:pPr>
                              <w:rPr>
                                <w:rFonts w:ascii="Arial" w:hAnsi="Arial" w:cs="Arial"/>
                                <w:sz w:val="20"/>
                              </w:rPr>
                            </w:pPr>
                            <w:r>
                              <w:rPr>
                                <w:rFonts w:ascii="Arial" w:hAnsi="Arial"/>
                                <w:sz w:val="20"/>
                                <w:lang w:val="pt-PT"/>
                              </w:rPr>
                              <w:t>(1) Imatinib 12 </w:t>
                            </w:r>
                            <w:r w:rsidRPr="00574FBC">
                              <w:rPr>
                                <w:rFonts w:ascii="Arial" w:hAnsi="Arial"/>
                                <w:sz w:val="20"/>
                                <w:lang w:val="pt-PT"/>
                              </w:rPr>
                              <w:t>HÓ:</w:t>
                            </w:r>
                          </w:p>
                        </w:tc>
                        <w:tc>
                          <w:tcPr>
                            <w:tcW w:w="851" w:type="dxa"/>
                            <w:tcBorders>
                              <w:top w:val="single" w:sz="4" w:space="0" w:color="auto"/>
                            </w:tcBorders>
                            <w:shd w:val="clear" w:color="auto" w:fill="auto"/>
                          </w:tcPr>
                          <w:p w14:paraId="50FFDA07" w14:textId="77777777" w:rsidR="009E303A" w:rsidRPr="0055776F" w:rsidRDefault="009E303A" w:rsidP="001A0ED7">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25C1B9C" w14:textId="77777777" w:rsidR="009E303A" w:rsidRPr="0055776F" w:rsidRDefault="009E303A" w:rsidP="001A0ED7">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229BD3B7" w14:textId="77777777" w:rsidR="009E303A" w:rsidRPr="0055776F" w:rsidRDefault="009E303A" w:rsidP="001A0ED7">
                            <w:pPr>
                              <w:rPr>
                                <w:rFonts w:ascii="Arial" w:hAnsi="Arial" w:cs="Arial"/>
                                <w:sz w:val="20"/>
                              </w:rPr>
                            </w:pPr>
                            <w:r w:rsidRPr="0055776F">
                              <w:rPr>
                                <w:rFonts w:ascii="Arial" w:hAnsi="Arial" w:cs="Arial"/>
                                <w:sz w:val="20"/>
                              </w:rPr>
                              <w:t>174</w:t>
                            </w:r>
                          </w:p>
                        </w:tc>
                      </w:tr>
                      <w:tr w:rsidR="009E303A" w:rsidRPr="0055776F" w14:paraId="60D79FA4" w14:textId="77777777" w:rsidTr="001A0ED7">
                        <w:tc>
                          <w:tcPr>
                            <w:tcW w:w="817" w:type="dxa"/>
                            <w:shd w:val="clear" w:color="auto" w:fill="auto"/>
                          </w:tcPr>
                          <w:p w14:paraId="139DD53D" w14:textId="77777777" w:rsidR="009E303A" w:rsidRPr="0055776F" w:rsidRDefault="009E303A" w:rsidP="001A0ED7">
                            <w:pPr>
                              <w:rPr>
                                <w:rFonts w:ascii="Arial" w:hAnsi="Arial" w:cs="Arial"/>
                                <w:sz w:val="20"/>
                              </w:rPr>
                            </w:pPr>
                            <w:r w:rsidRPr="0055776F">
                              <w:rPr>
                                <w:rFonts w:ascii="Arial" w:hAnsi="Arial" w:cs="Arial"/>
                                <w:sz w:val="20"/>
                              </w:rPr>
                              <w:t>-----</w:t>
                            </w:r>
                          </w:p>
                        </w:tc>
                        <w:tc>
                          <w:tcPr>
                            <w:tcW w:w="2464" w:type="dxa"/>
                            <w:shd w:val="clear" w:color="auto" w:fill="auto"/>
                          </w:tcPr>
                          <w:p w14:paraId="290A49DF" w14:textId="77777777" w:rsidR="009E303A" w:rsidRPr="0055776F" w:rsidRDefault="009E303A" w:rsidP="001A0ED7">
                            <w:pPr>
                              <w:rPr>
                                <w:rFonts w:ascii="Arial" w:hAnsi="Arial" w:cs="Arial"/>
                                <w:sz w:val="20"/>
                              </w:rPr>
                            </w:pPr>
                            <w:r>
                              <w:rPr>
                                <w:rFonts w:ascii="Arial" w:hAnsi="Arial"/>
                                <w:sz w:val="20"/>
                              </w:rPr>
                              <w:t>(2) Imatinib 36 HÓ:</w:t>
                            </w:r>
                          </w:p>
                        </w:tc>
                        <w:tc>
                          <w:tcPr>
                            <w:tcW w:w="851" w:type="dxa"/>
                            <w:tcBorders>
                              <w:bottom w:val="single" w:sz="4" w:space="0" w:color="auto"/>
                            </w:tcBorders>
                            <w:shd w:val="clear" w:color="auto" w:fill="auto"/>
                          </w:tcPr>
                          <w:p w14:paraId="0AC0B925" w14:textId="77777777" w:rsidR="009E303A" w:rsidRPr="0055776F" w:rsidRDefault="009E303A" w:rsidP="001A0ED7">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E8B7EB6" w14:textId="77777777" w:rsidR="009E303A" w:rsidRPr="0055776F" w:rsidRDefault="009E303A" w:rsidP="001A0ED7">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6888BD6B" w14:textId="77777777" w:rsidR="009E303A" w:rsidRPr="0055776F" w:rsidRDefault="009E303A" w:rsidP="001A0ED7">
                            <w:pPr>
                              <w:rPr>
                                <w:rFonts w:ascii="Arial" w:hAnsi="Arial" w:cs="Arial"/>
                                <w:sz w:val="20"/>
                              </w:rPr>
                            </w:pPr>
                            <w:r w:rsidRPr="0055776F">
                              <w:rPr>
                                <w:rFonts w:ascii="Arial" w:hAnsi="Arial" w:cs="Arial"/>
                                <w:sz w:val="20"/>
                              </w:rPr>
                              <w:t>186</w:t>
                            </w:r>
                          </w:p>
                        </w:tc>
                      </w:tr>
                      <w:tr w:rsidR="009E303A" w:rsidRPr="0055776F" w14:paraId="4381361B" w14:textId="77777777" w:rsidTr="001A0ED7">
                        <w:tc>
                          <w:tcPr>
                            <w:tcW w:w="817" w:type="dxa"/>
                            <w:shd w:val="clear" w:color="auto" w:fill="auto"/>
                          </w:tcPr>
                          <w:p w14:paraId="4B143463" w14:textId="77777777" w:rsidR="009E303A" w:rsidRPr="0055776F" w:rsidRDefault="009E303A" w:rsidP="001A0ED7">
                            <w:pPr>
                              <w:rPr>
                                <w:rFonts w:ascii="Arial" w:hAnsi="Arial" w:cs="Arial"/>
                                <w:sz w:val="20"/>
                              </w:rPr>
                            </w:pPr>
                            <w:r w:rsidRPr="0055776F">
                              <w:rPr>
                                <w:rFonts w:ascii="Arial" w:hAnsi="Arial" w:cs="Arial"/>
                                <w:sz w:val="20"/>
                              </w:rPr>
                              <w:t>│││</w:t>
                            </w:r>
                          </w:p>
                        </w:tc>
                        <w:tc>
                          <w:tcPr>
                            <w:tcW w:w="2464" w:type="dxa"/>
                            <w:shd w:val="clear" w:color="auto" w:fill="auto"/>
                          </w:tcPr>
                          <w:p w14:paraId="612AA3B0" w14:textId="77777777" w:rsidR="009E303A" w:rsidRPr="0055776F" w:rsidRDefault="009E303A" w:rsidP="001A0ED7">
                            <w:pPr>
                              <w:rPr>
                                <w:rFonts w:ascii="Arial" w:hAnsi="Arial" w:cs="Arial"/>
                                <w:sz w:val="20"/>
                              </w:rPr>
                            </w:pPr>
                            <w:r>
                              <w:rPr>
                                <w:rFonts w:ascii="Arial" w:hAnsi="Arial"/>
                                <w:sz w:val="20"/>
                              </w:rPr>
                              <w:t>Cenzúrázott megfigyelések</w:t>
                            </w:r>
                          </w:p>
                        </w:tc>
                        <w:tc>
                          <w:tcPr>
                            <w:tcW w:w="851" w:type="dxa"/>
                            <w:tcBorders>
                              <w:top w:val="single" w:sz="4" w:space="0" w:color="auto"/>
                            </w:tcBorders>
                            <w:shd w:val="clear" w:color="auto" w:fill="auto"/>
                          </w:tcPr>
                          <w:p w14:paraId="3BD67C17" w14:textId="77777777" w:rsidR="009E303A" w:rsidRPr="0055776F" w:rsidRDefault="009E303A" w:rsidP="001A0ED7">
                            <w:pPr>
                              <w:rPr>
                                <w:rFonts w:ascii="Arial" w:hAnsi="Arial" w:cs="Arial"/>
                                <w:sz w:val="20"/>
                              </w:rPr>
                            </w:pPr>
                          </w:p>
                        </w:tc>
                        <w:tc>
                          <w:tcPr>
                            <w:tcW w:w="709" w:type="dxa"/>
                            <w:tcBorders>
                              <w:top w:val="single" w:sz="4" w:space="0" w:color="auto"/>
                            </w:tcBorders>
                            <w:shd w:val="clear" w:color="auto" w:fill="auto"/>
                          </w:tcPr>
                          <w:p w14:paraId="2E636070" w14:textId="77777777" w:rsidR="009E303A" w:rsidRPr="0055776F" w:rsidRDefault="009E303A" w:rsidP="001A0ED7">
                            <w:pPr>
                              <w:rPr>
                                <w:rFonts w:ascii="Arial" w:hAnsi="Arial" w:cs="Arial"/>
                                <w:sz w:val="20"/>
                              </w:rPr>
                            </w:pPr>
                          </w:p>
                        </w:tc>
                        <w:tc>
                          <w:tcPr>
                            <w:tcW w:w="850" w:type="dxa"/>
                            <w:tcBorders>
                              <w:top w:val="single" w:sz="4" w:space="0" w:color="auto"/>
                            </w:tcBorders>
                            <w:shd w:val="clear" w:color="auto" w:fill="auto"/>
                          </w:tcPr>
                          <w:p w14:paraId="3577799C" w14:textId="77777777" w:rsidR="009E303A" w:rsidRPr="0055776F" w:rsidRDefault="009E303A" w:rsidP="001A0ED7">
                            <w:pPr>
                              <w:rPr>
                                <w:rFonts w:ascii="Arial" w:hAnsi="Arial" w:cs="Arial"/>
                                <w:sz w:val="20"/>
                              </w:rPr>
                            </w:pPr>
                          </w:p>
                        </w:tc>
                      </w:tr>
                    </w:tbl>
                    <w:p w14:paraId="4F057AE1" w14:textId="77777777" w:rsidR="009E303A" w:rsidRPr="00A33DBA" w:rsidRDefault="009E303A" w:rsidP="00B45FE1">
                      <w:pPr>
                        <w:rPr>
                          <w:rFonts w:ascii="Arial" w:hAnsi="Arial" w:cs="Arial"/>
                          <w:sz w:val="20"/>
                        </w:rPr>
                      </w:pPr>
                    </w:p>
                  </w:txbxContent>
                </v:textbox>
              </v:shape>
            </w:pict>
          </mc:Fallback>
        </mc:AlternateContent>
      </w:r>
      <w:r w:rsidRPr="00654EF1">
        <w:rPr>
          <w:noProof/>
          <w:lang w:val="en-US" w:eastAsia="en-US" w:bidi="ar-SA"/>
        </w:rPr>
        <mc:AlternateContent>
          <mc:Choice Requires="wps">
            <w:drawing>
              <wp:anchor distT="0" distB="0" distL="114300" distR="114300" simplePos="0" relativeHeight="251669504" behindDoc="0" locked="0" layoutInCell="1" allowOverlap="1" wp14:anchorId="2C1A0A5A" wp14:editId="7E0BEA25">
                <wp:simplePos x="0" y="0"/>
                <wp:positionH relativeFrom="column">
                  <wp:posOffset>-217170</wp:posOffset>
                </wp:positionH>
                <wp:positionV relativeFrom="paragraph">
                  <wp:posOffset>227330</wp:posOffset>
                </wp:positionV>
                <wp:extent cx="335915" cy="1813560"/>
                <wp:effectExtent l="6985" t="5715"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813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061302" w14:textId="77777777" w:rsidR="009E303A" w:rsidRPr="00A33DBA" w:rsidRDefault="009E303A" w:rsidP="00B45FE1">
                            <w:pPr>
                              <w:rPr>
                                <w:rFonts w:ascii="Arial" w:hAnsi="Arial" w:cs="Arial"/>
                                <w:sz w:val="20"/>
                              </w:rPr>
                            </w:pPr>
                            <w:r>
                              <w:rPr>
                                <w:rFonts w:ascii="Arial" w:hAnsi="Arial"/>
                                <w:sz w:val="20"/>
                              </w:rPr>
                              <w:t>A teljes túlélés valószínűsége</w:t>
                            </w:r>
                          </w:p>
                          <w:p w14:paraId="7813D61E" w14:textId="77777777" w:rsidR="009E303A" w:rsidRPr="00A33DBA" w:rsidRDefault="009E303A" w:rsidP="00B45FE1">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1A0A5A" id="Text Box 65" o:spid="_x0000_s1030" type="#_x0000_t202" style="position:absolute;left:0;text-align:left;margin-left:-17.1pt;margin-top:17.9pt;width:26.45pt;height:1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" stroked="f">
                <v:fill opacity="0"/>
                <v:textbox style="layout-flow:vertical;mso-layout-flow-alt:bottom-to-top">
                  <w:txbxContent>
                    <w:p w14:paraId="04061302" w14:textId="77777777" w:rsidR="009E303A" w:rsidRPr="00A33DBA" w:rsidRDefault="009E303A" w:rsidP="00B45FE1">
                      <w:pPr>
                        <w:rPr>
                          <w:rFonts w:ascii="Arial" w:hAnsi="Arial" w:cs="Arial"/>
                          <w:sz w:val="20"/>
                        </w:rPr>
                      </w:pPr>
                      <w:r>
                        <w:rPr>
                          <w:rFonts w:ascii="Arial" w:hAnsi="Arial"/>
                          <w:sz w:val="20"/>
                        </w:rPr>
                        <w:t>A teljes túlélés valószínűsége</w:t>
                      </w:r>
                    </w:p>
                    <w:p w14:paraId="7813D61E" w14:textId="77777777" w:rsidR="009E303A" w:rsidRPr="00A33DBA" w:rsidRDefault="009E303A" w:rsidP="00B45FE1">
                      <w:pPr>
                        <w:rPr>
                          <w:rFonts w:ascii="Arial" w:hAnsi="Arial" w:cs="Arial"/>
                          <w:sz w:val="20"/>
                        </w:rPr>
                      </w:pPr>
                    </w:p>
                  </w:txbxContent>
                </v:textbox>
              </v:shape>
            </w:pict>
          </mc:Fallback>
        </mc:AlternateContent>
      </w:r>
      <w:r w:rsidRPr="00654EF1">
        <w:rPr>
          <w:noProof/>
          <w:lang w:val="en-US" w:eastAsia="en-US" w:bidi="ar-SA"/>
        </w:rPr>
        <w:drawing>
          <wp:inline distT="0" distB="0" distL="0" distR="0" wp14:anchorId="2A228A46" wp14:editId="0A1F6A96">
            <wp:extent cx="5947410" cy="2632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283ADD7D" w14:textId="77777777" w:rsidR="00B45FE1" w:rsidRPr="00654EF1" w:rsidRDefault="00B45FE1" w:rsidP="00B45FE1">
      <w:pPr>
        <w:keepNext/>
        <w:widowControl w:val="0"/>
        <w:spacing w:line="240" w:lineRule="auto"/>
        <w:ind w:left="1134" w:hanging="1134"/>
        <w:outlineLvl w:val="6"/>
        <w:rPr>
          <w:rFonts w:eastAsia="MS Mincho"/>
          <w:szCs w:val="22"/>
          <w:lang w:val="en-US"/>
        </w:rPr>
      </w:pPr>
      <w:r w:rsidRPr="00654EF1">
        <w:rPr>
          <w:rFonts w:eastAsia="MS Mincho"/>
          <w:noProof/>
          <w:szCs w:val="22"/>
          <w:lang w:val="en-US" w:eastAsia="en-US" w:bidi="ar-SA"/>
        </w:rPr>
        <mc:AlternateContent>
          <mc:Choice Requires="wps">
            <w:drawing>
              <wp:anchor distT="0" distB="0" distL="114300" distR="114300" simplePos="0" relativeHeight="251671552" behindDoc="0" locked="0" layoutInCell="1" allowOverlap="1" wp14:anchorId="7248B715" wp14:editId="6AA4A27A">
                <wp:simplePos x="0" y="0"/>
                <wp:positionH relativeFrom="column">
                  <wp:posOffset>2329815</wp:posOffset>
                </wp:positionH>
                <wp:positionV relativeFrom="paragraph">
                  <wp:posOffset>73660</wp:posOffset>
                </wp:positionV>
                <wp:extent cx="1619250" cy="303530"/>
                <wp:effectExtent l="1270" t="1270" r="825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03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C29C8" w14:textId="77777777" w:rsidR="009E303A" w:rsidRPr="00A33DBA" w:rsidRDefault="009E303A" w:rsidP="00B45FE1">
                            <w:pPr>
                              <w:rPr>
                                <w:rFonts w:ascii="Arial" w:hAnsi="Arial" w:cs="Arial"/>
                                <w:sz w:val="20"/>
                              </w:rPr>
                            </w:pPr>
                            <w:r>
                              <w:rPr>
                                <w:rFonts w:ascii="Arial" w:hAnsi="Arial"/>
                                <w:sz w:val="20"/>
                              </w:rPr>
                              <w:t>Túlélési idő hónapokban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48B715" id="Text Box 31" o:spid="_x0000_s1031" type="#_x0000_t202" style="position:absolute;left:0;text-align:left;margin-left:183.45pt;margin-top:5.8pt;width:127.5pt;height:2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" stroked="f">
                <v:fill opacity="0"/>
                <v:textbox>
                  <w:txbxContent>
                    <w:p w14:paraId="1C3C29C8" w14:textId="77777777" w:rsidR="009E303A" w:rsidRPr="00A33DBA" w:rsidRDefault="009E303A" w:rsidP="00B45FE1">
                      <w:pPr>
                        <w:rPr>
                          <w:rFonts w:ascii="Arial" w:hAnsi="Arial" w:cs="Arial"/>
                          <w:sz w:val="20"/>
                        </w:rPr>
                      </w:pPr>
                      <w:r>
                        <w:rPr>
                          <w:rFonts w:ascii="Arial" w:hAnsi="Arial"/>
                          <w:sz w:val="20"/>
                        </w:rPr>
                        <w:t>Túlélési idő hónapokban</w:t>
                      </w:r>
                    </w:p>
                  </w:txbxContent>
                </v:textbox>
              </v:shape>
            </w:pict>
          </mc:Fallback>
        </mc:AlternateContent>
      </w:r>
    </w:p>
    <w:p w14:paraId="754FBB8E" w14:textId="77777777" w:rsidR="00B45FE1" w:rsidRPr="00654EF1" w:rsidRDefault="00B45FE1" w:rsidP="00B45FE1">
      <w:pPr>
        <w:keepNext/>
        <w:widowControl w:val="0"/>
        <w:spacing w:line="240" w:lineRule="auto"/>
        <w:ind w:left="1134" w:hanging="1134"/>
        <w:outlineLvl w:val="6"/>
        <w:rPr>
          <w:rFonts w:eastAsia="MS Mincho"/>
          <w:szCs w:val="22"/>
          <w:lang w:val="en-US"/>
        </w:rPr>
      </w:pPr>
    </w:p>
    <w:p w14:paraId="0EDB2ACE" w14:textId="77777777" w:rsidR="00B45FE1" w:rsidRPr="00654EF1" w:rsidRDefault="00B45FE1" w:rsidP="00B45FE1">
      <w:pPr>
        <w:keepNext/>
        <w:widowControl w:val="0"/>
        <w:spacing w:line="240" w:lineRule="auto"/>
        <w:ind w:left="1134" w:hanging="1134"/>
        <w:outlineLvl w:val="6"/>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B45FE1" w:rsidRPr="00556B9B" w14:paraId="3E1C64D7" w14:textId="77777777" w:rsidTr="00F926B9">
        <w:tc>
          <w:tcPr>
            <w:tcW w:w="10632" w:type="dxa"/>
            <w:gridSpan w:val="16"/>
            <w:shd w:val="clear" w:color="auto" w:fill="auto"/>
          </w:tcPr>
          <w:p w14:paraId="0905C9D3" w14:textId="77777777" w:rsidR="00B45FE1" w:rsidRPr="00556B9B" w:rsidRDefault="00B45FE1" w:rsidP="00F926B9">
            <w:pPr>
              <w:keepNext/>
              <w:ind w:left="-27"/>
              <w:rPr>
                <w:rFonts w:ascii="Arial" w:hAnsi="Arial" w:cs="Arial"/>
                <w:sz w:val="16"/>
                <w:szCs w:val="16"/>
              </w:rPr>
            </w:pPr>
            <w:r w:rsidRPr="00556B9B">
              <w:rPr>
                <w:rFonts w:ascii="Arial" w:hAnsi="Arial" w:cs="Arial"/>
                <w:sz w:val="20"/>
              </w:rPr>
              <w:t>Veszélyeztetettek: Események</w:t>
            </w:r>
          </w:p>
        </w:tc>
      </w:tr>
      <w:tr w:rsidR="00B45FE1" w:rsidRPr="00556B9B" w14:paraId="7F5C79EC" w14:textId="77777777" w:rsidTr="00F926B9">
        <w:tc>
          <w:tcPr>
            <w:tcW w:w="450" w:type="dxa"/>
            <w:shd w:val="clear" w:color="auto" w:fill="auto"/>
          </w:tcPr>
          <w:p w14:paraId="625566FE" w14:textId="77777777" w:rsidR="00B45FE1" w:rsidRPr="00556B9B" w:rsidRDefault="00B45FE1" w:rsidP="00F926B9">
            <w:pPr>
              <w:keepNext/>
              <w:rPr>
                <w:sz w:val="20"/>
              </w:rPr>
            </w:pPr>
            <w:r w:rsidRPr="00556B9B">
              <w:rPr>
                <w:sz w:val="20"/>
              </w:rPr>
              <w:t>(1)</w:t>
            </w:r>
          </w:p>
        </w:tc>
        <w:tc>
          <w:tcPr>
            <w:tcW w:w="691" w:type="dxa"/>
            <w:shd w:val="clear" w:color="auto" w:fill="auto"/>
          </w:tcPr>
          <w:p w14:paraId="015D04C8" w14:textId="77777777" w:rsidR="00B45FE1" w:rsidRPr="00556B9B" w:rsidRDefault="00B45FE1" w:rsidP="00F926B9">
            <w:pPr>
              <w:keepNext/>
              <w:ind w:left="-45"/>
              <w:rPr>
                <w:sz w:val="20"/>
              </w:rPr>
            </w:pPr>
            <w:r w:rsidRPr="00556B9B">
              <w:rPr>
                <w:sz w:val="20"/>
              </w:rPr>
              <w:t>199:0</w:t>
            </w:r>
          </w:p>
        </w:tc>
        <w:tc>
          <w:tcPr>
            <w:tcW w:w="672" w:type="dxa"/>
            <w:shd w:val="clear" w:color="auto" w:fill="auto"/>
          </w:tcPr>
          <w:p w14:paraId="688D0C59" w14:textId="77777777" w:rsidR="00B45FE1" w:rsidRPr="00556B9B" w:rsidRDefault="00B45FE1" w:rsidP="00F926B9">
            <w:pPr>
              <w:keepNext/>
              <w:ind w:left="-45"/>
              <w:rPr>
                <w:sz w:val="20"/>
              </w:rPr>
            </w:pPr>
            <w:r w:rsidRPr="00556B9B">
              <w:rPr>
                <w:sz w:val="20"/>
              </w:rPr>
              <w:t>190:2</w:t>
            </w:r>
          </w:p>
        </w:tc>
        <w:tc>
          <w:tcPr>
            <w:tcW w:w="714" w:type="dxa"/>
            <w:shd w:val="clear" w:color="auto" w:fill="auto"/>
          </w:tcPr>
          <w:p w14:paraId="061FAC2C" w14:textId="77777777" w:rsidR="00B45FE1" w:rsidRPr="00556B9B" w:rsidRDefault="00B45FE1" w:rsidP="00F926B9">
            <w:pPr>
              <w:keepNext/>
              <w:ind w:left="-45"/>
              <w:rPr>
                <w:sz w:val="20"/>
              </w:rPr>
            </w:pPr>
            <w:r w:rsidRPr="00556B9B">
              <w:rPr>
                <w:sz w:val="20"/>
              </w:rPr>
              <w:t>188:2</w:t>
            </w:r>
          </w:p>
        </w:tc>
        <w:tc>
          <w:tcPr>
            <w:tcW w:w="722" w:type="dxa"/>
            <w:shd w:val="clear" w:color="auto" w:fill="auto"/>
          </w:tcPr>
          <w:p w14:paraId="081CB9E7" w14:textId="77777777" w:rsidR="00B45FE1" w:rsidRPr="00556B9B" w:rsidRDefault="00B45FE1" w:rsidP="00F926B9">
            <w:pPr>
              <w:keepNext/>
              <w:ind w:left="-45"/>
              <w:rPr>
                <w:sz w:val="20"/>
              </w:rPr>
            </w:pPr>
            <w:r w:rsidRPr="00556B9B">
              <w:rPr>
                <w:sz w:val="20"/>
              </w:rPr>
              <w:t>183:6</w:t>
            </w:r>
          </w:p>
        </w:tc>
        <w:tc>
          <w:tcPr>
            <w:tcW w:w="694" w:type="dxa"/>
            <w:shd w:val="clear" w:color="auto" w:fill="auto"/>
          </w:tcPr>
          <w:p w14:paraId="511482F2" w14:textId="77777777" w:rsidR="00B45FE1" w:rsidRPr="00556B9B" w:rsidRDefault="00B45FE1" w:rsidP="00F926B9">
            <w:pPr>
              <w:keepNext/>
              <w:ind w:left="-45"/>
              <w:rPr>
                <w:sz w:val="20"/>
              </w:rPr>
            </w:pPr>
            <w:r w:rsidRPr="00556B9B">
              <w:rPr>
                <w:sz w:val="20"/>
              </w:rPr>
              <w:t>176:8</w:t>
            </w:r>
          </w:p>
        </w:tc>
        <w:tc>
          <w:tcPr>
            <w:tcW w:w="772" w:type="dxa"/>
            <w:shd w:val="clear" w:color="auto" w:fill="auto"/>
          </w:tcPr>
          <w:p w14:paraId="1AF06851" w14:textId="77777777" w:rsidR="00B45FE1" w:rsidRPr="00556B9B" w:rsidRDefault="00B45FE1" w:rsidP="00F926B9">
            <w:pPr>
              <w:keepNext/>
              <w:ind w:left="-45"/>
              <w:rPr>
                <w:sz w:val="20"/>
              </w:rPr>
            </w:pPr>
            <w:r w:rsidRPr="00556B9B">
              <w:rPr>
                <w:sz w:val="20"/>
              </w:rPr>
              <w:t>156:10</w:t>
            </w:r>
          </w:p>
        </w:tc>
        <w:tc>
          <w:tcPr>
            <w:tcW w:w="782" w:type="dxa"/>
            <w:shd w:val="clear" w:color="auto" w:fill="auto"/>
          </w:tcPr>
          <w:p w14:paraId="13DE9C35" w14:textId="77777777" w:rsidR="00B45FE1" w:rsidRPr="00556B9B" w:rsidRDefault="00B45FE1" w:rsidP="00F926B9">
            <w:pPr>
              <w:keepNext/>
              <w:ind w:left="-45"/>
              <w:rPr>
                <w:sz w:val="20"/>
              </w:rPr>
            </w:pPr>
            <w:r w:rsidRPr="00556B9B">
              <w:rPr>
                <w:sz w:val="20"/>
              </w:rPr>
              <w:t>140:11</w:t>
            </w:r>
          </w:p>
        </w:tc>
        <w:tc>
          <w:tcPr>
            <w:tcW w:w="798" w:type="dxa"/>
            <w:shd w:val="clear" w:color="auto" w:fill="auto"/>
          </w:tcPr>
          <w:p w14:paraId="5E1B5A3E" w14:textId="77777777" w:rsidR="00B45FE1" w:rsidRPr="00556B9B" w:rsidRDefault="00B45FE1" w:rsidP="00F926B9">
            <w:pPr>
              <w:keepNext/>
              <w:ind w:left="-45"/>
              <w:rPr>
                <w:sz w:val="20"/>
              </w:rPr>
            </w:pPr>
            <w:r w:rsidRPr="00556B9B">
              <w:rPr>
                <w:sz w:val="20"/>
              </w:rPr>
              <w:t>105:14</w:t>
            </w:r>
          </w:p>
        </w:tc>
        <w:tc>
          <w:tcPr>
            <w:tcW w:w="654" w:type="dxa"/>
            <w:shd w:val="clear" w:color="auto" w:fill="auto"/>
          </w:tcPr>
          <w:p w14:paraId="5A61F72E" w14:textId="77777777" w:rsidR="00B45FE1" w:rsidRPr="00556B9B" w:rsidRDefault="00B45FE1" w:rsidP="00F926B9">
            <w:pPr>
              <w:keepNext/>
              <w:ind w:left="-45"/>
              <w:rPr>
                <w:sz w:val="20"/>
              </w:rPr>
            </w:pPr>
            <w:r w:rsidRPr="00556B9B">
              <w:rPr>
                <w:sz w:val="20"/>
              </w:rPr>
              <w:t>87:18</w:t>
            </w:r>
          </w:p>
        </w:tc>
        <w:tc>
          <w:tcPr>
            <w:tcW w:w="630" w:type="dxa"/>
            <w:shd w:val="clear" w:color="auto" w:fill="auto"/>
          </w:tcPr>
          <w:p w14:paraId="7B5486CF" w14:textId="77777777" w:rsidR="00B45FE1" w:rsidRPr="00556B9B" w:rsidRDefault="00B45FE1" w:rsidP="00F926B9">
            <w:pPr>
              <w:keepNext/>
              <w:ind w:left="-45"/>
              <w:rPr>
                <w:sz w:val="20"/>
              </w:rPr>
            </w:pPr>
            <w:r w:rsidRPr="00556B9B">
              <w:rPr>
                <w:sz w:val="20"/>
              </w:rPr>
              <w:t>64:22</w:t>
            </w:r>
          </w:p>
        </w:tc>
        <w:tc>
          <w:tcPr>
            <w:tcW w:w="644" w:type="dxa"/>
            <w:shd w:val="clear" w:color="auto" w:fill="auto"/>
          </w:tcPr>
          <w:p w14:paraId="74C4B100" w14:textId="77777777" w:rsidR="00B45FE1" w:rsidRPr="00556B9B" w:rsidRDefault="00B45FE1" w:rsidP="00F926B9">
            <w:pPr>
              <w:keepNext/>
              <w:ind w:left="-45"/>
              <w:rPr>
                <w:sz w:val="20"/>
              </w:rPr>
            </w:pPr>
            <w:r w:rsidRPr="00556B9B">
              <w:rPr>
                <w:sz w:val="20"/>
              </w:rPr>
              <w:t>46:23</w:t>
            </w:r>
          </w:p>
        </w:tc>
        <w:tc>
          <w:tcPr>
            <w:tcW w:w="672" w:type="dxa"/>
            <w:shd w:val="clear" w:color="auto" w:fill="auto"/>
          </w:tcPr>
          <w:p w14:paraId="38C74C4E" w14:textId="77777777" w:rsidR="00B45FE1" w:rsidRPr="00556B9B" w:rsidRDefault="00B45FE1" w:rsidP="00F926B9">
            <w:pPr>
              <w:keepNext/>
              <w:ind w:left="-45"/>
              <w:rPr>
                <w:sz w:val="20"/>
              </w:rPr>
            </w:pPr>
            <w:r w:rsidRPr="00556B9B">
              <w:rPr>
                <w:sz w:val="20"/>
              </w:rPr>
              <w:t>27:25</w:t>
            </w:r>
          </w:p>
        </w:tc>
        <w:tc>
          <w:tcPr>
            <w:tcW w:w="686" w:type="dxa"/>
            <w:shd w:val="clear" w:color="auto" w:fill="auto"/>
          </w:tcPr>
          <w:p w14:paraId="50C71730" w14:textId="77777777" w:rsidR="00B45FE1" w:rsidRPr="00556B9B" w:rsidRDefault="00B45FE1" w:rsidP="00F926B9">
            <w:pPr>
              <w:keepNext/>
              <w:ind w:left="-45"/>
              <w:rPr>
                <w:sz w:val="20"/>
              </w:rPr>
            </w:pPr>
            <w:r w:rsidRPr="00556B9B">
              <w:rPr>
                <w:sz w:val="20"/>
              </w:rPr>
              <w:t>20:25</w:t>
            </w:r>
          </w:p>
        </w:tc>
        <w:tc>
          <w:tcPr>
            <w:tcW w:w="560" w:type="dxa"/>
            <w:shd w:val="clear" w:color="auto" w:fill="auto"/>
          </w:tcPr>
          <w:p w14:paraId="00D177E4" w14:textId="77777777" w:rsidR="00B45FE1" w:rsidRPr="00556B9B" w:rsidRDefault="00B45FE1" w:rsidP="00F926B9">
            <w:pPr>
              <w:keepNext/>
              <w:ind w:left="-45"/>
              <w:rPr>
                <w:sz w:val="20"/>
              </w:rPr>
            </w:pPr>
            <w:r w:rsidRPr="00556B9B">
              <w:rPr>
                <w:sz w:val="20"/>
              </w:rPr>
              <w:t>2:25</w:t>
            </w:r>
          </w:p>
        </w:tc>
        <w:tc>
          <w:tcPr>
            <w:tcW w:w="491" w:type="dxa"/>
            <w:shd w:val="clear" w:color="auto" w:fill="auto"/>
          </w:tcPr>
          <w:p w14:paraId="7EF10512" w14:textId="77777777" w:rsidR="00B45FE1" w:rsidRPr="00556B9B" w:rsidRDefault="00B45FE1" w:rsidP="00F926B9">
            <w:pPr>
              <w:keepNext/>
              <w:ind w:left="-45"/>
              <w:rPr>
                <w:sz w:val="20"/>
              </w:rPr>
            </w:pPr>
            <w:r w:rsidRPr="00556B9B">
              <w:rPr>
                <w:sz w:val="20"/>
              </w:rPr>
              <w:t>0:25</w:t>
            </w:r>
          </w:p>
        </w:tc>
      </w:tr>
      <w:tr w:rsidR="00B45FE1" w:rsidRPr="00556B9B" w14:paraId="663ECE88" w14:textId="77777777" w:rsidTr="00F926B9">
        <w:tc>
          <w:tcPr>
            <w:tcW w:w="450" w:type="dxa"/>
            <w:shd w:val="clear" w:color="auto" w:fill="auto"/>
          </w:tcPr>
          <w:p w14:paraId="19BE5E2E" w14:textId="77777777" w:rsidR="00B45FE1" w:rsidRPr="00556B9B" w:rsidRDefault="00B45FE1" w:rsidP="00F926B9">
            <w:pPr>
              <w:keepNext/>
              <w:rPr>
                <w:sz w:val="20"/>
              </w:rPr>
            </w:pPr>
            <w:r w:rsidRPr="00556B9B">
              <w:rPr>
                <w:sz w:val="20"/>
              </w:rPr>
              <w:t>(2)</w:t>
            </w:r>
          </w:p>
        </w:tc>
        <w:tc>
          <w:tcPr>
            <w:tcW w:w="691" w:type="dxa"/>
            <w:shd w:val="clear" w:color="auto" w:fill="auto"/>
          </w:tcPr>
          <w:p w14:paraId="372FBF89" w14:textId="77777777" w:rsidR="00B45FE1" w:rsidRPr="00556B9B" w:rsidRDefault="00B45FE1" w:rsidP="00F926B9">
            <w:pPr>
              <w:keepNext/>
              <w:ind w:left="-45"/>
              <w:rPr>
                <w:sz w:val="20"/>
              </w:rPr>
            </w:pPr>
            <w:r w:rsidRPr="00556B9B">
              <w:rPr>
                <w:sz w:val="20"/>
              </w:rPr>
              <w:t>198:0</w:t>
            </w:r>
          </w:p>
        </w:tc>
        <w:tc>
          <w:tcPr>
            <w:tcW w:w="672" w:type="dxa"/>
            <w:shd w:val="clear" w:color="auto" w:fill="auto"/>
          </w:tcPr>
          <w:p w14:paraId="3DD3C6C8" w14:textId="77777777" w:rsidR="00B45FE1" w:rsidRPr="00556B9B" w:rsidRDefault="00B45FE1" w:rsidP="00F926B9">
            <w:pPr>
              <w:keepNext/>
              <w:ind w:left="-45"/>
              <w:rPr>
                <w:sz w:val="20"/>
              </w:rPr>
            </w:pPr>
            <w:r w:rsidRPr="00556B9B">
              <w:rPr>
                <w:sz w:val="20"/>
              </w:rPr>
              <w:t>196:0</w:t>
            </w:r>
          </w:p>
        </w:tc>
        <w:tc>
          <w:tcPr>
            <w:tcW w:w="714" w:type="dxa"/>
            <w:shd w:val="clear" w:color="auto" w:fill="auto"/>
          </w:tcPr>
          <w:p w14:paraId="007DC299" w14:textId="77777777" w:rsidR="00B45FE1" w:rsidRPr="00556B9B" w:rsidRDefault="00B45FE1" w:rsidP="00F926B9">
            <w:pPr>
              <w:keepNext/>
              <w:ind w:left="-45"/>
              <w:rPr>
                <w:sz w:val="20"/>
              </w:rPr>
            </w:pPr>
            <w:r w:rsidRPr="00556B9B">
              <w:rPr>
                <w:sz w:val="20"/>
              </w:rPr>
              <w:t>192:0</w:t>
            </w:r>
          </w:p>
        </w:tc>
        <w:tc>
          <w:tcPr>
            <w:tcW w:w="722" w:type="dxa"/>
            <w:shd w:val="clear" w:color="auto" w:fill="auto"/>
          </w:tcPr>
          <w:p w14:paraId="739F162F" w14:textId="77777777" w:rsidR="00B45FE1" w:rsidRPr="00556B9B" w:rsidRDefault="00B45FE1" w:rsidP="00F926B9">
            <w:pPr>
              <w:keepNext/>
              <w:ind w:left="-45"/>
              <w:rPr>
                <w:sz w:val="20"/>
              </w:rPr>
            </w:pPr>
            <w:r w:rsidRPr="00556B9B">
              <w:rPr>
                <w:sz w:val="20"/>
              </w:rPr>
              <w:t>187:4</w:t>
            </w:r>
          </w:p>
        </w:tc>
        <w:tc>
          <w:tcPr>
            <w:tcW w:w="694" w:type="dxa"/>
            <w:shd w:val="clear" w:color="auto" w:fill="auto"/>
          </w:tcPr>
          <w:p w14:paraId="39230887" w14:textId="77777777" w:rsidR="00B45FE1" w:rsidRPr="00556B9B" w:rsidRDefault="00B45FE1" w:rsidP="00F926B9">
            <w:pPr>
              <w:keepNext/>
              <w:ind w:left="-45"/>
              <w:rPr>
                <w:sz w:val="20"/>
              </w:rPr>
            </w:pPr>
            <w:r w:rsidRPr="00556B9B">
              <w:rPr>
                <w:sz w:val="20"/>
              </w:rPr>
              <w:t>184:5</w:t>
            </w:r>
          </w:p>
        </w:tc>
        <w:tc>
          <w:tcPr>
            <w:tcW w:w="772" w:type="dxa"/>
            <w:shd w:val="clear" w:color="auto" w:fill="auto"/>
          </w:tcPr>
          <w:p w14:paraId="100B0760" w14:textId="77777777" w:rsidR="00B45FE1" w:rsidRPr="00556B9B" w:rsidRDefault="00B45FE1" w:rsidP="00F926B9">
            <w:pPr>
              <w:keepNext/>
              <w:ind w:left="-45"/>
              <w:rPr>
                <w:sz w:val="20"/>
              </w:rPr>
            </w:pPr>
            <w:r w:rsidRPr="00556B9B">
              <w:rPr>
                <w:sz w:val="20"/>
              </w:rPr>
              <w:t>164:7</w:t>
            </w:r>
          </w:p>
        </w:tc>
        <w:tc>
          <w:tcPr>
            <w:tcW w:w="782" w:type="dxa"/>
            <w:shd w:val="clear" w:color="auto" w:fill="auto"/>
          </w:tcPr>
          <w:p w14:paraId="1226A9AC" w14:textId="77777777" w:rsidR="00B45FE1" w:rsidRPr="00556B9B" w:rsidRDefault="00B45FE1" w:rsidP="00F926B9">
            <w:pPr>
              <w:keepNext/>
              <w:ind w:left="-45"/>
              <w:rPr>
                <w:sz w:val="20"/>
              </w:rPr>
            </w:pPr>
            <w:r w:rsidRPr="00556B9B">
              <w:rPr>
                <w:sz w:val="20"/>
              </w:rPr>
              <w:t>152:7</w:t>
            </w:r>
          </w:p>
        </w:tc>
        <w:tc>
          <w:tcPr>
            <w:tcW w:w="798" w:type="dxa"/>
            <w:shd w:val="clear" w:color="auto" w:fill="auto"/>
          </w:tcPr>
          <w:p w14:paraId="7047DD02" w14:textId="77777777" w:rsidR="00B45FE1" w:rsidRPr="00556B9B" w:rsidRDefault="00B45FE1" w:rsidP="00F926B9">
            <w:pPr>
              <w:keepNext/>
              <w:ind w:left="-45"/>
              <w:rPr>
                <w:sz w:val="20"/>
              </w:rPr>
            </w:pPr>
            <w:r w:rsidRPr="00556B9B">
              <w:rPr>
                <w:sz w:val="20"/>
              </w:rPr>
              <w:t>119:8</w:t>
            </w:r>
          </w:p>
        </w:tc>
        <w:tc>
          <w:tcPr>
            <w:tcW w:w="654" w:type="dxa"/>
            <w:shd w:val="clear" w:color="auto" w:fill="auto"/>
          </w:tcPr>
          <w:p w14:paraId="0FF69868" w14:textId="77777777" w:rsidR="00B45FE1" w:rsidRPr="00556B9B" w:rsidRDefault="00B45FE1" w:rsidP="00F926B9">
            <w:pPr>
              <w:keepNext/>
              <w:ind w:left="-45"/>
              <w:rPr>
                <w:sz w:val="20"/>
              </w:rPr>
            </w:pPr>
            <w:r w:rsidRPr="00556B9B">
              <w:rPr>
                <w:sz w:val="20"/>
              </w:rPr>
              <w:t>100:8</w:t>
            </w:r>
          </w:p>
        </w:tc>
        <w:tc>
          <w:tcPr>
            <w:tcW w:w="630" w:type="dxa"/>
            <w:shd w:val="clear" w:color="auto" w:fill="auto"/>
          </w:tcPr>
          <w:p w14:paraId="024178DE" w14:textId="77777777" w:rsidR="00B45FE1" w:rsidRPr="00556B9B" w:rsidRDefault="00B45FE1" w:rsidP="00F926B9">
            <w:pPr>
              <w:keepNext/>
              <w:ind w:left="-45"/>
              <w:rPr>
                <w:sz w:val="20"/>
              </w:rPr>
            </w:pPr>
            <w:r w:rsidRPr="00556B9B">
              <w:rPr>
                <w:sz w:val="20"/>
              </w:rPr>
              <w:t>76:10</w:t>
            </w:r>
          </w:p>
        </w:tc>
        <w:tc>
          <w:tcPr>
            <w:tcW w:w="644" w:type="dxa"/>
            <w:shd w:val="clear" w:color="auto" w:fill="auto"/>
          </w:tcPr>
          <w:p w14:paraId="24C6A123" w14:textId="77777777" w:rsidR="00B45FE1" w:rsidRPr="00556B9B" w:rsidRDefault="00B45FE1" w:rsidP="00F926B9">
            <w:pPr>
              <w:keepNext/>
              <w:ind w:left="-45"/>
              <w:rPr>
                <w:sz w:val="20"/>
              </w:rPr>
            </w:pPr>
            <w:r w:rsidRPr="00556B9B">
              <w:rPr>
                <w:sz w:val="20"/>
              </w:rPr>
              <w:t>56:11</w:t>
            </w:r>
          </w:p>
        </w:tc>
        <w:tc>
          <w:tcPr>
            <w:tcW w:w="672" w:type="dxa"/>
            <w:shd w:val="clear" w:color="auto" w:fill="auto"/>
          </w:tcPr>
          <w:p w14:paraId="73206FF0" w14:textId="77777777" w:rsidR="00B45FE1" w:rsidRPr="00556B9B" w:rsidRDefault="00B45FE1" w:rsidP="00F926B9">
            <w:pPr>
              <w:keepNext/>
              <w:ind w:left="-45"/>
              <w:rPr>
                <w:sz w:val="20"/>
              </w:rPr>
            </w:pPr>
            <w:r w:rsidRPr="00556B9B">
              <w:rPr>
                <w:sz w:val="20"/>
              </w:rPr>
              <w:t>31:11</w:t>
            </w:r>
          </w:p>
        </w:tc>
        <w:tc>
          <w:tcPr>
            <w:tcW w:w="686" w:type="dxa"/>
            <w:shd w:val="clear" w:color="auto" w:fill="auto"/>
          </w:tcPr>
          <w:p w14:paraId="3E73522F" w14:textId="77777777" w:rsidR="00B45FE1" w:rsidRPr="00556B9B" w:rsidRDefault="00B45FE1" w:rsidP="00F926B9">
            <w:pPr>
              <w:keepNext/>
              <w:ind w:left="-45"/>
              <w:rPr>
                <w:sz w:val="20"/>
              </w:rPr>
            </w:pPr>
            <w:r w:rsidRPr="00556B9B">
              <w:rPr>
                <w:sz w:val="20"/>
              </w:rPr>
              <w:t>13:12</w:t>
            </w:r>
          </w:p>
        </w:tc>
        <w:tc>
          <w:tcPr>
            <w:tcW w:w="560" w:type="dxa"/>
            <w:shd w:val="clear" w:color="auto" w:fill="auto"/>
          </w:tcPr>
          <w:p w14:paraId="6924A29F" w14:textId="77777777" w:rsidR="00B45FE1" w:rsidRPr="00556B9B" w:rsidRDefault="00B45FE1" w:rsidP="00F926B9">
            <w:pPr>
              <w:keepNext/>
              <w:ind w:left="-45"/>
              <w:rPr>
                <w:sz w:val="20"/>
              </w:rPr>
            </w:pPr>
            <w:r w:rsidRPr="00556B9B">
              <w:rPr>
                <w:sz w:val="20"/>
              </w:rPr>
              <w:t>0:12</w:t>
            </w:r>
          </w:p>
        </w:tc>
        <w:tc>
          <w:tcPr>
            <w:tcW w:w="491" w:type="dxa"/>
            <w:shd w:val="clear" w:color="auto" w:fill="auto"/>
          </w:tcPr>
          <w:p w14:paraId="3D7FADE4" w14:textId="77777777" w:rsidR="00B45FE1" w:rsidRPr="00556B9B" w:rsidRDefault="00B45FE1" w:rsidP="00F926B9">
            <w:pPr>
              <w:keepNext/>
              <w:ind w:left="-45"/>
              <w:rPr>
                <w:sz w:val="20"/>
              </w:rPr>
            </w:pPr>
          </w:p>
        </w:tc>
      </w:tr>
    </w:tbl>
    <w:p w14:paraId="128614EB" w14:textId="77777777" w:rsidR="00B45FE1" w:rsidRPr="00654EF1" w:rsidRDefault="00B45FE1" w:rsidP="00B45FE1">
      <w:pPr>
        <w:pStyle w:val="Text"/>
        <w:widowControl w:val="0"/>
        <w:spacing w:before="0"/>
        <w:jc w:val="left"/>
        <w:rPr>
          <w:rFonts w:eastAsia="MS Mincho"/>
          <w:color w:val="000000"/>
          <w:sz w:val="22"/>
          <w:szCs w:val="22"/>
          <w:lang w:eastAsia="ja-JP"/>
        </w:rPr>
      </w:pPr>
    </w:p>
    <w:p w14:paraId="3CDD4939" w14:textId="77777777" w:rsidR="009537CF" w:rsidRPr="006D0F5F" w:rsidRDefault="009537CF" w:rsidP="00B45FE1">
      <w:pPr>
        <w:pStyle w:val="Text"/>
        <w:spacing w:before="0"/>
        <w:jc w:val="left"/>
        <w:rPr>
          <w:rStyle w:val="CommentReference"/>
          <w:sz w:val="22"/>
          <w:szCs w:val="22"/>
          <w:lang w:val="hu-HU"/>
        </w:rPr>
      </w:pPr>
      <w:r w:rsidRPr="00556B9B">
        <w:rPr>
          <w:rStyle w:val="WW8Num3z0"/>
          <w:sz w:val="22"/>
          <w:lang w:val="hu-HU"/>
        </w:rPr>
        <w:t>A c</w:t>
      </w:r>
      <w:r w:rsidRPr="00556B9B">
        <w:rPr>
          <w:rStyle w:val="WW8Num3z0"/>
          <w:sz w:val="22"/>
          <w:lang w:val="hu-HU"/>
        </w:rPr>
        <w:noBreakHyphen/>
        <w:t>Kit pozitív GIST</w:t>
      </w:r>
      <w:r w:rsidRPr="00556B9B">
        <w:rPr>
          <w:rStyle w:val="WW8Num3z0"/>
          <w:sz w:val="22"/>
          <w:lang w:val="hu-HU"/>
        </w:rPr>
        <w:noBreakHyphen/>
        <w:t xml:space="preserve">ben szenvedő gyermekgyógyászati betegekkel nincsenek kontrollos vizsgálatok. Hét publikációban </w:t>
      </w:r>
      <w:r w:rsidR="000A4928" w:rsidRPr="00556B9B">
        <w:rPr>
          <w:rStyle w:val="WW8Num3z0"/>
          <w:sz w:val="22"/>
          <w:lang w:val="hu-HU"/>
        </w:rPr>
        <w:t>tizenhét (</w:t>
      </w:r>
      <w:r w:rsidRPr="00556B9B">
        <w:rPr>
          <w:rStyle w:val="WW8Num3z0"/>
          <w:sz w:val="22"/>
          <w:lang w:val="hu-HU"/>
        </w:rPr>
        <w:t>17</w:t>
      </w:r>
      <w:r w:rsidR="000A4928" w:rsidRPr="00556B9B">
        <w:rPr>
          <w:rStyle w:val="WW8Num3z0"/>
          <w:sz w:val="22"/>
          <w:lang w:val="hu-HU"/>
        </w:rPr>
        <w:t>)</w:t>
      </w:r>
      <w:r w:rsidRPr="00556B9B">
        <w:rPr>
          <w:rStyle w:val="WW8Num3z0"/>
          <w:sz w:val="22"/>
          <w:lang w:val="hu-HU"/>
        </w:rPr>
        <w:t>, GIST</w:t>
      </w:r>
      <w:r w:rsidRPr="00556B9B">
        <w:rPr>
          <w:rStyle w:val="WW8Num3z0"/>
          <w:sz w:val="22"/>
          <w:lang w:val="hu-HU"/>
        </w:rPr>
        <w:noBreakHyphen/>
        <w:t>ben (Kit</w:t>
      </w:r>
      <w:r w:rsidRPr="00556B9B">
        <w:rPr>
          <w:rStyle w:val="WW8Num3z0"/>
          <w:sz w:val="22"/>
          <w:lang w:val="hu-HU"/>
        </w:rPr>
        <w:noBreakHyphen/>
        <w:t>tel és PDGFR mutációkkal vagy azok nélkül) szenvedő betegről számoltak be. Eze</w:t>
      </w:r>
      <w:r w:rsidR="00251472" w:rsidRPr="00556B9B">
        <w:rPr>
          <w:rStyle w:val="WW8Num3z0"/>
          <w:sz w:val="22"/>
          <w:lang w:val="hu-HU"/>
        </w:rPr>
        <w:t>n</w:t>
      </w:r>
      <w:r w:rsidRPr="00556B9B">
        <w:rPr>
          <w:rStyle w:val="WW8Num3z0"/>
          <w:sz w:val="22"/>
          <w:lang w:val="hu-HU"/>
        </w:rPr>
        <w:t xml:space="preserve"> betegek életkora 8 és 18 év közé esett, és az imatinibet mind adjuváns kezelésként, mind metasztatizáló betegség esetén napi 300</w:t>
      </w:r>
      <w:r w:rsidRPr="00556B9B">
        <w:rPr>
          <w:rStyle w:val="WW8Num3z0"/>
          <w:sz w:val="22"/>
          <w:lang w:val="hu-HU"/>
        </w:rPr>
        <w:noBreakHyphen/>
        <w:t xml:space="preserve">800 mg közötti dózisban </w:t>
      </w:r>
      <w:r w:rsidR="00251472" w:rsidRPr="00556B9B">
        <w:rPr>
          <w:rStyle w:val="WW8Num3z0"/>
          <w:sz w:val="22"/>
          <w:lang w:val="hu-HU"/>
        </w:rPr>
        <w:t>kapták</w:t>
      </w:r>
      <w:r w:rsidRPr="00556B9B">
        <w:rPr>
          <w:rStyle w:val="WW8Num3z0"/>
          <w:sz w:val="22"/>
          <w:lang w:val="hu-HU"/>
        </w:rPr>
        <w:t xml:space="preserve">. A GIST miatt kezelt </w:t>
      </w:r>
      <w:r w:rsidRPr="006D0F5F">
        <w:rPr>
          <w:rStyle w:val="WW8Num3z0"/>
          <w:sz w:val="22"/>
          <w:lang w:val="hu-HU"/>
        </w:rPr>
        <w:t>gyermekgyógyászati betegek többségénél nem voltak a c</w:t>
      </w:r>
      <w:r w:rsidRPr="006D0F5F">
        <w:rPr>
          <w:rStyle w:val="WW8Num3z0"/>
          <w:sz w:val="22"/>
          <w:lang w:val="hu-HU"/>
        </w:rPr>
        <w:noBreakHyphen/>
        <w:t>kit vagy PDGFR mutációkat megerősítő adatok, am</w:t>
      </w:r>
      <w:r w:rsidR="00471184" w:rsidRPr="006D0F5F">
        <w:rPr>
          <w:rStyle w:val="WW8Num3z0"/>
          <w:sz w:val="22"/>
          <w:lang w:val="hu-HU"/>
        </w:rPr>
        <w:t>i</w:t>
      </w:r>
      <w:r w:rsidRPr="006D0F5F">
        <w:rPr>
          <w:rStyle w:val="WW8Num3z0"/>
          <w:sz w:val="22"/>
          <w:lang w:val="hu-HU"/>
        </w:rPr>
        <w:t xml:space="preserve"> kevert klinikai kimenetelhez vezethet</w:t>
      </w:r>
      <w:r w:rsidR="00471184" w:rsidRPr="006D0F5F">
        <w:rPr>
          <w:rStyle w:val="WW8Num3z0"/>
          <w:sz w:val="22"/>
          <w:lang w:val="hu-HU"/>
        </w:rPr>
        <w:t>ett</w:t>
      </w:r>
      <w:r w:rsidRPr="006D0F5F">
        <w:rPr>
          <w:rStyle w:val="WW8Num3z0"/>
          <w:sz w:val="22"/>
          <w:lang w:val="hu-HU"/>
        </w:rPr>
        <w:t>.</w:t>
      </w:r>
    </w:p>
    <w:p w14:paraId="104EDEFC" w14:textId="77777777" w:rsidR="009537CF" w:rsidRPr="006D0F5F" w:rsidRDefault="009537CF" w:rsidP="00D37E84">
      <w:pPr>
        <w:pStyle w:val="Text"/>
        <w:spacing w:before="0"/>
        <w:jc w:val="left"/>
        <w:rPr>
          <w:rFonts w:eastAsia="MS Mincho"/>
          <w:color w:val="000000"/>
          <w:sz w:val="22"/>
          <w:szCs w:val="22"/>
          <w:lang w:val="hu-HU" w:eastAsia="ja-JP"/>
        </w:rPr>
      </w:pPr>
    </w:p>
    <w:p w14:paraId="3CCD23C4" w14:textId="77777777" w:rsidR="00910FC8" w:rsidRPr="006D0F5F" w:rsidRDefault="00910FC8" w:rsidP="00EC3D42">
      <w:pPr>
        <w:keepNext/>
        <w:spacing w:line="240" w:lineRule="auto"/>
        <w:rPr>
          <w:color w:val="000000"/>
          <w:lang w:val="hu-HU"/>
        </w:rPr>
      </w:pPr>
      <w:r w:rsidRPr="006D0F5F">
        <w:rPr>
          <w:color w:val="000000"/>
          <w:u w:val="single"/>
          <w:lang w:val="hu-HU"/>
        </w:rPr>
        <w:t>Klinikai vizsgálatok DFSP</w:t>
      </w:r>
      <w:r w:rsidRPr="006D0F5F">
        <w:rPr>
          <w:color w:val="000000"/>
          <w:u w:val="single"/>
          <w:lang w:val="hu-HU"/>
        </w:rPr>
        <w:noBreakHyphen/>
        <w:t>ben</w:t>
      </w:r>
    </w:p>
    <w:p w14:paraId="24E1F537" w14:textId="5F209B47" w:rsidR="00910FC8" w:rsidRPr="00556B9B" w:rsidRDefault="00910FC8" w:rsidP="004175BC">
      <w:pPr>
        <w:tabs>
          <w:tab w:val="left" w:pos="3402"/>
        </w:tabs>
        <w:spacing w:line="240" w:lineRule="auto"/>
        <w:rPr>
          <w:color w:val="000000"/>
          <w:lang w:val="hu-HU"/>
        </w:rPr>
      </w:pPr>
      <w:r w:rsidRPr="006D0F5F">
        <w:rPr>
          <w:color w:val="000000"/>
          <w:lang w:val="hu-HU"/>
        </w:rPr>
        <w:t xml:space="preserve">Egy nyílt, II. </w:t>
      </w:r>
      <w:r w:rsidR="00170F8C" w:rsidRPr="006D0F5F">
        <w:rPr>
          <w:color w:val="000000"/>
          <w:lang w:val="hu-HU"/>
        </w:rPr>
        <w:t xml:space="preserve">fázisú </w:t>
      </w:r>
      <w:r w:rsidRPr="006D0F5F">
        <w:rPr>
          <w:color w:val="000000"/>
          <w:lang w:val="hu-HU"/>
        </w:rPr>
        <w:t>multicentrikus klinikai vizsgálatban (B2225 vizsgálat) többek között 12 DFSP</w:t>
      </w:r>
      <w:r w:rsidRPr="006D0F5F">
        <w:rPr>
          <w:color w:val="000000"/>
          <w:lang w:val="hu-HU"/>
        </w:rPr>
        <w:noBreakHyphen/>
        <w:t>ben szenvedő beteget kezeltek napi 800 mg Glivec</w:t>
      </w:r>
      <w:r w:rsidRPr="00556B9B">
        <w:rPr>
          <w:color w:val="000000"/>
          <w:lang w:val="hu-HU"/>
        </w:rPr>
        <w:noBreakHyphen/>
        <w:t>kel. A DFSP</w:t>
      </w:r>
      <w:r w:rsidRPr="00556B9B">
        <w:rPr>
          <w:color w:val="000000"/>
          <w:lang w:val="hu-HU"/>
        </w:rPr>
        <w:noBreakHyphen/>
        <w:t>s betegek életkora 23 és 75 év között volt; a DFSP metasztatikus, az induláskor reszekciós műtétet követően lokálisan recidiváló volt, és a vizsgálatba történő bevonáskor további reszekciós műtétre nem tekintették őket alkalmasnak. A 12 bevont betegből 9 adott választ: 1 beteg teljes választ, 8 beteg részleges választ. A részleges választ adók közül 3 beteg a későbbiekben műtéti beavatkozást követően vált betegségmentessé. A B2225 vizsgálatban a kezelés időtartamának mediánértéke 6,2 hónap volt (a maximum időtartam 24,3 hónap volt). További 6, Glivec</w:t>
      </w:r>
      <w:r w:rsidRPr="00556B9B">
        <w:rPr>
          <w:color w:val="000000"/>
          <w:lang w:val="hu-HU"/>
        </w:rPr>
        <w:noBreakHyphen/>
        <w:t>kel kezelt DFSP</w:t>
      </w:r>
      <w:r w:rsidRPr="00556B9B">
        <w:rPr>
          <w:color w:val="000000"/>
          <w:lang w:val="hu-HU"/>
        </w:rPr>
        <w:noBreakHyphen/>
        <w:t>s betegről (életkor: 18 hónap</w:t>
      </w:r>
      <w:r w:rsidRPr="00556B9B">
        <w:rPr>
          <w:color w:val="000000"/>
          <w:lang w:val="hu-HU"/>
        </w:rPr>
        <w:noBreakHyphen/>
        <w:t>49 év) számoltak be 5 publikált esettanulmányban. A szakirodalomban szereplő felnőtt betegek Glivec adagja napi 400 mg (4 eset) vagy 800 mg (1 eset) volt. Az 5 reagáló betegből 3 teljes választ, 2 részleges választ adott. A szakirodalomban közölt esetekben a kezelés időtartamának mediánértéke 4 hét és több mint 20 hónap között volt. A t</w:t>
      </w:r>
      <w:r w:rsidRPr="00556B9B">
        <w:rPr>
          <w:color w:val="000000"/>
          <w:szCs w:val="22"/>
          <w:lang w:val="hu-HU" w:eastAsia="ja-JP"/>
        </w:rPr>
        <w:t>(17:22)[(q22:q13)] transzlokáció vagy ennek génproduktuma kimutatható volt a Glivec</w:t>
      </w:r>
      <w:r w:rsidRPr="00556B9B">
        <w:rPr>
          <w:color w:val="000000"/>
          <w:szCs w:val="22"/>
          <w:lang w:val="hu-HU" w:eastAsia="ja-JP"/>
        </w:rPr>
        <w:noBreakHyphen/>
        <w:t>kezelésre reagáló összes betegben.</w:t>
      </w:r>
    </w:p>
    <w:p w14:paraId="0B88FEBF" w14:textId="77777777" w:rsidR="00910FC8" w:rsidRPr="00556B9B" w:rsidRDefault="00910FC8">
      <w:pPr>
        <w:spacing w:line="240" w:lineRule="auto"/>
        <w:rPr>
          <w:color w:val="000000"/>
          <w:lang w:val="hu-HU"/>
        </w:rPr>
      </w:pPr>
    </w:p>
    <w:p w14:paraId="21A1AEF8" w14:textId="77777777" w:rsidR="00471184" w:rsidRPr="00556B9B" w:rsidRDefault="00471184" w:rsidP="00471184">
      <w:pPr>
        <w:pStyle w:val="Text"/>
        <w:spacing w:before="0"/>
        <w:jc w:val="left"/>
        <w:rPr>
          <w:color w:val="000000"/>
          <w:sz w:val="22"/>
          <w:szCs w:val="22"/>
          <w:lang w:val="hu-HU"/>
        </w:rPr>
      </w:pPr>
      <w:r w:rsidRPr="00556B9B">
        <w:rPr>
          <w:rStyle w:val="WW8Num3z0"/>
          <w:color w:val="000000"/>
          <w:sz w:val="22"/>
          <w:lang w:val="hu-HU"/>
        </w:rPr>
        <w:t>DFSP</w:t>
      </w:r>
      <w:r w:rsidRPr="00556B9B">
        <w:rPr>
          <w:rStyle w:val="WW8Num3z0"/>
          <w:color w:val="000000"/>
          <w:sz w:val="22"/>
          <w:lang w:val="hu-HU"/>
        </w:rPr>
        <w:noBreakHyphen/>
        <w:t xml:space="preserve">ben szenvedő gyermekgyógyászati betegekkel nincsenek kontrollos vizsgálatok. Három publikációban </w:t>
      </w:r>
      <w:r w:rsidR="000A4928" w:rsidRPr="00556B9B">
        <w:rPr>
          <w:rStyle w:val="WW8Num3z0"/>
          <w:color w:val="000000"/>
          <w:sz w:val="22"/>
          <w:lang w:val="hu-HU"/>
        </w:rPr>
        <w:t>öt (</w:t>
      </w:r>
      <w:r w:rsidRPr="00556B9B">
        <w:rPr>
          <w:rStyle w:val="WW8Num3z0"/>
          <w:color w:val="000000"/>
          <w:sz w:val="22"/>
          <w:lang w:val="hu-HU"/>
        </w:rPr>
        <w:t>5</w:t>
      </w:r>
      <w:r w:rsidR="000A4928" w:rsidRPr="00556B9B">
        <w:rPr>
          <w:rStyle w:val="WW8Num3z0"/>
          <w:color w:val="000000"/>
          <w:sz w:val="22"/>
          <w:lang w:val="hu-HU"/>
        </w:rPr>
        <w:t>)</w:t>
      </w:r>
      <w:r w:rsidRPr="00556B9B">
        <w:rPr>
          <w:rStyle w:val="WW8Num3z0"/>
          <w:color w:val="000000"/>
          <w:sz w:val="22"/>
          <w:lang w:val="hu-HU"/>
        </w:rPr>
        <w:t>, DFSP</w:t>
      </w:r>
      <w:r w:rsidRPr="00556B9B">
        <w:rPr>
          <w:rStyle w:val="WW8Num3z0"/>
          <w:color w:val="000000"/>
          <w:sz w:val="22"/>
          <w:lang w:val="hu-HU"/>
        </w:rPr>
        <w:noBreakHyphen/>
        <w:t>ben és PDGFR</w:t>
      </w:r>
      <w:r w:rsidRPr="00556B9B">
        <w:rPr>
          <w:rStyle w:val="WW8Num3z0"/>
          <w:color w:val="000000"/>
          <w:sz w:val="22"/>
          <w:lang w:val="hu-HU"/>
        </w:rPr>
        <w:noBreakHyphen/>
        <w:t>ben szenvedő betegnél génátrendeződésről számoltak be. Eze</w:t>
      </w:r>
      <w:r w:rsidR="00251472" w:rsidRPr="00556B9B">
        <w:rPr>
          <w:rStyle w:val="WW8Num3z0"/>
          <w:color w:val="000000"/>
          <w:sz w:val="22"/>
          <w:lang w:val="hu-HU"/>
        </w:rPr>
        <w:t>n</w:t>
      </w:r>
      <w:r w:rsidRPr="00556B9B">
        <w:rPr>
          <w:rStyle w:val="WW8Num3z0"/>
          <w:color w:val="000000"/>
          <w:sz w:val="22"/>
          <w:lang w:val="hu-HU"/>
        </w:rPr>
        <w:t xml:space="preserve"> betegek életkora újszülött kor és 14 év közé esett, és az imatinibet </w:t>
      </w:r>
      <w:r w:rsidR="000A4928" w:rsidRPr="00556B9B">
        <w:rPr>
          <w:rStyle w:val="WW8Num3z0"/>
          <w:color w:val="000000"/>
          <w:sz w:val="22"/>
          <w:lang w:val="hu-HU"/>
        </w:rPr>
        <w:t>napi 50 mg</w:t>
      </w:r>
      <w:r w:rsidR="000A4928" w:rsidRPr="00556B9B">
        <w:rPr>
          <w:rStyle w:val="WW8Num3z0"/>
          <w:color w:val="000000"/>
          <w:sz w:val="22"/>
          <w:lang w:val="hu-HU"/>
        </w:rPr>
        <w:noBreakHyphen/>
        <w:t xml:space="preserve">os dózisban vagy </w:t>
      </w:r>
      <w:r w:rsidRPr="00556B9B">
        <w:rPr>
          <w:rStyle w:val="WW8Num3z0"/>
          <w:color w:val="000000"/>
          <w:sz w:val="22"/>
          <w:lang w:val="hu-HU"/>
        </w:rPr>
        <w:t>napi 400</w:t>
      </w:r>
      <w:r w:rsidRPr="00556B9B">
        <w:rPr>
          <w:rStyle w:val="WW8Num3z0"/>
          <w:color w:val="000000"/>
          <w:sz w:val="22"/>
          <w:lang w:val="hu-HU"/>
        </w:rPr>
        <w:noBreakHyphen/>
        <w:t>520 mg/m</w:t>
      </w:r>
      <w:r w:rsidRPr="00556B9B">
        <w:rPr>
          <w:rStyle w:val="WW8Num3z0"/>
          <w:color w:val="000000"/>
          <w:sz w:val="22"/>
          <w:vertAlign w:val="superscript"/>
          <w:lang w:val="hu-HU"/>
        </w:rPr>
        <w:t>2</w:t>
      </w:r>
      <w:r w:rsidRPr="00556B9B">
        <w:rPr>
          <w:rStyle w:val="WW8Num3z0"/>
          <w:color w:val="000000"/>
          <w:sz w:val="22"/>
          <w:lang w:val="hu-HU"/>
        </w:rPr>
        <w:t xml:space="preserve"> közötti </w:t>
      </w:r>
      <w:r w:rsidR="000A4928" w:rsidRPr="00556B9B">
        <w:rPr>
          <w:rStyle w:val="WW8Num3z0"/>
          <w:color w:val="000000"/>
          <w:sz w:val="22"/>
          <w:lang w:val="hu-HU"/>
        </w:rPr>
        <w:t>dózisokban</w:t>
      </w:r>
      <w:r w:rsidRPr="00556B9B">
        <w:rPr>
          <w:rStyle w:val="WW8Num3z0"/>
          <w:color w:val="000000"/>
          <w:sz w:val="22"/>
          <w:lang w:val="hu-HU"/>
        </w:rPr>
        <w:t xml:space="preserve"> </w:t>
      </w:r>
      <w:r w:rsidR="00251472" w:rsidRPr="00556B9B">
        <w:rPr>
          <w:rStyle w:val="WW8Num3z0"/>
          <w:color w:val="000000"/>
          <w:sz w:val="22"/>
          <w:lang w:val="hu-HU"/>
        </w:rPr>
        <w:t>kapták</w:t>
      </w:r>
      <w:r w:rsidRPr="00556B9B">
        <w:rPr>
          <w:rStyle w:val="WW8Num3z0"/>
          <w:color w:val="000000"/>
          <w:sz w:val="22"/>
          <w:lang w:val="hu-HU"/>
        </w:rPr>
        <w:t>. Minden betegek parciális és/vagy teljes remissziót ért el.</w:t>
      </w:r>
    </w:p>
    <w:p w14:paraId="52C221CE" w14:textId="77777777" w:rsidR="00471184" w:rsidRPr="00556B9B" w:rsidRDefault="00471184">
      <w:pPr>
        <w:spacing w:line="240" w:lineRule="auto"/>
        <w:rPr>
          <w:color w:val="000000"/>
          <w:lang w:val="hu-HU"/>
        </w:rPr>
      </w:pPr>
    </w:p>
    <w:p w14:paraId="7C97C123" w14:textId="77777777" w:rsidR="00910FC8" w:rsidRPr="00556B9B" w:rsidRDefault="00910FC8" w:rsidP="0007763C">
      <w:pPr>
        <w:keepNext/>
        <w:widowControl w:val="0"/>
        <w:spacing w:line="240" w:lineRule="auto"/>
        <w:ind w:left="567" w:hanging="567"/>
        <w:rPr>
          <w:b/>
          <w:color w:val="000000"/>
          <w:lang w:val="hu-HU"/>
        </w:rPr>
      </w:pPr>
      <w:r w:rsidRPr="00556B9B">
        <w:rPr>
          <w:b/>
          <w:color w:val="000000"/>
          <w:lang w:val="hu-HU"/>
        </w:rPr>
        <w:lastRenderedPageBreak/>
        <w:t>5.2</w:t>
      </w:r>
      <w:r w:rsidRPr="00556B9B">
        <w:rPr>
          <w:b/>
          <w:color w:val="000000"/>
          <w:lang w:val="hu-HU"/>
        </w:rPr>
        <w:tab/>
        <w:t>Farmakokinetikai tulajdonságok</w:t>
      </w:r>
    </w:p>
    <w:p w14:paraId="64D94BBB" w14:textId="77777777" w:rsidR="00910FC8" w:rsidRPr="00556B9B" w:rsidRDefault="00910FC8" w:rsidP="0007763C">
      <w:pPr>
        <w:keepNext/>
        <w:widowControl w:val="0"/>
        <w:spacing w:line="240" w:lineRule="auto"/>
        <w:rPr>
          <w:color w:val="000000"/>
          <w:u w:val="single"/>
          <w:lang w:val="hu-HU"/>
        </w:rPr>
      </w:pPr>
    </w:p>
    <w:p w14:paraId="7F3B340C" w14:textId="77777777" w:rsidR="00910FC8" w:rsidRPr="00556B9B" w:rsidRDefault="00910FC8" w:rsidP="0007763C">
      <w:pPr>
        <w:keepNext/>
        <w:widowControl w:val="0"/>
        <w:spacing w:line="240" w:lineRule="auto"/>
        <w:rPr>
          <w:color w:val="000000"/>
          <w:u w:val="single"/>
          <w:lang w:val="hu-HU"/>
        </w:rPr>
      </w:pPr>
      <w:r w:rsidRPr="00556B9B">
        <w:rPr>
          <w:color w:val="000000"/>
          <w:u w:val="single"/>
          <w:lang w:val="hu-HU"/>
        </w:rPr>
        <w:t>A Glivec farmakokinetikai tulajdonságai</w:t>
      </w:r>
    </w:p>
    <w:p w14:paraId="1D48BEE0" w14:textId="77777777" w:rsidR="00910FC8" w:rsidRPr="00556B9B" w:rsidRDefault="00910FC8">
      <w:pPr>
        <w:spacing w:line="240" w:lineRule="auto"/>
        <w:rPr>
          <w:color w:val="000000"/>
          <w:lang w:val="hu-HU"/>
        </w:rPr>
      </w:pPr>
      <w:r w:rsidRPr="00556B9B">
        <w:rPr>
          <w:color w:val="000000"/>
          <w:lang w:val="hu-HU"/>
        </w:rPr>
        <w:t>A Glivec farmakokinetikáját 25 mg – 1000 mg közötti dózistartományban vizsgálták. A plazma farmakokinetikai profilját az 1. és a 7. vagy 28. napon vizsgálták, amikor a plazmakoncentráció steady state állapotba került.</w:t>
      </w:r>
    </w:p>
    <w:p w14:paraId="0ACF5D70" w14:textId="77777777" w:rsidR="00910FC8" w:rsidRPr="00556B9B" w:rsidRDefault="00910FC8">
      <w:pPr>
        <w:spacing w:line="240" w:lineRule="auto"/>
        <w:rPr>
          <w:color w:val="000000"/>
          <w:lang w:val="hu-HU"/>
        </w:rPr>
      </w:pPr>
    </w:p>
    <w:p w14:paraId="50403ECB" w14:textId="77777777" w:rsidR="00910FC8" w:rsidRPr="00556B9B" w:rsidRDefault="00910FC8" w:rsidP="00EC3D42">
      <w:pPr>
        <w:keepNext/>
        <w:spacing w:line="240" w:lineRule="auto"/>
        <w:rPr>
          <w:color w:val="000000"/>
          <w:lang w:val="hu-HU"/>
        </w:rPr>
      </w:pPr>
      <w:r w:rsidRPr="00556B9B">
        <w:rPr>
          <w:color w:val="000000"/>
          <w:u w:val="single"/>
          <w:lang w:val="hu-HU"/>
        </w:rPr>
        <w:t>Felszívódás</w:t>
      </w:r>
    </w:p>
    <w:p w14:paraId="4BB5D8EC" w14:textId="77777777" w:rsidR="00910FC8" w:rsidRPr="00556B9B" w:rsidRDefault="00910FC8">
      <w:pPr>
        <w:spacing w:line="240" w:lineRule="auto"/>
        <w:rPr>
          <w:color w:val="000000"/>
          <w:lang w:val="hu-HU"/>
        </w:rPr>
      </w:pPr>
      <w:r w:rsidRPr="00556B9B">
        <w:rPr>
          <w:color w:val="000000"/>
          <w:lang w:val="hu-HU"/>
        </w:rPr>
        <w:t>A kapszula gyógyszerformából a hatóanyag átlagos abszolút biológiai hasznosulása 98%. Orális dózis alkalmazása után a plazma imatinib AUC szintje nagy egyéni variabilitást mutatott. Erősen zsíros étkezéssel együtt bevéve az imatinib felszívódása minimálisan csökkent (a C</w:t>
      </w:r>
      <w:r w:rsidRPr="00556B9B">
        <w:rPr>
          <w:color w:val="000000"/>
          <w:vertAlign w:val="subscript"/>
          <w:lang w:val="hu-HU"/>
        </w:rPr>
        <w:t>max </w:t>
      </w:r>
      <w:r w:rsidRPr="00556B9B">
        <w:rPr>
          <w:color w:val="000000"/>
          <w:lang w:val="hu-HU"/>
        </w:rPr>
        <w:t>11%</w:t>
      </w:r>
      <w:r w:rsidRPr="00556B9B">
        <w:rPr>
          <w:color w:val="000000"/>
          <w:lang w:val="hu-HU"/>
        </w:rPr>
        <w:noBreakHyphen/>
        <w:t>kal csökkent, a t</w:t>
      </w:r>
      <w:r w:rsidRPr="00556B9B">
        <w:rPr>
          <w:color w:val="000000"/>
          <w:vertAlign w:val="subscript"/>
          <w:lang w:val="hu-HU"/>
        </w:rPr>
        <w:t>max </w:t>
      </w:r>
      <w:r w:rsidRPr="00556B9B">
        <w:rPr>
          <w:color w:val="000000"/>
          <w:lang w:val="hu-HU"/>
        </w:rPr>
        <w:t>1,5 órával nyúlt meg) és az AUC kissé csökkent (7,4%) az éhgyomri értékekhez képest. Az előzetes gastrointestinalis sebészi beavatkozás hatását a gyógyszer felszívódására nem vizsgálták.</w:t>
      </w:r>
    </w:p>
    <w:p w14:paraId="1A4FB426" w14:textId="77777777" w:rsidR="00910FC8" w:rsidRPr="00556B9B" w:rsidRDefault="00910FC8">
      <w:pPr>
        <w:spacing w:line="240" w:lineRule="auto"/>
        <w:rPr>
          <w:color w:val="000000"/>
          <w:lang w:val="hu-HU"/>
        </w:rPr>
      </w:pPr>
    </w:p>
    <w:p w14:paraId="7EBEC42F" w14:textId="77777777" w:rsidR="00910FC8" w:rsidRPr="00556B9B" w:rsidRDefault="0057321F" w:rsidP="00EC3D42">
      <w:pPr>
        <w:keepNext/>
        <w:spacing w:line="240" w:lineRule="auto"/>
        <w:rPr>
          <w:color w:val="000000"/>
          <w:lang w:val="hu-HU"/>
        </w:rPr>
      </w:pPr>
      <w:r w:rsidRPr="00556B9B">
        <w:rPr>
          <w:color w:val="000000"/>
          <w:u w:val="single"/>
          <w:lang w:val="hu-HU"/>
        </w:rPr>
        <w:t>Eloszlás</w:t>
      </w:r>
    </w:p>
    <w:p w14:paraId="7779299F" w14:textId="77777777" w:rsidR="00910FC8" w:rsidRPr="00556B9B" w:rsidRDefault="00910FC8">
      <w:pPr>
        <w:spacing w:line="240" w:lineRule="auto"/>
        <w:rPr>
          <w:color w:val="000000"/>
          <w:lang w:val="hu-HU"/>
        </w:rPr>
      </w:pPr>
      <w:r w:rsidRPr="00556B9B">
        <w:rPr>
          <w:i/>
          <w:color w:val="000000"/>
          <w:lang w:val="hu-HU"/>
        </w:rPr>
        <w:t>In vitro</w:t>
      </w:r>
      <w:r w:rsidRPr="00556B9B">
        <w:rPr>
          <w:color w:val="000000"/>
          <w:lang w:val="hu-HU"/>
        </w:rPr>
        <w:t xml:space="preserve"> kísérletekre alapozva, klinikailag használatos koncentrációiban az imatinib plazmafehérjékhez való kötődése 95%</w:t>
      </w:r>
      <w:r w:rsidRPr="00556B9B">
        <w:rPr>
          <w:color w:val="000000"/>
          <w:lang w:val="hu-HU"/>
        </w:rPr>
        <w:noBreakHyphen/>
        <w:t>os, elsősorban albuminhoz és alfa</w:t>
      </w:r>
      <w:r w:rsidRPr="00556B9B">
        <w:rPr>
          <w:color w:val="000000"/>
          <w:lang w:val="hu-HU"/>
        </w:rPr>
        <w:noBreakHyphen/>
        <w:t>glikoproteinsavhoz, kevésbé a lipoproteinhez.</w:t>
      </w:r>
    </w:p>
    <w:p w14:paraId="7E3E9DFD" w14:textId="77777777" w:rsidR="00910FC8" w:rsidRPr="00556B9B" w:rsidRDefault="00910FC8">
      <w:pPr>
        <w:spacing w:line="240" w:lineRule="auto"/>
        <w:rPr>
          <w:color w:val="000000"/>
          <w:lang w:val="hu-HU"/>
        </w:rPr>
      </w:pPr>
    </w:p>
    <w:p w14:paraId="433FDC09" w14:textId="77777777" w:rsidR="00910FC8" w:rsidRPr="00556B9B" w:rsidRDefault="0057321F" w:rsidP="00EC3D42">
      <w:pPr>
        <w:keepNext/>
        <w:spacing w:line="240" w:lineRule="auto"/>
        <w:rPr>
          <w:color w:val="000000"/>
          <w:lang w:val="hu-HU"/>
        </w:rPr>
      </w:pPr>
      <w:r w:rsidRPr="00556B9B">
        <w:rPr>
          <w:color w:val="000000"/>
          <w:u w:val="single"/>
          <w:lang w:val="hu-HU"/>
        </w:rPr>
        <w:t>Biotranszformáció</w:t>
      </w:r>
    </w:p>
    <w:p w14:paraId="03E9191E" w14:textId="77777777" w:rsidR="00910FC8" w:rsidRPr="00556B9B" w:rsidRDefault="00910FC8">
      <w:pPr>
        <w:spacing w:line="240" w:lineRule="auto"/>
        <w:rPr>
          <w:color w:val="000000"/>
          <w:lang w:val="hu-HU"/>
        </w:rPr>
      </w:pPr>
      <w:r w:rsidRPr="00556B9B">
        <w:rPr>
          <w:color w:val="000000"/>
          <w:lang w:val="hu-HU"/>
        </w:rPr>
        <w:t>A fő keringő metabolitja emberben az N</w:t>
      </w:r>
      <w:r w:rsidRPr="00556B9B">
        <w:rPr>
          <w:color w:val="000000"/>
          <w:lang w:val="hu-HU"/>
        </w:rPr>
        <w:noBreakHyphen/>
        <w:t xml:space="preserve">demetilált piperazin származék, ami az anyavegyületéhez hasonló </w:t>
      </w:r>
      <w:r w:rsidRPr="00556B9B">
        <w:rPr>
          <w:i/>
          <w:color w:val="000000"/>
          <w:lang w:val="hu-HU"/>
        </w:rPr>
        <w:t>in vitro</w:t>
      </w:r>
      <w:r w:rsidRPr="00556B9B">
        <w:rPr>
          <w:color w:val="000000"/>
          <w:lang w:val="hu-HU"/>
        </w:rPr>
        <w:t xml:space="preserve"> hatékonyságot mutat. E metabolit plazma AUC-értéke az imatinibénak mindössze 16%</w:t>
      </w:r>
      <w:r w:rsidRPr="00556B9B">
        <w:rPr>
          <w:color w:val="000000"/>
          <w:lang w:val="hu-HU"/>
        </w:rPr>
        <w:noBreakHyphen/>
        <w:t>aként detektálható. Az N</w:t>
      </w:r>
      <w:r w:rsidRPr="00556B9B">
        <w:rPr>
          <w:color w:val="000000"/>
          <w:lang w:val="hu-HU"/>
        </w:rPr>
        <w:noBreakHyphen/>
        <w:t>demetilált metabolit plazmafehérje</w:t>
      </w:r>
      <w:r w:rsidRPr="00556B9B">
        <w:rPr>
          <w:color w:val="000000"/>
          <w:lang w:val="hu-HU"/>
        </w:rPr>
        <w:noBreakHyphen/>
        <w:t>kötődése hasonló az anyavegyületéhez.</w:t>
      </w:r>
    </w:p>
    <w:p w14:paraId="20755131" w14:textId="77777777" w:rsidR="00910FC8" w:rsidRPr="00556B9B" w:rsidRDefault="00910FC8">
      <w:pPr>
        <w:spacing w:line="240" w:lineRule="auto"/>
        <w:rPr>
          <w:color w:val="000000"/>
          <w:lang w:val="hu-HU"/>
        </w:rPr>
      </w:pPr>
    </w:p>
    <w:p w14:paraId="4FB88E9B" w14:textId="77777777" w:rsidR="00910FC8" w:rsidRPr="00556B9B" w:rsidRDefault="00910FC8">
      <w:pPr>
        <w:spacing w:line="240" w:lineRule="auto"/>
        <w:rPr>
          <w:color w:val="000000"/>
          <w:lang w:val="hu-HU"/>
        </w:rPr>
      </w:pPr>
      <w:r w:rsidRPr="00556B9B">
        <w:rPr>
          <w:color w:val="000000"/>
          <w:lang w:val="hu-HU"/>
        </w:rPr>
        <w:t>Az imatinib és az N</w:t>
      </w:r>
      <w:r w:rsidRPr="00556B9B">
        <w:rPr>
          <w:color w:val="000000"/>
          <w:lang w:val="hu-HU"/>
        </w:rPr>
        <w:noBreakHyphen/>
        <w:t>demetil metabolit együttesen képezi a keringő radioaktivitás (AUC</w:t>
      </w:r>
      <w:r w:rsidRPr="00556B9B">
        <w:rPr>
          <w:color w:val="000000"/>
          <w:vertAlign w:val="subscript"/>
          <w:lang w:val="hu-HU"/>
        </w:rPr>
        <w:t>0-48h</w:t>
      </w:r>
      <w:r w:rsidRPr="00556B9B">
        <w:rPr>
          <w:color w:val="000000"/>
          <w:lang w:val="hu-HU"/>
        </w:rPr>
        <w:t>) körülbelül 65%</w:t>
      </w:r>
      <w:r w:rsidRPr="00556B9B">
        <w:rPr>
          <w:color w:val="000000"/>
          <w:lang w:val="hu-HU"/>
        </w:rPr>
        <w:noBreakHyphen/>
        <w:t>át. A többi kis számú metabolit tette ki a további keringő radioaktivitást.</w:t>
      </w:r>
    </w:p>
    <w:p w14:paraId="7643A6EC" w14:textId="77777777" w:rsidR="00910FC8" w:rsidRPr="00556B9B" w:rsidRDefault="00910FC8">
      <w:pPr>
        <w:spacing w:line="240" w:lineRule="auto"/>
        <w:rPr>
          <w:color w:val="000000"/>
          <w:lang w:val="hu-HU"/>
        </w:rPr>
      </w:pPr>
    </w:p>
    <w:p w14:paraId="1C67AB0A" w14:textId="77777777" w:rsidR="00910FC8" w:rsidRPr="00556B9B" w:rsidRDefault="00910FC8">
      <w:pPr>
        <w:spacing w:line="240" w:lineRule="auto"/>
        <w:rPr>
          <w:color w:val="000000"/>
          <w:lang w:val="hu-HU"/>
        </w:rPr>
      </w:pPr>
      <w:r w:rsidRPr="00556B9B">
        <w:rPr>
          <w:i/>
          <w:color w:val="000000"/>
          <w:lang w:val="hu-HU"/>
        </w:rPr>
        <w:t>In vitro</w:t>
      </w:r>
      <w:r w:rsidRPr="00556B9B">
        <w:rPr>
          <w:color w:val="000000"/>
          <w:lang w:val="hu-HU"/>
        </w:rPr>
        <w:t xml:space="preserve"> vizsgálatok szerint a CYP3A4 volt a legfontosabb humán P450 enzim, ami az imatinib biotranszformációját katalizálja. A lehetséges gyógyszerinterakciók közül (acetaminofen, aciklovir, allopurinol, amfotericin, citarabin, eritromicin, flukonazol, hidroxikarbamid, norfloxacin, penicillin V) csak az eritromicin (IC</w:t>
      </w:r>
      <w:r w:rsidRPr="00556B9B">
        <w:rPr>
          <w:color w:val="000000"/>
          <w:vertAlign w:val="subscript"/>
          <w:lang w:val="hu-HU"/>
        </w:rPr>
        <w:t>50 </w:t>
      </w:r>
      <w:r w:rsidRPr="00556B9B">
        <w:rPr>
          <w:color w:val="000000"/>
          <w:lang w:val="hu-HU"/>
        </w:rPr>
        <w:t>50 µM) és a flukonazol (IC</w:t>
      </w:r>
      <w:r w:rsidRPr="00556B9B">
        <w:rPr>
          <w:color w:val="000000"/>
          <w:vertAlign w:val="subscript"/>
          <w:lang w:val="hu-HU"/>
        </w:rPr>
        <w:t>50 </w:t>
      </w:r>
      <w:r w:rsidRPr="00556B9B">
        <w:rPr>
          <w:color w:val="000000"/>
          <w:lang w:val="hu-HU"/>
        </w:rPr>
        <w:t>118 µM) gyakorolt az imatinib metabolizmusra gátlóhatást, ami klinikai jelentőséggel bírhat.</w:t>
      </w:r>
    </w:p>
    <w:p w14:paraId="5019697C" w14:textId="77777777" w:rsidR="00910FC8" w:rsidRPr="00556B9B" w:rsidRDefault="00910FC8">
      <w:pPr>
        <w:spacing w:line="240" w:lineRule="auto"/>
        <w:rPr>
          <w:color w:val="000000"/>
          <w:lang w:val="hu-HU"/>
        </w:rPr>
      </w:pPr>
    </w:p>
    <w:p w14:paraId="79F0A57E" w14:textId="77777777" w:rsidR="00910FC8" w:rsidRPr="00556B9B" w:rsidRDefault="00910FC8">
      <w:pPr>
        <w:spacing w:line="240" w:lineRule="auto"/>
        <w:rPr>
          <w:color w:val="000000"/>
          <w:lang w:val="hu-HU"/>
        </w:rPr>
      </w:pPr>
      <w:r w:rsidRPr="00556B9B">
        <w:rPr>
          <w:i/>
          <w:color w:val="000000"/>
          <w:lang w:val="hu-HU"/>
        </w:rPr>
        <w:t>In vitro</w:t>
      </w:r>
      <w:r w:rsidRPr="00556B9B">
        <w:rPr>
          <w:color w:val="000000"/>
          <w:lang w:val="hu-HU"/>
        </w:rPr>
        <w:t xml:space="preserve"> az imatinib a CYP2C9, CYP2D6 és CYP3A4/5 marker szubsztrátjainak kompetitív inhibitora. A K</w:t>
      </w:r>
      <w:r w:rsidRPr="00556B9B">
        <w:rPr>
          <w:color w:val="000000"/>
          <w:vertAlign w:val="subscript"/>
          <w:lang w:val="hu-HU"/>
        </w:rPr>
        <w:t>i</w:t>
      </w:r>
      <w:r w:rsidRPr="00556B9B">
        <w:rPr>
          <w:color w:val="000000"/>
          <w:lang w:val="hu-HU"/>
        </w:rPr>
        <w:t xml:space="preserve"> humán máj microsomákban a fenti sorrendben 27, 7,5 és 7,9 µmol/l értéket ért el. Betegekben az imatinib maximális plazmakoncentráció 2–4 µmol/l volt, következésképp az egyidejűleg adott, CYP2D6 és/vagy CYP3A4/5 </w:t>
      </w:r>
      <w:r w:rsidRPr="00556B9B">
        <w:rPr>
          <w:color w:val="000000"/>
          <w:lang w:val="hu-HU"/>
        </w:rPr>
        <w:noBreakHyphen/>
        <w:t> mediált metabolizmusú gyógyszerek gátlása valószínűsíthető. Az imatinib nem interferál az 5</w:t>
      </w:r>
      <w:r w:rsidRPr="00556B9B">
        <w:rPr>
          <w:color w:val="000000"/>
          <w:lang w:val="hu-HU"/>
        </w:rPr>
        <w:noBreakHyphen/>
        <w:t>fluorouracil biotranszformációjával, de a CYP2C8 (K</w:t>
      </w:r>
      <w:r w:rsidRPr="00556B9B">
        <w:rPr>
          <w:color w:val="000000"/>
          <w:vertAlign w:val="subscript"/>
          <w:lang w:val="hu-HU"/>
        </w:rPr>
        <w:t>i</w:t>
      </w:r>
      <w:r w:rsidRPr="00556B9B">
        <w:rPr>
          <w:color w:val="000000"/>
          <w:lang w:val="hu-HU"/>
        </w:rPr>
        <w:t xml:space="preserve"> = 34,7 µM) kompetitív gátlásának eredményeképpen gátolja a paklitaxel metabolizmusát. Ez a K</w:t>
      </w:r>
      <w:r w:rsidRPr="00556B9B">
        <w:rPr>
          <w:color w:val="000000"/>
          <w:vertAlign w:val="subscript"/>
          <w:lang w:val="hu-HU"/>
        </w:rPr>
        <w:t>i</w:t>
      </w:r>
      <w:r w:rsidRPr="00556B9B">
        <w:rPr>
          <w:color w:val="000000"/>
          <w:lang w:val="hu-HU"/>
        </w:rPr>
        <w:t xml:space="preserve"> érték lényegesen magasabb, mint a betegekben várt imatinib plazmaszint, tehát valószínű, hogy nem várható interakció sem az imatinibbel együtt adott 5</w:t>
      </w:r>
      <w:r w:rsidRPr="00556B9B">
        <w:rPr>
          <w:color w:val="000000"/>
          <w:lang w:val="hu-HU"/>
        </w:rPr>
        <w:noBreakHyphen/>
        <w:t>fluorouracillal, sem a paklitaxellel.</w:t>
      </w:r>
    </w:p>
    <w:p w14:paraId="2009BEBF" w14:textId="77777777" w:rsidR="00910FC8" w:rsidRPr="00556B9B" w:rsidRDefault="00910FC8">
      <w:pPr>
        <w:spacing w:line="240" w:lineRule="auto"/>
        <w:rPr>
          <w:color w:val="000000"/>
          <w:lang w:val="hu-HU"/>
        </w:rPr>
      </w:pPr>
    </w:p>
    <w:p w14:paraId="30E7757C" w14:textId="77777777" w:rsidR="00910FC8" w:rsidRPr="00556B9B" w:rsidRDefault="0057321F" w:rsidP="00EC3D42">
      <w:pPr>
        <w:keepNext/>
        <w:spacing w:line="240" w:lineRule="auto"/>
        <w:rPr>
          <w:color w:val="000000"/>
          <w:lang w:val="hu-HU"/>
        </w:rPr>
      </w:pPr>
      <w:r w:rsidRPr="00556B9B">
        <w:rPr>
          <w:color w:val="000000"/>
          <w:u w:val="single"/>
          <w:lang w:val="hu-HU"/>
        </w:rPr>
        <w:t>Elimináció</w:t>
      </w:r>
    </w:p>
    <w:p w14:paraId="3A92F68E" w14:textId="77777777" w:rsidR="00910FC8" w:rsidRPr="00556B9B" w:rsidRDefault="00910FC8">
      <w:pPr>
        <w:spacing w:line="240" w:lineRule="auto"/>
        <w:rPr>
          <w:color w:val="000000"/>
          <w:lang w:val="hu-HU"/>
        </w:rPr>
      </w:pPr>
      <w:r w:rsidRPr="00556B9B">
        <w:rPr>
          <w:color w:val="000000"/>
          <w:lang w:val="hu-HU"/>
        </w:rPr>
        <w:t xml:space="preserve">A bevitt vegyület visszamérésével a </w:t>
      </w:r>
      <w:r w:rsidRPr="00556B9B">
        <w:rPr>
          <w:color w:val="000000"/>
          <w:vertAlign w:val="superscript"/>
          <w:lang w:val="hu-HU"/>
        </w:rPr>
        <w:t>14</w:t>
      </w:r>
      <w:r w:rsidRPr="00556B9B">
        <w:rPr>
          <w:color w:val="000000"/>
          <w:lang w:val="hu-HU"/>
        </w:rPr>
        <w:t>C</w:t>
      </w:r>
      <w:r w:rsidRPr="00556B9B">
        <w:rPr>
          <w:color w:val="000000"/>
          <w:lang w:val="hu-HU"/>
        </w:rPr>
        <w:noBreakHyphen/>
        <w:t>gyel jelzett imatinib egyszeri orális bevételét követően annak hozzávetőlegesen 81%</w:t>
      </w:r>
      <w:r w:rsidRPr="00556B9B">
        <w:rPr>
          <w:color w:val="000000"/>
          <w:lang w:val="hu-HU"/>
        </w:rPr>
        <w:noBreakHyphen/>
        <w:t>a 7 napon belül a széklettel (az adag 68%</w:t>
      </w:r>
      <w:r w:rsidRPr="00556B9B">
        <w:rPr>
          <w:color w:val="000000"/>
          <w:lang w:val="hu-HU"/>
        </w:rPr>
        <w:noBreakHyphen/>
        <w:t>a), ill. a vizelettel (az adag 13%</w:t>
      </w:r>
      <w:r w:rsidRPr="00556B9B">
        <w:rPr>
          <w:color w:val="000000"/>
          <w:lang w:val="hu-HU"/>
        </w:rPr>
        <w:noBreakHyphen/>
        <w:t>a) távozott. A változatlan imatinib a dózis 25%</w:t>
      </w:r>
      <w:r w:rsidRPr="00556B9B">
        <w:rPr>
          <w:color w:val="000000"/>
          <w:lang w:val="hu-HU"/>
        </w:rPr>
        <w:noBreakHyphen/>
        <w:t>át (5%</w:t>
      </w:r>
      <w:r w:rsidRPr="00556B9B">
        <w:rPr>
          <w:color w:val="000000"/>
          <w:lang w:val="hu-HU"/>
        </w:rPr>
        <w:noBreakHyphen/>
        <w:t>a a vizeletben, 20%</w:t>
      </w:r>
      <w:r w:rsidRPr="00556B9B">
        <w:rPr>
          <w:color w:val="000000"/>
          <w:lang w:val="hu-HU"/>
        </w:rPr>
        <w:noBreakHyphen/>
        <w:t>a a székletben) tette ki, a többi metabolitként ürült.</w:t>
      </w:r>
    </w:p>
    <w:p w14:paraId="33097DA1" w14:textId="77777777" w:rsidR="00910FC8" w:rsidRPr="00556B9B" w:rsidRDefault="00910FC8">
      <w:pPr>
        <w:spacing w:line="240" w:lineRule="auto"/>
        <w:rPr>
          <w:color w:val="000000"/>
          <w:lang w:val="hu-HU"/>
        </w:rPr>
      </w:pPr>
    </w:p>
    <w:p w14:paraId="0E254D60" w14:textId="77777777" w:rsidR="00910FC8" w:rsidRPr="00556B9B" w:rsidRDefault="00910FC8" w:rsidP="00EC3D42">
      <w:pPr>
        <w:keepNext/>
        <w:spacing w:line="240" w:lineRule="auto"/>
        <w:rPr>
          <w:color w:val="000000"/>
          <w:u w:val="single"/>
          <w:lang w:val="hu-HU"/>
        </w:rPr>
      </w:pPr>
      <w:r w:rsidRPr="00556B9B">
        <w:rPr>
          <w:color w:val="000000"/>
          <w:u w:val="single"/>
          <w:lang w:val="hu-HU"/>
        </w:rPr>
        <w:t>Plazma farmakokinetika</w:t>
      </w:r>
    </w:p>
    <w:p w14:paraId="48162514" w14:textId="77777777" w:rsidR="00910FC8" w:rsidRPr="00556B9B" w:rsidRDefault="00910FC8">
      <w:pPr>
        <w:spacing w:line="240" w:lineRule="auto"/>
        <w:rPr>
          <w:color w:val="000000"/>
          <w:lang w:val="hu-HU"/>
        </w:rPr>
      </w:pPr>
      <w:r w:rsidRPr="00556B9B">
        <w:rPr>
          <w:color w:val="000000"/>
          <w:lang w:val="hu-HU"/>
        </w:rPr>
        <w:t>Egészséges önkéntesek orális kezelése során a t</w:t>
      </w:r>
      <w:r w:rsidRPr="00556B9B">
        <w:rPr>
          <w:color w:val="000000"/>
          <w:vertAlign w:val="subscript"/>
          <w:lang w:val="hu-HU"/>
        </w:rPr>
        <w:t>1/2</w:t>
      </w:r>
      <w:r w:rsidRPr="00556B9B">
        <w:rPr>
          <w:color w:val="000000"/>
          <w:lang w:val="hu-HU"/>
        </w:rPr>
        <w:t xml:space="preserve"> körülbelül 18 óra volt, ami a napi egyszeri adagolást támasztja alá. 25 mg – 1000 mg közötti imatinib adagok orális adását követően az adag emelésével az AUC is lineárisan, dózisarányosan növekedett. Az ismételt adagolás az imatinib farmakokinetikáját nem változtatta meg, steady state állapotban, napi egyszeri adagolás mellett az akkumuláció 1,5–2,5</w:t>
      </w:r>
      <w:r w:rsidRPr="00556B9B">
        <w:rPr>
          <w:color w:val="000000"/>
          <w:lang w:val="hu-HU"/>
        </w:rPr>
        <w:noBreakHyphen/>
        <w:t>szeres volt.</w:t>
      </w:r>
    </w:p>
    <w:p w14:paraId="14995BDE" w14:textId="77777777" w:rsidR="00910FC8" w:rsidRPr="00556B9B" w:rsidRDefault="00910FC8">
      <w:pPr>
        <w:spacing w:line="240" w:lineRule="auto"/>
        <w:rPr>
          <w:color w:val="000000"/>
          <w:lang w:val="hu-HU"/>
        </w:rPr>
      </w:pPr>
    </w:p>
    <w:p w14:paraId="5A6600D4" w14:textId="77777777" w:rsidR="00910FC8" w:rsidRPr="00556B9B" w:rsidRDefault="00910FC8" w:rsidP="00EC3D42">
      <w:pPr>
        <w:keepNext/>
        <w:spacing w:line="240" w:lineRule="auto"/>
        <w:rPr>
          <w:color w:val="000000"/>
          <w:u w:val="single"/>
          <w:lang w:val="hu-HU"/>
        </w:rPr>
      </w:pPr>
      <w:r w:rsidRPr="00556B9B">
        <w:rPr>
          <w:color w:val="000000"/>
          <w:u w:val="single"/>
          <w:lang w:val="hu-HU"/>
        </w:rPr>
        <w:lastRenderedPageBreak/>
        <w:t>Farmakokinetika GIST betegekben</w:t>
      </w:r>
    </w:p>
    <w:p w14:paraId="163AB32A" w14:textId="77777777" w:rsidR="00910FC8" w:rsidRPr="00556B9B" w:rsidRDefault="00910FC8">
      <w:pPr>
        <w:spacing w:line="240" w:lineRule="auto"/>
        <w:rPr>
          <w:color w:val="000000"/>
          <w:lang w:val="hu-HU"/>
        </w:rPr>
      </w:pPr>
      <w:r w:rsidRPr="00556B9B">
        <w:rPr>
          <w:color w:val="000000"/>
          <w:lang w:val="hu-HU"/>
        </w:rPr>
        <w:t>Ugyanazon napi (400 mg</w:t>
      </w:r>
      <w:r w:rsidRPr="00556B9B">
        <w:rPr>
          <w:color w:val="000000"/>
          <w:lang w:val="hu-HU"/>
        </w:rPr>
        <w:noBreakHyphen/>
        <w:t>os) dózis mellett a GIST betegekben a steady state expozíció 1,5</w:t>
      </w:r>
      <w:r w:rsidRPr="00556B9B">
        <w:rPr>
          <w:color w:val="000000"/>
          <w:lang w:val="hu-HU"/>
        </w:rPr>
        <w:noBreakHyphen/>
        <w:t>szerese volt a CML</w:t>
      </w:r>
      <w:r w:rsidRPr="00556B9B">
        <w:rPr>
          <w:color w:val="000000"/>
          <w:lang w:val="hu-HU"/>
        </w:rPr>
        <w:noBreakHyphen/>
        <w:t>ben megfigyeltnek. Az előzetes populációs farmakokinetikai adatok alapján a GIST betegekben három változót (albumin- és bilirubinszint, fehérvérsejtszám) találtak, melynek szignifikás kapcsolata volt az imatinib farmakokinetikájával. Az albuminszint csökkenése a clearance (CL/f) csökkenését vonta maga után; a magasabb fehérvérsejtszám pedig a CL/f csökkenéséhez vezetett. Ezek az összefüggések azonban nem eléggé kifejezettek ahhoz, hogy dózismódosítást tegyenek indokolttá. Ebben a betegcsoportban a májmetasztázis potenciálisan májelégtelenséghez és csökkent metabolizmushoz vezethet.</w:t>
      </w:r>
    </w:p>
    <w:p w14:paraId="64F8062E" w14:textId="77777777" w:rsidR="00910FC8" w:rsidRPr="00556B9B" w:rsidRDefault="00910FC8">
      <w:pPr>
        <w:spacing w:line="240" w:lineRule="auto"/>
        <w:rPr>
          <w:color w:val="000000"/>
          <w:u w:val="single"/>
          <w:lang w:val="hu-HU"/>
        </w:rPr>
      </w:pPr>
    </w:p>
    <w:p w14:paraId="1A120E32" w14:textId="77777777" w:rsidR="00910FC8" w:rsidRPr="00556B9B" w:rsidRDefault="00910FC8" w:rsidP="00EC3D42">
      <w:pPr>
        <w:keepNext/>
        <w:spacing w:line="240" w:lineRule="auto"/>
        <w:rPr>
          <w:color w:val="000000"/>
          <w:u w:val="single"/>
          <w:lang w:val="hu-HU"/>
        </w:rPr>
      </w:pPr>
      <w:r w:rsidRPr="00556B9B">
        <w:rPr>
          <w:color w:val="000000"/>
          <w:u w:val="single"/>
          <w:lang w:val="hu-HU"/>
        </w:rPr>
        <w:t>Populációs farmakokinetika</w:t>
      </w:r>
    </w:p>
    <w:p w14:paraId="41B754D4" w14:textId="77777777" w:rsidR="00910FC8" w:rsidRPr="006D0F5F" w:rsidRDefault="00910FC8">
      <w:pPr>
        <w:spacing w:line="240" w:lineRule="auto"/>
        <w:rPr>
          <w:color w:val="000000"/>
          <w:lang w:val="hu-HU"/>
        </w:rPr>
      </w:pPr>
      <w:r w:rsidRPr="00556B9B">
        <w:rPr>
          <w:color w:val="000000"/>
          <w:lang w:val="hu-HU"/>
        </w:rPr>
        <w:t>CML</w:t>
      </w:r>
      <w:r w:rsidRPr="00556B9B">
        <w:rPr>
          <w:color w:val="000000"/>
          <w:lang w:val="hu-HU"/>
        </w:rPr>
        <w:noBreakHyphen/>
        <w:t>es betegek körében végzett populációs farmakokinetikai vizsgálatok szerint a volumen megoszlást az életkor valamelyest befolyásolja (12% növekedés &gt; 65 évesek körében). Ezt a különbséget nem tartják klinikailag szignifikánsnak. A testtömegnek az imatinib clearance</w:t>
      </w:r>
      <w:r w:rsidRPr="00556B9B">
        <w:rPr>
          <w:color w:val="000000"/>
          <w:lang w:val="hu-HU"/>
        </w:rPr>
        <w:noBreakHyphen/>
        <w:t>ére hatása van, pl. egy 50 kg</w:t>
      </w:r>
      <w:r w:rsidRPr="00556B9B">
        <w:rPr>
          <w:color w:val="000000"/>
          <w:lang w:val="hu-HU"/>
        </w:rPr>
        <w:noBreakHyphen/>
        <w:t>os egyén esetén az átlagos clearance várhatóan 8,5 l/óra, míg egy 100 kg</w:t>
      </w:r>
      <w:r w:rsidRPr="00556B9B">
        <w:rPr>
          <w:color w:val="000000"/>
          <w:lang w:val="hu-HU"/>
        </w:rPr>
        <w:noBreakHyphen/>
        <w:t xml:space="preserve">os esetén 11,8 l/óra értékre növekszik. Ezek a változások azonban nem indokolják, hogy a dózist a testtömeg függvényében módosítani kelljen. A nemnek </w:t>
      </w:r>
      <w:r w:rsidRPr="006D0F5F">
        <w:rPr>
          <w:color w:val="000000"/>
          <w:lang w:val="hu-HU"/>
        </w:rPr>
        <w:t>nincs hatása az imatinib kinetikájára.</w:t>
      </w:r>
    </w:p>
    <w:p w14:paraId="313E197D" w14:textId="77777777" w:rsidR="00910FC8" w:rsidRPr="006D0F5F" w:rsidRDefault="00910FC8">
      <w:pPr>
        <w:spacing w:line="240" w:lineRule="auto"/>
        <w:rPr>
          <w:color w:val="000000"/>
          <w:lang w:val="hu-HU"/>
        </w:rPr>
      </w:pPr>
    </w:p>
    <w:p w14:paraId="3664AD66" w14:textId="77777777" w:rsidR="00910FC8" w:rsidRPr="006D0F5F" w:rsidRDefault="00910FC8">
      <w:pPr>
        <w:spacing w:line="240" w:lineRule="auto"/>
        <w:rPr>
          <w:color w:val="000000"/>
          <w:u w:val="single"/>
          <w:lang w:val="hu-HU"/>
        </w:rPr>
      </w:pPr>
      <w:r w:rsidRPr="006D0F5F">
        <w:rPr>
          <w:color w:val="000000"/>
          <w:u w:val="single"/>
          <w:lang w:val="hu-HU"/>
        </w:rPr>
        <w:t>Farmakokinetika gyermekekben</w:t>
      </w:r>
    </w:p>
    <w:p w14:paraId="4F5CE57D" w14:textId="4539BF72" w:rsidR="00910FC8" w:rsidRPr="00556B9B" w:rsidRDefault="00910FC8">
      <w:pPr>
        <w:pStyle w:val="BodyText"/>
        <w:spacing w:line="240" w:lineRule="auto"/>
        <w:rPr>
          <w:b w:val="0"/>
          <w:i w:val="0"/>
          <w:color w:val="000000"/>
          <w:lang w:val="hu-HU"/>
        </w:rPr>
      </w:pPr>
      <w:r w:rsidRPr="006D0F5F">
        <w:rPr>
          <w:b w:val="0"/>
          <w:i w:val="0"/>
          <w:color w:val="000000"/>
          <w:lang w:val="hu-HU"/>
        </w:rPr>
        <w:t xml:space="preserve">I. </w:t>
      </w:r>
      <w:r w:rsidR="007C1956" w:rsidRPr="006D0F5F">
        <w:rPr>
          <w:b w:val="0"/>
          <w:i w:val="0"/>
          <w:color w:val="000000"/>
          <w:lang w:val="hu-HU"/>
        </w:rPr>
        <w:t xml:space="preserve">fázisú </w:t>
      </w:r>
      <w:r w:rsidRPr="006D0F5F">
        <w:rPr>
          <w:b w:val="0"/>
          <w:i w:val="0"/>
          <w:color w:val="000000"/>
          <w:lang w:val="hu-HU"/>
        </w:rPr>
        <w:t>és II</w:t>
      </w:r>
      <w:r w:rsidR="007C1956" w:rsidRPr="006D0F5F">
        <w:rPr>
          <w:b w:val="0"/>
          <w:i w:val="0"/>
          <w:color w:val="000000"/>
          <w:lang w:val="hu-HU"/>
        </w:rPr>
        <w:t>. fázisú</w:t>
      </w:r>
      <w:r w:rsidRPr="006D0F5F">
        <w:rPr>
          <w:b w:val="0"/>
          <w:i w:val="0"/>
          <w:color w:val="000000"/>
          <w:lang w:val="hu-HU"/>
        </w:rPr>
        <w:t xml:space="preserve"> vizsgálatokban, gyermekeknek</w:t>
      </w:r>
      <w:r w:rsidR="0071645C" w:rsidRPr="006D0F5F">
        <w:rPr>
          <w:b w:val="0"/>
          <w:i w:val="0"/>
          <w:color w:val="000000"/>
          <w:lang w:val="hu-HU"/>
        </w:rPr>
        <w:t xml:space="preserve"> és serdülőknek</w:t>
      </w:r>
      <w:r w:rsidRPr="006D0F5F">
        <w:rPr>
          <w:b w:val="0"/>
          <w:i w:val="0"/>
          <w:color w:val="000000"/>
          <w:lang w:val="hu-HU"/>
        </w:rPr>
        <w:t xml:space="preserve"> az imatinibet orálisan adva az </w:t>
      </w:r>
      <w:r w:rsidRPr="006D0F5F">
        <w:rPr>
          <w:b w:val="0"/>
          <w:i w:val="0"/>
          <w:color w:val="000000"/>
          <w:lang w:val="hu-HU"/>
        </w:rPr>
        <w:noBreakHyphen/>
        <w:t> a felnőttekhez hasonlóan </w:t>
      </w:r>
      <w:r w:rsidRPr="006D0F5F">
        <w:rPr>
          <w:b w:val="0"/>
          <w:i w:val="0"/>
          <w:color w:val="000000"/>
          <w:lang w:val="hu-HU"/>
        </w:rPr>
        <w:noBreakHyphen/>
        <w:t xml:space="preserve"> gyorsan felszívódott. Gyermekekben</w:t>
      </w:r>
      <w:r w:rsidRPr="00556B9B">
        <w:rPr>
          <w:b w:val="0"/>
          <w:i w:val="0"/>
          <w:color w:val="000000"/>
          <w:lang w:val="hu-HU"/>
        </w:rPr>
        <w:t xml:space="preserve"> a 260, ill. 340 mg/m</w:t>
      </w:r>
      <w:r w:rsidRPr="00556B9B">
        <w:rPr>
          <w:b w:val="0"/>
          <w:i w:val="0"/>
          <w:color w:val="000000"/>
          <w:vertAlign w:val="superscript"/>
          <w:lang w:val="hu-HU"/>
        </w:rPr>
        <w:t>2</w:t>
      </w:r>
      <w:r w:rsidRPr="00556B9B">
        <w:rPr>
          <w:b w:val="0"/>
          <w:i w:val="0"/>
          <w:color w:val="000000"/>
          <w:lang w:val="hu-HU"/>
        </w:rPr>
        <w:t>/nap adagolás ugyanazt az expozíciót adta, mint a felnőttek 400 mg</w:t>
      </w:r>
      <w:r w:rsidRPr="00556B9B">
        <w:rPr>
          <w:b w:val="0"/>
          <w:i w:val="0"/>
          <w:color w:val="000000"/>
          <w:lang w:val="hu-HU"/>
        </w:rPr>
        <w:noBreakHyphen/>
        <w:t>os, ill. 600 mg</w:t>
      </w:r>
      <w:r w:rsidRPr="00556B9B">
        <w:rPr>
          <w:b w:val="0"/>
          <w:i w:val="0"/>
          <w:color w:val="000000"/>
          <w:lang w:val="hu-HU"/>
        </w:rPr>
        <w:noBreakHyphen/>
        <w:t>os adagja. Az AUC</w:t>
      </w:r>
      <w:r w:rsidRPr="00556B9B">
        <w:rPr>
          <w:b w:val="0"/>
          <w:i w:val="0"/>
          <w:color w:val="000000"/>
          <w:vertAlign w:val="subscript"/>
          <w:lang w:val="hu-HU"/>
        </w:rPr>
        <w:t>(0-24)</w:t>
      </w:r>
      <w:r w:rsidRPr="00556B9B">
        <w:rPr>
          <w:b w:val="0"/>
          <w:i w:val="0"/>
          <w:color w:val="000000"/>
          <w:lang w:val="hu-HU"/>
        </w:rPr>
        <w:t>-értékeket</w:t>
      </w:r>
      <w:r w:rsidRPr="00556B9B">
        <w:rPr>
          <w:b w:val="0"/>
          <w:i w:val="0"/>
          <w:color w:val="000000"/>
          <w:vertAlign w:val="subscript"/>
          <w:lang w:val="hu-HU"/>
        </w:rPr>
        <w:t xml:space="preserve"> </w:t>
      </w:r>
      <w:r w:rsidRPr="00556B9B">
        <w:rPr>
          <w:b w:val="0"/>
          <w:i w:val="0"/>
          <w:color w:val="000000"/>
          <w:lang w:val="hu-HU"/>
        </w:rPr>
        <w:t>az 1. és a 8. napon összehasonlítva, 340 mg/m</w:t>
      </w:r>
      <w:r w:rsidRPr="00556B9B">
        <w:rPr>
          <w:b w:val="0"/>
          <w:i w:val="0"/>
          <w:color w:val="000000"/>
          <w:vertAlign w:val="superscript"/>
          <w:lang w:val="hu-HU"/>
        </w:rPr>
        <w:t>2</w:t>
      </w:r>
      <w:r w:rsidRPr="00556B9B">
        <w:rPr>
          <w:b w:val="0"/>
          <w:i w:val="0"/>
          <w:color w:val="000000"/>
          <w:lang w:val="hu-HU"/>
        </w:rPr>
        <w:t>/nap dózisú ismételt, napi egyszeri adagolás esetén 1,7</w:t>
      </w:r>
      <w:r w:rsidRPr="00556B9B">
        <w:rPr>
          <w:b w:val="0"/>
          <w:i w:val="0"/>
          <w:color w:val="000000"/>
          <w:lang w:val="hu-HU"/>
        </w:rPr>
        <w:noBreakHyphen/>
        <w:t>szeres akkumulációt találtak.</w:t>
      </w:r>
    </w:p>
    <w:p w14:paraId="39DCD888" w14:textId="77777777" w:rsidR="00E449FA" w:rsidRPr="00556B9B" w:rsidRDefault="00E449FA" w:rsidP="00E449FA">
      <w:pPr>
        <w:pStyle w:val="EndnoteText"/>
        <w:widowControl w:val="0"/>
        <w:rPr>
          <w:color w:val="000000"/>
          <w:szCs w:val="22"/>
          <w:lang w:val="hu-HU"/>
        </w:rPr>
      </w:pPr>
    </w:p>
    <w:p w14:paraId="686BB75D" w14:textId="53725B18" w:rsidR="00E449FA" w:rsidRPr="00556B9B" w:rsidRDefault="00E449FA" w:rsidP="00E449FA">
      <w:pPr>
        <w:pStyle w:val="EndnoteText"/>
        <w:widowControl w:val="0"/>
        <w:rPr>
          <w:color w:val="000000"/>
          <w:szCs w:val="22"/>
          <w:lang w:val="hu-HU"/>
        </w:rPr>
      </w:pPr>
      <w:r w:rsidRPr="006D0F5F">
        <w:rPr>
          <w:rStyle w:val="WW8Num6z0"/>
          <w:rFonts w:ascii="Times New Roman" w:hAnsi="Times New Roman"/>
          <w:color w:val="000000"/>
          <w:lang w:val="hu-HU" w:eastAsia="hu-HU"/>
        </w:rPr>
        <w:t>A hematologiai betegségekben (CML, Ph+ALL vagy más, imatinibbel kez</w:t>
      </w:r>
      <w:r w:rsidR="00781B80" w:rsidRPr="006D0F5F">
        <w:rPr>
          <w:rStyle w:val="WW8Num6z0"/>
          <w:rFonts w:ascii="Times New Roman" w:hAnsi="Times New Roman"/>
          <w:color w:val="000000"/>
          <w:lang w:val="hu-HU" w:eastAsia="hu-HU"/>
        </w:rPr>
        <w:t>elt h</w:t>
      </w:r>
      <w:r w:rsidRPr="006D0F5F">
        <w:rPr>
          <w:rStyle w:val="WW8Num6z0"/>
          <w:rFonts w:ascii="Times New Roman" w:hAnsi="Times New Roman"/>
          <w:color w:val="000000"/>
          <w:lang w:val="hu-HU" w:eastAsia="hu-HU"/>
        </w:rPr>
        <w:t>ematologiai kórképek) szenvedő gyermek</w:t>
      </w:r>
      <w:r w:rsidR="0071645C" w:rsidRPr="006D0F5F">
        <w:rPr>
          <w:rStyle w:val="WW8Num6z0"/>
          <w:rFonts w:ascii="Times New Roman" w:hAnsi="Times New Roman"/>
          <w:color w:val="000000"/>
          <w:lang w:val="hu-HU" w:eastAsia="hu-HU"/>
        </w:rPr>
        <w:t>ek és serdülők</w:t>
      </w:r>
      <w:r w:rsidRPr="006D0F5F">
        <w:rPr>
          <w:rStyle w:val="WW8Num6z0"/>
          <w:rFonts w:ascii="Times New Roman" w:hAnsi="Times New Roman"/>
          <w:color w:val="000000"/>
          <w:lang w:val="hu-HU" w:eastAsia="hu-HU"/>
        </w:rPr>
        <w:t xml:space="preserve"> összesített populációs farmakokinetikai analízise alapján az imatinib clearance</w:t>
      </w:r>
      <w:r w:rsidRPr="006D0F5F">
        <w:rPr>
          <w:rStyle w:val="WW8Num6z0"/>
          <w:color w:val="000000"/>
          <w:lang w:val="hu-HU"/>
        </w:rPr>
        <w:noBreakHyphen/>
      </w:r>
      <w:r w:rsidRPr="006D0F5F">
        <w:rPr>
          <w:rStyle w:val="WW8Num6z0"/>
          <w:rFonts w:ascii="Times New Roman" w:hAnsi="Times New Roman"/>
          <w:color w:val="000000"/>
          <w:lang w:val="hu-HU" w:eastAsia="hu-HU"/>
        </w:rPr>
        <w:t>e a testfelszínnel együtt nő. A testfelszín hatásának korrekciója után más demográfiai jellemzők, mint például az életkor, a testtömeg és a testtömeg</w:t>
      </w:r>
      <w:r w:rsidRPr="006D0F5F">
        <w:rPr>
          <w:rStyle w:val="WW8Num6z0"/>
          <w:color w:val="000000"/>
          <w:lang w:val="hu-HU"/>
        </w:rPr>
        <w:noBreakHyphen/>
      </w:r>
      <w:r w:rsidRPr="006D0F5F">
        <w:rPr>
          <w:rStyle w:val="WW8Num6z0"/>
          <w:rFonts w:ascii="Times New Roman" w:hAnsi="Times New Roman"/>
          <w:color w:val="000000"/>
          <w:lang w:val="hu-HU" w:eastAsia="hu-HU"/>
        </w:rPr>
        <w:t xml:space="preserve">index nem voltak klinikailag jelentős hatással az imatinib expozíciójára. </w:t>
      </w:r>
      <w:r w:rsidRPr="006D0F5F">
        <w:rPr>
          <w:rStyle w:val="WW8Num6z0"/>
          <w:rFonts w:ascii="Times New Roman" w:hAnsi="Times New Roman"/>
          <w:lang w:val="hu-HU" w:eastAsia="hu-HU"/>
        </w:rPr>
        <w:t>Az analízis megerősítette, hogy a</w:t>
      </w:r>
      <w:r w:rsidR="00B242DC" w:rsidRPr="006D0F5F">
        <w:rPr>
          <w:rStyle w:val="WW8Num6z0"/>
          <w:lang w:val="hu-HU"/>
        </w:rPr>
        <w:t xml:space="preserve"> </w:t>
      </w:r>
      <w:r w:rsidR="00237387" w:rsidRPr="006D0F5F">
        <w:rPr>
          <w:rStyle w:val="WW8Num6z0"/>
          <w:lang w:val="hu-HU"/>
        </w:rPr>
        <w:t xml:space="preserve">gyermekeknek és serdülőknek </w:t>
      </w:r>
      <w:r w:rsidRPr="006D0F5F">
        <w:rPr>
          <w:rStyle w:val="WW8Num6z0"/>
          <w:lang w:val="hu-HU"/>
        </w:rPr>
        <w:t>nap</w:t>
      </w:r>
      <w:r w:rsidRPr="006D0F5F">
        <w:rPr>
          <w:rStyle w:val="WW8Num6z0"/>
          <w:rFonts w:ascii="Times New Roman" w:hAnsi="Times New Roman"/>
          <w:lang w:val="hu-HU" w:eastAsia="hu-HU"/>
        </w:rPr>
        <w:t>onta egyszer</w:t>
      </w:r>
      <w:r w:rsidRPr="006D0F5F">
        <w:rPr>
          <w:rStyle w:val="WW8Num6z0"/>
          <w:rFonts w:ascii="Times New Roman" w:hAnsi="Times New Roman"/>
          <w:color w:val="000000"/>
          <w:lang w:val="hu-HU" w:eastAsia="hu-HU"/>
        </w:rPr>
        <w:t xml:space="preserve"> </w:t>
      </w:r>
      <w:r w:rsidR="00237387" w:rsidRPr="006D0F5F">
        <w:rPr>
          <w:rStyle w:val="WW8Num6z0"/>
          <w:rFonts w:ascii="Times New Roman" w:hAnsi="Times New Roman"/>
          <w:color w:val="000000"/>
          <w:lang w:val="hu-HU" w:eastAsia="hu-HU"/>
        </w:rPr>
        <w:t xml:space="preserve">adott </w:t>
      </w:r>
      <w:r w:rsidRPr="006D0F5F">
        <w:rPr>
          <w:rStyle w:val="WW8Num6z0"/>
          <w:rFonts w:ascii="Times New Roman" w:hAnsi="Times New Roman"/>
          <w:color w:val="000000"/>
          <w:lang w:val="hu-HU" w:eastAsia="hu-HU"/>
        </w:rPr>
        <w:t>260</w:t>
      </w:r>
      <w:r w:rsidRPr="006D0F5F">
        <w:rPr>
          <w:rStyle w:val="WW8Num6z0"/>
          <w:color w:val="000000"/>
          <w:lang w:val="hu-HU"/>
        </w:rPr>
        <w:t> mg</w:t>
      </w:r>
      <w:r w:rsidRPr="006D0F5F">
        <w:rPr>
          <w:rStyle w:val="WW8Num6z0"/>
          <w:rFonts w:ascii="Times New Roman" w:hAnsi="Times New Roman"/>
          <w:color w:val="000000"/>
          <w:lang w:val="hu-HU" w:eastAsia="hu-HU"/>
        </w:rPr>
        <w:t>/m</w:t>
      </w:r>
      <w:r w:rsidRPr="006D0F5F">
        <w:rPr>
          <w:rStyle w:val="WW8Num6z0"/>
          <w:rFonts w:ascii="Times New Roman" w:hAnsi="Times New Roman"/>
          <w:color w:val="000000"/>
          <w:vertAlign w:val="superscript"/>
          <w:lang w:val="hu-HU" w:eastAsia="hu-HU"/>
        </w:rPr>
        <w:t>2</w:t>
      </w:r>
      <w:r w:rsidRPr="006D0F5F">
        <w:rPr>
          <w:rStyle w:val="WW8Num6z0"/>
          <w:color w:val="000000"/>
          <w:lang w:val="hu-HU"/>
        </w:rPr>
        <w:noBreakHyphen/>
      </w:r>
      <w:r w:rsidRPr="006D0F5F">
        <w:rPr>
          <w:rStyle w:val="WW8Num6z0"/>
          <w:rFonts w:ascii="Times New Roman" w:hAnsi="Times New Roman"/>
          <w:color w:val="000000"/>
          <w:lang w:val="hu-HU" w:eastAsia="hu-HU"/>
        </w:rPr>
        <w:t>es (a</w:t>
      </w:r>
      <w:r w:rsidR="00B242DC" w:rsidRPr="006D0F5F">
        <w:rPr>
          <w:rStyle w:val="WW8Num6z0"/>
          <w:color w:val="000000"/>
          <w:lang w:val="hu-HU"/>
        </w:rPr>
        <w:t xml:space="preserve"> </w:t>
      </w:r>
      <w:r w:rsidRPr="006D0F5F">
        <w:rPr>
          <w:rStyle w:val="WW8Num6z0"/>
          <w:color w:val="000000"/>
          <w:lang w:val="hu-HU"/>
        </w:rPr>
        <w:t>nap</w:t>
      </w:r>
      <w:r w:rsidRPr="006D0F5F">
        <w:rPr>
          <w:rStyle w:val="WW8Num6z0"/>
          <w:rFonts w:ascii="Times New Roman" w:hAnsi="Times New Roman"/>
          <w:color w:val="000000"/>
          <w:lang w:val="hu-HU" w:eastAsia="hu-HU"/>
        </w:rPr>
        <w:t>i egyszeri 400</w:t>
      </w:r>
      <w:r w:rsidRPr="006D0F5F">
        <w:rPr>
          <w:rStyle w:val="WW8Num6z0"/>
          <w:color w:val="000000"/>
          <w:lang w:val="hu-HU"/>
        </w:rPr>
        <w:t> mg</w:t>
      </w:r>
      <w:r w:rsidRPr="006D0F5F">
        <w:rPr>
          <w:rStyle w:val="WW8Num6z0"/>
          <w:color w:val="000000"/>
          <w:lang w:val="hu-HU"/>
        </w:rPr>
        <w:noBreakHyphen/>
      </w:r>
      <w:r w:rsidRPr="006D0F5F">
        <w:rPr>
          <w:rStyle w:val="WW8Num6z0"/>
          <w:rFonts w:ascii="Times New Roman" w:hAnsi="Times New Roman"/>
          <w:color w:val="000000"/>
          <w:lang w:val="hu-HU" w:eastAsia="hu-HU"/>
        </w:rPr>
        <w:t>ot nem meghaladó) vagy a</w:t>
      </w:r>
      <w:r w:rsidR="00B242DC" w:rsidRPr="006D0F5F">
        <w:rPr>
          <w:rStyle w:val="WW8Num6z0"/>
          <w:color w:val="000000"/>
          <w:lang w:val="hu-HU"/>
        </w:rPr>
        <w:t xml:space="preserve"> </w:t>
      </w:r>
      <w:r w:rsidRPr="006D0F5F">
        <w:rPr>
          <w:rStyle w:val="WW8Num6z0"/>
          <w:color w:val="000000"/>
          <w:lang w:val="hu-HU"/>
        </w:rPr>
        <w:t>nap</w:t>
      </w:r>
      <w:r w:rsidRPr="006D0F5F">
        <w:rPr>
          <w:rStyle w:val="WW8Num6z0"/>
          <w:rFonts w:ascii="Times New Roman" w:hAnsi="Times New Roman"/>
          <w:color w:val="000000"/>
          <w:lang w:val="hu-HU" w:eastAsia="hu-HU"/>
        </w:rPr>
        <w:t xml:space="preserve">onta egyszer </w:t>
      </w:r>
      <w:r w:rsidR="00237387" w:rsidRPr="006D0F5F">
        <w:rPr>
          <w:rStyle w:val="WW8Num6z0"/>
          <w:rFonts w:ascii="Times New Roman" w:hAnsi="Times New Roman"/>
          <w:color w:val="000000"/>
          <w:lang w:val="hu-HU" w:eastAsia="hu-HU"/>
        </w:rPr>
        <w:t xml:space="preserve">adott </w:t>
      </w:r>
      <w:r w:rsidRPr="006D0F5F">
        <w:rPr>
          <w:rStyle w:val="WW8Num6z0"/>
          <w:rFonts w:ascii="Times New Roman" w:hAnsi="Times New Roman"/>
          <w:color w:val="000000"/>
          <w:lang w:val="hu-HU" w:eastAsia="hu-HU"/>
        </w:rPr>
        <w:t>340</w:t>
      </w:r>
      <w:r w:rsidRPr="006D0F5F">
        <w:rPr>
          <w:rStyle w:val="WW8Num6z0"/>
          <w:color w:val="000000"/>
          <w:lang w:val="hu-HU"/>
        </w:rPr>
        <w:t> mg</w:t>
      </w:r>
      <w:r w:rsidRPr="006D0F5F">
        <w:rPr>
          <w:rStyle w:val="WW8Num6z0"/>
          <w:rFonts w:ascii="Times New Roman" w:hAnsi="Times New Roman"/>
          <w:color w:val="000000"/>
          <w:lang w:val="hu-HU" w:eastAsia="hu-HU"/>
        </w:rPr>
        <w:t>/m</w:t>
      </w:r>
      <w:r w:rsidRPr="006D0F5F">
        <w:rPr>
          <w:rStyle w:val="WW8Num6z0"/>
          <w:rFonts w:ascii="Times New Roman" w:hAnsi="Times New Roman"/>
          <w:color w:val="000000"/>
          <w:vertAlign w:val="superscript"/>
          <w:lang w:val="hu-HU" w:eastAsia="hu-HU"/>
        </w:rPr>
        <w:t>2</w:t>
      </w:r>
      <w:r w:rsidRPr="006D0F5F">
        <w:rPr>
          <w:rStyle w:val="WW8Num6z0"/>
          <w:color w:val="000000"/>
          <w:lang w:val="hu-HU"/>
        </w:rPr>
        <w:noBreakHyphen/>
      </w:r>
      <w:r w:rsidRPr="006D0F5F">
        <w:rPr>
          <w:rStyle w:val="WW8Num6z0"/>
          <w:rFonts w:ascii="Times New Roman" w:hAnsi="Times New Roman"/>
          <w:color w:val="000000"/>
          <w:lang w:val="hu-HU" w:eastAsia="hu-HU"/>
        </w:rPr>
        <w:t>es (a</w:t>
      </w:r>
      <w:r w:rsidR="00B242DC" w:rsidRPr="006D0F5F">
        <w:rPr>
          <w:rStyle w:val="WW8Num6z0"/>
          <w:color w:val="000000"/>
          <w:lang w:val="hu-HU"/>
        </w:rPr>
        <w:t xml:space="preserve"> </w:t>
      </w:r>
      <w:r w:rsidRPr="006D0F5F">
        <w:rPr>
          <w:rStyle w:val="WW8Num6z0"/>
          <w:color w:val="000000"/>
          <w:lang w:val="hu-HU"/>
        </w:rPr>
        <w:t>nap</w:t>
      </w:r>
      <w:r w:rsidRPr="006D0F5F">
        <w:rPr>
          <w:rStyle w:val="WW8Num6z0"/>
          <w:rFonts w:ascii="Times New Roman" w:hAnsi="Times New Roman"/>
          <w:color w:val="000000"/>
          <w:lang w:val="hu-HU" w:eastAsia="hu-HU"/>
        </w:rPr>
        <w:t>i egyszeri 600</w:t>
      </w:r>
      <w:r w:rsidRPr="006D0F5F">
        <w:rPr>
          <w:rStyle w:val="WW8Num6z0"/>
          <w:color w:val="000000"/>
          <w:lang w:val="hu-HU"/>
        </w:rPr>
        <w:t> mg</w:t>
      </w:r>
      <w:r w:rsidRPr="006D0F5F">
        <w:rPr>
          <w:rStyle w:val="WW8Num6z0"/>
          <w:color w:val="000000"/>
          <w:lang w:val="hu-HU"/>
        </w:rPr>
        <w:noBreakHyphen/>
      </w:r>
      <w:r w:rsidRPr="006D0F5F">
        <w:rPr>
          <w:rStyle w:val="WW8Num6z0"/>
          <w:rFonts w:ascii="Times New Roman" w:hAnsi="Times New Roman"/>
          <w:color w:val="000000"/>
          <w:lang w:val="hu-HU" w:eastAsia="hu-HU"/>
        </w:rPr>
        <w:t xml:space="preserve">ot nem meghaladó) </w:t>
      </w:r>
      <w:r w:rsidR="00237387" w:rsidRPr="006D0F5F">
        <w:rPr>
          <w:rStyle w:val="WW8Num6z0"/>
          <w:rFonts w:ascii="Times New Roman" w:hAnsi="Times New Roman"/>
          <w:color w:val="000000"/>
          <w:lang w:val="hu-HU" w:eastAsia="hu-HU"/>
        </w:rPr>
        <w:t xml:space="preserve">dózis esetén a náluk mért </w:t>
      </w:r>
      <w:r w:rsidRPr="006D0F5F">
        <w:rPr>
          <w:rStyle w:val="WW8Num6z0"/>
          <w:rFonts w:ascii="Times New Roman" w:hAnsi="Times New Roman"/>
          <w:color w:val="000000"/>
          <w:lang w:val="hu-HU" w:eastAsia="hu-HU"/>
        </w:rPr>
        <w:t>imatinib</w:t>
      </w:r>
      <w:r w:rsidRPr="006D0F5F">
        <w:rPr>
          <w:rStyle w:val="WW8Num6z0"/>
          <w:color w:val="000000"/>
          <w:lang w:val="hu-HU"/>
        </w:rPr>
        <w:noBreakHyphen/>
      </w:r>
      <w:r w:rsidRPr="006D0F5F">
        <w:rPr>
          <w:rStyle w:val="WW8Num6z0"/>
          <w:rFonts w:ascii="Times New Roman" w:hAnsi="Times New Roman"/>
          <w:color w:val="000000"/>
          <w:lang w:val="hu-HU" w:eastAsia="hu-HU"/>
        </w:rPr>
        <w:t>expozíció azokéhoz a felnőtt betegekéhez</w:t>
      </w:r>
      <w:r w:rsidRPr="00556B9B">
        <w:rPr>
          <w:rStyle w:val="WW8Num6z0"/>
          <w:rFonts w:ascii="Times New Roman" w:hAnsi="Times New Roman"/>
          <w:color w:val="000000"/>
          <w:lang w:val="hu-HU" w:eastAsia="hu-HU"/>
        </w:rPr>
        <w:t xml:space="preserve"> </w:t>
      </w:r>
      <w:r w:rsidR="00781B80" w:rsidRPr="00556B9B">
        <w:rPr>
          <w:rStyle w:val="WW8Num6z0"/>
          <w:rFonts w:ascii="Times New Roman" w:hAnsi="Times New Roman"/>
          <w:color w:val="000000"/>
          <w:lang w:val="hu-HU" w:eastAsia="hu-HU"/>
        </w:rPr>
        <w:t xml:space="preserve">volt </w:t>
      </w:r>
      <w:r w:rsidRPr="00556B9B">
        <w:rPr>
          <w:rStyle w:val="WW8Num6z0"/>
          <w:rFonts w:ascii="Times New Roman" w:hAnsi="Times New Roman"/>
          <w:color w:val="000000"/>
          <w:lang w:val="hu-HU" w:eastAsia="hu-HU"/>
        </w:rPr>
        <w:t>hasonló, akik</w:t>
      </w:r>
      <w:r w:rsidR="00B242DC" w:rsidRPr="00556B9B">
        <w:rPr>
          <w:rStyle w:val="WW8Num6z0"/>
          <w:color w:val="000000"/>
          <w:lang w:val="hu-HU"/>
        </w:rPr>
        <w:t xml:space="preserve"> </w:t>
      </w:r>
      <w:r w:rsidRPr="00556B9B">
        <w:rPr>
          <w:rStyle w:val="WW8Num6z0"/>
          <w:color w:val="000000"/>
          <w:lang w:val="hu-HU"/>
        </w:rPr>
        <w:t>nap</w:t>
      </w:r>
      <w:r w:rsidRPr="00556B9B">
        <w:rPr>
          <w:rStyle w:val="WW8Num6z0"/>
          <w:rFonts w:ascii="Times New Roman" w:hAnsi="Times New Roman"/>
          <w:color w:val="000000"/>
          <w:lang w:val="hu-HU" w:eastAsia="hu-HU"/>
        </w:rPr>
        <w:t>onta egyszer 400</w:t>
      </w:r>
      <w:r w:rsidRPr="00556B9B">
        <w:rPr>
          <w:rStyle w:val="WW8Num6z0"/>
          <w:color w:val="000000"/>
          <w:lang w:val="hu-HU"/>
        </w:rPr>
        <w:t> mg</w:t>
      </w:r>
      <w:r w:rsidRPr="00556B9B">
        <w:rPr>
          <w:rStyle w:val="WW8Num6z0"/>
          <w:rFonts w:ascii="Times New Roman" w:hAnsi="Times New Roman"/>
          <w:color w:val="000000"/>
          <w:lang w:val="hu-HU" w:eastAsia="hu-HU"/>
        </w:rPr>
        <w:t xml:space="preserve"> vagy 600</w:t>
      </w:r>
      <w:r w:rsidRPr="00556B9B">
        <w:rPr>
          <w:rStyle w:val="WW8Num6z0"/>
          <w:color w:val="000000"/>
          <w:lang w:val="hu-HU"/>
        </w:rPr>
        <w:t> mg</w:t>
      </w:r>
      <w:r w:rsidRPr="00556B9B">
        <w:rPr>
          <w:rStyle w:val="WW8Num6z0"/>
          <w:rFonts w:ascii="Times New Roman" w:hAnsi="Times New Roman"/>
          <w:color w:val="000000"/>
          <w:lang w:val="hu-HU" w:eastAsia="hu-HU"/>
        </w:rPr>
        <w:t xml:space="preserve"> imatinibet kaptak.</w:t>
      </w:r>
    </w:p>
    <w:p w14:paraId="07666273" w14:textId="77777777" w:rsidR="00910FC8" w:rsidRPr="00556B9B" w:rsidRDefault="00910FC8">
      <w:pPr>
        <w:spacing w:line="240" w:lineRule="auto"/>
        <w:rPr>
          <w:color w:val="000000"/>
          <w:lang w:val="hu-HU"/>
        </w:rPr>
      </w:pPr>
    </w:p>
    <w:p w14:paraId="7DDB8C52" w14:textId="651D8A06" w:rsidR="00910FC8" w:rsidRPr="006D0F5F" w:rsidRDefault="007C1956" w:rsidP="00EC3D42">
      <w:pPr>
        <w:keepNext/>
        <w:spacing w:line="240" w:lineRule="auto"/>
        <w:rPr>
          <w:color w:val="000000"/>
          <w:u w:val="single"/>
          <w:lang w:val="hu-HU"/>
        </w:rPr>
      </w:pPr>
      <w:r w:rsidRPr="006D0F5F">
        <w:rPr>
          <w:color w:val="000000"/>
          <w:u w:val="single"/>
          <w:lang w:val="hu-HU"/>
        </w:rPr>
        <w:t>Károsodott</w:t>
      </w:r>
      <w:r w:rsidR="00910FC8" w:rsidRPr="006D0F5F">
        <w:rPr>
          <w:color w:val="000000"/>
          <w:u w:val="single"/>
          <w:lang w:val="hu-HU"/>
        </w:rPr>
        <w:t xml:space="preserve"> szervműködés</w:t>
      </w:r>
    </w:p>
    <w:p w14:paraId="6AA32EFB" w14:textId="10C2439A" w:rsidR="00910FC8" w:rsidRPr="00556B9B" w:rsidRDefault="00910FC8">
      <w:pPr>
        <w:spacing w:line="240" w:lineRule="auto"/>
        <w:rPr>
          <w:color w:val="000000"/>
          <w:lang w:val="hu-HU"/>
        </w:rPr>
      </w:pPr>
      <w:r w:rsidRPr="006D0F5F">
        <w:rPr>
          <w:color w:val="000000"/>
          <w:lang w:val="hu-HU"/>
        </w:rPr>
        <w:t>Az imatinib és metabolitjai nem ürülnek jelentős mértékben a vesén át. A</w:t>
      </w:r>
      <w:r w:rsidR="00A95122" w:rsidRPr="006D0F5F">
        <w:rPr>
          <w:color w:val="000000"/>
          <w:lang w:val="hu-HU"/>
        </w:rPr>
        <w:t>z</w:t>
      </w:r>
      <w:r w:rsidRPr="006D0F5F">
        <w:rPr>
          <w:color w:val="000000"/>
          <w:lang w:val="hu-HU"/>
        </w:rPr>
        <w:t xml:space="preserve"> enyh</w:t>
      </w:r>
      <w:r w:rsidR="007C1956" w:rsidRPr="006D0F5F">
        <w:rPr>
          <w:color w:val="000000"/>
          <w:lang w:val="hu-HU"/>
        </w:rPr>
        <w:t>e</w:t>
      </w:r>
      <w:r w:rsidRPr="006D0F5F">
        <w:rPr>
          <w:color w:val="000000"/>
          <w:lang w:val="hu-HU"/>
        </w:rPr>
        <w:t xml:space="preserve"> vagy közepe</w:t>
      </w:r>
      <w:r w:rsidR="007C1956" w:rsidRPr="006D0F5F">
        <w:rPr>
          <w:color w:val="000000"/>
          <w:lang w:val="hu-HU"/>
        </w:rPr>
        <w:t>s mértékű vesekárosodásban szenvedő</w:t>
      </w:r>
      <w:r w:rsidRPr="006D0F5F">
        <w:rPr>
          <w:color w:val="000000"/>
          <w:lang w:val="hu-HU"/>
        </w:rPr>
        <w:t xml:space="preserve"> betegekben magasabbnak tűnik a plazmaexpozíció mértéke, mint az egészséges vesefunkciójú betegekben. A növekedés körülbelül 1,5</w:t>
      </w:r>
      <w:r w:rsidRPr="006D0F5F">
        <w:rPr>
          <w:color w:val="000000"/>
          <w:szCs w:val="22"/>
          <w:lang w:val="hu-HU"/>
        </w:rPr>
        <w:t>–</w:t>
      </w:r>
      <w:r w:rsidRPr="006D0F5F">
        <w:rPr>
          <w:color w:val="000000"/>
          <w:lang w:val="hu-HU"/>
        </w:rPr>
        <w:t>2</w:t>
      </w:r>
      <w:r w:rsidRPr="006D0F5F">
        <w:rPr>
          <w:color w:val="000000"/>
          <w:lang w:val="hu-HU"/>
        </w:rPr>
        <w:noBreakHyphen/>
        <w:t>szeres, ami a plazma AGP</w:t>
      </w:r>
      <w:r w:rsidRPr="006D0F5F">
        <w:rPr>
          <w:color w:val="000000"/>
          <w:lang w:val="hu-HU"/>
        </w:rPr>
        <w:noBreakHyphen/>
        <w:t>szint 1,5</w:t>
      </w:r>
      <w:r w:rsidRPr="006D0F5F">
        <w:rPr>
          <w:color w:val="000000"/>
          <w:lang w:val="hu-HU"/>
        </w:rPr>
        <w:noBreakHyphen/>
        <w:t>szeres emelkedésének felel meg (az imatinib erősen kötődik az AGP</w:t>
      </w:r>
      <w:r w:rsidRPr="006D0F5F">
        <w:rPr>
          <w:color w:val="000000"/>
          <w:lang w:val="hu-HU"/>
        </w:rPr>
        <w:noBreakHyphen/>
        <w:t>hez). Az imatinib szabad gyógyszer clearance</w:t>
      </w:r>
      <w:r w:rsidRPr="006D0F5F">
        <w:rPr>
          <w:color w:val="000000"/>
          <w:lang w:val="hu-HU"/>
        </w:rPr>
        <w:noBreakHyphen/>
        <w:t xml:space="preserve">e valószínűleg hasonló a </w:t>
      </w:r>
      <w:r w:rsidR="007C1956" w:rsidRPr="006D0F5F">
        <w:rPr>
          <w:color w:val="000000"/>
          <w:lang w:val="hu-HU"/>
        </w:rPr>
        <w:t>károsodott</w:t>
      </w:r>
      <w:r w:rsidRPr="006D0F5F">
        <w:rPr>
          <w:color w:val="000000"/>
          <w:lang w:val="hu-HU"/>
        </w:rPr>
        <w:t xml:space="preserve"> és az egészséges</w:t>
      </w:r>
      <w:r w:rsidRPr="00556B9B">
        <w:rPr>
          <w:color w:val="000000"/>
          <w:lang w:val="hu-HU"/>
        </w:rPr>
        <w:t xml:space="preserve"> vesefunkciójú betegek esetében, mivel a renális kiválasztás csak kismértékben játszik szerepet az imatinib eliminációjában (lásd 4.2 és 4.4 pont).</w:t>
      </w:r>
    </w:p>
    <w:p w14:paraId="114E4381" w14:textId="77777777" w:rsidR="00910FC8" w:rsidRPr="00556B9B" w:rsidRDefault="00910FC8">
      <w:pPr>
        <w:spacing w:line="240" w:lineRule="auto"/>
        <w:rPr>
          <w:color w:val="000000"/>
          <w:lang w:val="hu-HU"/>
        </w:rPr>
      </w:pPr>
    </w:p>
    <w:p w14:paraId="02806A0F" w14:textId="77777777" w:rsidR="00910FC8" w:rsidRPr="00556B9B" w:rsidRDefault="00910FC8">
      <w:pPr>
        <w:spacing w:line="240" w:lineRule="auto"/>
        <w:rPr>
          <w:color w:val="000000"/>
          <w:lang w:val="hu-HU"/>
        </w:rPr>
      </w:pPr>
      <w:r w:rsidRPr="00556B9B">
        <w:rPr>
          <w:color w:val="000000"/>
          <w:lang w:val="hu-HU"/>
        </w:rPr>
        <w:t>Bár a farmakokinetikai elemzések eredményei azt mutatták, hogy számottevő az egyének közötti variáció, az átlagos imatinib expozíció a normális májműködésű betegekhez viszonyítva nem fokozódott a különböző mértékben beszűkült májfunkciójú betegek esetében (lásd 4.2, 4.4, és 4.8 pontok).</w:t>
      </w:r>
    </w:p>
    <w:p w14:paraId="13716BC9" w14:textId="77777777" w:rsidR="00910FC8" w:rsidRPr="00556B9B" w:rsidRDefault="00910FC8">
      <w:pPr>
        <w:spacing w:line="240" w:lineRule="auto"/>
        <w:rPr>
          <w:color w:val="000000"/>
          <w:lang w:val="hu-HU"/>
        </w:rPr>
      </w:pPr>
    </w:p>
    <w:p w14:paraId="0140C98E" w14:textId="77777777" w:rsidR="00910FC8" w:rsidRPr="00556B9B" w:rsidRDefault="00910FC8" w:rsidP="00EC3D42">
      <w:pPr>
        <w:keepNext/>
        <w:spacing w:line="240" w:lineRule="auto"/>
        <w:ind w:left="567" w:hanging="567"/>
        <w:rPr>
          <w:b/>
          <w:color w:val="000000"/>
          <w:lang w:val="hu-HU"/>
        </w:rPr>
      </w:pPr>
      <w:r w:rsidRPr="00556B9B">
        <w:rPr>
          <w:b/>
          <w:color w:val="000000"/>
          <w:lang w:val="hu-HU"/>
        </w:rPr>
        <w:t>5.3</w:t>
      </w:r>
      <w:r w:rsidRPr="00556B9B">
        <w:rPr>
          <w:b/>
          <w:color w:val="000000"/>
          <w:lang w:val="hu-HU"/>
        </w:rPr>
        <w:tab/>
        <w:t>A preklinikai biztonságossági vizsgálatok eredményei</w:t>
      </w:r>
    </w:p>
    <w:p w14:paraId="2D80F44D" w14:textId="77777777" w:rsidR="00910FC8" w:rsidRPr="00556B9B" w:rsidRDefault="00910FC8" w:rsidP="00EC3D42">
      <w:pPr>
        <w:keepNext/>
        <w:spacing w:line="240" w:lineRule="auto"/>
        <w:rPr>
          <w:color w:val="000000"/>
          <w:lang w:val="hu-HU"/>
        </w:rPr>
      </w:pPr>
    </w:p>
    <w:p w14:paraId="4728EBCA" w14:textId="77777777" w:rsidR="00910FC8" w:rsidRPr="00556B9B" w:rsidRDefault="00910FC8">
      <w:pPr>
        <w:spacing w:line="240" w:lineRule="auto"/>
        <w:rPr>
          <w:color w:val="000000"/>
          <w:lang w:val="hu-HU"/>
        </w:rPr>
      </w:pPr>
      <w:r w:rsidRPr="00556B9B">
        <w:rPr>
          <w:color w:val="000000"/>
          <w:lang w:val="hu-HU"/>
        </w:rPr>
        <w:t>Az imatinib preklinikai biztonságossági profilját patkányokban, kutyákban, majmokban és nyulakban vizsgálták.</w:t>
      </w:r>
    </w:p>
    <w:p w14:paraId="07EA841C" w14:textId="77777777" w:rsidR="00910FC8" w:rsidRPr="00556B9B" w:rsidRDefault="00910FC8">
      <w:pPr>
        <w:spacing w:line="240" w:lineRule="auto"/>
        <w:rPr>
          <w:color w:val="000000"/>
          <w:lang w:val="hu-HU"/>
        </w:rPr>
      </w:pPr>
    </w:p>
    <w:p w14:paraId="4ADAC830" w14:textId="77777777" w:rsidR="00910FC8" w:rsidRPr="00556B9B" w:rsidRDefault="00910FC8">
      <w:pPr>
        <w:spacing w:line="240" w:lineRule="auto"/>
        <w:rPr>
          <w:color w:val="000000"/>
          <w:lang w:val="hu-HU"/>
        </w:rPr>
      </w:pPr>
      <w:r w:rsidRPr="00556B9B">
        <w:rPr>
          <w:color w:val="000000"/>
          <w:lang w:val="hu-HU"/>
        </w:rPr>
        <w:t>Ismételt dózisú toxicitási vizsgálatok enyhe</w:t>
      </w:r>
      <w:r w:rsidRPr="00556B9B">
        <w:rPr>
          <w:color w:val="000000"/>
          <w:lang w:val="hu-HU"/>
        </w:rPr>
        <w:noBreakHyphen/>
        <w:t>mérsékelt fokú hematológiai elváltozást mutattak patkányokban, kutyákban és majmokban, amit csontvelőeltérés kísért patkányokban és kutyákban.</w:t>
      </w:r>
    </w:p>
    <w:p w14:paraId="463EC51C" w14:textId="77777777" w:rsidR="00910FC8" w:rsidRPr="00556B9B" w:rsidRDefault="00910FC8">
      <w:pPr>
        <w:rPr>
          <w:color w:val="000000"/>
          <w:lang w:val="hu-HU"/>
        </w:rPr>
      </w:pPr>
    </w:p>
    <w:p w14:paraId="711C9DAF" w14:textId="77777777" w:rsidR="00910FC8" w:rsidRPr="00556B9B" w:rsidRDefault="00910FC8">
      <w:pPr>
        <w:spacing w:line="240" w:lineRule="auto"/>
        <w:rPr>
          <w:color w:val="000000"/>
          <w:lang w:val="hu-HU"/>
        </w:rPr>
      </w:pPr>
      <w:r w:rsidRPr="00556B9B">
        <w:rPr>
          <w:color w:val="000000"/>
          <w:lang w:val="hu-HU"/>
        </w:rPr>
        <w:lastRenderedPageBreak/>
        <w:t>Patkányokban és kutyákban a célszerv a máj volt. Mindkét fajban enyhe</w:t>
      </w:r>
      <w:r w:rsidRPr="00556B9B">
        <w:rPr>
          <w:color w:val="000000"/>
          <w:lang w:val="hu-HU"/>
        </w:rPr>
        <w:noBreakHyphen/>
        <w:t>mérsékelt transzaminázszint</w:t>
      </w:r>
      <w:r w:rsidRPr="00556B9B">
        <w:rPr>
          <w:color w:val="000000"/>
          <w:lang w:val="hu-HU"/>
        </w:rPr>
        <w:noBreakHyphen/>
        <w:t>emelkedést és csekély mértékű koleszterin</w:t>
      </w:r>
      <w:r w:rsidRPr="00556B9B">
        <w:rPr>
          <w:color w:val="000000"/>
          <w:lang w:val="hu-HU"/>
        </w:rPr>
        <w:noBreakHyphen/>
        <w:t>, triglicerid</w:t>
      </w:r>
      <w:r w:rsidRPr="00556B9B">
        <w:rPr>
          <w:color w:val="000000"/>
          <w:lang w:val="hu-HU"/>
        </w:rPr>
        <w:noBreakHyphen/>
        <w:t>, teljes fehérje</w:t>
      </w:r>
      <w:r w:rsidRPr="00556B9B">
        <w:rPr>
          <w:color w:val="000000"/>
          <w:lang w:val="hu-HU"/>
        </w:rPr>
        <w:noBreakHyphen/>
        <w:t xml:space="preserve"> és albuminszint</w:t>
      </w:r>
      <w:r w:rsidRPr="00556B9B">
        <w:rPr>
          <w:color w:val="000000"/>
          <w:lang w:val="hu-HU"/>
        </w:rPr>
        <w:noBreakHyphen/>
        <w:t>csökkenést figyeltek meg. Patkányok májában hisztopatológiai eltérést nem észleltek. Két hétig kezelt kutyákban súlyos májtoxicitást észleltek, emelkedett májenzimszint értékekkel, hepatocellularis necrosissal, epeút necrosissal és epeút hyperplasiával.</w:t>
      </w:r>
    </w:p>
    <w:p w14:paraId="71DA2C98" w14:textId="77777777" w:rsidR="00910FC8" w:rsidRPr="00556B9B" w:rsidRDefault="00910FC8">
      <w:pPr>
        <w:spacing w:line="240" w:lineRule="auto"/>
        <w:rPr>
          <w:color w:val="000000"/>
          <w:lang w:val="hu-HU"/>
        </w:rPr>
      </w:pPr>
    </w:p>
    <w:p w14:paraId="59EDC452" w14:textId="77777777" w:rsidR="00910FC8" w:rsidRPr="00556B9B" w:rsidRDefault="00910FC8">
      <w:pPr>
        <w:spacing w:line="240" w:lineRule="auto"/>
        <w:rPr>
          <w:color w:val="000000"/>
          <w:lang w:val="hu-HU"/>
        </w:rPr>
      </w:pPr>
      <w:r w:rsidRPr="00556B9B">
        <w:rPr>
          <w:color w:val="000000"/>
          <w:lang w:val="hu-HU"/>
        </w:rPr>
        <w:t>Két hétig kezelt majmokban vesetoxicitást észleltek, a vesetubulusok focalis mineralisatiójával és dilatatiójával, valamint tubularis nephrosissal. Ezek közül több majomban megnövekedett karbamid</w:t>
      </w:r>
      <w:r w:rsidRPr="00556B9B">
        <w:rPr>
          <w:color w:val="000000"/>
          <w:lang w:val="hu-HU"/>
        </w:rPr>
        <w:noBreakHyphen/>
        <w:t xml:space="preserve">nitrogén (BUN) és kreatininszint volt észlelhető. Patkányokban, 13 hetes vizsgálatban, </w:t>
      </w:r>
      <w:r w:rsidRPr="00556B9B">
        <w:rPr>
          <w:color w:val="000000"/>
          <w:lang w:val="hu-HU"/>
        </w:rPr>
        <w:sym w:font="Symbol" w:char="F0B3"/>
      </w:r>
      <w:r w:rsidRPr="00556B9B">
        <w:rPr>
          <w:color w:val="000000"/>
          <w:lang w:val="hu-HU"/>
        </w:rPr>
        <w:t> 6 mg/ttkg dózisok alkalmazása mellett a vesepapilla és a húgyhólyag transitionalis epitheliumának hyperplasiáját észlelték szérum</w:t>
      </w:r>
      <w:r w:rsidRPr="00556B9B">
        <w:rPr>
          <w:color w:val="000000"/>
          <w:lang w:val="hu-HU"/>
        </w:rPr>
        <w:noBreakHyphen/>
        <w:t>, ill. vizeleteltérés nélkül. Krónikus imatinib</w:t>
      </w:r>
      <w:r w:rsidRPr="00556B9B">
        <w:rPr>
          <w:color w:val="000000"/>
          <w:lang w:val="hu-HU"/>
        </w:rPr>
        <w:noBreakHyphen/>
        <w:t>kezeléskor az opportunista fertőzések gyakoribb előfordulását észlelték.</w:t>
      </w:r>
    </w:p>
    <w:p w14:paraId="1191566F" w14:textId="77777777" w:rsidR="00910FC8" w:rsidRPr="00556B9B" w:rsidRDefault="00910FC8">
      <w:pPr>
        <w:spacing w:line="240" w:lineRule="auto"/>
        <w:rPr>
          <w:color w:val="000000"/>
          <w:lang w:val="hu-HU"/>
        </w:rPr>
      </w:pPr>
    </w:p>
    <w:p w14:paraId="0FAD8F3C" w14:textId="77777777" w:rsidR="00910FC8" w:rsidRPr="00556B9B" w:rsidRDefault="00910FC8">
      <w:pPr>
        <w:spacing w:line="240" w:lineRule="auto"/>
        <w:rPr>
          <w:color w:val="000000"/>
          <w:lang w:val="hu-HU"/>
        </w:rPr>
      </w:pPr>
      <w:r w:rsidRPr="00556B9B">
        <w:rPr>
          <w:color w:val="000000"/>
          <w:lang w:val="hu-HU"/>
        </w:rPr>
        <w:t>Egy 39 hetes, majmokban végzett vizsgálatban, a legalacsonyabb 15 mg/ttkg dózis – körülbelül egyharmada a testfelületre számított maximális, 800 mg</w:t>
      </w:r>
      <w:r w:rsidRPr="00556B9B">
        <w:rPr>
          <w:color w:val="000000"/>
          <w:lang w:val="hu-HU"/>
        </w:rPr>
        <w:noBreakHyphen/>
        <w:t>os humán dózisnak – alkalmazása mellett nem állapították meg a „nem észlelhető kedvezőtlen hatás szintet” (NOAEL – no observed adverse effect level). Ezekben az állatokban a kezelés a normálisan szuppresszált malariás infectio rosszabbodását eredményezte.</w:t>
      </w:r>
    </w:p>
    <w:p w14:paraId="105C9909" w14:textId="77777777" w:rsidR="00910FC8" w:rsidRPr="00556B9B" w:rsidRDefault="00910FC8">
      <w:pPr>
        <w:spacing w:line="240" w:lineRule="auto"/>
        <w:rPr>
          <w:color w:val="000000"/>
          <w:lang w:val="hu-HU"/>
        </w:rPr>
      </w:pPr>
    </w:p>
    <w:p w14:paraId="4B67B680" w14:textId="77777777" w:rsidR="00910FC8" w:rsidRPr="00556B9B" w:rsidRDefault="00910FC8">
      <w:pPr>
        <w:spacing w:line="240" w:lineRule="auto"/>
        <w:rPr>
          <w:color w:val="000000"/>
          <w:lang w:val="hu-HU"/>
        </w:rPr>
      </w:pPr>
      <w:r w:rsidRPr="00556B9B">
        <w:rPr>
          <w:color w:val="000000"/>
          <w:lang w:val="hu-HU"/>
        </w:rPr>
        <w:t xml:space="preserve">Az imatinib nem bizonyult genotoxikusnak </w:t>
      </w:r>
      <w:r w:rsidRPr="00556B9B">
        <w:rPr>
          <w:i/>
          <w:color w:val="000000"/>
          <w:lang w:val="hu-HU"/>
        </w:rPr>
        <w:t>in vitro</w:t>
      </w:r>
      <w:r w:rsidRPr="00556B9B">
        <w:rPr>
          <w:color w:val="000000"/>
          <w:lang w:val="hu-HU"/>
        </w:rPr>
        <w:t xml:space="preserve"> baktériumsejt assay</w:t>
      </w:r>
      <w:r w:rsidRPr="00556B9B">
        <w:rPr>
          <w:color w:val="000000"/>
          <w:lang w:val="hu-HU"/>
        </w:rPr>
        <w:noBreakHyphen/>
        <w:t xml:space="preserve">ben (Ames teszt), </w:t>
      </w:r>
      <w:r w:rsidRPr="00556B9B">
        <w:rPr>
          <w:i/>
          <w:color w:val="000000"/>
          <w:lang w:val="hu-HU"/>
        </w:rPr>
        <w:t>in vitro</w:t>
      </w:r>
      <w:r w:rsidRPr="00556B9B">
        <w:rPr>
          <w:color w:val="000000"/>
          <w:lang w:val="hu-HU"/>
        </w:rPr>
        <w:t xml:space="preserve"> emlőssejt tesztben (egér lymphoma) és </w:t>
      </w:r>
      <w:r w:rsidRPr="00556B9B">
        <w:rPr>
          <w:i/>
          <w:color w:val="000000"/>
          <w:lang w:val="hu-HU"/>
        </w:rPr>
        <w:t>in vivo</w:t>
      </w:r>
      <w:r w:rsidRPr="00556B9B">
        <w:rPr>
          <w:color w:val="000000"/>
          <w:lang w:val="hu-HU"/>
        </w:rPr>
        <w:t xml:space="preserve"> patkány micronucleus tesztben. Pozitív genotoxikus hatást figyeltek meg egy </w:t>
      </w:r>
      <w:r w:rsidRPr="00556B9B">
        <w:rPr>
          <w:i/>
          <w:color w:val="000000"/>
          <w:lang w:val="hu-HU"/>
        </w:rPr>
        <w:t>in vitro</w:t>
      </w:r>
      <w:r w:rsidRPr="00556B9B">
        <w:rPr>
          <w:color w:val="000000"/>
          <w:lang w:val="hu-HU"/>
        </w:rPr>
        <w:t xml:space="preserve"> emlőssejt assay</w:t>
      </w:r>
      <w:r w:rsidRPr="00556B9B">
        <w:rPr>
          <w:color w:val="000000"/>
          <w:lang w:val="hu-HU"/>
        </w:rPr>
        <w:noBreakHyphen/>
        <w:t xml:space="preserve">ben (kínai hörcsög ovarium) clastogenicitást tekintve (chromosoma aberratio) metabolikus aktiváció fennállásakor. Ames tesztben a gyártási folyamat két közbenső vegyülete </w:t>
      </w:r>
      <w:r w:rsidRPr="00556B9B">
        <w:rPr>
          <w:color w:val="000000"/>
          <w:lang w:val="hu-HU"/>
        </w:rPr>
        <w:noBreakHyphen/>
        <w:t> ami a végtermékben is jelen van </w:t>
      </w:r>
      <w:r w:rsidRPr="00556B9B">
        <w:rPr>
          <w:color w:val="000000"/>
          <w:lang w:val="hu-HU"/>
        </w:rPr>
        <w:noBreakHyphen/>
        <w:t xml:space="preserve"> pozitív mutagén hatásúnak bizonyult. A közbenső vegyületek egyike egér lymphoma tesztben is pozitív hatásúnak bizonyult.</w:t>
      </w:r>
    </w:p>
    <w:p w14:paraId="64D12A3C" w14:textId="77777777" w:rsidR="00910FC8" w:rsidRPr="00556B9B" w:rsidRDefault="00910FC8">
      <w:pPr>
        <w:spacing w:line="240" w:lineRule="auto"/>
        <w:rPr>
          <w:color w:val="000000"/>
          <w:lang w:val="hu-HU"/>
        </w:rPr>
      </w:pPr>
    </w:p>
    <w:p w14:paraId="474E228D" w14:textId="77777777" w:rsidR="00910FC8" w:rsidRPr="00556B9B" w:rsidRDefault="00910FC8">
      <w:pPr>
        <w:spacing w:line="240" w:lineRule="auto"/>
        <w:rPr>
          <w:color w:val="000000"/>
          <w:lang w:val="hu-HU"/>
        </w:rPr>
      </w:pPr>
      <w:r w:rsidRPr="00556B9B">
        <w:rPr>
          <w:color w:val="000000"/>
          <w:lang w:val="hu-HU"/>
        </w:rPr>
        <w:t xml:space="preserve">Fertilitási vizsgálatban hímpatkányokban a párosodást megelőző 70 napban alkalmazott 60 mg/ttkg dózis alkalmazásakor, ami körülbelül megfelel a testfelületre számított 800 mg/nap maximális klinikai dózisnak, a testicularis és epididymalis tömeg, valamint a mozgó spermiumok arányának csökkenését észlelték. Mindez ≤ 20 mg/ttkg alkalmazott dózisban nem volt megfigyelhető. Kutyákban, ha az orális dózis </w:t>
      </w:r>
      <w:r w:rsidRPr="00556B9B">
        <w:rPr>
          <w:color w:val="000000"/>
          <w:lang w:val="hu-HU"/>
        </w:rPr>
        <w:sym w:font="Symbol" w:char="F0B3"/>
      </w:r>
      <w:r w:rsidRPr="00556B9B">
        <w:rPr>
          <w:color w:val="000000"/>
          <w:lang w:val="hu-HU"/>
        </w:rPr>
        <w:t> 30 mg/ttkg, a spermatogenesis csekélytől mérsékelt fokig terjedő csökkenését figyelték meg. Amikor nőstény patkányokat kezeltek a párosodást megelőző 14 napban és a 6. gestatios napig, az adott kezelés nem volt hatással a párosodásra, és a vemhessé vált patkányok számára. Nőstény patkányokban 60 mg/ttkg dózis szignifikáns mértékben fokozta a postimplantatiós spontán abortus előfordulását, és csökkentette az élő foetusok számát, mely ≤ 20 mg/ttkg esetén nem észlelhető.</w:t>
      </w:r>
    </w:p>
    <w:p w14:paraId="1B906480" w14:textId="77777777" w:rsidR="00910FC8" w:rsidRPr="00556B9B" w:rsidRDefault="00910FC8">
      <w:pPr>
        <w:pStyle w:val="BodyText"/>
        <w:spacing w:line="240" w:lineRule="auto"/>
        <w:rPr>
          <w:b w:val="0"/>
          <w:i w:val="0"/>
          <w:color w:val="000000"/>
          <w:lang w:val="hu-HU"/>
        </w:rPr>
      </w:pPr>
    </w:p>
    <w:p w14:paraId="0D6C3DD9" w14:textId="77777777" w:rsidR="00910FC8" w:rsidRPr="00556B9B" w:rsidRDefault="00910FC8">
      <w:pPr>
        <w:pStyle w:val="BodyText"/>
        <w:spacing w:line="240" w:lineRule="auto"/>
        <w:rPr>
          <w:b w:val="0"/>
          <w:i w:val="0"/>
          <w:color w:val="000000"/>
          <w:lang w:val="hu-HU"/>
        </w:rPr>
      </w:pPr>
      <w:r w:rsidRPr="00556B9B">
        <w:rPr>
          <w:b w:val="0"/>
          <w:i w:val="0"/>
          <w:color w:val="000000"/>
          <w:lang w:val="hu-HU"/>
        </w:rPr>
        <w:t>Egy, a patkányokban végzett orális pre</w:t>
      </w:r>
      <w:r w:rsidRPr="00556B9B">
        <w:rPr>
          <w:b w:val="0"/>
          <w:i w:val="0"/>
          <w:color w:val="000000"/>
          <w:lang w:val="hu-HU"/>
        </w:rPr>
        <w:noBreakHyphen/>
        <w:t>, ill. postnatalis fejlődési vizsgálatban vörös hüvelyi folyás mutatkozott a 14. vagy a 15. gestatiós napon a 45 mg/ttkg/nap adagot kapó csoportban. Ugyanezen adagon a halvaszületési arány és az első négy napban bekövetkező magzati halálozási arány megnövekedett. Az F</w:t>
      </w:r>
      <w:r w:rsidRPr="00556B9B">
        <w:rPr>
          <w:b w:val="0"/>
          <w:i w:val="0"/>
          <w:color w:val="000000"/>
          <w:vertAlign w:val="subscript"/>
          <w:lang w:val="hu-HU"/>
        </w:rPr>
        <w:t>1</w:t>
      </w:r>
      <w:r w:rsidRPr="00556B9B">
        <w:rPr>
          <w:b w:val="0"/>
          <w:i w:val="0"/>
          <w:color w:val="000000"/>
          <w:lang w:val="hu-HU"/>
        </w:rPr>
        <w:t xml:space="preserve"> utódok esetében – ugyanezen adag mellett – kisebb volt az átlagos testtömeg a születéstől elhullásukig, és a praeputialis elkülönítést szükségessé tevő alomszám némileg csökkent. Bár az F</w:t>
      </w:r>
      <w:r w:rsidRPr="00556B9B">
        <w:rPr>
          <w:b w:val="0"/>
          <w:i w:val="0"/>
          <w:color w:val="000000"/>
          <w:vertAlign w:val="subscript"/>
          <w:lang w:val="hu-HU"/>
        </w:rPr>
        <w:t>1</w:t>
      </w:r>
      <w:r w:rsidRPr="00556B9B">
        <w:rPr>
          <w:b w:val="0"/>
          <w:i w:val="0"/>
          <w:color w:val="000000"/>
          <w:lang w:val="hu-HU"/>
        </w:rPr>
        <w:t xml:space="preserve"> utódok fertilitása nem csökkent, a 45 mg/kg nap adag mellett nagyobb számú volt az intrauterin felszívódás, és kisebb számú az életképes foetusok száma. Az anyaállatra és az F</w:t>
      </w:r>
      <w:r w:rsidRPr="00556B9B">
        <w:rPr>
          <w:b w:val="0"/>
          <w:i w:val="0"/>
          <w:color w:val="000000"/>
          <w:vertAlign w:val="subscript"/>
          <w:lang w:val="hu-HU"/>
        </w:rPr>
        <w:t>1</w:t>
      </w:r>
      <w:r w:rsidRPr="00556B9B">
        <w:rPr>
          <w:b w:val="0"/>
          <w:i w:val="0"/>
          <w:color w:val="000000"/>
          <w:lang w:val="hu-HU"/>
        </w:rPr>
        <w:t xml:space="preserve"> generációra a „nem észlelhető hatás szint” (NOEL </w:t>
      </w:r>
      <w:r w:rsidRPr="00556B9B">
        <w:rPr>
          <w:b w:val="0"/>
          <w:i w:val="0"/>
          <w:color w:val="000000"/>
          <w:lang w:val="hu-HU"/>
        </w:rPr>
        <w:noBreakHyphen/>
        <w:t> no observed effect level) értéke 15 mg/ttkg/nap volt, ami a 800 mg maximális humán adag negyedének felel meg.</w:t>
      </w:r>
    </w:p>
    <w:p w14:paraId="0C8D5BEB" w14:textId="77777777" w:rsidR="00910FC8" w:rsidRPr="00556B9B" w:rsidRDefault="00910FC8">
      <w:pPr>
        <w:spacing w:line="240" w:lineRule="auto"/>
        <w:rPr>
          <w:color w:val="000000"/>
          <w:lang w:val="hu-HU"/>
        </w:rPr>
      </w:pPr>
    </w:p>
    <w:p w14:paraId="260BEEAF" w14:textId="77777777" w:rsidR="00910FC8" w:rsidRPr="00556B9B" w:rsidRDefault="00910FC8">
      <w:pPr>
        <w:spacing w:line="240" w:lineRule="auto"/>
        <w:rPr>
          <w:color w:val="000000"/>
          <w:lang w:val="hu-HU"/>
        </w:rPr>
      </w:pPr>
      <w:r w:rsidRPr="00556B9B">
        <w:rPr>
          <w:color w:val="000000"/>
          <w:lang w:val="hu-HU"/>
        </w:rPr>
        <w:t xml:space="preserve">Patkányokban az organogenezis ideje alatt alkalmazott </w:t>
      </w:r>
      <w:r w:rsidRPr="00556B9B">
        <w:rPr>
          <w:color w:val="000000"/>
          <w:lang w:val="hu-HU"/>
        </w:rPr>
        <w:sym w:font="Symbol" w:char="F0B3"/>
      </w:r>
      <w:r w:rsidRPr="00556B9B">
        <w:rPr>
          <w:color w:val="000000"/>
          <w:lang w:val="hu-HU"/>
        </w:rPr>
        <w:t> 100 mg/ttkg (ami körülbelül megfelel a testfelületre számított 800 mg/nap maximális humán klinikai dózisnak) imatinib adag teratogénnek bizonyult. A teratogén hatások közé tartozott az exencephalia vagy encephalocele, a frontalis csontok hiánya/hiányos kifejlődése és a partietalis csontok hiánya. Ezek a hatások nem voltak észlelhetők ≤ 30 mg/ttkg adagokban.</w:t>
      </w:r>
    </w:p>
    <w:p w14:paraId="32D07EC6" w14:textId="77777777" w:rsidR="00910FC8" w:rsidRPr="00556B9B" w:rsidRDefault="00910FC8">
      <w:pPr>
        <w:spacing w:line="240" w:lineRule="auto"/>
        <w:rPr>
          <w:color w:val="000000"/>
          <w:lang w:val="hu-HU"/>
        </w:rPr>
      </w:pPr>
    </w:p>
    <w:p w14:paraId="039C4B8C" w14:textId="77777777" w:rsidR="000A1D46" w:rsidRPr="00556B9B" w:rsidRDefault="000A1D46" w:rsidP="001444DC">
      <w:pPr>
        <w:spacing w:line="240" w:lineRule="auto"/>
        <w:rPr>
          <w:color w:val="000000"/>
          <w:lang w:val="hu-HU"/>
        </w:rPr>
      </w:pPr>
      <w:r w:rsidRPr="00556B9B">
        <w:rPr>
          <w:color w:val="000000"/>
          <w:lang w:val="hu-HU"/>
        </w:rPr>
        <w:t>Fiatal patkányokon végzett fejlődés toxikológiai vizsgálatban (</w:t>
      </w:r>
      <w:r w:rsidR="00BB496D" w:rsidRPr="00556B9B">
        <w:rPr>
          <w:color w:val="000000"/>
          <w:lang w:val="hu-HU"/>
        </w:rPr>
        <w:t>az ellés</w:t>
      </w:r>
      <w:r w:rsidRPr="00556B9B">
        <w:rPr>
          <w:color w:val="000000"/>
          <w:lang w:val="hu-HU"/>
        </w:rPr>
        <w:t xml:space="preserve"> utáni</w:t>
      </w:r>
      <w:r w:rsidR="001444DC" w:rsidRPr="00556B9B">
        <w:rPr>
          <w:color w:val="000000"/>
          <w:lang w:val="hu-HU"/>
        </w:rPr>
        <w:t> </w:t>
      </w:r>
      <w:r w:rsidRPr="00556B9B">
        <w:rPr>
          <w:color w:val="000000"/>
          <w:lang w:val="hu-HU"/>
        </w:rPr>
        <w:t>10. és 70.</w:t>
      </w:r>
      <w:r w:rsidR="00BB496D" w:rsidRPr="00556B9B">
        <w:rPr>
          <w:color w:val="000000"/>
          <w:lang w:val="hu-HU"/>
        </w:rPr>
        <w:t> </w:t>
      </w:r>
      <w:r w:rsidRPr="00556B9B">
        <w:rPr>
          <w:color w:val="000000"/>
          <w:lang w:val="hu-HU"/>
        </w:rPr>
        <w:t>napon) a felnőtt patkányokban már ismert célszervek</w:t>
      </w:r>
      <w:r w:rsidR="00BB496D" w:rsidRPr="00556B9B">
        <w:rPr>
          <w:color w:val="000000"/>
          <w:lang w:val="hu-HU"/>
        </w:rPr>
        <w:t>hez képest nem azonosítottak új célszerveket</w:t>
      </w:r>
      <w:r w:rsidRPr="00556B9B">
        <w:rPr>
          <w:color w:val="000000"/>
          <w:lang w:val="hu-HU"/>
        </w:rPr>
        <w:t xml:space="preserve">. </w:t>
      </w:r>
      <w:r w:rsidR="00BB496D" w:rsidRPr="00556B9B">
        <w:rPr>
          <w:color w:val="000000"/>
          <w:lang w:val="hu-HU"/>
        </w:rPr>
        <w:t>A j</w:t>
      </w:r>
      <w:r w:rsidRPr="00556B9B">
        <w:rPr>
          <w:color w:val="000000"/>
          <w:lang w:val="hu-HU"/>
        </w:rPr>
        <w:t>uvenilis toxikológiai vizsgálatban</w:t>
      </w:r>
      <w:r w:rsidR="00BB496D" w:rsidRPr="00556B9B">
        <w:rPr>
          <w:color w:val="000000"/>
          <w:lang w:val="hu-HU"/>
        </w:rPr>
        <w:t xml:space="preserve"> a</w:t>
      </w:r>
      <w:r w:rsidRPr="00556B9B">
        <w:rPr>
          <w:color w:val="000000"/>
          <w:lang w:val="hu-HU"/>
        </w:rPr>
        <w:t xml:space="preserve"> legnagyobb </w:t>
      </w:r>
      <w:r w:rsidR="00BB496D" w:rsidRPr="00556B9B">
        <w:rPr>
          <w:color w:val="000000"/>
          <w:lang w:val="hu-HU"/>
        </w:rPr>
        <w:t xml:space="preserve">ajánlott </w:t>
      </w:r>
      <w:r w:rsidRPr="00556B9B">
        <w:rPr>
          <w:color w:val="000000"/>
          <w:lang w:val="hu-HU"/>
        </w:rPr>
        <w:t>340</w:t>
      </w:r>
      <w:r w:rsidR="003A1A38" w:rsidRPr="00556B9B">
        <w:rPr>
          <w:color w:val="000000"/>
          <w:lang w:val="hu-HU"/>
        </w:rPr>
        <w:t> </w:t>
      </w:r>
      <w:r w:rsidRPr="00556B9B">
        <w:rPr>
          <w:color w:val="000000"/>
          <w:lang w:val="hu-HU"/>
        </w:rPr>
        <w:t>mg/m</w:t>
      </w:r>
      <w:r w:rsidRPr="00556B9B">
        <w:rPr>
          <w:color w:val="000000"/>
          <w:vertAlign w:val="superscript"/>
          <w:lang w:val="hu-HU"/>
        </w:rPr>
        <w:t xml:space="preserve">2 </w:t>
      </w:r>
      <w:r w:rsidR="00BB496D" w:rsidRPr="00556B9B">
        <w:rPr>
          <w:color w:val="000000"/>
          <w:lang w:val="hu-HU"/>
        </w:rPr>
        <w:noBreakHyphen/>
        <w:t xml:space="preserve">es dózis mellett, </w:t>
      </w:r>
      <w:r w:rsidRPr="00556B9B">
        <w:rPr>
          <w:color w:val="000000"/>
          <w:lang w:val="hu-HU"/>
        </w:rPr>
        <w:t>amely az átlag</w:t>
      </w:r>
      <w:r w:rsidR="00BB496D" w:rsidRPr="00556B9B">
        <w:rPr>
          <w:color w:val="000000"/>
          <w:lang w:val="hu-HU"/>
        </w:rPr>
        <w:t>os</w:t>
      </w:r>
      <w:r w:rsidRPr="00556B9B">
        <w:rPr>
          <w:color w:val="000000"/>
          <w:lang w:val="hu-HU"/>
        </w:rPr>
        <w:t xml:space="preserve"> gyermek</w:t>
      </w:r>
      <w:r w:rsidR="00BB496D" w:rsidRPr="00556B9B">
        <w:rPr>
          <w:color w:val="000000"/>
          <w:lang w:val="hu-HU"/>
        </w:rPr>
        <w:t xml:space="preserve">gyógyászati </w:t>
      </w:r>
      <w:r w:rsidRPr="00556B9B">
        <w:rPr>
          <w:color w:val="000000"/>
          <w:lang w:val="hu-HU"/>
        </w:rPr>
        <w:t>expozíció 0,3-2-szerese</w:t>
      </w:r>
      <w:r w:rsidR="00BB496D" w:rsidRPr="00556B9B">
        <w:rPr>
          <w:color w:val="000000"/>
          <w:lang w:val="hu-HU"/>
        </w:rPr>
        <w:t>,</w:t>
      </w:r>
      <w:r w:rsidRPr="00556B9B">
        <w:rPr>
          <w:color w:val="000000"/>
          <w:lang w:val="hu-HU"/>
        </w:rPr>
        <w:t xml:space="preserve"> a növekedésre gyakorolt hatás</w:t>
      </w:r>
      <w:r w:rsidR="00BB496D" w:rsidRPr="00556B9B">
        <w:rPr>
          <w:color w:val="000000"/>
          <w:lang w:val="hu-HU"/>
        </w:rPr>
        <w:t>okat</w:t>
      </w:r>
      <w:r w:rsidRPr="00556B9B">
        <w:rPr>
          <w:color w:val="000000"/>
          <w:lang w:val="hu-HU"/>
        </w:rPr>
        <w:t xml:space="preserve">, a vagina </w:t>
      </w:r>
      <w:r w:rsidR="00BB496D" w:rsidRPr="00556B9B">
        <w:rPr>
          <w:color w:val="000000"/>
          <w:lang w:val="hu-HU"/>
        </w:rPr>
        <w:t xml:space="preserve">késői </w:t>
      </w:r>
      <w:r w:rsidRPr="00556B9B">
        <w:rPr>
          <w:color w:val="000000"/>
          <w:lang w:val="hu-HU"/>
        </w:rPr>
        <w:t>megnyílás</w:t>
      </w:r>
      <w:r w:rsidR="00BB496D" w:rsidRPr="00556B9B">
        <w:rPr>
          <w:color w:val="000000"/>
          <w:lang w:val="hu-HU"/>
        </w:rPr>
        <w:t>át</w:t>
      </w:r>
      <w:r w:rsidRPr="00556B9B">
        <w:rPr>
          <w:color w:val="000000"/>
          <w:lang w:val="hu-HU"/>
        </w:rPr>
        <w:t xml:space="preserve"> és a fityma </w:t>
      </w:r>
      <w:r w:rsidR="00BB496D" w:rsidRPr="00556B9B">
        <w:rPr>
          <w:color w:val="000000"/>
          <w:lang w:val="hu-HU"/>
        </w:rPr>
        <w:t xml:space="preserve">késői </w:t>
      </w:r>
      <w:r w:rsidRPr="00556B9B">
        <w:rPr>
          <w:color w:val="000000"/>
          <w:lang w:val="hu-HU"/>
        </w:rPr>
        <w:t>elválás</w:t>
      </w:r>
      <w:r w:rsidR="00BB496D" w:rsidRPr="00556B9B">
        <w:rPr>
          <w:color w:val="000000"/>
          <w:lang w:val="hu-HU"/>
        </w:rPr>
        <w:t>át</w:t>
      </w:r>
      <w:r w:rsidRPr="00556B9B">
        <w:rPr>
          <w:color w:val="000000"/>
          <w:lang w:val="hu-HU"/>
        </w:rPr>
        <w:t xml:space="preserve"> </w:t>
      </w:r>
      <w:r w:rsidR="00BB496D" w:rsidRPr="00556B9B">
        <w:rPr>
          <w:color w:val="000000"/>
          <w:lang w:val="hu-HU"/>
        </w:rPr>
        <w:t>észlelték</w:t>
      </w:r>
      <w:r w:rsidRPr="00556B9B">
        <w:rPr>
          <w:color w:val="000000"/>
          <w:lang w:val="hu-HU"/>
        </w:rPr>
        <w:t xml:space="preserve">. Ezen kívűl fiatal állatoknál a legnagyobb ajánlott </w:t>
      </w:r>
      <w:r w:rsidR="00BB496D" w:rsidRPr="00556B9B">
        <w:rPr>
          <w:color w:val="000000"/>
          <w:lang w:val="hu-HU"/>
        </w:rPr>
        <w:lastRenderedPageBreak/>
        <w:t>340 mg/m</w:t>
      </w:r>
      <w:r w:rsidR="00BB496D" w:rsidRPr="00556B9B">
        <w:rPr>
          <w:color w:val="000000"/>
          <w:vertAlign w:val="superscript"/>
          <w:lang w:val="hu-HU"/>
        </w:rPr>
        <w:t xml:space="preserve">2 </w:t>
      </w:r>
      <w:r w:rsidR="00BB496D" w:rsidRPr="00556B9B">
        <w:rPr>
          <w:color w:val="000000"/>
          <w:lang w:val="hu-HU"/>
        </w:rPr>
        <w:noBreakHyphen/>
        <w:t xml:space="preserve">es dózis mellett, amely az átlagos gyermekgyógyászati expozíció </w:t>
      </w:r>
      <w:r w:rsidRPr="00556B9B">
        <w:rPr>
          <w:color w:val="000000"/>
          <w:lang w:val="hu-HU"/>
        </w:rPr>
        <w:t>2-szerese</w:t>
      </w:r>
      <w:r w:rsidR="00F6321D" w:rsidRPr="00556B9B">
        <w:rPr>
          <w:color w:val="000000"/>
          <w:lang w:val="hu-HU"/>
        </w:rPr>
        <w:t>,</w:t>
      </w:r>
      <w:r w:rsidRPr="00556B9B">
        <w:rPr>
          <w:color w:val="000000"/>
          <w:lang w:val="hu-HU"/>
        </w:rPr>
        <w:t xml:space="preserve"> mortalitást is megfigyeltek</w:t>
      </w:r>
      <w:r w:rsidR="00F6321D" w:rsidRPr="00556B9B">
        <w:rPr>
          <w:color w:val="000000"/>
          <w:lang w:val="hu-HU"/>
        </w:rPr>
        <w:t xml:space="preserve"> (az elválasztás ideje körül)</w:t>
      </w:r>
      <w:r w:rsidRPr="00556B9B">
        <w:rPr>
          <w:color w:val="000000"/>
          <w:lang w:val="hu-HU"/>
        </w:rPr>
        <w:t>.</w:t>
      </w:r>
    </w:p>
    <w:p w14:paraId="1E0AF6A1" w14:textId="77777777" w:rsidR="00946117" w:rsidRPr="00556B9B" w:rsidRDefault="00946117">
      <w:pPr>
        <w:spacing w:line="240" w:lineRule="auto"/>
        <w:rPr>
          <w:color w:val="000000"/>
          <w:lang w:val="hu-HU"/>
        </w:rPr>
      </w:pPr>
    </w:p>
    <w:p w14:paraId="25A43DE1" w14:textId="77777777" w:rsidR="00910FC8" w:rsidRPr="00556B9B" w:rsidRDefault="00910FC8">
      <w:pPr>
        <w:spacing w:line="240" w:lineRule="auto"/>
        <w:rPr>
          <w:color w:val="000000"/>
          <w:lang w:val="hu-HU"/>
        </w:rPr>
      </w:pPr>
      <w:r w:rsidRPr="00556B9B">
        <w:rPr>
          <w:color w:val="000000"/>
          <w:lang w:val="hu-HU"/>
        </w:rPr>
        <w:t xml:space="preserve">A patkányokon végzett 2 éves karcinogenitási vizsgálatban 15, 30 és 60 mg/kg/nap imatinib adása az élettartam statisztikailag szignifikáns csökkenését eredményezte: hímek esetében 60 mg/kg/nap, nőstények esetében </w:t>
      </w:r>
      <w:r w:rsidRPr="00556B9B">
        <w:rPr>
          <w:color w:val="000000"/>
          <w:lang w:val="hu-HU"/>
        </w:rPr>
        <w:sym w:font="Symbol" w:char="F0B3"/>
      </w:r>
      <w:r w:rsidRPr="00556B9B">
        <w:rPr>
          <w:color w:val="000000"/>
          <w:lang w:val="hu-HU"/>
        </w:rPr>
        <w:t> 30 mg/kg/nap adag mellett. Az elpusztult egyedek hisztopatológiai vizsgálata során kimutatták, hogy a halál és az el nem pusztult egyedek feláldozásának oka elsősorban a cardiomyopathia (mindkét nem esetében), a krónikus progresszív nephropathia (nőstények esetében) és a praeputium-mirigy papilloma volt. A daganatos elváltozások a vesét, a húgyhólyagot, a húgycsövet, a praeputium- és clitoris-mirigyeket, a vékonybelet, a mellékpajzsmirigyet, a mellékvesét és a nem mirigyes gyomrot érintették.</w:t>
      </w:r>
    </w:p>
    <w:p w14:paraId="28E6ADD7" w14:textId="77777777" w:rsidR="00910FC8" w:rsidRPr="00556B9B" w:rsidRDefault="00910FC8">
      <w:pPr>
        <w:spacing w:line="240" w:lineRule="auto"/>
        <w:rPr>
          <w:color w:val="000000"/>
          <w:lang w:val="hu-HU"/>
        </w:rPr>
      </w:pPr>
    </w:p>
    <w:p w14:paraId="34A7E76D" w14:textId="77777777" w:rsidR="00910FC8" w:rsidRPr="00556B9B" w:rsidRDefault="00910FC8">
      <w:pPr>
        <w:spacing w:line="240" w:lineRule="auto"/>
        <w:rPr>
          <w:color w:val="000000"/>
          <w:lang w:val="hu-HU"/>
        </w:rPr>
      </w:pPr>
      <w:r w:rsidRPr="00556B9B">
        <w:rPr>
          <w:color w:val="000000"/>
          <w:lang w:val="hu-HU"/>
        </w:rPr>
        <w:t>Praeputium- és clitoris-mirigy papillomák/carcinomák kialakulását 30 mg/kg/nap dózistól kezdődően észlelték, amely megfelel a 400 mg/nap humán expozíció (AUC</w:t>
      </w:r>
      <w:r w:rsidRPr="00556B9B">
        <w:rPr>
          <w:color w:val="000000"/>
          <w:lang w:val="hu-HU"/>
        </w:rPr>
        <w:noBreakHyphen/>
        <w:t>n alapuló) körülbelül 0,5</w:t>
      </w:r>
      <w:r w:rsidRPr="00556B9B">
        <w:rPr>
          <w:color w:val="000000"/>
          <w:lang w:val="hu-HU"/>
        </w:rPr>
        <w:noBreakHyphen/>
        <w:t>szörösének, vagy a 800 mg/nap humán expozíció (AUC</w:t>
      </w:r>
      <w:r w:rsidRPr="00556B9B">
        <w:rPr>
          <w:color w:val="000000"/>
          <w:lang w:val="hu-HU"/>
        </w:rPr>
        <w:noBreakHyphen/>
        <w:t>n alapuló) körülbelül 0,3</w:t>
      </w:r>
      <w:r w:rsidRPr="00556B9B">
        <w:rPr>
          <w:color w:val="000000"/>
          <w:lang w:val="hu-HU"/>
        </w:rPr>
        <w:noBreakHyphen/>
        <w:t>szorosának, illetve gyermekekben a 340 mg/m</w:t>
      </w:r>
      <w:r w:rsidRPr="00556B9B">
        <w:rPr>
          <w:color w:val="000000"/>
          <w:vertAlign w:val="superscript"/>
          <w:lang w:val="hu-HU"/>
        </w:rPr>
        <w:t>2</w:t>
      </w:r>
      <w:r w:rsidRPr="00556B9B">
        <w:rPr>
          <w:color w:val="000000"/>
          <w:lang w:val="hu-HU"/>
        </w:rPr>
        <w:t>/nap expozíció (AUC</w:t>
      </w:r>
      <w:r w:rsidRPr="00556B9B">
        <w:rPr>
          <w:color w:val="000000"/>
          <w:lang w:val="hu-HU"/>
        </w:rPr>
        <w:noBreakHyphen/>
        <w:t>n alapuló) 0,4–szeresének. A nem észlelhető hatásszint (NOEL) 15 mg/kg/nap volt. Vese adenomát/carcinomát, húgyhólyag- és húgycső papillomát, vékonybél adenocarcinomát, mellékpajzsmirigy adenomát, jó- és rosszindulatú medulláris mellékvese adenomát, valamint nem mirigyes gyomor papillomát/carcinomát 60 mg/kg/nap dózisnál figyeltek meg, amely megfelel a 400 vagy 800 mg/nap humán expozíció (AUC</w:t>
      </w:r>
      <w:r w:rsidRPr="00556B9B">
        <w:rPr>
          <w:color w:val="000000"/>
          <w:lang w:val="hu-HU"/>
        </w:rPr>
        <w:noBreakHyphen/>
        <w:t>n alapuló) körülbelül 1,7</w:t>
      </w:r>
      <w:r w:rsidRPr="00556B9B">
        <w:rPr>
          <w:color w:val="000000"/>
          <w:lang w:val="hu-HU"/>
        </w:rPr>
        <w:noBreakHyphen/>
        <w:t xml:space="preserve"> vagy 1</w:t>
      </w:r>
      <w:r w:rsidRPr="00556B9B">
        <w:rPr>
          <w:color w:val="000000"/>
          <w:lang w:val="hu-HU"/>
        </w:rPr>
        <w:noBreakHyphen/>
        <w:t>szeresének, illetve gyermekekben a 340 mg/m</w:t>
      </w:r>
      <w:r w:rsidRPr="00556B9B">
        <w:rPr>
          <w:color w:val="000000"/>
          <w:vertAlign w:val="superscript"/>
          <w:lang w:val="hu-HU"/>
        </w:rPr>
        <w:t>2</w:t>
      </w:r>
      <w:r w:rsidRPr="00556B9B">
        <w:rPr>
          <w:color w:val="000000"/>
          <w:lang w:val="hu-HU"/>
        </w:rPr>
        <w:t>/nap expozíció (AUC</w:t>
      </w:r>
      <w:r w:rsidRPr="00556B9B">
        <w:rPr>
          <w:color w:val="000000"/>
          <w:lang w:val="hu-HU"/>
        </w:rPr>
        <w:noBreakHyphen/>
        <w:t>n alapuló) 1,2</w:t>
      </w:r>
      <w:r w:rsidRPr="00556B9B">
        <w:rPr>
          <w:color w:val="000000"/>
          <w:lang w:val="hu-HU"/>
        </w:rPr>
        <w:noBreakHyphen/>
        <w:t>szeresének. A nem észlelhető hatásszint (NOEL) 30 mg/kg/nap volt.</w:t>
      </w:r>
    </w:p>
    <w:p w14:paraId="2865FDAA" w14:textId="77777777" w:rsidR="00910FC8" w:rsidRPr="00556B9B" w:rsidRDefault="00910FC8">
      <w:pPr>
        <w:spacing w:line="240" w:lineRule="auto"/>
        <w:rPr>
          <w:color w:val="000000"/>
          <w:lang w:val="hu-HU"/>
        </w:rPr>
      </w:pPr>
    </w:p>
    <w:p w14:paraId="6BC13E05" w14:textId="77777777" w:rsidR="00910FC8" w:rsidRPr="00556B9B" w:rsidRDefault="00910FC8">
      <w:pPr>
        <w:spacing w:line="240" w:lineRule="auto"/>
        <w:rPr>
          <w:color w:val="000000"/>
          <w:lang w:val="hu-HU"/>
        </w:rPr>
      </w:pPr>
      <w:r w:rsidRPr="00556B9B">
        <w:rPr>
          <w:color w:val="000000"/>
          <w:lang w:val="hu-HU"/>
        </w:rPr>
        <w:t>Még nem tisztázott, hogy a patkány karcinogenitási vizsgálat megállapításainak jelentősége, illetve ezek mechanizmusa vonatkoztatható-e emberre.</w:t>
      </w:r>
    </w:p>
    <w:p w14:paraId="6F7528CB" w14:textId="77777777" w:rsidR="00910FC8" w:rsidRPr="00556B9B" w:rsidRDefault="00910FC8">
      <w:pPr>
        <w:spacing w:line="240" w:lineRule="auto"/>
        <w:rPr>
          <w:color w:val="000000"/>
          <w:lang w:val="hu-HU"/>
        </w:rPr>
      </w:pPr>
    </w:p>
    <w:p w14:paraId="7CAAF1FF" w14:textId="77777777" w:rsidR="00910FC8" w:rsidRPr="006D0F5F" w:rsidRDefault="00910FC8">
      <w:pPr>
        <w:spacing w:line="240" w:lineRule="auto"/>
        <w:rPr>
          <w:color w:val="000000"/>
          <w:lang w:val="hu-HU"/>
        </w:rPr>
      </w:pPr>
      <w:r w:rsidRPr="00556B9B">
        <w:rPr>
          <w:color w:val="000000"/>
          <w:lang w:val="hu-HU"/>
        </w:rPr>
        <w:t xml:space="preserve">A nem daganatos károsodások – melyeket a korábbi preklinikai vizsgálatok során nem ismertek fel – a cardiovascularis rendszert, a hasnyálmirigyet, az endokrin </w:t>
      </w:r>
      <w:r w:rsidRPr="006D0F5F">
        <w:rPr>
          <w:color w:val="000000"/>
          <w:lang w:val="hu-HU"/>
        </w:rPr>
        <w:t>szerveket és a fogakat érintették. A legfontosabb elváltozások között volt a cardialis hypertrophia és dilatatio, melyek néhány állatban a szívelégtelenség jeleinek kialakulásához vezettek.</w:t>
      </w:r>
    </w:p>
    <w:p w14:paraId="4512C663" w14:textId="77777777" w:rsidR="008D4936" w:rsidRPr="006D0F5F" w:rsidRDefault="008D4936">
      <w:pPr>
        <w:spacing w:line="240" w:lineRule="auto"/>
        <w:rPr>
          <w:color w:val="000000"/>
          <w:lang w:val="hu-HU"/>
        </w:rPr>
      </w:pPr>
    </w:p>
    <w:p w14:paraId="7C519C74" w14:textId="07A81642" w:rsidR="008D4936" w:rsidRPr="00556B9B" w:rsidRDefault="008D4936">
      <w:pPr>
        <w:spacing w:line="240" w:lineRule="auto"/>
        <w:rPr>
          <w:color w:val="000000"/>
          <w:lang w:val="hu-HU"/>
        </w:rPr>
      </w:pPr>
      <w:r w:rsidRPr="006D0F5F">
        <w:rPr>
          <w:color w:val="000000"/>
          <w:lang w:val="hu-HU"/>
        </w:rPr>
        <w:t>Az imatinib hatóanyag környezeti kockázatot jelent az üledék</w:t>
      </w:r>
      <w:r w:rsidR="00CA44B7" w:rsidRPr="006D0F5F">
        <w:rPr>
          <w:color w:val="000000"/>
          <w:lang w:val="hu-HU"/>
        </w:rPr>
        <w:t>lakó organizmusokra</w:t>
      </w:r>
      <w:r w:rsidRPr="006D0F5F">
        <w:rPr>
          <w:color w:val="000000"/>
          <w:lang w:val="hu-HU"/>
        </w:rPr>
        <w:t>.</w:t>
      </w:r>
    </w:p>
    <w:p w14:paraId="61EBFBD5" w14:textId="77777777" w:rsidR="00910FC8" w:rsidRPr="00556B9B" w:rsidRDefault="00910FC8">
      <w:pPr>
        <w:spacing w:line="240" w:lineRule="auto"/>
        <w:rPr>
          <w:color w:val="000000"/>
          <w:lang w:val="hu-HU"/>
        </w:rPr>
      </w:pPr>
    </w:p>
    <w:p w14:paraId="35291796" w14:textId="77777777" w:rsidR="00910FC8" w:rsidRPr="00556B9B" w:rsidRDefault="00910FC8">
      <w:pPr>
        <w:pStyle w:val="Trgymutat"/>
        <w:suppressLineNumbers w:val="0"/>
        <w:spacing w:line="240" w:lineRule="auto"/>
        <w:rPr>
          <w:color w:val="000000"/>
          <w:lang w:val="hu-HU"/>
        </w:rPr>
      </w:pPr>
    </w:p>
    <w:p w14:paraId="047A9CFA" w14:textId="77777777" w:rsidR="00910FC8" w:rsidRPr="00556B9B" w:rsidRDefault="00910FC8" w:rsidP="000273A2">
      <w:pPr>
        <w:keepNext/>
        <w:spacing w:line="240" w:lineRule="auto"/>
        <w:ind w:left="567" w:hanging="567"/>
        <w:rPr>
          <w:b/>
          <w:color w:val="000000"/>
          <w:lang w:val="hu-HU"/>
        </w:rPr>
      </w:pPr>
      <w:r w:rsidRPr="00556B9B">
        <w:rPr>
          <w:b/>
          <w:color w:val="000000"/>
          <w:lang w:val="hu-HU"/>
        </w:rPr>
        <w:t>6.</w:t>
      </w:r>
      <w:r w:rsidRPr="00556B9B">
        <w:rPr>
          <w:b/>
          <w:color w:val="000000"/>
          <w:lang w:val="hu-HU"/>
        </w:rPr>
        <w:tab/>
        <w:t>GYÓGYSZERÉSZETI JELLEMZŐK</w:t>
      </w:r>
    </w:p>
    <w:p w14:paraId="6EE4E13C" w14:textId="77777777" w:rsidR="00910FC8" w:rsidRPr="00556B9B" w:rsidRDefault="00910FC8" w:rsidP="006B29EF">
      <w:pPr>
        <w:keepNext/>
        <w:spacing w:line="240" w:lineRule="auto"/>
        <w:rPr>
          <w:color w:val="000000"/>
          <w:lang w:val="hu-HU"/>
        </w:rPr>
      </w:pPr>
    </w:p>
    <w:p w14:paraId="5DA1A066"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6.1</w:t>
      </w:r>
      <w:r w:rsidRPr="00556B9B">
        <w:rPr>
          <w:b/>
          <w:color w:val="000000"/>
          <w:lang w:val="hu-HU"/>
        </w:rPr>
        <w:tab/>
        <w:t>Segédanyagok felsorolása</w:t>
      </w:r>
    </w:p>
    <w:p w14:paraId="1C934E96" w14:textId="77777777" w:rsidR="00910FC8" w:rsidRPr="00556B9B" w:rsidRDefault="00910FC8" w:rsidP="006B29EF">
      <w:pPr>
        <w:keepNext/>
        <w:spacing w:line="260" w:lineRule="atLeast"/>
        <w:rPr>
          <w:color w:val="000000"/>
          <w:lang w:val="hu-HU"/>
        </w:rPr>
      </w:pPr>
    </w:p>
    <w:p w14:paraId="4A20582B" w14:textId="77777777" w:rsidR="00801AB5" w:rsidRPr="00556B9B" w:rsidRDefault="00801AB5" w:rsidP="006B29EF">
      <w:pPr>
        <w:keepNext/>
        <w:tabs>
          <w:tab w:val="left" w:pos="1985"/>
        </w:tabs>
        <w:spacing w:line="240" w:lineRule="auto"/>
        <w:rPr>
          <w:color w:val="000000"/>
          <w:lang w:val="hu-HU"/>
        </w:rPr>
      </w:pPr>
      <w:r w:rsidRPr="00556B9B">
        <w:rPr>
          <w:color w:val="000000"/>
          <w:lang w:val="hu-HU"/>
        </w:rPr>
        <w:t>Kapszula tartalma:</w:t>
      </w:r>
      <w:r w:rsidRPr="00556B9B">
        <w:rPr>
          <w:color w:val="000000"/>
          <w:lang w:val="hu-HU"/>
        </w:rPr>
        <w:tab/>
        <w:t>mikrokristályos cellulóz,</w:t>
      </w:r>
    </w:p>
    <w:p w14:paraId="55E34542" w14:textId="77777777" w:rsidR="00801AB5" w:rsidRPr="00556B9B" w:rsidRDefault="00801AB5" w:rsidP="006B29EF">
      <w:pPr>
        <w:keepNext/>
        <w:spacing w:line="240" w:lineRule="auto"/>
        <w:ind w:left="1985"/>
        <w:rPr>
          <w:color w:val="000000"/>
          <w:lang w:val="hu-HU"/>
        </w:rPr>
      </w:pPr>
      <w:r w:rsidRPr="00556B9B">
        <w:rPr>
          <w:color w:val="000000"/>
          <w:lang w:val="hu-HU"/>
        </w:rPr>
        <w:t>kroszpovidon,</w:t>
      </w:r>
    </w:p>
    <w:p w14:paraId="0AE4D470" w14:textId="77777777" w:rsidR="00801AB5" w:rsidRPr="00556B9B" w:rsidRDefault="00801AB5" w:rsidP="006B29EF">
      <w:pPr>
        <w:keepNext/>
        <w:spacing w:line="240" w:lineRule="auto"/>
        <w:ind w:left="1985"/>
        <w:rPr>
          <w:color w:val="000000"/>
          <w:lang w:val="hu-HU"/>
        </w:rPr>
      </w:pPr>
      <w:r w:rsidRPr="00556B9B">
        <w:rPr>
          <w:color w:val="000000"/>
          <w:lang w:val="hu-HU"/>
        </w:rPr>
        <w:t>magnézium</w:t>
      </w:r>
      <w:r w:rsidRPr="00556B9B">
        <w:rPr>
          <w:color w:val="000000"/>
          <w:lang w:val="hu-HU"/>
        </w:rPr>
        <w:noBreakHyphen/>
        <w:t>sztearát,</w:t>
      </w:r>
    </w:p>
    <w:p w14:paraId="07B68FE7" w14:textId="77777777" w:rsidR="00801AB5" w:rsidRPr="00556B9B" w:rsidRDefault="00801AB5" w:rsidP="00801AB5">
      <w:pPr>
        <w:spacing w:line="240" w:lineRule="auto"/>
        <w:ind w:left="1985"/>
        <w:rPr>
          <w:color w:val="000000"/>
          <w:lang w:val="hu-HU"/>
        </w:rPr>
      </w:pPr>
      <w:r w:rsidRPr="00556B9B">
        <w:rPr>
          <w:color w:val="000000"/>
          <w:lang w:val="hu-HU"/>
        </w:rPr>
        <w:t>vízmentes kolloid szilícium</w:t>
      </w:r>
      <w:r w:rsidRPr="00556B9B">
        <w:rPr>
          <w:color w:val="000000"/>
          <w:lang w:val="hu-HU"/>
        </w:rPr>
        <w:noBreakHyphen/>
        <w:t>dioxid.</w:t>
      </w:r>
    </w:p>
    <w:p w14:paraId="01BB41C6" w14:textId="77777777" w:rsidR="00801AB5" w:rsidRPr="00556B9B" w:rsidRDefault="00801AB5" w:rsidP="00801AB5">
      <w:pPr>
        <w:spacing w:line="240" w:lineRule="auto"/>
        <w:rPr>
          <w:color w:val="000000"/>
          <w:lang w:val="hu-HU"/>
        </w:rPr>
      </w:pPr>
    </w:p>
    <w:p w14:paraId="07D70CE5" w14:textId="77777777" w:rsidR="00801AB5" w:rsidRPr="00556B9B" w:rsidRDefault="00801AB5" w:rsidP="006B29EF">
      <w:pPr>
        <w:keepNext/>
        <w:tabs>
          <w:tab w:val="left" w:pos="1985"/>
        </w:tabs>
        <w:spacing w:line="240" w:lineRule="auto"/>
        <w:rPr>
          <w:color w:val="000000"/>
          <w:lang w:val="hu-HU"/>
        </w:rPr>
      </w:pPr>
      <w:r w:rsidRPr="00556B9B">
        <w:rPr>
          <w:color w:val="000000"/>
          <w:lang w:val="hu-HU"/>
        </w:rPr>
        <w:t>Kapszulatok:</w:t>
      </w:r>
      <w:r w:rsidRPr="00556B9B">
        <w:rPr>
          <w:color w:val="000000"/>
          <w:lang w:val="hu-HU"/>
        </w:rPr>
        <w:tab/>
        <w:t>zselatin,</w:t>
      </w:r>
    </w:p>
    <w:p w14:paraId="60165701" w14:textId="77777777" w:rsidR="00801AB5" w:rsidRPr="00556B9B" w:rsidRDefault="00801AB5" w:rsidP="006B29EF">
      <w:pPr>
        <w:keepNext/>
        <w:spacing w:line="240" w:lineRule="auto"/>
        <w:ind w:left="1985"/>
        <w:rPr>
          <w:color w:val="000000"/>
          <w:lang w:val="hu-HU"/>
        </w:rPr>
      </w:pPr>
      <w:r w:rsidRPr="00556B9B">
        <w:rPr>
          <w:color w:val="000000"/>
          <w:lang w:val="hu-HU"/>
        </w:rPr>
        <w:t>vörös vas</w:t>
      </w:r>
      <w:r w:rsidRPr="00556B9B">
        <w:rPr>
          <w:color w:val="000000"/>
          <w:lang w:val="hu-HU"/>
        </w:rPr>
        <w:noBreakHyphen/>
        <w:t>oxid (E172),</w:t>
      </w:r>
    </w:p>
    <w:p w14:paraId="54149978" w14:textId="77777777" w:rsidR="00801AB5" w:rsidRPr="00556B9B" w:rsidRDefault="00801AB5" w:rsidP="006B29EF">
      <w:pPr>
        <w:keepNext/>
        <w:spacing w:line="240" w:lineRule="auto"/>
        <w:ind w:left="1985"/>
        <w:rPr>
          <w:color w:val="000000"/>
          <w:lang w:val="hu-HU"/>
        </w:rPr>
      </w:pPr>
      <w:r w:rsidRPr="00556B9B">
        <w:rPr>
          <w:color w:val="000000"/>
          <w:lang w:val="hu-HU"/>
        </w:rPr>
        <w:t>sárga vas</w:t>
      </w:r>
      <w:r w:rsidRPr="00556B9B">
        <w:rPr>
          <w:color w:val="000000"/>
          <w:lang w:val="hu-HU"/>
        </w:rPr>
        <w:noBreakHyphen/>
        <w:t>oxid (E172),</w:t>
      </w:r>
    </w:p>
    <w:p w14:paraId="35507287" w14:textId="77777777" w:rsidR="00801AB5" w:rsidRPr="00556B9B" w:rsidRDefault="00801AB5" w:rsidP="00801AB5">
      <w:pPr>
        <w:spacing w:line="240" w:lineRule="auto"/>
        <w:ind w:left="1985"/>
        <w:rPr>
          <w:color w:val="000000"/>
          <w:lang w:val="hu-HU"/>
        </w:rPr>
      </w:pPr>
      <w:r w:rsidRPr="00556B9B">
        <w:rPr>
          <w:color w:val="000000"/>
          <w:lang w:val="hu-HU"/>
        </w:rPr>
        <w:t>titán</w:t>
      </w:r>
      <w:r w:rsidRPr="00556B9B">
        <w:rPr>
          <w:color w:val="000000"/>
          <w:lang w:val="hu-HU"/>
        </w:rPr>
        <w:noBreakHyphen/>
        <w:t>dioxid (E171).</w:t>
      </w:r>
    </w:p>
    <w:p w14:paraId="6A466807" w14:textId="77777777" w:rsidR="00801AB5" w:rsidRPr="00556B9B" w:rsidRDefault="00801AB5" w:rsidP="00801AB5">
      <w:pPr>
        <w:spacing w:line="240" w:lineRule="auto"/>
        <w:rPr>
          <w:color w:val="000000"/>
          <w:lang w:val="hu-HU"/>
        </w:rPr>
      </w:pPr>
    </w:p>
    <w:p w14:paraId="2A11BD38" w14:textId="77777777" w:rsidR="00801AB5" w:rsidRPr="00556B9B" w:rsidRDefault="00801AB5" w:rsidP="006B29EF">
      <w:pPr>
        <w:keepNext/>
        <w:tabs>
          <w:tab w:val="left" w:pos="1985"/>
        </w:tabs>
        <w:spacing w:line="240" w:lineRule="auto"/>
        <w:rPr>
          <w:color w:val="000000"/>
          <w:lang w:val="hu-HU"/>
        </w:rPr>
      </w:pPr>
      <w:r w:rsidRPr="00556B9B">
        <w:rPr>
          <w:color w:val="000000"/>
          <w:lang w:val="hu-HU"/>
        </w:rPr>
        <w:t>Jelölő festék:</w:t>
      </w:r>
      <w:r w:rsidRPr="00556B9B">
        <w:rPr>
          <w:color w:val="000000"/>
          <w:lang w:val="hu-HU"/>
        </w:rPr>
        <w:tab/>
        <w:t>vörös vas</w:t>
      </w:r>
      <w:r w:rsidRPr="00556B9B">
        <w:rPr>
          <w:color w:val="000000"/>
          <w:lang w:val="hu-HU"/>
        </w:rPr>
        <w:noBreakHyphen/>
        <w:t>oxid (E172),</w:t>
      </w:r>
    </w:p>
    <w:p w14:paraId="0594DDAC" w14:textId="77777777" w:rsidR="00910FC8" w:rsidRPr="00556B9B" w:rsidRDefault="00801AB5" w:rsidP="006B29EF">
      <w:pPr>
        <w:spacing w:line="240" w:lineRule="auto"/>
        <w:ind w:left="1985"/>
        <w:rPr>
          <w:color w:val="000000"/>
          <w:lang w:val="hu-HU"/>
        </w:rPr>
      </w:pPr>
      <w:r w:rsidRPr="00556B9B">
        <w:rPr>
          <w:color w:val="000000"/>
          <w:lang w:val="hu-HU"/>
        </w:rPr>
        <w:t>sellak.</w:t>
      </w:r>
    </w:p>
    <w:p w14:paraId="3B08B82C"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6.2</w:t>
      </w:r>
      <w:r w:rsidRPr="00556B9B">
        <w:rPr>
          <w:b/>
          <w:color w:val="000000"/>
          <w:lang w:val="hu-HU"/>
        </w:rPr>
        <w:tab/>
        <w:t>Inkompatibilitások</w:t>
      </w:r>
    </w:p>
    <w:p w14:paraId="588E3BA9" w14:textId="77777777" w:rsidR="00910FC8" w:rsidRPr="00556B9B" w:rsidRDefault="00910FC8" w:rsidP="006B29EF">
      <w:pPr>
        <w:keepNext/>
        <w:spacing w:line="240" w:lineRule="auto"/>
        <w:rPr>
          <w:color w:val="000000"/>
          <w:lang w:val="hu-HU"/>
        </w:rPr>
      </w:pPr>
    </w:p>
    <w:p w14:paraId="6393ADC4" w14:textId="77777777" w:rsidR="00910FC8" w:rsidRPr="00556B9B" w:rsidRDefault="00910FC8">
      <w:pPr>
        <w:spacing w:line="240" w:lineRule="auto"/>
        <w:rPr>
          <w:color w:val="000000"/>
          <w:lang w:val="hu-HU"/>
        </w:rPr>
      </w:pPr>
      <w:r w:rsidRPr="00556B9B">
        <w:rPr>
          <w:color w:val="000000"/>
          <w:lang w:val="hu-HU"/>
        </w:rPr>
        <w:t>Nem értelmezhető.</w:t>
      </w:r>
    </w:p>
    <w:p w14:paraId="337E1D35" w14:textId="77777777" w:rsidR="00910FC8" w:rsidRPr="00556B9B" w:rsidRDefault="00910FC8">
      <w:pPr>
        <w:spacing w:line="240" w:lineRule="auto"/>
        <w:rPr>
          <w:color w:val="000000"/>
          <w:lang w:val="hu-HU"/>
        </w:rPr>
      </w:pPr>
    </w:p>
    <w:p w14:paraId="08334E67" w14:textId="77777777" w:rsidR="00910FC8" w:rsidRPr="00556B9B" w:rsidRDefault="00910FC8" w:rsidP="000273A2">
      <w:pPr>
        <w:keepNext/>
        <w:spacing w:line="240" w:lineRule="auto"/>
        <w:ind w:left="567" w:hanging="567"/>
        <w:rPr>
          <w:b/>
          <w:color w:val="000000"/>
          <w:lang w:val="hu-HU"/>
        </w:rPr>
      </w:pPr>
      <w:r w:rsidRPr="00556B9B">
        <w:rPr>
          <w:b/>
          <w:color w:val="000000"/>
          <w:lang w:val="hu-HU"/>
        </w:rPr>
        <w:t>6.3</w:t>
      </w:r>
      <w:r w:rsidRPr="00556B9B">
        <w:rPr>
          <w:b/>
          <w:color w:val="000000"/>
          <w:lang w:val="hu-HU"/>
        </w:rPr>
        <w:tab/>
        <w:t>Felhasználhatósági időtartam</w:t>
      </w:r>
    </w:p>
    <w:p w14:paraId="33537838" w14:textId="77777777" w:rsidR="00910FC8" w:rsidRPr="00556B9B" w:rsidRDefault="00910FC8" w:rsidP="000273A2">
      <w:pPr>
        <w:keepNext/>
        <w:spacing w:line="240" w:lineRule="auto"/>
        <w:rPr>
          <w:color w:val="000000"/>
          <w:lang w:val="hu-HU"/>
        </w:rPr>
      </w:pPr>
    </w:p>
    <w:p w14:paraId="2437DC07" w14:textId="77777777" w:rsidR="00910FC8" w:rsidRPr="00556B9B" w:rsidRDefault="00910FC8">
      <w:pPr>
        <w:spacing w:line="240" w:lineRule="auto"/>
        <w:rPr>
          <w:color w:val="000000"/>
          <w:lang w:val="hu-HU"/>
        </w:rPr>
      </w:pPr>
      <w:r w:rsidRPr="00556B9B">
        <w:rPr>
          <w:color w:val="000000"/>
          <w:lang w:val="hu-HU"/>
        </w:rPr>
        <w:t>2 év</w:t>
      </w:r>
    </w:p>
    <w:p w14:paraId="0E00D0A9" w14:textId="77777777" w:rsidR="00910FC8" w:rsidRPr="00556B9B" w:rsidRDefault="00910FC8">
      <w:pPr>
        <w:spacing w:line="240" w:lineRule="auto"/>
        <w:rPr>
          <w:color w:val="000000"/>
          <w:lang w:val="hu-HU"/>
        </w:rPr>
      </w:pPr>
    </w:p>
    <w:p w14:paraId="5051AE3F" w14:textId="77777777" w:rsidR="00910FC8" w:rsidRPr="00556B9B" w:rsidRDefault="00910FC8" w:rsidP="000273A2">
      <w:pPr>
        <w:keepNext/>
        <w:spacing w:line="240" w:lineRule="auto"/>
        <w:ind w:left="567" w:hanging="567"/>
        <w:rPr>
          <w:b/>
          <w:color w:val="000000"/>
          <w:lang w:val="hu-HU"/>
        </w:rPr>
      </w:pPr>
      <w:r w:rsidRPr="00556B9B">
        <w:rPr>
          <w:b/>
          <w:color w:val="000000"/>
          <w:lang w:val="hu-HU"/>
        </w:rPr>
        <w:t>6.4</w:t>
      </w:r>
      <w:r w:rsidRPr="00556B9B">
        <w:rPr>
          <w:b/>
          <w:color w:val="000000"/>
          <w:lang w:val="hu-HU"/>
        </w:rPr>
        <w:tab/>
        <w:t>Különleges tárolási előírások</w:t>
      </w:r>
    </w:p>
    <w:p w14:paraId="68969255" w14:textId="77777777" w:rsidR="00910FC8" w:rsidRPr="00556B9B" w:rsidRDefault="00910FC8" w:rsidP="000273A2">
      <w:pPr>
        <w:keepNext/>
        <w:spacing w:line="240" w:lineRule="auto"/>
        <w:rPr>
          <w:color w:val="000000"/>
          <w:lang w:val="hu-HU"/>
        </w:rPr>
      </w:pPr>
    </w:p>
    <w:p w14:paraId="7378B2D9" w14:textId="77777777" w:rsidR="00910FC8" w:rsidRPr="00556B9B" w:rsidRDefault="00910FC8">
      <w:pPr>
        <w:spacing w:line="240" w:lineRule="auto"/>
        <w:rPr>
          <w:color w:val="000000"/>
          <w:lang w:val="hu-HU"/>
        </w:rPr>
      </w:pPr>
      <w:r w:rsidRPr="00556B9B">
        <w:rPr>
          <w:color w:val="000000"/>
          <w:lang w:val="hu-HU"/>
        </w:rPr>
        <w:t>Legfeljebb 30</w:t>
      </w:r>
      <w:r w:rsidRPr="00556B9B">
        <w:rPr>
          <w:color w:val="000000"/>
          <w:lang w:val="hu-HU"/>
        </w:rPr>
        <w:sym w:font="Symbol" w:char="F0B0"/>
      </w:r>
      <w:r w:rsidRPr="00556B9B">
        <w:rPr>
          <w:color w:val="000000"/>
          <w:lang w:val="hu-HU"/>
        </w:rPr>
        <w:t>C</w:t>
      </w:r>
      <w:r w:rsidRPr="00556B9B">
        <w:rPr>
          <w:color w:val="000000"/>
          <w:lang w:val="hu-HU"/>
        </w:rPr>
        <w:noBreakHyphen/>
        <w:t>on tárolandó.</w:t>
      </w:r>
    </w:p>
    <w:p w14:paraId="78722537" w14:textId="77777777" w:rsidR="00910FC8" w:rsidRPr="00556B9B" w:rsidRDefault="00910FC8">
      <w:pPr>
        <w:spacing w:line="240" w:lineRule="auto"/>
        <w:rPr>
          <w:color w:val="000000"/>
          <w:lang w:val="hu-HU"/>
        </w:rPr>
      </w:pPr>
    </w:p>
    <w:p w14:paraId="4E0AAEE2" w14:textId="77777777" w:rsidR="00910FC8" w:rsidRPr="00556B9B" w:rsidRDefault="006E1A59">
      <w:pPr>
        <w:spacing w:line="240" w:lineRule="auto"/>
        <w:rPr>
          <w:color w:val="000000"/>
          <w:lang w:val="hu-HU"/>
        </w:rPr>
      </w:pPr>
      <w:r w:rsidRPr="00556B9B">
        <w:rPr>
          <w:color w:val="000000"/>
          <w:lang w:val="hu-HU"/>
        </w:rPr>
        <w:t xml:space="preserve">A nedvességtől való védelem érdekében az </w:t>
      </w:r>
      <w:r w:rsidR="00910FC8" w:rsidRPr="00556B9B">
        <w:rPr>
          <w:color w:val="000000"/>
          <w:lang w:val="hu-HU"/>
        </w:rPr>
        <w:t>eredeti csomagolásban tárolandó.</w:t>
      </w:r>
    </w:p>
    <w:p w14:paraId="0AE3F058" w14:textId="77777777" w:rsidR="00910FC8" w:rsidRPr="00556B9B" w:rsidRDefault="00910FC8">
      <w:pPr>
        <w:spacing w:line="240" w:lineRule="auto"/>
        <w:rPr>
          <w:color w:val="000000"/>
          <w:lang w:val="hu-HU"/>
        </w:rPr>
      </w:pPr>
    </w:p>
    <w:p w14:paraId="65880415"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6.5</w:t>
      </w:r>
      <w:r w:rsidRPr="00556B9B">
        <w:rPr>
          <w:b/>
          <w:color w:val="000000"/>
          <w:lang w:val="hu-HU"/>
        </w:rPr>
        <w:tab/>
        <w:t>Csomagolás típusa és kiszerelése</w:t>
      </w:r>
    </w:p>
    <w:p w14:paraId="2E118899" w14:textId="77777777" w:rsidR="00910FC8" w:rsidRPr="00556B9B" w:rsidRDefault="00910FC8" w:rsidP="006B29EF">
      <w:pPr>
        <w:keepNext/>
        <w:spacing w:line="240" w:lineRule="auto"/>
        <w:rPr>
          <w:color w:val="000000"/>
          <w:lang w:val="hu-HU"/>
        </w:rPr>
      </w:pPr>
    </w:p>
    <w:p w14:paraId="71B22FCB" w14:textId="77777777" w:rsidR="00910FC8" w:rsidRPr="00556B9B" w:rsidRDefault="00910FC8">
      <w:pPr>
        <w:spacing w:line="240" w:lineRule="auto"/>
        <w:rPr>
          <w:color w:val="000000"/>
          <w:lang w:val="hu-HU"/>
        </w:rPr>
      </w:pPr>
      <w:r w:rsidRPr="00556B9B">
        <w:rPr>
          <w:color w:val="000000"/>
          <w:lang w:val="hu-HU"/>
        </w:rPr>
        <w:t>PVC/alumínium buborékcsomagolás.</w:t>
      </w:r>
    </w:p>
    <w:p w14:paraId="5BE07342" w14:textId="77777777" w:rsidR="00910FC8" w:rsidRPr="00556B9B" w:rsidRDefault="00910FC8">
      <w:pPr>
        <w:spacing w:line="240" w:lineRule="auto"/>
        <w:rPr>
          <w:color w:val="000000"/>
          <w:lang w:val="hu-HU"/>
        </w:rPr>
      </w:pPr>
    </w:p>
    <w:p w14:paraId="2DE8E1E1" w14:textId="77777777" w:rsidR="00801AB5" w:rsidRPr="00556B9B" w:rsidRDefault="00801AB5" w:rsidP="00801AB5">
      <w:pPr>
        <w:spacing w:line="240" w:lineRule="auto"/>
        <w:rPr>
          <w:color w:val="000000"/>
          <w:lang w:val="hu-HU"/>
        </w:rPr>
      </w:pPr>
      <w:r w:rsidRPr="00556B9B">
        <w:rPr>
          <w:color w:val="000000"/>
          <w:lang w:val="hu-HU"/>
        </w:rPr>
        <w:t>Csomagolási egységek: 24, 48, 96, 120 és 180 db kapszula.</w:t>
      </w:r>
    </w:p>
    <w:p w14:paraId="5A2E528C" w14:textId="77777777" w:rsidR="00801AB5" w:rsidRPr="00556B9B" w:rsidRDefault="00801AB5">
      <w:pPr>
        <w:spacing w:line="240" w:lineRule="auto"/>
        <w:rPr>
          <w:color w:val="000000"/>
          <w:lang w:val="hu-HU"/>
        </w:rPr>
      </w:pPr>
    </w:p>
    <w:p w14:paraId="3E21AE95" w14:textId="77777777" w:rsidR="00801AB5" w:rsidRPr="00556B9B" w:rsidRDefault="00801AB5">
      <w:pPr>
        <w:spacing w:line="240" w:lineRule="auto"/>
        <w:rPr>
          <w:color w:val="000000"/>
          <w:lang w:val="hu-HU"/>
        </w:rPr>
      </w:pPr>
      <w:r w:rsidRPr="00556B9B">
        <w:rPr>
          <w:color w:val="000000"/>
          <w:lang w:val="hu-HU"/>
        </w:rPr>
        <w:t>Nem feltétlenül mindegyik kiszerelés kerül kereskedelmi forgalomba.</w:t>
      </w:r>
    </w:p>
    <w:p w14:paraId="2D336F49" w14:textId="77777777" w:rsidR="00910FC8" w:rsidRPr="00556B9B" w:rsidRDefault="00910FC8">
      <w:pPr>
        <w:spacing w:line="240" w:lineRule="auto"/>
        <w:rPr>
          <w:color w:val="000000"/>
          <w:lang w:val="hu-HU"/>
        </w:rPr>
      </w:pPr>
    </w:p>
    <w:p w14:paraId="2940FF3D" w14:textId="77777777" w:rsidR="00910FC8" w:rsidRPr="00556B9B" w:rsidRDefault="00910FC8" w:rsidP="000273A2">
      <w:pPr>
        <w:keepNext/>
        <w:spacing w:line="240" w:lineRule="auto"/>
        <w:ind w:left="567" w:hanging="567"/>
        <w:rPr>
          <w:b/>
          <w:color w:val="000000"/>
          <w:lang w:val="hu-HU"/>
        </w:rPr>
      </w:pPr>
      <w:r w:rsidRPr="00556B9B">
        <w:rPr>
          <w:b/>
          <w:color w:val="000000"/>
          <w:lang w:val="hu-HU"/>
        </w:rPr>
        <w:t>6.6</w:t>
      </w:r>
      <w:r w:rsidRPr="00556B9B">
        <w:rPr>
          <w:b/>
          <w:color w:val="000000"/>
          <w:lang w:val="hu-HU"/>
        </w:rPr>
        <w:tab/>
        <w:t>A megsemmisítésre vonatkozó különleges óvintézkedések</w:t>
      </w:r>
    </w:p>
    <w:p w14:paraId="3D8C9815" w14:textId="77777777" w:rsidR="00910FC8" w:rsidRPr="00556B9B" w:rsidRDefault="00910FC8" w:rsidP="000273A2">
      <w:pPr>
        <w:keepNext/>
        <w:spacing w:line="240" w:lineRule="auto"/>
        <w:rPr>
          <w:color w:val="000000"/>
          <w:lang w:val="hu-HU"/>
        </w:rPr>
      </w:pPr>
    </w:p>
    <w:p w14:paraId="55B33E10" w14:textId="77777777" w:rsidR="008D4936" w:rsidRPr="00556B9B" w:rsidRDefault="008D4936">
      <w:pPr>
        <w:spacing w:line="240" w:lineRule="auto"/>
        <w:rPr>
          <w:noProof/>
          <w:szCs w:val="24"/>
          <w:lang w:val="hu-HU"/>
        </w:rPr>
      </w:pPr>
      <w:r w:rsidRPr="00556B9B">
        <w:rPr>
          <w:noProof/>
          <w:szCs w:val="24"/>
          <w:lang w:val="hu-HU"/>
        </w:rPr>
        <w:t xml:space="preserve">Bármilyen fel nem használt gyógyszer, illetve hulladékanyag megsemmisítését </w:t>
      </w:r>
      <w:r w:rsidR="00274BF6" w:rsidRPr="00556B9B">
        <w:rPr>
          <w:lang w:val="hu-HU"/>
        </w:rPr>
        <w:t xml:space="preserve">a gyógyszerekre vonatkozó </w:t>
      </w:r>
      <w:r w:rsidRPr="00556B9B">
        <w:rPr>
          <w:noProof/>
          <w:szCs w:val="24"/>
          <w:lang w:val="hu-HU"/>
        </w:rPr>
        <w:t>előírások szerint kell végrehajtani.</w:t>
      </w:r>
    </w:p>
    <w:p w14:paraId="5860BCE2" w14:textId="77777777" w:rsidR="00910FC8" w:rsidRPr="00556B9B" w:rsidRDefault="00910FC8">
      <w:pPr>
        <w:spacing w:line="240" w:lineRule="auto"/>
        <w:rPr>
          <w:color w:val="000000"/>
          <w:lang w:val="hu-HU"/>
        </w:rPr>
      </w:pPr>
    </w:p>
    <w:p w14:paraId="123B1879" w14:textId="77777777" w:rsidR="00910FC8" w:rsidRPr="00556B9B" w:rsidRDefault="00910FC8">
      <w:pPr>
        <w:spacing w:line="240" w:lineRule="auto"/>
        <w:rPr>
          <w:color w:val="000000"/>
          <w:lang w:val="hu-HU"/>
        </w:rPr>
      </w:pPr>
    </w:p>
    <w:p w14:paraId="0026A2CB" w14:textId="77777777" w:rsidR="00910FC8" w:rsidRPr="00556B9B" w:rsidRDefault="00910FC8" w:rsidP="000273A2">
      <w:pPr>
        <w:keepNext/>
        <w:spacing w:line="240" w:lineRule="auto"/>
        <w:ind w:left="567" w:hanging="567"/>
        <w:rPr>
          <w:b/>
          <w:color w:val="000000"/>
          <w:lang w:val="hu-HU"/>
        </w:rPr>
      </w:pPr>
      <w:r w:rsidRPr="00556B9B">
        <w:rPr>
          <w:b/>
          <w:color w:val="000000"/>
          <w:lang w:val="hu-HU"/>
        </w:rPr>
        <w:t>7.</w:t>
      </w:r>
      <w:r w:rsidRPr="00556B9B">
        <w:rPr>
          <w:b/>
          <w:color w:val="000000"/>
          <w:lang w:val="hu-HU"/>
        </w:rPr>
        <w:tab/>
        <w:t>A FORGALOMBA HOZATALI ENGEDÉLY JOGOSULTJA</w:t>
      </w:r>
    </w:p>
    <w:p w14:paraId="653FE823" w14:textId="77777777" w:rsidR="00910FC8" w:rsidRPr="00556B9B" w:rsidRDefault="00910FC8" w:rsidP="000273A2">
      <w:pPr>
        <w:keepNext/>
        <w:spacing w:line="240" w:lineRule="auto"/>
        <w:rPr>
          <w:color w:val="000000"/>
          <w:lang w:val="hu-HU"/>
        </w:rPr>
      </w:pPr>
    </w:p>
    <w:p w14:paraId="5FB96EDD" w14:textId="77777777" w:rsidR="00910FC8" w:rsidRPr="00556B9B" w:rsidRDefault="00910FC8" w:rsidP="000273A2">
      <w:pPr>
        <w:keepNext/>
        <w:spacing w:line="240" w:lineRule="auto"/>
        <w:rPr>
          <w:color w:val="000000"/>
          <w:lang w:val="hu-HU"/>
        </w:rPr>
      </w:pPr>
      <w:r w:rsidRPr="00556B9B">
        <w:rPr>
          <w:color w:val="000000"/>
          <w:lang w:val="hu-HU"/>
        </w:rPr>
        <w:t>Novartis Europharm Limited</w:t>
      </w:r>
    </w:p>
    <w:p w14:paraId="67DF0EF1" w14:textId="77777777" w:rsidR="002000AC" w:rsidRPr="00556B9B" w:rsidRDefault="002000AC" w:rsidP="002000AC">
      <w:pPr>
        <w:keepNext/>
        <w:widowControl w:val="0"/>
        <w:spacing w:line="240" w:lineRule="auto"/>
        <w:rPr>
          <w:color w:val="000000"/>
        </w:rPr>
      </w:pPr>
      <w:r w:rsidRPr="00556B9B">
        <w:rPr>
          <w:color w:val="000000"/>
        </w:rPr>
        <w:t>Vista Building</w:t>
      </w:r>
    </w:p>
    <w:p w14:paraId="734D1AA6" w14:textId="77777777" w:rsidR="002000AC" w:rsidRPr="00556B9B" w:rsidRDefault="002000AC" w:rsidP="002000AC">
      <w:pPr>
        <w:keepNext/>
        <w:widowControl w:val="0"/>
        <w:spacing w:line="240" w:lineRule="auto"/>
        <w:rPr>
          <w:color w:val="000000"/>
        </w:rPr>
      </w:pPr>
      <w:r w:rsidRPr="00556B9B">
        <w:rPr>
          <w:color w:val="000000"/>
        </w:rPr>
        <w:t>Elm Park, Merrion Road</w:t>
      </w:r>
    </w:p>
    <w:p w14:paraId="7004501B" w14:textId="77777777" w:rsidR="002000AC" w:rsidRPr="001D3D33" w:rsidRDefault="002000AC" w:rsidP="002000AC">
      <w:pPr>
        <w:keepNext/>
        <w:widowControl w:val="0"/>
        <w:spacing w:line="240" w:lineRule="auto"/>
        <w:rPr>
          <w:color w:val="000000"/>
          <w:lang w:val="pt-PT"/>
        </w:rPr>
      </w:pPr>
      <w:r w:rsidRPr="001D3D33">
        <w:rPr>
          <w:color w:val="000000"/>
          <w:lang w:val="pt-PT"/>
        </w:rPr>
        <w:t>Dublin 4</w:t>
      </w:r>
    </w:p>
    <w:p w14:paraId="70821B1C" w14:textId="77777777" w:rsidR="00910FC8" w:rsidRPr="00556B9B" w:rsidRDefault="002000AC">
      <w:pPr>
        <w:spacing w:line="240" w:lineRule="auto"/>
        <w:rPr>
          <w:color w:val="000000"/>
          <w:lang w:val="hu-HU"/>
        </w:rPr>
      </w:pPr>
      <w:r w:rsidRPr="001D3D33">
        <w:rPr>
          <w:color w:val="000000"/>
          <w:lang w:val="pt-PT"/>
        </w:rPr>
        <w:t>Írország</w:t>
      </w:r>
    </w:p>
    <w:p w14:paraId="4A56F263" w14:textId="77777777" w:rsidR="00910FC8" w:rsidRPr="00556B9B" w:rsidRDefault="00910FC8">
      <w:pPr>
        <w:spacing w:line="260" w:lineRule="atLeast"/>
        <w:rPr>
          <w:color w:val="000000"/>
          <w:lang w:val="hu-HU"/>
        </w:rPr>
      </w:pPr>
    </w:p>
    <w:p w14:paraId="049DAB7E" w14:textId="77777777" w:rsidR="00910FC8" w:rsidRPr="00556B9B" w:rsidRDefault="00910FC8">
      <w:pPr>
        <w:spacing w:line="260" w:lineRule="atLeast"/>
        <w:rPr>
          <w:color w:val="000000"/>
          <w:lang w:val="hu-HU"/>
        </w:rPr>
      </w:pPr>
    </w:p>
    <w:p w14:paraId="2FC8A6FD"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8.</w:t>
      </w:r>
      <w:r w:rsidRPr="00556B9B">
        <w:rPr>
          <w:b/>
          <w:color w:val="000000"/>
          <w:lang w:val="hu-HU"/>
        </w:rPr>
        <w:tab/>
        <w:t>A FORGALOMBA HOZATALI ENGEDÉLY SZÁMA(I)</w:t>
      </w:r>
    </w:p>
    <w:p w14:paraId="3FBB03D0" w14:textId="77777777" w:rsidR="00910FC8" w:rsidRPr="00556B9B" w:rsidRDefault="00910FC8" w:rsidP="006B29EF">
      <w:pPr>
        <w:keepNext/>
        <w:spacing w:line="240" w:lineRule="auto"/>
        <w:rPr>
          <w:color w:val="000000"/>
          <w:lang w:val="hu-HU"/>
        </w:rPr>
      </w:pPr>
    </w:p>
    <w:p w14:paraId="74C7C73B" w14:textId="77777777" w:rsidR="00801AB5" w:rsidRPr="00556B9B" w:rsidRDefault="00801AB5" w:rsidP="00801AB5">
      <w:pPr>
        <w:spacing w:line="240" w:lineRule="auto"/>
        <w:rPr>
          <w:color w:val="000000"/>
          <w:lang w:val="hu-HU"/>
        </w:rPr>
      </w:pPr>
      <w:r w:rsidRPr="00556B9B">
        <w:rPr>
          <w:color w:val="000000"/>
          <w:lang w:val="hu-HU"/>
        </w:rPr>
        <w:t>EU/1/01/198/002-006</w:t>
      </w:r>
    </w:p>
    <w:p w14:paraId="2F330723" w14:textId="77777777" w:rsidR="00801AB5" w:rsidRPr="00556B9B" w:rsidRDefault="00801AB5">
      <w:pPr>
        <w:spacing w:line="240" w:lineRule="auto"/>
        <w:rPr>
          <w:color w:val="000000"/>
          <w:lang w:val="hu-HU"/>
        </w:rPr>
      </w:pPr>
    </w:p>
    <w:p w14:paraId="53A5A859" w14:textId="77777777" w:rsidR="00910FC8" w:rsidRPr="00556B9B" w:rsidRDefault="00910FC8">
      <w:pPr>
        <w:spacing w:line="240" w:lineRule="auto"/>
        <w:rPr>
          <w:color w:val="000000"/>
          <w:lang w:val="hu-HU"/>
        </w:rPr>
      </w:pPr>
    </w:p>
    <w:p w14:paraId="153847FC" w14:textId="77777777" w:rsidR="00910FC8" w:rsidRPr="00556B9B" w:rsidRDefault="00910FC8" w:rsidP="000273A2">
      <w:pPr>
        <w:keepNext/>
        <w:spacing w:line="240" w:lineRule="auto"/>
        <w:ind w:left="567" w:hanging="567"/>
        <w:rPr>
          <w:b/>
          <w:color w:val="000000"/>
          <w:lang w:val="hu-HU"/>
        </w:rPr>
      </w:pPr>
      <w:r w:rsidRPr="00556B9B">
        <w:rPr>
          <w:b/>
          <w:color w:val="000000"/>
          <w:lang w:val="hu-HU"/>
        </w:rPr>
        <w:t>9.</w:t>
      </w:r>
      <w:r w:rsidRPr="00556B9B">
        <w:rPr>
          <w:b/>
          <w:color w:val="000000"/>
          <w:lang w:val="hu-HU"/>
        </w:rPr>
        <w:tab/>
        <w:t>A FORGALOMBA HOZATALI ENGEDÉLY ELSŐ KIADÁSÁNAK/ MEGÚJÍTÁSÁNAK DÁTUMA</w:t>
      </w:r>
    </w:p>
    <w:p w14:paraId="2B2E465F" w14:textId="77777777" w:rsidR="00910FC8" w:rsidRPr="00556B9B" w:rsidRDefault="00910FC8" w:rsidP="000273A2">
      <w:pPr>
        <w:keepNext/>
        <w:spacing w:line="240" w:lineRule="auto"/>
        <w:rPr>
          <w:color w:val="000000"/>
          <w:lang w:val="hu-HU"/>
        </w:rPr>
      </w:pPr>
    </w:p>
    <w:p w14:paraId="294E6A5A" w14:textId="77777777" w:rsidR="00910FC8" w:rsidRPr="00556B9B" w:rsidRDefault="00910FC8" w:rsidP="000273A2">
      <w:pPr>
        <w:keepNext/>
        <w:spacing w:line="240" w:lineRule="auto"/>
        <w:rPr>
          <w:color w:val="000000"/>
          <w:lang w:val="hu-HU"/>
        </w:rPr>
      </w:pPr>
      <w:r w:rsidRPr="00556B9B">
        <w:rPr>
          <w:color w:val="000000"/>
          <w:lang w:val="hu-HU"/>
        </w:rPr>
        <w:t>A forgalomba hozatali engedély első kiadásának dátuma: 2001.</w:t>
      </w:r>
      <w:r w:rsidR="0057321F" w:rsidRPr="00556B9B">
        <w:rPr>
          <w:color w:val="000000"/>
          <w:lang w:val="hu-HU"/>
        </w:rPr>
        <w:t xml:space="preserve"> november </w:t>
      </w:r>
      <w:r w:rsidRPr="00556B9B">
        <w:rPr>
          <w:color w:val="000000"/>
          <w:lang w:val="hu-HU"/>
        </w:rPr>
        <w:t>07.</w:t>
      </w:r>
    </w:p>
    <w:p w14:paraId="4052CF3E" w14:textId="77777777" w:rsidR="00910FC8" w:rsidRPr="00556B9B" w:rsidRDefault="0057321F">
      <w:pPr>
        <w:spacing w:line="240" w:lineRule="auto"/>
        <w:rPr>
          <w:color w:val="000000"/>
          <w:lang w:val="hu-HU"/>
        </w:rPr>
      </w:pPr>
      <w:r w:rsidRPr="00556B9B">
        <w:rPr>
          <w:noProof/>
          <w:szCs w:val="22"/>
          <w:lang w:val="hu-HU" w:eastAsia="en-US"/>
        </w:rPr>
        <w:t>A forgalomba hozatali engedély legutóbbi megújításának dátuma</w:t>
      </w:r>
      <w:r w:rsidR="00910FC8" w:rsidRPr="00556B9B">
        <w:rPr>
          <w:color w:val="000000"/>
          <w:lang w:val="hu-HU"/>
        </w:rPr>
        <w:t>: 2006.</w:t>
      </w:r>
      <w:r w:rsidRPr="00556B9B">
        <w:rPr>
          <w:color w:val="000000"/>
          <w:lang w:val="hu-HU"/>
        </w:rPr>
        <w:t xml:space="preserve"> november </w:t>
      </w:r>
      <w:r w:rsidR="00910FC8" w:rsidRPr="00556B9B">
        <w:rPr>
          <w:color w:val="000000"/>
          <w:lang w:val="hu-HU"/>
        </w:rPr>
        <w:t>07.</w:t>
      </w:r>
    </w:p>
    <w:p w14:paraId="43E5617A" w14:textId="77777777" w:rsidR="00910FC8" w:rsidRPr="00556B9B" w:rsidRDefault="00910FC8">
      <w:pPr>
        <w:spacing w:line="240" w:lineRule="auto"/>
        <w:rPr>
          <w:color w:val="000000"/>
          <w:lang w:val="hu-HU"/>
        </w:rPr>
      </w:pPr>
    </w:p>
    <w:p w14:paraId="51D96AFF" w14:textId="77777777" w:rsidR="00910FC8" w:rsidRPr="00556B9B" w:rsidRDefault="00910FC8">
      <w:pPr>
        <w:spacing w:line="240" w:lineRule="auto"/>
        <w:rPr>
          <w:color w:val="000000"/>
          <w:lang w:val="hu-HU"/>
        </w:rPr>
      </w:pPr>
    </w:p>
    <w:p w14:paraId="1CEAA523"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10.</w:t>
      </w:r>
      <w:r w:rsidRPr="00556B9B">
        <w:rPr>
          <w:b/>
          <w:color w:val="000000"/>
          <w:lang w:val="hu-HU"/>
        </w:rPr>
        <w:tab/>
        <w:t>A SZÖVEG ELLENŐRZÉSÉNEK DÁTUMA</w:t>
      </w:r>
    </w:p>
    <w:p w14:paraId="70CDE3CA" w14:textId="77777777" w:rsidR="00910FC8" w:rsidRPr="00556B9B" w:rsidRDefault="00910FC8" w:rsidP="006B29EF">
      <w:pPr>
        <w:keepNext/>
        <w:spacing w:line="240" w:lineRule="auto"/>
        <w:ind w:left="567" w:hanging="567"/>
        <w:rPr>
          <w:color w:val="000000"/>
          <w:lang w:val="hu-HU"/>
        </w:rPr>
      </w:pPr>
    </w:p>
    <w:p w14:paraId="25A89F71" w14:textId="77777777" w:rsidR="00D830DE" w:rsidRPr="00556B9B" w:rsidRDefault="00D830DE" w:rsidP="006B29EF">
      <w:pPr>
        <w:keepNext/>
        <w:spacing w:line="240" w:lineRule="auto"/>
        <w:ind w:left="567" w:hanging="567"/>
        <w:rPr>
          <w:color w:val="000000"/>
          <w:lang w:val="hu-HU"/>
        </w:rPr>
      </w:pPr>
    </w:p>
    <w:p w14:paraId="50F96A9F" w14:textId="77777777" w:rsidR="00D830DE" w:rsidRPr="00556B9B" w:rsidRDefault="00D830DE" w:rsidP="00D830DE">
      <w:pPr>
        <w:spacing w:line="240" w:lineRule="auto"/>
        <w:rPr>
          <w:iCs/>
          <w:noProof/>
          <w:color w:val="000000"/>
          <w:lang w:val="hu-HU"/>
        </w:rPr>
      </w:pPr>
      <w:r w:rsidRPr="00556B9B">
        <w:rPr>
          <w:noProof/>
          <w:color w:val="000000"/>
          <w:lang w:val="hu-HU"/>
        </w:rPr>
        <w:t>A gyógyszerről részletes információ az Európai Gyógyszerügynökség internetes honlapján (http://www.ema.europa.eu</w:t>
      </w:r>
      <w:r w:rsidRPr="00556B9B">
        <w:rPr>
          <w:iCs/>
          <w:noProof/>
          <w:color w:val="000000"/>
          <w:lang w:val="hu-HU"/>
        </w:rPr>
        <w:t>) található.</w:t>
      </w:r>
    </w:p>
    <w:p w14:paraId="0B7C34ED" w14:textId="77777777" w:rsidR="004C3718" w:rsidRPr="000273A2" w:rsidRDefault="00A72ECC" w:rsidP="00C064DB">
      <w:pPr>
        <w:widowControl w:val="0"/>
        <w:spacing w:line="240" w:lineRule="auto"/>
        <w:rPr>
          <w:rFonts w:cs="Times New Roman"/>
          <w:szCs w:val="22"/>
          <w:lang w:val="hu-HU" w:eastAsia="en-US" w:bidi="ar-SA"/>
        </w:rPr>
      </w:pPr>
      <w:r w:rsidRPr="00556B9B">
        <w:rPr>
          <w:iCs/>
          <w:noProof/>
          <w:color w:val="000000"/>
          <w:lang w:val="hu-HU"/>
        </w:rPr>
        <w:br w:type="page"/>
      </w:r>
      <w:r w:rsidR="003D6257" w:rsidRPr="00556B9B">
        <w:rPr>
          <w:rFonts w:cs="Times New Roman"/>
          <w:noProof/>
          <w:szCs w:val="22"/>
          <w:lang w:val="en-US" w:eastAsia="en-US" w:bidi="ar-SA"/>
        </w:rPr>
        <w:lastRenderedPageBreak/>
        <w:drawing>
          <wp:inline distT="0" distB="0" distL="0" distR="0" wp14:anchorId="48FA1A48" wp14:editId="3DCF0E94">
            <wp:extent cx="198755" cy="174625"/>
            <wp:effectExtent l="0" t="0" r="0" b="0"/>
            <wp:docPr id="6"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4C3718" w:rsidRPr="00556B9B">
        <w:rPr>
          <w:rFonts w:cs="Times New Roman"/>
          <w:szCs w:val="22"/>
          <w:lang w:val="hu-HU" w:eastAsia="en-US" w:bidi="ar-SA"/>
        </w:rPr>
        <w:t xml:space="preserve">Ez a gyógyszer fokozott felügyelet alatt áll, mely lehetővé teszi az új gyógyszerbiztonsági információk gyors azonosítását. Az egészségügyi szakembereket arra kérjük, hogy jelentsenek bármilyen feltételezett mellékhatást. A mellékhatások jelentésének módjairól a 4.8 pontban kaphatnak további </w:t>
      </w:r>
      <w:r w:rsidR="004C3718" w:rsidRPr="000273A2">
        <w:rPr>
          <w:rFonts w:cs="Times New Roman"/>
          <w:szCs w:val="22"/>
          <w:lang w:val="hu-HU" w:eastAsia="en-US" w:bidi="ar-SA"/>
        </w:rPr>
        <w:t>tájékoztatást.</w:t>
      </w:r>
    </w:p>
    <w:p w14:paraId="37070F70" w14:textId="77777777" w:rsidR="004C3718" w:rsidRPr="00556B9B" w:rsidRDefault="004C3718" w:rsidP="004C3718">
      <w:pPr>
        <w:widowControl w:val="0"/>
        <w:tabs>
          <w:tab w:val="left" w:pos="567"/>
        </w:tabs>
        <w:suppressAutoHyphens w:val="0"/>
        <w:spacing w:line="240" w:lineRule="auto"/>
        <w:rPr>
          <w:rFonts w:cs="Times New Roman"/>
          <w:szCs w:val="22"/>
          <w:lang w:val="hu-HU" w:eastAsia="en-US" w:bidi="ar-SA"/>
        </w:rPr>
      </w:pPr>
    </w:p>
    <w:p w14:paraId="24E7FD07" w14:textId="77777777" w:rsidR="004C3718" w:rsidRPr="00556B9B" w:rsidRDefault="004C3718" w:rsidP="004C3718">
      <w:pPr>
        <w:widowControl w:val="0"/>
        <w:tabs>
          <w:tab w:val="left" w:pos="567"/>
        </w:tabs>
        <w:suppressAutoHyphens w:val="0"/>
        <w:spacing w:line="240" w:lineRule="auto"/>
        <w:rPr>
          <w:rFonts w:cs="Times New Roman"/>
          <w:szCs w:val="22"/>
          <w:lang w:val="hu-HU" w:eastAsia="en-US" w:bidi="ar-SA"/>
        </w:rPr>
      </w:pPr>
    </w:p>
    <w:p w14:paraId="72E2B800" w14:textId="77777777" w:rsidR="00910FC8" w:rsidRPr="00556B9B" w:rsidRDefault="00910FC8">
      <w:pPr>
        <w:spacing w:line="240" w:lineRule="auto"/>
        <w:ind w:left="567" w:hanging="567"/>
        <w:rPr>
          <w:b/>
          <w:color w:val="000000"/>
          <w:lang w:val="hu-HU"/>
        </w:rPr>
      </w:pPr>
      <w:r w:rsidRPr="00556B9B">
        <w:rPr>
          <w:b/>
          <w:color w:val="000000"/>
          <w:lang w:val="hu-HU"/>
        </w:rPr>
        <w:t>1.</w:t>
      </w:r>
      <w:r w:rsidRPr="00556B9B">
        <w:rPr>
          <w:b/>
          <w:color w:val="000000"/>
          <w:lang w:val="hu-HU"/>
        </w:rPr>
        <w:tab/>
        <w:t>A GYÓGYSZER</w:t>
      </w:r>
      <w:r w:rsidR="00667373" w:rsidRPr="00556B9B">
        <w:rPr>
          <w:b/>
          <w:color w:val="000000"/>
          <w:lang w:val="hu-HU"/>
        </w:rPr>
        <w:t xml:space="preserve"> </w:t>
      </w:r>
      <w:r w:rsidRPr="00556B9B">
        <w:rPr>
          <w:b/>
          <w:color w:val="000000"/>
          <w:lang w:val="hu-HU"/>
        </w:rPr>
        <w:t>NEVE</w:t>
      </w:r>
    </w:p>
    <w:p w14:paraId="7EB9DC9F" w14:textId="77777777" w:rsidR="00910FC8" w:rsidRPr="00556B9B" w:rsidRDefault="00910FC8">
      <w:pPr>
        <w:spacing w:line="240" w:lineRule="auto"/>
        <w:rPr>
          <w:color w:val="000000"/>
          <w:lang w:val="hu-HU"/>
        </w:rPr>
      </w:pPr>
    </w:p>
    <w:p w14:paraId="3B51AD15" w14:textId="77777777" w:rsidR="00910FC8" w:rsidRPr="00556B9B" w:rsidRDefault="00910FC8">
      <w:pPr>
        <w:spacing w:line="240" w:lineRule="auto"/>
        <w:rPr>
          <w:color w:val="000000"/>
          <w:lang w:val="hu-HU"/>
        </w:rPr>
      </w:pPr>
      <w:r w:rsidRPr="00556B9B">
        <w:rPr>
          <w:color w:val="000000"/>
          <w:lang w:val="hu-HU"/>
        </w:rPr>
        <w:t>Glivec 100 mg filmtabletta</w:t>
      </w:r>
    </w:p>
    <w:p w14:paraId="4769D911" w14:textId="77777777" w:rsidR="00C064DB" w:rsidRPr="00556B9B" w:rsidRDefault="00C064DB" w:rsidP="00C064DB">
      <w:pPr>
        <w:spacing w:line="240" w:lineRule="auto"/>
        <w:rPr>
          <w:color w:val="000000"/>
          <w:lang w:val="hu-HU"/>
        </w:rPr>
      </w:pPr>
      <w:r w:rsidRPr="00556B9B">
        <w:rPr>
          <w:color w:val="000000"/>
          <w:lang w:val="hu-HU"/>
        </w:rPr>
        <w:t>Glivec 400 mg filmtabletta</w:t>
      </w:r>
    </w:p>
    <w:p w14:paraId="42B9443B" w14:textId="77777777" w:rsidR="00910FC8" w:rsidRPr="00556B9B" w:rsidRDefault="00910FC8">
      <w:pPr>
        <w:spacing w:line="240" w:lineRule="auto"/>
        <w:rPr>
          <w:color w:val="000000"/>
          <w:lang w:val="hu-HU"/>
        </w:rPr>
      </w:pPr>
    </w:p>
    <w:p w14:paraId="587B6A37" w14:textId="77777777" w:rsidR="00910FC8" w:rsidRPr="00556B9B" w:rsidRDefault="00910FC8">
      <w:pPr>
        <w:spacing w:line="240" w:lineRule="auto"/>
        <w:rPr>
          <w:color w:val="000000"/>
          <w:lang w:val="hu-HU"/>
        </w:rPr>
      </w:pPr>
    </w:p>
    <w:p w14:paraId="11A6B792"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2.</w:t>
      </w:r>
      <w:r w:rsidRPr="00556B9B">
        <w:rPr>
          <w:b/>
          <w:color w:val="000000"/>
          <w:lang w:val="hu-HU"/>
        </w:rPr>
        <w:tab/>
        <w:t>MINŐSÉGI ÉS MENNYISÉGI ÖSSZETÉTEL</w:t>
      </w:r>
    </w:p>
    <w:p w14:paraId="43DD0B9E" w14:textId="77777777" w:rsidR="00910FC8" w:rsidRPr="00556B9B" w:rsidRDefault="00910FC8" w:rsidP="006B29EF">
      <w:pPr>
        <w:keepNext/>
        <w:spacing w:line="240" w:lineRule="auto"/>
        <w:rPr>
          <w:color w:val="000000"/>
          <w:lang w:val="hu-HU"/>
        </w:rPr>
      </w:pPr>
    </w:p>
    <w:p w14:paraId="1213935A" w14:textId="77777777" w:rsidR="00C064DB" w:rsidRPr="00556B9B" w:rsidRDefault="00C064DB" w:rsidP="006B29EF">
      <w:pPr>
        <w:keepNext/>
        <w:spacing w:line="240" w:lineRule="auto"/>
        <w:rPr>
          <w:color w:val="000000"/>
          <w:u w:val="single"/>
          <w:lang w:val="hu-HU"/>
        </w:rPr>
      </w:pPr>
      <w:r w:rsidRPr="00556B9B">
        <w:rPr>
          <w:color w:val="000000"/>
          <w:u w:val="single"/>
          <w:lang w:val="hu-HU"/>
        </w:rPr>
        <w:t>Glivec 100 mg filmtabletta</w:t>
      </w:r>
    </w:p>
    <w:p w14:paraId="1408AD34" w14:textId="77777777" w:rsidR="00910FC8" w:rsidRPr="00556B9B" w:rsidRDefault="00910FC8">
      <w:pPr>
        <w:spacing w:line="240" w:lineRule="auto"/>
        <w:rPr>
          <w:color w:val="000000"/>
          <w:lang w:val="hu-HU"/>
        </w:rPr>
      </w:pPr>
      <w:r w:rsidRPr="00556B9B">
        <w:rPr>
          <w:color w:val="000000"/>
          <w:lang w:val="hu-HU"/>
        </w:rPr>
        <w:t>100 mg imatinib (imatinib</w:t>
      </w:r>
      <w:r w:rsidRPr="00556B9B">
        <w:rPr>
          <w:color w:val="000000"/>
          <w:lang w:val="hu-HU"/>
        </w:rPr>
        <w:noBreakHyphen/>
        <w:t>mezilát formájában) filmtablettánként.</w:t>
      </w:r>
    </w:p>
    <w:p w14:paraId="2BE95EA3" w14:textId="77777777" w:rsidR="00910FC8" w:rsidRPr="00556B9B" w:rsidRDefault="00910FC8">
      <w:pPr>
        <w:pStyle w:val="Trgymutat"/>
        <w:suppressLineNumbers w:val="0"/>
        <w:spacing w:line="240" w:lineRule="auto"/>
        <w:rPr>
          <w:color w:val="000000"/>
          <w:lang w:val="hu-HU"/>
        </w:rPr>
      </w:pPr>
    </w:p>
    <w:p w14:paraId="32E05647" w14:textId="77777777" w:rsidR="00C064DB" w:rsidRPr="00556B9B" w:rsidRDefault="00C064DB" w:rsidP="006B29EF">
      <w:pPr>
        <w:keepNext/>
        <w:spacing w:line="240" w:lineRule="auto"/>
        <w:rPr>
          <w:color w:val="000000"/>
          <w:u w:val="single"/>
          <w:lang w:val="hu-HU"/>
        </w:rPr>
      </w:pPr>
      <w:r w:rsidRPr="00556B9B">
        <w:rPr>
          <w:color w:val="000000"/>
          <w:u w:val="single"/>
          <w:lang w:val="hu-HU"/>
        </w:rPr>
        <w:t>Glivec 400 mg filmtabletta</w:t>
      </w:r>
    </w:p>
    <w:p w14:paraId="635AAB12" w14:textId="77777777" w:rsidR="00C064DB" w:rsidRPr="00556B9B" w:rsidRDefault="00C064DB" w:rsidP="00C064DB">
      <w:pPr>
        <w:spacing w:line="240" w:lineRule="auto"/>
        <w:rPr>
          <w:color w:val="000000"/>
          <w:lang w:val="hu-HU"/>
        </w:rPr>
      </w:pPr>
      <w:r w:rsidRPr="00556B9B">
        <w:rPr>
          <w:color w:val="000000"/>
          <w:lang w:val="hu-HU"/>
        </w:rPr>
        <w:t>400 mg imatinib (imatinib</w:t>
      </w:r>
      <w:r w:rsidRPr="00556B9B">
        <w:rPr>
          <w:color w:val="000000"/>
          <w:lang w:val="hu-HU"/>
        </w:rPr>
        <w:noBreakHyphen/>
        <w:t>mezilát formájában) filmtablettánként.</w:t>
      </w:r>
    </w:p>
    <w:p w14:paraId="2861C41B" w14:textId="77777777" w:rsidR="00C064DB" w:rsidRPr="00556B9B" w:rsidRDefault="00C064DB">
      <w:pPr>
        <w:pStyle w:val="Trgymutat"/>
        <w:suppressLineNumbers w:val="0"/>
        <w:spacing w:line="240" w:lineRule="auto"/>
        <w:rPr>
          <w:color w:val="000000"/>
          <w:lang w:val="hu-HU"/>
        </w:rPr>
      </w:pPr>
    </w:p>
    <w:p w14:paraId="49AD0F3B" w14:textId="77777777" w:rsidR="00910FC8" w:rsidRPr="00556B9B" w:rsidRDefault="00910FC8">
      <w:pPr>
        <w:pStyle w:val="WW-NormlWeb"/>
        <w:spacing w:before="0" w:after="0" w:line="240" w:lineRule="auto"/>
        <w:rPr>
          <w:rFonts w:ascii="Times New Roman" w:hAnsi="Times New Roman"/>
          <w:color w:val="000000"/>
          <w:sz w:val="22"/>
        </w:rPr>
      </w:pPr>
      <w:r w:rsidRPr="00556B9B">
        <w:rPr>
          <w:rFonts w:ascii="Times New Roman" w:hAnsi="Times New Roman"/>
          <w:color w:val="000000"/>
          <w:sz w:val="22"/>
        </w:rPr>
        <w:t xml:space="preserve">A segédanyagok teljes </w:t>
      </w:r>
      <w:r w:rsidR="00A11415" w:rsidRPr="00556B9B">
        <w:rPr>
          <w:rFonts w:ascii="Times New Roman" w:hAnsi="Times New Roman"/>
          <w:color w:val="000000"/>
          <w:sz w:val="22"/>
        </w:rPr>
        <w:t xml:space="preserve">felsorolását </w:t>
      </w:r>
      <w:r w:rsidRPr="00556B9B">
        <w:rPr>
          <w:rFonts w:ascii="Times New Roman" w:hAnsi="Times New Roman"/>
          <w:color w:val="000000"/>
          <w:sz w:val="22"/>
        </w:rPr>
        <w:t>lásd a 6.1 pontban.</w:t>
      </w:r>
    </w:p>
    <w:p w14:paraId="0F2E38F5" w14:textId="77777777" w:rsidR="00910FC8" w:rsidRPr="00556B9B" w:rsidRDefault="00910FC8">
      <w:pPr>
        <w:pStyle w:val="Trgymutat"/>
        <w:suppressLineNumbers w:val="0"/>
        <w:spacing w:line="240" w:lineRule="auto"/>
        <w:rPr>
          <w:color w:val="000000"/>
          <w:lang w:val="hu-HU"/>
        </w:rPr>
      </w:pPr>
    </w:p>
    <w:p w14:paraId="7B4BBF67" w14:textId="77777777" w:rsidR="00910FC8" w:rsidRPr="00556B9B" w:rsidRDefault="00910FC8">
      <w:pPr>
        <w:spacing w:line="240" w:lineRule="auto"/>
        <w:rPr>
          <w:color w:val="000000"/>
          <w:lang w:val="hu-HU"/>
        </w:rPr>
      </w:pPr>
    </w:p>
    <w:p w14:paraId="23FADFA9"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3.</w:t>
      </w:r>
      <w:r w:rsidRPr="00556B9B">
        <w:rPr>
          <w:b/>
          <w:color w:val="000000"/>
          <w:lang w:val="hu-HU"/>
        </w:rPr>
        <w:tab/>
        <w:t>GYÓGYSZERFORMA</w:t>
      </w:r>
    </w:p>
    <w:p w14:paraId="6A631901" w14:textId="77777777" w:rsidR="00910FC8" w:rsidRPr="00556B9B" w:rsidRDefault="00910FC8" w:rsidP="006B29EF">
      <w:pPr>
        <w:keepNext/>
        <w:spacing w:line="240" w:lineRule="auto"/>
        <w:rPr>
          <w:color w:val="000000"/>
          <w:lang w:val="hu-HU"/>
        </w:rPr>
      </w:pPr>
    </w:p>
    <w:p w14:paraId="76C3278F" w14:textId="77777777" w:rsidR="00910FC8" w:rsidRPr="00556B9B" w:rsidRDefault="00910FC8">
      <w:pPr>
        <w:spacing w:line="240" w:lineRule="auto"/>
        <w:rPr>
          <w:color w:val="000000"/>
          <w:lang w:val="hu-HU"/>
        </w:rPr>
      </w:pPr>
      <w:r w:rsidRPr="00556B9B">
        <w:rPr>
          <w:color w:val="000000"/>
          <w:lang w:val="hu-HU"/>
        </w:rPr>
        <w:t>Filmtabletta.</w:t>
      </w:r>
    </w:p>
    <w:p w14:paraId="37D17DE1" w14:textId="77777777" w:rsidR="00910FC8" w:rsidRPr="00556B9B" w:rsidRDefault="00910FC8">
      <w:pPr>
        <w:spacing w:line="240" w:lineRule="auto"/>
        <w:rPr>
          <w:color w:val="000000"/>
          <w:lang w:val="hu-HU"/>
        </w:rPr>
      </w:pPr>
    </w:p>
    <w:p w14:paraId="7AD6EDFC" w14:textId="77777777" w:rsidR="00C064DB" w:rsidRPr="00556B9B" w:rsidRDefault="00C064DB" w:rsidP="006B29EF">
      <w:pPr>
        <w:keepNext/>
        <w:spacing w:line="240" w:lineRule="auto"/>
        <w:rPr>
          <w:color w:val="000000"/>
          <w:u w:val="single"/>
          <w:lang w:val="hu-HU"/>
        </w:rPr>
      </w:pPr>
      <w:r w:rsidRPr="00556B9B">
        <w:rPr>
          <w:color w:val="000000"/>
          <w:u w:val="single"/>
          <w:lang w:val="hu-HU"/>
        </w:rPr>
        <w:t>Glivec 100 mg filmtabletta</w:t>
      </w:r>
    </w:p>
    <w:p w14:paraId="2274E72B" w14:textId="77777777" w:rsidR="00910FC8" w:rsidRPr="00556B9B" w:rsidRDefault="00910FC8">
      <w:pPr>
        <w:spacing w:line="240" w:lineRule="auto"/>
        <w:rPr>
          <w:color w:val="000000"/>
          <w:lang w:val="hu-HU"/>
        </w:rPr>
      </w:pPr>
      <w:r w:rsidRPr="00556B9B">
        <w:rPr>
          <w:color w:val="000000"/>
          <w:lang w:val="hu-HU"/>
        </w:rPr>
        <w:t>Nagyon sötét narancssárga </w:t>
      </w:r>
      <w:r w:rsidRPr="00556B9B">
        <w:rPr>
          <w:color w:val="000000"/>
          <w:lang w:val="hu-HU"/>
        </w:rPr>
        <w:noBreakHyphen/>
        <w:t> barnás</w:t>
      </w:r>
      <w:r w:rsidRPr="00556B9B">
        <w:rPr>
          <w:color w:val="000000"/>
          <w:lang w:val="hu-HU"/>
        </w:rPr>
        <w:noBreakHyphen/>
        <w:t>narancssárga kerek filmbevonatú tabletta, „</w:t>
      </w:r>
      <w:smartTag w:uri="urn:schemas-microsoft-com:office:smarttags" w:element="stockticker">
        <w:r w:rsidRPr="00556B9B">
          <w:rPr>
            <w:color w:val="000000"/>
            <w:lang w:val="hu-HU"/>
          </w:rPr>
          <w:t>NVR</w:t>
        </w:r>
      </w:smartTag>
      <w:r w:rsidRPr="00556B9B">
        <w:rPr>
          <w:color w:val="000000"/>
          <w:lang w:val="hu-HU"/>
        </w:rPr>
        <w:t>” felirattal az egyik oldalon, „SA” felirattal és felezővonallal a másikon.</w:t>
      </w:r>
    </w:p>
    <w:p w14:paraId="79D51198" w14:textId="77777777" w:rsidR="00910FC8" w:rsidRPr="00556B9B" w:rsidRDefault="00910FC8">
      <w:pPr>
        <w:spacing w:line="240" w:lineRule="auto"/>
        <w:rPr>
          <w:color w:val="000000"/>
          <w:lang w:val="hu-HU"/>
        </w:rPr>
      </w:pPr>
    </w:p>
    <w:p w14:paraId="7E10DE2A" w14:textId="77777777" w:rsidR="00C064DB" w:rsidRPr="00556B9B" w:rsidRDefault="00C064DB" w:rsidP="006B29EF">
      <w:pPr>
        <w:keepNext/>
        <w:spacing w:line="240" w:lineRule="auto"/>
        <w:rPr>
          <w:color w:val="000000"/>
          <w:u w:val="single"/>
          <w:lang w:val="hu-HU"/>
        </w:rPr>
      </w:pPr>
      <w:r w:rsidRPr="00556B9B">
        <w:rPr>
          <w:color w:val="000000"/>
          <w:u w:val="single"/>
          <w:lang w:val="hu-HU"/>
        </w:rPr>
        <w:t>Glivec 400 mg filmtabletta</w:t>
      </w:r>
    </w:p>
    <w:p w14:paraId="6827EB77" w14:textId="77777777" w:rsidR="00C064DB" w:rsidRPr="00556B9B" w:rsidRDefault="00C064DB" w:rsidP="00C064DB">
      <w:pPr>
        <w:spacing w:line="240" w:lineRule="auto"/>
        <w:rPr>
          <w:color w:val="000000"/>
          <w:lang w:val="hu-HU"/>
        </w:rPr>
      </w:pPr>
      <w:r w:rsidRPr="00556B9B">
        <w:rPr>
          <w:color w:val="000000"/>
          <w:lang w:val="hu-HU"/>
        </w:rPr>
        <w:t>Nagyon sötét sárga </w:t>
      </w:r>
      <w:r w:rsidRPr="00556B9B">
        <w:rPr>
          <w:color w:val="000000"/>
          <w:lang w:val="hu-HU"/>
        </w:rPr>
        <w:noBreakHyphen/>
        <w:t> barnás</w:t>
      </w:r>
      <w:r w:rsidRPr="00556B9B">
        <w:rPr>
          <w:color w:val="000000"/>
          <w:lang w:val="hu-HU"/>
        </w:rPr>
        <w:noBreakHyphen/>
        <w:t>narancssárga ovális, mindkét oldalon domború felületű, metszett élű filmbevonatú tabletta, „glivec” felirattal az egyik oldalon.</w:t>
      </w:r>
    </w:p>
    <w:p w14:paraId="5E8117F5" w14:textId="77777777" w:rsidR="00C064DB" w:rsidRPr="00556B9B" w:rsidRDefault="00C064DB">
      <w:pPr>
        <w:spacing w:line="240" w:lineRule="auto"/>
        <w:rPr>
          <w:color w:val="000000"/>
          <w:lang w:val="hu-HU"/>
        </w:rPr>
      </w:pPr>
    </w:p>
    <w:p w14:paraId="19810924" w14:textId="77777777" w:rsidR="00910FC8" w:rsidRPr="00556B9B" w:rsidRDefault="00910FC8">
      <w:pPr>
        <w:spacing w:line="240" w:lineRule="auto"/>
        <w:rPr>
          <w:color w:val="000000"/>
          <w:lang w:val="hu-HU"/>
        </w:rPr>
      </w:pPr>
    </w:p>
    <w:p w14:paraId="06487C94" w14:textId="77777777" w:rsidR="0000287A" w:rsidRPr="00556B9B" w:rsidRDefault="0000287A" w:rsidP="000273A2">
      <w:pPr>
        <w:keepNext/>
        <w:spacing w:line="240" w:lineRule="auto"/>
        <w:ind w:left="567" w:hanging="567"/>
        <w:rPr>
          <w:b/>
          <w:caps/>
          <w:color w:val="000000"/>
          <w:lang w:val="hu-HU"/>
        </w:rPr>
      </w:pPr>
      <w:r w:rsidRPr="00556B9B">
        <w:rPr>
          <w:b/>
          <w:caps/>
          <w:color w:val="000000"/>
          <w:lang w:val="hu-HU"/>
        </w:rPr>
        <w:t>4.</w:t>
      </w:r>
      <w:r w:rsidRPr="00556B9B">
        <w:rPr>
          <w:b/>
          <w:caps/>
          <w:color w:val="000000"/>
          <w:lang w:val="hu-HU"/>
        </w:rPr>
        <w:tab/>
        <w:t>KLINIKAI JELLEMZŐK</w:t>
      </w:r>
    </w:p>
    <w:p w14:paraId="25DFECB8" w14:textId="77777777" w:rsidR="0000287A" w:rsidRPr="00556B9B" w:rsidRDefault="0000287A" w:rsidP="000273A2">
      <w:pPr>
        <w:pStyle w:val="EndnoteText"/>
        <w:keepNext/>
        <w:spacing w:line="240" w:lineRule="auto"/>
        <w:rPr>
          <w:color w:val="000000"/>
          <w:lang w:val="hu-HU"/>
        </w:rPr>
      </w:pPr>
    </w:p>
    <w:p w14:paraId="1A89161A" w14:textId="77777777" w:rsidR="0000287A" w:rsidRPr="00556B9B" w:rsidRDefault="0000287A" w:rsidP="000273A2">
      <w:pPr>
        <w:keepNext/>
        <w:spacing w:line="240" w:lineRule="auto"/>
        <w:ind w:left="567" w:hanging="567"/>
        <w:rPr>
          <w:b/>
          <w:color w:val="000000"/>
          <w:lang w:val="hu-HU"/>
        </w:rPr>
      </w:pPr>
      <w:r w:rsidRPr="00556B9B">
        <w:rPr>
          <w:b/>
          <w:color w:val="000000"/>
          <w:lang w:val="hu-HU"/>
        </w:rPr>
        <w:t>4.1</w:t>
      </w:r>
      <w:r w:rsidRPr="00556B9B">
        <w:rPr>
          <w:b/>
          <w:color w:val="000000"/>
          <w:lang w:val="hu-HU"/>
        </w:rPr>
        <w:tab/>
        <w:t>Terápiás javallatok</w:t>
      </w:r>
    </w:p>
    <w:p w14:paraId="1821B352" w14:textId="77777777" w:rsidR="0000287A" w:rsidRPr="00556B9B" w:rsidRDefault="0000287A" w:rsidP="000273A2">
      <w:pPr>
        <w:keepNext/>
        <w:spacing w:line="240" w:lineRule="auto"/>
        <w:rPr>
          <w:color w:val="000000"/>
          <w:lang w:val="hu-HU"/>
        </w:rPr>
      </w:pPr>
    </w:p>
    <w:p w14:paraId="5FE91C64" w14:textId="77777777" w:rsidR="0000287A" w:rsidRPr="00556B9B" w:rsidRDefault="0000287A" w:rsidP="000273A2">
      <w:pPr>
        <w:pStyle w:val="WW-BodyText2"/>
        <w:keepNext/>
        <w:rPr>
          <w:color w:val="000000"/>
          <w:sz w:val="22"/>
        </w:rPr>
      </w:pPr>
      <w:r w:rsidRPr="00556B9B">
        <w:rPr>
          <w:color w:val="000000"/>
          <w:sz w:val="22"/>
        </w:rPr>
        <w:t>A Glivec terápiás javallatai:</w:t>
      </w:r>
    </w:p>
    <w:p w14:paraId="0CF30CBC" w14:textId="566A9500" w:rsidR="0000287A" w:rsidRPr="00E72BFA" w:rsidRDefault="0000287A" w:rsidP="00B91C98">
      <w:pPr>
        <w:pStyle w:val="WW-BodyText2"/>
        <w:numPr>
          <w:ilvl w:val="0"/>
          <w:numId w:val="14"/>
        </w:numPr>
        <w:tabs>
          <w:tab w:val="clear" w:pos="360"/>
        </w:tabs>
        <w:ind w:left="567" w:hanging="567"/>
        <w:rPr>
          <w:color w:val="000000"/>
          <w:sz w:val="22"/>
        </w:rPr>
      </w:pPr>
      <w:r w:rsidRPr="00556B9B">
        <w:rPr>
          <w:color w:val="000000"/>
          <w:sz w:val="22"/>
        </w:rPr>
        <w:t xml:space="preserve">újonnan diagnosztizált </w:t>
      </w:r>
      <w:r w:rsidRPr="00E72BFA">
        <w:rPr>
          <w:color w:val="000000"/>
          <w:sz w:val="22"/>
        </w:rPr>
        <w:t>Philadelphia kromoszóma (bcr</w:t>
      </w:r>
      <w:r w:rsidRPr="00E72BFA">
        <w:rPr>
          <w:color w:val="000000"/>
          <w:sz w:val="22"/>
        </w:rPr>
        <w:noBreakHyphen/>
        <w:t>abl) pozitív (Ph+) krónikus myeloid leukaemiás (CML) felnőttek</w:t>
      </w:r>
      <w:r w:rsidR="002B64D1" w:rsidRPr="00E72BFA">
        <w:rPr>
          <w:color w:val="000000"/>
          <w:sz w:val="22"/>
        </w:rPr>
        <w:t xml:space="preserve">, </w:t>
      </w:r>
      <w:r w:rsidRPr="00E72BFA">
        <w:rPr>
          <w:color w:val="000000"/>
          <w:sz w:val="22"/>
        </w:rPr>
        <w:t xml:space="preserve">gyermekek </w:t>
      </w:r>
      <w:r w:rsidR="002B64D1" w:rsidRPr="00E72BFA">
        <w:rPr>
          <w:color w:val="000000"/>
          <w:sz w:val="22"/>
        </w:rPr>
        <w:t xml:space="preserve">és serdülők </w:t>
      </w:r>
      <w:r w:rsidRPr="00E72BFA">
        <w:rPr>
          <w:color w:val="000000"/>
          <w:sz w:val="22"/>
        </w:rPr>
        <w:t>kezelése, akiknek a csontvelő</w:t>
      </w:r>
      <w:r w:rsidRPr="00E72BFA">
        <w:rPr>
          <w:color w:val="000000"/>
          <w:sz w:val="22"/>
        </w:rPr>
        <w:noBreakHyphen/>
        <w:t>transzplantáció elsővonalbeli kezelésként nem jön szóba.</w:t>
      </w:r>
    </w:p>
    <w:p w14:paraId="633C4B0E" w14:textId="51E31596" w:rsidR="0000287A" w:rsidRPr="00E72BFA" w:rsidRDefault="0000287A" w:rsidP="00B91C98">
      <w:pPr>
        <w:numPr>
          <w:ilvl w:val="0"/>
          <w:numId w:val="14"/>
        </w:numPr>
        <w:tabs>
          <w:tab w:val="clear" w:pos="360"/>
        </w:tabs>
        <w:spacing w:line="240" w:lineRule="auto"/>
        <w:ind w:left="567" w:hanging="567"/>
        <w:rPr>
          <w:color w:val="000000"/>
          <w:lang w:val="hu-HU"/>
        </w:rPr>
      </w:pPr>
      <w:r w:rsidRPr="00E72BFA">
        <w:rPr>
          <w:color w:val="000000"/>
          <w:lang w:val="hu-HU"/>
        </w:rPr>
        <w:t>Ph+ CML</w:t>
      </w:r>
      <w:r w:rsidRPr="00E72BFA">
        <w:rPr>
          <w:color w:val="000000"/>
          <w:lang w:val="hu-HU"/>
        </w:rPr>
        <w:noBreakHyphen/>
        <w:t>es, sikertelen alfa interferon</w:t>
      </w:r>
      <w:r w:rsidRPr="00E72BFA">
        <w:rPr>
          <w:color w:val="000000"/>
          <w:lang w:val="hu-HU"/>
        </w:rPr>
        <w:noBreakHyphen/>
        <w:t>kezelésen átesett krónikus fázisban, valamint akcelerált fázisban vagy blasztos krízisben levő felnőttek</w:t>
      </w:r>
      <w:r w:rsidR="002B64D1" w:rsidRPr="00E72BFA">
        <w:rPr>
          <w:color w:val="000000"/>
          <w:lang w:val="hu-HU"/>
        </w:rPr>
        <w:t xml:space="preserve">, </w:t>
      </w:r>
      <w:r w:rsidRPr="00E72BFA">
        <w:rPr>
          <w:color w:val="000000"/>
          <w:lang w:val="hu-HU"/>
        </w:rPr>
        <w:t xml:space="preserve">gyermekek </w:t>
      </w:r>
      <w:r w:rsidR="002B64D1" w:rsidRPr="00E72BFA">
        <w:rPr>
          <w:color w:val="000000"/>
          <w:lang w:val="hu-HU"/>
        </w:rPr>
        <w:t xml:space="preserve">és serdülők </w:t>
      </w:r>
      <w:r w:rsidRPr="00E72BFA">
        <w:rPr>
          <w:color w:val="000000"/>
          <w:lang w:val="hu-HU"/>
        </w:rPr>
        <w:t>kezelése.</w:t>
      </w:r>
    </w:p>
    <w:p w14:paraId="1B185239" w14:textId="3034F230" w:rsidR="0000287A" w:rsidRPr="00E72BFA" w:rsidRDefault="0000287A" w:rsidP="00B91C98">
      <w:pPr>
        <w:numPr>
          <w:ilvl w:val="0"/>
          <w:numId w:val="14"/>
        </w:numPr>
        <w:tabs>
          <w:tab w:val="clear" w:pos="360"/>
        </w:tabs>
        <w:spacing w:line="240" w:lineRule="auto"/>
        <w:ind w:left="567" w:hanging="567"/>
        <w:rPr>
          <w:color w:val="000000"/>
          <w:lang w:val="hu-HU"/>
        </w:rPr>
      </w:pPr>
      <w:r w:rsidRPr="00E72BFA">
        <w:rPr>
          <w:color w:val="000000"/>
          <w:lang w:val="hu-HU"/>
        </w:rPr>
        <w:t>újonnan diagnosztizált Philadelphia kromoszóma pozitív akut lymphoblastos leukaemiás (Ph+</w:t>
      </w:r>
      <w:smartTag w:uri="urn:schemas-microsoft-com:office:smarttags" w:element="stockticker">
        <w:r w:rsidRPr="00E72BFA">
          <w:rPr>
            <w:color w:val="000000"/>
            <w:lang w:val="hu-HU"/>
          </w:rPr>
          <w:t>ALL</w:t>
        </w:r>
      </w:smartTag>
      <w:r w:rsidRPr="00E72BFA">
        <w:rPr>
          <w:color w:val="000000"/>
          <w:lang w:val="hu-HU"/>
        </w:rPr>
        <w:t>) felnőtt</w:t>
      </w:r>
      <w:r w:rsidR="002B64D1" w:rsidRPr="00E72BFA">
        <w:rPr>
          <w:color w:val="000000"/>
          <w:lang w:val="hu-HU"/>
        </w:rPr>
        <w:t xml:space="preserve">ek, </w:t>
      </w:r>
      <w:r w:rsidR="00AD105D" w:rsidRPr="00E72BFA">
        <w:rPr>
          <w:color w:val="000000"/>
          <w:lang w:val="hu-HU"/>
        </w:rPr>
        <w:t>gyermek</w:t>
      </w:r>
      <w:r w:rsidR="002B64D1" w:rsidRPr="00E72BFA">
        <w:rPr>
          <w:color w:val="000000"/>
          <w:lang w:val="hu-HU"/>
        </w:rPr>
        <w:t xml:space="preserve">ek és serdülők </w:t>
      </w:r>
      <w:r w:rsidRPr="00E72BFA">
        <w:rPr>
          <w:color w:val="000000"/>
          <w:lang w:val="hu-HU"/>
        </w:rPr>
        <w:t>betegek kezelése, kemoterápiával kiegészítve.</w:t>
      </w:r>
    </w:p>
    <w:p w14:paraId="0F170B09" w14:textId="7A3BEFF4" w:rsidR="0000287A" w:rsidRPr="00E72BFA" w:rsidRDefault="0000287A" w:rsidP="00B91C98">
      <w:pPr>
        <w:numPr>
          <w:ilvl w:val="0"/>
          <w:numId w:val="14"/>
        </w:numPr>
        <w:tabs>
          <w:tab w:val="clear" w:pos="360"/>
        </w:tabs>
        <w:spacing w:line="240" w:lineRule="auto"/>
        <w:ind w:left="567" w:hanging="567"/>
        <w:rPr>
          <w:color w:val="000000"/>
          <w:lang w:val="hu-HU"/>
        </w:rPr>
      </w:pPr>
      <w:r w:rsidRPr="00E72BFA">
        <w:rPr>
          <w:color w:val="000000"/>
          <w:lang w:val="hu-HU"/>
        </w:rPr>
        <w:t xml:space="preserve">recidivált vagy refrakter Ph+ </w:t>
      </w:r>
      <w:smartTag w:uri="urn:schemas-microsoft-com:office:smarttags" w:element="stockticker">
        <w:r w:rsidRPr="00E72BFA">
          <w:rPr>
            <w:color w:val="000000"/>
            <w:lang w:val="hu-HU"/>
          </w:rPr>
          <w:t>ALL</w:t>
        </w:r>
      </w:smartTag>
      <w:r w:rsidRPr="00E72BFA">
        <w:rPr>
          <w:color w:val="000000"/>
          <w:lang w:val="hu-HU"/>
        </w:rPr>
        <w:noBreakHyphen/>
        <w:t>es felnőtt betegek kezelése, monoterápiaként.</w:t>
      </w:r>
    </w:p>
    <w:p w14:paraId="020EFFD6" w14:textId="68715FA5" w:rsidR="0000287A" w:rsidRPr="00E72BFA" w:rsidRDefault="0000287A" w:rsidP="00B91C98">
      <w:pPr>
        <w:numPr>
          <w:ilvl w:val="0"/>
          <w:numId w:val="14"/>
        </w:numPr>
        <w:tabs>
          <w:tab w:val="clear" w:pos="360"/>
        </w:tabs>
        <w:spacing w:line="240" w:lineRule="auto"/>
        <w:ind w:left="567" w:hanging="567"/>
        <w:rPr>
          <w:color w:val="000000"/>
          <w:lang w:val="hu-HU"/>
        </w:rPr>
      </w:pPr>
      <w:r w:rsidRPr="00E72BFA">
        <w:rPr>
          <w:color w:val="000000"/>
          <w:lang w:val="hu-HU"/>
        </w:rPr>
        <w:t>PDGFR („platelet derived growth factor receptor”) génátrendeződéssel társuló myelodysplasiás/myeloproliferatív betegségben (</w:t>
      </w:r>
      <w:smartTag w:uri="urn:schemas-microsoft-com:office:smarttags" w:element="stockticker">
        <w:r w:rsidRPr="00E72BFA">
          <w:rPr>
            <w:color w:val="000000"/>
            <w:lang w:val="hu-HU"/>
          </w:rPr>
          <w:t>MDS</w:t>
        </w:r>
      </w:smartTag>
      <w:r w:rsidRPr="00E72BFA">
        <w:rPr>
          <w:color w:val="000000"/>
          <w:lang w:val="hu-HU"/>
        </w:rPr>
        <w:t>/MPD) szenvedő felnőtt betegek kezelése.</w:t>
      </w:r>
    </w:p>
    <w:p w14:paraId="147964A0" w14:textId="606F2E75" w:rsidR="0000287A" w:rsidRPr="00556B9B" w:rsidRDefault="0000287A" w:rsidP="00B91C98">
      <w:pPr>
        <w:numPr>
          <w:ilvl w:val="0"/>
          <w:numId w:val="14"/>
        </w:numPr>
        <w:tabs>
          <w:tab w:val="clear" w:pos="360"/>
        </w:tabs>
        <w:spacing w:line="240" w:lineRule="auto"/>
        <w:ind w:left="567" w:hanging="567"/>
        <w:rPr>
          <w:color w:val="000000"/>
          <w:lang w:val="hu-HU"/>
        </w:rPr>
      </w:pPr>
      <w:r w:rsidRPr="00E72BFA">
        <w:rPr>
          <w:color w:val="000000"/>
          <w:lang w:val="hu-HU"/>
        </w:rPr>
        <w:t>FIP1L1-PDGFR</w:t>
      </w:r>
      <w:r w:rsidRPr="00E72BFA">
        <w:rPr>
          <w:color w:val="000000"/>
        </w:rPr>
        <w:sym w:font="Symbol" w:char="F061"/>
      </w:r>
      <w:r w:rsidRPr="00E72BFA">
        <w:rPr>
          <w:color w:val="000000"/>
          <w:lang w:val="hu-HU"/>
        </w:rPr>
        <w:t xml:space="preserve"> átrendeződéssel járó, előrehaladott hypereosinophilia szindrómában (HES) és/vagy krónikus eosin</w:t>
      </w:r>
      <w:r w:rsidR="00DF5B71" w:rsidRPr="00E72BFA">
        <w:rPr>
          <w:color w:val="000000"/>
          <w:lang w:val="hu-HU"/>
        </w:rPr>
        <w:t>o</w:t>
      </w:r>
      <w:r w:rsidRPr="00E72BFA">
        <w:rPr>
          <w:color w:val="000000"/>
          <w:lang w:val="hu-HU"/>
        </w:rPr>
        <w:t>philiás leukémi</w:t>
      </w:r>
      <w:r w:rsidRPr="00556B9B">
        <w:rPr>
          <w:color w:val="000000"/>
          <w:lang w:val="hu-HU"/>
        </w:rPr>
        <w:t>ában (</w:t>
      </w:r>
      <w:smartTag w:uri="urn:schemas-microsoft-com:office:smarttags" w:element="stockticker">
        <w:r w:rsidRPr="00556B9B">
          <w:rPr>
            <w:color w:val="000000"/>
            <w:lang w:val="hu-HU"/>
          </w:rPr>
          <w:t>CEL</w:t>
        </w:r>
      </w:smartTag>
      <w:r w:rsidRPr="00556B9B">
        <w:rPr>
          <w:color w:val="000000"/>
          <w:lang w:val="hu-HU"/>
        </w:rPr>
        <w:t>) szenvedő felnőttek kezelése.</w:t>
      </w:r>
    </w:p>
    <w:p w14:paraId="1016043B" w14:textId="77777777" w:rsidR="0000287A" w:rsidRPr="00556B9B" w:rsidRDefault="0000287A" w:rsidP="0000287A">
      <w:pPr>
        <w:spacing w:line="240" w:lineRule="auto"/>
        <w:rPr>
          <w:color w:val="000000"/>
          <w:lang w:val="hu-HU"/>
        </w:rPr>
      </w:pPr>
    </w:p>
    <w:p w14:paraId="37ACF518" w14:textId="77777777" w:rsidR="0000287A" w:rsidRPr="00556B9B" w:rsidRDefault="0000287A" w:rsidP="0000287A">
      <w:pPr>
        <w:spacing w:line="240" w:lineRule="auto"/>
        <w:rPr>
          <w:color w:val="000000"/>
          <w:lang w:val="hu-HU"/>
        </w:rPr>
      </w:pPr>
      <w:r w:rsidRPr="00556B9B">
        <w:rPr>
          <w:color w:val="000000"/>
          <w:lang w:val="hu-HU"/>
        </w:rPr>
        <w:t>A Glivec hatása a csontvelő-transzplantáció kimenetelére még nincs meghatározva.</w:t>
      </w:r>
    </w:p>
    <w:p w14:paraId="01437343" w14:textId="77777777" w:rsidR="0000287A" w:rsidRPr="00556B9B" w:rsidRDefault="0000287A" w:rsidP="0000287A">
      <w:pPr>
        <w:spacing w:line="240" w:lineRule="auto"/>
        <w:rPr>
          <w:color w:val="000000"/>
          <w:lang w:val="hu-HU"/>
        </w:rPr>
      </w:pPr>
    </w:p>
    <w:p w14:paraId="13A98724" w14:textId="77777777" w:rsidR="0000287A" w:rsidRPr="00556B9B" w:rsidRDefault="0000287A" w:rsidP="006B29EF">
      <w:pPr>
        <w:pStyle w:val="BodyText"/>
        <w:keepNext/>
        <w:spacing w:line="240" w:lineRule="auto"/>
        <w:rPr>
          <w:b w:val="0"/>
          <w:i w:val="0"/>
          <w:color w:val="000000"/>
          <w:lang w:val="hu-HU"/>
        </w:rPr>
      </w:pPr>
      <w:r w:rsidRPr="00556B9B">
        <w:rPr>
          <w:b w:val="0"/>
          <w:i w:val="0"/>
          <w:color w:val="000000"/>
          <w:lang w:val="hu-HU"/>
        </w:rPr>
        <w:t>A Glivec alkalmazása javallott:</w:t>
      </w:r>
    </w:p>
    <w:p w14:paraId="69B23396" w14:textId="77777777" w:rsidR="0000287A" w:rsidRPr="00556B9B" w:rsidRDefault="0000287A" w:rsidP="00B91C98">
      <w:pPr>
        <w:pStyle w:val="BodyText"/>
        <w:numPr>
          <w:ilvl w:val="0"/>
          <w:numId w:val="16"/>
        </w:numPr>
        <w:tabs>
          <w:tab w:val="clear" w:pos="360"/>
        </w:tabs>
        <w:spacing w:line="240" w:lineRule="auto"/>
        <w:ind w:left="567" w:hanging="567"/>
        <w:rPr>
          <w:b w:val="0"/>
          <w:i w:val="0"/>
          <w:color w:val="000000"/>
          <w:lang w:val="hu-HU"/>
        </w:rPr>
      </w:pPr>
      <w:r w:rsidRPr="00556B9B">
        <w:rPr>
          <w:b w:val="0"/>
          <w:i w:val="0"/>
          <w:color w:val="000000"/>
          <w:lang w:val="hu-HU"/>
        </w:rPr>
        <w:t>felnőttek Kit (CD 117) pozitív, nem reszekábilis és/vagy metasztatikus malignus gastrointestinalis stromalis daganatainak (GIST) kezelésére.</w:t>
      </w:r>
    </w:p>
    <w:p w14:paraId="74720015" w14:textId="77777777" w:rsidR="0000287A" w:rsidRPr="00556B9B" w:rsidRDefault="0000287A" w:rsidP="00B91C98">
      <w:pPr>
        <w:pStyle w:val="BodyText"/>
        <w:numPr>
          <w:ilvl w:val="0"/>
          <w:numId w:val="16"/>
        </w:numPr>
        <w:tabs>
          <w:tab w:val="clear" w:pos="360"/>
        </w:tabs>
        <w:spacing w:line="240" w:lineRule="auto"/>
        <w:ind w:left="567" w:hanging="567"/>
        <w:rPr>
          <w:b w:val="0"/>
          <w:i w:val="0"/>
          <w:color w:val="000000"/>
          <w:lang w:val="hu-HU"/>
        </w:rPr>
      </w:pPr>
      <w:r w:rsidRPr="00556B9B">
        <w:rPr>
          <w:b w:val="0"/>
          <w:i w:val="0"/>
          <w:color w:val="000000"/>
          <w:lang w:val="hu-HU"/>
        </w:rPr>
        <w:t>olyan felnőtt betegek Kit (CD 117) pozitív gastrointestinalis stromalis daganatainak (GIST) reszekcióját követő adjuváns kezelésére, akiknél jelentős a relapszus kockázata. Nem kaphatnak adjuváns kezelést azok a betegek, akiknél a kiújulás kockázata alacsony vagy nagyon alacsony.</w:t>
      </w:r>
    </w:p>
    <w:p w14:paraId="547A0E14" w14:textId="77777777" w:rsidR="0000287A" w:rsidRPr="00E72BFA" w:rsidRDefault="0000287A" w:rsidP="00B91C98">
      <w:pPr>
        <w:pStyle w:val="BodyText"/>
        <w:numPr>
          <w:ilvl w:val="0"/>
          <w:numId w:val="16"/>
        </w:numPr>
        <w:tabs>
          <w:tab w:val="clear" w:pos="360"/>
        </w:tabs>
        <w:spacing w:line="240" w:lineRule="auto"/>
        <w:ind w:left="567" w:hanging="567"/>
        <w:rPr>
          <w:b w:val="0"/>
          <w:i w:val="0"/>
          <w:color w:val="000000"/>
          <w:lang w:val="hu-HU"/>
        </w:rPr>
      </w:pPr>
      <w:r w:rsidRPr="00556B9B">
        <w:rPr>
          <w:b w:val="0"/>
          <w:i w:val="0"/>
          <w:color w:val="000000"/>
          <w:lang w:val="hu-HU"/>
        </w:rPr>
        <w:t>nem reszekábilis dermatofibrosarcoma protuberans (DFSP), valamint recidiváló és/vagy metasztatikus DFSP</w:t>
      </w:r>
      <w:r w:rsidRPr="00556B9B">
        <w:rPr>
          <w:b w:val="0"/>
          <w:i w:val="0"/>
          <w:color w:val="000000"/>
          <w:lang w:val="hu-HU"/>
        </w:rPr>
        <w:noBreakHyphen/>
        <w:t xml:space="preserve">ben szenvedő, műtétre nem alkalmas </w:t>
      </w:r>
      <w:r w:rsidRPr="00E72BFA">
        <w:rPr>
          <w:b w:val="0"/>
          <w:i w:val="0"/>
          <w:color w:val="000000"/>
          <w:lang w:val="hu-HU"/>
        </w:rPr>
        <w:t>felnőtt betegek kezelésére.</w:t>
      </w:r>
    </w:p>
    <w:p w14:paraId="697AF732" w14:textId="77777777" w:rsidR="0000287A" w:rsidRPr="00E72BFA" w:rsidRDefault="0000287A" w:rsidP="0000287A">
      <w:pPr>
        <w:pStyle w:val="BodyText"/>
        <w:spacing w:line="240" w:lineRule="auto"/>
        <w:rPr>
          <w:b w:val="0"/>
          <w:i w:val="0"/>
          <w:color w:val="000000"/>
          <w:lang w:val="hu-HU"/>
        </w:rPr>
      </w:pPr>
    </w:p>
    <w:p w14:paraId="2D6A2284" w14:textId="3B2FED95" w:rsidR="0000287A" w:rsidRPr="00556B9B" w:rsidRDefault="0000287A" w:rsidP="0000287A">
      <w:pPr>
        <w:spacing w:line="240" w:lineRule="auto"/>
        <w:rPr>
          <w:color w:val="000000"/>
          <w:lang w:val="hu-HU"/>
        </w:rPr>
      </w:pPr>
      <w:r w:rsidRPr="00E72BFA">
        <w:rPr>
          <w:color w:val="000000"/>
          <w:lang w:val="hu-HU"/>
        </w:rPr>
        <w:t>Felnőtt és gyermekgyógyászati betegek</w:t>
      </w:r>
      <w:r w:rsidR="00F23918" w:rsidRPr="00E72BFA">
        <w:rPr>
          <w:color w:val="000000"/>
          <w:lang w:val="hu-HU"/>
        </w:rPr>
        <w:t>nél</w:t>
      </w:r>
      <w:r w:rsidRPr="00E72BFA">
        <w:rPr>
          <w:color w:val="000000"/>
          <w:lang w:val="hu-HU"/>
        </w:rPr>
        <w:t xml:space="preserve"> a Glivec hatékonyságát CML</w:t>
      </w:r>
      <w:r w:rsidRPr="00E72BFA">
        <w:rPr>
          <w:color w:val="000000"/>
          <w:lang w:val="hu-HU"/>
        </w:rPr>
        <w:noBreakHyphen/>
        <w:t xml:space="preserve">ben a teljes hematológiai és cytogenetikai válaszarány és a progressziómentes túlélés, Ph+ </w:t>
      </w:r>
      <w:smartTag w:uri="urn:schemas-microsoft-com:office:smarttags" w:element="stockticker">
        <w:r w:rsidRPr="00E72BFA">
          <w:rPr>
            <w:color w:val="000000"/>
            <w:lang w:val="hu-HU"/>
          </w:rPr>
          <w:t>ALL</w:t>
        </w:r>
      </w:smartTag>
      <w:r w:rsidRPr="00E72BFA">
        <w:rPr>
          <w:color w:val="000000"/>
          <w:lang w:val="hu-HU"/>
        </w:rPr>
        <w:noBreakHyphen/>
        <w:t xml:space="preserve">ben és </w:t>
      </w:r>
      <w:smartTag w:uri="urn:schemas-microsoft-com:office:smarttags" w:element="stockticker">
        <w:r w:rsidRPr="00E72BFA">
          <w:rPr>
            <w:color w:val="000000"/>
            <w:lang w:val="hu-HU"/>
          </w:rPr>
          <w:t>MDS</w:t>
        </w:r>
      </w:smartTag>
      <w:r w:rsidRPr="00E72BFA">
        <w:rPr>
          <w:color w:val="000000"/>
          <w:lang w:val="hu-HU"/>
        </w:rPr>
        <w:t>/MPD</w:t>
      </w:r>
      <w:r w:rsidRPr="00E72BFA">
        <w:rPr>
          <w:color w:val="000000"/>
          <w:lang w:val="hu-HU"/>
        </w:rPr>
        <w:noBreakHyphen/>
        <w:t>ben a hematológiai és cytogenetikai válaszarány, HES/</w:t>
      </w:r>
      <w:smartTag w:uri="urn:schemas-microsoft-com:office:smarttags" w:element="stockticker">
        <w:r w:rsidRPr="00E72BFA">
          <w:rPr>
            <w:color w:val="000000"/>
            <w:lang w:val="hu-HU"/>
          </w:rPr>
          <w:t>CEL</w:t>
        </w:r>
      </w:smartTag>
      <w:r w:rsidRPr="00E72BFA">
        <w:rPr>
          <w:color w:val="000000"/>
          <w:lang w:val="hu-HU"/>
        </w:rPr>
        <w:noBreakHyphen/>
        <w:t>ben a hematológiai válaszarány, nem reszekábilis és/vagy metasztatikus GIST</w:t>
      </w:r>
      <w:r w:rsidRPr="00E72BFA">
        <w:rPr>
          <w:color w:val="000000"/>
          <w:lang w:val="hu-HU"/>
        </w:rPr>
        <w:noBreakHyphen/>
        <w:t>ben és DFSP</w:t>
      </w:r>
      <w:r w:rsidRPr="00E72BFA">
        <w:rPr>
          <w:color w:val="000000"/>
          <w:lang w:val="hu-HU"/>
        </w:rPr>
        <w:noBreakHyphen/>
        <w:t>ben szenvedő felnőttek</w:t>
      </w:r>
      <w:r w:rsidR="00F23918" w:rsidRPr="00E72BFA">
        <w:rPr>
          <w:color w:val="000000"/>
          <w:lang w:val="hu-HU"/>
        </w:rPr>
        <w:t>nél</w:t>
      </w:r>
      <w:r w:rsidRPr="00E72BFA">
        <w:rPr>
          <w:color w:val="000000"/>
          <w:lang w:val="hu-HU"/>
        </w:rPr>
        <w:t xml:space="preserve"> az objektív válaszarány, a GIST adjuváns kezelésében pedig a kiújulás</w:t>
      </w:r>
      <w:r w:rsidRPr="00E72BFA">
        <w:rPr>
          <w:color w:val="000000"/>
          <w:lang w:val="hu-HU"/>
        </w:rPr>
        <w:noBreakHyphen/>
        <w:t xml:space="preserve">mentes túlélés határozza meg. PDGFR génátrendeződéssel társuló </w:t>
      </w:r>
      <w:smartTag w:uri="urn:schemas-microsoft-com:office:smarttags" w:element="stockticker">
        <w:r w:rsidRPr="00E72BFA">
          <w:rPr>
            <w:color w:val="000000"/>
            <w:lang w:val="hu-HU"/>
          </w:rPr>
          <w:t>MDS</w:t>
        </w:r>
      </w:smartTag>
      <w:r w:rsidRPr="00E72BFA">
        <w:rPr>
          <w:color w:val="000000"/>
          <w:lang w:val="hu-HU"/>
        </w:rPr>
        <w:t>/MPD</w:t>
      </w:r>
      <w:r w:rsidRPr="00E72BFA">
        <w:rPr>
          <w:color w:val="000000"/>
          <w:lang w:val="hu-HU"/>
        </w:rPr>
        <w:noBreakHyphen/>
        <w:t>ben szenvedő betegek Glivec</w:t>
      </w:r>
      <w:r w:rsidRPr="00E72BFA">
        <w:rPr>
          <w:color w:val="000000"/>
          <w:lang w:val="hu-HU"/>
        </w:rPr>
        <w:noBreakHyphen/>
        <w:t>kezelésére vonatkozóan nagyon korlátozott számú tapasztalat</w:t>
      </w:r>
      <w:r w:rsidRPr="00E72BFA" w:rsidDel="00934607">
        <w:rPr>
          <w:color w:val="000000"/>
          <w:lang w:val="hu-HU"/>
        </w:rPr>
        <w:t xml:space="preserve"> </w:t>
      </w:r>
      <w:r w:rsidRPr="00E72BFA">
        <w:rPr>
          <w:color w:val="000000"/>
          <w:lang w:val="hu-HU"/>
        </w:rPr>
        <w:t>áll rendelkezésre (lásd 5.1 pont). Az újonnan diagnosztizált, krónikus fázisú CML kivételével nincsenek olyan kontroll</w:t>
      </w:r>
      <w:r w:rsidR="00F23918" w:rsidRPr="00E72BFA">
        <w:rPr>
          <w:color w:val="000000"/>
          <w:lang w:val="hu-HU"/>
        </w:rPr>
        <w:t>os</w:t>
      </w:r>
      <w:r w:rsidRPr="00E72BFA">
        <w:rPr>
          <w:color w:val="000000"/>
          <w:lang w:val="hu-HU"/>
        </w:rPr>
        <w:t xml:space="preserve"> vizsgálatok, amelyek klinikai előnyt, vagy meghosszabbodott túlélést igazolnának e betegségek bármelyikében.</w:t>
      </w:r>
    </w:p>
    <w:p w14:paraId="5BBAE443" w14:textId="77777777" w:rsidR="0000287A" w:rsidRPr="00556B9B" w:rsidRDefault="0000287A" w:rsidP="0000287A">
      <w:pPr>
        <w:spacing w:line="240" w:lineRule="auto"/>
        <w:rPr>
          <w:color w:val="000000"/>
          <w:lang w:val="hu-HU"/>
        </w:rPr>
      </w:pPr>
    </w:p>
    <w:p w14:paraId="2BD3D507" w14:textId="77777777" w:rsidR="0000287A" w:rsidRPr="00E72BFA" w:rsidRDefault="0000287A" w:rsidP="000273A2">
      <w:pPr>
        <w:keepNext/>
        <w:spacing w:line="240" w:lineRule="auto"/>
        <w:ind w:left="567" w:hanging="567"/>
        <w:rPr>
          <w:b/>
          <w:color w:val="000000"/>
          <w:lang w:val="hu-HU"/>
        </w:rPr>
      </w:pPr>
      <w:r w:rsidRPr="00E72BFA">
        <w:rPr>
          <w:b/>
          <w:color w:val="000000"/>
          <w:lang w:val="hu-HU"/>
        </w:rPr>
        <w:t>4.2</w:t>
      </w:r>
      <w:r w:rsidRPr="00E72BFA">
        <w:rPr>
          <w:b/>
          <w:color w:val="000000"/>
          <w:lang w:val="hu-HU"/>
        </w:rPr>
        <w:tab/>
        <w:t>Adagolás és alkalmazás</w:t>
      </w:r>
    </w:p>
    <w:p w14:paraId="78A03C97" w14:textId="77777777" w:rsidR="0000287A" w:rsidRPr="00E72BFA" w:rsidRDefault="0000287A" w:rsidP="000273A2">
      <w:pPr>
        <w:keepNext/>
        <w:spacing w:line="240" w:lineRule="auto"/>
        <w:rPr>
          <w:color w:val="000000"/>
          <w:lang w:val="hu-HU"/>
        </w:rPr>
      </w:pPr>
    </w:p>
    <w:p w14:paraId="36415EE6" w14:textId="38BA3895" w:rsidR="00910FC8" w:rsidRPr="00556B9B" w:rsidRDefault="00910FC8">
      <w:pPr>
        <w:spacing w:line="240" w:lineRule="auto"/>
        <w:rPr>
          <w:color w:val="000000"/>
          <w:lang w:val="hu-HU"/>
        </w:rPr>
      </w:pPr>
      <w:r w:rsidRPr="00E72BFA">
        <w:rPr>
          <w:color w:val="000000"/>
          <w:lang w:val="hu-HU"/>
        </w:rPr>
        <w:t xml:space="preserve">A terápiát </w:t>
      </w:r>
      <w:r w:rsidR="00F23918" w:rsidRPr="00E72BFA">
        <w:rPr>
          <w:color w:val="000000"/>
          <w:lang w:val="hu-HU"/>
        </w:rPr>
        <w:noBreakHyphen/>
        <w:t xml:space="preserve"> a betegségtől függően </w:t>
      </w:r>
      <w:r w:rsidR="00F23918" w:rsidRPr="00E72BFA">
        <w:rPr>
          <w:color w:val="000000"/>
          <w:lang w:val="hu-HU"/>
        </w:rPr>
        <w:noBreakHyphen/>
        <w:t xml:space="preserve"> </w:t>
      </w:r>
      <w:r w:rsidRPr="00E72BFA">
        <w:rPr>
          <w:color w:val="000000"/>
          <w:lang w:val="hu-HU"/>
        </w:rPr>
        <w:t>a hematológiai malignitások vagy malignus sarcomák kezelésében jártas orvosnak kell megkezdenie.</w:t>
      </w:r>
    </w:p>
    <w:p w14:paraId="04E262B8" w14:textId="77777777" w:rsidR="00910FC8" w:rsidRPr="00556B9B" w:rsidRDefault="00910FC8">
      <w:pPr>
        <w:spacing w:line="240" w:lineRule="auto"/>
        <w:rPr>
          <w:color w:val="000000"/>
          <w:lang w:val="hu-HU"/>
        </w:rPr>
      </w:pPr>
    </w:p>
    <w:p w14:paraId="7BF1D30E" w14:textId="77777777" w:rsidR="00C064DB" w:rsidRPr="00556B9B" w:rsidRDefault="000474CA">
      <w:pPr>
        <w:spacing w:line="240" w:lineRule="auto"/>
        <w:rPr>
          <w:color w:val="000000"/>
          <w:lang w:val="hu-HU"/>
        </w:rPr>
      </w:pPr>
      <w:r w:rsidRPr="00556B9B">
        <w:rPr>
          <w:color w:val="000000"/>
          <w:lang w:val="hu-HU"/>
        </w:rPr>
        <w:t xml:space="preserve">A </w:t>
      </w:r>
      <w:r w:rsidR="00C064DB" w:rsidRPr="00556B9B">
        <w:rPr>
          <w:color w:val="000000"/>
          <w:lang w:val="hu-HU"/>
        </w:rPr>
        <w:t>400 mg-os</w:t>
      </w:r>
      <w:r w:rsidRPr="00556B9B">
        <w:rPr>
          <w:color w:val="000000"/>
          <w:lang w:val="hu-HU"/>
        </w:rPr>
        <w:t>tól</w:t>
      </w:r>
      <w:r w:rsidR="00C064DB" w:rsidRPr="00556B9B">
        <w:rPr>
          <w:color w:val="000000"/>
          <w:lang w:val="hu-HU"/>
        </w:rPr>
        <w:t xml:space="preserve"> és </w:t>
      </w:r>
      <w:r w:rsidRPr="00556B9B">
        <w:rPr>
          <w:color w:val="000000"/>
          <w:lang w:val="hu-HU"/>
        </w:rPr>
        <w:t xml:space="preserve">a </w:t>
      </w:r>
      <w:r w:rsidR="00C064DB" w:rsidRPr="00556B9B">
        <w:rPr>
          <w:color w:val="000000"/>
          <w:lang w:val="hu-HU"/>
        </w:rPr>
        <w:t>800 mg-os</w:t>
      </w:r>
      <w:r w:rsidRPr="00556B9B">
        <w:rPr>
          <w:color w:val="000000"/>
          <w:lang w:val="hu-HU"/>
        </w:rPr>
        <w:t>tól</w:t>
      </w:r>
      <w:r w:rsidR="00C064DB" w:rsidRPr="00556B9B">
        <w:rPr>
          <w:color w:val="000000"/>
          <w:lang w:val="hu-HU"/>
        </w:rPr>
        <w:t xml:space="preserve"> eltérő adagok</w:t>
      </w:r>
      <w:r w:rsidRPr="00556B9B">
        <w:rPr>
          <w:color w:val="000000"/>
          <w:lang w:val="hu-HU"/>
        </w:rPr>
        <w:t>hoz</w:t>
      </w:r>
      <w:r w:rsidR="00C064DB" w:rsidRPr="00556B9B">
        <w:rPr>
          <w:color w:val="000000"/>
          <w:lang w:val="hu-HU"/>
        </w:rPr>
        <w:t xml:space="preserve"> (ajánlott adagolást lásd alább) </w:t>
      </w:r>
      <w:r w:rsidRPr="00556B9B">
        <w:rPr>
          <w:color w:val="000000"/>
          <w:lang w:val="hu-HU"/>
        </w:rPr>
        <w:t xml:space="preserve">a </w:t>
      </w:r>
      <w:r w:rsidR="00C064DB" w:rsidRPr="00556B9B">
        <w:rPr>
          <w:color w:val="000000"/>
          <w:lang w:val="hu-HU"/>
        </w:rPr>
        <w:t>100 mg-os osztható tabletta áll rendelkezésre.</w:t>
      </w:r>
    </w:p>
    <w:p w14:paraId="073AB25B" w14:textId="77777777" w:rsidR="00910FC8" w:rsidRPr="00556B9B" w:rsidRDefault="000474CA">
      <w:pPr>
        <w:spacing w:line="240" w:lineRule="auto"/>
        <w:rPr>
          <w:color w:val="000000"/>
          <w:lang w:val="hu-HU"/>
        </w:rPr>
      </w:pPr>
      <w:r w:rsidRPr="00556B9B">
        <w:rPr>
          <w:color w:val="000000"/>
          <w:lang w:val="hu-HU"/>
        </w:rPr>
        <w:t xml:space="preserve">A </w:t>
      </w:r>
      <w:r w:rsidR="00910FC8" w:rsidRPr="00556B9B">
        <w:rPr>
          <w:color w:val="000000"/>
          <w:lang w:val="hu-HU"/>
        </w:rPr>
        <w:t>400 mg</w:t>
      </w:r>
      <w:r w:rsidRPr="00556B9B">
        <w:rPr>
          <w:color w:val="000000"/>
          <w:lang w:val="hu-HU"/>
        </w:rPr>
        <w:noBreakHyphen/>
        <w:t>os</w:t>
      </w:r>
      <w:r w:rsidR="00910FC8" w:rsidRPr="00556B9B">
        <w:rPr>
          <w:color w:val="000000"/>
          <w:lang w:val="hu-HU"/>
        </w:rPr>
        <w:t xml:space="preserve"> vagy afeletti </w:t>
      </w:r>
      <w:r w:rsidRPr="00556B9B">
        <w:rPr>
          <w:color w:val="000000"/>
          <w:lang w:val="hu-HU"/>
        </w:rPr>
        <w:t xml:space="preserve">adagokhoz </w:t>
      </w:r>
      <w:r w:rsidR="00910FC8" w:rsidRPr="00556B9B">
        <w:rPr>
          <w:color w:val="000000"/>
          <w:lang w:val="hu-HU"/>
        </w:rPr>
        <w:t>(ajánlott adagolást lásd lentebb) a 400 mg</w:t>
      </w:r>
      <w:r w:rsidR="00910FC8" w:rsidRPr="00556B9B">
        <w:rPr>
          <w:color w:val="000000"/>
          <w:lang w:val="hu-HU"/>
        </w:rPr>
        <w:noBreakHyphen/>
        <w:t>os (nem osztható) tabletta áll rendelkezésre.</w:t>
      </w:r>
    </w:p>
    <w:p w14:paraId="71D900AE" w14:textId="77777777" w:rsidR="00910FC8" w:rsidRPr="00556B9B" w:rsidRDefault="00910FC8">
      <w:pPr>
        <w:spacing w:line="240" w:lineRule="auto"/>
        <w:rPr>
          <w:color w:val="000000"/>
          <w:lang w:val="hu-HU"/>
        </w:rPr>
      </w:pPr>
    </w:p>
    <w:p w14:paraId="2CFC192F" w14:textId="77777777" w:rsidR="00910FC8" w:rsidRPr="00556B9B" w:rsidRDefault="00910FC8">
      <w:pPr>
        <w:spacing w:line="240" w:lineRule="auto"/>
        <w:rPr>
          <w:color w:val="000000"/>
          <w:lang w:val="hu-HU"/>
        </w:rPr>
      </w:pPr>
      <w:r w:rsidRPr="00556B9B">
        <w:rPr>
          <w:color w:val="000000"/>
          <w:lang w:val="hu-HU"/>
        </w:rPr>
        <w:t xml:space="preserve">Az előírt adagot </w:t>
      </w:r>
      <w:r w:rsidRPr="00556B9B">
        <w:rPr>
          <w:i/>
          <w:color w:val="000000"/>
          <w:lang w:val="hu-HU"/>
        </w:rPr>
        <w:t>per os</w:t>
      </w:r>
      <w:r w:rsidRPr="00556B9B">
        <w:rPr>
          <w:color w:val="000000"/>
          <w:lang w:val="hu-HU"/>
        </w:rPr>
        <w:t>, étkezés közben, egy nagy pohárnyi vízzel kell bevenni, a gyomor</w:t>
      </w:r>
      <w:r w:rsidRPr="00556B9B">
        <w:rPr>
          <w:color w:val="000000"/>
          <w:lang w:val="hu-HU"/>
        </w:rPr>
        <w:noBreakHyphen/>
        <w:t>bélrendszeri irritáció kockázatának csökkentése érdekében. A 400 mg</w:t>
      </w:r>
      <w:r w:rsidRPr="00556B9B">
        <w:rPr>
          <w:color w:val="000000"/>
          <w:lang w:val="hu-HU"/>
        </w:rPr>
        <w:noBreakHyphen/>
        <w:t>os és 600 mg</w:t>
      </w:r>
      <w:r w:rsidRPr="00556B9B">
        <w:rPr>
          <w:color w:val="000000"/>
          <w:lang w:val="hu-HU"/>
        </w:rPr>
        <w:noBreakHyphen/>
        <w:t>os adagokat naponta egyszer kell adagolni, míg a 800 mg</w:t>
      </w:r>
      <w:r w:rsidRPr="00556B9B">
        <w:rPr>
          <w:color w:val="000000"/>
          <w:lang w:val="hu-HU"/>
        </w:rPr>
        <w:noBreakHyphen/>
        <w:t>os napi adagot két részre elosztva, reggel és este kell bevenni.</w:t>
      </w:r>
    </w:p>
    <w:p w14:paraId="5E5EF138" w14:textId="77777777" w:rsidR="00910FC8" w:rsidRPr="00556B9B" w:rsidRDefault="00910FC8">
      <w:pPr>
        <w:spacing w:line="240" w:lineRule="auto"/>
        <w:rPr>
          <w:color w:val="000000"/>
          <w:lang w:val="hu-HU"/>
        </w:rPr>
      </w:pPr>
    </w:p>
    <w:p w14:paraId="7B58E6AE" w14:textId="77777777" w:rsidR="00910FC8" w:rsidRPr="00556B9B" w:rsidRDefault="00910FC8">
      <w:pPr>
        <w:spacing w:line="240" w:lineRule="auto"/>
        <w:rPr>
          <w:color w:val="000000"/>
          <w:lang w:val="hu-HU"/>
        </w:rPr>
      </w:pPr>
      <w:r w:rsidRPr="00556B9B">
        <w:rPr>
          <w:color w:val="000000"/>
          <w:lang w:val="hu-HU"/>
        </w:rPr>
        <w:t xml:space="preserve">Azon betegek, akik nem képesek a filmtablettákat lenyelni, azok a tablettákat széttörve elkeverhetik egy pohár vízben vagy almalében. Az előírt mennyiségű tablettát </w:t>
      </w:r>
      <w:r w:rsidRPr="00556B9B">
        <w:rPr>
          <w:color w:val="000000"/>
          <w:lang w:val="hu-HU"/>
        </w:rPr>
        <w:noBreakHyphen/>
        <w:t> kanállal összetörve </w:t>
      </w:r>
      <w:r w:rsidRPr="00556B9B">
        <w:rPr>
          <w:color w:val="000000"/>
          <w:lang w:val="hu-HU"/>
        </w:rPr>
        <w:noBreakHyphen/>
        <w:t xml:space="preserve"> megfelelő mennyiségű folyadékba (hozzávetőlegesen 50 ml</w:t>
      </w:r>
      <w:r w:rsidRPr="00556B9B">
        <w:rPr>
          <w:color w:val="000000"/>
          <w:lang w:val="hu-HU"/>
        </w:rPr>
        <w:noBreakHyphen/>
        <w:t>nyibe egy 100 mg</w:t>
      </w:r>
      <w:r w:rsidRPr="00556B9B">
        <w:rPr>
          <w:color w:val="000000"/>
          <w:lang w:val="hu-HU"/>
        </w:rPr>
        <w:noBreakHyphen/>
        <w:t>os tablettát, és 200 ml</w:t>
      </w:r>
      <w:r w:rsidRPr="00556B9B">
        <w:rPr>
          <w:color w:val="000000"/>
          <w:lang w:val="hu-HU"/>
        </w:rPr>
        <w:noBreakHyphen/>
        <w:t>nyibe egy 400 mg</w:t>
      </w:r>
      <w:r w:rsidRPr="00556B9B">
        <w:rPr>
          <w:color w:val="000000"/>
          <w:lang w:val="hu-HU"/>
        </w:rPr>
        <w:noBreakHyphen/>
        <w:t>os tablettát) kell keverni. A szuszpenziót közvetlenül a tabletta, ill. tabletták teljes dezintegrálódását követően kell meginni.</w:t>
      </w:r>
    </w:p>
    <w:p w14:paraId="1C968C49" w14:textId="77777777" w:rsidR="00910FC8" w:rsidRPr="00556B9B" w:rsidRDefault="00910FC8">
      <w:pPr>
        <w:spacing w:line="240" w:lineRule="auto"/>
        <w:rPr>
          <w:color w:val="000000"/>
          <w:lang w:val="hu-HU"/>
        </w:rPr>
      </w:pPr>
    </w:p>
    <w:p w14:paraId="569095B9" w14:textId="77777777" w:rsidR="0000287A" w:rsidRPr="00556B9B" w:rsidRDefault="0000287A" w:rsidP="000273A2">
      <w:pPr>
        <w:pStyle w:val="Heading1"/>
        <w:keepNext/>
        <w:spacing w:before="0" w:after="0" w:line="240" w:lineRule="auto"/>
        <w:rPr>
          <w:b w:val="0"/>
          <w:caps w:val="0"/>
          <w:color w:val="000000"/>
          <w:sz w:val="22"/>
          <w:u w:val="single"/>
          <w:lang w:val="hu-HU"/>
        </w:rPr>
      </w:pPr>
      <w:r w:rsidRPr="00556B9B">
        <w:rPr>
          <w:b w:val="0"/>
          <w:caps w:val="0"/>
          <w:color w:val="000000"/>
          <w:sz w:val="22"/>
          <w:u w:val="single"/>
          <w:lang w:val="hu-HU"/>
        </w:rPr>
        <w:t>Adagolás CML</w:t>
      </w:r>
      <w:r w:rsidRPr="00556B9B">
        <w:rPr>
          <w:b w:val="0"/>
          <w:caps w:val="0"/>
          <w:color w:val="000000"/>
          <w:sz w:val="22"/>
          <w:u w:val="single"/>
          <w:lang w:val="hu-HU"/>
        </w:rPr>
        <w:noBreakHyphen/>
        <w:t>es felnőttek számára</w:t>
      </w:r>
    </w:p>
    <w:p w14:paraId="03CCC5CF" w14:textId="77777777" w:rsidR="0000287A" w:rsidRPr="00556B9B" w:rsidRDefault="0000287A" w:rsidP="0000287A">
      <w:pPr>
        <w:spacing w:line="240" w:lineRule="auto"/>
        <w:rPr>
          <w:color w:val="000000"/>
          <w:lang w:val="hu-HU"/>
        </w:rPr>
      </w:pPr>
      <w:r w:rsidRPr="00556B9B">
        <w:rPr>
          <w:color w:val="000000"/>
          <w:lang w:val="hu-HU"/>
        </w:rPr>
        <w:t>A krónikus fázisban levő CML</w:t>
      </w:r>
      <w:r w:rsidRPr="00556B9B">
        <w:rPr>
          <w:color w:val="000000"/>
          <w:lang w:val="hu-HU"/>
        </w:rPr>
        <w:noBreakHyphen/>
        <w:t xml:space="preserve">es </w:t>
      </w:r>
      <w:r w:rsidR="007F5795" w:rsidRPr="00556B9B">
        <w:rPr>
          <w:color w:val="000000"/>
          <w:lang w:val="hu-HU"/>
        </w:rPr>
        <w:t xml:space="preserve">felnőtt </w:t>
      </w:r>
      <w:r w:rsidRPr="00556B9B">
        <w:rPr>
          <w:color w:val="000000"/>
          <w:lang w:val="hu-HU"/>
        </w:rPr>
        <w:t>betegeknek a Glivec ajánlott adagja 400 mg/nap. A CML krónikus fázisa az alábbi kritériumok egyidejű előfordulásakor áll fenn: blastsejtek előfordulása &lt; 15% a vérben és a csontvelőben, basophil sejtek előfordulása a perifériás vérképben &lt; 20%, thrombocytaszám: &gt; 100 x 10</w:t>
      </w:r>
      <w:r w:rsidRPr="00556B9B">
        <w:rPr>
          <w:color w:val="000000"/>
          <w:vertAlign w:val="superscript"/>
          <w:lang w:val="hu-HU"/>
        </w:rPr>
        <w:t>9</w:t>
      </w:r>
      <w:r w:rsidRPr="00556B9B">
        <w:rPr>
          <w:color w:val="000000"/>
          <w:lang w:val="hu-HU"/>
        </w:rPr>
        <w:t>/l.</w:t>
      </w:r>
    </w:p>
    <w:p w14:paraId="61CD4361" w14:textId="77777777" w:rsidR="0000287A" w:rsidRPr="00556B9B" w:rsidRDefault="0000287A" w:rsidP="0000287A">
      <w:pPr>
        <w:spacing w:line="240" w:lineRule="auto"/>
        <w:rPr>
          <w:color w:val="000000"/>
          <w:u w:val="single"/>
          <w:lang w:val="hu-HU"/>
        </w:rPr>
      </w:pPr>
    </w:p>
    <w:p w14:paraId="1A9ECE63" w14:textId="77777777" w:rsidR="0000287A" w:rsidRPr="00556B9B" w:rsidRDefault="0000287A" w:rsidP="0000287A">
      <w:pPr>
        <w:spacing w:line="240" w:lineRule="auto"/>
        <w:rPr>
          <w:color w:val="000000"/>
          <w:lang w:val="hu-HU"/>
        </w:rPr>
      </w:pPr>
      <w:r w:rsidRPr="00556B9B">
        <w:rPr>
          <w:color w:val="000000"/>
          <w:lang w:val="hu-HU"/>
        </w:rPr>
        <w:t xml:space="preserve">Akcelerált fázisban levő </w:t>
      </w:r>
      <w:r w:rsidR="007F5795" w:rsidRPr="00556B9B">
        <w:rPr>
          <w:color w:val="000000"/>
          <w:lang w:val="hu-HU"/>
        </w:rPr>
        <w:t xml:space="preserve">felnőtt </w:t>
      </w:r>
      <w:r w:rsidRPr="00556B9B">
        <w:rPr>
          <w:color w:val="000000"/>
          <w:lang w:val="hu-HU"/>
        </w:rPr>
        <w:t xml:space="preserve">betegeknek a Glivec ajánlott adagja 600 mg/nap. Akcelerált fázisról beszélünk az alábbi kritériumok bármelyikének fennállásakor: blastsejtek előfordulása a vérben vagy a csontvelőben </w:t>
      </w:r>
      <w:r w:rsidRPr="00556B9B">
        <w:rPr>
          <w:color w:val="000000"/>
          <w:lang w:val="hu-HU"/>
        </w:rPr>
        <w:sym w:font="Symbol" w:char="F0B3"/>
      </w:r>
      <w:r w:rsidRPr="00556B9B">
        <w:rPr>
          <w:color w:val="000000"/>
          <w:lang w:val="hu-HU"/>
        </w:rPr>
        <w:t xml:space="preserve"> 15%, de &lt; 30%, blastsejtek és promyelocyták együttes előfordulása a vérben vagy a csontvelőben </w:t>
      </w:r>
      <w:r w:rsidRPr="00556B9B">
        <w:rPr>
          <w:color w:val="000000"/>
          <w:lang w:val="hu-HU"/>
        </w:rPr>
        <w:sym w:font="Symbol" w:char="F0B3"/>
      </w:r>
      <w:r w:rsidRPr="00556B9B">
        <w:rPr>
          <w:color w:val="000000"/>
          <w:lang w:val="hu-HU"/>
        </w:rPr>
        <w:t xml:space="preserve"> 30% (feltéve, hogy a blastsejtek száma &lt; 30%), a basophil sejtek előfordulása a perifériás vérképben </w:t>
      </w:r>
      <w:r w:rsidRPr="00556B9B">
        <w:rPr>
          <w:color w:val="000000"/>
          <w:lang w:val="hu-HU"/>
        </w:rPr>
        <w:sym w:font="Symbol" w:char="F0B3"/>
      </w:r>
      <w:r w:rsidRPr="00556B9B">
        <w:rPr>
          <w:color w:val="000000"/>
          <w:lang w:val="hu-HU"/>
        </w:rPr>
        <w:t> 20%, thrombocytaszám &lt; 100 x 10</w:t>
      </w:r>
      <w:r w:rsidRPr="00556B9B">
        <w:rPr>
          <w:color w:val="000000"/>
          <w:vertAlign w:val="superscript"/>
          <w:lang w:val="hu-HU"/>
        </w:rPr>
        <w:t>9</w:t>
      </w:r>
      <w:r w:rsidRPr="00556B9B">
        <w:rPr>
          <w:color w:val="000000"/>
          <w:lang w:val="hu-HU"/>
        </w:rPr>
        <w:t>/l a terápiától függetlenül.</w:t>
      </w:r>
    </w:p>
    <w:p w14:paraId="59605FE4" w14:textId="77777777" w:rsidR="0000287A" w:rsidRPr="00556B9B" w:rsidRDefault="0000287A" w:rsidP="0000287A">
      <w:pPr>
        <w:spacing w:line="240" w:lineRule="auto"/>
        <w:rPr>
          <w:color w:val="000000"/>
          <w:lang w:val="hu-HU"/>
        </w:rPr>
      </w:pPr>
    </w:p>
    <w:p w14:paraId="614B82F2" w14:textId="77777777" w:rsidR="0000287A" w:rsidRPr="00556B9B" w:rsidRDefault="0000287A" w:rsidP="0000287A">
      <w:pPr>
        <w:spacing w:line="240" w:lineRule="auto"/>
        <w:rPr>
          <w:color w:val="000000"/>
          <w:lang w:val="hu-HU"/>
        </w:rPr>
      </w:pPr>
      <w:r w:rsidRPr="00556B9B">
        <w:rPr>
          <w:color w:val="000000"/>
          <w:lang w:val="hu-HU"/>
        </w:rPr>
        <w:t xml:space="preserve">Blasztos krízisben levő </w:t>
      </w:r>
      <w:r w:rsidR="007F5795" w:rsidRPr="00556B9B">
        <w:rPr>
          <w:color w:val="000000"/>
          <w:lang w:val="hu-HU"/>
        </w:rPr>
        <w:t xml:space="preserve">felnőtt </w:t>
      </w:r>
      <w:r w:rsidRPr="00556B9B">
        <w:rPr>
          <w:color w:val="000000"/>
          <w:lang w:val="hu-HU"/>
        </w:rPr>
        <w:t xml:space="preserve">betegeknek a Glivec ajánlott adagja 600 mg/nap. Blasztos krízisről beszélünk, ha a blastsejtek száma a vérben vagy a csontvelőben </w:t>
      </w:r>
      <w:r w:rsidRPr="00556B9B">
        <w:rPr>
          <w:color w:val="000000"/>
          <w:lang w:val="hu-HU"/>
        </w:rPr>
        <w:sym w:font="Symbol" w:char="F0B3"/>
      </w:r>
      <w:r w:rsidRPr="00556B9B">
        <w:rPr>
          <w:color w:val="000000"/>
          <w:lang w:val="hu-HU"/>
        </w:rPr>
        <w:t> 30%, vagy hepatosplenomegalián kívül más extramedulláris betegség áll fenn.</w:t>
      </w:r>
    </w:p>
    <w:p w14:paraId="28EB64F1" w14:textId="77777777" w:rsidR="0000287A" w:rsidRPr="00556B9B" w:rsidRDefault="0000287A" w:rsidP="0000287A">
      <w:pPr>
        <w:spacing w:line="240" w:lineRule="auto"/>
        <w:rPr>
          <w:color w:val="000000"/>
          <w:lang w:val="hu-HU"/>
        </w:rPr>
      </w:pPr>
    </w:p>
    <w:p w14:paraId="698C4206" w14:textId="1E6E3784" w:rsidR="0000287A" w:rsidRPr="00E72BFA" w:rsidRDefault="0000287A" w:rsidP="0000287A">
      <w:pPr>
        <w:spacing w:line="240" w:lineRule="auto"/>
        <w:rPr>
          <w:color w:val="000000"/>
          <w:lang w:val="hu-HU"/>
        </w:rPr>
      </w:pPr>
      <w:r w:rsidRPr="00556B9B">
        <w:rPr>
          <w:color w:val="000000"/>
          <w:lang w:val="hu-HU"/>
        </w:rPr>
        <w:lastRenderedPageBreak/>
        <w:t xml:space="preserve">A kezelés időtartama: klinikai </w:t>
      </w:r>
      <w:r w:rsidRPr="00E72BFA">
        <w:rPr>
          <w:color w:val="000000"/>
          <w:lang w:val="hu-HU"/>
        </w:rPr>
        <w:t>vizsgálatokban a Glivec</w:t>
      </w:r>
      <w:r w:rsidRPr="00E72BFA">
        <w:rPr>
          <w:color w:val="000000"/>
          <w:lang w:val="hu-HU"/>
        </w:rPr>
        <w:noBreakHyphen/>
        <w:t xml:space="preserve">kezelést a betegség progressziójáig folytatták. A </w:t>
      </w:r>
      <w:r w:rsidR="00F23918" w:rsidRPr="00E72BFA">
        <w:rPr>
          <w:color w:val="000000"/>
          <w:lang w:val="hu-HU"/>
        </w:rPr>
        <w:t xml:space="preserve">kezelés leállításának hatását, ha az a </w:t>
      </w:r>
      <w:r w:rsidRPr="00E72BFA">
        <w:rPr>
          <w:color w:val="000000"/>
          <w:lang w:val="hu-HU"/>
        </w:rPr>
        <w:t>teljes cytogenetikai válasz elérése után történ</w:t>
      </w:r>
      <w:r w:rsidR="00F23918" w:rsidRPr="00E72BFA">
        <w:rPr>
          <w:color w:val="000000"/>
          <w:lang w:val="hu-HU"/>
        </w:rPr>
        <w:t xml:space="preserve">t, </w:t>
      </w:r>
      <w:r w:rsidRPr="00E72BFA">
        <w:rPr>
          <w:color w:val="000000"/>
          <w:lang w:val="hu-HU"/>
        </w:rPr>
        <w:t xml:space="preserve">nem </w:t>
      </w:r>
      <w:r w:rsidR="00F23918" w:rsidRPr="00E72BFA">
        <w:rPr>
          <w:color w:val="000000"/>
          <w:lang w:val="hu-HU"/>
        </w:rPr>
        <w:t>vizsgálták</w:t>
      </w:r>
      <w:r w:rsidRPr="00E72BFA">
        <w:rPr>
          <w:color w:val="000000"/>
          <w:lang w:val="hu-HU"/>
        </w:rPr>
        <w:t>.</w:t>
      </w:r>
    </w:p>
    <w:p w14:paraId="44CDBD2A" w14:textId="77777777" w:rsidR="0000287A" w:rsidRPr="00E72BFA" w:rsidRDefault="0000287A" w:rsidP="0000287A">
      <w:pPr>
        <w:spacing w:line="240" w:lineRule="auto"/>
        <w:rPr>
          <w:color w:val="000000"/>
          <w:lang w:val="hu-HU"/>
        </w:rPr>
      </w:pPr>
    </w:p>
    <w:p w14:paraId="23DEDE0F" w14:textId="15CB9A91" w:rsidR="0000287A" w:rsidRPr="00556B9B" w:rsidRDefault="0000287A" w:rsidP="0000287A">
      <w:pPr>
        <w:spacing w:line="240" w:lineRule="auto"/>
        <w:rPr>
          <w:color w:val="000000"/>
          <w:lang w:val="hu-HU"/>
        </w:rPr>
      </w:pPr>
      <w:r w:rsidRPr="00E72BFA">
        <w:rPr>
          <w:color w:val="000000"/>
          <w:lang w:val="hu-HU"/>
        </w:rPr>
        <w:t>Krónikus fázisban lévő betegek</w:t>
      </w:r>
      <w:r w:rsidR="00F23918" w:rsidRPr="00E72BFA">
        <w:rPr>
          <w:color w:val="000000"/>
          <w:lang w:val="hu-HU"/>
        </w:rPr>
        <w:t>nél</w:t>
      </w:r>
      <w:r w:rsidRPr="00E72BFA">
        <w:rPr>
          <w:color w:val="000000"/>
          <w:lang w:val="hu-HU"/>
        </w:rPr>
        <w:t xml:space="preserve"> a</w:t>
      </w:r>
      <w:r w:rsidR="00F23918" w:rsidRPr="00E72BFA">
        <w:rPr>
          <w:color w:val="000000"/>
          <w:lang w:val="hu-HU"/>
        </w:rPr>
        <w:t xml:space="preserve"> dózis</w:t>
      </w:r>
      <w:r w:rsidRPr="00E72BFA">
        <w:rPr>
          <w:color w:val="000000"/>
          <w:lang w:val="hu-HU"/>
        </w:rPr>
        <w:t xml:space="preserve"> 400 mg</w:t>
      </w:r>
      <w:r w:rsidRPr="00E72BFA">
        <w:rPr>
          <w:color w:val="000000"/>
          <w:lang w:val="hu-HU"/>
        </w:rPr>
        <w:noBreakHyphen/>
        <w:t>ról 600 mg</w:t>
      </w:r>
      <w:r w:rsidRPr="00E72BFA">
        <w:rPr>
          <w:color w:val="000000"/>
          <w:lang w:val="hu-HU"/>
        </w:rPr>
        <w:noBreakHyphen/>
        <w:t>ra vagy 800 mg</w:t>
      </w:r>
      <w:r w:rsidRPr="00E72BFA">
        <w:rPr>
          <w:color w:val="000000"/>
          <w:lang w:val="hu-HU"/>
        </w:rPr>
        <w:noBreakHyphen/>
        <w:t>ra, akcelerált fázisban, ill. blasztos krízisben pedig 600 mg</w:t>
      </w:r>
      <w:r w:rsidRPr="00E72BFA">
        <w:rPr>
          <w:color w:val="000000"/>
          <w:lang w:val="hu-HU"/>
        </w:rPr>
        <w:noBreakHyphen/>
        <w:t>ról a maximális 800 mg</w:t>
      </w:r>
      <w:r w:rsidRPr="00E72BFA">
        <w:rPr>
          <w:color w:val="000000"/>
          <w:lang w:val="hu-HU"/>
        </w:rPr>
        <w:noBreakHyphen/>
        <w:t>ra (naponta 2 x 400 mg formájában) emelhető, ha nincs súlyos mellékhatás, ill. súlyos – nem a leukaemiával összefüggő – neutropenia vagy thrombocytopenia az alábbi esetekben: betegség</w:t>
      </w:r>
      <w:r w:rsidRPr="00556B9B">
        <w:rPr>
          <w:color w:val="000000"/>
          <w:lang w:val="hu-HU"/>
        </w:rPr>
        <w:noBreakHyphen/>
        <w:t>progresszió (bármikor); legalább 3 hónapos kezelés után sincs megfelelő hematológiai válasz; 12 hónapos kezelés után sincs cytogenetikai válasz; vagy a korábban elért hematológiai és/vagy cytogenetikai válasz megszűnése. Dózisemeléskor a betegek szoros monitorozása szükséges, mivel magasabb dózisokban a mellékhatások előfordulásának kockázata fokozódik.</w:t>
      </w:r>
    </w:p>
    <w:p w14:paraId="37F9AB35" w14:textId="77777777" w:rsidR="0000287A" w:rsidRPr="00556B9B" w:rsidRDefault="0000287A" w:rsidP="0000287A">
      <w:pPr>
        <w:spacing w:line="240" w:lineRule="auto"/>
        <w:rPr>
          <w:color w:val="000000"/>
          <w:lang w:val="hu-HU"/>
        </w:rPr>
      </w:pPr>
    </w:p>
    <w:p w14:paraId="0029EE38" w14:textId="5BE7020C" w:rsidR="0000287A" w:rsidRPr="00556B9B" w:rsidRDefault="0000287A" w:rsidP="00F926B9">
      <w:pPr>
        <w:keepNext/>
        <w:spacing w:line="240" w:lineRule="auto"/>
        <w:rPr>
          <w:color w:val="000000"/>
          <w:u w:val="single"/>
          <w:lang w:val="hu-HU"/>
        </w:rPr>
      </w:pPr>
      <w:r w:rsidRPr="00556B9B">
        <w:rPr>
          <w:color w:val="000000"/>
          <w:u w:val="single"/>
          <w:lang w:val="hu-HU"/>
        </w:rPr>
        <w:t>Adagolás CML</w:t>
      </w:r>
      <w:r w:rsidRPr="00556B9B">
        <w:rPr>
          <w:color w:val="000000"/>
          <w:u w:val="single"/>
          <w:lang w:val="hu-HU"/>
        </w:rPr>
        <w:noBreakHyphen/>
        <w:t>es gyermekek számára</w:t>
      </w:r>
    </w:p>
    <w:p w14:paraId="63A48547" w14:textId="008C544D" w:rsidR="0000287A" w:rsidRPr="00556B9B" w:rsidRDefault="0000287A" w:rsidP="0000287A">
      <w:pPr>
        <w:spacing w:line="240" w:lineRule="auto"/>
        <w:rPr>
          <w:color w:val="000000"/>
          <w:lang w:val="hu-HU"/>
        </w:rPr>
      </w:pPr>
      <w:r w:rsidRPr="00556B9B">
        <w:rPr>
          <w:color w:val="000000"/>
          <w:lang w:val="hu-HU"/>
        </w:rPr>
        <w:t>Gyermekek adagja a testfelszín (mg/m</w:t>
      </w:r>
      <w:r w:rsidRPr="00556B9B">
        <w:rPr>
          <w:color w:val="000000"/>
          <w:vertAlign w:val="superscript"/>
          <w:lang w:val="hu-HU"/>
        </w:rPr>
        <w:t>2</w:t>
      </w:r>
      <w:r w:rsidRPr="00556B9B">
        <w:rPr>
          <w:color w:val="000000"/>
          <w:lang w:val="hu-HU"/>
        </w:rPr>
        <w:t>) alapján számolandó. Gyermekek krónikus, ill. előrehaladott fázisú CML</w:t>
      </w:r>
      <w:r w:rsidRPr="00556B9B">
        <w:rPr>
          <w:color w:val="000000"/>
          <w:lang w:val="hu-HU"/>
        </w:rPr>
        <w:noBreakHyphen/>
        <w:t>ében napi 340 mg/m</w:t>
      </w:r>
      <w:r w:rsidRPr="00556B9B">
        <w:rPr>
          <w:color w:val="000000"/>
          <w:vertAlign w:val="superscript"/>
          <w:lang w:val="hu-HU"/>
        </w:rPr>
        <w:t>2</w:t>
      </w:r>
      <w:r w:rsidRPr="00556B9B">
        <w:rPr>
          <w:color w:val="000000"/>
          <w:lang w:val="hu-HU"/>
        </w:rPr>
        <w:t xml:space="preserve"> adag javasolt (a teljes dózis nem haladhatja meg a 800 mg</w:t>
      </w:r>
      <w:r w:rsidRPr="00556B9B">
        <w:rPr>
          <w:color w:val="000000"/>
          <w:lang w:val="hu-HU"/>
        </w:rPr>
        <w:noBreakHyphen/>
        <w:t>ot). A kezelés napi egyszeri vagy alternatívaként a napi adag 2 (reggeli és esti) részre osztott bevételével történhet. Az adagolási javaslat jelenleg még kisszámú pediátriai kezelt adatára támaszkodik (lásd 5.1 és 5.2 pont). 2 éves kor alatti gyermekek kezelésére vonatkozóan nincs tapasztalat.</w:t>
      </w:r>
    </w:p>
    <w:p w14:paraId="3999D1B5" w14:textId="77777777" w:rsidR="0000287A" w:rsidRPr="00556B9B" w:rsidRDefault="0000287A" w:rsidP="0000287A">
      <w:pPr>
        <w:spacing w:line="240" w:lineRule="auto"/>
        <w:rPr>
          <w:color w:val="000000"/>
          <w:lang w:val="hu-HU"/>
        </w:rPr>
      </w:pPr>
    </w:p>
    <w:p w14:paraId="5D0ED79B" w14:textId="77777777" w:rsidR="0000287A" w:rsidRPr="00556B9B" w:rsidRDefault="0000287A" w:rsidP="0000287A">
      <w:pPr>
        <w:spacing w:line="240" w:lineRule="auto"/>
        <w:rPr>
          <w:color w:val="000000"/>
          <w:lang w:val="hu-HU"/>
        </w:rPr>
      </w:pPr>
      <w:r w:rsidRPr="00556B9B">
        <w:rPr>
          <w:color w:val="000000"/>
          <w:lang w:val="hu-HU"/>
        </w:rPr>
        <w:t xml:space="preserve">A napi adag </w:t>
      </w:r>
      <w:r w:rsidRPr="00556B9B">
        <w:rPr>
          <w:color w:val="000000"/>
          <w:szCs w:val="22"/>
          <w:lang w:val="hu-HU"/>
        </w:rPr>
        <w:t>340 mg/m</w:t>
      </w:r>
      <w:r w:rsidRPr="00556B9B">
        <w:rPr>
          <w:color w:val="000000"/>
          <w:szCs w:val="22"/>
          <w:vertAlign w:val="superscript"/>
          <w:lang w:val="hu-HU"/>
        </w:rPr>
        <w:t>2</w:t>
      </w:r>
      <w:r w:rsidRPr="00556B9B">
        <w:rPr>
          <w:color w:val="000000"/>
          <w:szCs w:val="22"/>
          <w:lang w:val="hu-HU"/>
        </w:rPr>
        <w:noBreakHyphen/>
        <w:t>ról 570 mg/m</w:t>
      </w:r>
      <w:r w:rsidRPr="00556B9B">
        <w:rPr>
          <w:color w:val="000000"/>
          <w:szCs w:val="22"/>
          <w:vertAlign w:val="superscript"/>
          <w:lang w:val="hu-HU"/>
        </w:rPr>
        <w:t>2</w:t>
      </w:r>
      <w:r w:rsidRPr="00556B9B">
        <w:rPr>
          <w:color w:val="000000"/>
          <w:szCs w:val="22"/>
          <w:lang w:val="hu-HU"/>
        </w:rPr>
        <w:noBreakHyphen/>
        <w:t xml:space="preserve">ra </w:t>
      </w:r>
      <w:r w:rsidRPr="00556B9B">
        <w:rPr>
          <w:color w:val="000000"/>
          <w:lang w:val="hu-HU"/>
        </w:rPr>
        <w:t>(a teljes dózis nem haladhatja meg a 800 mg</w:t>
      </w:r>
      <w:r w:rsidRPr="00556B9B">
        <w:rPr>
          <w:color w:val="000000"/>
          <w:lang w:val="hu-HU"/>
        </w:rPr>
        <w:noBreakHyphen/>
        <w:t>ot) emelhető, ha nincs súlyos mellékhatás, ill. súlyos – nem a leukaemiával összefüggő – neutropenia vagy thrombocytopenia az alábbi esetekben: betegség</w:t>
      </w:r>
      <w:r w:rsidRPr="00556B9B">
        <w:rPr>
          <w:color w:val="000000"/>
          <w:lang w:val="hu-HU"/>
        </w:rPr>
        <w:noBreakHyphen/>
        <w:t>progresszió (bármikor); legalább 3 hónapos kezelés után sincs megfelelő hematológiai válasz; 12 hónapos kezelés után sincs cytogenetikai válasz; vagy a korábban elért hematológiai és/vagy cytogenetikai válasz megszűnése. Dózisemeléskor a betegek szoros monitorozása szükséges, mivel magasabb dózisokban a mellékhatások előfordulásának kockázata fokozódik.</w:t>
      </w:r>
    </w:p>
    <w:p w14:paraId="1D7240C2" w14:textId="77777777" w:rsidR="0000287A" w:rsidRPr="00556B9B" w:rsidRDefault="0000287A" w:rsidP="0000287A">
      <w:pPr>
        <w:spacing w:line="240" w:lineRule="auto"/>
        <w:rPr>
          <w:color w:val="000000"/>
          <w:lang w:val="hu-HU"/>
        </w:rPr>
      </w:pPr>
    </w:p>
    <w:p w14:paraId="432B1816" w14:textId="77777777" w:rsidR="0051207B" w:rsidRDefault="0000287A" w:rsidP="00F926B9">
      <w:pPr>
        <w:keepNext/>
        <w:spacing w:line="240" w:lineRule="auto"/>
        <w:rPr>
          <w:color w:val="000000"/>
          <w:u w:val="single"/>
          <w:lang w:val="hu-HU"/>
        </w:rPr>
      </w:pPr>
      <w:r w:rsidRPr="00556B9B">
        <w:rPr>
          <w:color w:val="000000"/>
          <w:u w:val="single"/>
          <w:lang w:val="hu-HU"/>
        </w:rPr>
        <w:t>Adagolás Ph+</w:t>
      </w:r>
      <w:smartTag w:uri="urn:schemas-microsoft-com:office:smarttags" w:element="stockticker">
        <w:r w:rsidRPr="00556B9B">
          <w:rPr>
            <w:color w:val="000000"/>
            <w:u w:val="single"/>
            <w:lang w:val="hu-HU"/>
          </w:rPr>
          <w:t>ALL</w:t>
        </w:r>
      </w:smartTag>
      <w:r w:rsidRPr="00556B9B">
        <w:rPr>
          <w:color w:val="000000"/>
          <w:u w:val="single"/>
          <w:lang w:val="hu-HU"/>
        </w:rPr>
        <w:noBreakHyphen/>
      </w:r>
      <w:r w:rsidR="00261250" w:rsidRPr="00556B9B">
        <w:rPr>
          <w:color w:val="000000"/>
          <w:u w:val="single"/>
          <w:lang w:val="hu-HU"/>
        </w:rPr>
        <w:t>es felnőtt betegek számára</w:t>
      </w:r>
    </w:p>
    <w:p w14:paraId="6747D403" w14:textId="77777777" w:rsidR="0000287A" w:rsidRPr="00556B9B" w:rsidRDefault="0000287A" w:rsidP="0000287A">
      <w:pPr>
        <w:spacing w:line="240" w:lineRule="auto"/>
        <w:rPr>
          <w:color w:val="000000"/>
          <w:lang w:val="hu-HU"/>
        </w:rPr>
      </w:pPr>
      <w:r w:rsidRPr="00556B9B">
        <w:rPr>
          <w:color w:val="000000"/>
          <w:lang w:val="hu-HU"/>
        </w:rPr>
        <w:t>Ph+</w:t>
      </w:r>
      <w:smartTag w:uri="urn:schemas-microsoft-com:office:smarttags" w:element="stockticker">
        <w:r w:rsidRPr="00556B9B">
          <w:rPr>
            <w:color w:val="000000"/>
            <w:lang w:val="hu-HU"/>
          </w:rPr>
          <w:t>ALL</w:t>
        </w:r>
      </w:smartTag>
      <w:r w:rsidRPr="00556B9B">
        <w:rPr>
          <w:color w:val="000000"/>
          <w:lang w:val="hu-HU"/>
        </w:rPr>
        <w:noBreakHyphen/>
        <w:t xml:space="preserve">ben szenvedő </w:t>
      </w:r>
      <w:r w:rsidR="007F5795" w:rsidRPr="00556B9B">
        <w:rPr>
          <w:color w:val="000000"/>
          <w:lang w:val="hu-HU"/>
        </w:rPr>
        <w:t xml:space="preserve">felnőtt </w:t>
      </w:r>
      <w:r w:rsidRPr="00556B9B">
        <w:rPr>
          <w:color w:val="000000"/>
          <w:lang w:val="hu-HU"/>
        </w:rPr>
        <w:t>betegeknek a Glivec ajánlott adagja 600 mg/nap. A kezelést minden fázisban az ezen kórkép kezelésében jártas hematológus szakorvos felügyelje.</w:t>
      </w:r>
    </w:p>
    <w:p w14:paraId="499D76FE" w14:textId="77777777" w:rsidR="0000287A" w:rsidRPr="00556B9B" w:rsidRDefault="0000287A" w:rsidP="0000287A">
      <w:pPr>
        <w:spacing w:line="240" w:lineRule="auto"/>
        <w:rPr>
          <w:color w:val="000000"/>
          <w:u w:val="single"/>
          <w:lang w:val="hu-HU"/>
        </w:rPr>
      </w:pPr>
    </w:p>
    <w:p w14:paraId="38EACA70" w14:textId="77777777" w:rsidR="0000287A" w:rsidRPr="00556B9B" w:rsidRDefault="0000287A" w:rsidP="0000287A">
      <w:pPr>
        <w:spacing w:line="240" w:lineRule="auto"/>
        <w:rPr>
          <w:color w:val="000000"/>
          <w:lang w:val="hu-HU"/>
        </w:rPr>
      </w:pPr>
      <w:r w:rsidRPr="00556B9B">
        <w:rPr>
          <w:color w:val="000000"/>
          <w:lang w:val="hu-HU"/>
        </w:rPr>
        <w:t xml:space="preserve">Kezelési protokoll: a rendelkezésre álló adatok alapján a Glivec hatékonyan és biztonsággal adható újonnan diagnosztizált Ph+ </w:t>
      </w:r>
      <w:smartTag w:uri="urn:schemas-microsoft-com:office:smarttags" w:element="stockticker">
        <w:r w:rsidRPr="00556B9B">
          <w:rPr>
            <w:color w:val="000000"/>
            <w:lang w:val="hu-HU"/>
          </w:rPr>
          <w:t>ALL</w:t>
        </w:r>
      </w:smartTag>
      <w:r w:rsidRPr="00556B9B">
        <w:rPr>
          <w:color w:val="000000"/>
          <w:lang w:val="hu-HU"/>
        </w:rPr>
        <w:noBreakHyphen/>
        <w:t>es felnőtt betegeknek kemoterápiával egyidejűleg a kemoterápia indukciós, konszolidációs és fenntartó fázisában (lásd 5.1 pont) 600 mg/nap adagban. A Glivec</w:t>
      </w:r>
      <w:r w:rsidRPr="00556B9B">
        <w:rPr>
          <w:color w:val="000000"/>
          <w:lang w:val="hu-HU"/>
        </w:rPr>
        <w:noBreakHyphen/>
        <w:t>kezelés időtartama a választott kezelési program függvényében változhat, de a hosszabb Glivec</w:t>
      </w:r>
      <w:r w:rsidRPr="00556B9B">
        <w:rPr>
          <w:color w:val="000000"/>
          <w:lang w:val="hu-HU"/>
        </w:rPr>
        <w:noBreakHyphen/>
        <w:t>kezelés általában jobb eredményekkel járt.</w:t>
      </w:r>
    </w:p>
    <w:p w14:paraId="2264EE33" w14:textId="77777777" w:rsidR="0000287A" w:rsidRPr="00556B9B" w:rsidRDefault="0000287A" w:rsidP="0000287A">
      <w:pPr>
        <w:spacing w:line="240" w:lineRule="auto"/>
        <w:rPr>
          <w:color w:val="000000"/>
          <w:u w:val="single"/>
          <w:lang w:val="hu-HU"/>
        </w:rPr>
      </w:pPr>
    </w:p>
    <w:p w14:paraId="1512E742" w14:textId="77777777" w:rsidR="0000287A" w:rsidRPr="00E72BFA" w:rsidRDefault="0000287A" w:rsidP="0000287A">
      <w:pPr>
        <w:spacing w:line="240" w:lineRule="auto"/>
        <w:rPr>
          <w:color w:val="000000"/>
          <w:lang w:val="hu-HU"/>
        </w:rPr>
      </w:pPr>
      <w:r w:rsidRPr="00556B9B">
        <w:rPr>
          <w:color w:val="000000"/>
          <w:lang w:val="hu-HU"/>
        </w:rPr>
        <w:t xml:space="preserve">Recidiváló vagy refrakter Ph+ </w:t>
      </w:r>
      <w:smartTag w:uri="urn:schemas-microsoft-com:office:smarttags" w:element="stockticker">
        <w:r w:rsidRPr="00556B9B">
          <w:rPr>
            <w:color w:val="000000"/>
            <w:lang w:val="hu-HU"/>
          </w:rPr>
          <w:t>ALL</w:t>
        </w:r>
      </w:smartTag>
      <w:r w:rsidRPr="00556B9B">
        <w:rPr>
          <w:color w:val="000000"/>
          <w:lang w:val="hu-HU"/>
        </w:rPr>
        <w:noBreakHyphen/>
        <w:t xml:space="preserve">ben szenvedő felnőtt </w:t>
      </w:r>
      <w:r w:rsidRPr="00E72BFA">
        <w:rPr>
          <w:color w:val="000000"/>
          <w:lang w:val="hu-HU"/>
        </w:rPr>
        <w:t>betegek esetében a Glivec monoterápia 600 mg/nap adaggal biztonságos, hatékony és a betegség progressziójáig alkalmazható.</w:t>
      </w:r>
    </w:p>
    <w:p w14:paraId="113E8275" w14:textId="77777777" w:rsidR="0000287A" w:rsidRPr="00E72BFA" w:rsidRDefault="0000287A" w:rsidP="0000287A">
      <w:pPr>
        <w:spacing w:line="240" w:lineRule="auto"/>
        <w:rPr>
          <w:color w:val="000000"/>
          <w:lang w:val="hu-HU"/>
        </w:rPr>
      </w:pPr>
    </w:p>
    <w:p w14:paraId="261F6DD0" w14:textId="52058BFF" w:rsidR="00261250" w:rsidRPr="00E72BFA" w:rsidRDefault="00261250" w:rsidP="00F926B9">
      <w:pPr>
        <w:keepNext/>
        <w:rPr>
          <w:rFonts w:eastAsia="MS Mincho"/>
          <w:color w:val="000000"/>
          <w:u w:val="single"/>
          <w:lang w:val="hu-HU"/>
        </w:rPr>
      </w:pPr>
      <w:r w:rsidRPr="00E72BFA">
        <w:rPr>
          <w:color w:val="000000"/>
          <w:u w:val="single"/>
          <w:lang w:val="hu-HU" w:eastAsia="hu-HU"/>
        </w:rPr>
        <w:t>Adagolás Ph+ALL</w:t>
      </w:r>
      <w:r w:rsidRPr="00E72BFA">
        <w:rPr>
          <w:color w:val="000000"/>
          <w:u w:val="single"/>
          <w:lang w:val="hu-HU"/>
        </w:rPr>
        <w:noBreakHyphen/>
        <w:t>es</w:t>
      </w:r>
      <w:r w:rsidRPr="00E72BFA">
        <w:rPr>
          <w:color w:val="000000"/>
          <w:u w:val="single"/>
          <w:lang w:val="hu-HU" w:eastAsia="hu-HU"/>
        </w:rPr>
        <w:t xml:space="preserve"> gyermekek</w:t>
      </w:r>
      <w:r w:rsidRPr="00E72BFA">
        <w:rPr>
          <w:color w:val="000000"/>
          <w:u w:val="single"/>
          <w:lang w:val="hu-HU"/>
        </w:rPr>
        <w:t xml:space="preserve"> számára</w:t>
      </w:r>
    </w:p>
    <w:p w14:paraId="1EC49DF4" w14:textId="3EF558CF" w:rsidR="00261250" w:rsidRPr="00556B9B" w:rsidRDefault="00261250" w:rsidP="00261250">
      <w:pPr>
        <w:rPr>
          <w:color w:val="000000"/>
          <w:lang w:val="hu-HU"/>
        </w:rPr>
      </w:pPr>
      <w:r w:rsidRPr="00E72BFA">
        <w:rPr>
          <w:lang w:val="hu-HU" w:eastAsia="hu-HU"/>
        </w:rPr>
        <w:t>Gyermekeknél az adagolás</w:t>
      </w:r>
      <w:r w:rsidR="00DD66FB" w:rsidRPr="00E72BFA">
        <w:rPr>
          <w:lang w:val="hu-HU" w:eastAsia="hu-HU"/>
        </w:rPr>
        <w:t>t</w:t>
      </w:r>
      <w:r w:rsidRPr="00E72BFA">
        <w:rPr>
          <w:lang w:val="hu-HU" w:eastAsia="hu-HU"/>
        </w:rPr>
        <w:t xml:space="preserve"> a testfelszín alapján kell </w:t>
      </w:r>
      <w:r w:rsidR="00DD66FB" w:rsidRPr="00E72BFA">
        <w:rPr>
          <w:lang w:val="hu-HU" w:eastAsia="hu-HU"/>
        </w:rPr>
        <w:t>kiszámolni</w:t>
      </w:r>
      <w:r w:rsidRPr="00E72BFA">
        <w:rPr>
          <w:lang w:val="hu-HU" w:eastAsia="hu-HU"/>
        </w:rPr>
        <w:t xml:space="preserve"> </w:t>
      </w:r>
      <w:r w:rsidRPr="00E72BFA">
        <w:rPr>
          <w:color w:val="000000"/>
          <w:lang w:val="hu-HU" w:eastAsia="hu-HU"/>
        </w:rPr>
        <w:t>(mg/m</w:t>
      </w:r>
      <w:r w:rsidRPr="00E72BFA">
        <w:rPr>
          <w:color w:val="000000"/>
          <w:vertAlign w:val="superscript"/>
          <w:lang w:val="hu-HU" w:eastAsia="hu-HU"/>
        </w:rPr>
        <w:t>2</w:t>
      </w:r>
      <w:r w:rsidRPr="00556B9B">
        <w:rPr>
          <w:color w:val="000000"/>
          <w:lang w:val="hu-HU" w:eastAsia="hu-HU"/>
        </w:rPr>
        <w:t xml:space="preserve">). </w:t>
      </w:r>
      <w:r w:rsidRPr="00556B9B">
        <w:rPr>
          <w:lang w:val="hu-HU" w:eastAsia="hu-HU"/>
        </w:rPr>
        <w:t>A Ph+ALL</w:t>
      </w:r>
      <w:r w:rsidRPr="00556B9B">
        <w:rPr>
          <w:lang w:val="hu-HU"/>
        </w:rPr>
        <w:noBreakHyphen/>
      </w:r>
      <w:r w:rsidRPr="00556B9B">
        <w:rPr>
          <w:lang w:val="hu-HU" w:eastAsia="hu-HU"/>
        </w:rPr>
        <w:t>ben szenvedő gyermekeknél</w:t>
      </w:r>
      <w:r w:rsidRPr="00556B9B">
        <w:rPr>
          <w:lang w:val="hu-HU"/>
        </w:rPr>
        <w:t xml:space="preserve"> nap</w:t>
      </w:r>
      <w:r w:rsidRPr="00556B9B">
        <w:rPr>
          <w:lang w:val="hu-HU" w:eastAsia="hu-HU"/>
        </w:rPr>
        <w:t xml:space="preserve">i </w:t>
      </w:r>
      <w:r w:rsidRPr="00556B9B">
        <w:rPr>
          <w:color w:val="000000"/>
          <w:lang w:val="hu-HU" w:eastAsia="hu-HU"/>
        </w:rPr>
        <w:t>340</w:t>
      </w:r>
      <w:r w:rsidRPr="00556B9B">
        <w:rPr>
          <w:color w:val="000000"/>
          <w:lang w:val="hu-HU"/>
        </w:rPr>
        <w:t> mg</w:t>
      </w:r>
      <w:r w:rsidRPr="00556B9B">
        <w:rPr>
          <w:color w:val="000000"/>
          <w:lang w:val="hu-HU" w:eastAsia="hu-HU"/>
        </w:rPr>
        <w:t>/m</w:t>
      </w:r>
      <w:r w:rsidRPr="00556B9B">
        <w:rPr>
          <w:color w:val="000000"/>
          <w:vertAlign w:val="superscript"/>
          <w:lang w:val="hu-HU" w:eastAsia="hu-HU"/>
        </w:rPr>
        <w:t>2</w:t>
      </w:r>
      <w:r w:rsidRPr="00556B9B">
        <w:rPr>
          <w:color w:val="000000"/>
          <w:lang w:val="hu-HU"/>
        </w:rPr>
        <w:noBreakHyphen/>
      </w:r>
      <w:r w:rsidRPr="00556B9B">
        <w:rPr>
          <w:color w:val="000000"/>
          <w:lang w:val="hu-HU" w:eastAsia="hu-HU"/>
        </w:rPr>
        <w:t>es dózis javasolt (ami nem haladja meg a 600</w:t>
      </w:r>
      <w:r w:rsidRPr="00556B9B">
        <w:rPr>
          <w:color w:val="000000"/>
          <w:lang w:val="hu-HU"/>
        </w:rPr>
        <w:t> mg</w:t>
      </w:r>
      <w:r w:rsidRPr="00556B9B">
        <w:rPr>
          <w:color w:val="000000"/>
          <w:lang w:val="hu-HU"/>
        </w:rPr>
        <w:noBreakHyphen/>
      </w:r>
      <w:r w:rsidRPr="00556B9B">
        <w:rPr>
          <w:color w:val="000000"/>
          <w:lang w:val="hu-HU" w:eastAsia="hu-HU"/>
        </w:rPr>
        <w:t>os összdózist).</w:t>
      </w:r>
    </w:p>
    <w:p w14:paraId="77EC67DD" w14:textId="77777777" w:rsidR="00261250" w:rsidRPr="00556B9B" w:rsidRDefault="00261250" w:rsidP="0000287A">
      <w:pPr>
        <w:spacing w:line="240" w:lineRule="auto"/>
        <w:rPr>
          <w:color w:val="000000"/>
          <w:lang w:val="hu-HU"/>
        </w:rPr>
      </w:pPr>
    </w:p>
    <w:p w14:paraId="43597B67" w14:textId="77777777" w:rsidR="0000287A" w:rsidRPr="00556B9B" w:rsidRDefault="0000287A" w:rsidP="00F926B9">
      <w:pPr>
        <w:keepNext/>
        <w:spacing w:line="240" w:lineRule="auto"/>
        <w:rPr>
          <w:color w:val="000000"/>
          <w:lang w:val="hu-HU"/>
        </w:rPr>
      </w:pPr>
      <w:r w:rsidRPr="00556B9B">
        <w:rPr>
          <w:color w:val="000000"/>
          <w:u w:val="single"/>
          <w:lang w:val="hu-HU"/>
        </w:rPr>
        <w:t xml:space="preserve">Adagolás </w:t>
      </w:r>
      <w:smartTag w:uri="urn:schemas-microsoft-com:office:smarttags" w:element="stockticker">
        <w:r w:rsidRPr="00556B9B">
          <w:rPr>
            <w:color w:val="000000"/>
            <w:u w:val="single"/>
            <w:lang w:val="hu-HU"/>
          </w:rPr>
          <w:t>MDS</w:t>
        </w:r>
      </w:smartTag>
      <w:r w:rsidRPr="00556B9B">
        <w:rPr>
          <w:color w:val="000000"/>
          <w:u w:val="single"/>
          <w:lang w:val="hu-HU"/>
        </w:rPr>
        <w:t>/MPD</w:t>
      </w:r>
      <w:r w:rsidRPr="00556B9B">
        <w:rPr>
          <w:color w:val="000000"/>
          <w:u w:val="single"/>
          <w:lang w:val="hu-HU"/>
        </w:rPr>
        <w:noBreakHyphen/>
        <w:t>ben</w:t>
      </w:r>
    </w:p>
    <w:p w14:paraId="5ADFEA78" w14:textId="77777777" w:rsidR="0000287A" w:rsidRPr="00556B9B" w:rsidRDefault="0000287A" w:rsidP="0000287A">
      <w:pPr>
        <w:spacing w:line="240" w:lineRule="auto"/>
        <w:rPr>
          <w:color w:val="000000"/>
          <w:lang w:val="hu-HU"/>
        </w:rPr>
      </w:pPr>
      <w:smartTag w:uri="urn:schemas-microsoft-com:office:smarttags" w:element="stockticker">
        <w:r w:rsidRPr="00556B9B">
          <w:rPr>
            <w:color w:val="000000"/>
            <w:lang w:val="hu-HU"/>
          </w:rPr>
          <w:t>MDS</w:t>
        </w:r>
      </w:smartTag>
      <w:r w:rsidRPr="00556B9B">
        <w:rPr>
          <w:color w:val="000000"/>
          <w:lang w:val="hu-HU"/>
        </w:rPr>
        <w:t>/MPD</w:t>
      </w:r>
      <w:r w:rsidRPr="00556B9B">
        <w:rPr>
          <w:color w:val="000000"/>
          <w:lang w:val="hu-HU"/>
        </w:rPr>
        <w:noBreakHyphen/>
        <w:t xml:space="preserve">ben szenvedő </w:t>
      </w:r>
      <w:r w:rsidR="007F5795" w:rsidRPr="00556B9B">
        <w:rPr>
          <w:color w:val="000000"/>
          <w:lang w:val="hu-HU"/>
        </w:rPr>
        <w:t xml:space="preserve">felnőtt </w:t>
      </w:r>
      <w:r w:rsidRPr="00556B9B">
        <w:rPr>
          <w:color w:val="000000"/>
          <w:lang w:val="hu-HU"/>
        </w:rPr>
        <w:t>betegeknek a Glivec ajánlott adagja 400 mg/nap.</w:t>
      </w:r>
    </w:p>
    <w:p w14:paraId="5B32E571" w14:textId="77777777" w:rsidR="0000287A" w:rsidRPr="00556B9B" w:rsidRDefault="0000287A" w:rsidP="0000287A">
      <w:pPr>
        <w:spacing w:line="240" w:lineRule="auto"/>
        <w:rPr>
          <w:color w:val="000000"/>
          <w:lang w:val="hu-HU"/>
        </w:rPr>
      </w:pPr>
    </w:p>
    <w:p w14:paraId="4A9916D0" w14:textId="77777777" w:rsidR="0000287A" w:rsidRPr="00556B9B" w:rsidRDefault="0000287A" w:rsidP="0000287A">
      <w:pPr>
        <w:spacing w:line="240" w:lineRule="auto"/>
        <w:rPr>
          <w:color w:val="000000"/>
          <w:lang w:val="hu-HU"/>
        </w:rPr>
      </w:pPr>
      <w:r w:rsidRPr="00556B9B">
        <w:rPr>
          <w:color w:val="000000"/>
          <w:lang w:val="hu-HU"/>
        </w:rPr>
        <w:t>A kezelés időtartama: Az ez ideig elvégzett egyetlen klinikai vizsgálatban a Glivec</w:t>
      </w:r>
      <w:r w:rsidRPr="00556B9B">
        <w:rPr>
          <w:color w:val="000000"/>
          <w:lang w:val="hu-HU"/>
        </w:rPr>
        <w:noBreakHyphen/>
        <w:t xml:space="preserve">kezelést a betegség progressziójáig folytatták (lásd 5.1 pont). Az analízis időpontjában a kezelés időtartamának mediánértéke 47 hónap (24 nap </w:t>
      </w:r>
      <w:r w:rsidRPr="00556B9B">
        <w:rPr>
          <w:color w:val="000000"/>
          <w:lang w:val="hu-HU"/>
        </w:rPr>
        <w:noBreakHyphen/>
        <w:t xml:space="preserve"> 60 hónap) volt.</w:t>
      </w:r>
    </w:p>
    <w:p w14:paraId="6E0CFF94" w14:textId="77777777" w:rsidR="0000287A" w:rsidRPr="00556B9B" w:rsidRDefault="0000287A" w:rsidP="0000287A">
      <w:pPr>
        <w:spacing w:line="240" w:lineRule="auto"/>
        <w:rPr>
          <w:color w:val="000000"/>
          <w:u w:val="single"/>
          <w:lang w:val="hu-HU"/>
        </w:rPr>
      </w:pPr>
    </w:p>
    <w:p w14:paraId="03B5BEB0" w14:textId="77777777" w:rsidR="0000287A" w:rsidRPr="00556B9B" w:rsidRDefault="0000287A" w:rsidP="00F926B9">
      <w:pPr>
        <w:keepNext/>
        <w:spacing w:line="240" w:lineRule="auto"/>
        <w:rPr>
          <w:color w:val="000000"/>
          <w:u w:val="single"/>
          <w:lang w:val="hu-HU"/>
        </w:rPr>
      </w:pPr>
      <w:r w:rsidRPr="00556B9B">
        <w:rPr>
          <w:color w:val="000000"/>
          <w:u w:val="single"/>
          <w:lang w:val="hu-HU"/>
        </w:rPr>
        <w:t>Adagolás HES/</w:t>
      </w:r>
      <w:smartTag w:uri="urn:schemas-microsoft-com:office:smarttags" w:element="stockticker">
        <w:r w:rsidRPr="00556B9B">
          <w:rPr>
            <w:color w:val="000000"/>
            <w:u w:val="single"/>
            <w:lang w:val="hu-HU"/>
          </w:rPr>
          <w:t>CEL</w:t>
        </w:r>
      </w:smartTag>
      <w:r w:rsidRPr="00556B9B">
        <w:rPr>
          <w:color w:val="000000"/>
          <w:u w:val="single"/>
          <w:lang w:val="hu-HU"/>
        </w:rPr>
        <w:noBreakHyphen/>
        <w:t>ben</w:t>
      </w:r>
    </w:p>
    <w:p w14:paraId="6E612B65" w14:textId="77777777" w:rsidR="0000287A" w:rsidRPr="00556B9B" w:rsidRDefault="0000287A" w:rsidP="0000287A">
      <w:pPr>
        <w:spacing w:line="240" w:lineRule="auto"/>
        <w:rPr>
          <w:color w:val="000000"/>
          <w:lang w:val="hu-HU"/>
        </w:rPr>
      </w:pPr>
      <w:r w:rsidRPr="00556B9B">
        <w:rPr>
          <w:color w:val="000000"/>
          <w:lang w:val="hu-HU"/>
        </w:rPr>
        <w:t>HES/</w:t>
      </w:r>
      <w:smartTag w:uri="urn:schemas-microsoft-com:office:smarttags" w:element="stockticker">
        <w:r w:rsidRPr="00556B9B">
          <w:rPr>
            <w:color w:val="000000"/>
            <w:lang w:val="hu-HU"/>
          </w:rPr>
          <w:t>CEL</w:t>
        </w:r>
      </w:smartTag>
      <w:r w:rsidRPr="00556B9B">
        <w:rPr>
          <w:color w:val="000000"/>
          <w:lang w:val="hu-HU"/>
        </w:rPr>
        <w:noBreakHyphen/>
        <w:t xml:space="preserve">ben szenvedő </w:t>
      </w:r>
      <w:r w:rsidR="007F5795" w:rsidRPr="00556B9B">
        <w:rPr>
          <w:color w:val="000000"/>
          <w:lang w:val="hu-HU"/>
        </w:rPr>
        <w:t xml:space="preserve">felnőtt </w:t>
      </w:r>
      <w:r w:rsidRPr="00556B9B">
        <w:rPr>
          <w:color w:val="000000"/>
          <w:lang w:val="hu-HU"/>
        </w:rPr>
        <w:t>betegeknek a Glivec ajánlott adagja 100 mg/nap.</w:t>
      </w:r>
    </w:p>
    <w:p w14:paraId="20CAAA25" w14:textId="77777777" w:rsidR="0000287A" w:rsidRPr="00556B9B" w:rsidRDefault="0000287A" w:rsidP="0000287A">
      <w:pPr>
        <w:spacing w:line="240" w:lineRule="auto"/>
        <w:rPr>
          <w:color w:val="000000"/>
          <w:lang w:val="hu-HU"/>
        </w:rPr>
      </w:pPr>
    </w:p>
    <w:p w14:paraId="19EE0903" w14:textId="77777777" w:rsidR="0000287A" w:rsidRPr="00556B9B" w:rsidRDefault="0000287A" w:rsidP="0000287A">
      <w:pPr>
        <w:spacing w:line="240" w:lineRule="auto"/>
        <w:rPr>
          <w:color w:val="000000"/>
          <w:lang w:val="hu-HU"/>
        </w:rPr>
      </w:pPr>
      <w:r w:rsidRPr="00556B9B">
        <w:rPr>
          <w:color w:val="000000"/>
          <w:lang w:val="hu-HU"/>
        </w:rPr>
        <w:t>Amennyiben az eredmények értékelése a terápiás válasz elégtelenségét mutatja, gyógyszermellékhatások hiányában megfontolható az adag 100 mg</w:t>
      </w:r>
      <w:r w:rsidRPr="00556B9B">
        <w:rPr>
          <w:color w:val="000000"/>
          <w:lang w:val="hu-HU"/>
        </w:rPr>
        <w:noBreakHyphen/>
        <w:t>ról 400 mg</w:t>
      </w:r>
      <w:r w:rsidRPr="00556B9B">
        <w:rPr>
          <w:color w:val="000000"/>
          <w:lang w:val="hu-HU"/>
        </w:rPr>
        <w:noBreakHyphen/>
        <w:t>ra történő emelése.</w:t>
      </w:r>
    </w:p>
    <w:p w14:paraId="5BDC7B13" w14:textId="77777777" w:rsidR="0000287A" w:rsidRPr="00556B9B" w:rsidRDefault="0000287A" w:rsidP="0000287A">
      <w:pPr>
        <w:spacing w:line="240" w:lineRule="auto"/>
        <w:rPr>
          <w:color w:val="000000"/>
          <w:lang w:val="hu-HU"/>
        </w:rPr>
      </w:pPr>
    </w:p>
    <w:p w14:paraId="346A7094" w14:textId="77777777" w:rsidR="0000287A" w:rsidRPr="00556B9B" w:rsidRDefault="0000287A" w:rsidP="0000287A">
      <w:pPr>
        <w:spacing w:line="240" w:lineRule="auto"/>
        <w:rPr>
          <w:color w:val="000000"/>
          <w:lang w:val="hu-HU"/>
        </w:rPr>
      </w:pPr>
      <w:r w:rsidRPr="00556B9B">
        <w:rPr>
          <w:color w:val="000000"/>
          <w:lang w:val="hu-HU"/>
        </w:rPr>
        <w:lastRenderedPageBreak/>
        <w:t>A kezelést mindaddig folytatni kell, amíg az a beteg számára előnyös.</w:t>
      </w:r>
    </w:p>
    <w:p w14:paraId="726DAE16" w14:textId="77777777" w:rsidR="0000287A" w:rsidRPr="00556B9B" w:rsidRDefault="0000287A" w:rsidP="0000287A">
      <w:pPr>
        <w:spacing w:line="240" w:lineRule="auto"/>
        <w:rPr>
          <w:color w:val="000000"/>
          <w:lang w:val="hu-HU"/>
        </w:rPr>
      </w:pPr>
    </w:p>
    <w:p w14:paraId="74BC7767" w14:textId="77777777" w:rsidR="0000287A" w:rsidRPr="00556B9B" w:rsidRDefault="0000287A" w:rsidP="00F926B9">
      <w:pPr>
        <w:keepNext/>
        <w:spacing w:line="240" w:lineRule="auto"/>
        <w:rPr>
          <w:color w:val="000000"/>
          <w:u w:val="single"/>
          <w:lang w:val="hu-HU"/>
        </w:rPr>
      </w:pPr>
      <w:r w:rsidRPr="00556B9B">
        <w:rPr>
          <w:color w:val="000000"/>
          <w:u w:val="single"/>
          <w:lang w:val="hu-HU"/>
        </w:rPr>
        <w:t>Adagolás a GIST</w:t>
      </w:r>
      <w:r w:rsidRPr="00556B9B">
        <w:rPr>
          <w:color w:val="000000"/>
          <w:u w:val="single"/>
          <w:lang w:val="hu-HU"/>
        </w:rPr>
        <w:noBreakHyphen/>
        <w:t>ben</w:t>
      </w:r>
    </w:p>
    <w:p w14:paraId="7D3D9C88" w14:textId="77777777" w:rsidR="0000287A" w:rsidRPr="00556B9B" w:rsidRDefault="0000287A" w:rsidP="0000287A">
      <w:pPr>
        <w:spacing w:line="240" w:lineRule="auto"/>
        <w:rPr>
          <w:color w:val="000000"/>
          <w:lang w:val="hu-HU"/>
        </w:rPr>
      </w:pPr>
      <w:r w:rsidRPr="00556B9B">
        <w:rPr>
          <w:color w:val="000000"/>
          <w:lang w:val="hu-HU"/>
        </w:rPr>
        <w:t>Nem műthető és/vagy metasztatikus malignus GIST</w:t>
      </w:r>
      <w:r w:rsidR="007F5795" w:rsidRPr="00556B9B">
        <w:rPr>
          <w:color w:val="000000"/>
          <w:lang w:val="hu-HU"/>
        </w:rPr>
        <w:noBreakHyphen/>
        <w:t>ben szenvedő felnőtt</w:t>
      </w:r>
      <w:r w:rsidRPr="00556B9B">
        <w:rPr>
          <w:color w:val="000000"/>
          <w:lang w:val="hu-HU"/>
        </w:rPr>
        <w:t xml:space="preserve"> betegek kezelésére a Glivec ajánlott napi adagja 400 mg.</w:t>
      </w:r>
    </w:p>
    <w:p w14:paraId="3FAAFFD2" w14:textId="77777777" w:rsidR="0000287A" w:rsidRPr="00556B9B" w:rsidRDefault="0000287A" w:rsidP="0000287A">
      <w:pPr>
        <w:spacing w:line="240" w:lineRule="auto"/>
        <w:rPr>
          <w:color w:val="000000"/>
          <w:lang w:val="hu-HU"/>
        </w:rPr>
      </w:pPr>
    </w:p>
    <w:p w14:paraId="1E250338" w14:textId="77777777" w:rsidR="0000287A" w:rsidRPr="00556B9B" w:rsidRDefault="0000287A" w:rsidP="0000287A">
      <w:pPr>
        <w:spacing w:line="240" w:lineRule="auto"/>
        <w:rPr>
          <w:color w:val="000000"/>
          <w:lang w:val="hu-HU"/>
        </w:rPr>
      </w:pPr>
      <w:r w:rsidRPr="00556B9B">
        <w:rPr>
          <w:color w:val="000000"/>
          <w:lang w:val="hu-HU"/>
        </w:rPr>
        <w:t>Kevés adat áll rendelkezése olyan betegekről, akiknek az adagját 400 mg</w:t>
      </w:r>
      <w:r w:rsidRPr="00556B9B">
        <w:rPr>
          <w:color w:val="000000"/>
          <w:lang w:val="hu-HU"/>
        </w:rPr>
        <w:noBreakHyphen/>
        <w:t>ról 600 mg</w:t>
      </w:r>
      <w:r w:rsidRPr="00556B9B">
        <w:rPr>
          <w:color w:val="000000"/>
          <w:lang w:val="hu-HU"/>
        </w:rPr>
        <w:noBreakHyphen/>
        <w:t>ra vagy 800 mg</w:t>
      </w:r>
      <w:r w:rsidRPr="00556B9B">
        <w:rPr>
          <w:color w:val="000000"/>
          <w:lang w:val="hu-HU"/>
        </w:rPr>
        <w:noBreakHyphen/>
        <w:t>ra emelték a kisebb dózis mellett észlelt progresszió miatt (lásd 5.1 pont).</w:t>
      </w:r>
    </w:p>
    <w:p w14:paraId="0CF92C5A" w14:textId="77777777" w:rsidR="0000287A" w:rsidRPr="00556B9B" w:rsidRDefault="0000287A" w:rsidP="0000287A">
      <w:pPr>
        <w:spacing w:line="240" w:lineRule="auto"/>
        <w:rPr>
          <w:color w:val="000000"/>
          <w:lang w:val="hu-HU"/>
        </w:rPr>
      </w:pPr>
    </w:p>
    <w:p w14:paraId="4E27243A" w14:textId="359E4D36" w:rsidR="0000287A" w:rsidRPr="00E72BFA" w:rsidRDefault="0000287A" w:rsidP="0000287A">
      <w:pPr>
        <w:spacing w:line="240" w:lineRule="auto"/>
        <w:rPr>
          <w:color w:val="000000"/>
          <w:lang w:val="hu-HU"/>
        </w:rPr>
      </w:pPr>
      <w:r w:rsidRPr="00E72BFA">
        <w:rPr>
          <w:color w:val="000000"/>
          <w:lang w:val="hu-HU"/>
        </w:rPr>
        <w:t>A kezelés időtartama: GIST betegek klinikai vizsgálataiban a Glivec</w:t>
      </w:r>
      <w:r w:rsidRPr="00E72BFA">
        <w:rPr>
          <w:color w:val="000000"/>
          <w:lang w:val="hu-HU"/>
        </w:rPr>
        <w:noBreakHyphen/>
        <w:t>kezelés a betegség progressziójáig tartott. A kiértékelés idején a kezelés medián ideje 7 hónap (7 nap</w:t>
      </w:r>
      <w:r w:rsidRPr="00E72BFA">
        <w:rPr>
          <w:color w:val="000000"/>
          <w:lang w:val="hu-HU"/>
        </w:rPr>
        <w:noBreakHyphen/>
        <w:t xml:space="preserve">13 hónap) volt. A </w:t>
      </w:r>
      <w:r w:rsidR="007C4AF2" w:rsidRPr="00E72BFA">
        <w:rPr>
          <w:color w:val="000000"/>
          <w:lang w:val="hu-HU"/>
        </w:rPr>
        <w:t xml:space="preserve">kezelés leállításának hatását, ha az a </w:t>
      </w:r>
      <w:r w:rsidRPr="00E72BFA">
        <w:rPr>
          <w:color w:val="000000"/>
          <w:lang w:val="hu-HU"/>
        </w:rPr>
        <w:t>terápiás válasz elérése után történ</w:t>
      </w:r>
      <w:r w:rsidR="007C4AF2" w:rsidRPr="00E72BFA">
        <w:rPr>
          <w:color w:val="000000"/>
          <w:lang w:val="hu-HU"/>
        </w:rPr>
        <w:t xml:space="preserve">t, </w:t>
      </w:r>
      <w:r w:rsidRPr="00E72BFA">
        <w:rPr>
          <w:color w:val="000000"/>
          <w:lang w:val="hu-HU"/>
        </w:rPr>
        <w:t xml:space="preserve">nem </w:t>
      </w:r>
      <w:r w:rsidR="007C4AF2" w:rsidRPr="00E72BFA">
        <w:rPr>
          <w:color w:val="000000"/>
          <w:lang w:val="hu-HU"/>
        </w:rPr>
        <w:t>vizsgálták</w:t>
      </w:r>
      <w:r w:rsidRPr="00E72BFA">
        <w:rPr>
          <w:color w:val="000000"/>
          <w:lang w:val="hu-HU"/>
        </w:rPr>
        <w:t>.</w:t>
      </w:r>
    </w:p>
    <w:p w14:paraId="4EA5B35D" w14:textId="77777777" w:rsidR="0000287A" w:rsidRPr="00E72BFA" w:rsidRDefault="0000287A" w:rsidP="0000287A">
      <w:pPr>
        <w:spacing w:line="240" w:lineRule="auto"/>
        <w:rPr>
          <w:color w:val="000000"/>
          <w:lang w:val="hu-HU"/>
        </w:rPr>
      </w:pPr>
    </w:p>
    <w:p w14:paraId="45DEDF03" w14:textId="77777777" w:rsidR="0000287A" w:rsidRPr="00556B9B" w:rsidRDefault="0000287A" w:rsidP="0000287A">
      <w:pPr>
        <w:spacing w:line="240" w:lineRule="auto"/>
        <w:rPr>
          <w:color w:val="000000"/>
          <w:lang w:val="hu-HU"/>
        </w:rPr>
      </w:pPr>
      <w:r w:rsidRPr="00E72BFA">
        <w:rPr>
          <w:color w:val="000000"/>
          <w:lang w:val="hu-HU"/>
        </w:rPr>
        <w:t>Felnőtt betegeknél adjuváns kezelésre a GIST reszekcióját követően a Glivec</w:t>
      </w:r>
      <w:r w:rsidRPr="00556B9B">
        <w:rPr>
          <w:color w:val="000000"/>
          <w:lang w:val="hu-HU"/>
        </w:rPr>
        <w:t xml:space="preserve"> javasolt adagja napi 400 mg. A kezelés optimális időtartamát még nem állapították meg. Az indikációt alátámasztó klinikai vizsgálatokban a kezelés hossza </w:t>
      </w:r>
      <w:r w:rsidR="005012CC" w:rsidRPr="00556B9B">
        <w:rPr>
          <w:color w:val="000000"/>
          <w:lang w:val="hu-HU"/>
        </w:rPr>
        <w:t>36</w:t>
      </w:r>
      <w:r w:rsidRPr="00556B9B">
        <w:rPr>
          <w:color w:val="000000"/>
          <w:lang w:val="hu-HU"/>
        </w:rPr>
        <w:t> hónap volt</w:t>
      </w:r>
      <w:r w:rsidR="005012CC" w:rsidRPr="00556B9B">
        <w:rPr>
          <w:color w:val="000000"/>
          <w:lang w:val="hu-HU"/>
        </w:rPr>
        <w:t xml:space="preserve"> (lásd 5.1 pont)</w:t>
      </w:r>
      <w:r w:rsidRPr="00556B9B">
        <w:rPr>
          <w:color w:val="000000"/>
          <w:lang w:val="hu-HU"/>
        </w:rPr>
        <w:t>.</w:t>
      </w:r>
    </w:p>
    <w:p w14:paraId="121E42F8" w14:textId="77777777" w:rsidR="0000287A" w:rsidRPr="00556B9B" w:rsidRDefault="0000287A" w:rsidP="0000287A">
      <w:pPr>
        <w:spacing w:line="240" w:lineRule="auto"/>
        <w:rPr>
          <w:color w:val="000000"/>
          <w:u w:val="single"/>
          <w:lang w:val="hu-HU"/>
        </w:rPr>
      </w:pPr>
    </w:p>
    <w:p w14:paraId="2DFBE582" w14:textId="77777777" w:rsidR="0000287A" w:rsidRPr="00556B9B" w:rsidRDefault="0000287A" w:rsidP="00F926B9">
      <w:pPr>
        <w:keepNext/>
        <w:spacing w:line="240" w:lineRule="auto"/>
        <w:rPr>
          <w:color w:val="000000"/>
          <w:lang w:val="hu-HU"/>
        </w:rPr>
      </w:pPr>
      <w:r w:rsidRPr="00556B9B">
        <w:rPr>
          <w:color w:val="000000"/>
          <w:u w:val="single"/>
          <w:lang w:val="hu-HU"/>
        </w:rPr>
        <w:t>Adagolás DFSP</w:t>
      </w:r>
      <w:r w:rsidRPr="00556B9B">
        <w:rPr>
          <w:color w:val="000000"/>
          <w:u w:val="single"/>
          <w:lang w:val="hu-HU"/>
        </w:rPr>
        <w:noBreakHyphen/>
        <w:t>ben</w:t>
      </w:r>
    </w:p>
    <w:p w14:paraId="33A075A8" w14:textId="77777777" w:rsidR="0000287A" w:rsidRPr="00E72BFA" w:rsidRDefault="0000287A" w:rsidP="0000287A">
      <w:pPr>
        <w:spacing w:line="240" w:lineRule="auto"/>
        <w:rPr>
          <w:color w:val="000000"/>
          <w:lang w:val="hu-HU"/>
        </w:rPr>
      </w:pPr>
      <w:r w:rsidRPr="00556B9B">
        <w:rPr>
          <w:color w:val="000000"/>
          <w:lang w:val="hu-HU"/>
        </w:rPr>
        <w:t>DFSP</w:t>
      </w:r>
      <w:r w:rsidRPr="00556B9B">
        <w:rPr>
          <w:color w:val="000000"/>
          <w:lang w:val="hu-HU"/>
        </w:rPr>
        <w:noBreakHyphen/>
        <w:t xml:space="preserve">ben szenvedő </w:t>
      </w:r>
      <w:r w:rsidR="007F5795" w:rsidRPr="00556B9B">
        <w:rPr>
          <w:color w:val="000000"/>
          <w:lang w:val="hu-HU"/>
        </w:rPr>
        <w:t xml:space="preserve">felnőtt </w:t>
      </w:r>
      <w:r w:rsidRPr="00E72BFA">
        <w:rPr>
          <w:color w:val="000000"/>
          <w:lang w:val="hu-HU"/>
        </w:rPr>
        <w:t>betegeknek a Glivec ajánlott adagja 800 mg/nap.</w:t>
      </w:r>
    </w:p>
    <w:p w14:paraId="2DCE882C" w14:textId="77777777" w:rsidR="0000287A" w:rsidRPr="00E72BFA" w:rsidRDefault="0000287A" w:rsidP="0000287A">
      <w:pPr>
        <w:spacing w:line="240" w:lineRule="auto"/>
        <w:rPr>
          <w:color w:val="000000"/>
          <w:lang w:val="hu-HU"/>
        </w:rPr>
      </w:pPr>
    </w:p>
    <w:p w14:paraId="674AC72A" w14:textId="1504E07E" w:rsidR="0000287A" w:rsidRPr="00E72BFA" w:rsidRDefault="0000287A" w:rsidP="00F926B9">
      <w:pPr>
        <w:keepNext/>
        <w:spacing w:line="240" w:lineRule="auto"/>
        <w:rPr>
          <w:color w:val="000000"/>
          <w:u w:val="single"/>
          <w:lang w:val="hu-HU"/>
        </w:rPr>
      </w:pPr>
      <w:r w:rsidRPr="00E72BFA">
        <w:rPr>
          <w:color w:val="000000"/>
          <w:u w:val="single"/>
          <w:lang w:val="hu-HU"/>
        </w:rPr>
        <w:t>Dózis</w:t>
      </w:r>
      <w:r w:rsidR="007C4AF2" w:rsidRPr="00E72BFA">
        <w:rPr>
          <w:color w:val="000000"/>
          <w:u w:val="single"/>
          <w:lang w:val="hu-HU"/>
        </w:rPr>
        <w:t>módosítás</w:t>
      </w:r>
      <w:r w:rsidRPr="00E72BFA">
        <w:rPr>
          <w:color w:val="000000"/>
          <w:u w:val="single"/>
          <w:lang w:val="hu-HU"/>
        </w:rPr>
        <w:t xml:space="preserve"> mellékhatások esetén</w:t>
      </w:r>
    </w:p>
    <w:p w14:paraId="3AC78587" w14:textId="77250D5F" w:rsidR="0000287A" w:rsidRPr="00E72BFA" w:rsidRDefault="0000287A" w:rsidP="0000287A">
      <w:pPr>
        <w:pStyle w:val="Heading6"/>
        <w:numPr>
          <w:ilvl w:val="0"/>
          <w:numId w:val="0"/>
        </w:numPr>
        <w:tabs>
          <w:tab w:val="clear" w:pos="567"/>
          <w:tab w:val="clear" w:pos="4536"/>
        </w:tabs>
        <w:spacing w:line="240" w:lineRule="auto"/>
        <w:rPr>
          <w:color w:val="000000"/>
          <w:lang w:val="hu-HU"/>
        </w:rPr>
      </w:pPr>
      <w:r w:rsidRPr="00E72BFA">
        <w:rPr>
          <w:color w:val="000000"/>
          <w:lang w:val="hu-HU"/>
        </w:rPr>
        <w:t>Nem</w:t>
      </w:r>
      <w:r w:rsidR="007C4AF2" w:rsidRPr="00E72BFA">
        <w:rPr>
          <w:color w:val="000000"/>
          <w:lang w:val="hu-HU"/>
        </w:rPr>
        <w:t xml:space="preserve"> </w:t>
      </w:r>
      <w:r w:rsidRPr="00E72BFA">
        <w:rPr>
          <w:color w:val="000000"/>
          <w:lang w:val="hu-HU"/>
        </w:rPr>
        <w:t>hematológiai mellékhatások</w:t>
      </w:r>
    </w:p>
    <w:p w14:paraId="135A5BC5" w14:textId="637F0047" w:rsidR="0000287A" w:rsidRPr="00556B9B" w:rsidRDefault="0000287A" w:rsidP="0000287A">
      <w:pPr>
        <w:spacing w:line="240" w:lineRule="auto"/>
        <w:rPr>
          <w:color w:val="000000"/>
          <w:lang w:val="hu-HU"/>
        </w:rPr>
      </w:pPr>
      <w:r w:rsidRPr="00E72BFA">
        <w:rPr>
          <w:color w:val="000000"/>
          <w:lang w:val="hu-HU"/>
        </w:rPr>
        <w:t>Ha súlyos, nem</w:t>
      </w:r>
      <w:r w:rsidR="007C4AF2" w:rsidRPr="00E72BFA">
        <w:rPr>
          <w:color w:val="000000"/>
          <w:lang w:val="hu-HU"/>
        </w:rPr>
        <w:t xml:space="preserve"> </w:t>
      </w:r>
      <w:r w:rsidRPr="00E72BFA">
        <w:rPr>
          <w:color w:val="000000"/>
          <w:lang w:val="hu-HU"/>
        </w:rPr>
        <w:t>hematológiai mellékhatás lép fel a Glivec</w:t>
      </w:r>
      <w:r w:rsidRPr="00E72BFA">
        <w:rPr>
          <w:color w:val="000000"/>
          <w:lang w:val="hu-HU"/>
        </w:rPr>
        <w:noBreakHyphen/>
        <w:t>kezelés során, a kezelést fel kell függeszteni, amíg az állapot nem rendeződik</w:t>
      </w:r>
      <w:r w:rsidRPr="00556B9B">
        <w:rPr>
          <w:color w:val="000000"/>
          <w:lang w:val="hu-HU"/>
        </w:rPr>
        <w:t>. Ezután a kezelés szükség szerint újrakezdhető az esemény kezdeti súlyosságától függően.</w:t>
      </w:r>
    </w:p>
    <w:p w14:paraId="0C7F523C" w14:textId="77777777" w:rsidR="0000287A" w:rsidRPr="00556B9B" w:rsidRDefault="0000287A" w:rsidP="0000287A">
      <w:pPr>
        <w:spacing w:line="240" w:lineRule="auto"/>
        <w:rPr>
          <w:color w:val="000000"/>
          <w:lang w:val="hu-HU"/>
        </w:rPr>
      </w:pPr>
    </w:p>
    <w:p w14:paraId="0B828E15" w14:textId="533CE724" w:rsidR="0000287A" w:rsidRPr="00556B9B" w:rsidRDefault="0000287A" w:rsidP="0000287A">
      <w:pPr>
        <w:spacing w:line="240" w:lineRule="auto"/>
        <w:rPr>
          <w:color w:val="000000"/>
          <w:lang w:val="hu-HU"/>
        </w:rPr>
      </w:pPr>
      <w:r w:rsidRPr="00556B9B">
        <w:rPr>
          <w:color w:val="000000"/>
          <w:lang w:val="hu-HU"/>
        </w:rPr>
        <w:t>Ha a bilirubinszint növekedése meghaladja a helyi normálérték felső határának (IULN) háromszorosát, vagy a máj transzaminázok esetében az IULN ötszörösét, a Glivec</w:t>
      </w:r>
      <w:r w:rsidRPr="00556B9B">
        <w:rPr>
          <w:color w:val="000000"/>
          <w:lang w:val="hu-HU"/>
        </w:rPr>
        <w:noBreakHyphen/>
        <w:t>kezelést fel kell függeszteni addig, amíg a bilirubinszint lecsökken az IULN kevesebb mint 1,5</w:t>
      </w:r>
      <w:r w:rsidRPr="00556B9B">
        <w:rPr>
          <w:color w:val="000000"/>
          <w:lang w:val="hu-HU"/>
        </w:rPr>
        <w:noBreakHyphen/>
        <w:t>szeresére és a transzamináz érték az IULN kevesebb mint 2,5</w:t>
      </w:r>
      <w:r w:rsidRPr="00556B9B">
        <w:rPr>
          <w:color w:val="000000"/>
          <w:lang w:val="hu-HU"/>
        </w:rPr>
        <w:noBreakHyphen/>
        <w:t>szeresére. A Glivec terápia ekkor csökkentett napi dózisokkal folytatható. Felnőttek esetében a dózis 400 mg</w:t>
      </w:r>
      <w:r w:rsidRPr="00556B9B">
        <w:rPr>
          <w:color w:val="000000"/>
          <w:lang w:val="hu-HU"/>
        </w:rPr>
        <w:noBreakHyphen/>
      </w:r>
      <w:r w:rsidRPr="00E72BFA">
        <w:rPr>
          <w:color w:val="000000"/>
          <w:lang w:val="hu-HU"/>
        </w:rPr>
        <w:t>ról 300 mg</w:t>
      </w:r>
      <w:r w:rsidRPr="00E72BFA">
        <w:rPr>
          <w:color w:val="000000"/>
          <w:lang w:val="hu-HU"/>
        </w:rPr>
        <w:noBreakHyphen/>
        <w:t>ra, 600 mg</w:t>
      </w:r>
      <w:r w:rsidRPr="00E72BFA">
        <w:rPr>
          <w:color w:val="000000"/>
          <w:lang w:val="hu-HU"/>
        </w:rPr>
        <w:noBreakHyphen/>
        <w:t>ról 400 mg</w:t>
      </w:r>
      <w:r w:rsidRPr="00E72BFA">
        <w:rPr>
          <w:color w:val="000000"/>
          <w:lang w:val="hu-HU"/>
        </w:rPr>
        <w:noBreakHyphen/>
        <w:t>ra vagy 800 mg</w:t>
      </w:r>
      <w:r w:rsidRPr="00E72BFA">
        <w:rPr>
          <w:color w:val="000000"/>
          <w:lang w:val="hu-HU"/>
        </w:rPr>
        <w:noBreakHyphen/>
        <w:t>ról 600 mg</w:t>
      </w:r>
      <w:r w:rsidRPr="00E72BFA">
        <w:rPr>
          <w:color w:val="000000"/>
          <w:lang w:val="hu-HU"/>
        </w:rPr>
        <w:noBreakHyphen/>
        <w:t>ra, gyermekeknél pedig 340 mg</w:t>
      </w:r>
      <w:r w:rsidR="00484B84" w:rsidRPr="00E72BFA">
        <w:rPr>
          <w:color w:val="000000"/>
          <w:lang w:val="hu-HU"/>
        </w:rPr>
        <w:t>/m</w:t>
      </w:r>
      <w:r w:rsidR="00484B84" w:rsidRPr="00E72BFA">
        <w:rPr>
          <w:color w:val="000000"/>
          <w:vertAlign w:val="superscript"/>
          <w:lang w:val="hu-HU"/>
        </w:rPr>
        <w:t>2</w:t>
      </w:r>
      <w:r w:rsidR="00484B84" w:rsidRPr="00E72BFA">
        <w:rPr>
          <w:color w:val="000000"/>
          <w:lang w:val="hu-HU"/>
        </w:rPr>
        <w:t>/nap</w:t>
      </w:r>
      <w:r w:rsidRPr="00E72BFA">
        <w:rPr>
          <w:color w:val="000000"/>
          <w:lang w:val="hu-HU"/>
        </w:rPr>
        <w:t>ról 260 mg/m</w:t>
      </w:r>
      <w:r w:rsidRPr="00E72BFA">
        <w:rPr>
          <w:color w:val="000000"/>
          <w:vertAlign w:val="superscript"/>
          <w:lang w:val="hu-HU"/>
        </w:rPr>
        <w:t>2</w:t>
      </w:r>
      <w:r w:rsidRPr="00E72BFA">
        <w:rPr>
          <w:color w:val="000000"/>
          <w:lang w:val="hu-HU"/>
        </w:rPr>
        <w:t>/napra csökkentendő.</w:t>
      </w:r>
    </w:p>
    <w:p w14:paraId="2A917DA4" w14:textId="77777777" w:rsidR="0000287A" w:rsidRPr="00556B9B" w:rsidRDefault="0000287A" w:rsidP="0000287A">
      <w:pPr>
        <w:spacing w:line="240" w:lineRule="auto"/>
        <w:rPr>
          <w:color w:val="000000"/>
          <w:u w:val="single"/>
          <w:lang w:val="hu-HU"/>
        </w:rPr>
      </w:pPr>
    </w:p>
    <w:p w14:paraId="2A8DD765" w14:textId="77777777" w:rsidR="0000287A" w:rsidRPr="00556B9B" w:rsidRDefault="0000287A" w:rsidP="0000287A">
      <w:pPr>
        <w:pStyle w:val="Heading6"/>
        <w:numPr>
          <w:ilvl w:val="0"/>
          <w:numId w:val="0"/>
        </w:numPr>
        <w:tabs>
          <w:tab w:val="clear" w:pos="567"/>
          <w:tab w:val="clear" w:pos="4536"/>
        </w:tabs>
        <w:spacing w:line="240" w:lineRule="auto"/>
        <w:rPr>
          <w:color w:val="000000"/>
          <w:lang w:val="hu-HU"/>
        </w:rPr>
      </w:pPr>
      <w:r w:rsidRPr="00556B9B">
        <w:rPr>
          <w:color w:val="000000"/>
          <w:lang w:val="hu-HU"/>
        </w:rPr>
        <w:t>Hematológiai mellékhatások</w:t>
      </w:r>
    </w:p>
    <w:p w14:paraId="1E8CF6DD" w14:textId="77777777" w:rsidR="0000287A" w:rsidRPr="00556B9B" w:rsidRDefault="0000287A" w:rsidP="0000287A">
      <w:pPr>
        <w:spacing w:line="240" w:lineRule="auto"/>
        <w:rPr>
          <w:color w:val="000000"/>
          <w:lang w:val="hu-HU"/>
        </w:rPr>
      </w:pPr>
      <w:r w:rsidRPr="00556B9B">
        <w:rPr>
          <w:color w:val="000000"/>
          <w:lang w:val="hu-HU"/>
        </w:rPr>
        <w:t>Súlyos neutropenia és thrombocytopenia esetén adagcsökkentés vagy a kezelés megszakítása javasolt az alábbi táblázat szerint.</w:t>
      </w:r>
    </w:p>
    <w:p w14:paraId="20E74677" w14:textId="77777777" w:rsidR="0000287A" w:rsidRPr="00556B9B" w:rsidRDefault="0000287A" w:rsidP="0000287A">
      <w:pPr>
        <w:spacing w:line="240" w:lineRule="auto"/>
        <w:rPr>
          <w:color w:val="000000"/>
          <w:lang w:val="hu-HU"/>
        </w:rPr>
      </w:pPr>
    </w:p>
    <w:p w14:paraId="63871653" w14:textId="77777777" w:rsidR="0000287A" w:rsidRPr="00556B9B" w:rsidRDefault="0000287A" w:rsidP="00F926B9">
      <w:pPr>
        <w:keepNext/>
        <w:spacing w:line="240" w:lineRule="auto"/>
        <w:rPr>
          <w:bCs/>
          <w:color w:val="000000"/>
          <w:lang w:val="hu-HU"/>
        </w:rPr>
      </w:pPr>
      <w:r w:rsidRPr="00556B9B">
        <w:rPr>
          <w:bCs/>
          <w:color w:val="000000"/>
          <w:lang w:val="hu-HU"/>
        </w:rPr>
        <w:t>Dózismódosítás neutropenia és thrombocytopenia esetén:</w:t>
      </w:r>
    </w:p>
    <w:p w14:paraId="507058D9" w14:textId="77777777" w:rsidR="0000287A" w:rsidRPr="00556B9B" w:rsidRDefault="0000287A" w:rsidP="00F926B9">
      <w:pPr>
        <w:keepNext/>
        <w:spacing w:line="240" w:lineRule="auto"/>
        <w:rPr>
          <w:bCs/>
          <w:color w:val="000000"/>
          <w:lang w:val="hu-HU"/>
        </w:rPr>
      </w:pPr>
    </w:p>
    <w:tbl>
      <w:tblPr>
        <w:tblW w:w="9215" w:type="dxa"/>
        <w:tblLayout w:type="fixed"/>
        <w:tblCellMar>
          <w:left w:w="0" w:type="dxa"/>
          <w:right w:w="0" w:type="dxa"/>
        </w:tblCellMar>
        <w:tblLook w:val="0000" w:firstRow="0" w:lastRow="0" w:firstColumn="0" w:lastColumn="0" w:noHBand="0" w:noVBand="0"/>
      </w:tblPr>
      <w:tblGrid>
        <w:gridCol w:w="6"/>
        <w:gridCol w:w="2370"/>
        <w:gridCol w:w="2303"/>
        <w:gridCol w:w="4536"/>
      </w:tblGrid>
      <w:tr w:rsidR="00B3525B" w:rsidRPr="001D3D33" w14:paraId="77BCB9DF" w14:textId="77777777" w:rsidTr="00F926B9">
        <w:trPr>
          <w:cantSplit/>
        </w:trPr>
        <w:tc>
          <w:tcPr>
            <w:tcW w:w="2376" w:type="dxa"/>
            <w:gridSpan w:val="2"/>
          </w:tcPr>
          <w:p w14:paraId="010D6FDA" w14:textId="77777777" w:rsidR="0000287A" w:rsidRPr="00556B9B" w:rsidRDefault="0000287A" w:rsidP="00A77270">
            <w:pPr>
              <w:spacing w:line="240" w:lineRule="auto"/>
              <w:ind w:left="108"/>
              <w:rPr>
                <w:color w:val="000000"/>
                <w:lang w:val="hu-HU"/>
              </w:rPr>
            </w:pPr>
            <w:r w:rsidRPr="00556B9B">
              <w:rPr>
                <w:color w:val="000000"/>
                <w:lang w:val="hu-HU"/>
              </w:rPr>
              <w:t>HES/</w:t>
            </w:r>
            <w:smartTag w:uri="urn:schemas-microsoft-com:office:smarttags" w:element="stockticker">
              <w:r w:rsidRPr="00556B9B">
                <w:rPr>
                  <w:color w:val="000000"/>
                  <w:lang w:val="hu-HU"/>
                </w:rPr>
                <w:t>CEL</w:t>
              </w:r>
            </w:smartTag>
            <w:r w:rsidRPr="00556B9B">
              <w:rPr>
                <w:color w:val="000000"/>
                <w:lang w:val="hu-HU"/>
              </w:rPr>
              <w:t xml:space="preserve"> (kezdő adag 100 mg)</w:t>
            </w:r>
          </w:p>
        </w:tc>
        <w:tc>
          <w:tcPr>
            <w:tcW w:w="2303" w:type="dxa"/>
          </w:tcPr>
          <w:p w14:paraId="7B88AAB3" w14:textId="77777777" w:rsidR="0000287A" w:rsidRPr="00556B9B" w:rsidRDefault="0000287A" w:rsidP="00A77270">
            <w:pPr>
              <w:spacing w:line="240" w:lineRule="auto"/>
              <w:ind w:left="142"/>
              <w:rPr>
                <w:color w:val="000000"/>
                <w:lang w:val="hu-HU"/>
              </w:rPr>
            </w:pPr>
            <w:r w:rsidRPr="00556B9B">
              <w:rPr>
                <w:color w:val="000000"/>
                <w:lang w:val="hu-HU"/>
              </w:rPr>
              <w:t>ANC &lt; 1,0 x 10</w:t>
            </w:r>
            <w:r w:rsidRPr="00556B9B">
              <w:rPr>
                <w:color w:val="000000"/>
                <w:vertAlign w:val="superscript"/>
                <w:lang w:val="hu-HU"/>
              </w:rPr>
              <w:t>9</w:t>
            </w:r>
            <w:r w:rsidRPr="00556B9B">
              <w:rPr>
                <w:color w:val="000000"/>
                <w:lang w:val="hu-HU"/>
              </w:rPr>
              <w:t>/l</w:t>
            </w:r>
          </w:p>
          <w:p w14:paraId="4509912F" w14:textId="77777777" w:rsidR="0000287A" w:rsidRPr="00556B9B" w:rsidRDefault="0000287A" w:rsidP="00A77270">
            <w:pPr>
              <w:spacing w:line="240" w:lineRule="auto"/>
              <w:ind w:left="142"/>
              <w:rPr>
                <w:color w:val="000000"/>
                <w:lang w:val="hu-HU"/>
              </w:rPr>
            </w:pPr>
            <w:r w:rsidRPr="00556B9B">
              <w:rPr>
                <w:color w:val="000000"/>
                <w:lang w:val="hu-HU"/>
              </w:rPr>
              <w:t>és/vagy</w:t>
            </w:r>
          </w:p>
          <w:p w14:paraId="1B139CB5" w14:textId="77777777" w:rsidR="0000287A" w:rsidRPr="00556B9B" w:rsidRDefault="0000287A" w:rsidP="00A77270">
            <w:pPr>
              <w:spacing w:line="240" w:lineRule="auto"/>
              <w:ind w:left="142"/>
              <w:rPr>
                <w:color w:val="000000"/>
                <w:lang w:val="hu-HU"/>
              </w:rPr>
            </w:pPr>
            <w:r w:rsidRPr="00556B9B">
              <w:rPr>
                <w:color w:val="000000"/>
                <w:lang w:val="hu-HU"/>
              </w:rPr>
              <w:t>thrombocytaszám</w:t>
            </w:r>
          </w:p>
          <w:p w14:paraId="5A6F7D0E" w14:textId="77777777" w:rsidR="0000287A" w:rsidRPr="00556B9B" w:rsidRDefault="0000287A" w:rsidP="00A77270">
            <w:pPr>
              <w:spacing w:line="240" w:lineRule="auto"/>
              <w:ind w:left="142"/>
              <w:rPr>
                <w:color w:val="000000"/>
                <w:lang w:val="hu-HU"/>
              </w:rPr>
            </w:pPr>
            <w:r w:rsidRPr="00556B9B">
              <w:rPr>
                <w:color w:val="000000"/>
                <w:lang w:val="hu-HU"/>
              </w:rPr>
              <w:t>&lt; 50 x 10</w:t>
            </w:r>
            <w:r w:rsidRPr="00556B9B">
              <w:rPr>
                <w:color w:val="000000"/>
                <w:vertAlign w:val="superscript"/>
                <w:lang w:val="hu-HU"/>
              </w:rPr>
              <w:t>9</w:t>
            </w:r>
            <w:r w:rsidRPr="00556B9B">
              <w:rPr>
                <w:color w:val="000000"/>
                <w:lang w:val="hu-HU"/>
              </w:rPr>
              <w:t>/l</w:t>
            </w:r>
          </w:p>
        </w:tc>
        <w:tc>
          <w:tcPr>
            <w:tcW w:w="4536" w:type="dxa"/>
          </w:tcPr>
          <w:p w14:paraId="021D6FDC"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1</w:t>
            </w:r>
            <w:r w:rsidR="00CD28C7" w:rsidRPr="00556B9B">
              <w:rPr>
                <w:color w:val="000000"/>
                <w:lang w:val="hu-HU"/>
              </w:rPr>
              <w:t>.</w:t>
            </w:r>
            <w:r w:rsidRPr="00556B9B">
              <w:rPr>
                <w:color w:val="000000"/>
                <w:lang w:val="hu-HU"/>
              </w:rPr>
              <w:tab/>
              <w:t>Állítsa le a Glivec</w:t>
            </w:r>
            <w:r w:rsidRPr="00556B9B">
              <w:rPr>
                <w:color w:val="000000"/>
                <w:lang w:val="hu-HU"/>
              </w:rPr>
              <w:noBreakHyphen/>
              <w:t xml:space="preserve">kezelést, amíg az ANC </w:t>
            </w:r>
            <w:r w:rsidRPr="00556B9B">
              <w:rPr>
                <w:color w:val="000000"/>
                <w:lang w:val="hu-HU"/>
              </w:rPr>
              <w:sym w:font="Symbol" w:char="F0B3"/>
            </w:r>
            <w:r w:rsidRPr="00556B9B">
              <w:rPr>
                <w:color w:val="000000"/>
                <w:lang w:val="hu-HU"/>
              </w:rPr>
              <w:t> 1,5 x 10</w:t>
            </w:r>
            <w:r w:rsidRPr="00556B9B">
              <w:rPr>
                <w:color w:val="000000"/>
                <w:vertAlign w:val="superscript"/>
                <w:lang w:val="hu-HU"/>
              </w:rPr>
              <w:t>9</w:t>
            </w:r>
            <w:r w:rsidRPr="00556B9B">
              <w:rPr>
                <w:color w:val="000000"/>
                <w:lang w:val="hu-HU"/>
              </w:rPr>
              <w:t xml:space="preserve">/l és a thrombocytaszám </w:t>
            </w:r>
            <w:r w:rsidRPr="00556B9B">
              <w:rPr>
                <w:color w:val="000000"/>
                <w:lang w:val="hu-HU"/>
              </w:rPr>
              <w:sym w:font="Symbol" w:char="F0B3"/>
            </w:r>
            <w:r w:rsidRPr="00556B9B">
              <w:rPr>
                <w:color w:val="000000"/>
                <w:lang w:val="hu-HU"/>
              </w:rPr>
              <w:t> 75 x 10</w:t>
            </w:r>
            <w:r w:rsidRPr="00556B9B">
              <w:rPr>
                <w:color w:val="000000"/>
                <w:vertAlign w:val="superscript"/>
                <w:lang w:val="hu-HU"/>
              </w:rPr>
              <w:t>9</w:t>
            </w:r>
            <w:r w:rsidRPr="00556B9B">
              <w:rPr>
                <w:color w:val="000000"/>
                <w:lang w:val="hu-HU"/>
              </w:rPr>
              <w:t>/l.</w:t>
            </w:r>
          </w:p>
          <w:p w14:paraId="3E59025F"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2.</w:t>
            </w:r>
            <w:r w:rsidRPr="00556B9B">
              <w:rPr>
                <w:color w:val="000000"/>
                <w:lang w:val="hu-HU"/>
              </w:rPr>
              <w:tab/>
              <w:t>Kezdje újra a Glivec-kezelést a korábban (tehát a súlyos mellékhatás megjelenése előtt) alkalmazott adaggal.</w:t>
            </w:r>
          </w:p>
        </w:tc>
      </w:tr>
      <w:tr w:rsidR="00B3525B" w:rsidRPr="001D3D33" w14:paraId="59F901AE" w14:textId="77777777" w:rsidTr="00F926B9">
        <w:trPr>
          <w:cantSplit/>
        </w:trPr>
        <w:tc>
          <w:tcPr>
            <w:tcW w:w="2376" w:type="dxa"/>
            <w:gridSpan w:val="2"/>
          </w:tcPr>
          <w:p w14:paraId="1E339C2C" w14:textId="77777777" w:rsidR="0000287A" w:rsidRPr="00556B9B" w:rsidRDefault="0000287A" w:rsidP="00A77270">
            <w:pPr>
              <w:spacing w:line="240" w:lineRule="auto"/>
              <w:ind w:left="108"/>
              <w:rPr>
                <w:color w:val="000000"/>
                <w:lang w:val="hu-HU"/>
              </w:rPr>
            </w:pPr>
            <w:r w:rsidRPr="00556B9B">
              <w:rPr>
                <w:color w:val="000000"/>
                <w:lang w:val="hu-HU"/>
              </w:rPr>
              <w:t xml:space="preserve">CML krónikus fázis, </w:t>
            </w:r>
            <w:smartTag w:uri="urn:schemas-microsoft-com:office:smarttags" w:element="stockticker">
              <w:r w:rsidRPr="00556B9B">
                <w:rPr>
                  <w:color w:val="000000"/>
                  <w:lang w:val="hu-HU"/>
                </w:rPr>
                <w:t>MDS</w:t>
              </w:r>
            </w:smartTag>
            <w:r w:rsidRPr="00556B9B">
              <w:rPr>
                <w:color w:val="000000"/>
                <w:lang w:val="hu-HU"/>
              </w:rPr>
              <w:t>/MPD és GIST (kezdő adag 400 mg)</w:t>
            </w:r>
          </w:p>
          <w:p w14:paraId="3CFAF6B6" w14:textId="77777777" w:rsidR="0000287A" w:rsidRPr="00556B9B" w:rsidRDefault="0000287A" w:rsidP="00A77270">
            <w:pPr>
              <w:spacing w:line="240" w:lineRule="auto"/>
              <w:ind w:left="108"/>
              <w:rPr>
                <w:color w:val="000000"/>
                <w:lang w:val="hu-HU"/>
              </w:rPr>
            </w:pPr>
            <w:r w:rsidRPr="00556B9B">
              <w:rPr>
                <w:color w:val="000000"/>
                <w:lang w:val="hu-HU"/>
              </w:rPr>
              <w:t>HES/</w:t>
            </w:r>
            <w:smartTag w:uri="urn:schemas-microsoft-com:office:smarttags" w:element="stockticker">
              <w:r w:rsidRPr="00556B9B">
                <w:rPr>
                  <w:color w:val="000000"/>
                  <w:lang w:val="hu-HU"/>
                </w:rPr>
                <w:t>CEL</w:t>
              </w:r>
            </w:smartTag>
            <w:r w:rsidRPr="00556B9B">
              <w:rPr>
                <w:color w:val="000000"/>
                <w:lang w:val="hu-HU"/>
              </w:rPr>
              <w:t xml:space="preserve"> (400 mg</w:t>
            </w:r>
            <w:r w:rsidRPr="00556B9B">
              <w:rPr>
                <w:color w:val="000000"/>
                <w:lang w:val="hu-HU"/>
              </w:rPr>
              <w:noBreakHyphen/>
              <w:t>os adag)</w:t>
            </w:r>
          </w:p>
        </w:tc>
        <w:tc>
          <w:tcPr>
            <w:tcW w:w="2303" w:type="dxa"/>
          </w:tcPr>
          <w:p w14:paraId="02D77CD6" w14:textId="77777777" w:rsidR="0000287A" w:rsidRPr="00556B9B" w:rsidRDefault="0000287A" w:rsidP="00A77270">
            <w:pPr>
              <w:spacing w:line="240" w:lineRule="auto"/>
              <w:ind w:left="142"/>
              <w:rPr>
                <w:color w:val="000000"/>
                <w:lang w:val="hu-HU"/>
              </w:rPr>
            </w:pPr>
            <w:r w:rsidRPr="00556B9B">
              <w:rPr>
                <w:color w:val="000000"/>
                <w:lang w:val="hu-HU"/>
              </w:rPr>
              <w:t>ANC &lt; 1,0 x 10</w:t>
            </w:r>
            <w:r w:rsidRPr="00556B9B">
              <w:rPr>
                <w:color w:val="000000"/>
                <w:vertAlign w:val="superscript"/>
                <w:lang w:val="hu-HU"/>
              </w:rPr>
              <w:t>9</w:t>
            </w:r>
            <w:r w:rsidRPr="00556B9B">
              <w:rPr>
                <w:color w:val="000000"/>
                <w:lang w:val="hu-HU"/>
              </w:rPr>
              <w:t>/l</w:t>
            </w:r>
          </w:p>
          <w:p w14:paraId="1FDCD39E" w14:textId="77777777" w:rsidR="0000287A" w:rsidRPr="00556B9B" w:rsidRDefault="0000287A" w:rsidP="00A77270">
            <w:pPr>
              <w:spacing w:line="240" w:lineRule="auto"/>
              <w:ind w:left="142"/>
              <w:rPr>
                <w:color w:val="000000"/>
                <w:lang w:val="hu-HU"/>
              </w:rPr>
            </w:pPr>
            <w:r w:rsidRPr="00556B9B">
              <w:rPr>
                <w:color w:val="000000"/>
                <w:lang w:val="hu-HU"/>
              </w:rPr>
              <w:t>és/vagy</w:t>
            </w:r>
          </w:p>
          <w:p w14:paraId="75AF1EE0" w14:textId="77777777" w:rsidR="0000287A" w:rsidRPr="00556B9B" w:rsidRDefault="0000287A" w:rsidP="00A77270">
            <w:pPr>
              <w:spacing w:line="240" w:lineRule="auto"/>
              <w:ind w:left="142"/>
              <w:rPr>
                <w:color w:val="000000"/>
                <w:lang w:val="hu-HU"/>
              </w:rPr>
            </w:pPr>
            <w:r w:rsidRPr="00556B9B">
              <w:rPr>
                <w:color w:val="000000"/>
                <w:lang w:val="hu-HU"/>
              </w:rPr>
              <w:t>thrombocytaszám</w:t>
            </w:r>
          </w:p>
          <w:p w14:paraId="5A407D58" w14:textId="77777777" w:rsidR="0000287A" w:rsidRPr="00556B9B" w:rsidRDefault="0000287A" w:rsidP="00A77270">
            <w:pPr>
              <w:spacing w:line="240" w:lineRule="auto"/>
              <w:ind w:left="142"/>
              <w:rPr>
                <w:color w:val="000000"/>
                <w:lang w:val="hu-HU"/>
              </w:rPr>
            </w:pPr>
            <w:r w:rsidRPr="00556B9B">
              <w:rPr>
                <w:color w:val="000000"/>
                <w:lang w:val="hu-HU"/>
              </w:rPr>
              <w:t>&lt; 50 x 10</w:t>
            </w:r>
            <w:r w:rsidRPr="00556B9B">
              <w:rPr>
                <w:color w:val="000000"/>
                <w:vertAlign w:val="superscript"/>
                <w:lang w:val="hu-HU"/>
              </w:rPr>
              <w:t>9</w:t>
            </w:r>
            <w:r w:rsidRPr="00556B9B">
              <w:rPr>
                <w:color w:val="000000"/>
                <w:lang w:val="hu-HU"/>
              </w:rPr>
              <w:t>/l</w:t>
            </w:r>
          </w:p>
        </w:tc>
        <w:tc>
          <w:tcPr>
            <w:tcW w:w="4536" w:type="dxa"/>
          </w:tcPr>
          <w:p w14:paraId="7715907A"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1.</w:t>
            </w:r>
            <w:r w:rsidRPr="00556B9B">
              <w:rPr>
                <w:color w:val="000000"/>
                <w:lang w:val="hu-HU"/>
              </w:rPr>
              <w:tab/>
              <w:t>Állítsa le a Glivec</w:t>
            </w:r>
            <w:r w:rsidRPr="00556B9B">
              <w:rPr>
                <w:color w:val="000000"/>
                <w:lang w:val="hu-HU"/>
              </w:rPr>
              <w:noBreakHyphen/>
              <w:t xml:space="preserve">kezelést, amíg az ANC </w:t>
            </w:r>
            <w:r w:rsidRPr="00556B9B">
              <w:rPr>
                <w:color w:val="000000"/>
                <w:lang w:val="hu-HU"/>
              </w:rPr>
              <w:sym w:font="Symbol" w:char="F0B3"/>
            </w:r>
            <w:r w:rsidRPr="00556B9B">
              <w:rPr>
                <w:color w:val="000000"/>
                <w:lang w:val="hu-HU"/>
              </w:rPr>
              <w:t> 1,5 x 10</w:t>
            </w:r>
            <w:r w:rsidRPr="00556B9B">
              <w:rPr>
                <w:color w:val="000000"/>
                <w:vertAlign w:val="superscript"/>
                <w:lang w:val="hu-HU"/>
              </w:rPr>
              <w:t>9</w:t>
            </w:r>
            <w:r w:rsidRPr="00556B9B">
              <w:rPr>
                <w:color w:val="000000"/>
                <w:lang w:val="hu-HU"/>
              </w:rPr>
              <w:t xml:space="preserve">/l és a thrombocytaszám </w:t>
            </w:r>
            <w:r w:rsidRPr="00556B9B">
              <w:rPr>
                <w:color w:val="000000"/>
                <w:lang w:val="hu-HU"/>
              </w:rPr>
              <w:sym w:font="Symbol" w:char="F0B3"/>
            </w:r>
            <w:r w:rsidRPr="00556B9B">
              <w:rPr>
                <w:color w:val="000000"/>
                <w:lang w:val="hu-HU"/>
              </w:rPr>
              <w:t> 75 x 10</w:t>
            </w:r>
            <w:r w:rsidRPr="00556B9B">
              <w:rPr>
                <w:color w:val="000000"/>
                <w:vertAlign w:val="superscript"/>
                <w:lang w:val="hu-HU"/>
              </w:rPr>
              <w:t>9</w:t>
            </w:r>
            <w:r w:rsidRPr="00556B9B">
              <w:rPr>
                <w:color w:val="000000"/>
                <w:lang w:val="hu-HU"/>
              </w:rPr>
              <w:t>/l.</w:t>
            </w:r>
          </w:p>
          <w:p w14:paraId="11548DA9"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2.</w:t>
            </w:r>
            <w:r w:rsidRPr="00556B9B">
              <w:rPr>
                <w:color w:val="000000"/>
                <w:lang w:val="hu-HU"/>
              </w:rPr>
              <w:tab/>
              <w:t>Kezdje újra a Glivec</w:t>
            </w:r>
            <w:r w:rsidRPr="00556B9B">
              <w:rPr>
                <w:color w:val="000000"/>
                <w:lang w:val="hu-HU"/>
              </w:rPr>
              <w:noBreakHyphen/>
              <w:t>kezelést a korábban (tehát a súlyos mellékhatás megjelenése előtt) alkalmazott adaggal.</w:t>
            </w:r>
          </w:p>
          <w:p w14:paraId="73CB5140"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3.</w:t>
            </w:r>
            <w:r w:rsidRPr="00556B9B">
              <w:rPr>
                <w:color w:val="000000"/>
                <w:lang w:val="hu-HU"/>
              </w:rPr>
              <w:tab/>
              <w:t>Ha az ANC ismét &lt; 1,0 x 10</w:t>
            </w:r>
            <w:r w:rsidRPr="00556B9B">
              <w:rPr>
                <w:color w:val="000000"/>
                <w:vertAlign w:val="superscript"/>
                <w:lang w:val="hu-HU"/>
              </w:rPr>
              <w:t>9</w:t>
            </w:r>
            <w:r w:rsidRPr="00556B9B">
              <w:rPr>
                <w:color w:val="000000"/>
                <w:lang w:val="hu-HU"/>
              </w:rPr>
              <w:t>/l, és/vagy a thrombocytaszám ismét &lt; 50 x 10</w:t>
            </w:r>
            <w:r w:rsidRPr="00556B9B">
              <w:rPr>
                <w:color w:val="000000"/>
                <w:vertAlign w:val="superscript"/>
                <w:lang w:val="hu-HU"/>
              </w:rPr>
              <w:t>9</w:t>
            </w:r>
            <w:r w:rsidRPr="00556B9B">
              <w:rPr>
                <w:color w:val="000000"/>
                <w:lang w:val="hu-HU"/>
              </w:rPr>
              <w:t>/l, az 1. pont szerint járjon el, majd a Glivec</w:t>
            </w:r>
            <w:r w:rsidRPr="00556B9B">
              <w:rPr>
                <w:color w:val="000000"/>
                <w:lang w:val="hu-HU"/>
              </w:rPr>
              <w:noBreakHyphen/>
              <w:t>kezelést 300 mg</w:t>
            </w:r>
            <w:r w:rsidRPr="00556B9B">
              <w:rPr>
                <w:color w:val="000000"/>
                <w:lang w:val="hu-HU"/>
              </w:rPr>
              <w:noBreakHyphen/>
              <w:t>ra csökkentett adaggal kezdje újra.</w:t>
            </w:r>
          </w:p>
        </w:tc>
      </w:tr>
      <w:tr w:rsidR="00B3525B" w:rsidRPr="001D3D33" w14:paraId="1DB1E23C" w14:textId="77777777" w:rsidTr="00F926B9">
        <w:trPr>
          <w:cantSplit/>
        </w:trPr>
        <w:tc>
          <w:tcPr>
            <w:tcW w:w="2376" w:type="dxa"/>
            <w:gridSpan w:val="2"/>
          </w:tcPr>
          <w:p w14:paraId="40C24CBF" w14:textId="50CE2921" w:rsidR="0000287A" w:rsidRPr="00E72BFA" w:rsidRDefault="0000287A" w:rsidP="00A77270">
            <w:pPr>
              <w:spacing w:line="240" w:lineRule="auto"/>
              <w:ind w:left="108"/>
              <w:rPr>
                <w:color w:val="000000"/>
                <w:lang w:val="hu-HU"/>
              </w:rPr>
            </w:pPr>
            <w:r w:rsidRPr="00E72BFA">
              <w:rPr>
                <w:color w:val="000000"/>
                <w:lang w:val="hu-HU"/>
              </w:rPr>
              <w:lastRenderedPageBreak/>
              <w:t>Gyermek</w:t>
            </w:r>
            <w:r w:rsidR="00F927FA" w:rsidRPr="00E72BFA">
              <w:rPr>
                <w:color w:val="000000"/>
                <w:lang w:val="hu-HU"/>
              </w:rPr>
              <w:t>- és serdülőkori</w:t>
            </w:r>
            <w:r w:rsidRPr="00E72BFA">
              <w:rPr>
                <w:color w:val="000000"/>
                <w:lang w:val="hu-HU"/>
              </w:rPr>
              <w:t xml:space="preserve"> CML krónikus fázis</w:t>
            </w:r>
          </w:p>
          <w:p w14:paraId="790721BC" w14:textId="77777777" w:rsidR="0000287A" w:rsidRPr="00556B9B" w:rsidRDefault="0000287A" w:rsidP="00A77270">
            <w:pPr>
              <w:spacing w:line="240" w:lineRule="auto"/>
              <w:ind w:left="108"/>
              <w:rPr>
                <w:color w:val="000000"/>
                <w:lang w:val="hu-HU"/>
              </w:rPr>
            </w:pPr>
            <w:r w:rsidRPr="00E72BFA">
              <w:rPr>
                <w:color w:val="000000"/>
                <w:lang w:val="hu-HU"/>
              </w:rPr>
              <w:t>(340 mg</w:t>
            </w:r>
            <w:r w:rsidRPr="00556B9B">
              <w:rPr>
                <w:color w:val="000000"/>
                <w:lang w:val="hu-HU"/>
              </w:rPr>
              <w:t>/m</w:t>
            </w:r>
            <w:r w:rsidRPr="00556B9B">
              <w:rPr>
                <w:color w:val="000000"/>
                <w:vertAlign w:val="superscript"/>
                <w:lang w:val="hu-HU"/>
              </w:rPr>
              <w:t>2</w:t>
            </w:r>
            <w:r w:rsidRPr="00556B9B">
              <w:rPr>
                <w:color w:val="000000"/>
                <w:lang w:val="hu-HU"/>
              </w:rPr>
              <w:t xml:space="preserve"> adagban)</w:t>
            </w:r>
          </w:p>
        </w:tc>
        <w:tc>
          <w:tcPr>
            <w:tcW w:w="2303" w:type="dxa"/>
          </w:tcPr>
          <w:p w14:paraId="21A62E26" w14:textId="77777777" w:rsidR="0000287A" w:rsidRPr="00556B9B" w:rsidRDefault="0000287A" w:rsidP="00A77270">
            <w:pPr>
              <w:spacing w:line="240" w:lineRule="auto"/>
              <w:ind w:left="142"/>
              <w:rPr>
                <w:color w:val="000000"/>
                <w:lang w:val="hu-HU"/>
              </w:rPr>
            </w:pPr>
            <w:r w:rsidRPr="00556B9B">
              <w:rPr>
                <w:color w:val="000000"/>
                <w:lang w:val="hu-HU"/>
              </w:rPr>
              <w:t>ANC &lt; 1,0 x 10</w:t>
            </w:r>
            <w:r w:rsidRPr="00556B9B">
              <w:rPr>
                <w:color w:val="000000"/>
                <w:vertAlign w:val="superscript"/>
                <w:lang w:val="hu-HU"/>
              </w:rPr>
              <w:t>9</w:t>
            </w:r>
            <w:r w:rsidRPr="00556B9B">
              <w:rPr>
                <w:color w:val="000000"/>
                <w:lang w:val="hu-HU"/>
              </w:rPr>
              <w:t>/l</w:t>
            </w:r>
          </w:p>
          <w:p w14:paraId="7F451D3A" w14:textId="77777777" w:rsidR="0000287A" w:rsidRPr="00556B9B" w:rsidRDefault="0000287A" w:rsidP="00A77270">
            <w:pPr>
              <w:spacing w:line="240" w:lineRule="auto"/>
              <w:ind w:left="142"/>
              <w:rPr>
                <w:color w:val="000000"/>
                <w:lang w:val="hu-HU"/>
              </w:rPr>
            </w:pPr>
            <w:r w:rsidRPr="00556B9B">
              <w:rPr>
                <w:color w:val="000000"/>
                <w:lang w:val="hu-HU"/>
              </w:rPr>
              <w:t>és/vagy</w:t>
            </w:r>
          </w:p>
          <w:p w14:paraId="197F2778" w14:textId="77777777" w:rsidR="0000287A" w:rsidRPr="00556B9B" w:rsidRDefault="0000287A" w:rsidP="00A77270">
            <w:pPr>
              <w:spacing w:line="240" w:lineRule="auto"/>
              <w:ind w:left="142"/>
              <w:rPr>
                <w:color w:val="000000"/>
                <w:lang w:val="hu-HU"/>
              </w:rPr>
            </w:pPr>
            <w:r w:rsidRPr="00556B9B">
              <w:rPr>
                <w:color w:val="000000"/>
                <w:lang w:val="hu-HU"/>
              </w:rPr>
              <w:t>thrombocytaszám &lt; 50 x 10</w:t>
            </w:r>
            <w:r w:rsidRPr="00556B9B">
              <w:rPr>
                <w:color w:val="000000"/>
                <w:vertAlign w:val="superscript"/>
                <w:lang w:val="hu-HU"/>
              </w:rPr>
              <w:t>9</w:t>
            </w:r>
            <w:r w:rsidRPr="00556B9B">
              <w:rPr>
                <w:color w:val="000000"/>
                <w:lang w:val="hu-HU"/>
              </w:rPr>
              <w:t>/l</w:t>
            </w:r>
          </w:p>
        </w:tc>
        <w:tc>
          <w:tcPr>
            <w:tcW w:w="4536" w:type="dxa"/>
          </w:tcPr>
          <w:p w14:paraId="3E19E190" w14:textId="77777777" w:rsidR="0000287A" w:rsidRPr="00556B9B" w:rsidRDefault="0000287A" w:rsidP="00A77270">
            <w:pPr>
              <w:pStyle w:val="Table"/>
              <w:keepNext w:val="0"/>
              <w:tabs>
                <w:tab w:val="clear" w:pos="284"/>
                <w:tab w:val="left" w:pos="709"/>
              </w:tabs>
              <w:spacing w:before="0" w:after="0"/>
              <w:ind w:left="726" w:hanging="584"/>
              <w:rPr>
                <w:rFonts w:ascii="Times New Roman" w:hAnsi="Times New Roman"/>
                <w:color w:val="000000"/>
                <w:sz w:val="22"/>
                <w:szCs w:val="22"/>
                <w:lang w:val="hu-HU"/>
              </w:rPr>
            </w:pPr>
            <w:r w:rsidRPr="00556B9B">
              <w:rPr>
                <w:rFonts w:ascii="Times New Roman" w:hAnsi="Times New Roman"/>
                <w:color w:val="000000"/>
                <w:sz w:val="22"/>
                <w:szCs w:val="22"/>
                <w:lang w:val="hu-HU"/>
              </w:rPr>
              <w:t>1.</w:t>
            </w:r>
            <w:r w:rsidRPr="00556B9B">
              <w:rPr>
                <w:rFonts w:ascii="Times New Roman" w:hAnsi="Times New Roman"/>
                <w:color w:val="000000"/>
                <w:sz w:val="22"/>
                <w:szCs w:val="22"/>
                <w:lang w:val="hu-HU"/>
              </w:rPr>
              <w:tab/>
              <w:t>Állítsa le a Glivec</w:t>
            </w:r>
            <w:r w:rsidRPr="00556B9B">
              <w:rPr>
                <w:rFonts w:ascii="Times New Roman" w:hAnsi="Times New Roman"/>
                <w:color w:val="000000"/>
                <w:sz w:val="22"/>
                <w:szCs w:val="22"/>
                <w:lang w:val="hu-HU"/>
              </w:rPr>
              <w:noBreakHyphen/>
              <w:t>kezelést, amíg az ANC </w:t>
            </w:r>
            <w:r w:rsidRPr="00556B9B">
              <w:rPr>
                <w:rFonts w:ascii="Times New Roman" w:hAnsi="Times New Roman"/>
                <w:color w:val="000000"/>
                <w:sz w:val="22"/>
                <w:szCs w:val="22"/>
                <w:lang w:val="en-GB"/>
              </w:rPr>
              <w:sym w:font="Symbol" w:char="F0B3"/>
            </w:r>
            <w:r w:rsidRPr="00556B9B">
              <w:rPr>
                <w:rFonts w:ascii="Times New Roman" w:hAnsi="Times New Roman"/>
                <w:color w:val="000000"/>
                <w:sz w:val="22"/>
                <w:szCs w:val="22"/>
                <w:lang w:val="hu-HU"/>
              </w:rPr>
              <w:t> 1,5 x 10</w:t>
            </w:r>
            <w:r w:rsidRPr="00556B9B">
              <w:rPr>
                <w:rFonts w:ascii="Times New Roman" w:hAnsi="Times New Roman"/>
                <w:color w:val="000000"/>
                <w:sz w:val="22"/>
                <w:szCs w:val="22"/>
                <w:vertAlign w:val="superscript"/>
                <w:lang w:val="hu-HU"/>
              </w:rPr>
              <w:t>9</w:t>
            </w:r>
            <w:r w:rsidRPr="00556B9B">
              <w:rPr>
                <w:rFonts w:ascii="Times New Roman" w:hAnsi="Times New Roman"/>
                <w:color w:val="000000"/>
                <w:sz w:val="22"/>
                <w:szCs w:val="22"/>
                <w:lang w:val="hu-HU"/>
              </w:rPr>
              <w:t>/l és a thrombocytaszám </w:t>
            </w:r>
            <w:r w:rsidRPr="00556B9B">
              <w:rPr>
                <w:rFonts w:ascii="Times New Roman" w:hAnsi="Times New Roman"/>
                <w:color w:val="000000"/>
                <w:sz w:val="22"/>
                <w:szCs w:val="22"/>
                <w:lang w:val="en-GB"/>
              </w:rPr>
              <w:sym w:font="Symbol" w:char="F0B3"/>
            </w:r>
            <w:r w:rsidRPr="00556B9B">
              <w:rPr>
                <w:rFonts w:ascii="Times New Roman" w:hAnsi="Times New Roman"/>
                <w:color w:val="000000"/>
                <w:sz w:val="22"/>
                <w:szCs w:val="22"/>
                <w:lang w:val="hu-HU"/>
              </w:rPr>
              <w:t> 75 x 10</w:t>
            </w:r>
            <w:r w:rsidRPr="00556B9B">
              <w:rPr>
                <w:rFonts w:ascii="Times New Roman" w:hAnsi="Times New Roman"/>
                <w:color w:val="000000"/>
                <w:sz w:val="22"/>
                <w:szCs w:val="22"/>
                <w:vertAlign w:val="superscript"/>
                <w:lang w:val="hu-HU"/>
              </w:rPr>
              <w:t>9</w:t>
            </w:r>
            <w:r w:rsidRPr="00556B9B">
              <w:rPr>
                <w:rFonts w:ascii="Times New Roman" w:hAnsi="Times New Roman"/>
                <w:color w:val="000000"/>
                <w:sz w:val="22"/>
                <w:szCs w:val="22"/>
                <w:lang w:val="hu-HU"/>
              </w:rPr>
              <w:t>/l.</w:t>
            </w:r>
          </w:p>
          <w:p w14:paraId="01EF2948" w14:textId="77777777" w:rsidR="0000287A" w:rsidRPr="00556B9B" w:rsidRDefault="0000287A" w:rsidP="00A77270">
            <w:pPr>
              <w:pStyle w:val="Table"/>
              <w:keepNext w:val="0"/>
              <w:tabs>
                <w:tab w:val="clear" w:pos="284"/>
                <w:tab w:val="left" w:pos="709"/>
              </w:tabs>
              <w:spacing w:before="0" w:after="0"/>
              <w:ind w:left="726" w:hanging="584"/>
              <w:rPr>
                <w:rFonts w:ascii="Times New Roman" w:hAnsi="Times New Roman"/>
                <w:color w:val="000000"/>
                <w:sz w:val="22"/>
                <w:szCs w:val="22"/>
                <w:lang w:val="hu-HU"/>
              </w:rPr>
            </w:pPr>
            <w:r w:rsidRPr="00556B9B">
              <w:rPr>
                <w:rFonts w:ascii="Times New Roman" w:hAnsi="Times New Roman"/>
                <w:color w:val="000000"/>
                <w:sz w:val="22"/>
                <w:szCs w:val="22"/>
                <w:lang w:val="hu-HU"/>
              </w:rPr>
              <w:t>2.</w:t>
            </w:r>
            <w:r w:rsidRPr="00556B9B">
              <w:rPr>
                <w:rFonts w:ascii="Times New Roman" w:hAnsi="Times New Roman"/>
                <w:color w:val="000000"/>
                <w:sz w:val="22"/>
                <w:szCs w:val="22"/>
                <w:lang w:val="hu-HU"/>
              </w:rPr>
              <w:tab/>
              <w:t>Kezdje újra a Glivec</w:t>
            </w:r>
            <w:r w:rsidRPr="00556B9B">
              <w:rPr>
                <w:rFonts w:ascii="Times New Roman" w:hAnsi="Times New Roman"/>
                <w:color w:val="000000"/>
                <w:sz w:val="22"/>
                <w:szCs w:val="22"/>
                <w:lang w:val="hu-HU"/>
              </w:rPr>
              <w:noBreakHyphen/>
              <w:t>kezelést a korábban (azaz a súlyos mellékhatás megjelenése előtt) alkalmazott adaggal.</w:t>
            </w:r>
          </w:p>
          <w:p w14:paraId="4F0F6C13" w14:textId="77777777" w:rsidR="0000287A" w:rsidRPr="00556B9B" w:rsidRDefault="0000287A" w:rsidP="00A77270">
            <w:pPr>
              <w:tabs>
                <w:tab w:val="left" w:pos="709"/>
              </w:tabs>
              <w:spacing w:line="240" w:lineRule="auto"/>
              <w:ind w:left="726" w:hanging="584"/>
              <w:rPr>
                <w:color w:val="000000"/>
                <w:lang w:val="hu-HU"/>
              </w:rPr>
            </w:pPr>
            <w:r w:rsidRPr="00556B9B">
              <w:rPr>
                <w:color w:val="000000"/>
                <w:szCs w:val="22"/>
                <w:lang w:val="hu-HU"/>
              </w:rPr>
              <w:t>3.</w:t>
            </w:r>
            <w:r w:rsidRPr="00556B9B">
              <w:rPr>
                <w:color w:val="000000"/>
                <w:szCs w:val="22"/>
                <w:lang w:val="hu-HU"/>
              </w:rPr>
              <w:tab/>
              <w:t>Ha az ANC ismét &lt; 1,0 x10</w:t>
            </w:r>
            <w:r w:rsidRPr="00556B9B">
              <w:rPr>
                <w:color w:val="000000"/>
                <w:szCs w:val="22"/>
                <w:vertAlign w:val="superscript"/>
                <w:lang w:val="hu-HU"/>
              </w:rPr>
              <w:t>9</w:t>
            </w:r>
            <w:r w:rsidRPr="00556B9B">
              <w:rPr>
                <w:color w:val="000000"/>
                <w:szCs w:val="22"/>
                <w:lang w:val="hu-HU"/>
              </w:rPr>
              <w:t>/l és/vagy a thrombocytaszám &lt; 50 x10</w:t>
            </w:r>
            <w:r w:rsidRPr="00556B9B">
              <w:rPr>
                <w:color w:val="000000"/>
                <w:szCs w:val="22"/>
                <w:vertAlign w:val="superscript"/>
                <w:lang w:val="hu-HU"/>
              </w:rPr>
              <w:t>9</w:t>
            </w:r>
            <w:r w:rsidRPr="00556B9B">
              <w:rPr>
                <w:color w:val="000000"/>
                <w:szCs w:val="22"/>
                <w:lang w:val="hu-HU"/>
              </w:rPr>
              <w:t>/l, az 1. pont szerint járjon el, majd a Glivec</w:t>
            </w:r>
            <w:r w:rsidRPr="00556B9B">
              <w:rPr>
                <w:color w:val="000000"/>
                <w:szCs w:val="22"/>
                <w:lang w:val="hu-HU"/>
              </w:rPr>
              <w:noBreakHyphen/>
              <w:t>kezelést 260 mg/m</w:t>
            </w:r>
            <w:r w:rsidRPr="00556B9B">
              <w:rPr>
                <w:color w:val="000000"/>
                <w:szCs w:val="22"/>
                <w:vertAlign w:val="superscript"/>
                <w:lang w:val="hu-HU"/>
              </w:rPr>
              <w:t>2</w:t>
            </w:r>
            <w:r w:rsidRPr="00556B9B">
              <w:rPr>
                <w:color w:val="000000"/>
                <w:szCs w:val="22"/>
                <w:lang w:val="hu-HU"/>
              </w:rPr>
              <w:noBreakHyphen/>
              <w:t>ra csökkentett adaggal kezdje újra.</w:t>
            </w:r>
          </w:p>
        </w:tc>
      </w:tr>
      <w:tr w:rsidR="00B3525B" w:rsidRPr="001D3D33" w14:paraId="456FE7FD" w14:textId="77777777" w:rsidTr="00F926B9">
        <w:trPr>
          <w:cantSplit/>
        </w:trPr>
        <w:tc>
          <w:tcPr>
            <w:tcW w:w="2376" w:type="dxa"/>
            <w:gridSpan w:val="2"/>
          </w:tcPr>
          <w:p w14:paraId="4C40CD4C" w14:textId="77777777" w:rsidR="0000287A" w:rsidRPr="00E72BFA" w:rsidRDefault="0000287A" w:rsidP="00A77270">
            <w:pPr>
              <w:spacing w:line="240" w:lineRule="auto"/>
              <w:ind w:left="108"/>
              <w:rPr>
                <w:color w:val="000000"/>
                <w:lang w:val="hu-HU"/>
              </w:rPr>
            </w:pPr>
            <w:r w:rsidRPr="00E72BFA">
              <w:rPr>
                <w:color w:val="000000"/>
                <w:lang w:val="hu-HU"/>
              </w:rPr>
              <w:t xml:space="preserve">CML akcelerált fázis és blasztos krízis és Ph+ </w:t>
            </w:r>
            <w:smartTag w:uri="urn:schemas-microsoft-com:office:smarttags" w:element="stockticker">
              <w:r w:rsidRPr="00E72BFA">
                <w:rPr>
                  <w:color w:val="000000"/>
                  <w:lang w:val="hu-HU"/>
                </w:rPr>
                <w:t>ALL</w:t>
              </w:r>
            </w:smartTag>
            <w:r w:rsidRPr="00E72BFA">
              <w:rPr>
                <w:color w:val="000000"/>
                <w:lang w:val="hu-HU"/>
              </w:rPr>
              <w:t xml:space="preserve"> (kezdő adag: 600 mg)</w:t>
            </w:r>
          </w:p>
        </w:tc>
        <w:tc>
          <w:tcPr>
            <w:tcW w:w="2303" w:type="dxa"/>
          </w:tcPr>
          <w:p w14:paraId="6D10AA9B" w14:textId="77777777" w:rsidR="0000287A" w:rsidRPr="00556B9B" w:rsidRDefault="0000287A" w:rsidP="00A77270">
            <w:pPr>
              <w:spacing w:line="240" w:lineRule="auto"/>
              <w:ind w:left="142"/>
              <w:rPr>
                <w:color w:val="000000"/>
                <w:lang w:val="hu-HU"/>
              </w:rPr>
            </w:pPr>
            <w:r w:rsidRPr="00556B9B">
              <w:rPr>
                <w:color w:val="000000"/>
                <w:vertAlign w:val="superscript"/>
                <w:lang w:val="hu-HU"/>
              </w:rPr>
              <w:t>a</w:t>
            </w:r>
            <w:r w:rsidRPr="00556B9B">
              <w:rPr>
                <w:color w:val="000000"/>
                <w:lang w:val="hu-HU"/>
              </w:rPr>
              <w:t>ANC</w:t>
            </w:r>
            <w:r w:rsidRPr="00556B9B">
              <w:rPr>
                <w:color w:val="000000"/>
                <w:vertAlign w:val="superscript"/>
                <w:lang w:val="hu-HU"/>
              </w:rPr>
              <w:t xml:space="preserve"> </w:t>
            </w:r>
            <w:r w:rsidRPr="00556B9B">
              <w:rPr>
                <w:color w:val="000000"/>
                <w:lang w:val="hu-HU"/>
              </w:rPr>
              <w:t>&lt; 0,5 x 10</w:t>
            </w:r>
            <w:r w:rsidRPr="00556B9B">
              <w:rPr>
                <w:color w:val="000000"/>
                <w:vertAlign w:val="superscript"/>
                <w:lang w:val="hu-HU"/>
              </w:rPr>
              <w:t>9</w:t>
            </w:r>
            <w:r w:rsidRPr="00556B9B">
              <w:rPr>
                <w:color w:val="000000"/>
                <w:lang w:val="hu-HU"/>
              </w:rPr>
              <w:t>/l</w:t>
            </w:r>
          </w:p>
          <w:p w14:paraId="336DFFE2" w14:textId="77777777" w:rsidR="0000287A" w:rsidRPr="00556B9B" w:rsidRDefault="0000287A" w:rsidP="00A77270">
            <w:pPr>
              <w:spacing w:line="240" w:lineRule="auto"/>
              <w:ind w:left="142"/>
              <w:rPr>
                <w:color w:val="000000"/>
                <w:lang w:val="hu-HU"/>
              </w:rPr>
            </w:pPr>
            <w:r w:rsidRPr="00556B9B">
              <w:rPr>
                <w:color w:val="000000"/>
                <w:lang w:val="hu-HU"/>
              </w:rPr>
              <w:t>és/vagy thrombocytaszám</w:t>
            </w:r>
          </w:p>
          <w:p w14:paraId="1DFE5972" w14:textId="77777777" w:rsidR="0000287A" w:rsidRPr="00556B9B" w:rsidRDefault="0000287A" w:rsidP="00A77270">
            <w:pPr>
              <w:spacing w:line="240" w:lineRule="auto"/>
              <w:ind w:left="142"/>
              <w:rPr>
                <w:color w:val="000000"/>
                <w:lang w:val="hu-HU"/>
              </w:rPr>
            </w:pPr>
            <w:r w:rsidRPr="00556B9B">
              <w:rPr>
                <w:color w:val="000000"/>
                <w:lang w:val="hu-HU"/>
              </w:rPr>
              <w:t>&lt; 10 x 10</w:t>
            </w:r>
            <w:r w:rsidRPr="00556B9B">
              <w:rPr>
                <w:color w:val="000000"/>
                <w:vertAlign w:val="superscript"/>
                <w:lang w:val="hu-HU"/>
              </w:rPr>
              <w:t>9</w:t>
            </w:r>
            <w:r w:rsidRPr="00556B9B">
              <w:rPr>
                <w:color w:val="000000"/>
                <w:lang w:val="hu-HU"/>
              </w:rPr>
              <w:t>/l</w:t>
            </w:r>
          </w:p>
        </w:tc>
        <w:tc>
          <w:tcPr>
            <w:tcW w:w="4536" w:type="dxa"/>
          </w:tcPr>
          <w:p w14:paraId="41BA23CF"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1.</w:t>
            </w:r>
            <w:r w:rsidRPr="00556B9B">
              <w:rPr>
                <w:color w:val="000000"/>
                <w:lang w:val="hu-HU"/>
              </w:rPr>
              <w:tab/>
              <w:t>Ellenőrizni kell, hogy a cytopeniát nem a leukaemia okozza</w:t>
            </w:r>
            <w:r w:rsidRPr="00556B9B">
              <w:rPr>
                <w:color w:val="000000"/>
                <w:lang w:val="hu-HU"/>
              </w:rPr>
              <w:noBreakHyphen/>
              <w:t>e (csontvelő aspiratio vagy biopsia).</w:t>
            </w:r>
          </w:p>
          <w:p w14:paraId="1CFC9B49"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2.</w:t>
            </w:r>
            <w:r w:rsidRPr="00556B9B">
              <w:rPr>
                <w:color w:val="000000"/>
                <w:lang w:val="hu-HU"/>
              </w:rPr>
              <w:tab/>
              <w:t>Ha a cytopenia nem a leukaemiával kapcsolatos, csökkentse a Glivec adagját 400 mg</w:t>
            </w:r>
            <w:r w:rsidRPr="00556B9B">
              <w:rPr>
                <w:color w:val="000000"/>
                <w:lang w:val="hu-HU"/>
              </w:rPr>
              <w:noBreakHyphen/>
              <w:t>ra.</w:t>
            </w:r>
          </w:p>
          <w:p w14:paraId="21DE0641"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3.</w:t>
            </w:r>
            <w:r w:rsidRPr="00556B9B">
              <w:rPr>
                <w:color w:val="000000"/>
                <w:lang w:val="hu-HU"/>
              </w:rPr>
              <w:tab/>
              <w:t>Ha a cytopenia 2 héten át tart, csökkentse tovább az adagot 300 mg</w:t>
            </w:r>
            <w:r w:rsidRPr="00556B9B">
              <w:rPr>
                <w:color w:val="000000"/>
                <w:lang w:val="hu-HU"/>
              </w:rPr>
              <w:noBreakHyphen/>
              <w:t>ra.</w:t>
            </w:r>
          </w:p>
          <w:p w14:paraId="5DA2B112" w14:textId="77777777" w:rsidR="0000287A" w:rsidRPr="00556B9B" w:rsidRDefault="0000287A" w:rsidP="00A77270">
            <w:pPr>
              <w:tabs>
                <w:tab w:val="left" w:pos="709"/>
              </w:tabs>
              <w:spacing w:line="240" w:lineRule="auto"/>
              <w:ind w:left="726" w:hanging="584"/>
              <w:rPr>
                <w:color w:val="000000"/>
                <w:lang w:val="hu-HU"/>
              </w:rPr>
            </w:pPr>
            <w:r w:rsidRPr="00556B9B">
              <w:rPr>
                <w:color w:val="000000"/>
                <w:lang w:val="hu-HU"/>
              </w:rPr>
              <w:t>4.</w:t>
            </w:r>
            <w:r w:rsidRPr="00556B9B">
              <w:rPr>
                <w:color w:val="000000"/>
                <w:lang w:val="hu-HU"/>
              </w:rPr>
              <w:tab/>
              <w:t>Ha a cytopenia 4 héten át tart és továbbra sem a leukaemiával kapcsolatos, állítsa le a Glivec</w:t>
            </w:r>
            <w:r w:rsidRPr="00556B9B">
              <w:rPr>
                <w:color w:val="000000"/>
                <w:lang w:val="hu-HU"/>
              </w:rPr>
              <w:noBreakHyphen/>
              <w:t xml:space="preserve">kezelést, amíg az ANC </w:t>
            </w:r>
            <w:r w:rsidRPr="00556B9B">
              <w:rPr>
                <w:color w:val="000000"/>
                <w:lang w:val="hu-HU"/>
              </w:rPr>
              <w:sym w:font="Symbol" w:char="F0B3"/>
            </w:r>
            <w:r w:rsidRPr="00556B9B">
              <w:rPr>
                <w:color w:val="000000"/>
                <w:lang w:val="hu-HU"/>
              </w:rPr>
              <w:t> 1 x 10</w:t>
            </w:r>
            <w:r w:rsidRPr="00556B9B">
              <w:rPr>
                <w:color w:val="000000"/>
                <w:vertAlign w:val="superscript"/>
                <w:lang w:val="hu-HU"/>
              </w:rPr>
              <w:t>9</w:t>
            </w:r>
            <w:r w:rsidRPr="00556B9B">
              <w:rPr>
                <w:color w:val="000000"/>
                <w:lang w:val="hu-HU"/>
              </w:rPr>
              <w:t xml:space="preserve">/l és a thrombocytaszám </w:t>
            </w:r>
            <w:r w:rsidRPr="00556B9B">
              <w:rPr>
                <w:color w:val="000000"/>
                <w:lang w:val="hu-HU"/>
              </w:rPr>
              <w:sym w:font="Symbol" w:char="F0B3"/>
            </w:r>
            <w:r w:rsidRPr="00556B9B">
              <w:rPr>
                <w:color w:val="000000"/>
                <w:lang w:val="hu-HU"/>
              </w:rPr>
              <w:t> 20 x 10</w:t>
            </w:r>
            <w:r w:rsidRPr="00556B9B">
              <w:rPr>
                <w:color w:val="000000"/>
                <w:vertAlign w:val="superscript"/>
                <w:lang w:val="hu-HU"/>
              </w:rPr>
              <w:t>9</w:t>
            </w:r>
            <w:r w:rsidRPr="00556B9B">
              <w:rPr>
                <w:color w:val="000000"/>
                <w:lang w:val="hu-HU"/>
              </w:rPr>
              <w:t>/l lesz, majd kezdje újra a kezelést 300 mg</w:t>
            </w:r>
            <w:r w:rsidRPr="00556B9B">
              <w:rPr>
                <w:color w:val="000000"/>
                <w:lang w:val="hu-HU"/>
              </w:rPr>
              <w:noBreakHyphen/>
              <w:t>mal.</w:t>
            </w:r>
          </w:p>
        </w:tc>
      </w:tr>
      <w:tr w:rsidR="00B3525B" w:rsidRPr="001D3D33" w14:paraId="3B071807" w14:textId="77777777" w:rsidTr="00F926B9">
        <w:trPr>
          <w:cantSplit/>
        </w:trPr>
        <w:tc>
          <w:tcPr>
            <w:tcW w:w="2376" w:type="dxa"/>
            <w:gridSpan w:val="2"/>
          </w:tcPr>
          <w:p w14:paraId="7123B6B0" w14:textId="100CAD3C" w:rsidR="0000287A" w:rsidRPr="00E72BFA" w:rsidRDefault="0000287A" w:rsidP="00A77270">
            <w:pPr>
              <w:spacing w:line="240" w:lineRule="auto"/>
              <w:ind w:left="108"/>
              <w:rPr>
                <w:color w:val="000000"/>
                <w:lang w:val="hu-HU"/>
              </w:rPr>
            </w:pPr>
            <w:r w:rsidRPr="00E72BFA">
              <w:rPr>
                <w:color w:val="000000"/>
                <w:lang w:val="hu-HU"/>
              </w:rPr>
              <w:t>Gyermek</w:t>
            </w:r>
            <w:r w:rsidR="00F927FA" w:rsidRPr="00E72BFA">
              <w:rPr>
                <w:color w:val="000000"/>
                <w:lang w:val="hu-HU"/>
              </w:rPr>
              <w:t>- és serdülőkori</w:t>
            </w:r>
            <w:r w:rsidRPr="00E72BFA">
              <w:rPr>
                <w:color w:val="000000"/>
                <w:lang w:val="hu-HU"/>
              </w:rPr>
              <w:t xml:space="preserve"> CML akcelerált fázis és blasztos krízis (kezdő adag: 340 mg/m</w:t>
            </w:r>
            <w:r w:rsidRPr="00E72BFA">
              <w:rPr>
                <w:color w:val="000000"/>
                <w:vertAlign w:val="superscript"/>
                <w:lang w:val="hu-HU"/>
              </w:rPr>
              <w:t>2</w:t>
            </w:r>
            <w:r w:rsidRPr="00E72BFA">
              <w:rPr>
                <w:color w:val="000000"/>
                <w:lang w:val="hu-HU"/>
              </w:rPr>
              <w:t>)</w:t>
            </w:r>
          </w:p>
        </w:tc>
        <w:tc>
          <w:tcPr>
            <w:tcW w:w="2303" w:type="dxa"/>
          </w:tcPr>
          <w:p w14:paraId="02247FB8" w14:textId="77777777" w:rsidR="0000287A" w:rsidRPr="00556B9B" w:rsidRDefault="0000287A" w:rsidP="00A77270">
            <w:pPr>
              <w:spacing w:line="240" w:lineRule="auto"/>
              <w:ind w:left="142"/>
              <w:rPr>
                <w:color w:val="000000"/>
                <w:lang w:val="hu-HU"/>
              </w:rPr>
            </w:pPr>
            <w:r w:rsidRPr="00556B9B">
              <w:rPr>
                <w:color w:val="000000"/>
                <w:vertAlign w:val="superscript"/>
                <w:lang w:val="hu-HU"/>
              </w:rPr>
              <w:t>a</w:t>
            </w:r>
            <w:r w:rsidRPr="00556B9B">
              <w:rPr>
                <w:color w:val="000000"/>
                <w:lang w:val="hu-HU"/>
              </w:rPr>
              <w:t>ANC</w:t>
            </w:r>
            <w:r w:rsidRPr="00556B9B">
              <w:rPr>
                <w:color w:val="000000"/>
                <w:vertAlign w:val="superscript"/>
                <w:lang w:val="hu-HU"/>
              </w:rPr>
              <w:t xml:space="preserve"> </w:t>
            </w:r>
            <w:r w:rsidRPr="00556B9B">
              <w:rPr>
                <w:color w:val="000000"/>
                <w:lang w:val="hu-HU"/>
              </w:rPr>
              <w:t>&lt; 0,5 x 10</w:t>
            </w:r>
            <w:r w:rsidRPr="00556B9B">
              <w:rPr>
                <w:color w:val="000000"/>
                <w:vertAlign w:val="superscript"/>
                <w:lang w:val="hu-HU"/>
              </w:rPr>
              <w:t>9</w:t>
            </w:r>
            <w:r w:rsidRPr="00556B9B">
              <w:rPr>
                <w:color w:val="000000"/>
                <w:lang w:val="hu-HU"/>
              </w:rPr>
              <w:t>/l</w:t>
            </w:r>
          </w:p>
          <w:p w14:paraId="4D445A09" w14:textId="77777777" w:rsidR="0000287A" w:rsidRPr="00556B9B" w:rsidRDefault="0000287A" w:rsidP="00A77270">
            <w:pPr>
              <w:spacing w:line="240" w:lineRule="auto"/>
              <w:ind w:left="142"/>
              <w:rPr>
                <w:color w:val="000000"/>
                <w:lang w:val="hu-HU"/>
              </w:rPr>
            </w:pPr>
            <w:r w:rsidRPr="00556B9B">
              <w:rPr>
                <w:color w:val="000000"/>
                <w:lang w:val="hu-HU"/>
              </w:rPr>
              <w:t>és/vagy thrombocytaszám</w:t>
            </w:r>
          </w:p>
          <w:p w14:paraId="523EDAD8" w14:textId="77777777" w:rsidR="0000287A" w:rsidRPr="00556B9B" w:rsidRDefault="0000287A" w:rsidP="00A77270">
            <w:pPr>
              <w:spacing w:line="240" w:lineRule="auto"/>
              <w:ind w:left="142"/>
              <w:rPr>
                <w:color w:val="000000"/>
                <w:vertAlign w:val="superscript"/>
                <w:lang w:val="hu-HU"/>
              </w:rPr>
            </w:pPr>
            <w:r w:rsidRPr="00556B9B">
              <w:rPr>
                <w:color w:val="000000"/>
                <w:lang w:val="hu-HU"/>
              </w:rPr>
              <w:t>&lt; 10 x 10</w:t>
            </w:r>
            <w:r w:rsidRPr="00556B9B">
              <w:rPr>
                <w:color w:val="000000"/>
                <w:vertAlign w:val="superscript"/>
                <w:lang w:val="hu-HU"/>
              </w:rPr>
              <w:t>9</w:t>
            </w:r>
            <w:r w:rsidRPr="00556B9B">
              <w:rPr>
                <w:color w:val="000000"/>
                <w:lang w:val="hu-HU"/>
              </w:rPr>
              <w:t>/l</w:t>
            </w:r>
          </w:p>
        </w:tc>
        <w:tc>
          <w:tcPr>
            <w:tcW w:w="4536" w:type="dxa"/>
          </w:tcPr>
          <w:p w14:paraId="505E7D90" w14:textId="77777777" w:rsidR="0000287A" w:rsidRPr="00556B9B" w:rsidRDefault="0000287A" w:rsidP="00A77270">
            <w:pPr>
              <w:spacing w:line="240" w:lineRule="auto"/>
              <w:ind w:left="726" w:hanging="584"/>
              <w:rPr>
                <w:color w:val="000000"/>
                <w:lang w:val="hu-HU"/>
              </w:rPr>
            </w:pPr>
            <w:r w:rsidRPr="00556B9B">
              <w:rPr>
                <w:color w:val="000000"/>
                <w:lang w:val="hu-HU"/>
              </w:rPr>
              <w:t>1.</w:t>
            </w:r>
            <w:r w:rsidRPr="00556B9B">
              <w:rPr>
                <w:color w:val="000000"/>
                <w:lang w:val="hu-HU"/>
              </w:rPr>
              <w:tab/>
              <w:t>Ellenőrizni kell, hogy a cytopeniát nem a leukaemia okozza</w:t>
            </w:r>
            <w:r w:rsidRPr="00556B9B">
              <w:rPr>
                <w:color w:val="000000"/>
                <w:lang w:val="hu-HU"/>
              </w:rPr>
              <w:noBreakHyphen/>
              <w:t>e (csontvelő aspiratio vagy biopsia).</w:t>
            </w:r>
          </w:p>
          <w:p w14:paraId="5403E922" w14:textId="77777777" w:rsidR="0000287A" w:rsidRPr="00556B9B" w:rsidRDefault="0000287A" w:rsidP="00A77270">
            <w:pPr>
              <w:spacing w:line="240" w:lineRule="auto"/>
              <w:ind w:left="726" w:hanging="584"/>
              <w:rPr>
                <w:color w:val="000000"/>
                <w:lang w:val="hu-HU"/>
              </w:rPr>
            </w:pPr>
            <w:r w:rsidRPr="00556B9B">
              <w:rPr>
                <w:color w:val="000000"/>
                <w:lang w:val="hu-HU"/>
              </w:rPr>
              <w:t>2.</w:t>
            </w:r>
            <w:r w:rsidRPr="00556B9B">
              <w:rPr>
                <w:color w:val="000000"/>
                <w:lang w:val="hu-HU"/>
              </w:rPr>
              <w:tab/>
              <w:t>Ha a cytopenia nem a leukaemiával kapcsolatos, csökkentse a Glivec adagját 260 mg/m</w:t>
            </w:r>
            <w:r w:rsidRPr="00556B9B">
              <w:rPr>
                <w:color w:val="000000"/>
                <w:vertAlign w:val="superscript"/>
                <w:lang w:val="hu-HU"/>
              </w:rPr>
              <w:t>2</w:t>
            </w:r>
            <w:r w:rsidRPr="00556B9B">
              <w:rPr>
                <w:color w:val="000000"/>
                <w:lang w:val="hu-HU"/>
              </w:rPr>
              <w:noBreakHyphen/>
              <w:t>re.</w:t>
            </w:r>
          </w:p>
          <w:p w14:paraId="3513A5CD" w14:textId="77777777" w:rsidR="0000287A" w:rsidRPr="00556B9B" w:rsidRDefault="0000287A" w:rsidP="00A77270">
            <w:pPr>
              <w:spacing w:line="240" w:lineRule="auto"/>
              <w:ind w:left="726" w:hanging="584"/>
              <w:rPr>
                <w:color w:val="000000"/>
                <w:lang w:val="hu-HU"/>
              </w:rPr>
            </w:pPr>
            <w:r w:rsidRPr="00556B9B">
              <w:rPr>
                <w:color w:val="000000"/>
                <w:lang w:val="hu-HU"/>
              </w:rPr>
              <w:t>3.</w:t>
            </w:r>
            <w:r w:rsidRPr="00556B9B">
              <w:rPr>
                <w:color w:val="000000"/>
                <w:lang w:val="hu-HU"/>
              </w:rPr>
              <w:tab/>
              <w:t>Ha a cytopenia 2 héten át tart, csökkentse tovább 200 mg/m</w:t>
            </w:r>
            <w:r w:rsidRPr="00556B9B">
              <w:rPr>
                <w:color w:val="000000"/>
                <w:vertAlign w:val="superscript"/>
                <w:lang w:val="hu-HU"/>
              </w:rPr>
              <w:t>2</w:t>
            </w:r>
            <w:r w:rsidRPr="00556B9B">
              <w:rPr>
                <w:color w:val="000000"/>
                <w:lang w:val="hu-HU"/>
              </w:rPr>
              <w:noBreakHyphen/>
              <w:t>re.</w:t>
            </w:r>
          </w:p>
          <w:p w14:paraId="4DCC8B41" w14:textId="77777777" w:rsidR="0000287A" w:rsidRPr="00556B9B" w:rsidRDefault="0000287A" w:rsidP="00A77270">
            <w:pPr>
              <w:spacing w:line="240" w:lineRule="auto"/>
              <w:ind w:left="726" w:hanging="584"/>
              <w:rPr>
                <w:color w:val="000000"/>
                <w:lang w:val="hu-HU"/>
              </w:rPr>
            </w:pPr>
            <w:r w:rsidRPr="00556B9B">
              <w:rPr>
                <w:color w:val="000000"/>
                <w:lang w:val="hu-HU"/>
              </w:rPr>
              <w:t>4.</w:t>
            </w:r>
            <w:r w:rsidRPr="00556B9B">
              <w:rPr>
                <w:color w:val="000000"/>
                <w:lang w:val="hu-HU"/>
              </w:rPr>
              <w:tab/>
              <w:t>Ha a cytopenia 4 héten át tart és továbbra sem a leukaemiával kapcsolatos, állítsa le a Glivec</w:t>
            </w:r>
            <w:r w:rsidRPr="00556B9B">
              <w:rPr>
                <w:color w:val="000000"/>
                <w:lang w:val="hu-HU"/>
              </w:rPr>
              <w:noBreakHyphen/>
              <w:t xml:space="preserve">kezelést, amíg az ANC </w:t>
            </w:r>
            <w:r w:rsidRPr="00556B9B">
              <w:rPr>
                <w:color w:val="000000"/>
                <w:lang w:val="hu-HU"/>
              </w:rPr>
              <w:sym w:font="Symbol" w:char="F0B3"/>
            </w:r>
            <w:r w:rsidRPr="00556B9B">
              <w:rPr>
                <w:color w:val="000000"/>
                <w:lang w:val="hu-HU"/>
              </w:rPr>
              <w:t> 1 x 10</w:t>
            </w:r>
            <w:r w:rsidRPr="00556B9B">
              <w:rPr>
                <w:color w:val="000000"/>
                <w:vertAlign w:val="superscript"/>
                <w:lang w:val="hu-HU"/>
              </w:rPr>
              <w:t>9</w:t>
            </w:r>
            <w:r w:rsidRPr="00556B9B">
              <w:rPr>
                <w:color w:val="000000"/>
                <w:lang w:val="hu-HU"/>
              </w:rPr>
              <w:t xml:space="preserve">/l és a thrombocytaszám </w:t>
            </w:r>
            <w:r w:rsidRPr="00556B9B">
              <w:rPr>
                <w:color w:val="000000"/>
                <w:lang w:val="hu-HU"/>
              </w:rPr>
              <w:sym w:font="Symbol" w:char="F0B3"/>
            </w:r>
            <w:r w:rsidRPr="00556B9B">
              <w:rPr>
                <w:color w:val="000000"/>
                <w:lang w:val="hu-HU"/>
              </w:rPr>
              <w:t> 20 x 10</w:t>
            </w:r>
            <w:r w:rsidRPr="00556B9B">
              <w:rPr>
                <w:color w:val="000000"/>
                <w:vertAlign w:val="superscript"/>
                <w:lang w:val="hu-HU"/>
              </w:rPr>
              <w:t>9</w:t>
            </w:r>
            <w:r w:rsidRPr="00556B9B">
              <w:rPr>
                <w:color w:val="000000"/>
                <w:lang w:val="hu-HU"/>
              </w:rPr>
              <w:t>/l lesz, majd kezdje újra a kezelést 200 mg/m</w:t>
            </w:r>
            <w:r w:rsidRPr="00556B9B">
              <w:rPr>
                <w:color w:val="000000"/>
                <w:vertAlign w:val="superscript"/>
                <w:lang w:val="hu-HU"/>
              </w:rPr>
              <w:t>2</w:t>
            </w:r>
            <w:r w:rsidRPr="00556B9B">
              <w:rPr>
                <w:color w:val="000000"/>
                <w:lang w:val="hu-HU"/>
              </w:rPr>
              <w:noBreakHyphen/>
              <w:t>rel.</w:t>
            </w:r>
          </w:p>
        </w:tc>
      </w:tr>
      <w:tr w:rsidR="00B3525B" w:rsidRPr="001D3D33" w14:paraId="11533436" w14:textId="77777777" w:rsidTr="00F926B9">
        <w:trPr>
          <w:cantSplit/>
        </w:trPr>
        <w:tc>
          <w:tcPr>
            <w:tcW w:w="2376" w:type="dxa"/>
            <w:gridSpan w:val="2"/>
          </w:tcPr>
          <w:p w14:paraId="1A318F19" w14:textId="77777777" w:rsidR="0000287A" w:rsidRPr="00556B9B" w:rsidRDefault="0000287A" w:rsidP="00F926B9">
            <w:pPr>
              <w:keepNext/>
              <w:spacing w:line="240" w:lineRule="auto"/>
              <w:ind w:left="108"/>
              <w:rPr>
                <w:color w:val="000000"/>
                <w:lang w:val="hu-HU"/>
              </w:rPr>
            </w:pPr>
            <w:r w:rsidRPr="00556B9B">
              <w:rPr>
                <w:color w:val="000000"/>
                <w:lang w:val="hu-HU"/>
              </w:rPr>
              <w:t>DFSP</w:t>
            </w:r>
          </w:p>
          <w:p w14:paraId="7A4B81A7" w14:textId="77777777" w:rsidR="0000287A" w:rsidRPr="00556B9B" w:rsidRDefault="0000287A" w:rsidP="00F926B9">
            <w:pPr>
              <w:keepNext/>
              <w:spacing w:line="240" w:lineRule="auto"/>
              <w:ind w:left="108"/>
              <w:rPr>
                <w:color w:val="000000"/>
                <w:lang w:val="hu-HU"/>
              </w:rPr>
            </w:pPr>
            <w:r w:rsidRPr="00556B9B">
              <w:rPr>
                <w:color w:val="000000"/>
                <w:lang w:val="hu-HU"/>
              </w:rPr>
              <w:t>(800 mg-os adagban)</w:t>
            </w:r>
          </w:p>
        </w:tc>
        <w:tc>
          <w:tcPr>
            <w:tcW w:w="2303" w:type="dxa"/>
          </w:tcPr>
          <w:p w14:paraId="3DB9E020" w14:textId="77777777" w:rsidR="0000287A" w:rsidRPr="00556B9B" w:rsidRDefault="0000287A" w:rsidP="00F926B9">
            <w:pPr>
              <w:keepNext/>
              <w:spacing w:line="240" w:lineRule="auto"/>
              <w:ind w:left="142"/>
              <w:rPr>
                <w:color w:val="000000"/>
                <w:lang w:val="hu-HU"/>
              </w:rPr>
            </w:pPr>
            <w:r w:rsidRPr="00556B9B">
              <w:rPr>
                <w:color w:val="000000"/>
                <w:lang w:val="hu-HU"/>
              </w:rPr>
              <w:t>ANC</w:t>
            </w:r>
            <w:r w:rsidRPr="00556B9B">
              <w:rPr>
                <w:color w:val="000000"/>
                <w:vertAlign w:val="superscript"/>
                <w:lang w:val="hu-HU"/>
              </w:rPr>
              <w:t xml:space="preserve"> </w:t>
            </w:r>
            <w:r w:rsidRPr="00556B9B">
              <w:rPr>
                <w:color w:val="000000"/>
                <w:lang w:val="hu-HU"/>
              </w:rPr>
              <w:t>&lt; 1,0 x 10</w:t>
            </w:r>
            <w:r w:rsidRPr="00556B9B">
              <w:rPr>
                <w:color w:val="000000"/>
                <w:vertAlign w:val="superscript"/>
                <w:lang w:val="hu-HU"/>
              </w:rPr>
              <w:t>9</w:t>
            </w:r>
            <w:r w:rsidRPr="00556B9B">
              <w:rPr>
                <w:color w:val="000000"/>
                <w:lang w:val="hu-HU"/>
              </w:rPr>
              <w:t>/l</w:t>
            </w:r>
          </w:p>
          <w:p w14:paraId="1ED7FA3A" w14:textId="77777777" w:rsidR="0000287A" w:rsidRPr="00556B9B" w:rsidRDefault="0000287A" w:rsidP="00F926B9">
            <w:pPr>
              <w:keepNext/>
              <w:spacing w:line="240" w:lineRule="auto"/>
              <w:ind w:left="142"/>
              <w:rPr>
                <w:color w:val="000000"/>
                <w:lang w:val="hu-HU"/>
              </w:rPr>
            </w:pPr>
            <w:r w:rsidRPr="00556B9B">
              <w:rPr>
                <w:color w:val="000000"/>
                <w:lang w:val="hu-HU"/>
              </w:rPr>
              <w:t>és/vagy thrombocytaszám</w:t>
            </w:r>
          </w:p>
          <w:p w14:paraId="5EA74B4D" w14:textId="77777777" w:rsidR="0000287A" w:rsidRPr="00556B9B" w:rsidRDefault="0000287A" w:rsidP="00F926B9">
            <w:pPr>
              <w:keepNext/>
              <w:spacing w:line="240" w:lineRule="auto"/>
              <w:ind w:left="142"/>
              <w:rPr>
                <w:color w:val="000000"/>
                <w:vertAlign w:val="superscript"/>
                <w:lang w:val="hu-HU"/>
              </w:rPr>
            </w:pPr>
            <w:r w:rsidRPr="00556B9B">
              <w:rPr>
                <w:color w:val="000000"/>
                <w:lang w:val="hu-HU"/>
              </w:rPr>
              <w:t>&lt; 50 x 10</w:t>
            </w:r>
            <w:r w:rsidRPr="00556B9B">
              <w:rPr>
                <w:color w:val="000000"/>
                <w:vertAlign w:val="superscript"/>
                <w:lang w:val="hu-HU"/>
              </w:rPr>
              <w:t>9</w:t>
            </w:r>
            <w:r w:rsidRPr="00556B9B">
              <w:rPr>
                <w:color w:val="000000"/>
                <w:lang w:val="hu-HU"/>
              </w:rPr>
              <w:t>/l</w:t>
            </w:r>
          </w:p>
        </w:tc>
        <w:tc>
          <w:tcPr>
            <w:tcW w:w="4536" w:type="dxa"/>
          </w:tcPr>
          <w:p w14:paraId="5300A6B5" w14:textId="77777777" w:rsidR="0000287A" w:rsidRPr="00556B9B" w:rsidRDefault="0000287A" w:rsidP="00F926B9">
            <w:pPr>
              <w:keepNext/>
              <w:spacing w:line="240" w:lineRule="auto"/>
              <w:ind w:left="726" w:hanging="584"/>
              <w:rPr>
                <w:color w:val="000000"/>
                <w:lang w:val="hu-HU"/>
              </w:rPr>
            </w:pPr>
            <w:r w:rsidRPr="00556B9B">
              <w:rPr>
                <w:color w:val="000000"/>
                <w:lang w:val="hu-HU"/>
              </w:rPr>
              <w:t>1.</w:t>
            </w:r>
            <w:r w:rsidRPr="00556B9B">
              <w:rPr>
                <w:color w:val="000000"/>
                <w:lang w:val="hu-HU"/>
              </w:rPr>
              <w:tab/>
              <w:t>Állítsa le a Glivec</w:t>
            </w:r>
            <w:r w:rsidRPr="00556B9B">
              <w:rPr>
                <w:color w:val="000000"/>
                <w:lang w:val="hu-HU"/>
              </w:rPr>
              <w:noBreakHyphen/>
              <w:t xml:space="preserve">kezelést, amíg az ANC </w:t>
            </w:r>
            <w:r w:rsidRPr="00556B9B">
              <w:rPr>
                <w:color w:val="000000"/>
                <w:lang w:val="hu-HU"/>
              </w:rPr>
              <w:sym w:font="Symbol" w:char="F0B3"/>
            </w:r>
            <w:r w:rsidRPr="00556B9B">
              <w:rPr>
                <w:color w:val="000000"/>
                <w:lang w:val="hu-HU"/>
              </w:rPr>
              <w:t> 1,5 x 10</w:t>
            </w:r>
            <w:r w:rsidRPr="00556B9B">
              <w:rPr>
                <w:color w:val="000000"/>
                <w:vertAlign w:val="superscript"/>
                <w:lang w:val="hu-HU"/>
              </w:rPr>
              <w:t>9</w:t>
            </w:r>
            <w:r w:rsidRPr="00556B9B">
              <w:rPr>
                <w:color w:val="000000"/>
                <w:lang w:val="hu-HU"/>
              </w:rPr>
              <w:t xml:space="preserve">/l és a thrombocytaszám </w:t>
            </w:r>
            <w:r w:rsidRPr="00556B9B">
              <w:rPr>
                <w:color w:val="000000"/>
                <w:lang w:val="hu-HU"/>
              </w:rPr>
              <w:sym w:font="Symbol" w:char="F0B3"/>
            </w:r>
            <w:r w:rsidRPr="00556B9B">
              <w:rPr>
                <w:color w:val="000000"/>
                <w:lang w:val="hu-HU"/>
              </w:rPr>
              <w:t> 75 x 10</w:t>
            </w:r>
            <w:r w:rsidRPr="00556B9B">
              <w:rPr>
                <w:color w:val="000000"/>
                <w:vertAlign w:val="superscript"/>
                <w:lang w:val="hu-HU"/>
              </w:rPr>
              <w:t>9</w:t>
            </w:r>
            <w:r w:rsidRPr="00556B9B">
              <w:rPr>
                <w:color w:val="000000"/>
                <w:lang w:val="hu-HU"/>
              </w:rPr>
              <w:t>/l.</w:t>
            </w:r>
          </w:p>
          <w:p w14:paraId="5B085082" w14:textId="77777777" w:rsidR="0000287A" w:rsidRPr="00556B9B" w:rsidRDefault="0000287A" w:rsidP="00F926B9">
            <w:pPr>
              <w:keepNext/>
              <w:spacing w:line="240" w:lineRule="auto"/>
              <w:ind w:left="726" w:hanging="584"/>
              <w:rPr>
                <w:color w:val="000000"/>
                <w:lang w:val="hu-HU"/>
              </w:rPr>
            </w:pPr>
            <w:r w:rsidRPr="00556B9B">
              <w:rPr>
                <w:color w:val="000000"/>
                <w:lang w:val="hu-HU"/>
              </w:rPr>
              <w:t>2.</w:t>
            </w:r>
            <w:r w:rsidRPr="00556B9B">
              <w:rPr>
                <w:color w:val="000000"/>
                <w:lang w:val="hu-HU"/>
              </w:rPr>
              <w:tab/>
              <w:t>Kezdje újra a Glivec</w:t>
            </w:r>
            <w:r w:rsidRPr="00556B9B">
              <w:rPr>
                <w:color w:val="000000"/>
                <w:lang w:val="hu-HU"/>
              </w:rPr>
              <w:noBreakHyphen/>
              <w:t>kezelést 600 mg</w:t>
            </w:r>
            <w:r w:rsidRPr="00556B9B">
              <w:rPr>
                <w:color w:val="000000"/>
                <w:lang w:val="hu-HU"/>
              </w:rPr>
              <w:noBreakHyphen/>
              <w:t>os adaggal.</w:t>
            </w:r>
          </w:p>
          <w:p w14:paraId="69057480" w14:textId="77777777" w:rsidR="0000287A" w:rsidRPr="00556B9B" w:rsidRDefault="0000287A" w:rsidP="00F926B9">
            <w:pPr>
              <w:keepNext/>
              <w:spacing w:line="240" w:lineRule="auto"/>
              <w:ind w:left="726" w:hanging="584"/>
              <w:rPr>
                <w:color w:val="000000"/>
                <w:lang w:val="hu-HU"/>
              </w:rPr>
            </w:pPr>
            <w:r w:rsidRPr="00556B9B">
              <w:rPr>
                <w:color w:val="000000"/>
                <w:lang w:val="hu-HU"/>
              </w:rPr>
              <w:t>3.</w:t>
            </w:r>
            <w:r w:rsidRPr="00556B9B">
              <w:rPr>
                <w:color w:val="000000"/>
                <w:lang w:val="hu-HU"/>
              </w:rPr>
              <w:tab/>
              <w:t>Ha az ANC ismét &lt; 1,0 x 10</w:t>
            </w:r>
            <w:r w:rsidRPr="00556B9B">
              <w:rPr>
                <w:color w:val="000000"/>
                <w:vertAlign w:val="superscript"/>
                <w:lang w:val="hu-HU"/>
              </w:rPr>
              <w:t>9</w:t>
            </w:r>
            <w:r w:rsidRPr="00556B9B">
              <w:rPr>
                <w:color w:val="000000"/>
                <w:lang w:val="hu-HU"/>
              </w:rPr>
              <w:t>/l, és/vagy a thrombocytaszám ismét &lt; 50 x 10</w:t>
            </w:r>
            <w:r w:rsidRPr="00556B9B">
              <w:rPr>
                <w:color w:val="000000"/>
                <w:vertAlign w:val="superscript"/>
                <w:lang w:val="hu-HU"/>
              </w:rPr>
              <w:t>9</w:t>
            </w:r>
            <w:r w:rsidRPr="00556B9B">
              <w:rPr>
                <w:color w:val="000000"/>
                <w:lang w:val="hu-HU"/>
              </w:rPr>
              <w:t>/l, az 1. pont szerint járjon el, majd a Glivec</w:t>
            </w:r>
            <w:r w:rsidRPr="00556B9B">
              <w:rPr>
                <w:color w:val="000000"/>
                <w:lang w:val="hu-HU"/>
              </w:rPr>
              <w:noBreakHyphen/>
              <w:t>kezelést 400 mg</w:t>
            </w:r>
            <w:r w:rsidRPr="00556B9B">
              <w:rPr>
                <w:color w:val="000000"/>
                <w:lang w:val="hu-HU"/>
              </w:rPr>
              <w:noBreakHyphen/>
              <w:t>ra</w:t>
            </w:r>
            <w:r w:rsidRPr="00556B9B">
              <w:rPr>
                <w:color w:val="000000"/>
                <w:vertAlign w:val="superscript"/>
                <w:lang w:val="hu-HU"/>
              </w:rPr>
              <w:t xml:space="preserve"> </w:t>
            </w:r>
            <w:r w:rsidRPr="00556B9B">
              <w:rPr>
                <w:color w:val="000000"/>
                <w:lang w:val="hu-HU"/>
              </w:rPr>
              <w:t>csökkentett adaggal kezdje újra.</w:t>
            </w:r>
          </w:p>
        </w:tc>
      </w:tr>
      <w:tr w:rsidR="00B3525B" w:rsidRPr="001D3D33" w14:paraId="2172F698" w14:textId="77777777" w:rsidTr="00F926B9">
        <w:trPr>
          <w:gridBefore w:val="1"/>
          <w:wBefore w:w="6" w:type="dxa"/>
          <w:cantSplit/>
        </w:trPr>
        <w:tc>
          <w:tcPr>
            <w:tcW w:w="9209" w:type="dxa"/>
            <w:gridSpan w:val="3"/>
          </w:tcPr>
          <w:p w14:paraId="4006A9B3" w14:textId="77777777" w:rsidR="0000287A" w:rsidRPr="00556B9B" w:rsidRDefault="0000287A" w:rsidP="00A77270">
            <w:pPr>
              <w:spacing w:line="240" w:lineRule="auto"/>
              <w:ind w:left="102"/>
              <w:rPr>
                <w:color w:val="000000"/>
                <w:lang w:val="hu-HU"/>
              </w:rPr>
            </w:pPr>
            <w:r w:rsidRPr="00556B9B">
              <w:rPr>
                <w:color w:val="000000"/>
                <w:lang w:val="hu-HU"/>
              </w:rPr>
              <w:t>ANC = abszolút neutrofilszám</w:t>
            </w:r>
          </w:p>
          <w:p w14:paraId="5AA906B3" w14:textId="77777777" w:rsidR="0000287A" w:rsidRPr="00556B9B" w:rsidRDefault="0000287A" w:rsidP="00A77270">
            <w:pPr>
              <w:spacing w:line="240" w:lineRule="auto"/>
              <w:ind w:left="102"/>
              <w:rPr>
                <w:color w:val="000000"/>
                <w:lang w:val="hu-HU"/>
              </w:rPr>
            </w:pPr>
            <w:r w:rsidRPr="00556B9B">
              <w:rPr>
                <w:color w:val="000000"/>
                <w:vertAlign w:val="superscript"/>
                <w:lang w:val="hu-HU"/>
              </w:rPr>
              <w:t xml:space="preserve">a </w:t>
            </w:r>
            <w:r w:rsidRPr="00556B9B">
              <w:rPr>
                <w:color w:val="000000"/>
                <w:lang w:val="hu-HU"/>
              </w:rPr>
              <w:t>legalább egy hónapos kezelés után</w:t>
            </w:r>
          </w:p>
        </w:tc>
      </w:tr>
    </w:tbl>
    <w:p w14:paraId="526AD878" w14:textId="77777777" w:rsidR="00BC2079" w:rsidRPr="00556B9B" w:rsidRDefault="00BC2079" w:rsidP="00BC2079">
      <w:pPr>
        <w:spacing w:line="240" w:lineRule="auto"/>
        <w:rPr>
          <w:color w:val="000000"/>
          <w:lang w:val="hu-HU"/>
        </w:rPr>
      </w:pPr>
    </w:p>
    <w:p w14:paraId="67FF56B9" w14:textId="515E8CE5" w:rsidR="00BC2079" w:rsidRPr="00E72BFA" w:rsidRDefault="00BC2079" w:rsidP="00F926B9">
      <w:pPr>
        <w:keepNext/>
        <w:spacing w:line="240" w:lineRule="auto"/>
        <w:rPr>
          <w:color w:val="000000"/>
          <w:u w:val="single"/>
          <w:lang w:val="hu-HU"/>
        </w:rPr>
      </w:pPr>
      <w:r w:rsidRPr="00E72BFA">
        <w:rPr>
          <w:color w:val="000000"/>
          <w:u w:val="single"/>
          <w:lang w:val="hu-HU"/>
        </w:rPr>
        <w:t>Speciális</w:t>
      </w:r>
      <w:r w:rsidR="002E72A4">
        <w:rPr>
          <w:color w:val="000000"/>
          <w:u w:val="single"/>
          <w:lang w:val="hu-HU"/>
        </w:rPr>
        <w:t xml:space="preserve"> betegcsoportok</w:t>
      </w:r>
    </w:p>
    <w:p w14:paraId="49AEDCF6" w14:textId="46FC85AF" w:rsidR="00BC2079" w:rsidRPr="00556B9B" w:rsidRDefault="002E72A4" w:rsidP="00BC2079">
      <w:pPr>
        <w:spacing w:line="240" w:lineRule="auto"/>
        <w:rPr>
          <w:color w:val="000000"/>
          <w:lang w:val="hu-HU"/>
        </w:rPr>
      </w:pPr>
      <w:r w:rsidRPr="00E72BFA">
        <w:rPr>
          <w:i/>
          <w:color w:val="000000"/>
          <w:lang w:val="hu-HU"/>
        </w:rPr>
        <w:t>Alkalmazás gyermekeknél és serdülőknél:</w:t>
      </w:r>
      <w:r w:rsidR="00BC2079" w:rsidRPr="00E72BFA">
        <w:rPr>
          <w:i/>
          <w:color w:val="000000"/>
          <w:lang w:val="hu-HU"/>
        </w:rPr>
        <w:t xml:space="preserve"> </w:t>
      </w:r>
      <w:r w:rsidR="00BC2079" w:rsidRPr="00E72BFA">
        <w:rPr>
          <w:color w:val="000000"/>
          <w:lang w:val="hu-HU"/>
        </w:rPr>
        <w:t>2 éves kor alatti CML</w:t>
      </w:r>
      <w:r w:rsidR="00BC2079" w:rsidRPr="00E72BFA">
        <w:rPr>
          <w:color w:val="000000"/>
          <w:lang w:val="hu-HU"/>
        </w:rPr>
        <w:noBreakHyphen/>
        <w:t xml:space="preserve">ben szenvedő gyermekek </w:t>
      </w:r>
      <w:r w:rsidR="00261250" w:rsidRPr="00E72BFA">
        <w:rPr>
          <w:color w:val="000000"/>
          <w:lang w:val="hu-HU"/>
        </w:rPr>
        <w:t xml:space="preserve">és 1 éves kor alatti </w:t>
      </w:r>
      <w:r w:rsidR="00261250" w:rsidRPr="00E72BFA">
        <w:rPr>
          <w:color w:val="000000"/>
          <w:lang w:val="hu-HU" w:eastAsia="hu-HU"/>
        </w:rPr>
        <w:t>Ph+ALL</w:t>
      </w:r>
      <w:r w:rsidR="00261250" w:rsidRPr="00E72BFA">
        <w:rPr>
          <w:color w:val="000000"/>
          <w:lang w:val="hu-HU"/>
        </w:rPr>
        <w:noBreakHyphen/>
        <w:t>ben szenvedő</w:t>
      </w:r>
      <w:r w:rsidR="00261250" w:rsidRPr="00556B9B">
        <w:rPr>
          <w:color w:val="000000"/>
          <w:lang w:val="hu-HU"/>
        </w:rPr>
        <w:t xml:space="preserve"> gyermekek </w:t>
      </w:r>
      <w:r w:rsidR="00BC2079" w:rsidRPr="00556B9B">
        <w:rPr>
          <w:color w:val="000000"/>
          <w:lang w:val="hu-HU"/>
        </w:rPr>
        <w:t>esetében nincs tapasztalat (lásd 5.1 pont). MDS/MPD</w:t>
      </w:r>
      <w:r w:rsidR="00BC2079" w:rsidRPr="00556B9B">
        <w:rPr>
          <w:color w:val="000000"/>
          <w:lang w:val="hu-HU"/>
        </w:rPr>
        <w:noBreakHyphen/>
        <w:t>ben, DFSP</w:t>
      </w:r>
      <w:r w:rsidR="00BC2079" w:rsidRPr="00556B9B">
        <w:rPr>
          <w:color w:val="000000"/>
          <w:lang w:val="hu-HU"/>
        </w:rPr>
        <w:noBreakHyphen/>
        <w:t>ben</w:t>
      </w:r>
      <w:r w:rsidR="00577686" w:rsidRPr="00556B9B">
        <w:rPr>
          <w:color w:val="000000"/>
          <w:lang w:val="hu-HU"/>
        </w:rPr>
        <w:t>,</w:t>
      </w:r>
      <w:r w:rsidR="00BC2079" w:rsidRPr="00556B9B">
        <w:rPr>
          <w:color w:val="000000"/>
          <w:lang w:val="hu-HU"/>
        </w:rPr>
        <w:t xml:space="preserve"> </w:t>
      </w:r>
      <w:r w:rsidR="00577686" w:rsidRPr="00556B9B">
        <w:rPr>
          <w:color w:val="000000"/>
          <w:lang w:val="hu-HU"/>
        </w:rPr>
        <w:t>GIST</w:t>
      </w:r>
      <w:r w:rsidR="00577686" w:rsidRPr="00556B9B">
        <w:rPr>
          <w:color w:val="000000"/>
          <w:lang w:val="hu-HU"/>
        </w:rPr>
        <w:noBreakHyphen/>
        <w:t>ben, illetve HES/</w:t>
      </w:r>
      <w:smartTag w:uri="urn:schemas-microsoft-com:office:smarttags" w:element="stockticker">
        <w:r w:rsidR="00577686" w:rsidRPr="00556B9B">
          <w:rPr>
            <w:color w:val="000000"/>
            <w:lang w:val="hu-HU"/>
          </w:rPr>
          <w:t>CEL</w:t>
        </w:r>
      </w:smartTag>
      <w:r w:rsidR="00577686" w:rsidRPr="00556B9B">
        <w:rPr>
          <w:color w:val="000000"/>
          <w:lang w:val="hu-HU"/>
        </w:rPr>
        <w:noBreakHyphen/>
        <w:t xml:space="preserve">ben </w:t>
      </w:r>
      <w:r w:rsidR="00BC2079" w:rsidRPr="00556B9B">
        <w:rPr>
          <w:color w:val="000000"/>
          <w:lang w:val="hu-HU"/>
        </w:rPr>
        <w:t>szenvedő gyermekek esetében nagyon kevés tapasztalat áll rendelkezésre.</w:t>
      </w:r>
    </w:p>
    <w:p w14:paraId="545F9678" w14:textId="77777777" w:rsidR="00BC2079" w:rsidRPr="00556B9B" w:rsidRDefault="00BC2079" w:rsidP="00BC2079">
      <w:pPr>
        <w:spacing w:line="240" w:lineRule="auto"/>
        <w:rPr>
          <w:color w:val="000000"/>
          <w:u w:val="single"/>
          <w:lang w:val="hu-HU"/>
        </w:rPr>
      </w:pPr>
    </w:p>
    <w:p w14:paraId="721C4FE9" w14:textId="72A8A696" w:rsidR="00577686" w:rsidRPr="00556B9B" w:rsidRDefault="00577686" w:rsidP="00577686">
      <w:pPr>
        <w:rPr>
          <w:color w:val="000000"/>
          <w:szCs w:val="22"/>
          <w:lang w:val="hu-HU"/>
        </w:rPr>
      </w:pPr>
      <w:r w:rsidRPr="00E72BFA">
        <w:rPr>
          <w:lang w:val="hu-HU" w:eastAsia="hu-HU"/>
        </w:rPr>
        <w:t>Az imatinib biztonságosságát és hatásosságát MDS/MPD, DFSP, GIST és HES/CEL</w:t>
      </w:r>
      <w:r w:rsidRPr="00E72BFA">
        <w:rPr>
          <w:lang w:val="hu-HU"/>
        </w:rPr>
        <w:noBreakHyphen/>
      </w:r>
      <w:r w:rsidRPr="00E72BFA">
        <w:rPr>
          <w:lang w:val="hu-HU" w:eastAsia="hu-HU"/>
        </w:rPr>
        <w:t>ben szenvedő, 18</w:t>
      </w:r>
      <w:r w:rsidRPr="00E72BFA">
        <w:rPr>
          <w:lang w:val="hu-HU"/>
        </w:rPr>
        <w:t> év</w:t>
      </w:r>
      <w:r w:rsidRPr="00E72BFA">
        <w:rPr>
          <w:lang w:val="hu-HU" w:eastAsia="hu-HU"/>
        </w:rPr>
        <w:t xml:space="preserve">esnél fiatalabb gyermekeknél </w:t>
      </w:r>
      <w:r w:rsidR="00F927FA" w:rsidRPr="00E72BFA">
        <w:rPr>
          <w:lang w:val="hu-HU" w:eastAsia="hu-HU"/>
        </w:rPr>
        <w:t xml:space="preserve">és serdülőknél </w:t>
      </w:r>
      <w:r w:rsidRPr="00E72BFA">
        <w:rPr>
          <w:lang w:val="hu-HU" w:eastAsia="hu-HU"/>
        </w:rPr>
        <w:t>klinikai vizsgálatokban nem igazolták.</w:t>
      </w:r>
      <w:r w:rsidRPr="00E72BFA">
        <w:rPr>
          <w:color w:val="000000"/>
          <w:lang w:val="hu-HU" w:eastAsia="hu-HU"/>
        </w:rPr>
        <w:t xml:space="preserve"> A jelenleg rendelkezésre álló, publikált adatok leirata az 5.1</w:t>
      </w:r>
      <w:r w:rsidRPr="00E72BFA">
        <w:rPr>
          <w:color w:val="000000"/>
          <w:lang w:val="hu-HU"/>
        </w:rPr>
        <w:t> pont</w:t>
      </w:r>
      <w:r w:rsidRPr="00E72BFA">
        <w:rPr>
          <w:color w:val="000000"/>
          <w:lang w:val="hu-HU" w:eastAsia="hu-HU"/>
        </w:rPr>
        <w:t>ban van összefoglalva, de nincs az adagolásra vonatkozó javallat.</w:t>
      </w:r>
    </w:p>
    <w:p w14:paraId="43328113" w14:textId="77777777" w:rsidR="00577686" w:rsidRPr="00556B9B" w:rsidRDefault="00577686" w:rsidP="00577686">
      <w:pPr>
        <w:rPr>
          <w:lang w:val="hu-HU"/>
        </w:rPr>
      </w:pPr>
    </w:p>
    <w:p w14:paraId="038E913E" w14:textId="77777777" w:rsidR="00BC2079" w:rsidRPr="00E72BFA" w:rsidRDefault="00BC2079" w:rsidP="00BC2079">
      <w:pPr>
        <w:spacing w:line="240" w:lineRule="auto"/>
        <w:rPr>
          <w:color w:val="000000"/>
          <w:lang w:val="hu-HU"/>
        </w:rPr>
      </w:pPr>
      <w:r w:rsidRPr="00556B9B">
        <w:rPr>
          <w:i/>
          <w:color w:val="000000"/>
          <w:lang w:val="hu-HU"/>
        </w:rPr>
        <w:t>Májelégtelenség:</w:t>
      </w:r>
      <w:r w:rsidRPr="00556B9B">
        <w:rPr>
          <w:color w:val="000000"/>
          <w:lang w:val="hu-HU"/>
        </w:rPr>
        <w:t xml:space="preserve"> Az imatinib főként a májon keresztül metabolizálódik. Enyhe, mérsékelt vagy súlyos mértékben </w:t>
      </w:r>
      <w:r w:rsidRPr="00E72BFA">
        <w:rPr>
          <w:color w:val="000000"/>
          <w:lang w:val="hu-HU"/>
        </w:rPr>
        <w:t>károsodott májfunkciójú betegek esetében a legkisebb javasolt adag (napi 400 mg) alkalmazandó. Az adag csökkenthető, ha a beteg nem jól tolerálja (lásd 4.4, 4.8, és 5.2 pontok).</w:t>
      </w:r>
    </w:p>
    <w:p w14:paraId="0F66BB1D" w14:textId="77777777" w:rsidR="00BC2079" w:rsidRPr="00E72BFA" w:rsidRDefault="00BC2079" w:rsidP="00BC2079">
      <w:pPr>
        <w:spacing w:line="240" w:lineRule="auto"/>
        <w:rPr>
          <w:color w:val="000000"/>
          <w:lang w:val="hu-HU"/>
        </w:rPr>
      </w:pPr>
    </w:p>
    <w:p w14:paraId="7324F4DD" w14:textId="60A16E4D" w:rsidR="00BC2079" w:rsidRPr="00E72BFA" w:rsidRDefault="00BC2079" w:rsidP="00F926B9">
      <w:pPr>
        <w:keepNext/>
        <w:spacing w:line="240" w:lineRule="auto"/>
        <w:rPr>
          <w:bCs/>
          <w:color w:val="000000"/>
          <w:lang w:val="hu-HU"/>
        </w:rPr>
      </w:pPr>
      <w:r w:rsidRPr="00E72BFA">
        <w:rPr>
          <w:bCs/>
          <w:color w:val="000000"/>
          <w:lang w:val="hu-HU"/>
        </w:rPr>
        <w:t>A májkárosodás osztályozása:</w:t>
      </w:r>
    </w:p>
    <w:p w14:paraId="6BD2BE5D" w14:textId="77777777" w:rsidR="00BC2079" w:rsidRPr="00E72BFA" w:rsidRDefault="00BC2079" w:rsidP="00F926B9">
      <w:pPr>
        <w:keepNext/>
        <w:spacing w:line="240" w:lineRule="auto"/>
        <w:rPr>
          <w:color w:val="00000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8"/>
        <w:gridCol w:w="5917"/>
      </w:tblGrid>
      <w:tr w:rsidR="00BC2079" w:rsidRPr="00E72BFA" w14:paraId="0CE154C3" w14:textId="77777777" w:rsidTr="00F926B9">
        <w:trPr>
          <w:cantSplit/>
        </w:trPr>
        <w:tc>
          <w:tcPr>
            <w:tcW w:w="3368" w:type="dxa"/>
          </w:tcPr>
          <w:p w14:paraId="0EDDEE33" w14:textId="2C11771C" w:rsidR="00BC2079" w:rsidRPr="00E72BFA" w:rsidRDefault="00BC2079" w:rsidP="00F926B9">
            <w:pPr>
              <w:pStyle w:val="Text"/>
              <w:keepNext/>
              <w:spacing w:before="0"/>
              <w:jc w:val="left"/>
              <w:rPr>
                <w:color w:val="000000"/>
                <w:sz w:val="22"/>
                <w:lang w:val="hu-HU"/>
              </w:rPr>
            </w:pPr>
            <w:r w:rsidRPr="00E72BFA">
              <w:rPr>
                <w:color w:val="000000"/>
                <w:sz w:val="22"/>
                <w:lang w:val="hu-HU"/>
              </w:rPr>
              <w:t>Májkárosodás</w:t>
            </w:r>
          </w:p>
        </w:tc>
        <w:tc>
          <w:tcPr>
            <w:tcW w:w="5917" w:type="dxa"/>
          </w:tcPr>
          <w:p w14:paraId="7307CA1B" w14:textId="77777777" w:rsidR="00BC2079" w:rsidRPr="00E72BFA" w:rsidRDefault="00BC2079" w:rsidP="00F926B9">
            <w:pPr>
              <w:pStyle w:val="Text"/>
              <w:keepNext/>
              <w:spacing w:before="0"/>
              <w:jc w:val="left"/>
              <w:rPr>
                <w:color w:val="000000"/>
                <w:sz w:val="22"/>
                <w:lang w:val="hu-HU"/>
              </w:rPr>
            </w:pPr>
            <w:r w:rsidRPr="00E72BFA">
              <w:rPr>
                <w:color w:val="000000"/>
                <w:sz w:val="22"/>
                <w:lang w:val="hu-HU"/>
              </w:rPr>
              <w:t>Májfunkciós vizsgálatok</w:t>
            </w:r>
          </w:p>
        </w:tc>
      </w:tr>
      <w:tr w:rsidR="00BC2079" w:rsidRPr="001D3D33" w14:paraId="2E5F7134" w14:textId="77777777" w:rsidTr="00F926B9">
        <w:trPr>
          <w:cantSplit/>
        </w:trPr>
        <w:tc>
          <w:tcPr>
            <w:tcW w:w="3368" w:type="dxa"/>
          </w:tcPr>
          <w:p w14:paraId="3B7D867F" w14:textId="77777777" w:rsidR="00BC2079" w:rsidRPr="00E72BFA" w:rsidRDefault="00BC2079" w:rsidP="00F926B9">
            <w:pPr>
              <w:pStyle w:val="Text"/>
              <w:keepNext/>
              <w:spacing w:before="0"/>
              <w:jc w:val="left"/>
              <w:rPr>
                <w:color w:val="000000"/>
                <w:sz w:val="22"/>
                <w:lang w:val="de-CH"/>
              </w:rPr>
            </w:pPr>
            <w:r w:rsidRPr="00E72BFA">
              <w:rPr>
                <w:color w:val="000000"/>
                <w:sz w:val="22"/>
                <w:lang w:val="de-CH"/>
              </w:rPr>
              <w:t>Enyhe</w:t>
            </w:r>
          </w:p>
        </w:tc>
        <w:tc>
          <w:tcPr>
            <w:tcW w:w="5917" w:type="dxa"/>
          </w:tcPr>
          <w:p w14:paraId="599D7ED1" w14:textId="77777777" w:rsidR="00BC2079" w:rsidRPr="00E72BFA" w:rsidRDefault="00BC2079" w:rsidP="00F926B9">
            <w:pPr>
              <w:keepNext/>
              <w:spacing w:line="240" w:lineRule="auto"/>
              <w:rPr>
                <w:snapToGrid w:val="0"/>
                <w:color w:val="000000"/>
                <w:lang w:val="de-CH"/>
              </w:rPr>
            </w:pPr>
            <w:r w:rsidRPr="00E72BFA">
              <w:rPr>
                <w:snapToGrid w:val="0"/>
                <w:color w:val="000000"/>
                <w:lang w:val="de-CH"/>
              </w:rPr>
              <w:t>Összbilirubin: = 1,5 ULN</w:t>
            </w:r>
          </w:p>
          <w:p w14:paraId="0A16F91D" w14:textId="77777777" w:rsidR="00BC2079" w:rsidRPr="00556B9B" w:rsidRDefault="00BC2079" w:rsidP="00F926B9">
            <w:pPr>
              <w:pStyle w:val="Text"/>
              <w:keepNext/>
              <w:spacing w:before="0"/>
              <w:jc w:val="left"/>
              <w:rPr>
                <w:color w:val="000000"/>
                <w:sz w:val="22"/>
                <w:lang w:val="de-CH"/>
              </w:rPr>
            </w:pPr>
            <w:smartTag w:uri="urn:schemas-microsoft-com:office:smarttags" w:element="stockticker">
              <w:r w:rsidRPr="00E72BFA">
                <w:rPr>
                  <w:snapToGrid w:val="0"/>
                  <w:color w:val="000000"/>
                  <w:sz w:val="22"/>
                  <w:lang w:val="de-CH"/>
                </w:rPr>
                <w:t>GOT</w:t>
              </w:r>
            </w:smartTag>
            <w:r w:rsidRPr="00E72BFA">
              <w:rPr>
                <w:snapToGrid w:val="0"/>
                <w:color w:val="000000"/>
                <w:sz w:val="22"/>
                <w:lang w:val="de-CH"/>
              </w:rPr>
              <w:t>: &gt; ULN (lehet normális vagy &lt; ULN, ha az</w:t>
            </w:r>
            <w:r w:rsidRPr="00E72BFA">
              <w:rPr>
                <w:snapToGrid w:val="0"/>
                <w:color w:val="000000"/>
                <w:sz w:val="22"/>
                <w:lang w:val="hu-HU"/>
              </w:rPr>
              <w:t xml:space="preserve"> összbilirubin</w:t>
            </w:r>
            <w:r w:rsidRPr="00E72BFA">
              <w:rPr>
                <w:snapToGrid w:val="0"/>
                <w:color w:val="000000"/>
                <w:sz w:val="22"/>
                <w:lang w:val="de-CH"/>
              </w:rPr>
              <w:t xml:space="preserve"> &gt; ULN)</w:t>
            </w:r>
          </w:p>
        </w:tc>
      </w:tr>
      <w:tr w:rsidR="00BC2079" w:rsidRPr="00556B9B" w14:paraId="5C83544A" w14:textId="77777777" w:rsidTr="00F926B9">
        <w:trPr>
          <w:cantSplit/>
        </w:trPr>
        <w:tc>
          <w:tcPr>
            <w:tcW w:w="3368" w:type="dxa"/>
          </w:tcPr>
          <w:p w14:paraId="1E869D0D" w14:textId="77777777" w:rsidR="00BC2079" w:rsidRPr="00556B9B" w:rsidRDefault="00BC2079" w:rsidP="00F926B9">
            <w:pPr>
              <w:pStyle w:val="Text"/>
              <w:keepNext/>
              <w:spacing w:before="0"/>
              <w:jc w:val="left"/>
              <w:rPr>
                <w:color w:val="000000"/>
                <w:sz w:val="22"/>
                <w:lang w:val="de-CH"/>
              </w:rPr>
            </w:pPr>
            <w:r w:rsidRPr="00556B9B">
              <w:rPr>
                <w:color w:val="000000"/>
                <w:sz w:val="22"/>
                <w:lang w:val="hu-HU"/>
              </w:rPr>
              <w:t>Mérsékelt</w:t>
            </w:r>
          </w:p>
        </w:tc>
        <w:tc>
          <w:tcPr>
            <w:tcW w:w="5917" w:type="dxa"/>
          </w:tcPr>
          <w:p w14:paraId="2D43C84D" w14:textId="77777777" w:rsidR="00BC2079" w:rsidRPr="00556B9B" w:rsidRDefault="00BC2079" w:rsidP="00F926B9">
            <w:pPr>
              <w:keepNext/>
              <w:spacing w:line="240" w:lineRule="auto"/>
              <w:rPr>
                <w:snapToGrid w:val="0"/>
                <w:color w:val="000000"/>
                <w:lang w:val="de-CH"/>
              </w:rPr>
            </w:pPr>
            <w:r w:rsidRPr="00556B9B">
              <w:rPr>
                <w:snapToGrid w:val="0"/>
                <w:color w:val="000000"/>
                <w:lang w:val="de-CH"/>
              </w:rPr>
              <w:t>Összbilirubin: &gt; 1,5</w:t>
            </w:r>
            <w:r w:rsidRPr="00556B9B">
              <w:rPr>
                <w:color w:val="000000"/>
                <w:lang w:val="de-CH"/>
              </w:rPr>
              <w:t>–</w:t>
            </w:r>
            <w:r w:rsidRPr="00556B9B">
              <w:rPr>
                <w:snapToGrid w:val="0"/>
                <w:color w:val="000000"/>
                <w:lang w:val="de-CH"/>
              </w:rPr>
              <w:t>3,0 ULN</w:t>
            </w:r>
          </w:p>
          <w:p w14:paraId="1C67FDE1" w14:textId="77777777" w:rsidR="00BC2079" w:rsidRPr="00556B9B" w:rsidRDefault="00BC2079" w:rsidP="00F926B9">
            <w:pPr>
              <w:pStyle w:val="Text"/>
              <w:keepNext/>
              <w:spacing w:before="0"/>
              <w:jc w:val="left"/>
              <w:rPr>
                <w:color w:val="000000"/>
                <w:sz w:val="22"/>
                <w:lang w:val="en-GB"/>
              </w:rPr>
            </w:pPr>
            <w:smartTag w:uri="urn:schemas-microsoft-com:office:smarttags" w:element="stockticker">
              <w:r w:rsidRPr="00556B9B">
                <w:rPr>
                  <w:snapToGrid w:val="0"/>
                  <w:color w:val="000000"/>
                  <w:sz w:val="22"/>
                </w:rPr>
                <w:t>GOT</w:t>
              </w:r>
            </w:smartTag>
            <w:r w:rsidRPr="00556B9B">
              <w:rPr>
                <w:snapToGrid w:val="0"/>
                <w:color w:val="000000"/>
                <w:sz w:val="22"/>
              </w:rPr>
              <w:t>:</w:t>
            </w:r>
            <w:r w:rsidRPr="00556B9B">
              <w:rPr>
                <w:snapToGrid w:val="0"/>
                <w:color w:val="000000"/>
                <w:sz w:val="22"/>
                <w:lang w:val="hu-HU"/>
              </w:rPr>
              <w:t xml:space="preserve"> bármennyi</w:t>
            </w:r>
          </w:p>
        </w:tc>
      </w:tr>
      <w:tr w:rsidR="00BC2079" w:rsidRPr="00556B9B" w14:paraId="4F6F07F8" w14:textId="77777777" w:rsidTr="00F926B9">
        <w:trPr>
          <w:cantSplit/>
        </w:trPr>
        <w:tc>
          <w:tcPr>
            <w:tcW w:w="3368" w:type="dxa"/>
          </w:tcPr>
          <w:p w14:paraId="35457386" w14:textId="77777777" w:rsidR="00BC2079" w:rsidRPr="00556B9B" w:rsidRDefault="00BC2079" w:rsidP="00F926B9">
            <w:pPr>
              <w:pStyle w:val="Text"/>
              <w:keepNext/>
              <w:spacing w:before="0"/>
              <w:jc w:val="left"/>
              <w:rPr>
                <w:color w:val="000000"/>
                <w:sz w:val="22"/>
                <w:lang w:val="de-CH"/>
              </w:rPr>
            </w:pPr>
            <w:r w:rsidRPr="00556B9B">
              <w:rPr>
                <w:color w:val="000000"/>
                <w:sz w:val="22"/>
                <w:lang w:val="hu-HU"/>
              </w:rPr>
              <w:t>Súlyos</w:t>
            </w:r>
          </w:p>
        </w:tc>
        <w:tc>
          <w:tcPr>
            <w:tcW w:w="5917" w:type="dxa"/>
          </w:tcPr>
          <w:p w14:paraId="446DB0F3" w14:textId="77777777" w:rsidR="00BC2079" w:rsidRPr="00556B9B" w:rsidRDefault="00BC2079" w:rsidP="00F926B9">
            <w:pPr>
              <w:keepNext/>
              <w:spacing w:line="240" w:lineRule="auto"/>
              <w:rPr>
                <w:snapToGrid w:val="0"/>
                <w:color w:val="000000"/>
                <w:lang w:val="de-CH"/>
              </w:rPr>
            </w:pPr>
            <w:r w:rsidRPr="00556B9B">
              <w:rPr>
                <w:snapToGrid w:val="0"/>
                <w:color w:val="000000"/>
                <w:lang w:val="de-CH"/>
              </w:rPr>
              <w:t>Összbilirubin: &gt; 3</w:t>
            </w:r>
            <w:r w:rsidRPr="00556B9B">
              <w:rPr>
                <w:color w:val="000000"/>
                <w:lang w:val="de-CH"/>
              </w:rPr>
              <w:t>–</w:t>
            </w:r>
            <w:r w:rsidRPr="00556B9B">
              <w:rPr>
                <w:snapToGrid w:val="0"/>
                <w:color w:val="000000"/>
                <w:lang w:val="de-CH"/>
              </w:rPr>
              <w:t>10 ULN</w:t>
            </w:r>
          </w:p>
          <w:p w14:paraId="3F2A28E1" w14:textId="77777777" w:rsidR="00BC2079" w:rsidRPr="00556B9B" w:rsidRDefault="00BC2079" w:rsidP="00F926B9">
            <w:pPr>
              <w:pStyle w:val="Text"/>
              <w:keepNext/>
              <w:spacing w:before="0"/>
              <w:jc w:val="left"/>
              <w:rPr>
                <w:color w:val="000000"/>
                <w:sz w:val="22"/>
                <w:lang w:val="en-GB"/>
              </w:rPr>
            </w:pPr>
            <w:smartTag w:uri="urn:schemas-microsoft-com:office:smarttags" w:element="stockticker">
              <w:r w:rsidRPr="00556B9B">
                <w:rPr>
                  <w:snapToGrid w:val="0"/>
                  <w:color w:val="000000"/>
                  <w:sz w:val="22"/>
                </w:rPr>
                <w:t>GOT</w:t>
              </w:r>
            </w:smartTag>
            <w:r w:rsidRPr="00556B9B">
              <w:rPr>
                <w:snapToGrid w:val="0"/>
                <w:color w:val="000000"/>
                <w:sz w:val="22"/>
              </w:rPr>
              <w:t>: bármennyi</w:t>
            </w:r>
          </w:p>
        </w:tc>
      </w:tr>
    </w:tbl>
    <w:p w14:paraId="719192D4" w14:textId="77777777" w:rsidR="00BC2079" w:rsidRPr="00556B9B" w:rsidRDefault="00BC2079" w:rsidP="00F926B9">
      <w:pPr>
        <w:pStyle w:val="Text"/>
        <w:keepNext/>
        <w:spacing w:before="0"/>
        <w:jc w:val="left"/>
        <w:rPr>
          <w:color w:val="000000"/>
          <w:sz w:val="22"/>
        </w:rPr>
      </w:pPr>
      <w:r w:rsidRPr="00556B9B">
        <w:rPr>
          <w:color w:val="000000"/>
          <w:sz w:val="22"/>
        </w:rPr>
        <w:t>ULN = az adott intézményben alkalmazott normál tartomány felső határa</w:t>
      </w:r>
    </w:p>
    <w:p w14:paraId="78BAB1C5" w14:textId="77777777" w:rsidR="00BC2079" w:rsidRPr="00556B9B" w:rsidRDefault="00BC2079" w:rsidP="00BC2079">
      <w:pPr>
        <w:autoSpaceDE w:val="0"/>
        <w:autoSpaceDN w:val="0"/>
        <w:adjustRightInd w:val="0"/>
        <w:spacing w:line="240" w:lineRule="auto"/>
        <w:ind w:left="993" w:hanging="993"/>
        <w:rPr>
          <w:rFonts w:eastAsia="MS Mincho"/>
          <w:color w:val="000000"/>
          <w:lang w:eastAsia="ja-JP"/>
        </w:rPr>
      </w:pPr>
      <w:smartTag w:uri="urn:schemas-microsoft-com:office:smarttags" w:element="stockticker">
        <w:r w:rsidRPr="00556B9B">
          <w:rPr>
            <w:rFonts w:eastAsia="MS Mincho"/>
            <w:color w:val="000000"/>
            <w:lang w:eastAsia="ja-JP"/>
          </w:rPr>
          <w:t>GOT</w:t>
        </w:r>
      </w:smartTag>
      <w:r w:rsidRPr="00556B9B">
        <w:rPr>
          <w:rFonts w:eastAsia="MS Mincho"/>
          <w:color w:val="000000"/>
          <w:lang w:eastAsia="ja-JP"/>
        </w:rPr>
        <w:t xml:space="preserve"> = </w:t>
      </w:r>
      <w:r w:rsidRPr="00556B9B">
        <w:rPr>
          <w:color w:val="000000"/>
        </w:rPr>
        <w:t>glutaminsav-oxálecetsav transzamináz</w:t>
      </w:r>
    </w:p>
    <w:p w14:paraId="2D42BBFE" w14:textId="77777777" w:rsidR="00BC2079" w:rsidRPr="00556B9B" w:rsidRDefault="00BC2079" w:rsidP="00BC2079">
      <w:pPr>
        <w:spacing w:line="240" w:lineRule="auto"/>
        <w:rPr>
          <w:color w:val="000000"/>
          <w:lang w:val="hu-HU"/>
        </w:rPr>
      </w:pPr>
    </w:p>
    <w:p w14:paraId="7432C8A0" w14:textId="35133FAB" w:rsidR="00BC2079" w:rsidRPr="0019063C" w:rsidRDefault="00BC2079" w:rsidP="00BC2079">
      <w:pPr>
        <w:spacing w:line="240" w:lineRule="auto"/>
        <w:rPr>
          <w:color w:val="000000"/>
          <w:lang w:val="hu-HU"/>
        </w:rPr>
      </w:pPr>
      <w:r w:rsidRPr="0019063C">
        <w:rPr>
          <w:i/>
          <w:color w:val="000000"/>
          <w:lang w:val="hu-HU"/>
        </w:rPr>
        <w:t>Veseelégtelenség:</w:t>
      </w:r>
      <w:r w:rsidRPr="0019063C">
        <w:rPr>
          <w:color w:val="000000"/>
          <w:lang w:val="hu-HU"/>
        </w:rPr>
        <w:t xml:space="preserve"> A </w:t>
      </w:r>
      <w:r w:rsidR="00235065" w:rsidRPr="0019063C">
        <w:rPr>
          <w:color w:val="000000"/>
          <w:lang w:val="hu-HU"/>
        </w:rPr>
        <w:t>vesekárosodásban szenvedő</w:t>
      </w:r>
      <w:r w:rsidRPr="0019063C">
        <w:rPr>
          <w:color w:val="000000"/>
          <w:lang w:val="hu-HU"/>
        </w:rPr>
        <w:t xml:space="preserve"> vagy dializált betegek kezelését a legalacsonyabb ajánlott kezdő adaggal (400 mg) kell megkezdeni. Ezeknél a betegeknél azonban fokozott óvatosság ajánlott. Az adag csökkenthető, ha a beteg nem jól tolerálja. Ha a beteg tolerálja, hatástalanság esetén az adag emelhető (lásd 4.4 és 5.2 pont).</w:t>
      </w:r>
    </w:p>
    <w:p w14:paraId="5B479BA8" w14:textId="77777777" w:rsidR="00BC2079" w:rsidRPr="0019063C" w:rsidRDefault="00BC2079" w:rsidP="00BC2079">
      <w:pPr>
        <w:spacing w:line="240" w:lineRule="auto"/>
        <w:rPr>
          <w:color w:val="000000"/>
          <w:lang w:val="hu-HU"/>
        </w:rPr>
      </w:pPr>
    </w:p>
    <w:p w14:paraId="652B6DD8" w14:textId="3E7E5C70" w:rsidR="00BC2079" w:rsidRPr="00556B9B" w:rsidRDefault="00BC2079" w:rsidP="00BC2079">
      <w:pPr>
        <w:spacing w:line="240" w:lineRule="auto"/>
        <w:rPr>
          <w:color w:val="000000"/>
          <w:lang w:val="hu-HU"/>
        </w:rPr>
      </w:pPr>
      <w:r w:rsidRPr="0019063C">
        <w:rPr>
          <w:i/>
          <w:color w:val="000000"/>
          <w:lang w:val="hu-HU"/>
        </w:rPr>
        <w:t>Idős</w:t>
      </w:r>
      <w:r w:rsidR="00667373" w:rsidRPr="0019063C">
        <w:rPr>
          <w:i/>
          <w:color w:val="000000"/>
          <w:lang w:val="hu-HU"/>
        </w:rPr>
        <w:t>ek</w:t>
      </w:r>
      <w:r w:rsidRPr="0019063C">
        <w:rPr>
          <w:i/>
          <w:color w:val="000000"/>
          <w:lang w:val="hu-HU"/>
        </w:rPr>
        <w:t>:</w:t>
      </w:r>
      <w:r w:rsidRPr="0019063C">
        <w:rPr>
          <w:color w:val="000000"/>
          <w:lang w:val="hu-HU"/>
        </w:rPr>
        <w:t xml:space="preserve"> nem végeztek specifikus vizsgálatokat az imatinib farmakokinetikájára vonatkozóan idősek</w:t>
      </w:r>
      <w:r w:rsidR="00667373" w:rsidRPr="0019063C">
        <w:rPr>
          <w:color w:val="000000"/>
          <w:lang w:val="hu-HU"/>
        </w:rPr>
        <w:t>nél</w:t>
      </w:r>
      <w:r w:rsidRPr="0019063C">
        <w:rPr>
          <w:color w:val="000000"/>
          <w:lang w:val="hu-HU"/>
        </w:rPr>
        <w:t xml:space="preserve">. Klinikai vizsgálatokban, felnőtt kezeltekben </w:t>
      </w:r>
      <w:r w:rsidRPr="0019063C">
        <w:rPr>
          <w:color w:val="000000"/>
          <w:lang w:val="hu-HU"/>
        </w:rPr>
        <w:noBreakHyphen/>
        <w:t> amelyekben több mint 20%</w:t>
      </w:r>
      <w:r w:rsidRPr="0019063C">
        <w:rPr>
          <w:color w:val="000000"/>
          <w:lang w:val="hu-HU"/>
        </w:rPr>
        <w:noBreakHyphen/>
        <w:t>ban 65 éves, illetve idősebb betegek vettek részt </w:t>
      </w:r>
      <w:r w:rsidRPr="0019063C">
        <w:rPr>
          <w:color w:val="000000"/>
          <w:lang w:val="hu-HU"/>
        </w:rPr>
        <w:noBreakHyphen/>
        <w:t xml:space="preserve"> nem tapasztaltak jelentős, korhoz kötött farmakokinetikai különbségeket. Nem szükséges specifikus </w:t>
      </w:r>
      <w:r w:rsidR="00235065" w:rsidRPr="0019063C">
        <w:rPr>
          <w:color w:val="000000"/>
          <w:lang w:val="hu-HU"/>
        </w:rPr>
        <w:t>dózis</w:t>
      </w:r>
      <w:r w:rsidRPr="0019063C">
        <w:rPr>
          <w:color w:val="000000"/>
          <w:lang w:val="hu-HU"/>
        </w:rPr>
        <w:t>módosítás időskorban</w:t>
      </w:r>
      <w:r w:rsidRPr="00556B9B">
        <w:rPr>
          <w:color w:val="000000"/>
          <w:lang w:val="hu-HU"/>
        </w:rPr>
        <w:t>.</w:t>
      </w:r>
    </w:p>
    <w:p w14:paraId="4E21F44C" w14:textId="77777777" w:rsidR="00BC2079" w:rsidRPr="00556B9B" w:rsidRDefault="00BC2079" w:rsidP="00BC2079">
      <w:pPr>
        <w:spacing w:line="240" w:lineRule="auto"/>
        <w:rPr>
          <w:color w:val="000000"/>
          <w:lang w:val="hu-HU"/>
        </w:rPr>
      </w:pPr>
    </w:p>
    <w:p w14:paraId="07A5F8FB" w14:textId="77777777" w:rsidR="00153AD1" w:rsidRPr="00556B9B" w:rsidRDefault="00153AD1" w:rsidP="00F926B9">
      <w:pPr>
        <w:keepNext/>
        <w:spacing w:line="240" w:lineRule="auto"/>
        <w:ind w:left="567" w:hanging="567"/>
        <w:rPr>
          <w:b/>
          <w:color w:val="000000"/>
          <w:lang w:val="hu-HU"/>
        </w:rPr>
      </w:pPr>
      <w:r w:rsidRPr="00556B9B">
        <w:rPr>
          <w:b/>
          <w:color w:val="000000"/>
          <w:lang w:val="hu-HU"/>
        </w:rPr>
        <w:t>4.3</w:t>
      </w:r>
      <w:r w:rsidRPr="00556B9B">
        <w:rPr>
          <w:b/>
          <w:color w:val="000000"/>
          <w:lang w:val="hu-HU"/>
        </w:rPr>
        <w:tab/>
        <w:t>Ellenjavallatok</w:t>
      </w:r>
    </w:p>
    <w:p w14:paraId="054D61D8" w14:textId="77777777" w:rsidR="00153AD1" w:rsidRPr="00556B9B" w:rsidRDefault="00153AD1" w:rsidP="00F926B9">
      <w:pPr>
        <w:keepNext/>
        <w:spacing w:line="240" w:lineRule="auto"/>
        <w:rPr>
          <w:color w:val="000000"/>
          <w:lang w:val="hu-HU"/>
        </w:rPr>
      </w:pPr>
    </w:p>
    <w:p w14:paraId="04AF58D7" w14:textId="77777777" w:rsidR="00153AD1" w:rsidRPr="00556B9B" w:rsidRDefault="00153AD1" w:rsidP="00153AD1">
      <w:pPr>
        <w:spacing w:line="240" w:lineRule="auto"/>
        <w:rPr>
          <w:color w:val="000000"/>
          <w:lang w:val="hu-HU"/>
        </w:rPr>
      </w:pPr>
      <w:r w:rsidRPr="00556B9B">
        <w:rPr>
          <w:color w:val="000000"/>
          <w:lang w:val="hu-HU"/>
        </w:rPr>
        <w:t>A készítmény hatóanyagával vagy</w:t>
      </w:r>
      <w:r w:rsidRPr="00556B9B">
        <w:rPr>
          <w:noProof/>
          <w:szCs w:val="22"/>
          <w:lang w:val="hu-HU" w:eastAsia="en-US"/>
        </w:rPr>
        <w:t xml:space="preserve"> a 6.1 pontban felsorolt</w:t>
      </w:r>
      <w:r w:rsidRPr="00556B9B">
        <w:rPr>
          <w:color w:val="000000"/>
          <w:lang w:val="hu-HU"/>
        </w:rPr>
        <w:t xml:space="preserve"> bármely segédanyagával szembeni túlérzékenység.</w:t>
      </w:r>
    </w:p>
    <w:p w14:paraId="55EFDA84" w14:textId="77777777" w:rsidR="00153AD1" w:rsidRPr="00556B9B" w:rsidRDefault="00153AD1" w:rsidP="00153AD1">
      <w:pPr>
        <w:spacing w:line="240" w:lineRule="auto"/>
        <w:ind w:left="567" w:hanging="567"/>
        <w:rPr>
          <w:color w:val="000000"/>
          <w:lang w:val="hu-HU"/>
        </w:rPr>
      </w:pPr>
    </w:p>
    <w:p w14:paraId="6D9ECC72" w14:textId="77777777" w:rsidR="00153AD1" w:rsidRPr="0019063C" w:rsidRDefault="00153AD1" w:rsidP="00F926B9">
      <w:pPr>
        <w:keepNext/>
        <w:spacing w:line="240" w:lineRule="auto"/>
        <w:ind w:left="567" w:hanging="567"/>
        <w:rPr>
          <w:b/>
          <w:color w:val="000000"/>
          <w:lang w:val="hu-HU"/>
        </w:rPr>
      </w:pPr>
      <w:r w:rsidRPr="00556B9B">
        <w:rPr>
          <w:b/>
          <w:color w:val="000000"/>
          <w:lang w:val="hu-HU"/>
        </w:rPr>
        <w:t>4.4</w:t>
      </w:r>
      <w:r w:rsidRPr="00556B9B">
        <w:rPr>
          <w:b/>
          <w:color w:val="000000"/>
          <w:lang w:val="hu-HU"/>
        </w:rPr>
        <w:tab/>
        <w:t xml:space="preserve">Különleges figyelmeztetések és az </w:t>
      </w:r>
      <w:r w:rsidRPr="0019063C">
        <w:rPr>
          <w:b/>
          <w:color w:val="000000"/>
          <w:lang w:val="hu-HU"/>
        </w:rPr>
        <w:t>alkalmazással kapcsolatos óvintézkedések</w:t>
      </w:r>
    </w:p>
    <w:p w14:paraId="00163119" w14:textId="77777777" w:rsidR="00153AD1" w:rsidRPr="0019063C" w:rsidRDefault="00153AD1" w:rsidP="00F926B9">
      <w:pPr>
        <w:keepNext/>
        <w:spacing w:line="240" w:lineRule="auto"/>
        <w:rPr>
          <w:color w:val="000000"/>
          <w:lang w:val="hu-HU"/>
        </w:rPr>
      </w:pPr>
    </w:p>
    <w:p w14:paraId="6E662CF9" w14:textId="574A42C9" w:rsidR="00153AD1" w:rsidRPr="00556B9B" w:rsidRDefault="00A77F22" w:rsidP="00153AD1">
      <w:pPr>
        <w:spacing w:line="240" w:lineRule="auto"/>
        <w:rPr>
          <w:color w:val="000000"/>
          <w:lang w:val="hu-HU"/>
        </w:rPr>
      </w:pPr>
      <w:r w:rsidRPr="0019063C">
        <w:rPr>
          <w:color w:val="000000"/>
          <w:lang w:val="hu-HU"/>
        </w:rPr>
        <w:t>Ha a</w:t>
      </w:r>
      <w:r w:rsidR="00153AD1" w:rsidRPr="0019063C">
        <w:rPr>
          <w:color w:val="000000"/>
          <w:lang w:val="hu-HU"/>
        </w:rPr>
        <w:t xml:space="preserve"> Glivec</w:t>
      </w:r>
      <w:r w:rsidR="00153AD1" w:rsidRPr="0019063C">
        <w:rPr>
          <w:color w:val="000000"/>
          <w:lang w:val="hu-HU"/>
        </w:rPr>
        <w:noBreakHyphen/>
        <w:t xml:space="preserve">et egyéb gyógyszerkészítményekkel adják egyidejűleg, számolni kell a gyógyszerkölcsönhatások kialakulásának lehetőségével. </w:t>
      </w:r>
      <w:r w:rsidR="00153AD1" w:rsidRPr="0019063C">
        <w:rPr>
          <w:lang w:val="hu-HU"/>
        </w:rPr>
        <w:t>Elővigyázatosság szükséges, ha a Glivec</w:t>
      </w:r>
      <w:r w:rsidR="00153AD1" w:rsidRPr="0019063C">
        <w:rPr>
          <w:lang w:val="hu-HU"/>
        </w:rPr>
        <w:noBreakHyphen/>
        <w:t>et proteáz</w:t>
      </w:r>
      <w:r w:rsidR="00153AD1" w:rsidRPr="0019063C">
        <w:rPr>
          <w:lang w:val="hu-HU"/>
        </w:rPr>
        <w:noBreakHyphen/>
        <w:t>inhib</w:t>
      </w:r>
      <w:r w:rsidR="002E72A4">
        <w:rPr>
          <w:lang w:val="hu-HU"/>
        </w:rPr>
        <w:t>i</w:t>
      </w:r>
      <w:r w:rsidR="00153AD1" w:rsidRPr="0019063C">
        <w:rPr>
          <w:lang w:val="hu-HU"/>
        </w:rPr>
        <w:t>torokkal, azol</w:t>
      </w:r>
      <w:r w:rsidRPr="0019063C">
        <w:rPr>
          <w:lang w:val="hu-HU"/>
        </w:rPr>
        <w:t>-típusú</w:t>
      </w:r>
      <w:r w:rsidR="00153AD1" w:rsidRPr="0019063C">
        <w:rPr>
          <w:lang w:val="hu-HU"/>
        </w:rPr>
        <w:t xml:space="preserve"> gombaellenes szerekkel, egyes makrolidokkal (lásd 4.5 pont), szűk terápiás ablakú CYP3A4</w:t>
      </w:r>
      <w:r w:rsidR="00153AD1" w:rsidRPr="0019063C">
        <w:rPr>
          <w:lang w:val="hu-HU"/>
        </w:rPr>
        <w:noBreakHyphen/>
        <w:t>szubsztráttal (pl. ciklosporin</w:t>
      </w:r>
      <w:r w:rsidR="00153AD1" w:rsidRPr="00556B9B">
        <w:rPr>
          <w:lang w:val="hu-HU"/>
        </w:rPr>
        <w:t xml:space="preserve">, pimozid, </w:t>
      </w:r>
      <w:r w:rsidR="00153AD1" w:rsidRPr="00556B9B">
        <w:rPr>
          <w:color w:val="000000"/>
          <w:szCs w:val="22"/>
          <w:lang w:val="hu-HU"/>
        </w:rPr>
        <w:t>takrolimusz, szirolimusz, ergotamin, diergotamin, fentanil, alfentanil, terfenadin, bortezomib, docetaxel, kinidin</w:t>
      </w:r>
      <w:r w:rsidR="00153AD1" w:rsidRPr="00556B9B">
        <w:rPr>
          <w:lang w:val="hu-HU"/>
        </w:rPr>
        <w:t>) vagy warfarinnal és egyéb kumarin</w:t>
      </w:r>
      <w:r w:rsidR="00153AD1" w:rsidRPr="00556B9B">
        <w:rPr>
          <w:lang w:val="hu-HU"/>
        </w:rPr>
        <w:noBreakHyphen/>
        <w:t>származékokkal együtt szedik (lásd 4.5 pont).</w:t>
      </w:r>
    </w:p>
    <w:p w14:paraId="60D842B2" w14:textId="77777777" w:rsidR="00153AD1" w:rsidRPr="00556B9B" w:rsidRDefault="00153AD1" w:rsidP="00153AD1">
      <w:pPr>
        <w:pStyle w:val="BodyText"/>
        <w:spacing w:line="240" w:lineRule="auto"/>
        <w:rPr>
          <w:b w:val="0"/>
          <w:i w:val="0"/>
          <w:color w:val="000000"/>
          <w:lang w:val="hu-HU"/>
        </w:rPr>
      </w:pPr>
    </w:p>
    <w:p w14:paraId="6383800D" w14:textId="56F10AFC" w:rsidR="00153AD1" w:rsidRPr="00556B9B" w:rsidRDefault="00153AD1" w:rsidP="00153AD1">
      <w:pPr>
        <w:pStyle w:val="BodyText"/>
        <w:spacing w:line="240" w:lineRule="auto"/>
        <w:rPr>
          <w:b w:val="0"/>
          <w:i w:val="0"/>
          <w:color w:val="000000"/>
          <w:lang w:val="hu-HU"/>
        </w:rPr>
      </w:pPr>
      <w:r w:rsidRPr="0019063C">
        <w:rPr>
          <w:b w:val="0"/>
          <w:i w:val="0"/>
          <w:color w:val="000000"/>
          <w:lang w:val="hu-HU"/>
        </w:rPr>
        <w:t>Az imatinib és a CYP3A4</w:t>
      </w:r>
      <w:r w:rsidRPr="0019063C">
        <w:rPr>
          <w:b w:val="0"/>
          <w:i w:val="0"/>
          <w:color w:val="000000"/>
          <w:lang w:val="hu-HU"/>
        </w:rPr>
        <w:noBreakHyphen/>
        <w:t xml:space="preserve">et indukáló gyógyszerek (pl dexametazon, fenitoin, karbamazepin, rifampicin, fenobarbitál, vagy </w:t>
      </w:r>
      <w:r w:rsidRPr="0019063C">
        <w:rPr>
          <w:b w:val="0"/>
          <w:color w:val="000000"/>
          <w:lang w:val="hu-HU"/>
        </w:rPr>
        <w:t>Hypericum perforatum,</w:t>
      </w:r>
      <w:r w:rsidRPr="0019063C">
        <w:rPr>
          <w:b w:val="0"/>
          <w:i w:val="0"/>
          <w:color w:val="000000"/>
          <w:lang w:val="hu-HU"/>
        </w:rPr>
        <w:t xml:space="preserve"> másnéven </w:t>
      </w:r>
      <w:r w:rsidR="00A77F22" w:rsidRPr="0019063C">
        <w:rPr>
          <w:b w:val="0"/>
          <w:i w:val="0"/>
          <w:color w:val="000000"/>
          <w:lang w:val="hu-HU"/>
        </w:rPr>
        <w:t xml:space="preserve">közönséges </w:t>
      </w:r>
      <w:r w:rsidRPr="0019063C">
        <w:rPr>
          <w:b w:val="0"/>
          <w:i w:val="0"/>
          <w:color w:val="000000"/>
          <w:lang w:val="hu-HU"/>
        </w:rPr>
        <w:t>orbáncfű) egyidejű alkalmazásakor jelentősen csökkenhet a Glivec expozíció, potenciálisan fokozva a terápiás</w:t>
      </w:r>
      <w:r w:rsidRPr="00556B9B">
        <w:rPr>
          <w:b w:val="0"/>
          <w:i w:val="0"/>
          <w:color w:val="000000"/>
          <w:lang w:val="hu-HU"/>
        </w:rPr>
        <w:t xml:space="preserve"> elégtelenség kockázatát. Ezért kerülni kell az erős CYP3A4 induktorok és az imatinib együttadását (lásd 4.5 pont).</w:t>
      </w:r>
    </w:p>
    <w:p w14:paraId="46D46750" w14:textId="77777777" w:rsidR="00153AD1" w:rsidRPr="00556B9B" w:rsidRDefault="00153AD1" w:rsidP="00153AD1">
      <w:pPr>
        <w:spacing w:line="240" w:lineRule="auto"/>
        <w:rPr>
          <w:color w:val="000000"/>
          <w:lang w:val="hu-HU"/>
        </w:rPr>
      </w:pPr>
    </w:p>
    <w:p w14:paraId="5D8C33D0" w14:textId="77777777" w:rsidR="00153AD1" w:rsidRPr="00556B9B" w:rsidRDefault="00153AD1" w:rsidP="00153AD1">
      <w:pPr>
        <w:pStyle w:val="EndnoteText"/>
        <w:keepNext/>
        <w:widowControl w:val="0"/>
        <w:tabs>
          <w:tab w:val="left" w:pos="7655"/>
        </w:tabs>
        <w:rPr>
          <w:color w:val="000000"/>
          <w:szCs w:val="22"/>
          <w:u w:val="single"/>
          <w:lang w:val="hu-HU"/>
        </w:rPr>
      </w:pPr>
      <w:r w:rsidRPr="00556B9B">
        <w:rPr>
          <w:color w:val="000000"/>
          <w:u w:val="single"/>
          <w:lang w:val="hu-HU"/>
        </w:rPr>
        <w:t>Hypothyreosis</w:t>
      </w:r>
    </w:p>
    <w:p w14:paraId="66ACA4E7" w14:textId="2F04D867" w:rsidR="00153AD1" w:rsidRPr="00556B9B" w:rsidRDefault="00153AD1" w:rsidP="00153AD1">
      <w:pPr>
        <w:spacing w:line="240" w:lineRule="auto"/>
        <w:rPr>
          <w:color w:val="000000"/>
          <w:lang w:val="hu-HU"/>
        </w:rPr>
      </w:pPr>
      <w:r w:rsidRPr="00556B9B">
        <w:rPr>
          <w:color w:val="000000"/>
          <w:lang w:val="hu-HU"/>
        </w:rPr>
        <w:t xml:space="preserve">Thyreoidectomián </w:t>
      </w:r>
      <w:r w:rsidRPr="0019063C">
        <w:rPr>
          <w:color w:val="000000"/>
          <w:lang w:val="hu-HU"/>
        </w:rPr>
        <w:t>átesett, levotiroxin</w:t>
      </w:r>
      <w:r w:rsidR="002E72A4">
        <w:rPr>
          <w:color w:val="000000"/>
          <w:lang w:val="hu-HU"/>
        </w:rPr>
        <w:t>-</w:t>
      </w:r>
      <w:r w:rsidRPr="0019063C">
        <w:rPr>
          <w:color w:val="000000"/>
          <w:lang w:val="hu-HU"/>
        </w:rPr>
        <w:t>pótlás alatt álló betegek Glivec</w:t>
      </w:r>
      <w:r w:rsidRPr="0019063C">
        <w:rPr>
          <w:color w:val="000000"/>
          <w:lang w:val="hu-HU"/>
        </w:rPr>
        <w:noBreakHyphen/>
        <w:t xml:space="preserve">kezelése során beszámoltak </w:t>
      </w:r>
      <w:r w:rsidR="00A77F22" w:rsidRPr="0019063C">
        <w:rPr>
          <w:color w:val="000000"/>
          <w:lang w:val="hu-HU"/>
        </w:rPr>
        <w:t>hypothyreosis</w:t>
      </w:r>
      <w:r w:rsidRPr="0019063C">
        <w:rPr>
          <w:color w:val="000000"/>
          <w:lang w:val="hu-HU"/>
        </w:rPr>
        <w:t xml:space="preserve"> klinikai t</w:t>
      </w:r>
      <w:r w:rsidRPr="00556B9B">
        <w:rPr>
          <w:color w:val="000000"/>
          <w:lang w:val="hu-HU"/>
        </w:rPr>
        <w:t>üneteivel járó esetekről (lásd 4.5 pont). Ebben a betegcsoportban a pajzsmirigyserkentő</w:t>
      </w:r>
      <w:r w:rsidRPr="00556B9B">
        <w:rPr>
          <w:color w:val="000000"/>
          <w:lang w:val="hu-HU"/>
        </w:rPr>
        <w:noBreakHyphen/>
        <w:t>hormon (TSH) szinteket szorosan ellenőrizni kell.</w:t>
      </w:r>
    </w:p>
    <w:p w14:paraId="083F12CE" w14:textId="77777777" w:rsidR="00153AD1" w:rsidRPr="00556B9B" w:rsidRDefault="00153AD1" w:rsidP="00153AD1">
      <w:pPr>
        <w:spacing w:line="240" w:lineRule="auto"/>
        <w:rPr>
          <w:color w:val="000000"/>
          <w:lang w:val="hu-HU"/>
        </w:rPr>
      </w:pPr>
    </w:p>
    <w:p w14:paraId="76C116FD" w14:textId="77777777" w:rsidR="00153AD1" w:rsidRPr="00556B9B" w:rsidRDefault="00153AD1" w:rsidP="00F926B9">
      <w:pPr>
        <w:pStyle w:val="EndnoteText"/>
        <w:keepNext/>
        <w:widowControl w:val="0"/>
        <w:tabs>
          <w:tab w:val="left" w:pos="7655"/>
        </w:tabs>
        <w:rPr>
          <w:color w:val="000000"/>
          <w:szCs w:val="22"/>
          <w:u w:val="single"/>
          <w:lang w:val="hu-HU"/>
        </w:rPr>
      </w:pPr>
      <w:r w:rsidRPr="00556B9B">
        <w:rPr>
          <w:color w:val="000000"/>
          <w:u w:val="single"/>
          <w:lang w:val="hu-HU"/>
        </w:rPr>
        <w:t>Hepatotoxicitás</w:t>
      </w:r>
    </w:p>
    <w:p w14:paraId="689BE3EA" w14:textId="67EEBB43" w:rsidR="00153AD1" w:rsidRPr="00556B9B" w:rsidRDefault="00153AD1" w:rsidP="00153AD1">
      <w:pPr>
        <w:spacing w:line="240" w:lineRule="auto"/>
        <w:rPr>
          <w:color w:val="000000"/>
          <w:lang w:val="hu-HU"/>
        </w:rPr>
      </w:pPr>
      <w:r w:rsidRPr="00556B9B">
        <w:rPr>
          <w:color w:val="000000"/>
          <w:lang w:val="hu-HU"/>
        </w:rPr>
        <w:t>A Glivec főként a májon keresztül metabolizálódik, csak 13%</w:t>
      </w:r>
      <w:r w:rsidRPr="00556B9B">
        <w:rPr>
          <w:color w:val="000000"/>
          <w:lang w:val="hu-HU"/>
        </w:rPr>
        <w:noBreakHyphen/>
        <w:t xml:space="preserve">a </w:t>
      </w:r>
      <w:r w:rsidRPr="0019063C">
        <w:rPr>
          <w:color w:val="000000"/>
          <w:lang w:val="hu-HU"/>
        </w:rPr>
        <w:t>ürül a vesén keresztül. Enyhe, mérsékelt vagy súlyos mértékben károsodott májfunkciójú betegek</w:t>
      </w:r>
      <w:r w:rsidR="00A77F22" w:rsidRPr="0019063C">
        <w:rPr>
          <w:color w:val="000000"/>
          <w:lang w:val="hu-HU"/>
        </w:rPr>
        <w:t>nél</w:t>
      </w:r>
      <w:r w:rsidRPr="0019063C">
        <w:rPr>
          <w:color w:val="000000"/>
          <w:lang w:val="hu-HU"/>
        </w:rPr>
        <w:t xml:space="preserve"> a</w:t>
      </w:r>
      <w:r w:rsidRPr="00556B9B">
        <w:rPr>
          <w:color w:val="000000"/>
          <w:lang w:val="hu-HU"/>
        </w:rPr>
        <w:t xml:space="preserve"> perifériás vérképet és a májenzimeket gondosan monitorozni kell (lásd 4.2, 4.8 és 5.2 pontok). Megjegyzendő, hogy GIST</w:t>
      </w:r>
      <w:r w:rsidRPr="00556B9B">
        <w:rPr>
          <w:color w:val="000000"/>
          <w:lang w:val="hu-HU"/>
        </w:rPr>
        <w:noBreakHyphen/>
        <w:t>es betegeknek májmetasztázisa is lehet, ami májelégtelenséghez vezethet.</w:t>
      </w:r>
    </w:p>
    <w:p w14:paraId="3F837986" w14:textId="77777777" w:rsidR="00153AD1" w:rsidRPr="00556B9B" w:rsidRDefault="00153AD1" w:rsidP="00153AD1">
      <w:pPr>
        <w:spacing w:line="240" w:lineRule="auto"/>
        <w:rPr>
          <w:color w:val="000000"/>
          <w:lang w:val="hu-HU"/>
        </w:rPr>
      </w:pPr>
    </w:p>
    <w:p w14:paraId="31D9EAA3" w14:textId="77777777" w:rsidR="00153AD1" w:rsidRPr="00556B9B" w:rsidRDefault="00153AD1" w:rsidP="00153AD1">
      <w:pPr>
        <w:spacing w:line="240" w:lineRule="auto"/>
        <w:rPr>
          <w:color w:val="000000"/>
          <w:lang w:val="hu-HU"/>
        </w:rPr>
      </w:pPr>
      <w:r w:rsidRPr="00556B9B">
        <w:rPr>
          <w:color w:val="000000"/>
          <w:lang w:val="hu-HU"/>
        </w:rPr>
        <w:t>Májkárosodás eseteit – beleértve a májelégtelenséget és a májnekrózist – figyelték meg az imatinib alkalmazása mellett. Ha az imatinibet nagy dózisú kemoterápiás kezeléssel kombinációban alkalmazzák, a súlyos májreakciók gyakoriságának növekedését figyelték meg. A májfunkciót gondosan ellenőrizni kell, ha az imatinibet olyan kemoterápiás protokollal alkalmazzák kombinációban, amely ismerten a májfunkció zavaraival járhat (lásd 4.5 és 4.8 pont).</w:t>
      </w:r>
    </w:p>
    <w:p w14:paraId="100B4AB5" w14:textId="77777777" w:rsidR="00153AD1" w:rsidRPr="00556B9B" w:rsidRDefault="00153AD1" w:rsidP="00153AD1">
      <w:pPr>
        <w:spacing w:line="240" w:lineRule="auto"/>
        <w:rPr>
          <w:color w:val="000000"/>
          <w:lang w:val="hu-HU"/>
        </w:rPr>
      </w:pPr>
    </w:p>
    <w:p w14:paraId="1C3DACEA" w14:textId="77777777" w:rsidR="00153AD1" w:rsidRPr="00556B9B" w:rsidRDefault="00153AD1" w:rsidP="00F926B9">
      <w:pPr>
        <w:pStyle w:val="EndnoteText"/>
        <w:keepNext/>
        <w:widowControl w:val="0"/>
        <w:rPr>
          <w:color w:val="000000"/>
          <w:szCs w:val="22"/>
          <w:lang w:val="hu-HU"/>
        </w:rPr>
      </w:pPr>
      <w:r w:rsidRPr="00556B9B">
        <w:rPr>
          <w:color w:val="000000"/>
          <w:u w:val="single"/>
          <w:lang w:val="hu-HU"/>
        </w:rPr>
        <w:t>Folyadékretenció</w:t>
      </w:r>
    </w:p>
    <w:p w14:paraId="051F5877" w14:textId="4C92DCFE" w:rsidR="00153AD1" w:rsidRPr="00556B9B" w:rsidRDefault="00153AD1" w:rsidP="00153AD1">
      <w:pPr>
        <w:spacing w:line="240" w:lineRule="auto"/>
        <w:rPr>
          <w:color w:val="000000"/>
          <w:lang w:val="hu-HU"/>
        </w:rPr>
      </w:pPr>
      <w:r w:rsidRPr="00556B9B">
        <w:rPr>
          <w:color w:val="000000"/>
          <w:lang w:val="hu-HU"/>
        </w:rPr>
        <w:t>Súlyos folyadékretencióról (pleuralis folyadék, ödéma, tüdőödéma, ascites, felületes ödéma) a Glivec</w:t>
      </w:r>
      <w:r w:rsidRPr="00556B9B">
        <w:rPr>
          <w:color w:val="000000"/>
          <w:lang w:val="hu-HU"/>
        </w:rPr>
        <w:noBreakHyphen/>
        <w:t>et szedő újonnan diagnosztizált CML</w:t>
      </w:r>
      <w:r w:rsidRPr="00556B9B">
        <w:rPr>
          <w:color w:val="000000"/>
          <w:lang w:val="hu-HU"/>
        </w:rPr>
        <w:noBreakHyphen/>
        <w:t>es betegek 2,5%</w:t>
      </w:r>
      <w:r w:rsidRPr="00556B9B">
        <w:rPr>
          <w:color w:val="000000"/>
          <w:lang w:val="hu-HU"/>
        </w:rPr>
        <w:noBreakHyphen/>
        <w:t xml:space="preserve">ában számoltak be. </w:t>
      </w:r>
      <w:r w:rsidRPr="0019063C">
        <w:rPr>
          <w:color w:val="000000"/>
          <w:lang w:val="hu-HU"/>
        </w:rPr>
        <w:t>Ezért kifejezetten javasolt a betegek súlyának rendszeres ellenőrzése. A váratlan, gyors testtömeg</w:t>
      </w:r>
      <w:r w:rsidRPr="0019063C">
        <w:rPr>
          <w:color w:val="000000"/>
          <w:lang w:val="hu-HU"/>
        </w:rPr>
        <w:noBreakHyphen/>
        <w:t>gyarapodást gondosan ki kell vizsgálni, és amennyiben szükséges, mérlegelni kell a megfelelő szupportív ellátás és kezelés elkezdését. Klinikai vizsgálatokban ezen tünetek gyakorisága nagyobb volt az idősebb betegekben, illetve azokban, akiknek az anamnézisében szívbetegség szerepelt. Ezért szívbetegek</w:t>
      </w:r>
      <w:r w:rsidR="00A77F22" w:rsidRPr="0019063C">
        <w:rPr>
          <w:color w:val="000000"/>
          <w:lang w:val="hu-HU"/>
        </w:rPr>
        <w:t>nél</w:t>
      </w:r>
      <w:r w:rsidRPr="0019063C">
        <w:rPr>
          <w:color w:val="000000"/>
          <w:lang w:val="hu-HU"/>
        </w:rPr>
        <w:t xml:space="preserve"> elővigyázatosság szükséges.</w:t>
      </w:r>
    </w:p>
    <w:p w14:paraId="1E917D56" w14:textId="77777777" w:rsidR="00153AD1" w:rsidRPr="00556B9B" w:rsidRDefault="00153AD1" w:rsidP="00153AD1">
      <w:pPr>
        <w:spacing w:line="240" w:lineRule="auto"/>
        <w:rPr>
          <w:color w:val="000000"/>
          <w:lang w:val="hu-HU"/>
        </w:rPr>
      </w:pPr>
    </w:p>
    <w:p w14:paraId="4E82173F" w14:textId="77777777" w:rsidR="00153AD1" w:rsidRPr="00556B9B" w:rsidRDefault="00153AD1" w:rsidP="00F926B9">
      <w:pPr>
        <w:pStyle w:val="EndnoteText"/>
        <w:keepNext/>
        <w:widowControl w:val="0"/>
        <w:rPr>
          <w:color w:val="000000"/>
          <w:lang w:val="hu-HU"/>
        </w:rPr>
      </w:pPr>
      <w:r w:rsidRPr="00556B9B">
        <w:rPr>
          <w:color w:val="000000"/>
          <w:u w:val="single"/>
          <w:lang w:val="hu-HU"/>
        </w:rPr>
        <w:t>Szívbetegségben szenvedő betegek</w:t>
      </w:r>
    </w:p>
    <w:p w14:paraId="6FC29EE8" w14:textId="77777777" w:rsidR="00153AD1" w:rsidRPr="0019063C" w:rsidRDefault="00153AD1" w:rsidP="00153AD1">
      <w:pPr>
        <w:spacing w:line="240" w:lineRule="auto"/>
        <w:rPr>
          <w:color w:val="000000"/>
          <w:lang w:val="hu-HU"/>
        </w:rPr>
      </w:pPr>
      <w:r w:rsidRPr="00556B9B">
        <w:rPr>
          <w:color w:val="000000"/>
          <w:lang w:val="hu-HU"/>
        </w:rPr>
        <w:t xml:space="preserve">Szívbetegség, a szívelégtelenség kockázati tényezőinek fennállása vagy korábban fennálló veseelégtelenség esetén a betegek gondos monitorozására van szükség. A </w:t>
      </w:r>
      <w:r w:rsidRPr="0019063C">
        <w:rPr>
          <w:color w:val="000000"/>
          <w:lang w:val="hu-HU"/>
        </w:rPr>
        <w:t>szív- vagy veseelégtelenség tüneteit mutató betegeket ki kell vizsgálni és ennek megfelelően kell kezelni.</w:t>
      </w:r>
    </w:p>
    <w:p w14:paraId="18570E03" w14:textId="77777777" w:rsidR="00153AD1" w:rsidRPr="0019063C" w:rsidRDefault="00153AD1" w:rsidP="00153AD1">
      <w:pPr>
        <w:spacing w:line="240" w:lineRule="auto"/>
        <w:rPr>
          <w:color w:val="000000"/>
          <w:lang w:val="hu-HU"/>
        </w:rPr>
      </w:pPr>
    </w:p>
    <w:p w14:paraId="5EC159F0" w14:textId="70FE560F" w:rsidR="00153AD1" w:rsidRPr="0019063C" w:rsidRDefault="00153AD1" w:rsidP="00153AD1">
      <w:pPr>
        <w:spacing w:line="240" w:lineRule="auto"/>
        <w:rPr>
          <w:color w:val="000000"/>
          <w:lang w:val="hu-HU"/>
        </w:rPr>
      </w:pPr>
      <w:r w:rsidRPr="0019063C">
        <w:rPr>
          <w:color w:val="000000"/>
          <w:lang w:val="hu-HU"/>
        </w:rPr>
        <w:t>A HES sejtek szívizomba történő okkult infiltrációjával járó hypereosinophilia szindrómás (HES) betegek</w:t>
      </w:r>
      <w:r w:rsidR="00A77F22" w:rsidRPr="0019063C">
        <w:rPr>
          <w:color w:val="000000"/>
          <w:lang w:val="hu-HU"/>
        </w:rPr>
        <w:t>nél izolált</w:t>
      </w:r>
      <w:r w:rsidRPr="0019063C">
        <w:rPr>
          <w:color w:val="000000"/>
          <w:lang w:val="hu-HU"/>
        </w:rPr>
        <w:t xml:space="preserve"> esetekben fellépő kardiogén sokk/balkamra dysfunctio </w:t>
      </w:r>
      <w:r w:rsidR="00A77F22" w:rsidRPr="0019063C">
        <w:rPr>
          <w:color w:val="000000"/>
          <w:lang w:val="hu-HU"/>
        </w:rPr>
        <w:t xml:space="preserve">összefüggésben volt </w:t>
      </w:r>
      <w:r w:rsidRPr="0019063C">
        <w:rPr>
          <w:color w:val="000000"/>
          <w:lang w:val="hu-HU"/>
        </w:rPr>
        <w:t>az imatinib</w:t>
      </w:r>
      <w:r w:rsidRPr="0019063C">
        <w:rPr>
          <w:color w:val="000000"/>
          <w:lang w:val="hu-HU"/>
        </w:rPr>
        <w:noBreakHyphen/>
        <w:t>kezelés megkezdésekor fellépő HES</w:t>
      </w:r>
      <w:r w:rsidRPr="0019063C">
        <w:rPr>
          <w:color w:val="000000"/>
          <w:lang w:val="hu-HU"/>
        </w:rPr>
        <w:noBreakHyphen/>
        <w:t>sejt degranulációval. A beszámolók szerint a kórállapot szisztémás szteroidok adására, keringéstámogatásra és az imatinib-kezelés átmenetei felfüggesztésére reverzíbilisnek bizonyult. Mivel az imatinib alkalmazása kapcsán nem gyakran kardiális mellékhatásokat jelentettek, ezért a HES/</w:t>
      </w:r>
      <w:smartTag w:uri="urn:schemas-microsoft-com:office:smarttags" w:element="stockticker">
        <w:r w:rsidRPr="0019063C">
          <w:rPr>
            <w:color w:val="000000"/>
            <w:lang w:val="hu-HU"/>
          </w:rPr>
          <w:t>CEL</w:t>
        </w:r>
      </w:smartTag>
      <w:r w:rsidRPr="0019063C">
        <w:rPr>
          <w:color w:val="000000"/>
          <w:lang w:val="hu-HU"/>
        </w:rPr>
        <w:noBreakHyphen/>
        <w:t>ben szenvedő betegek esetében az imatinib</w:t>
      </w:r>
      <w:r w:rsidRPr="0019063C">
        <w:rPr>
          <w:color w:val="000000"/>
          <w:lang w:val="hu-HU"/>
        </w:rPr>
        <w:noBreakHyphen/>
        <w:t>kezelés megkezdése előtt figyelembe kell venni az előny/kockázat arányának gondos értékelését.</w:t>
      </w:r>
    </w:p>
    <w:p w14:paraId="3AA425A7" w14:textId="77777777" w:rsidR="00153AD1" w:rsidRPr="0019063C" w:rsidRDefault="00153AD1" w:rsidP="00153AD1">
      <w:pPr>
        <w:spacing w:line="240" w:lineRule="auto"/>
        <w:rPr>
          <w:color w:val="000000"/>
          <w:lang w:val="hu-HU"/>
        </w:rPr>
      </w:pPr>
    </w:p>
    <w:p w14:paraId="46454CDD" w14:textId="68386E97" w:rsidR="00153AD1" w:rsidRPr="00556B9B" w:rsidRDefault="00153AD1" w:rsidP="00153AD1">
      <w:pPr>
        <w:spacing w:line="240" w:lineRule="auto"/>
        <w:rPr>
          <w:color w:val="000000"/>
          <w:lang w:val="hu-HU"/>
        </w:rPr>
      </w:pPr>
      <w:r w:rsidRPr="0019063C">
        <w:rPr>
          <w:color w:val="000000"/>
          <w:lang w:val="hu-HU"/>
        </w:rPr>
        <w:t>A PDGFR génátrendeződéssel társuló myelodysplasiás/myeloproliferatív kórképek magas eosinophil-számmal járhatnak. Ennek megfelelően HES/</w:t>
      </w:r>
      <w:smartTag w:uri="urn:schemas-microsoft-com:office:smarttags" w:element="stockticker">
        <w:r w:rsidRPr="0019063C">
          <w:rPr>
            <w:color w:val="000000"/>
            <w:lang w:val="hu-HU"/>
          </w:rPr>
          <w:t>CEL</w:t>
        </w:r>
      </w:smartTag>
      <w:r w:rsidRPr="0019063C">
        <w:rPr>
          <w:color w:val="000000"/>
          <w:lang w:val="hu-HU"/>
        </w:rPr>
        <w:t xml:space="preserve">, illetve </w:t>
      </w:r>
      <w:smartTag w:uri="urn:schemas-microsoft-com:office:smarttags" w:element="stockticker">
        <w:r w:rsidRPr="0019063C">
          <w:rPr>
            <w:color w:val="000000"/>
            <w:lang w:val="hu-HU"/>
          </w:rPr>
          <w:t>MDS</w:t>
        </w:r>
      </w:smartTag>
      <w:r w:rsidRPr="0019063C">
        <w:rPr>
          <w:color w:val="000000"/>
          <w:lang w:val="hu-HU"/>
        </w:rPr>
        <w:t xml:space="preserve">/MPD </w:t>
      </w:r>
      <w:r w:rsidR="008B6EFB" w:rsidRPr="0019063C">
        <w:rPr>
          <w:color w:val="000000"/>
          <w:lang w:val="hu-HU"/>
        </w:rPr>
        <w:t>miatt</w:t>
      </w:r>
      <w:r w:rsidRPr="0019063C">
        <w:rPr>
          <w:color w:val="000000"/>
          <w:lang w:val="hu-HU"/>
        </w:rPr>
        <w:t xml:space="preserve"> kezelt betegek</w:t>
      </w:r>
      <w:r w:rsidR="008B6EFB" w:rsidRPr="0019063C">
        <w:rPr>
          <w:color w:val="000000"/>
          <w:lang w:val="hu-HU"/>
        </w:rPr>
        <w:t xml:space="preserve"> eseté</w:t>
      </w:r>
      <w:r w:rsidRPr="0019063C">
        <w:rPr>
          <w:color w:val="000000"/>
          <w:lang w:val="hu-HU"/>
        </w:rPr>
        <w:t>ben magas eosinophil-szám esetén az imatinib</w:t>
      </w:r>
      <w:r w:rsidRPr="0019063C">
        <w:rPr>
          <w:color w:val="000000"/>
          <w:lang w:val="hu-HU"/>
        </w:rPr>
        <w:noBreakHyphen/>
        <w:t>kezelés megkezdése előtt megfontolandó a kardiológiai kivizsgálás, echocardiográfia elvégzése és a szérum-troponinszint meghatározása. Amennyiben ezek bármelyike kóros, megfontolandó kardiológiai ellenőrző vizsgálatok elvégzése</w:t>
      </w:r>
      <w:r w:rsidRPr="00556B9B">
        <w:rPr>
          <w:color w:val="000000"/>
          <w:lang w:val="hu-HU"/>
        </w:rPr>
        <w:t>, valamint profilaktikus szisztémás szteroid (1</w:t>
      </w:r>
      <w:r w:rsidRPr="00556B9B">
        <w:rPr>
          <w:color w:val="000000"/>
          <w:szCs w:val="22"/>
          <w:lang w:val="hu-HU"/>
        </w:rPr>
        <w:noBreakHyphen/>
      </w:r>
      <w:r w:rsidRPr="00556B9B">
        <w:rPr>
          <w:color w:val="000000"/>
          <w:lang w:val="hu-HU"/>
        </w:rPr>
        <w:t>2 mg/kg) 1</w:t>
      </w:r>
      <w:r w:rsidRPr="00556B9B">
        <w:rPr>
          <w:color w:val="000000"/>
          <w:lang w:val="hu-HU"/>
        </w:rPr>
        <w:noBreakHyphen/>
        <w:t>2 hétig tartó egyidejű alkalmazása az imatinib</w:t>
      </w:r>
      <w:r w:rsidRPr="00556B9B">
        <w:rPr>
          <w:color w:val="000000"/>
          <w:lang w:val="hu-HU"/>
        </w:rPr>
        <w:noBreakHyphen/>
        <w:t>kezelés megkezdésekor.</w:t>
      </w:r>
    </w:p>
    <w:p w14:paraId="6BA281EA" w14:textId="77777777" w:rsidR="00153AD1" w:rsidRPr="00556B9B" w:rsidRDefault="00153AD1" w:rsidP="00153AD1">
      <w:pPr>
        <w:spacing w:line="240" w:lineRule="auto"/>
        <w:rPr>
          <w:color w:val="000000"/>
          <w:lang w:val="hu-HU"/>
        </w:rPr>
      </w:pPr>
    </w:p>
    <w:p w14:paraId="545EE0B9" w14:textId="77777777" w:rsidR="00153AD1" w:rsidRPr="00556B9B" w:rsidRDefault="00153AD1" w:rsidP="00F926B9">
      <w:pPr>
        <w:pStyle w:val="EndnoteText"/>
        <w:keepNext/>
        <w:widowControl w:val="0"/>
        <w:rPr>
          <w:color w:val="000000"/>
          <w:szCs w:val="22"/>
          <w:lang w:val="hu-HU"/>
        </w:rPr>
      </w:pPr>
      <w:r w:rsidRPr="00556B9B">
        <w:rPr>
          <w:color w:val="000000"/>
          <w:u w:val="single"/>
          <w:lang w:val="hu-HU"/>
        </w:rPr>
        <w:t>Gastrointestinalis vérzés</w:t>
      </w:r>
    </w:p>
    <w:p w14:paraId="56DFF6A4" w14:textId="77777777" w:rsidR="00153AD1" w:rsidRPr="00556B9B" w:rsidRDefault="00153AD1" w:rsidP="00153AD1">
      <w:pPr>
        <w:pStyle w:val="BodyText"/>
        <w:spacing w:line="240" w:lineRule="auto"/>
        <w:rPr>
          <w:b w:val="0"/>
          <w:i w:val="0"/>
          <w:color w:val="000000"/>
          <w:lang w:val="hu-HU"/>
        </w:rPr>
      </w:pPr>
      <w:r w:rsidRPr="00556B9B">
        <w:rPr>
          <w:b w:val="0"/>
          <w:i w:val="0"/>
          <w:color w:val="000000"/>
          <w:lang w:val="hu-HU"/>
        </w:rPr>
        <w:t>A nem reszekábilis és/vagy metasztatikus GIST</w:t>
      </w:r>
      <w:r w:rsidRPr="00556B9B">
        <w:rPr>
          <w:b w:val="0"/>
          <w:i w:val="0"/>
          <w:color w:val="000000"/>
          <w:lang w:val="hu-HU"/>
        </w:rPr>
        <w:noBreakHyphen/>
        <w:t>ben szenvedő betegek vizsgálata során mind gastrointestinalis, mind intratumoralis vérzésről beszámoltak (lásd 4.8 pont). A rendelkezésre álló adatok alapján nem azonosítottak olyan prediszponáló faktort (pl. a tumor mérete, lokalizációja, véralvadási zavarok), amely a GIST</w:t>
      </w:r>
      <w:r w:rsidRPr="00556B9B">
        <w:rPr>
          <w:b w:val="0"/>
          <w:i w:val="0"/>
          <w:color w:val="000000"/>
          <w:lang w:val="hu-HU"/>
        </w:rPr>
        <w:noBreakHyphen/>
        <w:t>es betegekre nézve nagyobb kockázatot jelentene valamely típusú vérzésre. Mivel a vascularizáltság és vérzékenység eleve fokozott a GIST természetéből és klinikai lefolyásából adódóan, minden betegnél a szokásos gyakorlatot és eljárásokat kell követni a vérzés monitorozására és kezelésére.</w:t>
      </w:r>
    </w:p>
    <w:p w14:paraId="6905DED2" w14:textId="77777777" w:rsidR="00153AD1" w:rsidRPr="00556B9B" w:rsidRDefault="00153AD1" w:rsidP="00153AD1">
      <w:pPr>
        <w:pStyle w:val="BodyText"/>
        <w:spacing w:line="240" w:lineRule="auto"/>
        <w:rPr>
          <w:b w:val="0"/>
          <w:i w:val="0"/>
          <w:color w:val="000000"/>
          <w:lang w:val="hu-HU"/>
        </w:rPr>
      </w:pPr>
    </w:p>
    <w:p w14:paraId="2142180D" w14:textId="77777777" w:rsidR="004C3718" w:rsidRPr="00556B9B" w:rsidRDefault="004C3718" w:rsidP="004C3718">
      <w:pPr>
        <w:spacing w:line="240" w:lineRule="auto"/>
        <w:rPr>
          <w:lang w:val="hu-HU"/>
        </w:rPr>
      </w:pPr>
      <w:r w:rsidRPr="00556B9B">
        <w:rPr>
          <w:lang w:val="hu-HU"/>
        </w:rPr>
        <w:t>Emellett a CML-ben, ALL-ben és egyéb betegségekben szenvedő betegeknél gastricus antralis vascularis ectasiáról (GAVE), a gastrointestinalis vérzés egy ritka okáról számoltak be a forgalomba hozatalt követően (lásd 4.8 pont). Amikor szükséges, megfontolható a Glivec-kezelés abbahagyása.</w:t>
      </w:r>
    </w:p>
    <w:p w14:paraId="7FA16490" w14:textId="77777777" w:rsidR="004C3718" w:rsidRPr="00556B9B" w:rsidRDefault="004C3718" w:rsidP="004C3718">
      <w:pPr>
        <w:spacing w:line="240" w:lineRule="auto"/>
        <w:rPr>
          <w:lang w:val="hu-HU"/>
        </w:rPr>
      </w:pPr>
    </w:p>
    <w:p w14:paraId="6D9BF134" w14:textId="77777777" w:rsidR="00153AD1" w:rsidRPr="00556B9B" w:rsidRDefault="00153AD1" w:rsidP="00F926B9">
      <w:pPr>
        <w:pStyle w:val="EndnoteText"/>
        <w:keepNext/>
        <w:widowControl w:val="0"/>
        <w:rPr>
          <w:snapToGrid w:val="0"/>
          <w:color w:val="000000"/>
          <w:szCs w:val="22"/>
          <w:lang w:val="hu-HU"/>
        </w:rPr>
      </w:pPr>
      <w:r w:rsidRPr="00556B9B">
        <w:rPr>
          <w:snapToGrid w:val="0"/>
          <w:color w:val="000000"/>
          <w:u w:val="single"/>
          <w:lang w:val="hu-HU"/>
        </w:rPr>
        <w:lastRenderedPageBreak/>
        <w:t>Tumor lízis szindróma</w:t>
      </w:r>
    </w:p>
    <w:p w14:paraId="128152B4" w14:textId="77777777" w:rsidR="00153AD1" w:rsidRPr="00556B9B" w:rsidRDefault="00153AD1" w:rsidP="00153AD1">
      <w:pPr>
        <w:pStyle w:val="BodyText"/>
        <w:spacing w:line="240" w:lineRule="auto"/>
        <w:rPr>
          <w:b w:val="0"/>
          <w:i w:val="0"/>
          <w:color w:val="000000"/>
          <w:lang w:val="hu-HU"/>
        </w:rPr>
      </w:pPr>
      <w:r w:rsidRPr="00556B9B">
        <w:rPr>
          <w:b w:val="0"/>
          <w:i w:val="0"/>
          <w:color w:val="000000"/>
          <w:lang w:val="hu-HU"/>
        </w:rPr>
        <w:t xml:space="preserve">A </w:t>
      </w:r>
      <w:r w:rsidRPr="00556B9B">
        <w:rPr>
          <w:b w:val="0"/>
          <w:i w:val="0"/>
          <w:lang w:val="hu-HU"/>
        </w:rPr>
        <w:t>tumor lízis szindróma (</w:t>
      </w:r>
      <w:r w:rsidRPr="00556B9B">
        <w:rPr>
          <w:b w:val="0"/>
          <w:i w:val="0"/>
          <w:color w:val="000000"/>
          <w:szCs w:val="22"/>
          <w:lang w:val="hu-HU"/>
        </w:rPr>
        <w:t>tumour lysis syndrome</w:t>
      </w:r>
      <w:r w:rsidRPr="00556B9B">
        <w:rPr>
          <w:b w:val="0"/>
          <w:i w:val="0"/>
          <w:snapToGrid w:val="0"/>
          <w:color w:val="000000"/>
          <w:szCs w:val="22"/>
          <w:lang w:val="hu-HU"/>
        </w:rPr>
        <w:t xml:space="preserve"> (TLS)) lehetséges előfordulása miatt a Glivec</w:t>
      </w:r>
      <w:r w:rsidRPr="00556B9B">
        <w:rPr>
          <w:b w:val="0"/>
          <w:i w:val="0"/>
          <w:snapToGrid w:val="0"/>
          <w:color w:val="000000"/>
          <w:szCs w:val="22"/>
          <w:lang w:val="hu-HU"/>
        </w:rPr>
        <w:noBreakHyphen/>
        <w:t>kezelés megkezdése előtt javasolt a klinikailag jelentős mértékű dehidrációt korrigálni, illetve a magas húgysavszintet kezelni (lásd 4.8 pont).</w:t>
      </w:r>
    </w:p>
    <w:p w14:paraId="064E6BC8" w14:textId="77777777" w:rsidR="0091747B" w:rsidRPr="00556B9B" w:rsidRDefault="0091747B" w:rsidP="0091747B">
      <w:pPr>
        <w:pStyle w:val="EndnoteText"/>
        <w:widowControl w:val="0"/>
        <w:rPr>
          <w:rFonts w:cs="Times New Roman"/>
          <w:snapToGrid w:val="0"/>
          <w:color w:val="000000"/>
          <w:szCs w:val="22"/>
          <w:lang w:val="hu-HU"/>
        </w:rPr>
      </w:pPr>
    </w:p>
    <w:p w14:paraId="09898777" w14:textId="77777777" w:rsidR="0091747B" w:rsidRPr="00556B9B" w:rsidRDefault="0091747B" w:rsidP="00F926B9">
      <w:pPr>
        <w:pStyle w:val="Default"/>
        <w:keepNext/>
        <w:rPr>
          <w:rFonts w:ascii="Times New Roman" w:hAnsi="Times New Roman" w:cs="Times New Roman"/>
          <w:sz w:val="22"/>
          <w:szCs w:val="22"/>
          <w:u w:val="single"/>
          <w:lang w:val="hu-HU"/>
        </w:rPr>
      </w:pPr>
      <w:r w:rsidRPr="00556B9B">
        <w:rPr>
          <w:rFonts w:ascii="Times New Roman" w:hAnsi="Times New Roman" w:cs="Times New Roman"/>
          <w:sz w:val="22"/>
          <w:szCs w:val="22"/>
          <w:u w:val="single"/>
          <w:lang w:val="hu-HU"/>
        </w:rPr>
        <w:t>Hepatitis B reaktiváció</w:t>
      </w:r>
    </w:p>
    <w:p w14:paraId="7C1E8F5B" w14:textId="57F77B7C" w:rsidR="0091747B" w:rsidRPr="0019063C" w:rsidRDefault="0091747B" w:rsidP="0091747B">
      <w:pPr>
        <w:pStyle w:val="Default"/>
        <w:rPr>
          <w:rFonts w:ascii="Times New Roman" w:hAnsi="Times New Roman" w:cs="Times New Roman"/>
          <w:sz w:val="22"/>
          <w:szCs w:val="22"/>
          <w:lang w:val="hu-HU"/>
        </w:rPr>
      </w:pPr>
      <w:r w:rsidRPr="00556B9B">
        <w:rPr>
          <w:rFonts w:ascii="Times New Roman" w:hAnsi="Times New Roman" w:cs="Times New Roman"/>
          <w:sz w:val="22"/>
          <w:szCs w:val="22"/>
          <w:lang w:val="hu-HU"/>
        </w:rPr>
        <w:t>A hepatitis B reaktivációja fordult elő krónikus vírushordozó betegeknél, miután ezek a betegek BCR</w:t>
      </w:r>
      <w:r w:rsidRPr="00556B9B">
        <w:rPr>
          <w:rFonts w:ascii="Times New Roman" w:hAnsi="Times New Roman" w:cs="Times New Roman"/>
          <w:sz w:val="22"/>
          <w:szCs w:val="22"/>
          <w:lang w:val="hu-HU"/>
        </w:rPr>
        <w:noBreakHyphen/>
        <w:t>ABL tirozin</w:t>
      </w:r>
      <w:r w:rsidRPr="00556B9B">
        <w:rPr>
          <w:rFonts w:ascii="Times New Roman" w:hAnsi="Times New Roman" w:cs="Times New Roman"/>
          <w:sz w:val="22"/>
          <w:szCs w:val="22"/>
          <w:lang w:val="hu-HU"/>
        </w:rPr>
        <w:noBreakHyphen/>
        <w:t xml:space="preserve">kináz inhibitorokat kaptak. Egyes esetekben akut májelégtelenség vagy fulmináns hepatitis alakult ki, </w:t>
      </w:r>
      <w:r w:rsidRPr="0019063C">
        <w:rPr>
          <w:rFonts w:ascii="Times New Roman" w:hAnsi="Times New Roman" w:cs="Times New Roman"/>
          <w:sz w:val="22"/>
          <w:szCs w:val="22"/>
          <w:lang w:val="hu-HU"/>
        </w:rPr>
        <w:t>amely májtranszplantáció</w:t>
      </w:r>
      <w:r w:rsidR="008B6EFB" w:rsidRPr="0019063C">
        <w:rPr>
          <w:rFonts w:ascii="Times New Roman" w:hAnsi="Times New Roman" w:cs="Times New Roman"/>
          <w:sz w:val="22"/>
          <w:szCs w:val="22"/>
          <w:lang w:val="hu-HU"/>
        </w:rPr>
        <w:t>t tett szükségessé</w:t>
      </w:r>
      <w:r w:rsidRPr="0019063C">
        <w:rPr>
          <w:rFonts w:ascii="Times New Roman" w:hAnsi="Times New Roman" w:cs="Times New Roman"/>
          <w:sz w:val="22"/>
          <w:szCs w:val="22"/>
          <w:lang w:val="hu-HU"/>
        </w:rPr>
        <w:t xml:space="preserve"> vagy a beteg halálához vezetett.</w:t>
      </w:r>
    </w:p>
    <w:p w14:paraId="3B6E9FED" w14:textId="77777777" w:rsidR="0091747B" w:rsidRPr="0019063C" w:rsidRDefault="0091747B" w:rsidP="0091747B">
      <w:pPr>
        <w:pStyle w:val="Default"/>
        <w:rPr>
          <w:rFonts w:ascii="Times New Roman" w:hAnsi="Times New Roman" w:cs="Times New Roman"/>
          <w:sz w:val="22"/>
          <w:szCs w:val="22"/>
          <w:lang w:val="hu-HU"/>
        </w:rPr>
      </w:pPr>
    </w:p>
    <w:p w14:paraId="1DFA2955" w14:textId="2BB902E4" w:rsidR="0091747B" w:rsidRPr="00556B9B" w:rsidRDefault="0091747B" w:rsidP="0091747B">
      <w:pPr>
        <w:pStyle w:val="Default"/>
        <w:rPr>
          <w:rFonts w:ascii="Times New Roman" w:hAnsi="Times New Roman" w:cs="Times New Roman"/>
          <w:strike/>
          <w:sz w:val="22"/>
          <w:szCs w:val="22"/>
          <w:lang w:val="hu-HU"/>
        </w:rPr>
      </w:pPr>
      <w:r w:rsidRPr="0019063C">
        <w:rPr>
          <w:rFonts w:ascii="Times New Roman" w:hAnsi="Times New Roman" w:cs="Times New Roman"/>
          <w:sz w:val="22"/>
          <w:szCs w:val="22"/>
          <w:lang w:val="hu-HU"/>
        </w:rPr>
        <w:t>A</w:t>
      </w:r>
      <w:r w:rsidR="001B1CF6" w:rsidRPr="0019063C">
        <w:rPr>
          <w:rFonts w:ascii="Times New Roman" w:hAnsi="Times New Roman" w:cs="Times New Roman"/>
          <w:sz w:val="22"/>
          <w:szCs w:val="22"/>
          <w:lang w:val="hu-HU"/>
        </w:rPr>
        <w:t xml:space="preserve"> </w:t>
      </w:r>
      <w:r w:rsidRPr="0019063C">
        <w:rPr>
          <w:rFonts w:ascii="Times New Roman" w:hAnsi="Times New Roman" w:cs="Times New Roman"/>
          <w:sz w:val="22"/>
          <w:szCs w:val="22"/>
          <w:lang w:val="hu-HU"/>
        </w:rPr>
        <w:t>Glivec</w:t>
      </w:r>
      <w:r w:rsidR="002E72A4">
        <w:rPr>
          <w:rFonts w:ascii="Times New Roman" w:hAnsi="Times New Roman" w:cs="Times New Roman"/>
          <w:sz w:val="22"/>
          <w:szCs w:val="22"/>
          <w:lang w:val="hu-HU"/>
        </w:rPr>
        <w:noBreakHyphen/>
      </w:r>
      <w:r w:rsidRPr="0019063C">
        <w:rPr>
          <w:rFonts w:ascii="Times New Roman" w:hAnsi="Times New Roman" w:cs="Times New Roman"/>
          <w:sz w:val="22"/>
          <w:szCs w:val="22"/>
          <w:lang w:val="hu-HU"/>
        </w:rPr>
        <w:t>kezelés megkezdése előtt a betegeknél a HBV fertőzöttség kivizsgálására van szükség. A májbetegségek és a hepatitis B kezelés szakértőivel kell konzultálni a kezelés megkezdése előtt a pozitív hepatitis B szerológiájú betegeknél (beleértve az aktív betegséget is), valamint olyan betegek esetében, akiknél a kezelés közben derül ki a HBV fertőzés. A Glivec</w:t>
      </w:r>
      <w:r w:rsidR="002E72A4">
        <w:rPr>
          <w:rFonts w:ascii="Times New Roman" w:hAnsi="Times New Roman" w:cs="Times New Roman"/>
          <w:sz w:val="22"/>
          <w:szCs w:val="22"/>
          <w:lang w:val="hu-HU"/>
        </w:rPr>
        <w:noBreakHyphen/>
      </w:r>
      <w:r w:rsidRPr="0019063C">
        <w:rPr>
          <w:rFonts w:ascii="Times New Roman" w:hAnsi="Times New Roman" w:cs="Times New Roman"/>
          <w:sz w:val="22"/>
          <w:szCs w:val="22"/>
          <w:lang w:val="hu-HU"/>
        </w:rPr>
        <w:t>kezelést igénylő HBV hordozókat szorosan ellenőrizni kell a kezelés közben, valamint a kezelés befejezését követően több hónapon keresztül, hogy nem alakulnak</w:t>
      </w:r>
      <w:r w:rsidRPr="0019063C">
        <w:rPr>
          <w:rFonts w:ascii="Times New Roman" w:hAnsi="Times New Roman" w:cs="Times New Roman"/>
          <w:sz w:val="22"/>
          <w:szCs w:val="22"/>
          <w:lang w:val="hu-HU"/>
        </w:rPr>
        <w:noBreakHyphen/>
        <w:t>e ki az aktív HBV fertőzés jelei</w:t>
      </w:r>
      <w:r w:rsidRPr="00556B9B">
        <w:rPr>
          <w:rFonts w:ascii="Times New Roman" w:hAnsi="Times New Roman" w:cs="Times New Roman"/>
          <w:sz w:val="22"/>
          <w:szCs w:val="22"/>
          <w:lang w:val="hu-HU"/>
        </w:rPr>
        <w:t xml:space="preserve"> és tünetei (lásd 4.8 pont).</w:t>
      </w:r>
    </w:p>
    <w:p w14:paraId="21105A61" w14:textId="77777777" w:rsidR="00CD2D43" w:rsidRPr="00556B9B" w:rsidRDefault="00CD2D43" w:rsidP="006D00C7">
      <w:pPr>
        <w:pStyle w:val="EndnoteText"/>
        <w:widowControl w:val="0"/>
        <w:tabs>
          <w:tab w:val="left" w:pos="720"/>
        </w:tabs>
        <w:rPr>
          <w:snapToGrid w:val="0"/>
          <w:color w:val="000000"/>
          <w:szCs w:val="22"/>
          <w:lang w:val="hu-HU"/>
        </w:rPr>
      </w:pPr>
    </w:p>
    <w:p w14:paraId="0B67ED12" w14:textId="77777777" w:rsidR="00CD2D43" w:rsidRPr="00556B9B" w:rsidRDefault="00CD2D43" w:rsidP="00CD2D43">
      <w:pPr>
        <w:pStyle w:val="EndnoteText"/>
        <w:keepNext/>
        <w:widowControl w:val="0"/>
        <w:tabs>
          <w:tab w:val="left" w:pos="720"/>
        </w:tabs>
        <w:rPr>
          <w:snapToGrid w:val="0"/>
          <w:color w:val="000000"/>
          <w:szCs w:val="22"/>
          <w:u w:val="single"/>
          <w:lang w:val="hu-HU"/>
        </w:rPr>
      </w:pPr>
      <w:r w:rsidRPr="00556B9B">
        <w:rPr>
          <w:snapToGrid w:val="0"/>
          <w:color w:val="000000"/>
          <w:szCs w:val="22"/>
          <w:u w:val="single"/>
          <w:lang w:val="hu-HU"/>
        </w:rPr>
        <w:t>Fototoxicitás</w:t>
      </w:r>
    </w:p>
    <w:p w14:paraId="2CFE7700" w14:textId="77777777" w:rsidR="00986786" w:rsidRPr="00556B9B" w:rsidRDefault="00986786" w:rsidP="00986786">
      <w:pPr>
        <w:pStyle w:val="EndnoteText"/>
        <w:widowControl w:val="0"/>
        <w:tabs>
          <w:tab w:val="left" w:pos="720"/>
        </w:tabs>
        <w:rPr>
          <w:snapToGrid w:val="0"/>
          <w:color w:val="000000"/>
          <w:szCs w:val="22"/>
          <w:lang w:val="hu-HU"/>
        </w:rPr>
      </w:pPr>
      <w:r w:rsidRPr="00556B9B">
        <w:rPr>
          <w:snapToGrid w:val="0"/>
          <w:color w:val="000000"/>
          <w:szCs w:val="22"/>
          <w:lang w:val="hu-HU"/>
        </w:rPr>
        <w:t>Az imatinib</w:t>
      </w:r>
      <w:r w:rsidR="006252B9" w:rsidRPr="00556B9B">
        <w:rPr>
          <w:snapToGrid w:val="0"/>
          <w:color w:val="000000"/>
          <w:szCs w:val="22"/>
          <w:lang w:val="hu-HU"/>
        </w:rPr>
        <w:noBreakHyphen/>
      </w:r>
      <w:r w:rsidRPr="00556B9B">
        <w:rPr>
          <w:snapToGrid w:val="0"/>
          <w:color w:val="000000"/>
          <w:szCs w:val="22"/>
          <w:lang w:val="hu-HU"/>
        </w:rPr>
        <w:t>kezeléssel összefüggő fototoxicitás kockázata miatt a napfény általi közvetlen besugárzást kerülni vagy minimalizálni kell. A betegeket tájékoztatni kell arról, hogy öltözékükkel védekezzenek és használjanak magas fényvédő faktor</w:t>
      </w:r>
      <w:r w:rsidR="006252B9" w:rsidRPr="00556B9B">
        <w:rPr>
          <w:snapToGrid w:val="0"/>
          <w:color w:val="000000"/>
          <w:szCs w:val="22"/>
          <w:lang w:val="hu-HU"/>
        </w:rPr>
        <w:t>szám</w:t>
      </w:r>
      <w:r w:rsidRPr="00556B9B">
        <w:rPr>
          <w:snapToGrid w:val="0"/>
          <w:color w:val="000000"/>
          <w:szCs w:val="22"/>
          <w:lang w:val="hu-HU"/>
        </w:rPr>
        <w:t>ú naptejet.</w:t>
      </w:r>
    </w:p>
    <w:p w14:paraId="3927FBF7" w14:textId="77777777" w:rsidR="009A54D2" w:rsidRPr="00BF3D9F" w:rsidRDefault="009A54D2" w:rsidP="009A54D2">
      <w:pPr>
        <w:pStyle w:val="EndnoteText"/>
        <w:widowControl w:val="0"/>
        <w:rPr>
          <w:snapToGrid w:val="0"/>
          <w:color w:val="000000"/>
          <w:szCs w:val="22"/>
          <w:lang w:val="hu-HU"/>
        </w:rPr>
      </w:pPr>
    </w:p>
    <w:p w14:paraId="4DF9F8B7" w14:textId="77777777" w:rsidR="009A54D2" w:rsidRPr="0019063C" w:rsidRDefault="009A54D2" w:rsidP="009A54D2">
      <w:pPr>
        <w:pStyle w:val="EndnoteText"/>
        <w:keepNext/>
        <w:widowControl w:val="0"/>
        <w:rPr>
          <w:snapToGrid w:val="0"/>
          <w:color w:val="000000"/>
          <w:szCs w:val="22"/>
          <w:u w:val="single"/>
          <w:lang w:val="hu-HU"/>
        </w:rPr>
      </w:pPr>
      <w:r w:rsidRPr="0019063C">
        <w:rPr>
          <w:snapToGrid w:val="0"/>
          <w:color w:val="000000"/>
          <w:szCs w:val="22"/>
          <w:u w:val="single"/>
          <w:lang w:val="hu-HU"/>
        </w:rPr>
        <w:t>Thromboticus microangiopathia</w:t>
      </w:r>
    </w:p>
    <w:p w14:paraId="09C750FC" w14:textId="6EB69FBD" w:rsidR="009A54D2" w:rsidRPr="00BF3D9F" w:rsidRDefault="009A54D2" w:rsidP="009A54D2">
      <w:pPr>
        <w:pStyle w:val="EndnoteText"/>
        <w:widowControl w:val="0"/>
        <w:rPr>
          <w:color w:val="000000"/>
          <w:szCs w:val="22"/>
          <w:lang w:val="hu-HU"/>
        </w:rPr>
      </w:pPr>
      <w:r w:rsidRPr="0019063C">
        <w:rPr>
          <w:rFonts w:cs="Times New Roman"/>
          <w:szCs w:val="22"/>
          <w:lang w:val="hu-HU"/>
        </w:rPr>
        <w:t>A BCR</w:t>
      </w:r>
      <w:r w:rsidRPr="0019063C">
        <w:rPr>
          <w:rFonts w:cs="Times New Roman"/>
          <w:szCs w:val="22"/>
          <w:lang w:val="hu-HU"/>
        </w:rPr>
        <w:noBreakHyphen/>
        <w:t>ABL tirozin</w:t>
      </w:r>
      <w:r w:rsidRPr="0019063C">
        <w:rPr>
          <w:rFonts w:cs="Times New Roman"/>
          <w:szCs w:val="22"/>
          <w:lang w:val="hu-HU"/>
        </w:rPr>
        <w:noBreakHyphen/>
        <w:t>kináz inhibitorok (TKI</w:t>
      </w:r>
      <w:r w:rsidRPr="0019063C">
        <w:rPr>
          <w:rFonts w:cs="Times New Roman"/>
          <w:szCs w:val="22"/>
          <w:lang w:val="hu-HU"/>
        </w:rPr>
        <w:noBreakHyphen/>
        <w:t xml:space="preserve">k) </w:t>
      </w:r>
      <w:r w:rsidR="008B6EFB" w:rsidRPr="0019063C">
        <w:rPr>
          <w:rFonts w:cs="Times New Roman"/>
          <w:szCs w:val="22"/>
          <w:lang w:val="hu-HU"/>
        </w:rPr>
        <w:t>alkalmazása során</w:t>
      </w:r>
      <w:r w:rsidRPr="0019063C">
        <w:rPr>
          <w:rFonts w:cs="Times New Roman"/>
          <w:szCs w:val="22"/>
          <w:lang w:val="hu-HU"/>
        </w:rPr>
        <w:t xml:space="preserve"> </w:t>
      </w:r>
      <w:r w:rsidRPr="0019063C">
        <w:rPr>
          <w:color w:val="000000"/>
          <w:szCs w:val="22"/>
          <w:lang w:val="hu-HU"/>
        </w:rPr>
        <w:t>thromboticus microangiopathiá</w:t>
      </w:r>
      <w:r w:rsidR="008B6EFB" w:rsidRPr="0019063C">
        <w:rPr>
          <w:color w:val="000000"/>
          <w:szCs w:val="22"/>
          <w:lang w:val="hu-HU"/>
        </w:rPr>
        <w:t>t</w:t>
      </w:r>
      <w:r w:rsidRPr="0019063C">
        <w:rPr>
          <w:color w:val="000000"/>
          <w:szCs w:val="22"/>
          <w:lang w:val="hu-HU"/>
        </w:rPr>
        <w:t xml:space="preserve"> (TMA) </w:t>
      </w:r>
      <w:r w:rsidR="008B6EFB" w:rsidRPr="0019063C">
        <w:rPr>
          <w:color w:val="000000"/>
          <w:szCs w:val="22"/>
          <w:lang w:val="hu-HU"/>
        </w:rPr>
        <w:t>jelentettek</w:t>
      </w:r>
      <w:r w:rsidRPr="0019063C">
        <w:rPr>
          <w:color w:val="000000"/>
          <w:szCs w:val="22"/>
          <w:lang w:val="hu-HU"/>
        </w:rPr>
        <w:t>, beleértve a Glivec</w:t>
      </w:r>
      <w:r w:rsidRPr="0019063C">
        <w:rPr>
          <w:color w:val="000000"/>
          <w:szCs w:val="22"/>
          <w:lang w:val="hu-HU"/>
        </w:rPr>
        <w:noBreakHyphen/>
        <w:t>kel kapcsolatos egyedi esetjelentéseket (lásd 4.8 pont). Ha a Glivec</w:t>
      </w:r>
      <w:r w:rsidRPr="0019063C">
        <w:rPr>
          <w:color w:val="000000"/>
          <w:szCs w:val="22"/>
          <w:lang w:val="hu-HU"/>
        </w:rPr>
        <w:noBreakHyphen/>
      </w:r>
      <w:r w:rsidR="002E72A4">
        <w:rPr>
          <w:color w:val="000000"/>
          <w:szCs w:val="22"/>
          <w:lang w:val="hu-HU"/>
        </w:rPr>
        <w:t>k</w:t>
      </w:r>
      <w:r w:rsidRPr="0019063C">
        <w:rPr>
          <w:color w:val="000000"/>
          <w:szCs w:val="22"/>
          <w:lang w:val="hu-HU"/>
        </w:rPr>
        <w:t>e</w:t>
      </w:r>
      <w:r w:rsidR="008B6EFB" w:rsidRPr="0019063C">
        <w:rPr>
          <w:color w:val="000000"/>
          <w:szCs w:val="22"/>
          <w:lang w:val="hu-HU"/>
        </w:rPr>
        <w:t>l kezelt</w:t>
      </w:r>
      <w:r w:rsidRPr="0019063C">
        <w:rPr>
          <w:color w:val="000000"/>
          <w:szCs w:val="22"/>
          <w:lang w:val="hu-HU"/>
        </w:rPr>
        <w:t xml:space="preserve"> betegnél a TMA laboratóriumi vagy klinikai jelei fordulnak elő, a kezelést fel kell függeszteni, és a TMA alapos kivizsgálása szükséges, beleértve az ADAMTS13 aktivitást és az anti-ADAMTS13-antitest meghatározást. Ha az anti-ADAMTS13-antitest szint magas és az ADAMTS13 aktivitás alacsony, a Glivec</w:t>
      </w:r>
      <w:r w:rsidRPr="0019063C">
        <w:rPr>
          <w:color w:val="000000"/>
          <w:szCs w:val="22"/>
          <w:lang w:val="hu-HU"/>
        </w:rPr>
        <w:noBreakHyphen/>
        <w:t>kezelést nem szabad</w:t>
      </w:r>
      <w:r w:rsidRPr="00BF3D9F">
        <w:rPr>
          <w:color w:val="000000"/>
          <w:szCs w:val="22"/>
          <w:lang w:val="hu-HU"/>
        </w:rPr>
        <w:t xml:space="preserve"> folytatni.</w:t>
      </w:r>
    </w:p>
    <w:p w14:paraId="3E7A987B" w14:textId="77777777" w:rsidR="00E70CBF" w:rsidRPr="00556B9B" w:rsidRDefault="00E70CBF" w:rsidP="00E70CBF">
      <w:pPr>
        <w:rPr>
          <w:lang w:val="hu-HU"/>
        </w:rPr>
      </w:pPr>
    </w:p>
    <w:p w14:paraId="003884B9" w14:textId="77777777" w:rsidR="00153AD1" w:rsidRPr="00556B9B" w:rsidRDefault="00153AD1" w:rsidP="00F926B9">
      <w:pPr>
        <w:keepNext/>
        <w:spacing w:line="240" w:lineRule="auto"/>
        <w:rPr>
          <w:color w:val="000000"/>
          <w:u w:val="single"/>
          <w:lang w:val="hu-HU"/>
        </w:rPr>
      </w:pPr>
      <w:r w:rsidRPr="00556B9B">
        <w:rPr>
          <w:color w:val="000000"/>
          <w:u w:val="single"/>
          <w:lang w:val="hu-HU"/>
        </w:rPr>
        <w:t>Laboratóriumi vizsgálatok:</w:t>
      </w:r>
    </w:p>
    <w:p w14:paraId="13485F1D" w14:textId="6F1B08D3" w:rsidR="00153AD1" w:rsidRPr="0019063C" w:rsidRDefault="00153AD1" w:rsidP="00153AD1">
      <w:pPr>
        <w:spacing w:line="240" w:lineRule="auto"/>
        <w:rPr>
          <w:color w:val="000000"/>
          <w:lang w:val="hu-HU"/>
        </w:rPr>
      </w:pPr>
      <w:r w:rsidRPr="00556B9B">
        <w:rPr>
          <w:color w:val="000000"/>
          <w:lang w:val="hu-HU"/>
        </w:rPr>
        <w:t>A teljes vérkép rendszeresen ellenőrizendő a Glivec-kezelés során. A CML</w:t>
      </w:r>
      <w:r w:rsidR="002E72A4">
        <w:rPr>
          <w:color w:val="000000"/>
          <w:lang w:val="hu-HU"/>
        </w:rPr>
        <w:noBreakHyphen/>
        <w:t>es</w:t>
      </w:r>
      <w:r w:rsidRPr="00556B9B">
        <w:rPr>
          <w:color w:val="000000"/>
          <w:lang w:val="hu-HU"/>
        </w:rPr>
        <w:t xml:space="preserve"> betegek Glivec</w:t>
      </w:r>
      <w:r w:rsidRPr="00556B9B">
        <w:rPr>
          <w:color w:val="000000"/>
          <w:lang w:val="hu-HU"/>
        </w:rPr>
        <w:noBreakHyphen/>
        <w:t>kezelésekor neutropeniát vagy thrombocytopeniát figyeltek meg. Ezen cytopeniák előfordulása azonban valószínűleg a kezelendő betegség stádiumától függött, és sokkal gyakoribb volt az akcelerált fázisú CML</w:t>
      </w:r>
      <w:r w:rsidRPr="00556B9B">
        <w:rPr>
          <w:color w:val="000000"/>
          <w:lang w:val="hu-HU"/>
        </w:rPr>
        <w:noBreakHyphen/>
        <w:t>es betegekben vagy blasztos krízisben, mint a krónikus fázisban. Ilyen esetben a Glivec</w:t>
      </w:r>
      <w:r w:rsidRPr="00556B9B">
        <w:rPr>
          <w:color w:val="000000"/>
          <w:lang w:val="hu-HU"/>
        </w:rPr>
        <w:noBreakHyphen/>
        <w:t xml:space="preserve">kezelés abbahagyható, vagy az </w:t>
      </w:r>
      <w:r w:rsidRPr="0019063C">
        <w:rPr>
          <w:color w:val="000000"/>
          <w:lang w:val="hu-HU"/>
        </w:rPr>
        <w:t>alkalmazott adag csökkenthető, amint az a 4.2 pontban javasolt.</w:t>
      </w:r>
    </w:p>
    <w:p w14:paraId="5A758DF6" w14:textId="77777777" w:rsidR="00153AD1" w:rsidRPr="0019063C" w:rsidRDefault="00153AD1" w:rsidP="00153AD1">
      <w:pPr>
        <w:spacing w:line="240" w:lineRule="auto"/>
        <w:rPr>
          <w:color w:val="000000"/>
          <w:lang w:val="hu-HU"/>
        </w:rPr>
      </w:pPr>
    </w:p>
    <w:p w14:paraId="6AD407F0" w14:textId="3C5B1779" w:rsidR="00153AD1" w:rsidRPr="007C3BCA" w:rsidRDefault="00153AD1" w:rsidP="00153AD1">
      <w:pPr>
        <w:spacing w:line="240" w:lineRule="auto"/>
        <w:rPr>
          <w:color w:val="000000"/>
          <w:lang w:val="hu-HU"/>
        </w:rPr>
      </w:pPr>
      <w:r w:rsidRPr="0019063C">
        <w:rPr>
          <w:color w:val="000000"/>
          <w:lang w:val="hu-HU"/>
        </w:rPr>
        <w:t>A májfunkció</w:t>
      </w:r>
      <w:r w:rsidR="002E72A4">
        <w:rPr>
          <w:color w:val="000000"/>
          <w:lang w:val="hu-HU"/>
        </w:rPr>
        <w:t>t</w:t>
      </w:r>
      <w:r w:rsidRPr="0019063C">
        <w:rPr>
          <w:color w:val="000000"/>
          <w:lang w:val="hu-HU"/>
        </w:rPr>
        <w:t xml:space="preserve"> (transzaminázok, bilirubin, </w:t>
      </w:r>
      <w:r w:rsidRPr="007C3BCA">
        <w:rPr>
          <w:color w:val="000000"/>
          <w:lang w:val="hu-HU"/>
        </w:rPr>
        <w:t>alkalikus foszfatáz) rendszeresen ellenőriz</w:t>
      </w:r>
      <w:r w:rsidR="002E72A4" w:rsidRPr="007C3BCA">
        <w:rPr>
          <w:color w:val="000000"/>
          <w:lang w:val="hu-HU"/>
        </w:rPr>
        <w:t>ni kell</w:t>
      </w:r>
      <w:r w:rsidRPr="007C3BCA">
        <w:rPr>
          <w:color w:val="000000"/>
          <w:lang w:val="hu-HU"/>
        </w:rPr>
        <w:t xml:space="preserve"> a Glivec</w:t>
      </w:r>
      <w:r w:rsidRPr="007C3BCA">
        <w:rPr>
          <w:color w:val="000000"/>
          <w:lang w:val="hu-HU"/>
        </w:rPr>
        <w:noBreakHyphen/>
        <w:t>kezelésben részesülő betegek</w:t>
      </w:r>
      <w:r w:rsidR="008B6EFB" w:rsidRPr="007C3BCA">
        <w:rPr>
          <w:color w:val="000000"/>
          <w:lang w:val="hu-HU"/>
        </w:rPr>
        <w:t>nél</w:t>
      </w:r>
      <w:r w:rsidRPr="007C3BCA">
        <w:rPr>
          <w:color w:val="000000"/>
          <w:lang w:val="hu-HU"/>
        </w:rPr>
        <w:t>.</w:t>
      </w:r>
    </w:p>
    <w:p w14:paraId="634171FB" w14:textId="77777777" w:rsidR="00153AD1" w:rsidRPr="007C3BCA" w:rsidRDefault="00153AD1" w:rsidP="00153AD1">
      <w:pPr>
        <w:spacing w:line="240" w:lineRule="auto"/>
        <w:rPr>
          <w:color w:val="000000"/>
          <w:lang w:val="hu-HU"/>
        </w:rPr>
      </w:pPr>
    </w:p>
    <w:p w14:paraId="60BE8452" w14:textId="0DAE91BE" w:rsidR="00153AD1" w:rsidRPr="00556B9B" w:rsidRDefault="008B6EFB" w:rsidP="00153AD1">
      <w:pPr>
        <w:spacing w:line="240" w:lineRule="auto"/>
        <w:rPr>
          <w:color w:val="000000"/>
          <w:lang w:val="hu-HU"/>
        </w:rPr>
      </w:pPr>
      <w:r w:rsidRPr="007C3BCA">
        <w:rPr>
          <w:color w:val="000000"/>
          <w:lang w:val="hu-HU"/>
        </w:rPr>
        <w:t>Vesekárosodásban szenvedő</w:t>
      </w:r>
      <w:r w:rsidR="00153AD1" w:rsidRPr="007C3BCA">
        <w:rPr>
          <w:color w:val="000000"/>
          <w:lang w:val="hu-HU"/>
        </w:rPr>
        <w:t xml:space="preserve"> betegek</w:t>
      </w:r>
      <w:r w:rsidRPr="007C3BCA">
        <w:rPr>
          <w:color w:val="000000"/>
          <w:lang w:val="hu-HU"/>
        </w:rPr>
        <w:t>nél</w:t>
      </w:r>
      <w:r w:rsidR="00153AD1" w:rsidRPr="007C3BCA">
        <w:rPr>
          <w:color w:val="000000"/>
          <w:lang w:val="hu-HU"/>
        </w:rPr>
        <w:t xml:space="preserve"> az imatinib plazma expozíciója magasabbn</w:t>
      </w:r>
      <w:r w:rsidR="002E72A4" w:rsidRPr="007C3BCA">
        <w:rPr>
          <w:color w:val="000000"/>
          <w:lang w:val="hu-HU"/>
        </w:rPr>
        <w:t>a</w:t>
      </w:r>
      <w:r w:rsidR="00153AD1" w:rsidRPr="007C3BCA">
        <w:rPr>
          <w:color w:val="000000"/>
          <w:lang w:val="hu-HU"/>
        </w:rPr>
        <w:t>k tűnik, mint az egészséges vesefunkciójú betegek</w:t>
      </w:r>
      <w:r w:rsidRPr="007C3BCA">
        <w:rPr>
          <w:color w:val="000000"/>
          <w:lang w:val="hu-HU"/>
        </w:rPr>
        <w:t>nél</w:t>
      </w:r>
      <w:r w:rsidR="00153AD1" w:rsidRPr="007C3BCA">
        <w:rPr>
          <w:color w:val="000000"/>
          <w:lang w:val="hu-HU"/>
        </w:rPr>
        <w:t>. Ennek oka valószínűleg az, hogy ezen betegekben megemelkedik az imatinibet megkötő savas alfa glikoprotein (AGP) plazmaszintje.</w:t>
      </w:r>
      <w:r w:rsidR="00FC7949" w:rsidRPr="007C3BCA">
        <w:rPr>
          <w:color w:val="000000"/>
          <w:lang w:val="hu-HU"/>
        </w:rPr>
        <w:t xml:space="preserve"> Vesekárosodásban szenvedő</w:t>
      </w:r>
      <w:r w:rsidR="00153AD1" w:rsidRPr="007C3BCA">
        <w:rPr>
          <w:color w:val="000000"/>
          <w:lang w:val="hu-HU"/>
        </w:rPr>
        <w:t xml:space="preserve"> betegeknek a legkisebb kezdő adagot kell adni. Súlyos</w:t>
      </w:r>
      <w:r w:rsidRPr="007C3BCA">
        <w:rPr>
          <w:color w:val="000000"/>
          <w:lang w:val="hu-HU"/>
        </w:rPr>
        <w:t xml:space="preserve"> vesekárosodásban szenvedő</w:t>
      </w:r>
      <w:r w:rsidR="00153AD1" w:rsidRPr="007C3BCA">
        <w:rPr>
          <w:color w:val="000000"/>
          <w:lang w:val="hu-HU"/>
        </w:rPr>
        <w:t xml:space="preserve"> betegek kezelése óvatosságot igényel. Az adagot csökkenteni lehet, amennyiben azt a beteg nem jól tolerálja (lásd 4.2 és 5.2 pont).</w:t>
      </w:r>
    </w:p>
    <w:p w14:paraId="07E72B57" w14:textId="77777777" w:rsidR="00153AD1" w:rsidRPr="00556B9B" w:rsidRDefault="00153AD1" w:rsidP="00153AD1">
      <w:pPr>
        <w:spacing w:line="240" w:lineRule="auto"/>
        <w:rPr>
          <w:color w:val="000000"/>
          <w:lang w:val="hu-HU"/>
        </w:rPr>
      </w:pPr>
    </w:p>
    <w:p w14:paraId="4A764B26" w14:textId="6623D95D" w:rsidR="00897F6C" w:rsidRPr="00D836DD" w:rsidRDefault="003E6147" w:rsidP="00897F6C">
      <w:pPr>
        <w:pStyle w:val="EndnoteText"/>
        <w:widowControl w:val="0"/>
        <w:rPr>
          <w:color w:val="000000"/>
          <w:szCs w:val="22"/>
          <w:lang w:val="hu-HU"/>
        </w:rPr>
      </w:pPr>
      <w:r w:rsidRPr="00556B9B">
        <w:rPr>
          <w:color w:val="000000"/>
          <w:szCs w:val="22"/>
          <w:lang w:val="hu-HU"/>
        </w:rPr>
        <w:t>A h</w:t>
      </w:r>
      <w:r w:rsidR="00897F6C" w:rsidRPr="00556B9B">
        <w:rPr>
          <w:color w:val="000000"/>
          <w:szCs w:val="22"/>
          <w:lang w:val="hu-HU"/>
        </w:rPr>
        <w:t>osszú távú imatinib</w:t>
      </w:r>
      <w:r w:rsidR="00897F6C" w:rsidRPr="00556B9B">
        <w:rPr>
          <w:color w:val="000000"/>
          <w:szCs w:val="22"/>
          <w:lang w:val="hu-HU"/>
        </w:rPr>
        <w:noBreakHyphen/>
        <w:t>kezelés klinikailag jelentős vesefunkció romlást eredményezhet. Az imatinib</w:t>
      </w:r>
      <w:r w:rsidR="00897F6C" w:rsidRPr="00556B9B">
        <w:rPr>
          <w:color w:val="000000"/>
          <w:szCs w:val="22"/>
          <w:lang w:val="hu-HU"/>
        </w:rPr>
        <w:noBreakHyphen/>
        <w:t xml:space="preserve">kezelés megkezdése előtt ezért a vesefunkciót vizsgálni,valamint a kezelés során szorosan monitorozni kell, különös tekintettel a veseműködési zavar </w:t>
      </w:r>
      <w:r w:rsidR="00897F6C" w:rsidRPr="00D836DD">
        <w:rPr>
          <w:color w:val="000000"/>
          <w:szCs w:val="22"/>
          <w:lang w:val="hu-HU"/>
        </w:rPr>
        <w:t>kockázat</w:t>
      </w:r>
      <w:r w:rsidRPr="00D836DD">
        <w:rPr>
          <w:color w:val="000000"/>
          <w:szCs w:val="22"/>
          <w:lang w:val="hu-HU"/>
        </w:rPr>
        <w:t>i tényezői</w:t>
      </w:r>
      <w:r w:rsidR="00FC7949" w:rsidRPr="00D836DD">
        <w:rPr>
          <w:color w:val="000000"/>
          <w:szCs w:val="22"/>
          <w:lang w:val="hu-HU"/>
        </w:rPr>
        <w:t>vel rendelkező</w:t>
      </w:r>
      <w:r w:rsidR="00897F6C" w:rsidRPr="00D836DD">
        <w:rPr>
          <w:color w:val="000000"/>
          <w:szCs w:val="22"/>
          <w:lang w:val="hu-HU"/>
        </w:rPr>
        <w:t xml:space="preserve"> betegekre. Veseműködési zavar észlelése esetén megfelelő ellátást és kezelést kell elrendeni a standard kezelési </w:t>
      </w:r>
      <w:r w:rsidRPr="00D836DD">
        <w:rPr>
          <w:color w:val="000000"/>
          <w:szCs w:val="22"/>
          <w:lang w:val="hu-HU"/>
        </w:rPr>
        <w:t>irányelvek</w:t>
      </w:r>
      <w:r w:rsidR="00897F6C" w:rsidRPr="00D836DD">
        <w:rPr>
          <w:color w:val="000000"/>
          <w:szCs w:val="22"/>
          <w:lang w:val="hu-HU"/>
        </w:rPr>
        <w:t xml:space="preserve"> szerint.</w:t>
      </w:r>
    </w:p>
    <w:p w14:paraId="372DC087" w14:textId="77777777" w:rsidR="00897F6C" w:rsidRPr="00D836DD" w:rsidRDefault="00897F6C" w:rsidP="00153AD1">
      <w:pPr>
        <w:spacing w:line="240" w:lineRule="auto"/>
        <w:rPr>
          <w:color w:val="000000"/>
          <w:lang w:val="hu-HU"/>
        </w:rPr>
      </w:pPr>
    </w:p>
    <w:p w14:paraId="713FDF12" w14:textId="77777777" w:rsidR="00153AD1" w:rsidRPr="00D836DD" w:rsidRDefault="00153AD1" w:rsidP="00C85A02">
      <w:pPr>
        <w:keepNext/>
        <w:spacing w:line="240" w:lineRule="auto"/>
        <w:rPr>
          <w:color w:val="000000"/>
          <w:u w:val="single"/>
          <w:lang w:val="hu-HU"/>
        </w:rPr>
      </w:pPr>
      <w:r w:rsidRPr="00D836DD">
        <w:rPr>
          <w:u w:val="single"/>
          <w:lang w:val="hu-HU"/>
        </w:rPr>
        <w:t>Gyermekek</w:t>
      </w:r>
      <w:r w:rsidR="00331B30" w:rsidRPr="00D836DD">
        <w:rPr>
          <w:u w:val="single"/>
          <w:lang w:val="hu-HU"/>
        </w:rPr>
        <w:t xml:space="preserve"> és serdülők</w:t>
      </w:r>
    </w:p>
    <w:p w14:paraId="3A5DA230" w14:textId="37DB490C" w:rsidR="00153AD1" w:rsidRPr="00D836DD" w:rsidRDefault="00D96DDD" w:rsidP="00153AD1">
      <w:pPr>
        <w:spacing w:line="240" w:lineRule="auto"/>
        <w:rPr>
          <w:color w:val="000000"/>
          <w:lang w:val="hu-HU"/>
        </w:rPr>
      </w:pPr>
      <w:r w:rsidRPr="00D836DD">
        <w:rPr>
          <w:color w:val="000000"/>
          <w:lang w:val="hu-HU"/>
        </w:rPr>
        <w:t>Az imatinibbel kezelt</w:t>
      </w:r>
      <w:r w:rsidR="00153AD1" w:rsidRPr="00D836DD">
        <w:rPr>
          <w:color w:val="000000"/>
          <w:lang w:val="hu-HU"/>
        </w:rPr>
        <w:t xml:space="preserve"> gyermekeknél és serdülőkor előtt állóknál a növekedés</w:t>
      </w:r>
      <w:r w:rsidRPr="00D836DD">
        <w:rPr>
          <w:color w:val="000000"/>
          <w:lang w:val="hu-HU"/>
        </w:rPr>
        <w:t>i retardáció</w:t>
      </w:r>
      <w:r w:rsidR="00153AD1" w:rsidRPr="00D836DD">
        <w:rPr>
          <w:color w:val="000000"/>
          <w:lang w:val="hu-HU"/>
        </w:rPr>
        <w:t xml:space="preserve"> kialakulásáról szóló esetismertetések</w:t>
      </w:r>
      <w:r w:rsidRPr="00D836DD">
        <w:rPr>
          <w:color w:val="000000"/>
          <w:lang w:val="hu-HU"/>
        </w:rPr>
        <w:t xml:space="preserve"> jelentek meg.</w:t>
      </w:r>
      <w:r w:rsidR="004D12FC" w:rsidRPr="00D836DD">
        <w:rPr>
          <w:color w:val="000000"/>
          <w:lang w:val="hu-HU"/>
        </w:rPr>
        <w:t xml:space="preserve"> Egy megfigyeléses vizsgálatban, 12 és 24 hónapos kezelés után, a CML</w:t>
      </w:r>
      <w:r w:rsidR="004D12FC" w:rsidRPr="00D836DD">
        <w:rPr>
          <w:color w:val="000000"/>
          <w:lang w:val="hu-HU"/>
        </w:rPr>
        <w:noBreakHyphen/>
        <w:t xml:space="preserve">ben szenvedő </w:t>
      </w:r>
      <w:r w:rsidR="00EA4141" w:rsidRPr="00D836DD">
        <w:rPr>
          <w:color w:val="000000"/>
          <w:lang w:val="hu-HU"/>
        </w:rPr>
        <w:t>gyermek</w:t>
      </w:r>
      <w:r w:rsidRPr="00D836DD">
        <w:rPr>
          <w:color w:val="000000"/>
          <w:lang w:val="hu-HU"/>
        </w:rPr>
        <w:t>ek és serdülők</w:t>
      </w:r>
      <w:r w:rsidR="004D12FC" w:rsidRPr="00D836DD">
        <w:rPr>
          <w:color w:val="000000"/>
          <w:lang w:val="hu-HU"/>
        </w:rPr>
        <w:t xml:space="preserve"> két</w:t>
      </w:r>
      <w:r w:rsidRPr="00D836DD">
        <w:rPr>
          <w:color w:val="000000"/>
          <w:lang w:val="hu-HU"/>
        </w:rPr>
        <w:t xml:space="preserve"> kisebb</w:t>
      </w:r>
      <w:r w:rsidR="004D12FC" w:rsidRPr="00D836DD">
        <w:rPr>
          <w:color w:val="000000"/>
          <w:lang w:val="hu-HU"/>
        </w:rPr>
        <w:t>, pubertás</w:t>
      </w:r>
      <w:r w:rsidR="009E7D59" w:rsidRPr="00D836DD">
        <w:rPr>
          <w:color w:val="000000"/>
          <w:lang w:val="hu-HU"/>
        </w:rPr>
        <w:t>-</w:t>
      </w:r>
      <w:r w:rsidR="004D12FC" w:rsidRPr="00D836DD">
        <w:rPr>
          <w:color w:val="000000"/>
          <w:lang w:val="hu-HU"/>
        </w:rPr>
        <w:t xml:space="preserve">státusztól és nemtől független </w:t>
      </w:r>
      <w:r w:rsidR="004D12FC" w:rsidRPr="00D836DD">
        <w:rPr>
          <w:color w:val="000000"/>
          <w:lang w:val="hu-HU"/>
        </w:rPr>
        <w:lastRenderedPageBreak/>
        <w:t xml:space="preserve">alcsoportjában a medián testmagasságra vonatkozó standard deviációs pontszám </w:t>
      </w:r>
      <w:r w:rsidR="002458F5" w:rsidRPr="00D836DD">
        <w:rPr>
          <w:color w:val="000000"/>
          <w:lang w:val="hu-HU"/>
        </w:rPr>
        <w:t>statisztikailag szignifikáns csökkenését jelentették (melynek klinikai jelentősége bizonytalan).</w:t>
      </w:r>
      <w:r w:rsidR="004D12FC" w:rsidRPr="00D836DD">
        <w:rPr>
          <w:color w:val="000000"/>
          <w:lang w:val="hu-HU"/>
        </w:rPr>
        <w:t xml:space="preserve"> </w:t>
      </w:r>
      <w:r w:rsidR="00C73280" w:rsidRPr="00D836DD">
        <w:rPr>
          <w:color w:val="000000"/>
          <w:lang w:val="hu-HU"/>
        </w:rPr>
        <w:t>A</w:t>
      </w:r>
      <w:r w:rsidR="00153AD1" w:rsidRPr="00D836DD">
        <w:rPr>
          <w:color w:val="000000"/>
          <w:lang w:val="hu-HU"/>
        </w:rPr>
        <w:t>z imatinib</w:t>
      </w:r>
      <w:r w:rsidR="00153AD1" w:rsidRPr="00D836DD">
        <w:rPr>
          <w:color w:val="000000"/>
          <w:lang w:val="hu-HU"/>
        </w:rPr>
        <w:noBreakHyphen/>
        <w:t xml:space="preserve">kezelés alatt álló gyermekek növekedésének </w:t>
      </w:r>
      <w:r w:rsidRPr="00D836DD">
        <w:rPr>
          <w:color w:val="000000"/>
          <w:lang w:val="hu-HU"/>
        </w:rPr>
        <w:t>szoros</w:t>
      </w:r>
      <w:r w:rsidR="00153AD1" w:rsidRPr="00D836DD">
        <w:rPr>
          <w:color w:val="000000"/>
          <w:lang w:val="hu-HU"/>
        </w:rPr>
        <w:t xml:space="preserve"> ellenőrzése javasolt (lásd 4.8 pont).</w:t>
      </w:r>
    </w:p>
    <w:p w14:paraId="3523CD9A" w14:textId="77777777" w:rsidR="00153AD1" w:rsidRPr="00D836DD" w:rsidRDefault="00153AD1" w:rsidP="00153AD1">
      <w:pPr>
        <w:spacing w:line="240" w:lineRule="auto"/>
        <w:rPr>
          <w:color w:val="000000"/>
          <w:lang w:val="hu-HU"/>
        </w:rPr>
      </w:pPr>
    </w:p>
    <w:p w14:paraId="39934F55" w14:textId="77777777" w:rsidR="00153AD1" w:rsidRPr="00556B9B" w:rsidRDefault="00153AD1" w:rsidP="00F926B9">
      <w:pPr>
        <w:keepNext/>
        <w:spacing w:line="240" w:lineRule="auto"/>
        <w:ind w:left="567" w:hanging="567"/>
        <w:rPr>
          <w:b/>
          <w:color w:val="000000"/>
          <w:lang w:val="hu-HU"/>
        </w:rPr>
      </w:pPr>
      <w:r w:rsidRPr="00D836DD">
        <w:rPr>
          <w:b/>
          <w:color w:val="000000"/>
          <w:lang w:val="hu-HU"/>
        </w:rPr>
        <w:t>4.5</w:t>
      </w:r>
      <w:r w:rsidRPr="00D836DD">
        <w:rPr>
          <w:b/>
          <w:color w:val="000000"/>
          <w:lang w:val="hu-HU"/>
        </w:rPr>
        <w:tab/>
        <w:t>Gyógyszerkölcsönhatások és egyéb interakciók</w:t>
      </w:r>
    </w:p>
    <w:p w14:paraId="6357472B" w14:textId="77777777" w:rsidR="00153AD1" w:rsidRPr="00556B9B" w:rsidRDefault="00153AD1" w:rsidP="00F926B9">
      <w:pPr>
        <w:keepNext/>
        <w:spacing w:line="240" w:lineRule="auto"/>
        <w:rPr>
          <w:color w:val="000000"/>
          <w:lang w:val="hu-HU"/>
        </w:rPr>
      </w:pPr>
    </w:p>
    <w:p w14:paraId="26522DEA" w14:textId="77777777" w:rsidR="00153AD1" w:rsidRPr="00556B9B" w:rsidRDefault="00153AD1" w:rsidP="00F926B9">
      <w:pPr>
        <w:keepNext/>
        <w:spacing w:line="240" w:lineRule="auto"/>
        <w:rPr>
          <w:color w:val="000000"/>
          <w:u w:val="single"/>
          <w:lang w:val="hu-HU"/>
        </w:rPr>
      </w:pPr>
      <w:r w:rsidRPr="00556B9B">
        <w:rPr>
          <w:color w:val="000000"/>
          <w:u w:val="single"/>
          <w:lang w:val="hu-HU"/>
        </w:rPr>
        <w:t xml:space="preserve">Hatóanyagok, melyek </w:t>
      </w:r>
      <w:r w:rsidRPr="00556B9B">
        <w:rPr>
          <w:b/>
          <w:color w:val="000000"/>
          <w:u w:val="single"/>
          <w:lang w:val="hu-HU"/>
        </w:rPr>
        <w:t>növelhetik</w:t>
      </w:r>
      <w:r w:rsidRPr="00556B9B">
        <w:rPr>
          <w:color w:val="000000"/>
          <w:u w:val="single"/>
          <w:lang w:val="hu-HU"/>
        </w:rPr>
        <w:t xml:space="preserve"> az imatinib plazmakoncentrációját:</w:t>
      </w:r>
    </w:p>
    <w:p w14:paraId="39B83610" w14:textId="77777777" w:rsidR="00153AD1" w:rsidRPr="00556B9B" w:rsidRDefault="00153AD1" w:rsidP="00153AD1">
      <w:pPr>
        <w:spacing w:line="240" w:lineRule="auto"/>
        <w:rPr>
          <w:color w:val="000000"/>
          <w:lang w:val="hu-HU"/>
        </w:rPr>
      </w:pPr>
      <w:r w:rsidRPr="00556B9B">
        <w:rPr>
          <w:color w:val="000000"/>
          <w:lang w:val="hu-HU"/>
        </w:rPr>
        <w:t xml:space="preserve">Azok az anyagok, melyek a citokróm P450 CYP3A4 izoenzim aktivitását gátolják (pl. </w:t>
      </w:r>
      <w:r w:rsidRPr="00556B9B">
        <w:rPr>
          <w:color w:val="000000"/>
          <w:szCs w:val="22"/>
          <w:lang w:val="hu-HU"/>
        </w:rPr>
        <w:t>proteáz</w:t>
      </w:r>
      <w:r w:rsidRPr="00556B9B">
        <w:rPr>
          <w:color w:val="000000"/>
          <w:szCs w:val="22"/>
          <w:lang w:val="hu-HU"/>
        </w:rPr>
        <w:noBreakHyphen/>
        <w:t xml:space="preserve">inhibitorok, mint az indinavir, lopinavir/ritonavir, ritonavir, szakinavir, telaprevir, nelfinavir, boceprevir; azol gombaellenes szerek, beleértve a </w:t>
      </w:r>
      <w:r w:rsidRPr="00556B9B">
        <w:rPr>
          <w:color w:val="000000"/>
          <w:lang w:val="hu-HU"/>
        </w:rPr>
        <w:t xml:space="preserve">ketokonazolt, itrakonazolt, </w:t>
      </w:r>
      <w:r w:rsidRPr="00556B9B">
        <w:rPr>
          <w:color w:val="000000"/>
          <w:szCs w:val="22"/>
          <w:lang w:val="hu-HU"/>
        </w:rPr>
        <w:t xml:space="preserve">poszakonazolt, vorikonazolt; egyes makrolidok, mint az </w:t>
      </w:r>
      <w:r w:rsidRPr="00556B9B">
        <w:rPr>
          <w:color w:val="000000"/>
          <w:lang w:val="hu-HU"/>
        </w:rPr>
        <w:t>eritromicin, klaritromicin és telitromicin) csökkenthetik az imatinib metabolizmusát és növelhetik koncentrációját. Az imatinib expozíció szignifikáns növekedését (az imatinib átlagos C</w:t>
      </w:r>
      <w:r w:rsidRPr="00556B9B">
        <w:rPr>
          <w:color w:val="000000"/>
          <w:vertAlign w:val="subscript"/>
          <w:lang w:val="hu-HU"/>
        </w:rPr>
        <w:t>max</w:t>
      </w:r>
      <w:r w:rsidRPr="00556B9B">
        <w:rPr>
          <w:color w:val="000000"/>
          <w:lang w:val="hu-HU"/>
        </w:rPr>
        <w:t>- és AUC-értékei 26%, ill. 40%</w:t>
      </w:r>
      <w:r w:rsidRPr="00556B9B">
        <w:rPr>
          <w:color w:val="000000"/>
          <w:lang w:val="hu-HU"/>
        </w:rPr>
        <w:noBreakHyphen/>
        <w:t>kal nőttek) észlelték egészséges önkéntesekben egyszeri dózisú ketokonazol (CYP3A4 gátló) egyidejű adásakor. A Glivec és a CYP3A4</w:t>
      </w:r>
      <w:r w:rsidRPr="00556B9B">
        <w:rPr>
          <w:color w:val="000000"/>
          <w:lang w:val="hu-HU"/>
        </w:rPr>
        <w:noBreakHyphen/>
        <w:t>gátló tulajdonságú hatóanyagok együttes adásakor óvatosság szükséges.</w:t>
      </w:r>
    </w:p>
    <w:p w14:paraId="6AFEC54C" w14:textId="77777777" w:rsidR="00153AD1" w:rsidRPr="00556B9B" w:rsidRDefault="00153AD1" w:rsidP="00153AD1">
      <w:pPr>
        <w:spacing w:line="240" w:lineRule="auto"/>
        <w:rPr>
          <w:color w:val="000000"/>
          <w:lang w:val="hu-HU"/>
        </w:rPr>
      </w:pPr>
    </w:p>
    <w:p w14:paraId="4AE3EB5F" w14:textId="77777777" w:rsidR="00153AD1" w:rsidRPr="007C3BCA" w:rsidRDefault="00153AD1" w:rsidP="00F926B9">
      <w:pPr>
        <w:keepNext/>
        <w:spacing w:line="240" w:lineRule="auto"/>
        <w:rPr>
          <w:color w:val="000000"/>
          <w:u w:val="single"/>
          <w:lang w:val="hu-HU"/>
        </w:rPr>
      </w:pPr>
      <w:r w:rsidRPr="007C3BCA">
        <w:rPr>
          <w:color w:val="000000"/>
          <w:u w:val="single"/>
          <w:lang w:val="hu-HU"/>
        </w:rPr>
        <w:t xml:space="preserve">Hatóanyagok, melyek </w:t>
      </w:r>
      <w:r w:rsidRPr="007C3BCA">
        <w:rPr>
          <w:b/>
          <w:color w:val="000000"/>
          <w:u w:val="single"/>
          <w:lang w:val="hu-HU"/>
        </w:rPr>
        <w:t>csökkenthetik</w:t>
      </w:r>
      <w:r w:rsidRPr="007C3BCA">
        <w:rPr>
          <w:color w:val="000000"/>
          <w:u w:val="single"/>
          <w:lang w:val="hu-HU"/>
        </w:rPr>
        <w:t xml:space="preserve"> az imatinib plazmakoncentrációját:</w:t>
      </w:r>
    </w:p>
    <w:p w14:paraId="24C9719B" w14:textId="51E63BA5" w:rsidR="00153AD1" w:rsidRPr="00556B9B" w:rsidRDefault="00153AD1" w:rsidP="00153AD1">
      <w:pPr>
        <w:spacing w:line="240" w:lineRule="auto"/>
        <w:rPr>
          <w:color w:val="000000"/>
          <w:lang w:val="hu-HU"/>
        </w:rPr>
      </w:pPr>
      <w:r w:rsidRPr="007C3BCA">
        <w:rPr>
          <w:color w:val="000000"/>
          <w:lang w:val="hu-HU"/>
        </w:rPr>
        <w:t xml:space="preserve">A CYP3A4 aktivitását indukáló anyagok (pl. dexametazon, fenitoin, karbamazepin, rifampicin, fenobarbitál, foszfenitoin, primidon vagy a </w:t>
      </w:r>
      <w:r w:rsidRPr="007C3BCA">
        <w:rPr>
          <w:i/>
          <w:color w:val="000000"/>
          <w:lang w:val="hu-HU"/>
        </w:rPr>
        <w:t>Hypericum perforatum</w:t>
      </w:r>
      <w:r w:rsidRPr="007C3BCA">
        <w:rPr>
          <w:color w:val="000000"/>
          <w:lang w:val="hu-HU"/>
        </w:rPr>
        <w:t xml:space="preserve"> [</w:t>
      </w:r>
      <w:r w:rsidR="00ED23E9" w:rsidRPr="007C3BCA">
        <w:rPr>
          <w:color w:val="000000"/>
          <w:lang w:val="hu-HU"/>
        </w:rPr>
        <w:t xml:space="preserve">közönséges </w:t>
      </w:r>
      <w:r w:rsidRPr="007C3BCA">
        <w:rPr>
          <w:color w:val="000000"/>
          <w:lang w:val="hu-HU"/>
        </w:rPr>
        <w:t>orbáncfű]) szignifikánsan csökkenthetik a Glivec expozíciót, potenciálisan növelve a terápiás</w:t>
      </w:r>
      <w:r w:rsidRPr="00556B9B">
        <w:rPr>
          <w:color w:val="000000"/>
          <w:lang w:val="hu-HU"/>
        </w:rPr>
        <w:t xml:space="preserve"> elégtelenség lehetőségét. 600 mg</w:t>
      </w:r>
      <w:r w:rsidRPr="00556B9B">
        <w:rPr>
          <w:color w:val="000000"/>
          <w:lang w:val="hu-HU"/>
        </w:rPr>
        <w:noBreakHyphen/>
        <w:t>os, ismételt dózisú rifampicin előkezelést követő egyszeri 400 mg Glivec bevétele a C</w:t>
      </w:r>
      <w:r w:rsidRPr="00556B9B">
        <w:rPr>
          <w:color w:val="000000"/>
          <w:vertAlign w:val="subscript"/>
          <w:lang w:val="hu-HU"/>
        </w:rPr>
        <w:t>max</w:t>
      </w:r>
      <w:r w:rsidRPr="00556B9B">
        <w:rPr>
          <w:color w:val="000000"/>
          <w:lang w:val="hu-HU"/>
        </w:rPr>
        <w:t>-, ill. az AUC</w:t>
      </w:r>
      <w:r w:rsidRPr="00556B9B">
        <w:rPr>
          <w:color w:val="000000"/>
          <w:vertAlign w:val="subscript"/>
          <w:lang w:val="hu-HU"/>
        </w:rPr>
        <w:t>0-∞</w:t>
      </w:r>
      <w:r w:rsidRPr="00556B9B">
        <w:rPr>
          <w:color w:val="000000"/>
          <w:lang w:val="hu-HU"/>
        </w:rPr>
        <w:t>-értékeiben legalább 54%, ill. 74%</w:t>
      </w:r>
      <w:r w:rsidRPr="00556B9B">
        <w:rPr>
          <w:color w:val="000000"/>
          <w:lang w:val="hu-HU"/>
        </w:rPr>
        <w:noBreakHyphen/>
        <w:t>os csökkenést okozott a rifampicin nélküli kezeléshez képest. Hasonló eredményeket figyeltek meg azoknál a malignus gliómában szenvedő, Glivec</w:t>
      </w:r>
      <w:r w:rsidRPr="00556B9B">
        <w:rPr>
          <w:color w:val="000000"/>
          <w:lang w:val="hu-HU"/>
        </w:rPr>
        <w:noBreakHyphen/>
        <w:t>kel kezelt betegeknél, akik egyidejűleg enzimindukáló antiepileptikum (pl. karbamazepin, oxkarbazepin, fenitoin) kezelésben részesültek. Az imatinib plazma AUC-értéke 73%</w:t>
      </w:r>
      <w:r w:rsidRPr="00556B9B">
        <w:rPr>
          <w:color w:val="000000"/>
          <w:lang w:val="hu-HU"/>
        </w:rPr>
        <w:noBreakHyphen/>
        <w:t>kal csökkent az enzimindukáló antiepileptikumot nem szedő betegekhez képest. A rifampicin vagy más erős CYP3A4 induktor és a Glivec egyidejű adását el kell kerülni.</w:t>
      </w:r>
    </w:p>
    <w:p w14:paraId="5F1815D5" w14:textId="77777777" w:rsidR="00153AD1" w:rsidRPr="00556B9B" w:rsidRDefault="00153AD1" w:rsidP="00153AD1">
      <w:pPr>
        <w:spacing w:line="240" w:lineRule="auto"/>
        <w:rPr>
          <w:color w:val="000000"/>
          <w:lang w:val="hu-HU"/>
        </w:rPr>
      </w:pPr>
    </w:p>
    <w:p w14:paraId="3A0A7401" w14:textId="77777777" w:rsidR="00153AD1" w:rsidRPr="00556B9B" w:rsidRDefault="00153AD1" w:rsidP="00F926B9">
      <w:pPr>
        <w:keepNext/>
        <w:spacing w:line="240" w:lineRule="auto"/>
        <w:rPr>
          <w:b/>
          <w:color w:val="000000"/>
          <w:lang w:val="hu-HU"/>
        </w:rPr>
      </w:pPr>
      <w:r w:rsidRPr="00556B9B">
        <w:rPr>
          <w:b/>
          <w:color w:val="000000"/>
          <w:lang w:val="hu-HU"/>
        </w:rPr>
        <w:t>Hatóanyagok, melyek plazmakoncentrációját a Glivec megváltoztathatja</w:t>
      </w:r>
    </w:p>
    <w:p w14:paraId="3E112C38" w14:textId="77777777" w:rsidR="00153AD1" w:rsidRPr="00556B9B" w:rsidRDefault="00153AD1" w:rsidP="00153AD1">
      <w:pPr>
        <w:spacing w:line="240" w:lineRule="auto"/>
        <w:rPr>
          <w:color w:val="000000"/>
          <w:lang w:val="hu-HU"/>
        </w:rPr>
      </w:pPr>
      <w:r w:rsidRPr="00556B9B">
        <w:rPr>
          <w:color w:val="000000"/>
          <w:lang w:val="hu-HU"/>
        </w:rPr>
        <w:t>Az imatinib a szimvasztatin (CYP3A4 szubsztrát) átlagos C</w:t>
      </w:r>
      <w:r w:rsidRPr="00556B9B">
        <w:rPr>
          <w:color w:val="000000"/>
          <w:vertAlign w:val="subscript"/>
          <w:lang w:val="hu-HU"/>
        </w:rPr>
        <w:t>max</w:t>
      </w:r>
      <w:r w:rsidRPr="00556B9B">
        <w:rPr>
          <w:color w:val="000000"/>
          <w:lang w:val="hu-HU"/>
        </w:rPr>
        <w:t>-, ill. AUC-értékét 2-, ill. 3,5</w:t>
      </w:r>
      <w:r w:rsidRPr="00556B9B">
        <w:rPr>
          <w:color w:val="000000"/>
          <w:lang w:val="hu-HU"/>
        </w:rPr>
        <w:noBreakHyphen/>
        <w:t>szeresére növeli, ami arra utal, hogy az imatinib gátolja a CYP3A4 izoenzim aktivitását. Ezért óvatosság ajánlott, amikor a Glivec</w:t>
      </w:r>
      <w:r w:rsidRPr="00556B9B">
        <w:rPr>
          <w:color w:val="000000"/>
          <w:lang w:val="hu-HU"/>
        </w:rPr>
        <w:noBreakHyphen/>
        <w:t>et kicsiny terápiás szélességű CYP3A4 szubsztrátokkal (pl.ciklosporin, pimozid</w:t>
      </w:r>
      <w:r w:rsidRPr="00556B9B">
        <w:rPr>
          <w:color w:val="000000"/>
          <w:szCs w:val="22"/>
          <w:lang w:val="hu-HU"/>
        </w:rPr>
        <w:t>, takrolimusz, szirolimusz, ergotamin, diergotamin, fentanil, alfentanil, terfenadin, bortezomib, docetaxel és kinidin</w:t>
      </w:r>
      <w:r w:rsidRPr="00556B9B">
        <w:rPr>
          <w:color w:val="000000"/>
          <w:lang w:val="hu-HU"/>
        </w:rPr>
        <w:t>) adják együtt. A Glivec növelheti az egyéb, CYP3A4 enzimrendszeren keresztül metabolizálódó gyógyszerek (pl. triazolo</w:t>
      </w:r>
      <w:r w:rsidRPr="00556B9B">
        <w:rPr>
          <w:color w:val="000000"/>
          <w:lang w:val="hu-HU"/>
        </w:rPr>
        <w:noBreakHyphen/>
        <w:t>benzodiazepinek, dihidropiridin kalciumcsatorna</w:t>
      </w:r>
      <w:r w:rsidRPr="00556B9B">
        <w:rPr>
          <w:color w:val="000000"/>
          <w:lang w:val="hu-HU"/>
        </w:rPr>
        <w:noBreakHyphen/>
        <w:t xml:space="preserve">gátlók, egyes </w:t>
      </w:r>
      <w:smartTag w:uri="urn:schemas-microsoft-com:office:smarttags" w:element="stockticker">
        <w:r w:rsidRPr="00556B9B">
          <w:rPr>
            <w:color w:val="000000"/>
            <w:lang w:val="hu-HU"/>
          </w:rPr>
          <w:t>HMG</w:t>
        </w:r>
      </w:smartTag>
      <w:r w:rsidRPr="00556B9B">
        <w:rPr>
          <w:color w:val="000000"/>
          <w:lang w:val="hu-HU"/>
        </w:rPr>
        <w:t>-CoA reduktáz inhibitorok, pl. sztatinok stb.) plazmaszintjét.</w:t>
      </w:r>
    </w:p>
    <w:p w14:paraId="33DA42BA" w14:textId="77777777" w:rsidR="00153AD1" w:rsidRPr="00556B9B" w:rsidRDefault="00153AD1" w:rsidP="00153AD1">
      <w:pPr>
        <w:spacing w:line="240" w:lineRule="auto"/>
        <w:rPr>
          <w:color w:val="000000"/>
          <w:lang w:val="hu-HU"/>
        </w:rPr>
      </w:pPr>
    </w:p>
    <w:p w14:paraId="573EA000" w14:textId="77777777" w:rsidR="00153AD1" w:rsidRPr="00556B9B" w:rsidRDefault="00153AD1" w:rsidP="00153AD1">
      <w:pPr>
        <w:spacing w:line="240" w:lineRule="auto"/>
        <w:rPr>
          <w:color w:val="000000"/>
          <w:lang w:val="hu-HU"/>
        </w:rPr>
      </w:pPr>
      <w:r w:rsidRPr="00556B9B">
        <w:rPr>
          <w:color w:val="000000"/>
          <w:lang w:val="hu-HU"/>
        </w:rPr>
        <w:t>Az imatinib alkalmazásával együttjáró, ismerten emelkedett vérzési rizikó miatt (pl. haemorrhagia) antikoaguláns kezelésre szoruló betegeknek kumarin</w:t>
      </w:r>
      <w:r w:rsidRPr="00556B9B">
        <w:rPr>
          <w:color w:val="000000"/>
          <w:lang w:val="hu-HU"/>
        </w:rPr>
        <w:noBreakHyphen/>
        <w:t>származékok, például a warfarin helyett kis molekulatömegű vagy standard heparint kell kapniuk.</w:t>
      </w:r>
    </w:p>
    <w:p w14:paraId="188D1651" w14:textId="77777777" w:rsidR="00153AD1" w:rsidRPr="00556B9B" w:rsidRDefault="00153AD1" w:rsidP="00153AD1">
      <w:pPr>
        <w:spacing w:line="240" w:lineRule="auto"/>
        <w:rPr>
          <w:color w:val="000000"/>
          <w:lang w:val="hu-HU"/>
        </w:rPr>
      </w:pPr>
    </w:p>
    <w:p w14:paraId="779DCDA1" w14:textId="77777777" w:rsidR="00153AD1" w:rsidRPr="00556B9B" w:rsidRDefault="00153AD1" w:rsidP="00153AD1">
      <w:pPr>
        <w:spacing w:line="240" w:lineRule="auto"/>
        <w:rPr>
          <w:color w:val="000000"/>
          <w:lang w:val="hu-HU"/>
        </w:rPr>
      </w:pPr>
      <w:r w:rsidRPr="00556B9B">
        <w:rPr>
          <w:i/>
          <w:color w:val="000000"/>
          <w:lang w:val="hu-HU"/>
        </w:rPr>
        <w:t>In vitro</w:t>
      </w:r>
      <w:r w:rsidRPr="00556B9B">
        <w:rPr>
          <w:color w:val="000000"/>
          <w:lang w:val="hu-HU"/>
        </w:rPr>
        <w:t xml:space="preserve"> a Glivec a citokróm P450 CYP2D6 izoenzim aktivitását azonos koncentrációkban gátolja, mint amelyek hatással vannak a CYP3A4 aktivitására. Az imatinib napi 2 x 400 mg adagban gátló hatást gyakorolt a metoprolol CYP2D6 által mediált metabolizmusára, melynek következtében a metoprolol C</w:t>
      </w:r>
      <w:r w:rsidRPr="00556B9B">
        <w:rPr>
          <w:color w:val="000000"/>
          <w:vertAlign w:val="subscript"/>
          <w:lang w:val="hu-HU"/>
        </w:rPr>
        <w:t>max</w:t>
      </w:r>
      <w:r w:rsidRPr="00556B9B">
        <w:rPr>
          <w:color w:val="000000"/>
          <w:lang w:val="hu-HU"/>
        </w:rPr>
        <w:t>- és AUC-értékei körülbelül 23%</w:t>
      </w:r>
      <w:r w:rsidRPr="00556B9B">
        <w:rPr>
          <w:color w:val="000000"/>
          <w:lang w:val="hu-HU"/>
        </w:rPr>
        <w:noBreakHyphen/>
        <w:t xml:space="preserve">kal növekedtek </w:t>
      </w:r>
      <w:r w:rsidRPr="00556B9B">
        <w:rPr>
          <w:color w:val="000000"/>
          <w:szCs w:val="22"/>
          <w:lang w:val="hu-HU"/>
        </w:rPr>
        <w:t>(90%CI [1,16</w:t>
      </w:r>
      <w:r w:rsidRPr="00556B9B">
        <w:rPr>
          <w:color w:val="000000"/>
          <w:szCs w:val="22"/>
          <w:lang w:val="hu-HU"/>
        </w:rPr>
        <w:noBreakHyphen/>
        <w:t>1,30]). Úgy tűnik, hogy az imatinib és a CYP2D6 szubsztrátok egyidejű alkalmazása esetén nincs szükség adagmódosításra, azonban óvatosság javasolt a szűk terápiás ablakú CYP2D6 szubsztrátok (pl. metoprolol) esetén. Metoprolollal kezelt betegek esetében megfontolandó a rendszeres klinikai ellenőrzés.</w:t>
      </w:r>
    </w:p>
    <w:p w14:paraId="7BE6A022" w14:textId="77777777" w:rsidR="00153AD1" w:rsidRPr="00556B9B" w:rsidRDefault="00153AD1" w:rsidP="00153AD1">
      <w:pPr>
        <w:spacing w:line="240" w:lineRule="auto"/>
        <w:rPr>
          <w:color w:val="000000"/>
          <w:lang w:val="hu-HU"/>
        </w:rPr>
      </w:pPr>
    </w:p>
    <w:p w14:paraId="599A21ED" w14:textId="728E1D8F" w:rsidR="00153AD1" w:rsidRPr="00556B9B" w:rsidRDefault="00153AD1" w:rsidP="00153AD1">
      <w:pPr>
        <w:spacing w:line="240" w:lineRule="auto"/>
        <w:rPr>
          <w:color w:val="000000"/>
          <w:lang w:val="hu-HU"/>
        </w:rPr>
      </w:pPr>
      <w:r w:rsidRPr="00556B9B">
        <w:rPr>
          <w:color w:val="000000"/>
          <w:lang w:val="hu-HU"/>
        </w:rPr>
        <w:t xml:space="preserve">A Glivec </w:t>
      </w:r>
      <w:r w:rsidRPr="00556B9B">
        <w:rPr>
          <w:i/>
          <w:color w:val="000000"/>
          <w:lang w:val="hu-HU"/>
        </w:rPr>
        <w:t>in vitro</w:t>
      </w:r>
      <w:r w:rsidRPr="00556B9B">
        <w:rPr>
          <w:color w:val="000000"/>
          <w:lang w:val="hu-HU"/>
        </w:rPr>
        <w:t xml:space="preserve"> gátolja a paracetamol O</w:t>
      </w:r>
      <w:r w:rsidRPr="00556B9B">
        <w:rPr>
          <w:color w:val="000000"/>
          <w:lang w:val="hu-HU"/>
        </w:rPr>
        <w:noBreakHyphen/>
        <w:t>glukuronidációját 58,5 mi</w:t>
      </w:r>
      <w:r w:rsidR="00F10932">
        <w:rPr>
          <w:color w:val="000000"/>
          <w:lang w:val="hu-HU"/>
        </w:rPr>
        <w:t>k</w:t>
      </w:r>
      <w:r w:rsidRPr="00556B9B">
        <w:rPr>
          <w:color w:val="000000"/>
          <w:lang w:val="hu-HU"/>
        </w:rPr>
        <w:t>romol/l Ki</w:t>
      </w:r>
      <w:r w:rsidRPr="00556B9B">
        <w:rPr>
          <w:color w:val="000000"/>
          <w:lang w:val="hu-HU"/>
        </w:rPr>
        <w:noBreakHyphen/>
        <w:t xml:space="preserve">érték mellett. Ez a gátló hatás </w:t>
      </w:r>
      <w:r w:rsidRPr="00556B9B">
        <w:rPr>
          <w:i/>
          <w:color w:val="000000"/>
          <w:lang w:val="hu-HU"/>
        </w:rPr>
        <w:t>in vivo</w:t>
      </w:r>
      <w:r w:rsidRPr="00556B9B">
        <w:rPr>
          <w:color w:val="000000"/>
          <w:lang w:val="hu-HU"/>
        </w:rPr>
        <w:t>, 400 mg Glivec és 1000 mg paracetamol beadása után nem volt tapasztalható. Magasabb Glivec</w:t>
      </w:r>
      <w:r w:rsidR="00F10932">
        <w:rPr>
          <w:color w:val="000000"/>
          <w:lang w:val="hu-HU"/>
        </w:rPr>
        <w:t>-</w:t>
      </w:r>
      <w:r w:rsidRPr="00556B9B">
        <w:rPr>
          <w:color w:val="000000"/>
          <w:lang w:val="hu-HU"/>
        </w:rPr>
        <w:t xml:space="preserve"> és paracetamol dózist nem vizsgáltak.</w:t>
      </w:r>
    </w:p>
    <w:p w14:paraId="09145865" w14:textId="77777777" w:rsidR="00153AD1" w:rsidRPr="00556B9B" w:rsidRDefault="00153AD1" w:rsidP="00153AD1">
      <w:pPr>
        <w:spacing w:line="240" w:lineRule="auto"/>
        <w:rPr>
          <w:color w:val="000000"/>
          <w:lang w:val="hu-HU"/>
        </w:rPr>
      </w:pPr>
    </w:p>
    <w:p w14:paraId="6C8FBF41" w14:textId="77777777" w:rsidR="00153AD1" w:rsidRPr="00556B9B" w:rsidRDefault="00153AD1" w:rsidP="00153AD1">
      <w:pPr>
        <w:spacing w:line="240" w:lineRule="auto"/>
        <w:rPr>
          <w:color w:val="000000"/>
          <w:lang w:val="hu-HU"/>
        </w:rPr>
      </w:pPr>
      <w:r w:rsidRPr="00556B9B">
        <w:rPr>
          <w:color w:val="000000"/>
          <w:lang w:val="hu-HU"/>
        </w:rPr>
        <w:t>Ezért a Glivec és a paracetamol egyidejű, nagy dózisokban történő alkalmazása során óvatosságra van szükség.</w:t>
      </w:r>
    </w:p>
    <w:p w14:paraId="61A91307" w14:textId="77777777" w:rsidR="00153AD1" w:rsidRPr="00556B9B" w:rsidRDefault="00153AD1" w:rsidP="00153AD1">
      <w:pPr>
        <w:spacing w:line="240" w:lineRule="auto"/>
        <w:rPr>
          <w:color w:val="000000"/>
          <w:lang w:val="hu-HU"/>
        </w:rPr>
      </w:pPr>
    </w:p>
    <w:p w14:paraId="2E4BDB78" w14:textId="77777777" w:rsidR="00153AD1" w:rsidRPr="00556B9B" w:rsidRDefault="00153AD1" w:rsidP="00153AD1">
      <w:pPr>
        <w:spacing w:line="240" w:lineRule="auto"/>
        <w:rPr>
          <w:color w:val="000000"/>
          <w:lang w:val="hu-HU"/>
        </w:rPr>
      </w:pPr>
      <w:r w:rsidRPr="00556B9B">
        <w:rPr>
          <w:color w:val="000000"/>
          <w:lang w:val="hu-HU"/>
        </w:rPr>
        <w:lastRenderedPageBreak/>
        <w:t>Levotiroxin kezelésben részesülő, thyreoidectomián átesett betegekben a levotiroxin plazma expozíciója csökkenhet Glivec egyidejű alkalmazása esetén (lásd 4.4 pont). Ezért ilyen esetben óvatosság javasolt. A megfigyelt interakció mechanizmusa azonban jelenleg nem ismert.</w:t>
      </w:r>
    </w:p>
    <w:p w14:paraId="2F2F61F6" w14:textId="77777777" w:rsidR="00153AD1" w:rsidRPr="00556B9B" w:rsidRDefault="00153AD1" w:rsidP="00153AD1">
      <w:pPr>
        <w:spacing w:line="240" w:lineRule="auto"/>
        <w:rPr>
          <w:color w:val="000000"/>
          <w:lang w:val="hu-HU"/>
        </w:rPr>
      </w:pPr>
    </w:p>
    <w:p w14:paraId="47CDEC43" w14:textId="77777777" w:rsidR="00153AD1" w:rsidRPr="00556B9B" w:rsidRDefault="00153AD1" w:rsidP="00153AD1">
      <w:pPr>
        <w:spacing w:line="240" w:lineRule="auto"/>
        <w:rPr>
          <w:color w:val="000000"/>
          <w:lang w:val="hu-HU"/>
        </w:rPr>
      </w:pPr>
      <w:r w:rsidRPr="00556B9B">
        <w:rPr>
          <w:color w:val="000000"/>
          <w:lang w:val="hu-HU"/>
        </w:rPr>
        <w:t xml:space="preserve">Ph+ </w:t>
      </w:r>
      <w:smartTag w:uri="urn:schemas-microsoft-com:office:smarttags" w:element="stockticker">
        <w:r w:rsidRPr="00556B9B">
          <w:rPr>
            <w:color w:val="000000"/>
            <w:lang w:val="hu-HU"/>
          </w:rPr>
          <w:t>ALL</w:t>
        </w:r>
      </w:smartTag>
      <w:r w:rsidRPr="00556B9B">
        <w:rPr>
          <w:color w:val="000000"/>
          <w:lang w:val="hu-HU"/>
        </w:rPr>
        <w:noBreakHyphen/>
        <w:t>es betegek esetében a Glivec kemoterápiával történő egyidejű alkalmazására vonatkozóan rendelkezésre áll klinikai tapasztalat (lásd 5.1 pont), de az imatinib és a kemoterápiás szerek közötti gyógyszerkölcsönhatás nincs megfelelően meghatározva. Az imatinib által kiváltott nemkívánatos események (pl. hepatotoxicitás, myelosuppressio, stb) előfordulási gyakorisága megnövekedhet, valamint beszámoltak arról, hogy az imatinib L</w:t>
      </w:r>
      <w:r w:rsidRPr="00556B9B">
        <w:rPr>
          <w:color w:val="000000"/>
          <w:lang w:val="hu-HU"/>
        </w:rPr>
        <w:noBreakHyphen/>
        <w:t>aszparaginázzal történő egyidejű alkalmazása megnövekedett hepatotoxicitással járhat (lásd 4.8 pont). Ezért a Glivec kombinációban történő alkalmazása fokozott körültekintést igényel.</w:t>
      </w:r>
    </w:p>
    <w:p w14:paraId="41EDB4A2" w14:textId="77777777" w:rsidR="00153AD1" w:rsidRPr="00556B9B" w:rsidRDefault="00153AD1" w:rsidP="00153AD1">
      <w:pPr>
        <w:spacing w:line="240" w:lineRule="auto"/>
        <w:rPr>
          <w:color w:val="000000"/>
          <w:lang w:val="hu-HU"/>
        </w:rPr>
      </w:pPr>
    </w:p>
    <w:p w14:paraId="57379313" w14:textId="77777777" w:rsidR="00153AD1" w:rsidRPr="00556B9B" w:rsidRDefault="00153AD1" w:rsidP="00F926B9">
      <w:pPr>
        <w:keepNext/>
        <w:spacing w:line="240" w:lineRule="auto"/>
        <w:ind w:left="567" w:hanging="567"/>
        <w:rPr>
          <w:b/>
          <w:color w:val="000000"/>
          <w:lang w:val="hu-HU"/>
        </w:rPr>
      </w:pPr>
      <w:r w:rsidRPr="00556B9B">
        <w:rPr>
          <w:b/>
          <w:color w:val="000000"/>
          <w:lang w:val="hu-HU"/>
        </w:rPr>
        <w:t>4.6</w:t>
      </w:r>
      <w:r w:rsidRPr="00556B9B">
        <w:rPr>
          <w:b/>
          <w:color w:val="000000"/>
          <w:lang w:val="hu-HU"/>
        </w:rPr>
        <w:tab/>
      </w:r>
      <w:r w:rsidRPr="00556B9B">
        <w:rPr>
          <w:b/>
          <w:noProof/>
          <w:color w:val="000000"/>
          <w:lang w:val="hu-HU"/>
        </w:rPr>
        <w:t>Termékenység, t</w:t>
      </w:r>
      <w:r w:rsidRPr="00556B9B">
        <w:rPr>
          <w:b/>
          <w:color w:val="000000"/>
          <w:lang w:val="hu-HU"/>
        </w:rPr>
        <w:t>erhesség és szoptatás</w:t>
      </w:r>
    </w:p>
    <w:p w14:paraId="0A123325" w14:textId="77777777" w:rsidR="00153AD1" w:rsidRPr="00556B9B" w:rsidRDefault="00153AD1" w:rsidP="00F926B9">
      <w:pPr>
        <w:keepNext/>
        <w:spacing w:line="240" w:lineRule="auto"/>
        <w:rPr>
          <w:color w:val="000000"/>
          <w:lang w:val="hu-HU"/>
        </w:rPr>
      </w:pPr>
    </w:p>
    <w:p w14:paraId="7740D3DA" w14:textId="77777777" w:rsidR="00153AD1" w:rsidRPr="00556B9B" w:rsidRDefault="00153AD1" w:rsidP="00F926B9">
      <w:pPr>
        <w:keepNext/>
        <w:spacing w:line="240" w:lineRule="auto"/>
        <w:rPr>
          <w:color w:val="000000"/>
          <w:lang w:val="hu-HU"/>
        </w:rPr>
      </w:pPr>
      <w:r w:rsidRPr="00556B9B">
        <w:rPr>
          <w:color w:val="000000"/>
          <w:u w:val="single"/>
          <w:lang w:val="hu-HU"/>
        </w:rPr>
        <w:t>Fogamzóképes nők</w:t>
      </w:r>
    </w:p>
    <w:p w14:paraId="0D0C41FE" w14:textId="4B7BE6B1" w:rsidR="00153AD1" w:rsidRPr="00556B9B" w:rsidRDefault="00153AD1" w:rsidP="00153AD1">
      <w:pPr>
        <w:spacing w:line="240" w:lineRule="auto"/>
        <w:rPr>
          <w:color w:val="000000"/>
          <w:u w:val="single"/>
          <w:lang w:val="hu-HU"/>
        </w:rPr>
      </w:pPr>
      <w:r w:rsidRPr="00347A1E">
        <w:rPr>
          <w:color w:val="000000"/>
          <w:lang w:val="hu-HU"/>
        </w:rPr>
        <w:t xml:space="preserve">Fogamzóképes korban lévő nőknek </w:t>
      </w:r>
      <w:r w:rsidRPr="00347A1E">
        <w:rPr>
          <w:szCs w:val="22"/>
          <w:lang w:val="hu-HU"/>
        </w:rPr>
        <w:t>azt kell javasolni, hogy</w:t>
      </w:r>
      <w:r w:rsidRPr="00347A1E">
        <w:rPr>
          <w:color w:val="000000"/>
          <w:lang w:val="hu-HU"/>
        </w:rPr>
        <w:t xml:space="preserve"> </w:t>
      </w:r>
      <w:r w:rsidR="00874843" w:rsidRPr="00347A1E">
        <w:rPr>
          <w:color w:val="000000"/>
          <w:lang w:val="hu-HU"/>
        </w:rPr>
        <w:t xml:space="preserve">alkalmazzanak </w:t>
      </w:r>
      <w:r w:rsidRPr="00347A1E">
        <w:rPr>
          <w:color w:val="000000"/>
          <w:lang w:val="hu-HU"/>
        </w:rPr>
        <w:t>hatékony fogamzásgátlást a kezelés alatt</w:t>
      </w:r>
      <w:r w:rsidR="00F10932" w:rsidRPr="00347A1E">
        <w:rPr>
          <w:color w:val="000000"/>
          <w:lang w:val="hu-HU"/>
        </w:rPr>
        <w:t>,</w:t>
      </w:r>
      <w:r w:rsidR="005466A1" w:rsidRPr="00347A1E">
        <w:rPr>
          <w:color w:val="000000"/>
          <w:lang w:val="hu-HU"/>
        </w:rPr>
        <w:t xml:space="preserve"> és még </w:t>
      </w:r>
      <w:r w:rsidR="00874843" w:rsidRPr="00347A1E">
        <w:rPr>
          <w:color w:val="000000"/>
          <w:lang w:val="hu-HU"/>
        </w:rPr>
        <w:t>legalább</w:t>
      </w:r>
      <w:r w:rsidR="005466A1" w:rsidRPr="00347A1E">
        <w:rPr>
          <w:color w:val="000000"/>
          <w:lang w:val="hu-HU"/>
        </w:rPr>
        <w:t xml:space="preserve"> 15 napig a Glivec</w:t>
      </w:r>
      <w:r w:rsidR="005466A1" w:rsidRPr="00347A1E">
        <w:rPr>
          <w:color w:val="000000"/>
          <w:lang w:val="hu-HU"/>
        </w:rPr>
        <w:noBreakHyphen/>
        <w:t>kezelés befejezését követően</w:t>
      </w:r>
      <w:r w:rsidRPr="00347A1E">
        <w:rPr>
          <w:color w:val="000000"/>
          <w:lang w:val="hu-HU"/>
        </w:rPr>
        <w:t>.</w:t>
      </w:r>
    </w:p>
    <w:p w14:paraId="2A4C610D" w14:textId="77777777" w:rsidR="00153AD1" w:rsidRPr="00556B9B" w:rsidRDefault="00153AD1" w:rsidP="00153AD1">
      <w:pPr>
        <w:spacing w:line="240" w:lineRule="auto"/>
        <w:rPr>
          <w:color w:val="000000"/>
          <w:u w:val="single"/>
          <w:lang w:val="hu-HU"/>
        </w:rPr>
      </w:pPr>
    </w:p>
    <w:p w14:paraId="4F33F6E7" w14:textId="77777777" w:rsidR="00153AD1" w:rsidRPr="007C3BCA" w:rsidRDefault="00153AD1" w:rsidP="00F926B9">
      <w:pPr>
        <w:keepNext/>
        <w:spacing w:line="240" w:lineRule="auto"/>
        <w:rPr>
          <w:color w:val="000000"/>
          <w:u w:val="single"/>
          <w:lang w:val="hu-HU"/>
        </w:rPr>
      </w:pPr>
      <w:r w:rsidRPr="007C3BCA">
        <w:rPr>
          <w:color w:val="000000"/>
          <w:u w:val="single"/>
          <w:lang w:val="hu-HU"/>
        </w:rPr>
        <w:t>Terhesség</w:t>
      </w:r>
    </w:p>
    <w:p w14:paraId="1793EB30" w14:textId="234E7CCA" w:rsidR="00153AD1" w:rsidRPr="007C3BCA" w:rsidRDefault="00153AD1" w:rsidP="00153AD1">
      <w:pPr>
        <w:spacing w:line="240" w:lineRule="auto"/>
        <w:rPr>
          <w:color w:val="000000"/>
          <w:lang w:val="hu-HU"/>
        </w:rPr>
      </w:pPr>
      <w:r w:rsidRPr="007C3BCA">
        <w:rPr>
          <w:szCs w:val="22"/>
          <w:lang w:val="hu-HU"/>
        </w:rPr>
        <w:t xml:space="preserve">Az imatinib </w:t>
      </w:r>
      <w:r w:rsidRPr="007C3BCA">
        <w:rPr>
          <w:color w:val="000000"/>
          <w:lang w:val="hu-HU"/>
        </w:rPr>
        <w:t>terhes nőknél történő alkalmazása tekintetében</w:t>
      </w:r>
      <w:r w:rsidRPr="007C3BCA">
        <w:rPr>
          <w:szCs w:val="22"/>
          <w:lang w:val="hu-HU"/>
        </w:rPr>
        <w:t xml:space="preserve"> korlátozott mennyiségű információ áll rendelkezésre</w:t>
      </w:r>
      <w:r w:rsidRPr="007C3BCA">
        <w:rPr>
          <w:color w:val="000000"/>
          <w:lang w:val="hu-HU"/>
        </w:rPr>
        <w:t xml:space="preserve">. </w:t>
      </w:r>
      <w:r w:rsidR="00E21768" w:rsidRPr="007C3BCA">
        <w:rPr>
          <w:color w:val="000000"/>
          <w:lang w:val="hu-HU" w:bidi="hu-HU"/>
        </w:rPr>
        <w:t>Glivec</w:t>
      </w:r>
      <w:r w:rsidR="00E21768" w:rsidRPr="007C3BCA">
        <w:rPr>
          <w:color w:val="000000"/>
          <w:lang w:val="hu-HU" w:bidi="hu-HU"/>
        </w:rPr>
        <w:noBreakHyphen/>
        <w:t>et szedő nők</w:t>
      </w:r>
      <w:r w:rsidR="00874843" w:rsidRPr="007C3BCA">
        <w:rPr>
          <w:color w:val="000000"/>
          <w:lang w:val="hu-HU" w:bidi="hu-HU"/>
        </w:rPr>
        <w:t xml:space="preserve"> esetében a forgalomba hozatalt követően beszámoltak</w:t>
      </w:r>
      <w:r w:rsidR="00E21768" w:rsidRPr="007C3BCA">
        <w:rPr>
          <w:color w:val="000000"/>
          <w:lang w:val="hu-HU" w:bidi="hu-HU"/>
        </w:rPr>
        <w:t xml:space="preserve"> spontán abortuszról</w:t>
      </w:r>
      <w:r w:rsidR="00F10932" w:rsidRPr="007C3BCA">
        <w:rPr>
          <w:color w:val="000000"/>
          <w:lang w:val="hu-HU" w:bidi="hu-HU"/>
        </w:rPr>
        <w:t>,</w:t>
      </w:r>
      <w:r w:rsidR="00E21768" w:rsidRPr="007C3BCA">
        <w:rPr>
          <w:color w:val="000000"/>
          <w:lang w:val="hu-HU" w:bidi="hu-HU"/>
        </w:rPr>
        <w:t xml:space="preserve"> és fejlődési rendellenességekkel született </w:t>
      </w:r>
      <w:r w:rsidR="00874843" w:rsidRPr="007C3BCA">
        <w:rPr>
          <w:color w:val="000000"/>
          <w:lang w:val="hu-HU" w:bidi="hu-HU"/>
        </w:rPr>
        <w:t>újszülöttekről</w:t>
      </w:r>
      <w:r w:rsidR="00E21768" w:rsidRPr="007C3BCA">
        <w:rPr>
          <w:color w:val="000000"/>
          <w:lang w:val="hu-HU" w:bidi="hu-HU"/>
        </w:rPr>
        <w:t xml:space="preserve">. </w:t>
      </w:r>
      <w:r w:rsidR="00874843" w:rsidRPr="007C3BCA">
        <w:rPr>
          <w:color w:val="000000"/>
          <w:lang w:val="hu-HU"/>
        </w:rPr>
        <w:t>Továbbá</w:t>
      </w:r>
      <w:r w:rsidRPr="007C3BCA">
        <w:rPr>
          <w:color w:val="000000"/>
          <w:lang w:val="hu-HU"/>
        </w:rPr>
        <w:t xml:space="preserve">, az </w:t>
      </w:r>
      <w:r w:rsidRPr="007C3BCA">
        <w:rPr>
          <w:szCs w:val="22"/>
          <w:lang w:val="hu-HU"/>
        </w:rPr>
        <w:t>állatkísérletek során reproduktív toxicitást igazoltak</w:t>
      </w:r>
      <w:r w:rsidRPr="007C3BCA">
        <w:rPr>
          <w:color w:val="000000"/>
          <w:lang w:val="hu-HU"/>
        </w:rPr>
        <w:t xml:space="preserve"> (lásd 5.3 pont), és a magzatra gyakorolt potenciális </w:t>
      </w:r>
      <w:r w:rsidR="00874843" w:rsidRPr="007C3BCA">
        <w:rPr>
          <w:color w:val="000000"/>
          <w:lang w:val="hu-HU"/>
        </w:rPr>
        <w:t>kockázat</w:t>
      </w:r>
      <w:r w:rsidRPr="007C3BCA">
        <w:rPr>
          <w:color w:val="000000"/>
          <w:lang w:val="hu-HU"/>
        </w:rPr>
        <w:t xml:space="preserve"> nem ismert. A Glivec</w:t>
      </w:r>
      <w:r w:rsidRPr="007C3BCA">
        <w:rPr>
          <w:noProof/>
          <w:szCs w:val="22"/>
          <w:lang w:val="hu-HU"/>
        </w:rPr>
        <w:t xml:space="preserve"> </w:t>
      </w:r>
      <w:r w:rsidR="00F10932" w:rsidRPr="007C3BCA">
        <w:rPr>
          <w:noProof/>
          <w:szCs w:val="22"/>
          <w:lang w:val="hu-HU"/>
        </w:rPr>
        <w:t xml:space="preserve">nem </w:t>
      </w:r>
      <w:r w:rsidR="00874843" w:rsidRPr="007C3BCA">
        <w:rPr>
          <w:noProof/>
          <w:szCs w:val="22"/>
          <w:lang w:val="hu-HU"/>
        </w:rPr>
        <w:t>alkalmazható</w:t>
      </w:r>
      <w:r w:rsidRPr="007C3BCA">
        <w:rPr>
          <w:noProof/>
          <w:szCs w:val="22"/>
          <w:lang w:val="hu-HU"/>
        </w:rPr>
        <w:t xml:space="preserve"> </w:t>
      </w:r>
      <w:r w:rsidRPr="007C3BCA">
        <w:rPr>
          <w:szCs w:val="22"/>
          <w:lang w:val="hu-HU"/>
        </w:rPr>
        <w:t>terhesség alatt</w:t>
      </w:r>
      <w:r w:rsidRPr="007C3BCA">
        <w:rPr>
          <w:color w:val="000000"/>
          <w:lang w:val="hu-HU"/>
        </w:rPr>
        <w:t xml:space="preserve">, </w:t>
      </w:r>
      <w:r w:rsidRPr="007C3BCA">
        <w:rPr>
          <w:szCs w:val="22"/>
          <w:lang w:val="hu-HU"/>
        </w:rPr>
        <w:t>kivéve</w:t>
      </w:r>
      <w:r w:rsidRPr="007C3BCA">
        <w:rPr>
          <w:color w:val="000000"/>
          <w:lang w:val="hu-HU"/>
        </w:rPr>
        <w:t>, ha erre egyértelműen szükség van. Amennyiben terhesség során alkalmazzák, a beteg</w:t>
      </w:r>
      <w:r w:rsidR="00874843" w:rsidRPr="007C3BCA">
        <w:rPr>
          <w:color w:val="000000"/>
          <w:lang w:val="hu-HU"/>
        </w:rPr>
        <w:t>et tájékoztatni</w:t>
      </w:r>
      <w:r w:rsidRPr="007C3BCA">
        <w:rPr>
          <w:color w:val="000000"/>
          <w:lang w:val="hu-HU"/>
        </w:rPr>
        <w:t xml:space="preserve"> kell a foetusra gyakorolt potenciális kockázat</w:t>
      </w:r>
      <w:r w:rsidR="00874843" w:rsidRPr="007C3BCA">
        <w:rPr>
          <w:color w:val="000000"/>
          <w:lang w:val="hu-HU"/>
        </w:rPr>
        <w:t>ról</w:t>
      </w:r>
      <w:r w:rsidRPr="007C3BCA">
        <w:rPr>
          <w:color w:val="000000"/>
          <w:lang w:val="hu-HU"/>
        </w:rPr>
        <w:t>.</w:t>
      </w:r>
    </w:p>
    <w:p w14:paraId="20B2602A" w14:textId="77777777" w:rsidR="00153AD1" w:rsidRPr="007C3BCA" w:rsidRDefault="00153AD1" w:rsidP="00153AD1">
      <w:pPr>
        <w:spacing w:line="240" w:lineRule="auto"/>
        <w:rPr>
          <w:color w:val="000000"/>
          <w:lang w:val="hu-HU"/>
        </w:rPr>
      </w:pPr>
    </w:p>
    <w:p w14:paraId="761FE8EC" w14:textId="77777777" w:rsidR="00153AD1" w:rsidRPr="007C3BCA" w:rsidRDefault="00153AD1" w:rsidP="00F926B9">
      <w:pPr>
        <w:keepNext/>
        <w:spacing w:line="240" w:lineRule="auto"/>
        <w:rPr>
          <w:color w:val="000000"/>
          <w:u w:val="single"/>
          <w:lang w:val="hu-HU"/>
        </w:rPr>
      </w:pPr>
      <w:r w:rsidRPr="007C3BCA">
        <w:rPr>
          <w:color w:val="000000"/>
          <w:u w:val="single"/>
          <w:lang w:val="hu-HU"/>
        </w:rPr>
        <w:t>Szoptatás</w:t>
      </w:r>
    </w:p>
    <w:p w14:paraId="41379261" w14:textId="7929C5D0" w:rsidR="00153AD1" w:rsidRPr="007C3BCA" w:rsidRDefault="00153AD1" w:rsidP="00153AD1">
      <w:pPr>
        <w:spacing w:line="240" w:lineRule="auto"/>
        <w:rPr>
          <w:color w:val="000000"/>
          <w:lang w:val="hu-HU"/>
        </w:rPr>
      </w:pPr>
      <w:r w:rsidRPr="007C3BCA">
        <w:rPr>
          <w:color w:val="000000"/>
          <w:lang w:val="hu-HU"/>
        </w:rPr>
        <w:t>Korlátozott információ áll rendelkezésre az imatinib emberi</w:t>
      </w:r>
      <w:r w:rsidRPr="00556B9B">
        <w:rPr>
          <w:color w:val="000000"/>
          <w:lang w:val="hu-HU"/>
        </w:rPr>
        <w:t xml:space="preserve"> anyatejbe történő átjutásáról. Két szoptató nő bevonásával végzett vizsgálatokban kimutatták, hogy mind az imatinib, mind annak aktív metabolitja bejuthat az emberi anyatejbe. A tej – plazma arányt, melyet egyetlen betegnél vizsgáltak, az imatinib esetén 0,5</w:t>
      </w:r>
      <w:r w:rsidRPr="00556B9B">
        <w:rPr>
          <w:color w:val="000000"/>
          <w:lang w:val="hu-HU"/>
        </w:rPr>
        <w:noBreakHyphen/>
        <w:t>nek, metabolitja esetén 0,9</w:t>
      </w:r>
      <w:r w:rsidRPr="00556B9B">
        <w:rPr>
          <w:color w:val="000000"/>
          <w:lang w:val="hu-HU"/>
        </w:rPr>
        <w:noBreakHyphen/>
        <w:t xml:space="preserve">nek mérték, ami arra utal, hogy a metabolit nagyobb mértékben jut be a tejbe. Tekintettel az imatinib és a metabolit együttes </w:t>
      </w:r>
      <w:r w:rsidRPr="007C3BCA">
        <w:rPr>
          <w:color w:val="000000"/>
          <w:lang w:val="hu-HU"/>
        </w:rPr>
        <w:t>koncentrációjára és a csecsemők napi maximális tejfogyasztására, a teljes expozíció várhatóan alacsony lesz (a terápiás adag kb. 10%</w:t>
      </w:r>
      <w:r w:rsidRPr="007C3BCA">
        <w:rPr>
          <w:color w:val="000000"/>
          <w:lang w:val="hu-HU"/>
        </w:rPr>
        <w:noBreakHyphen/>
        <w:t xml:space="preserve">a). Mivel azonban a csecsemő alacsony dózisú imatinib-expozíciójának hatása nem ismert, </w:t>
      </w:r>
      <w:r w:rsidR="005466A1" w:rsidRPr="007C3BCA">
        <w:rPr>
          <w:color w:val="000000"/>
          <w:lang w:val="hu-HU"/>
        </w:rPr>
        <w:t>a</w:t>
      </w:r>
      <w:r w:rsidR="00874843" w:rsidRPr="007C3BCA">
        <w:rPr>
          <w:color w:val="000000"/>
          <w:lang w:val="hu-HU"/>
        </w:rPr>
        <w:t>z anya</w:t>
      </w:r>
      <w:r w:rsidRPr="007C3BCA">
        <w:rPr>
          <w:color w:val="000000"/>
          <w:lang w:val="hu-HU"/>
        </w:rPr>
        <w:t xml:space="preserve"> </w:t>
      </w:r>
      <w:r w:rsidR="005466A1" w:rsidRPr="007C3BCA">
        <w:rPr>
          <w:color w:val="000000"/>
          <w:lang w:val="hu-HU"/>
        </w:rPr>
        <w:t>a kezelés alatt és a Glivec</w:t>
      </w:r>
      <w:r w:rsidR="005466A1" w:rsidRPr="007C3BCA">
        <w:rPr>
          <w:color w:val="000000"/>
          <w:lang w:val="hu-HU"/>
        </w:rPr>
        <w:noBreakHyphen/>
        <w:t xml:space="preserve">kezelés befejezését követően </w:t>
      </w:r>
      <w:r w:rsidR="00874843" w:rsidRPr="007C3BCA">
        <w:rPr>
          <w:color w:val="000000"/>
          <w:lang w:val="hu-HU"/>
        </w:rPr>
        <w:t xml:space="preserve">még legalább 15 napig </w:t>
      </w:r>
      <w:r w:rsidRPr="007C3BCA">
        <w:rPr>
          <w:color w:val="000000"/>
          <w:lang w:val="hu-HU"/>
        </w:rPr>
        <w:t>nem szoptathat.</w:t>
      </w:r>
    </w:p>
    <w:p w14:paraId="0BF77BC4" w14:textId="77777777" w:rsidR="00153AD1" w:rsidRPr="007C3BCA" w:rsidRDefault="00153AD1" w:rsidP="00153AD1">
      <w:pPr>
        <w:spacing w:line="240" w:lineRule="auto"/>
        <w:rPr>
          <w:color w:val="000000"/>
          <w:lang w:val="hu-HU"/>
        </w:rPr>
      </w:pPr>
    </w:p>
    <w:p w14:paraId="3053D097" w14:textId="77777777" w:rsidR="00153AD1" w:rsidRPr="007C3BCA" w:rsidRDefault="00153AD1" w:rsidP="00F926B9">
      <w:pPr>
        <w:pStyle w:val="EndnoteText"/>
        <w:keepNext/>
        <w:widowControl w:val="0"/>
        <w:rPr>
          <w:color w:val="000000"/>
          <w:u w:val="single"/>
          <w:lang w:val="hu-HU"/>
        </w:rPr>
      </w:pPr>
      <w:r w:rsidRPr="007C3BCA">
        <w:rPr>
          <w:color w:val="000000"/>
          <w:u w:val="single"/>
          <w:lang w:val="hu-HU"/>
        </w:rPr>
        <w:t>Termékenység</w:t>
      </w:r>
    </w:p>
    <w:p w14:paraId="1A760826" w14:textId="093F131F" w:rsidR="00153AD1" w:rsidRPr="00556B9B" w:rsidRDefault="00153AD1" w:rsidP="00153AD1">
      <w:pPr>
        <w:pStyle w:val="EndnoteText"/>
        <w:widowControl w:val="0"/>
        <w:rPr>
          <w:color w:val="000000"/>
          <w:lang w:val="hu-HU"/>
        </w:rPr>
      </w:pPr>
      <w:r w:rsidRPr="007C3BCA">
        <w:rPr>
          <w:lang w:val="hu-HU"/>
        </w:rPr>
        <w:t>Nem klinikai vizsgálatokban a hím és nőstény patkányok termékenysége nem változott</w:t>
      </w:r>
      <w:r w:rsidR="00761F04" w:rsidRPr="007C3BCA">
        <w:rPr>
          <w:lang w:val="hu-HU"/>
        </w:rPr>
        <w:t>, bár tapasztaltak a reproduktív paraméterekre kifejtett hatásokat</w:t>
      </w:r>
      <w:r w:rsidRPr="007C3BCA">
        <w:rPr>
          <w:lang w:val="hu-HU"/>
        </w:rPr>
        <w:t xml:space="preserve"> (lásd 5.3 pont). Glivec</w:t>
      </w:r>
      <w:r w:rsidRPr="00556B9B">
        <w:rPr>
          <w:lang w:val="hu-HU"/>
        </w:rPr>
        <w:noBreakHyphen/>
        <w:t>et kapó betegekkel, valamint annak a fertilitásra és a gametogenesisre gyakorolt hatásait értékelő vizsgálatokat nem végeztek. A Glivec</w:t>
      </w:r>
      <w:r w:rsidRPr="00556B9B">
        <w:rPr>
          <w:lang w:val="hu-HU"/>
        </w:rPr>
        <w:noBreakHyphen/>
        <w:t>kezelést kapó, a termékenységük miatt aggódó betegeknek beszélniük kell kezelőorvosukkal.</w:t>
      </w:r>
    </w:p>
    <w:p w14:paraId="3D2364BC" w14:textId="77777777" w:rsidR="00153AD1" w:rsidRPr="00556B9B" w:rsidRDefault="00153AD1" w:rsidP="00153AD1">
      <w:pPr>
        <w:spacing w:line="240" w:lineRule="auto"/>
        <w:rPr>
          <w:color w:val="000000"/>
          <w:lang w:val="hu-HU"/>
        </w:rPr>
      </w:pPr>
    </w:p>
    <w:p w14:paraId="11DC4C5A" w14:textId="77777777" w:rsidR="00153AD1" w:rsidRPr="00556B9B" w:rsidRDefault="00153AD1" w:rsidP="00F926B9">
      <w:pPr>
        <w:keepNext/>
        <w:spacing w:line="240" w:lineRule="auto"/>
        <w:ind w:left="567" w:hanging="567"/>
        <w:rPr>
          <w:b/>
          <w:color w:val="000000"/>
          <w:lang w:val="hu-HU"/>
        </w:rPr>
      </w:pPr>
      <w:r w:rsidRPr="00556B9B">
        <w:rPr>
          <w:b/>
          <w:color w:val="000000"/>
          <w:lang w:val="hu-HU"/>
        </w:rPr>
        <w:t>4.7</w:t>
      </w:r>
      <w:r w:rsidRPr="00556B9B">
        <w:rPr>
          <w:b/>
          <w:color w:val="000000"/>
          <w:lang w:val="hu-HU"/>
        </w:rPr>
        <w:tab/>
        <w:t>A készítmény hatásai a gépjárművezetéshez és a gépek kezeléséhez szükséges képességekre</w:t>
      </w:r>
    </w:p>
    <w:p w14:paraId="4B69DA2F" w14:textId="77777777" w:rsidR="00153AD1" w:rsidRPr="00556B9B" w:rsidRDefault="00153AD1" w:rsidP="00F926B9">
      <w:pPr>
        <w:keepNext/>
        <w:spacing w:line="240" w:lineRule="auto"/>
        <w:ind w:left="567" w:hanging="567"/>
        <w:rPr>
          <w:color w:val="000000"/>
          <w:lang w:val="hu-HU"/>
        </w:rPr>
      </w:pPr>
    </w:p>
    <w:p w14:paraId="36E40D79" w14:textId="77777777" w:rsidR="00153AD1" w:rsidRPr="00556B9B" w:rsidRDefault="00153AD1" w:rsidP="00153AD1">
      <w:pPr>
        <w:spacing w:line="240" w:lineRule="auto"/>
        <w:rPr>
          <w:color w:val="000000"/>
          <w:lang w:val="hu-HU"/>
        </w:rPr>
      </w:pPr>
      <w:r w:rsidRPr="00556B9B">
        <w:rPr>
          <w:color w:val="000000"/>
          <w:lang w:val="hu-HU"/>
        </w:rPr>
        <w:t>A betegeket figyelmeztetni kell, hogy az imatinib terápia ideje alatt mellékhatások, mint szédülés, homályos látás és aluszékonyság előfordulhat. Ezért óvatosság javasolt gépjárművezetés és gépkezelés ideje alatt.</w:t>
      </w:r>
    </w:p>
    <w:p w14:paraId="65E5B0F9" w14:textId="77777777" w:rsidR="00153AD1" w:rsidRPr="00556B9B" w:rsidRDefault="00153AD1" w:rsidP="00153AD1">
      <w:pPr>
        <w:spacing w:line="240" w:lineRule="auto"/>
        <w:rPr>
          <w:color w:val="000000"/>
          <w:lang w:val="hu-HU"/>
        </w:rPr>
      </w:pPr>
    </w:p>
    <w:p w14:paraId="37C32E61" w14:textId="77777777" w:rsidR="00153AD1" w:rsidRPr="00556B9B" w:rsidRDefault="00153AD1" w:rsidP="00F926B9">
      <w:pPr>
        <w:keepNext/>
        <w:spacing w:line="240" w:lineRule="auto"/>
        <w:ind w:left="567" w:hanging="567"/>
        <w:rPr>
          <w:b/>
          <w:color w:val="000000"/>
          <w:lang w:val="hu-HU"/>
        </w:rPr>
      </w:pPr>
      <w:r w:rsidRPr="00556B9B">
        <w:rPr>
          <w:b/>
          <w:color w:val="000000"/>
          <w:lang w:val="hu-HU"/>
        </w:rPr>
        <w:t>4.8</w:t>
      </w:r>
      <w:r w:rsidRPr="00556B9B">
        <w:rPr>
          <w:b/>
          <w:color w:val="000000"/>
          <w:lang w:val="hu-HU"/>
        </w:rPr>
        <w:tab/>
        <w:t>Nemkívánatos hatások, mellékhatások</w:t>
      </w:r>
    </w:p>
    <w:p w14:paraId="55D7049F" w14:textId="77777777" w:rsidR="00153AD1" w:rsidRPr="00556B9B" w:rsidRDefault="00153AD1" w:rsidP="00F926B9">
      <w:pPr>
        <w:keepNext/>
        <w:spacing w:line="240" w:lineRule="auto"/>
        <w:ind w:left="567" w:hanging="567"/>
        <w:rPr>
          <w:color w:val="000000"/>
          <w:lang w:val="hu-HU"/>
        </w:rPr>
      </w:pPr>
    </w:p>
    <w:p w14:paraId="34D9293F" w14:textId="71CFA6ED" w:rsidR="00153AD1" w:rsidRPr="00556B9B" w:rsidRDefault="00153AD1" w:rsidP="00153AD1">
      <w:pPr>
        <w:spacing w:line="240" w:lineRule="auto"/>
        <w:rPr>
          <w:color w:val="000000"/>
          <w:lang w:val="hu-HU"/>
        </w:rPr>
      </w:pPr>
      <w:r w:rsidRPr="00347A1E">
        <w:rPr>
          <w:color w:val="000000"/>
          <w:lang w:val="hu-HU"/>
        </w:rPr>
        <w:t>Az előrehaladott stádiumú rosszindulatú betegségben szenvedő betegekn</w:t>
      </w:r>
      <w:r w:rsidR="00D11F30" w:rsidRPr="00347A1E">
        <w:rPr>
          <w:color w:val="000000"/>
          <w:lang w:val="hu-HU"/>
        </w:rPr>
        <w:t>él</w:t>
      </w:r>
      <w:r w:rsidRPr="00347A1E">
        <w:rPr>
          <w:color w:val="000000"/>
          <w:lang w:val="hu-HU"/>
        </w:rPr>
        <w:t xml:space="preserve"> számos </w:t>
      </w:r>
      <w:r w:rsidR="00D11F30" w:rsidRPr="00347A1E">
        <w:rPr>
          <w:color w:val="000000"/>
          <w:lang w:val="hu-HU"/>
        </w:rPr>
        <w:t>olyan</w:t>
      </w:r>
      <w:r w:rsidRPr="00347A1E">
        <w:rPr>
          <w:color w:val="000000"/>
          <w:lang w:val="hu-HU"/>
        </w:rPr>
        <w:t xml:space="preserve">, orvosi kezelést igénylő problémája </w:t>
      </w:r>
      <w:r w:rsidR="00D11F30" w:rsidRPr="00347A1E">
        <w:rPr>
          <w:color w:val="000000"/>
          <w:lang w:val="hu-HU"/>
        </w:rPr>
        <w:t>jelentkezhet</w:t>
      </w:r>
      <w:r w:rsidRPr="00347A1E">
        <w:rPr>
          <w:color w:val="000000"/>
          <w:lang w:val="hu-HU"/>
        </w:rPr>
        <w:t xml:space="preserve">, amelyek </w:t>
      </w:r>
      <w:r w:rsidR="00D11F30" w:rsidRPr="00347A1E">
        <w:rPr>
          <w:color w:val="000000"/>
          <w:lang w:val="hu-HU"/>
        </w:rPr>
        <w:t xml:space="preserve">megtévesztőek lehetnek, illetve megnehezítik </w:t>
      </w:r>
      <w:r w:rsidRPr="00347A1E">
        <w:rPr>
          <w:color w:val="000000"/>
          <w:lang w:val="hu-HU"/>
        </w:rPr>
        <w:t>a mellékhatások ok</w:t>
      </w:r>
      <w:r w:rsidRPr="00347A1E">
        <w:rPr>
          <w:color w:val="000000"/>
          <w:lang w:val="hu-HU"/>
        </w:rPr>
        <w:noBreakHyphen/>
        <w:t>okozati összefüggéseinek megállapítását</w:t>
      </w:r>
      <w:r w:rsidR="00D11F30" w:rsidRPr="00347A1E">
        <w:rPr>
          <w:color w:val="000000"/>
          <w:lang w:val="hu-HU"/>
        </w:rPr>
        <w:t>,</w:t>
      </w:r>
      <w:r w:rsidRPr="00347A1E">
        <w:rPr>
          <w:color w:val="000000"/>
          <w:lang w:val="hu-HU"/>
        </w:rPr>
        <w:t xml:space="preserve"> mivel a különböző tünetek</w:t>
      </w:r>
      <w:r w:rsidR="00D11F30" w:rsidRPr="00347A1E">
        <w:rPr>
          <w:color w:val="000000"/>
          <w:lang w:val="hu-HU"/>
        </w:rPr>
        <w:t>et</w:t>
      </w:r>
      <w:r w:rsidRPr="00347A1E">
        <w:rPr>
          <w:color w:val="000000"/>
          <w:lang w:val="hu-HU"/>
        </w:rPr>
        <w:t xml:space="preserve"> az alapbetegség, a betegség progressziój</w:t>
      </w:r>
      <w:r w:rsidR="00D11F30" w:rsidRPr="00347A1E">
        <w:rPr>
          <w:color w:val="000000"/>
          <w:lang w:val="hu-HU"/>
        </w:rPr>
        <w:t>a</w:t>
      </w:r>
      <w:r w:rsidRPr="00347A1E">
        <w:rPr>
          <w:color w:val="000000"/>
          <w:lang w:val="hu-HU"/>
        </w:rPr>
        <w:t>, illetve az egyidejűleg adott számos más gyógyszer is</w:t>
      </w:r>
      <w:r w:rsidR="00D11F30" w:rsidRPr="00347A1E">
        <w:rPr>
          <w:color w:val="000000"/>
          <w:lang w:val="hu-HU"/>
        </w:rPr>
        <w:t xml:space="preserve"> okozhatja</w:t>
      </w:r>
      <w:r w:rsidRPr="00347A1E">
        <w:rPr>
          <w:color w:val="000000"/>
          <w:lang w:val="hu-HU"/>
        </w:rPr>
        <w:t>.</w:t>
      </w:r>
    </w:p>
    <w:p w14:paraId="0A10156E" w14:textId="77777777" w:rsidR="00153AD1" w:rsidRPr="00556B9B" w:rsidRDefault="00153AD1" w:rsidP="00153AD1">
      <w:pPr>
        <w:spacing w:line="240" w:lineRule="auto"/>
        <w:rPr>
          <w:color w:val="000000"/>
          <w:lang w:val="hu-HU"/>
        </w:rPr>
      </w:pPr>
    </w:p>
    <w:p w14:paraId="2612D1A3" w14:textId="1BF53CB9" w:rsidR="00153AD1" w:rsidRPr="00556B9B" w:rsidRDefault="00153AD1" w:rsidP="00153AD1">
      <w:pPr>
        <w:spacing w:line="240" w:lineRule="auto"/>
        <w:rPr>
          <w:color w:val="000000"/>
          <w:lang w:val="hu-HU"/>
        </w:rPr>
      </w:pPr>
      <w:r w:rsidRPr="00556B9B">
        <w:rPr>
          <w:color w:val="000000"/>
          <w:lang w:val="hu-HU"/>
        </w:rPr>
        <w:t>CML</w:t>
      </w:r>
      <w:r w:rsidRPr="00556B9B">
        <w:rPr>
          <w:color w:val="000000"/>
          <w:lang w:val="hu-HU"/>
        </w:rPr>
        <w:noBreakHyphen/>
        <w:t xml:space="preserve">es betegek bevonásával végzett </w:t>
      </w:r>
      <w:r w:rsidRPr="007C3BCA">
        <w:rPr>
          <w:color w:val="000000"/>
          <w:lang w:val="hu-HU"/>
        </w:rPr>
        <w:t xml:space="preserve">klinikai vizsgálatokban </w:t>
      </w:r>
      <w:r w:rsidR="00D11F30" w:rsidRPr="007C3BCA">
        <w:rPr>
          <w:color w:val="000000"/>
          <w:lang w:val="hu-HU"/>
        </w:rPr>
        <w:t>a</w:t>
      </w:r>
      <w:r w:rsidRPr="007C3BCA">
        <w:rPr>
          <w:color w:val="000000"/>
          <w:lang w:val="hu-HU"/>
        </w:rPr>
        <w:t xml:space="preserve"> gyógyszerszedés</w:t>
      </w:r>
      <w:r w:rsidR="00D11F30" w:rsidRPr="007C3BCA">
        <w:rPr>
          <w:color w:val="000000"/>
          <w:lang w:val="hu-HU"/>
        </w:rPr>
        <w:t>t</w:t>
      </w:r>
      <w:r w:rsidRPr="007C3BCA">
        <w:rPr>
          <w:color w:val="000000"/>
          <w:lang w:val="hu-HU"/>
        </w:rPr>
        <w:t xml:space="preserve"> </w:t>
      </w:r>
      <w:r w:rsidR="00D11F30" w:rsidRPr="007C3BCA">
        <w:rPr>
          <w:color w:val="000000"/>
          <w:lang w:val="hu-HU"/>
        </w:rPr>
        <w:t xml:space="preserve">a gyógyszerrel összefüggő mellékhatások miatt </w:t>
      </w:r>
      <w:r w:rsidRPr="007C3BCA">
        <w:rPr>
          <w:color w:val="000000"/>
          <w:lang w:val="hu-HU"/>
        </w:rPr>
        <w:t>felfüggeszt</w:t>
      </w:r>
      <w:r w:rsidR="00D11F30" w:rsidRPr="007C3BCA">
        <w:rPr>
          <w:color w:val="000000"/>
          <w:lang w:val="hu-HU"/>
        </w:rPr>
        <w:t>ették</w:t>
      </w:r>
      <w:r w:rsidRPr="007C3BCA">
        <w:rPr>
          <w:color w:val="000000"/>
          <w:lang w:val="hu-HU"/>
        </w:rPr>
        <w:t xml:space="preserve"> az újonnan diagnosztizált betegek 2,4%</w:t>
      </w:r>
      <w:r w:rsidRPr="007C3BCA">
        <w:rPr>
          <w:color w:val="000000"/>
          <w:lang w:val="hu-HU"/>
        </w:rPr>
        <w:noBreakHyphen/>
        <w:t>á</w:t>
      </w:r>
      <w:r w:rsidR="00D11F30" w:rsidRPr="007C3BCA">
        <w:rPr>
          <w:color w:val="000000"/>
          <w:lang w:val="hu-HU"/>
        </w:rPr>
        <w:t>nál</w:t>
      </w:r>
      <w:r w:rsidRPr="007C3BCA">
        <w:rPr>
          <w:color w:val="000000"/>
          <w:lang w:val="hu-HU"/>
        </w:rPr>
        <w:t>, a késői krónikus fázisban sikertelen interferon kezelést követően a betegek 4%</w:t>
      </w:r>
      <w:r w:rsidRPr="007C3BCA">
        <w:rPr>
          <w:color w:val="000000"/>
          <w:lang w:val="hu-HU"/>
        </w:rPr>
        <w:noBreakHyphen/>
        <w:t>á</w:t>
      </w:r>
      <w:r w:rsidR="00D11F30" w:rsidRPr="007C3BCA">
        <w:rPr>
          <w:color w:val="000000"/>
          <w:lang w:val="hu-HU"/>
        </w:rPr>
        <w:t>nál</w:t>
      </w:r>
      <w:r w:rsidRPr="007C3BCA">
        <w:rPr>
          <w:color w:val="000000"/>
          <w:lang w:val="hu-HU"/>
        </w:rPr>
        <w:t>, akcelerált fázisban sikertelen interferon kezelést követően a betegek 4%</w:t>
      </w:r>
      <w:r w:rsidRPr="007C3BCA">
        <w:rPr>
          <w:color w:val="000000"/>
          <w:lang w:val="hu-HU"/>
        </w:rPr>
        <w:noBreakHyphen/>
        <w:t>á</w:t>
      </w:r>
      <w:r w:rsidR="00D11F30" w:rsidRPr="007C3BCA">
        <w:rPr>
          <w:color w:val="000000"/>
          <w:lang w:val="hu-HU"/>
        </w:rPr>
        <w:t>nál</w:t>
      </w:r>
      <w:r w:rsidRPr="007C3BCA">
        <w:rPr>
          <w:color w:val="000000"/>
          <w:lang w:val="hu-HU"/>
        </w:rPr>
        <w:t>, és sikertelen inetrferon kezelést követően a blasztos krízisben szenvedő betegek 5%</w:t>
      </w:r>
      <w:r w:rsidRPr="007C3BCA">
        <w:rPr>
          <w:color w:val="000000"/>
          <w:lang w:val="hu-HU"/>
        </w:rPr>
        <w:noBreakHyphen/>
        <w:t>á</w:t>
      </w:r>
      <w:r w:rsidR="00D11F30" w:rsidRPr="007C3BCA">
        <w:rPr>
          <w:color w:val="000000"/>
          <w:lang w:val="hu-HU"/>
        </w:rPr>
        <w:t>nál</w:t>
      </w:r>
      <w:r w:rsidRPr="007C3BCA">
        <w:rPr>
          <w:color w:val="000000"/>
          <w:lang w:val="hu-HU"/>
        </w:rPr>
        <w:t>. A GIST vizsgálatban a betegek 4%</w:t>
      </w:r>
      <w:r w:rsidRPr="007C3BCA">
        <w:rPr>
          <w:color w:val="000000"/>
          <w:lang w:val="hu-HU"/>
        </w:rPr>
        <w:noBreakHyphen/>
        <w:t>á</w:t>
      </w:r>
      <w:r w:rsidR="00F10932" w:rsidRPr="007C3BCA">
        <w:rPr>
          <w:color w:val="000000"/>
          <w:lang w:val="hu-HU"/>
        </w:rPr>
        <w:t>nál</w:t>
      </w:r>
      <w:r w:rsidRPr="007C3BCA">
        <w:rPr>
          <w:color w:val="000000"/>
          <w:lang w:val="hu-HU"/>
        </w:rPr>
        <w:t xml:space="preserve"> kellett a gyógyszerszedést felfüggeszteni a mellékhatások miatt</w:t>
      </w:r>
      <w:r w:rsidRPr="00556B9B">
        <w:rPr>
          <w:color w:val="000000"/>
          <w:lang w:val="hu-HU"/>
        </w:rPr>
        <w:t>.</w:t>
      </w:r>
    </w:p>
    <w:p w14:paraId="3B01284A" w14:textId="77777777" w:rsidR="00153AD1" w:rsidRPr="00556B9B" w:rsidRDefault="00153AD1" w:rsidP="00153AD1">
      <w:pPr>
        <w:pStyle w:val="WW-BodyText2"/>
        <w:rPr>
          <w:color w:val="000000"/>
          <w:sz w:val="22"/>
        </w:rPr>
      </w:pPr>
    </w:p>
    <w:p w14:paraId="36738310" w14:textId="512D7858" w:rsidR="00153AD1" w:rsidRPr="007C3BCA" w:rsidRDefault="00153AD1" w:rsidP="00153AD1">
      <w:pPr>
        <w:pStyle w:val="WW-BodyText2"/>
        <w:rPr>
          <w:color w:val="000000"/>
          <w:sz w:val="22"/>
        </w:rPr>
      </w:pPr>
      <w:r w:rsidRPr="00556B9B">
        <w:rPr>
          <w:color w:val="000000"/>
          <w:sz w:val="22"/>
        </w:rPr>
        <w:t>A mellékhatások, két kivételtől eltekintve, minden javallat esetén hasonlóak voltak. Több myelosuppressio volt megfigyelhető a CML</w:t>
      </w:r>
      <w:r w:rsidRPr="00556B9B">
        <w:rPr>
          <w:color w:val="000000"/>
          <w:sz w:val="22"/>
        </w:rPr>
        <w:noBreakHyphen/>
        <w:t xml:space="preserve">es, mint a </w:t>
      </w:r>
      <w:r w:rsidRPr="007C3BCA">
        <w:rPr>
          <w:color w:val="000000"/>
          <w:sz w:val="22"/>
        </w:rPr>
        <w:t xml:space="preserve">GIST betegekben, valószínűleg az alapbetegség miatt. A </w:t>
      </w:r>
      <w:r w:rsidRPr="007C3BCA">
        <w:rPr>
          <w:color w:val="000000"/>
          <w:sz w:val="22"/>
          <w:szCs w:val="22"/>
        </w:rPr>
        <w:t xml:space="preserve">nem reszekábilis és/vagy metasztatikus </w:t>
      </w:r>
      <w:r w:rsidRPr="007C3BCA">
        <w:rPr>
          <w:color w:val="000000"/>
          <w:sz w:val="22"/>
        </w:rPr>
        <w:t>GIST</w:t>
      </w:r>
      <w:r w:rsidRPr="007C3BCA">
        <w:rPr>
          <w:color w:val="000000"/>
          <w:sz w:val="22"/>
        </w:rPr>
        <w:noBreakHyphen/>
        <w:t>ben szenvedő betegekkel végzett vizsgálatban 7 beteg</w:t>
      </w:r>
      <w:r w:rsidR="00D11F30" w:rsidRPr="007C3BCA">
        <w:rPr>
          <w:color w:val="000000"/>
          <w:sz w:val="22"/>
        </w:rPr>
        <w:t>nél</w:t>
      </w:r>
      <w:r w:rsidRPr="007C3BCA">
        <w:rPr>
          <w:color w:val="000000"/>
          <w:sz w:val="22"/>
        </w:rPr>
        <w:t xml:space="preserve"> (5%) jelentkezett ¾ </w:t>
      </w:r>
      <w:smartTag w:uri="urn:schemas-microsoft-com:office:smarttags" w:element="stockticker">
        <w:r w:rsidRPr="007C3BCA">
          <w:rPr>
            <w:color w:val="000000"/>
            <w:sz w:val="22"/>
          </w:rPr>
          <w:t>CTC</w:t>
        </w:r>
      </w:smartTag>
      <w:r w:rsidRPr="007C3BCA">
        <w:rPr>
          <w:color w:val="000000"/>
          <w:sz w:val="22"/>
        </w:rPr>
        <w:t xml:space="preserve"> fokú vérzés: gastrointestinalis vérzés 3 beteg</w:t>
      </w:r>
      <w:r w:rsidR="00D11F30" w:rsidRPr="007C3BCA">
        <w:rPr>
          <w:color w:val="000000"/>
          <w:sz w:val="22"/>
        </w:rPr>
        <w:t>nél</w:t>
      </w:r>
      <w:r w:rsidRPr="007C3BCA">
        <w:rPr>
          <w:color w:val="000000"/>
          <w:sz w:val="22"/>
        </w:rPr>
        <w:t>, intratumoralis vérzés 3 beteg</w:t>
      </w:r>
      <w:r w:rsidR="00D11F30" w:rsidRPr="007C3BCA">
        <w:rPr>
          <w:color w:val="000000"/>
          <w:sz w:val="22"/>
        </w:rPr>
        <w:t>nél</w:t>
      </w:r>
      <w:r w:rsidRPr="007C3BCA">
        <w:rPr>
          <w:color w:val="000000"/>
          <w:sz w:val="22"/>
        </w:rPr>
        <w:t xml:space="preserve"> és 1 beteg</w:t>
      </w:r>
      <w:r w:rsidR="00D11F30" w:rsidRPr="007C3BCA">
        <w:rPr>
          <w:color w:val="000000"/>
          <w:sz w:val="22"/>
        </w:rPr>
        <w:t>nél</w:t>
      </w:r>
      <w:r w:rsidRPr="007C3BCA">
        <w:rPr>
          <w:color w:val="000000"/>
          <w:sz w:val="22"/>
        </w:rPr>
        <w:t xml:space="preserve"> mindkettő. A gastrointestinalis vérzés forrása a tumor lehetett (lásd 4.4 pont). A gastrointestinalis, ill. intratumoralis vérzés súlyos és néha halálos kimenetelű is lehet. A leggyakrabban (</w:t>
      </w:r>
      <w:r w:rsidRPr="007C3BCA">
        <w:rPr>
          <w:color w:val="000000"/>
          <w:sz w:val="22"/>
        </w:rPr>
        <w:sym w:font="Symbol" w:char="F0B3"/>
      </w:r>
      <w:r w:rsidRPr="007C3BCA">
        <w:rPr>
          <w:color w:val="000000"/>
          <w:sz w:val="22"/>
        </w:rPr>
        <w:t> 10%) észlelt készítményfüggő</w:t>
      </w:r>
      <w:r w:rsidRPr="00556B9B">
        <w:rPr>
          <w:color w:val="000000"/>
          <w:sz w:val="22"/>
        </w:rPr>
        <w:t xml:space="preserve"> mellékhatások mindkét betegségben: enyhe hányinger, hányás, hasmenés, hasi fájdalom, fáradékonyság, myalgia és izomgörcsök, valamint bőrkiütés voltak. Valamennyi vizsgálatban gyakori jelenség volt a felületes ödéma, amit elsősorban periorbitálisan vagy az alsó végtagokon lehetett észlelni. Ezek az ödémák azonban csak ritkán voltak </w:t>
      </w:r>
      <w:r w:rsidRPr="007C3BCA">
        <w:rPr>
          <w:color w:val="000000"/>
          <w:sz w:val="22"/>
        </w:rPr>
        <w:t>súlyosak, és diuretikummal vagy egyéb szupportív módon, ill. a Glivec adagjának csökkentésével kezelhetők voltak.</w:t>
      </w:r>
    </w:p>
    <w:p w14:paraId="0877D109" w14:textId="77777777" w:rsidR="00153AD1" w:rsidRPr="007C3BCA" w:rsidRDefault="00153AD1" w:rsidP="00153AD1">
      <w:pPr>
        <w:spacing w:line="240" w:lineRule="auto"/>
        <w:rPr>
          <w:color w:val="000000"/>
          <w:lang w:val="hu-HU"/>
        </w:rPr>
      </w:pPr>
    </w:p>
    <w:p w14:paraId="779B0009" w14:textId="586EB18B" w:rsidR="00153AD1" w:rsidRPr="00556B9B" w:rsidRDefault="00153AD1" w:rsidP="00153AD1">
      <w:pPr>
        <w:spacing w:line="240" w:lineRule="auto"/>
        <w:rPr>
          <w:color w:val="000000"/>
          <w:lang w:val="hu-HU"/>
        </w:rPr>
      </w:pPr>
      <w:r w:rsidRPr="007C3BCA">
        <w:rPr>
          <w:color w:val="000000"/>
          <w:lang w:val="hu-HU"/>
        </w:rPr>
        <w:t xml:space="preserve">Amikor Ph+ </w:t>
      </w:r>
      <w:smartTag w:uri="urn:schemas-microsoft-com:office:smarttags" w:element="stockticker">
        <w:r w:rsidRPr="007C3BCA">
          <w:rPr>
            <w:color w:val="000000"/>
            <w:lang w:val="hu-HU"/>
          </w:rPr>
          <w:t>ALL</w:t>
        </w:r>
      </w:smartTag>
      <w:r w:rsidRPr="007C3BCA">
        <w:rPr>
          <w:color w:val="000000"/>
          <w:lang w:val="hu-HU"/>
        </w:rPr>
        <w:noBreakHyphen/>
        <w:t>es betegek</w:t>
      </w:r>
      <w:r w:rsidR="00D11F30" w:rsidRPr="007C3BCA">
        <w:rPr>
          <w:color w:val="000000"/>
          <w:lang w:val="hu-HU"/>
        </w:rPr>
        <w:t>nél</w:t>
      </w:r>
      <w:r w:rsidRPr="007C3BCA">
        <w:rPr>
          <w:color w:val="000000"/>
          <w:lang w:val="hu-HU"/>
        </w:rPr>
        <w:t xml:space="preserve"> az im</w:t>
      </w:r>
      <w:r w:rsidRPr="00556B9B">
        <w:rPr>
          <w:color w:val="000000"/>
          <w:lang w:val="hu-HU"/>
        </w:rPr>
        <w:t xml:space="preserve">atinibet nagy dózisú kemoterápiával kombinációban alkalmazták, átementi hepatotoxicitást figyeltek meg, ami transzaminázszintek emelkedése és hyperbilirubinaemia formájában jelentkezett. </w:t>
      </w:r>
      <w:r w:rsidRPr="00556B9B">
        <w:rPr>
          <w:color w:val="000000"/>
          <w:lang w:val="hu-HU" w:eastAsia="hu-HU"/>
        </w:rPr>
        <w:t>A korlátozott biztonsági adatbázis alapján az eddig gyermekeknél jelentett nemkívánatos események a Ph+ALL</w:t>
      </w:r>
      <w:r w:rsidRPr="00556B9B">
        <w:rPr>
          <w:color w:val="000000"/>
          <w:lang w:val="hu-HU"/>
        </w:rPr>
        <w:noBreakHyphen/>
      </w:r>
      <w:r w:rsidRPr="00556B9B">
        <w:rPr>
          <w:color w:val="000000"/>
          <w:lang w:val="hu-HU" w:eastAsia="hu-HU"/>
        </w:rPr>
        <w:t>ben szenvedő felnőtt betegek ismert biztonságossági profiljához hasonlók. A Ph+ALL</w:t>
      </w:r>
      <w:r w:rsidRPr="00556B9B">
        <w:rPr>
          <w:color w:val="000000"/>
          <w:lang w:val="hu-HU"/>
        </w:rPr>
        <w:noBreakHyphen/>
      </w:r>
      <w:r w:rsidRPr="00556B9B">
        <w:rPr>
          <w:color w:val="000000"/>
          <w:lang w:val="hu-HU" w:eastAsia="hu-HU"/>
        </w:rPr>
        <w:t>ben szenvedő gyermekek biztonsági adatbázisa nagyon korlátozott, bár új biztonságossági aggályokat nem azonosítottak.</w:t>
      </w:r>
    </w:p>
    <w:p w14:paraId="105D5B33" w14:textId="77777777" w:rsidR="00153AD1" w:rsidRPr="00556B9B" w:rsidRDefault="00153AD1" w:rsidP="00153AD1">
      <w:pPr>
        <w:spacing w:line="240" w:lineRule="auto"/>
        <w:rPr>
          <w:color w:val="000000"/>
          <w:lang w:val="hu-HU"/>
        </w:rPr>
      </w:pPr>
    </w:p>
    <w:p w14:paraId="688065CD" w14:textId="4F115D2F" w:rsidR="00153AD1" w:rsidRPr="007C3BCA" w:rsidRDefault="00153AD1" w:rsidP="00153AD1">
      <w:pPr>
        <w:spacing w:line="240" w:lineRule="auto"/>
        <w:rPr>
          <w:color w:val="000000"/>
          <w:lang w:val="hu-HU"/>
        </w:rPr>
      </w:pPr>
      <w:r w:rsidRPr="00556B9B">
        <w:rPr>
          <w:color w:val="000000"/>
          <w:lang w:val="hu-HU"/>
        </w:rPr>
        <w:t>Az egyéb mellékhatások, mint a pleuralis folyadék, ascites, tüdőödéma és a gyors testtömeg</w:t>
      </w:r>
      <w:r w:rsidRPr="00556B9B">
        <w:rPr>
          <w:color w:val="000000"/>
          <w:lang w:val="hu-HU"/>
        </w:rPr>
        <w:noBreakHyphen/>
        <w:t xml:space="preserve">gyarapodás felszíni ödémával vagy anélkül, „folyadékretenciós szindróma” gyűjtőnévvel jellemezhetők. Ezen mellékhatások általában a Glivec adásának időszakos felfüggesztésével és diuretikummal, valamint egyéb megfelelő szupportív ellátással kezelhetők. Mindazonáltal ezen mellékhatások némelyike súlyos, életet fenyegető is lehet. </w:t>
      </w:r>
      <w:r w:rsidRPr="007C3BCA">
        <w:rPr>
          <w:color w:val="000000"/>
          <w:lang w:val="hu-HU"/>
        </w:rPr>
        <w:t xml:space="preserve">Több blasztos krízisben lévő beteg halt meg pleurális folyadékgyülem, pangásos szívelégtelenség és veseelégtelenség komplex klinikai képe kíséretben. </w:t>
      </w:r>
      <w:r w:rsidR="00FE35A9" w:rsidRPr="007C3BCA">
        <w:rPr>
          <w:color w:val="000000"/>
          <w:lang w:val="hu-HU"/>
        </w:rPr>
        <w:t>A g</w:t>
      </w:r>
      <w:r w:rsidRPr="007C3BCA">
        <w:rPr>
          <w:color w:val="000000"/>
          <w:lang w:val="hu-HU"/>
        </w:rPr>
        <w:t>yermek</w:t>
      </w:r>
      <w:r w:rsidR="00FE35A9" w:rsidRPr="007C3BCA">
        <w:rPr>
          <w:color w:val="000000"/>
          <w:lang w:val="hu-HU"/>
        </w:rPr>
        <w:t>- és serdülőkorú</w:t>
      </w:r>
      <w:r w:rsidRPr="007C3BCA">
        <w:rPr>
          <w:color w:val="000000"/>
          <w:lang w:val="hu-HU"/>
        </w:rPr>
        <w:t xml:space="preserve"> </w:t>
      </w:r>
      <w:r w:rsidR="00DD744F" w:rsidRPr="007C3BCA">
        <w:rPr>
          <w:color w:val="000000"/>
          <w:lang w:val="hu-HU"/>
        </w:rPr>
        <w:t xml:space="preserve">betegek bevonásával végzett </w:t>
      </w:r>
      <w:r w:rsidRPr="007C3BCA">
        <w:rPr>
          <w:color w:val="000000"/>
          <w:lang w:val="hu-HU"/>
        </w:rPr>
        <w:t xml:space="preserve">klinikai vizsgálatok nem </w:t>
      </w:r>
      <w:r w:rsidR="00FE35A9" w:rsidRPr="007C3BCA">
        <w:rPr>
          <w:color w:val="000000"/>
          <w:lang w:val="hu-HU"/>
        </w:rPr>
        <w:t>eredményeztek</w:t>
      </w:r>
      <w:r w:rsidRPr="007C3BCA">
        <w:rPr>
          <w:color w:val="000000"/>
          <w:lang w:val="hu-HU"/>
        </w:rPr>
        <w:t xml:space="preserve"> speciális gyógyszerbiztonságossági megállapítások</w:t>
      </w:r>
      <w:r w:rsidR="00FE35A9" w:rsidRPr="007C3BCA">
        <w:rPr>
          <w:color w:val="000000"/>
          <w:lang w:val="hu-HU"/>
        </w:rPr>
        <w:t>at</w:t>
      </w:r>
      <w:r w:rsidRPr="007C3BCA">
        <w:rPr>
          <w:color w:val="000000"/>
          <w:lang w:val="hu-HU"/>
        </w:rPr>
        <w:t>.</w:t>
      </w:r>
    </w:p>
    <w:p w14:paraId="20CE651B" w14:textId="77777777" w:rsidR="00153AD1" w:rsidRPr="007C3BCA" w:rsidRDefault="00153AD1" w:rsidP="00153AD1">
      <w:pPr>
        <w:spacing w:line="240" w:lineRule="auto"/>
        <w:rPr>
          <w:color w:val="000000"/>
          <w:lang w:val="hu-HU"/>
        </w:rPr>
      </w:pPr>
    </w:p>
    <w:p w14:paraId="29098B69" w14:textId="77777777" w:rsidR="00153AD1" w:rsidRPr="007C3BCA" w:rsidRDefault="00153AD1" w:rsidP="00F926B9">
      <w:pPr>
        <w:keepNext/>
        <w:spacing w:line="240" w:lineRule="auto"/>
        <w:rPr>
          <w:b/>
          <w:color w:val="000000"/>
          <w:lang w:val="hu-HU"/>
        </w:rPr>
      </w:pPr>
      <w:r w:rsidRPr="007C3BCA">
        <w:rPr>
          <w:b/>
          <w:color w:val="000000"/>
          <w:lang w:val="hu-HU"/>
        </w:rPr>
        <w:t>Mellékhatások</w:t>
      </w:r>
    </w:p>
    <w:p w14:paraId="6E36035F" w14:textId="77777777" w:rsidR="00153AD1" w:rsidRPr="00556B9B" w:rsidRDefault="00153AD1" w:rsidP="00153AD1">
      <w:pPr>
        <w:spacing w:line="240" w:lineRule="auto"/>
        <w:rPr>
          <w:color w:val="000000"/>
          <w:lang w:val="hu-HU"/>
        </w:rPr>
      </w:pPr>
      <w:r w:rsidRPr="007C3BCA">
        <w:rPr>
          <w:color w:val="000000"/>
          <w:lang w:val="hu-HU"/>
        </w:rPr>
        <w:t>Az elszigetelt eseteknél gyakrabban észlelt mellékhatások az</w:t>
      </w:r>
      <w:r w:rsidRPr="00556B9B">
        <w:rPr>
          <w:color w:val="000000"/>
          <w:lang w:val="hu-HU"/>
        </w:rPr>
        <w:t xml:space="preserve"> alábbi táblázatban, szervrendszerek és gyakoriság szerint vannak felsorolva. A gyakorisági kategóriák meghatározása a következő konvenciók szerint történt: nagyon gyakori (</w:t>
      </w:r>
      <w:r w:rsidRPr="00556B9B">
        <w:rPr>
          <w:noProof/>
          <w:color w:val="000000"/>
          <w:lang w:val="hu-HU"/>
        </w:rPr>
        <w:sym w:font="Symbol" w:char="F0B3"/>
      </w:r>
      <w:r w:rsidRPr="00556B9B">
        <w:rPr>
          <w:color w:val="000000"/>
          <w:lang w:val="hu-HU"/>
        </w:rPr>
        <w:t>1/10), gyakori (</w:t>
      </w:r>
      <w:r w:rsidRPr="00556B9B">
        <w:rPr>
          <w:noProof/>
          <w:color w:val="000000"/>
          <w:lang w:val="hu-HU"/>
        </w:rPr>
        <w:sym w:font="Symbol" w:char="F0B3"/>
      </w:r>
      <w:r w:rsidRPr="00556B9B">
        <w:rPr>
          <w:color w:val="000000"/>
          <w:lang w:val="hu-HU"/>
        </w:rPr>
        <w:t xml:space="preserve">1/100 </w:t>
      </w:r>
      <w:r w:rsidRPr="00556B9B">
        <w:rPr>
          <w:color w:val="000000"/>
          <w:lang w:val="hu-HU"/>
        </w:rPr>
        <w:noBreakHyphen/>
        <w:t xml:space="preserve"> </w:t>
      </w:r>
      <w:r w:rsidRPr="00556B9B">
        <w:rPr>
          <w:b/>
          <w:noProof/>
          <w:color w:val="000000"/>
          <w:lang w:val="hu-HU"/>
        </w:rPr>
        <w:t>&lt;</w:t>
      </w:r>
      <w:r w:rsidRPr="00556B9B">
        <w:rPr>
          <w:color w:val="000000"/>
          <w:lang w:val="hu-HU"/>
        </w:rPr>
        <w:t>1/10), nem gyakori (</w:t>
      </w:r>
      <w:r w:rsidRPr="00556B9B">
        <w:rPr>
          <w:noProof/>
          <w:color w:val="000000"/>
          <w:lang w:val="hu-HU"/>
        </w:rPr>
        <w:sym w:font="Symbol" w:char="F0B3"/>
      </w:r>
      <w:r w:rsidRPr="00556B9B">
        <w:rPr>
          <w:color w:val="000000"/>
          <w:lang w:val="hu-HU"/>
        </w:rPr>
        <w:t xml:space="preserve">1/1000 </w:t>
      </w:r>
      <w:r w:rsidRPr="00556B9B">
        <w:rPr>
          <w:color w:val="000000"/>
          <w:lang w:val="hu-HU"/>
        </w:rPr>
        <w:noBreakHyphen/>
        <w:t xml:space="preserve"> </w:t>
      </w:r>
      <w:r w:rsidRPr="00556B9B">
        <w:rPr>
          <w:b/>
          <w:noProof/>
          <w:color w:val="000000"/>
          <w:lang w:val="hu-HU"/>
        </w:rPr>
        <w:t>&lt;</w:t>
      </w:r>
      <w:r w:rsidRPr="00556B9B">
        <w:rPr>
          <w:color w:val="000000"/>
          <w:lang w:val="hu-HU"/>
        </w:rPr>
        <w:t>1/100), ritka (</w:t>
      </w:r>
      <w:r w:rsidRPr="00556B9B">
        <w:rPr>
          <w:noProof/>
          <w:color w:val="000000"/>
          <w:lang w:val="hu-HU"/>
        </w:rPr>
        <w:sym w:font="Symbol" w:char="F0B3"/>
      </w:r>
      <w:r w:rsidRPr="00556B9B">
        <w:rPr>
          <w:noProof/>
          <w:color w:val="000000"/>
          <w:lang w:val="hu-HU"/>
        </w:rPr>
        <w:t xml:space="preserve">1/10 000 </w:t>
      </w:r>
      <w:r w:rsidRPr="00556B9B">
        <w:rPr>
          <w:noProof/>
          <w:color w:val="000000"/>
          <w:lang w:val="hu-HU"/>
        </w:rPr>
        <w:noBreakHyphen/>
        <w:t xml:space="preserve"> &lt;</w:t>
      </w:r>
      <w:r w:rsidRPr="00556B9B">
        <w:rPr>
          <w:color w:val="000000"/>
          <w:lang w:val="hu-HU"/>
        </w:rPr>
        <w:t xml:space="preserve">1/1000), </w:t>
      </w:r>
      <w:r w:rsidRPr="00556B9B">
        <w:rPr>
          <w:noProof/>
          <w:color w:val="000000"/>
          <w:lang w:val="hu-HU"/>
        </w:rPr>
        <w:t>nagyon ritka (&lt;1/10 000),</w:t>
      </w:r>
      <w:r w:rsidRPr="00556B9B">
        <w:rPr>
          <w:color w:val="000000"/>
          <w:lang w:val="hu-HU"/>
        </w:rPr>
        <w:t xml:space="preserve"> nem ismert (a rendelkezésre álló adatokból nem állapítható meg).</w:t>
      </w:r>
    </w:p>
    <w:p w14:paraId="292C579D" w14:textId="77777777" w:rsidR="00153AD1" w:rsidRPr="00556B9B" w:rsidRDefault="00153AD1" w:rsidP="00153AD1">
      <w:pPr>
        <w:spacing w:line="240" w:lineRule="auto"/>
        <w:rPr>
          <w:color w:val="000000"/>
          <w:lang w:val="hu-HU"/>
        </w:rPr>
      </w:pPr>
    </w:p>
    <w:p w14:paraId="2529DE81" w14:textId="77777777" w:rsidR="00153AD1" w:rsidRPr="00556B9B" w:rsidRDefault="00153AD1" w:rsidP="00153AD1">
      <w:pPr>
        <w:spacing w:line="240" w:lineRule="auto"/>
        <w:rPr>
          <w:color w:val="000000"/>
          <w:lang w:val="hu-HU"/>
        </w:rPr>
      </w:pPr>
      <w:r w:rsidRPr="00556B9B">
        <w:rPr>
          <w:color w:val="000000"/>
          <w:lang w:val="hu-HU"/>
        </w:rPr>
        <w:t>Az egyes gyakorisági kategóriákon belül a mellékhatások gyakoriság szerint, csökkenő sorrendben kerülnek megadásra.</w:t>
      </w:r>
    </w:p>
    <w:p w14:paraId="5249C4BE" w14:textId="77777777" w:rsidR="00153AD1" w:rsidRPr="00556B9B" w:rsidRDefault="00153AD1" w:rsidP="00153AD1">
      <w:pPr>
        <w:spacing w:line="240" w:lineRule="auto"/>
        <w:rPr>
          <w:color w:val="000000"/>
          <w:lang w:val="hu-HU"/>
        </w:rPr>
      </w:pPr>
    </w:p>
    <w:p w14:paraId="730D8A9B" w14:textId="77777777" w:rsidR="00153AD1" w:rsidRPr="00556B9B" w:rsidRDefault="004C3718" w:rsidP="00153AD1">
      <w:pPr>
        <w:spacing w:line="240" w:lineRule="auto"/>
        <w:rPr>
          <w:color w:val="000000"/>
          <w:lang w:val="hu-HU"/>
        </w:rPr>
      </w:pPr>
      <w:r w:rsidRPr="00556B9B">
        <w:rPr>
          <w:color w:val="000000"/>
          <w:lang w:val="hu-HU"/>
        </w:rPr>
        <w:t>A</w:t>
      </w:r>
      <w:r w:rsidR="00153AD1" w:rsidRPr="00556B9B">
        <w:rPr>
          <w:color w:val="000000"/>
          <w:lang w:val="hu-HU"/>
        </w:rPr>
        <w:t xml:space="preserve"> mellékhatásokat, illetve azok gyakoriságát </w:t>
      </w:r>
      <w:r w:rsidRPr="00556B9B">
        <w:rPr>
          <w:color w:val="000000"/>
          <w:lang w:val="hu-HU"/>
        </w:rPr>
        <w:t>az 1. táblázat ismerteti</w:t>
      </w:r>
      <w:r w:rsidR="00153AD1" w:rsidRPr="00556B9B">
        <w:rPr>
          <w:color w:val="000000"/>
          <w:lang w:val="hu-HU"/>
        </w:rPr>
        <w:t>.</w:t>
      </w:r>
    </w:p>
    <w:p w14:paraId="698B577D" w14:textId="77777777" w:rsidR="00153AD1" w:rsidRPr="00556B9B" w:rsidRDefault="00153AD1" w:rsidP="00153AD1">
      <w:pPr>
        <w:spacing w:line="240" w:lineRule="auto"/>
        <w:rPr>
          <w:color w:val="000000"/>
          <w:lang w:val="hu-HU"/>
        </w:rPr>
      </w:pPr>
    </w:p>
    <w:p w14:paraId="21A847EE" w14:textId="77777777" w:rsidR="00153AD1" w:rsidRPr="00556B9B" w:rsidRDefault="00153AD1" w:rsidP="00F926B9">
      <w:pPr>
        <w:keepNext/>
        <w:spacing w:line="240" w:lineRule="auto"/>
        <w:rPr>
          <w:b/>
          <w:bCs/>
          <w:color w:val="000000"/>
          <w:lang w:val="hu-HU"/>
        </w:rPr>
      </w:pPr>
      <w:r w:rsidRPr="00556B9B">
        <w:rPr>
          <w:b/>
          <w:bCs/>
          <w:color w:val="000000"/>
          <w:lang w:val="hu-HU"/>
        </w:rPr>
        <w:lastRenderedPageBreak/>
        <w:t>1. táblázat</w:t>
      </w:r>
      <w:r w:rsidRPr="00556B9B">
        <w:rPr>
          <w:b/>
          <w:bCs/>
          <w:color w:val="000000"/>
          <w:lang w:val="hu-HU"/>
        </w:rPr>
        <w:tab/>
      </w:r>
      <w:r w:rsidR="004C3718" w:rsidRPr="00556B9B">
        <w:rPr>
          <w:rFonts w:eastAsia="Calibri" w:cs="Times New Roman"/>
          <w:b/>
          <w:color w:val="000000"/>
          <w:szCs w:val="22"/>
          <w:lang w:val="hu-HU" w:eastAsia="hu-HU" w:bidi="hu-HU"/>
        </w:rPr>
        <w:t>A mellékhatások táblázatos összefoglalása</w:t>
      </w:r>
    </w:p>
    <w:p w14:paraId="4FDC300E" w14:textId="77777777" w:rsidR="00153AD1" w:rsidRPr="00556B9B" w:rsidRDefault="00153AD1" w:rsidP="00F926B9">
      <w:pPr>
        <w:keepNext/>
        <w:rPr>
          <w:color w:val="000000"/>
          <w:lang w:val="hu-HU"/>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153AD1" w:rsidRPr="00556B9B" w14:paraId="3B1B2CED" w14:textId="77777777" w:rsidTr="00F926B9">
        <w:trPr>
          <w:cantSplit/>
        </w:trPr>
        <w:tc>
          <w:tcPr>
            <w:tcW w:w="9322" w:type="dxa"/>
            <w:gridSpan w:val="2"/>
          </w:tcPr>
          <w:p w14:paraId="4D2C6493" w14:textId="77777777" w:rsidR="00153AD1" w:rsidRPr="00556B9B" w:rsidRDefault="00153AD1" w:rsidP="00F926B9">
            <w:pPr>
              <w:keepNext/>
              <w:rPr>
                <w:color w:val="000000"/>
              </w:rPr>
            </w:pPr>
            <w:r w:rsidRPr="00556B9B">
              <w:rPr>
                <w:b/>
                <w:color w:val="000000"/>
                <w:lang w:val="hu-HU"/>
              </w:rPr>
              <w:t>Fertőző betegségek és parazitafertőzések</w:t>
            </w:r>
          </w:p>
        </w:tc>
      </w:tr>
      <w:tr w:rsidR="00153AD1" w:rsidRPr="00556B9B" w14:paraId="1B50EF4E" w14:textId="77777777" w:rsidTr="00F926B9">
        <w:trPr>
          <w:cantSplit/>
        </w:trPr>
        <w:tc>
          <w:tcPr>
            <w:tcW w:w="2235" w:type="dxa"/>
          </w:tcPr>
          <w:p w14:paraId="1C974B8E" w14:textId="77777777" w:rsidR="00153AD1" w:rsidRPr="00556B9B" w:rsidRDefault="00153AD1" w:rsidP="00F926B9">
            <w:pPr>
              <w:keepNext/>
              <w:rPr>
                <w:i/>
                <w:iCs/>
                <w:color w:val="000000"/>
              </w:rPr>
            </w:pPr>
            <w:r w:rsidRPr="00556B9B">
              <w:rPr>
                <w:rFonts w:cs="Times New Roman"/>
                <w:i/>
                <w:iCs/>
                <w:noProof/>
                <w:color w:val="000000"/>
                <w:szCs w:val="22"/>
                <w:lang w:val="hu-HU"/>
              </w:rPr>
              <w:t>Nem gyakori:</w:t>
            </w:r>
          </w:p>
        </w:tc>
        <w:tc>
          <w:tcPr>
            <w:tcW w:w="7087" w:type="dxa"/>
          </w:tcPr>
          <w:p w14:paraId="733A36B0" w14:textId="77777777" w:rsidR="00153AD1" w:rsidRPr="00556B9B" w:rsidRDefault="00153AD1" w:rsidP="00F926B9">
            <w:pPr>
              <w:keepNext/>
              <w:rPr>
                <w:color w:val="000000"/>
              </w:rPr>
            </w:pPr>
            <w:r w:rsidRPr="00556B9B">
              <w:rPr>
                <w:rFonts w:cs="Times New Roman"/>
                <w:color w:val="000000"/>
                <w:szCs w:val="22"/>
                <w:lang w:val="hu-HU"/>
              </w:rPr>
              <w:t>Herpes zoster, herpes simplex, nasopharyngitis, pneumonia</w:t>
            </w:r>
            <w:r w:rsidRPr="00556B9B">
              <w:rPr>
                <w:rFonts w:cs="Times New Roman"/>
                <w:color w:val="000000"/>
                <w:szCs w:val="22"/>
                <w:vertAlign w:val="superscript"/>
                <w:lang w:val="hu-HU"/>
              </w:rPr>
              <w:t>1</w:t>
            </w:r>
            <w:r w:rsidRPr="00556B9B">
              <w:rPr>
                <w:rFonts w:cs="Times New Roman"/>
                <w:color w:val="000000"/>
                <w:szCs w:val="22"/>
                <w:lang w:val="hu-HU"/>
              </w:rPr>
              <w:t>, sinusitis, cellulitis, felső légúti fertőzés, influenza, húgyúti fertőzés, gastroenteritis, sepsis</w:t>
            </w:r>
          </w:p>
        </w:tc>
      </w:tr>
      <w:tr w:rsidR="00153AD1" w:rsidRPr="00556B9B" w14:paraId="2E3AB40C" w14:textId="77777777" w:rsidTr="00F926B9">
        <w:trPr>
          <w:cantSplit/>
        </w:trPr>
        <w:tc>
          <w:tcPr>
            <w:tcW w:w="2235" w:type="dxa"/>
          </w:tcPr>
          <w:p w14:paraId="0AF9566F" w14:textId="77777777" w:rsidR="00153AD1" w:rsidRPr="00556B9B" w:rsidRDefault="00153AD1" w:rsidP="00F926B9">
            <w:pPr>
              <w:keepNext/>
              <w:rPr>
                <w:i/>
                <w:iCs/>
                <w:color w:val="000000"/>
              </w:rPr>
            </w:pPr>
            <w:r w:rsidRPr="00556B9B">
              <w:rPr>
                <w:rFonts w:cs="Times New Roman"/>
                <w:i/>
                <w:iCs/>
                <w:noProof/>
                <w:color w:val="000000"/>
                <w:szCs w:val="22"/>
                <w:lang w:val="hu-HU"/>
              </w:rPr>
              <w:t>Ritka:</w:t>
            </w:r>
          </w:p>
        </w:tc>
        <w:tc>
          <w:tcPr>
            <w:tcW w:w="7087" w:type="dxa"/>
          </w:tcPr>
          <w:p w14:paraId="1A75A4A9" w14:textId="77777777" w:rsidR="00153AD1" w:rsidRPr="00556B9B" w:rsidRDefault="00153AD1" w:rsidP="00F926B9">
            <w:pPr>
              <w:keepNext/>
              <w:rPr>
                <w:color w:val="000000"/>
              </w:rPr>
            </w:pPr>
            <w:r w:rsidRPr="00556B9B">
              <w:rPr>
                <w:rFonts w:cs="Times New Roman"/>
                <w:color w:val="000000"/>
                <w:szCs w:val="22"/>
                <w:lang w:val="hu-HU"/>
              </w:rPr>
              <w:t>Gombafertőzés</w:t>
            </w:r>
          </w:p>
        </w:tc>
      </w:tr>
      <w:tr w:rsidR="0091747B" w:rsidRPr="00556B9B" w14:paraId="7446BE15" w14:textId="77777777" w:rsidTr="00F926B9">
        <w:trPr>
          <w:cantSplit/>
        </w:trPr>
        <w:tc>
          <w:tcPr>
            <w:tcW w:w="2235" w:type="dxa"/>
          </w:tcPr>
          <w:p w14:paraId="1D1A033C" w14:textId="77777777" w:rsidR="0091747B" w:rsidRPr="00556B9B" w:rsidRDefault="0091747B" w:rsidP="00F926B9">
            <w:pPr>
              <w:keepNext/>
              <w:rPr>
                <w:rFonts w:cs="Times New Roman"/>
                <w:i/>
                <w:iCs/>
                <w:noProof/>
                <w:color w:val="000000"/>
                <w:szCs w:val="22"/>
                <w:lang w:val="hu-HU"/>
              </w:rPr>
            </w:pPr>
            <w:r w:rsidRPr="00556B9B">
              <w:rPr>
                <w:rFonts w:cs="Times New Roman"/>
                <w:i/>
                <w:iCs/>
                <w:noProof/>
                <w:color w:val="000000"/>
                <w:szCs w:val="22"/>
                <w:lang w:val="hu-HU"/>
              </w:rPr>
              <w:t>Nem ismert:</w:t>
            </w:r>
          </w:p>
        </w:tc>
        <w:tc>
          <w:tcPr>
            <w:tcW w:w="7087" w:type="dxa"/>
          </w:tcPr>
          <w:p w14:paraId="09FAC43B" w14:textId="77777777" w:rsidR="0091747B" w:rsidRPr="00556B9B" w:rsidRDefault="0091747B" w:rsidP="00F926B9">
            <w:pPr>
              <w:keepNext/>
              <w:rPr>
                <w:rFonts w:cs="Times New Roman"/>
                <w:color w:val="000000"/>
                <w:szCs w:val="22"/>
                <w:lang w:val="hu-HU"/>
              </w:rPr>
            </w:pPr>
            <w:r w:rsidRPr="00556B9B">
              <w:rPr>
                <w:rFonts w:cs="Times New Roman"/>
                <w:color w:val="000000"/>
                <w:szCs w:val="22"/>
                <w:lang w:val="hu-HU"/>
              </w:rPr>
              <w:t>Hepatitis B reaktiváció</w:t>
            </w:r>
            <w:r w:rsidR="005E5CC8" w:rsidRPr="00556B9B">
              <w:rPr>
                <w:color w:val="000000"/>
                <w:szCs w:val="22"/>
              </w:rPr>
              <w:t>*</w:t>
            </w:r>
          </w:p>
        </w:tc>
      </w:tr>
      <w:tr w:rsidR="0091747B" w:rsidRPr="00556B9B" w14:paraId="1C22EA18" w14:textId="77777777" w:rsidTr="00F926B9">
        <w:trPr>
          <w:cantSplit/>
        </w:trPr>
        <w:tc>
          <w:tcPr>
            <w:tcW w:w="9322" w:type="dxa"/>
            <w:gridSpan w:val="2"/>
          </w:tcPr>
          <w:p w14:paraId="58F723BD" w14:textId="77777777" w:rsidR="0091747B" w:rsidRPr="007C3BCA" w:rsidRDefault="0091747B" w:rsidP="00F926B9">
            <w:pPr>
              <w:keepNext/>
              <w:rPr>
                <w:color w:val="000000"/>
              </w:rPr>
            </w:pPr>
            <w:r w:rsidRPr="007C3BCA">
              <w:rPr>
                <w:b/>
                <w:lang w:val="hu-HU"/>
              </w:rPr>
              <w:t>Jó-, rosszindulatú és nem meghatározott daganatok (beleértve a cisztákat és polipokat is)</w:t>
            </w:r>
          </w:p>
        </w:tc>
      </w:tr>
      <w:tr w:rsidR="0091747B" w:rsidRPr="00556B9B" w14:paraId="49533EF2" w14:textId="77777777" w:rsidTr="00F926B9">
        <w:trPr>
          <w:cantSplit/>
        </w:trPr>
        <w:tc>
          <w:tcPr>
            <w:tcW w:w="2235" w:type="dxa"/>
          </w:tcPr>
          <w:p w14:paraId="027B6BCC" w14:textId="77777777" w:rsidR="0091747B" w:rsidRPr="00556B9B" w:rsidRDefault="0091747B" w:rsidP="00F926B9">
            <w:pPr>
              <w:keepNext/>
              <w:rPr>
                <w:i/>
                <w:color w:val="000000"/>
              </w:rPr>
            </w:pPr>
            <w:r w:rsidRPr="00556B9B">
              <w:rPr>
                <w:rFonts w:cs="Times New Roman"/>
                <w:i/>
                <w:iCs/>
                <w:noProof/>
                <w:color w:val="000000"/>
                <w:szCs w:val="22"/>
                <w:lang w:val="hu-HU"/>
              </w:rPr>
              <w:t>Ritka:</w:t>
            </w:r>
          </w:p>
        </w:tc>
        <w:tc>
          <w:tcPr>
            <w:tcW w:w="7087" w:type="dxa"/>
          </w:tcPr>
          <w:p w14:paraId="53E312C0" w14:textId="77777777" w:rsidR="0091747B" w:rsidRPr="007C3BCA" w:rsidRDefault="0091747B" w:rsidP="00F926B9">
            <w:pPr>
              <w:keepNext/>
              <w:rPr>
                <w:color w:val="000000"/>
              </w:rPr>
            </w:pPr>
            <w:r w:rsidRPr="007C3BCA">
              <w:rPr>
                <w:color w:val="000000"/>
                <w:lang w:val="hu-HU"/>
              </w:rPr>
              <w:t>Tumor lízis szindróma</w:t>
            </w:r>
          </w:p>
        </w:tc>
      </w:tr>
      <w:tr w:rsidR="004C3718" w:rsidRPr="00556B9B" w14:paraId="032649C7" w14:textId="77777777" w:rsidTr="00F926B9">
        <w:trPr>
          <w:cantSplit/>
        </w:trPr>
        <w:tc>
          <w:tcPr>
            <w:tcW w:w="2235" w:type="dxa"/>
          </w:tcPr>
          <w:p w14:paraId="19A2A9AD" w14:textId="77777777" w:rsidR="004C3718" w:rsidRPr="00556B9B" w:rsidRDefault="004C3718" w:rsidP="00DF7747">
            <w:pPr>
              <w:rPr>
                <w:rFonts w:cs="Times New Roman"/>
                <w:i/>
                <w:iCs/>
                <w:noProof/>
                <w:color w:val="000000"/>
                <w:szCs w:val="22"/>
                <w:lang w:val="hu-HU"/>
              </w:rPr>
            </w:pPr>
            <w:r w:rsidRPr="00556B9B">
              <w:rPr>
                <w:i/>
                <w:color w:val="000000"/>
              </w:rPr>
              <w:t>Nem ismert:</w:t>
            </w:r>
          </w:p>
        </w:tc>
        <w:tc>
          <w:tcPr>
            <w:tcW w:w="7087" w:type="dxa"/>
          </w:tcPr>
          <w:p w14:paraId="10540A92" w14:textId="033D300E" w:rsidR="004C3718" w:rsidRPr="007C3BCA" w:rsidRDefault="004C3718" w:rsidP="00DF7747">
            <w:pPr>
              <w:rPr>
                <w:rFonts w:cs="Times New Roman"/>
                <w:color w:val="000000"/>
                <w:szCs w:val="22"/>
                <w:lang w:val="hu-HU"/>
              </w:rPr>
            </w:pPr>
            <w:r w:rsidRPr="007C3BCA">
              <w:rPr>
                <w:color w:val="000000"/>
              </w:rPr>
              <w:t>Tumorvérzés/tumor necrosis*</w:t>
            </w:r>
          </w:p>
        </w:tc>
      </w:tr>
      <w:tr w:rsidR="004C3718" w:rsidRPr="00556B9B" w14:paraId="7A411C6A" w14:textId="77777777" w:rsidTr="00F926B9">
        <w:trPr>
          <w:cantSplit/>
        </w:trPr>
        <w:tc>
          <w:tcPr>
            <w:tcW w:w="9322" w:type="dxa"/>
            <w:gridSpan w:val="2"/>
          </w:tcPr>
          <w:p w14:paraId="6EE8F663" w14:textId="77777777" w:rsidR="004C3718" w:rsidRPr="007C3BCA" w:rsidRDefault="004C3718" w:rsidP="00F926B9">
            <w:pPr>
              <w:keepNext/>
              <w:suppressAutoHyphens w:val="0"/>
              <w:rPr>
                <w:rFonts w:cs="Times New Roman"/>
                <w:color w:val="000000"/>
                <w:szCs w:val="22"/>
                <w:lang w:val="hu-HU"/>
              </w:rPr>
            </w:pPr>
            <w:r w:rsidRPr="007C3BCA">
              <w:rPr>
                <w:b/>
                <w:color w:val="000000"/>
              </w:rPr>
              <w:t>Immunrendszeri betegségek és tünetek</w:t>
            </w:r>
          </w:p>
        </w:tc>
      </w:tr>
      <w:tr w:rsidR="004C3718" w:rsidRPr="00556B9B" w14:paraId="44E0CE5C" w14:textId="77777777" w:rsidTr="00F926B9">
        <w:trPr>
          <w:cantSplit/>
        </w:trPr>
        <w:tc>
          <w:tcPr>
            <w:tcW w:w="2235" w:type="dxa"/>
          </w:tcPr>
          <w:p w14:paraId="2EEC075E" w14:textId="77777777" w:rsidR="004C3718" w:rsidRPr="00556B9B" w:rsidRDefault="004C3718" w:rsidP="00DF7747">
            <w:pPr>
              <w:rPr>
                <w:rFonts w:cs="Times New Roman"/>
                <w:i/>
                <w:iCs/>
                <w:noProof/>
                <w:color w:val="000000"/>
                <w:szCs w:val="22"/>
                <w:lang w:val="hu-HU"/>
              </w:rPr>
            </w:pPr>
            <w:r w:rsidRPr="00556B9B">
              <w:rPr>
                <w:i/>
                <w:color w:val="000000"/>
              </w:rPr>
              <w:t>Nem ismert:</w:t>
            </w:r>
          </w:p>
        </w:tc>
        <w:tc>
          <w:tcPr>
            <w:tcW w:w="7087" w:type="dxa"/>
          </w:tcPr>
          <w:p w14:paraId="2FE37A8A" w14:textId="77777777" w:rsidR="004C3718" w:rsidRPr="007C3BCA" w:rsidRDefault="004C3718" w:rsidP="00DF7747">
            <w:pPr>
              <w:rPr>
                <w:rFonts w:cs="Times New Roman"/>
                <w:color w:val="000000"/>
                <w:szCs w:val="22"/>
                <w:lang w:val="hu-HU"/>
              </w:rPr>
            </w:pPr>
            <w:r w:rsidRPr="007C3BCA">
              <w:rPr>
                <w:color w:val="000000"/>
              </w:rPr>
              <w:t>Anaphylaxiás shock*</w:t>
            </w:r>
          </w:p>
        </w:tc>
      </w:tr>
      <w:tr w:rsidR="00153AD1" w:rsidRPr="00556B9B" w14:paraId="24716954" w14:textId="77777777" w:rsidTr="00F926B9">
        <w:trPr>
          <w:cantSplit/>
        </w:trPr>
        <w:tc>
          <w:tcPr>
            <w:tcW w:w="9322" w:type="dxa"/>
            <w:gridSpan w:val="2"/>
          </w:tcPr>
          <w:p w14:paraId="7F596B2C" w14:textId="77777777" w:rsidR="00153AD1" w:rsidRPr="007C3BCA" w:rsidRDefault="00153AD1" w:rsidP="00F926B9">
            <w:pPr>
              <w:keepNext/>
              <w:suppressAutoHyphens w:val="0"/>
              <w:rPr>
                <w:color w:val="000000"/>
              </w:rPr>
            </w:pPr>
            <w:r w:rsidRPr="007C3BCA">
              <w:rPr>
                <w:rFonts w:cs="Times New Roman"/>
                <w:b/>
                <w:color w:val="000000"/>
                <w:szCs w:val="22"/>
                <w:lang w:val="hu-HU"/>
              </w:rPr>
              <w:t>Vérképzőszervi és nyirokrendszeri betegségek és tünetek</w:t>
            </w:r>
          </w:p>
        </w:tc>
      </w:tr>
      <w:tr w:rsidR="00153AD1" w:rsidRPr="00556B9B" w14:paraId="2878EDCF" w14:textId="77777777" w:rsidTr="00F926B9">
        <w:trPr>
          <w:cantSplit/>
        </w:trPr>
        <w:tc>
          <w:tcPr>
            <w:tcW w:w="2235" w:type="dxa"/>
          </w:tcPr>
          <w:p w14:paraId="2DE27630" w14:textId="77777777" w:rsidR="00153AD1" w:rsidRPr="00556B9B" w:rsidRDefault="00153AD1" w:rsidP="00F926B9">
            <w:pPr>
              <w:keepNext/>
              <w:suppressAutoHyphens w:val="0"/>
              <w:rPr>
                <w:i/>
                <w:iCs/>
                <w:color w:val="000000"/>
              </w:rPr>
            </w:pPr>
            <w:r w:rsidRPr="00556B9B">
              <w:rPr>
                <w:rFonts w:cs="Times New Roman"/>
                <w:i/>
                <w:iCs/>
                <w:noProof/>
                <w:color w:val="000000"/>
                <w:szCs w:val="22"/>
                <w:lang w:val="hu-HU"/>
              </w:rPr>
              <w:t>Nagyon gyakori:</w:t>
            </w:r>
          </w:p>
        </w:tc>
        <w:tc>
          <w:tcPr>
            <w:tcW w:w="7087" w:type="dxa"/>
          </w:tcPr>
          <w:p w14:paraId="63DCCB87" w14:textId="77777777" w:rsidR="00153AD1" w:rsidRPr="007C3BCA" w:rsidRDefault="00153AD1" w:rsidP="00F926B9">
            <w:pPr>
              <w:keepNext/>
              <w:suppressAutoHyphens w:val="0"/>
              <w:rPr>
                <w:color w:val="000000"/>
              </w:rPr>
            </w:pPr>
            <w:r w:rsidRPr="007C3BCA">
              <w:rPr>
                <w:rFonts w:cs="Times New Roman"/>
                <w:color w:val="000000"/>
                <w:szCs w:val="22"/>
                <w:lang w:val="hu-HU"/>
              </w:rPr>
              <w:t>Neutropenia, thrombocytopenia, anaemia</w:t>
            </w:r>
          </w:p>
        </w:tc>
      </w:tr>
      <w:tr w:rsidR="00153AD1" w:rsidRPr="00556B9B" w14:paraId="367C552C" w14:textId="77777777" w:rsidTr="00F926B9">
        <w:trPr>
          <w:cantSplit/>
        </w:trPr>
        <w:tc>
          <w:tcPr>
            <w:tcW w:w="2235" w:type="dxa"/>
          </w:tcPr>
          <w:p w14:paraId="4247EA07" w14:textId="77777777" w:rsidR="00153AD1" w:rsidRPr="00556B9B" w:rsidRDefault="00153AD1" w:rsidP="00F926B9">
            <w:pPr>
              <w:keepNext/>
              <w:suppressAutoHyphens w:val="0"/>
              <w:rPr>
                <w:i/>
                <w:iCs/>
                <w:color w:val="000000"/>
              </w:rPr>
            </w:pPr>
            <w:r w:rsidRPr="00556B9B">
              <w:rPr>
                <w:rFonts w:cs="Times New Roman"/>
                <w:i/>
                <w:iCs/>
                <w:noProof/>
                <w:color w:val="000000"/>
                <w:szCs w:val="22"/>
                <w:lang w:val="hu-HU"/>
              </w:rPr>
              <w:t>Gyakori:</w:t>
            </w:r>
          </w:p>
        </w:tc>
        <w:tc>
          <w:tcPr>
            <w:tcW w:w="7087" w:type="dxa"/>
          </w:tcPr>
          <w:p w14:paraId="5BE9E17D" w14:textId="77777777" w:rsidR="00153AD1" w:rsidRPr="00556B9B" w:rsidRDefault="00153AD1" w:rsidP="00F926B9">
            <w:pPr>
              <w:keepNext/>
              <w:suppressAutoHyphens w:val="0"/>
              <w:rPr>
                <w:color w:val="000000"/>
              </w:rPr>
            </w:pPr>
            <w:r w:rsidRPr="00556B9B">
              <w:rPr>
                <w:rFonts w:cs="Times New Roman"/>
                <w:color w:val="000000"/>
                <w:szCs w:val="22"/>
                <w:lang w:val="hu-HU"/>
              </w:rPr>
              <w:t>Pancytopenia, febrilis neutropenia</w:t>
            </w:r>
          </w:p>
        </w:tc>
      </w:tr>
      <w:tr w:rsidR="00153AD1" w:rsidRPr="00556B9B" w14:paraId="523D0EC2" w14:textId="77777777" w:rsidTr="00F926B9">
        <w:trPr>
          <w:cantSplit/>
        </w:trPr>
        <w:tc>
          <w:tcPr>
            <w:tcW w:w="2235" w:type="dxa"/>
          </w:tcPr>
          <w:p w14:paraId="5ADC4DE0" w14:textId="77777777" w:rsidR="00153AD1" w:rsidRPr="00556B9B" w:rsidRDefault="00153AD1" w:rsidP="00F926B9">
            <w:pPr>
              <w:keepNext/>
              <w:suppressAutoHyphens w:val="0"/>
              <w:rPr>
                <w:i/>
                <w:iCs/>
                <w:color w:val="000000"/>
              </w:rPr>
            </w:pPr>
            <w:r w:rsidRPr="00556B9B">
              <w:rPr>
                <w:i/>
                <w:iCs/>
                <w:noProof/>
                <w:color w:val="000000"/>
                <w:szCs w:val="22"/>
                <w:lang w:val="hu-HU"/>
              </w:rPr>
              <w:t>Nem gyakori:</w:t>
            </w:r>
          </w:p>
        </w:tc>
        <w:tc>
          <w:tcPr>
            <w:tcW w:w="7087" w:type="dxa"/>
          </w:tcPr>
          <w:p w14:paraId="50A482DC" w14:textId="77777777" w:rsidR="00153AD1" w:rsidRPr="00556B9B" w:rsidRDefault="00153AD1" w:rsidP="00F926B9">
            <w:pPr>
              <w:keepNext/>
              <w:suppressAutoHyphens w:val="0"/>
              <w:rPr>
                <w:color w:val="000000"/>
              </w:rPr>
            </w:pPr>
            <w:r w:rsidRPr="00556B9B">
              <w:rPr>
                <w:rFonts w:cs="Times New Roman"/>
                <w:color w:val="000000"/>
                <w:szCs w:val="22"/>
                <w:lang w:val="hu-HU"/>
              </w:rPr>
              <w:t>Thrombocythaemia, lymphopenia, csontvelő depressio, eosinophilia, lymphadenopathia</w:t>
            </w:r>
          </w:p>
        </w:tc>
      </w:tr>
      <w:tr w:rsidR="00153AD1" w:rsidRPr="00556B9B" w14:paraId="7C345684" w14:textId="77777777" w:rsidTr="00F926B9">
        <w:trPr>
          <w:cantSplit/>
        </w:trPr>
        <w:tc>
          <w:tcPr>
            <w:tcW w:w="2235" w:type="dxa"/>
          </w:tcPr>
          <w:p w14:paraId="0B6C0458" w14:textId="77777777" w:rsidR="00153AD1" w:rsidRPr="00556B9B" w:rsidRDefault="00153AD1" w:rsidP="00DF7747">
            <w:pPr>
              <w:rPr>
                <w:i/>
                <w:iCs/>
                <w:color w:val="000000"/>
              </w:rPr>
            </w:pPr>
            <w:r w:rsidRPr="00556B9B">
              <w:rPr>
                <w:i/>
                <w:iCs/>
                <w:noProof/>
                <w:color w:val="000000"/>
                <w:szCs w:val="22"/>
                <w:lang w:val="hu-HU"/>
              </w:rPr>
              <w:t>Ritka:</w:t>
            </w:r>
          </w:p>
        </w:tc>
        <w:tc>
          <w:tcPr>
            <w:tcW w:w="7087" w:type="dxa"/>
          </w:tcPr>
          <w:p w14:paraId="49EF4B9B" w14:textId="77777777" w:rsidR="00153AD1" w:rsidRPr="00556B9B" w:rsidRDefault="00153AD1" w:rsidP="00DF7747">
            <w:pPr>
              <w:rPr>
                <w:color w:val="000000"/>
              </w:rPr>
            </w:pPr>
            <w:r w:rsidRPr="00556B9B">
              <w:rPr>
                <w:rFonts w:cs="Times New Roman"/>
                <w:color w:val="000000"/>
                <w:szCs w:val="22"/>
                <w:lang w:val="hu-HU"/>
              </w:rPr>
              <w:t>Haemolyticus anaemia</w:t>
            </w:r>
            <w:r w:rsidR="009A54D2" w:rsidRPr="00556B9B">
              <w:rPr>
                <w:rFonts w:cs="Times New Roman"/>
                <w:color w:val="000000"/>
                <w:szCs w:val="22"/>
                <w:lang w:val="hu-HU"/>
              </w:rPr>
              <w:t xml:space="preserve">, </w:t>
            </w:r>
            <w:r w:rsidR="009A54D2" w:rsidRPr="00556B9B">
              <w:rPr>
                <w:color w:val="000000"/>
                <w:szCs w:val="22"/>
              </w:rPr>
              <w:t>thromboticus microangiopathia</w:t>
            </w:r>
          </w:p>
        </w:tc>
      </w:tr>
      <w:tr w:rsidR="00153AD1" w:rsidRPr="00556B9B" w14:paraId="260780DE" w14:textId="77777777" w:rsidTr="00F926B9">
        <w:trPr>
          <w:cantSplit/>
        </w:trPr>
        <w:tc>
          <w:tcPr>
            <w:tcW w:w="9322" w:type="dxa"/>
            <w:gridSpan w:val="2"/>
          </w:tcPr>
          <w:p w14:paraId="7EE804A7" w14:textId="77777777" w:rsidR="00153AD1" w:rsidRPr="00556B9B" w:rsidRDefault="00153AD1" w:rsidP="00F926B9">
            <w:pPr>
              <w:keepNext/>
              <w:suppressAutoHyphens w:val="0"/>
              <w:rPr>
                <w:color w:val="000000"/>
                <w:szCs w:val="22"/>
              </w:rPr>
            </w:pPr>
            <w:r w:rsidRPr="00556B9B">
              <w:rPr>
                <w:b/>
                <w:color w:val="000000"/>
                <w:szCs w:val="22"/>
                <w:lang w:val="hu-HU"/>
              </w:rPr>
              <w:t>Anyagcsere- és táplálkozási betegségek és tünetek</w:t>
            </w:r>
          </w:p>
        </w:tc>
      </w:tr>
      <w:tr w:rsidR="00153AD1" w:rsidRPr="00556B9B" w14:paraId="1C3D5412" w14:textId="77777777" w:rsidTr="00F926B9">
        <w:trPr>
          <w:cantSplit/>
        </w:trPr>
        <w:tc>
          <w:tcPr>
            <w:tcW w:w="2235" w:type="dxa"/>
          </w:tcPr>
          <w:p w14:paraId="08E7846B" w14:textId="77777777" w:rsidR="00153AD1" w:rsidRPr="00556B9B" w:rsidRDefault="00153AD1" w:rsidP="00F926B9">
            <w:pPr>
              <w:keepNext/>
              <w:suppressAutoHyphens w:val="0"/>
              <w:rPr>
                <w:i/>
                <w:iCs/>
                <w:color w:val="000000"/>
                <w:szCs w:val="22"/>
              </w:rPr>
            </w:pPr>
            <w:r w:rsidRPr="00556B9B">
              <w:rPr>
                <w:rFonts w:cs="Times New Roman"/>
                <w:i/>
                <w:iCs/>
                <w:noProof/>
                <w:color w:val="000000"/>
                <w:szCs w:val="22"/>
                <w:lang w:val="hu-HU"/>
              </w:rPr>
              <w:t>Gyakori:</w:t>
            </w:r>
          </w:p>
        </w:tc>
        <w:tc>
          <w:tcPr>
            <w:tcW w:w="7087" w:type="dxa"/>
          </w:tcPr>
          <w:p w14:paraId="34CFA017" w14:textId="77777777" w:rsidR="00153AD1" w:rsidRPr="00556B9B" w:rsidRDefault="00153AD1" w:rsidP="00F926B9">
            <w:pPr>
              <w:keepNext/>
              <w:suppressAutoHyphens w:val="0"/>
              <w:rPr>
                <w:color w:val="000000"/>
                <w:szCs w:val="22"/>
              </w:rPr>
            </w:pPr>
            <w:r w:rsidRPr="00556B9B">
              <w:rPr>
                <w:color w:val="000000"/>
                <w:szCs w:val="22"/>
              </w:rPr>
              <w:t>Anorexia</w:t>
            </w:r>
          </w:p>
        </w:tc>
      </w:tr>
      <w:tr w:rsidR="00153AD1" w:rsidRPr="00556B9B" w14:paraId="3F20875C" w14:textId="77777777" w:rsidTr="00F926B9">
        <w:trPr>
          <w:cantSplit/>
        </w:trPr>
        <w:tc>
          <w:tcPr>
            <w:tcW w:w="2235" w:type="dxa"/>
          </w:tcPr>
          <w:p w14:paraId="77CEF57A" w14:textId="77777777" w:rsidR="00153AD1" w:rsidRPr="00556B9B" w:rsidRDefault="00153AD1" w:rsidP="00F926B9">
            <w:pPr>
              <w:keepNext/>
              <w:suppressAutoHyphens w:val="0"/>
              <w:rPr>
                <w:i/>
                <w:iCs/>
                <w:color w:val="000000"/>
                <w:szCs w:val="22"/>
              </w:rPr>
            </w:pPr>
            <w:r w:rsidRPr="00556B9B">
              <w:rPr>
                <w:i/>
                <w:iCs/>
                <w:noProof/>
                <w:color w:val="000000"/>
                <w:szCs w:val="22"/>
                <w:lang w:val="hu-HU"/>
              </w:rPr>
              <w:t>Nem gyakori:</w:t>
            </w:r>
          </w:p>
        </w:tc>
        <w:tc>
          <w:tcPr>
            <w:tcW w:w="7087" w:type="dxa"/>
          </w:tcPr>
          <w:p w14:paraId="59AC3956" w14:textId="77777777" w:rsidR="00153AD1" w:rsidRPr="00556B9B" w:rsidRDefault="00153AD1" w:rsidP="00F926B9">
            <w:pPr>
              <w:keepNext/>
              <w:suppressAutoHyphens w:val="0"/>
              <w:rPr>
                <w:color w:val="000000"/>
                <w:szCs w:val="22"/>
              </w:rPr>
            </w:pPr>
            <w:r w:rsidRPr="00556B9B">
              <w:rPr>
                <w:rFonts w:cs="Times New Roman"/>
                <w:color w:val="000000"/>
                <w:szCs w:val="22"/>
                <w:lang w:val="hu-HU"/>
              </w:rPr>
              <w:t>Hypokalaemia, étvágynövekedés, hypophosphataemia, étvágycsökkenés, dehydratio, köszvény, hyperuricaemia, hypercalcaemia, hyperglykaemia, hyponatraemia</w:t>
            </w:r>
          </w:p>
        </w:tc>
      </w:tr>
      <w:tr w:rsidR="00153AD1" w:rsidRPr="00556B9B" w14:paraId="16E7D799" w14:textId="77777777" w:rsidTr="00F926B9">
        <w:trPr>
          <w:cantSplit/>
        </w:trPr>
        <w:tc>
          <w:tcPr>
            <w:tcW w:w="2235" w:type="dxa"/>
          </w:tcPr>
          <w:p w14:paraId="5DF5BC92" w14:textId="77777777" w:rsidR="00153AD1" w:rsidRPr="00556B9B" w:rsidRDefault="00153AD1" w:rsidP="00DF7747">
            <w:pPr>
              <w:rPr>
                <w:i/>
                <w:iCs/>
                <w:color w:val="000000"/>
                <w:szCs w:val="22"/>
              </w:rPr>
            </w:pPr>
            <w:r w:rsidRPr="00556B9B">
              <w:rPr>
                <w:i/>
                <w:iCs/>
                <w:noProof/>
                <w:color w:val="000000"/>
                <w:szCs w:val="22"/>
                <w:lang w:val="hu-HU"/>
              </w:rPr>
              <w:t>Ritka:</w:t>
            </w:r>
          </w:p>
        </w:tc>
        <w:tc>
          <w:tcPr>
            <w:tcW w:w="7087" w:type="dxa"/>
          </w:tcPr>
          <w:p w14:paraId="37501950" w14:textId="77777777" w:rsidR="00153AD1" w:rsidRPr="00556B9B" w:rsidRDefault="00153AD1" w:rsidP="00DF7747">
            <w:pPr>
              <w:rPr>
                <w:color w:val="000000"/>
                <w:szCs w:val="22"/>
                <w:lang w:val="pt-PT"/>
              </w:rPr>
            </w:pPr>
            <w:r w:rsidRPr="00556B9B">
              <w:rPr>
                <w:rFonts w:cs="Times New Roman"/>
                <w:color w:val="000000"/>
                <w:szCs w:val="22"/>
                <w:lang w:val="hu-HU"/>
              </w:rPr>
              <w:t>Hyperkalaemia, hypomagnesaemia</w:t>
            </w:r>
          </w:p>
        </w:tc>
      </w:tr>
      <w:tr w:rsidR="00153AD1" w:rsidRPr="00556B9B" w14:paraId="52E537E0" w14:textId="77777777" w:rsidTr="00F926B9">
        <w:trPr>
          <w:cantSplit/>
        </w:trPr>
        <w:tc>
          <w:tcPr>
            <w:tcW w:w="9322" w:type="dxa"/>
            <w:gridSpan w:val="2"/>
          </w:tcPr>
          <w:p w14:paraId="5746D1A3" w14:textId="77777777" w:rsidR="00153AD1" w:rsidRPr="00556B9B" w:rsidRDefault="00153AD1" w:rsidP="00F926B9">
            <w:pPr>
              <w:keepNext/>
              <w:suppressAutoHyphens w:val="0"/>
              <w:rPr>
                <w:color w:val="000000"/>
                <w:szCs w:val="22"/>
              </w:rPr>
            </w:pPr>
            <w:r w:rsidRPr="00556B9B">
              <w:rPr>
                <w:b/>
                <w:color w:val="000000"/>
                <w:szCs w:val="22"/>
                <w:lang w:val="hu-HU"/>
              </w:rPr>
              <w:t>Pszichiátriai kórképek</w:t>
            </w:r>
          </w:p>
        </w:tc>
      </w:tr>
      <w:tr w:rsidR="00153AD1" w:rsidRPr="00556B9B" w14:paraId="3D102A37" w14:textId="77777777" w:rsidTr="00F926B9">
        <w:trPr>
          <w:cantSplit/>
        </w:trPr>
        <w:tc>
          <w:tcPr>
            <w:tcW w:w="2235" w:type="dxa"/>
          </w:tcPr>
          <w:p w14:paraId="3E9D682A" w14:textId="77777777" w:rsidR="00153AD1" w:rsidRPr="00556B9B" w:rsidRDefault="00153AD1" w:rsidP="00F926B9">
            <w:pPr>
              <w:keepNext/>
              <w:suppressAutoHyphens w:val="0"/>
              <w:rPr>
                <w:i/>
                <w:iCs/>
                <w:color w:val="000000"/>
                <w:szCs w:val="22"/>
              </w:rPr>
            </w:pPr>
            <w:r w:rsidRPr="00556B9B">
              <w:rPr>
                <w:rFonts w:cs="Times New Roman"/>
                <w:i/>
                <w:iCs/>
                <w:noProof/>
                <w:color w:val="000000"/>
                <w:szCs w:val="22"/>
                <w:lang w:val="hu-HU"/>
              </w:rPr>
              <w:t>Gyakori:</w:t>
            </w:r>
          </w:p>
        </w:tc>
        <w:tc>
          <w:tcPr>
            <w:tcW w:w="7087" w:type="dxa"/>
          </w:tcPr>
          <w:p w14:paraId="37B1DA4A" w14:textId="77777777" w:rsidR="00153AD1" w:rsidRPr="00556B9B" w:rsidRDefault="00153AD1" w:rsidP="00F926B9">
            <w:pPr>
              <w:keepNext/>
              <w:suppressAutoHyphens w:val="0"/>
              <w:rPr>
                <w:color w:val="000000"/>
                <w:szCs w:val="22"/>
              </w:rPr>
            </w:pPr>
            <w:r w:rsidRPr="00556B9B">
              <w:rPr>
                <w:color w:val="000000"/>
                <w:szCs w:val="22"/>
              </w:rPr>
              <w:t>Insomnia</w:t>
            </w:r>
          </w:p>
        </w:tc>
      </w:tr>
      <w:tr w:rsidR="00153AD1" w:rsidRPr="00556B9B" w14:paraId="36E8C57E" w14:textId="77777777" w:rsidTr="00F926B9">
        <w:trPr>
          <w:cantSplit/>
        </w:trPr>
        <w:tc>
          <w:tcPr>
            <w:tcW w:w="2235" w:type="dxa"/>
          </w:tcPr>
          <w:p w14:paraId="303057F3" w14:textId="77777777" w:rsidR="00153AD1" w:rsidRPr="00556B9B" w:rsidRDefault="00153AD1" w:rsidP="00F926B9">
            <w:pPr>
              <w:keepNext/>
              <w:suppressAutoHyphens w:val="0"/>
              <w:rPr>
                <w:i/>
                <w:iCs/>
                <w:color w:val="000000"/>
                <w:szCs w:val="22"/>
              </w:rPr>
            </w:pPr>
            <w:r w:rsidRPr="00556B9B">
              <w:rPr>
                <w:i/>
                <w:iCs/>
                <w:noProof/>
                <w:color w:val="000000"/>
                <w:szCs w:val="22"/>
                <w:lang w:val="hu-HU"/>
              </w:rPr>
              <w:t>Nem gyakori:</w:t>
            </w:r>
          </w:p>
        </w:tc>
        <w:tc>
          <w:tcPr>
            <w:tcW w:w="7087" w:type="dxa"/>
          </w:tcPr>
          <w:p w14:paraId="49AAC232" w14:textId="77777777" w:rsidR="00153AD1" w:rsidRPr="00556B9B" w:rsidRDefault="00153AD1" w:rsidP="00F926B9">
            <w:pPr>
              <w:keepNext/>
              <w:suppressAutoHyphens w:val="0"/>
              <w:rPr>
                <w:color w:val="000000"/>
                <w:szCs w:val="22"/>
              </w:rPr>
            </w:pPr>
            <w:r w:rsidRPr="00556B9B">
              <w:rPr>
                <w:rFonts w:cs="Times New Roman"/>
                <w:color w:val="000000"/>
                <w:szCs w:val="22"/>
                <w:lang w:val="hu-HU"/>
              </w:rPr>
              <w:t>Depresszió, csökkent libido, szorongás</w:t>
            </w:r>
          </w:p>
        </w:tc>
      </w:tr>
      <w:tr w:rsidR="00153AD1" w:rsidRPr="00556B9B" w14:paraId="48D4CBC2" w14:textId="77777777" w:rsidTr="00F926B9">
        <w:trPr>
          <w:cantSplit/>
        </w:trPr>
        <w:tc>
          <w:tcPr>
            <w:tcW w:w="2235" w:type="dxa"/>
          </w:tcPr>
          <w:p w14:paraId="1AED37A3" w14:textId="77777777" w:rsidR="00153AD1" w:rsidRPr="00556B9B" w:rsidRDefault="00153AD1" w:rsidP="00DF7747">
            <w:pPr>
              <w:rPr>
                <w:i/>
                <w:iCs/>
                <w:color w:val="000000"/>
                <w:szCs w:val="22"/>
              </w:rPr>
            </w:pPr>
            <w:r w:rsidRPr="00556B9B">
              <w:rPr>
                <w:i/>
                <w:iCs/>
                <w:noProof/>
                <w:color w:val="000000"/>
                <w:szCs w:val="22"/>
                <w:lang w:val="hu-HU"/>
              </w:rPr>
              <w:t>Ritka:</w:t>
            </w:r>
          </w:p>
        </w:tc>
        <w:tc>
          <w:tcPr>
            <w:tcW w:w="7087" w:type="dxa"/>
          </w:tcPr>
          <w:p w14:paraId="197C18EC" w14:textId="77777777" w:rsidR="00153AD1" w:rsidRPr="00556B9B" w:rsidRDefault="00153AD1" w:rsidP="00DF7747">
            <w:pPr>
              <w:rPr>
                <w:color w:val="000000"/>
                <w:szCs w:val="22"/>
              </w:rPr>
            </w:pPr>
            <w:r w:rsidRPr="00556B9B">
              <w:rPr>
                <w:rFonts w:cs="Times New Roman"/>
                <w:color w:val="000000"/>
                <w:szCs w:val="22"/>
                <w:lang w:val="hu-HU"/>
              </w:rPr>
              <w:t>Zavart állapot</w:t>
            </w:r>
          </w:p>
        </w:tc>
      </w:tr>
      <w:tr w:rsidR="00153AD1" w:rsidRPr="00556B9B" w14:paraId="7017768D" w14:textId="77777777" w:rsidTr="00F926B9">
        <w:trPr>
          <w:cantSplit/>
        </w:trPr>
        <w:tc>
          <w:tcPr>
            <w:tcW w:w="9322" w:type="dxa"/>
            <w:gridSpan w:val="2"/>
          </w:tcPr>
          <w:p w14:paraId="2699A9E5" w14:textId="77777777" w:rsidR="00153AD1" w:rsidRPr="00556B9B" w:rsidRDefault="00153AD1" w:rsidP="00F926B9">
            <w:pPr>
              <w:keepNext/>
              <w:suppressAutoHyphens w:val="0"/>
              <w:rPr>
                <w:b/>
                <w:color w:val="000000"/>
              </w:rPr>
            </w:pPr>
            <w:r w:rsidRPr="00556B9B">
              <w:rPr>
                <w:rFonts w:cs="Times New Roman"/>
                <w:b/>
                <w:color w:val="000000"/>
                <w:szCs w:val="22"/>
                <w:lang w:val="hu-HU"/>
              </w:rPr>
              <w:t>Idegrendszeri betegségek és tünetek</w:t>
            </w:r>
          </w:p>
        </w:tc>
      </w:tr>
      <w:tr w:rsidR="00153AD1" w:rsidRPr="00556B9B" w14:paraId="246C868F" w14:textId="77777777" w:rsidTr="00F926B9">
        <w:trPr>
          <w:cantSplit/>
        </w:trPr>
        <w:tc>
          <w:tcPr>
            <w:tcW w:w="2235" w:type="dxa"/>
          </w:tcPr>
          <w:p w14:paraId="4F2C008C" w14:textId="77777777" w:rsidR="00153AD1" w:rsidRPr="00556B9B" w:rsidRDefault="00153AD1" w:rsidP="00F926B9">
            <w:pPr>
              <w:keepNext/>
              <w:suppressAutoHyphens w:val="0"/>
              <w:rPr>
                <w:i/>
                <w:iCs/>
                <w:color w:val="000000"/>
              </w:rPr>
            </w:pPr>
            <w:r w:rsidRPr="00556B9B">
              <w:rPr>
                <w:rFonts w:cs="Times New Roman"/>
                <w:i/>
                <w:iCs/>
                <w:noProof/>
                <w:color w:val="000000"/>
                <w:szCs w:val="22"/>
                <w:lang w:val="hu-HU"/>
              </w:rPr>
              <w:t>Nagyon gyakori:</w:t>
            </w:r>
          </w:p>
        </w:tc>
        <w:tc>
          <w:tcPr>
            <w:tcW w:w="7087" w:type="dxa"/>
          </w:tcPr>
          <w:p w14:paraId="661DE87A" w14:textId="77777777" w:rsidR="00153AD1" w:rsidRPr="00556B9B" w:rsidRDefault="00153AD1" w:rsidP="00F926B9">
            <w:pPr>
              <w:keepNext/>
              <w:suppressAutoHyphens w:val="0"/>
              <w:rPr>
                <w:color w:val="000000"/>
              </w:rPr>
            </w:pPr>
            <w:r w:rsidRPr="00556B9B">
              <w:rPr>
                <w:rFonts w:cs="Times New Roman"/>
                <w:color w:val="000000"/>
                <w:szCs w:val="22"/>
                <w:lang w:val="hu-HU"/>
              </w:rPr>
              <w:t>Fejfájás</w:t>
            </w:r>
            <w:r w:rsidRPr="00556B9B">
              <w:rPr>
                <w:rFonts w:cs="Times New Roman"/>
                <w:color w:val="000000"/>
                <w:szCs w:val="22"/>
                <w:vertAlign w:val="superscript"/>
                <w:lang w:val="hu-HU"/>
              </w:rPr>
              <w:t>2</w:t>
            </w:r>
          </w:p>
        </w:tc>
      </w:tr>
      <w:tr w:rsidR="00153AD1" w:rsidRPr="00556B9B" w14:paraId="0D011341" w14:textId="77777777" w:rsidTr="00F926B9">
        <w:trPr>
          <w:cantSplit/>
        </w:trPr>
        <w:tc>
          <w:tcPr>
            <w:tcW w:w="2235" w:type="dxa"/>
          </w:tcPr>
          <w:p w14:paraId="7272E78D" w14:textId="77777777" w:rsidR="00153AD1" w:rsidRPr="00556B9B" w:rsidRDefault="00153AD1" w:rsidP="00F926B9">
            <w:pPr>
              <w:keepNext/>
              <w:suppressAutoHyphens w:val="0"/>
              <w:rPr>
                <w:i/>
                <w:iCs/>
                <w:color w:val="000000"/>
              </w:rPr>
            </w:pPr>
            <w:r w:rsidRPr="00556B9B">
              <w:rPr>
                <w:rFonts w:cs="Times New Roman"/>
                <w:i/>
                <w:iCs/>
                <w:noProof/>
                <w:color w:val="000000"/>
                <w:szCs w:val="22"/>
                <w:lang w:val="hu-HU"/>
              </w:rPr>
              <w:t>Gyakori:</w:t>
            </w:r>
          </w:p>
        </w:tc>
        <w:tc>
          <w:tcPr>
            <w:tcW w:w="7087" w:type="dxa"/>
          </w:tcPr>
          <w:p w14:paraId="3D29F0A1" w14:textId="77777777" w:rsidR="00153AD1" w:rsidRPr="00556B9B" w:rsidRDefault="00153AD1" w:rsidP="00F926B9">
            <w:pPr>
              <w:keepNext/>
              <w:suppressAutoHyphens w:val="0"/>
              <w:rPr>
                <w:color w:val="000000"/>
                <w:szCs w:val="22"/>
              </w:rPr>
            </w:pPr>
            <w:r w:rsidRPr="00556B9B">
              <w:rPr>
                <w:rFonts w:cs="Times New Roman"/>
                <w:color w:val="000000"/>
                <w:szCs w:val="22"/>
                <w:lang w:val="hu-HU"/>
              </w:rPr>
              <w:t>Szédülés, paraesthesia, az ízérzés zavarai, hypaesthesia</w:t>
            </w:r>
          </w:p>
        </w:tc>
      </w:tr>
      <w:tr w:rsidR="00153AD1" w:rsidRPr="00556B9B" w14:paraId="5BB030DD" w14:textId="77777777" w:rsidTr="00F926B9">
        <w:trPr>
          <w:cantSplit/>
        </w:trPr>
        <w:tc>
          <w:tcPr>
            <w:tcW w:w="2235" w:type="dxa"/>
          </w:tcPr>
          <w:p w14:paraId="7D4C5204" w14:textId="77777777" w:rsidR="00153AD1" w:rsidRPr="00556B9B" w:rsidRDefault="00153AD1" w:rsidP="00F926B9">
            <w:pPr>
              <w:keepNext/>
              <w:suppressAutoHyphens w:val="0"/>
              <w:rPr>
                <w:i/>
                <w:iCs/>
                <w:color w:val="000000"/>
              </w:rPr>
            </w:pPr>
            <w:r w:rsidRPr="00556B9B">
              <w:rPr>
                <w:i/>
                <w:iCs/>
                <w:noProof/>
                <w:color w:val="000000"/>
                <w:szCs w:val="22"/>
                <w:lang w:val="hu-HU"/>
              </w:rPr>
              <w:t>Nem gyakori:</w:t>
            </w:r>
          </w:p>
        </w:tc>
        <w:tc>
          <w:tcPr>
            <w:tcW w:w="7087" w:type="dxa"/>
          </w:tcPr>
          <w:p w14:paraId="73F36680" w14:textId="77777777" w:rsidR="00153AD1" w:rsidRPr="00556B9B" w:rsidRDefault="00153AD1" w:rsidP="00F926B9">
            <w:pPr>
              <w:keepNext/>
              <w:suppressAutoHyphens w:val="0"/>
              <w:rPr>
                <w:color w:val="000000"/>
              </w:rPr>
            </w:pPr>
            <w:r w:rsidRPr="00556B9B">
              <w:rPr>
                <w:rFonts w:cs="Times New Roman"/>
                <w:color w:val="000000"/>
                <w:szCs w:val="22"/>
                <w:lang w:val="hu-HU"/>
              </w:rPr>
              <w:t>Migrén, aluszékonyság, ájulás, peripheriás neuropathia, memóriazavar, ischias, nyugtalan láb szindróma, tremor, agyvérzés</w:t>
            </w:r>
          </w:p>
        </w:tc>
      </w:tr>
      <w:tr w:rsidR="00153AD1" w:rsidRPr="00462020" w14:paraId="2D93F4F9" w14:textId="77777777" w:rsidTr="00F926B9">
        <w:trPr>
          <w:cantSplit/>
        </w:trPr>
        <w:tc>
          <w:tcPr>
            <w:tcW w:w="2235" w:type="dxa"/>
          </w:tcPr>
          <w:p w14:paraId="114F6B93" w14:textId="77777777" w:rsidR="00153AD1" w:rsidRPr="00556B9B" w:rsidRDefault="00153AD1" w:rsidP="00F926B9">
            <w:pPr>
              <w:keepNext/>
              <w:suppressAutoHyphens w:val="0"/>
              <w:rPr>
                <w:i/>
                <w:iCs/>
                <w:color w:val="000000"/>
              </w:rPr>
            </w:pPr>
            <w:r w:rsidRPr="00556B9B">
              <w:rPr>
                <w:i/>
                <w:iCs/>
                <w:noProof/>
                <w:color w:val="000000"/>
                <w:szCs w:val="22"/>
                <w:lang w:val="hu-HU"/>
              </w:rPr>
              <w:t>Ritka:</w:t>
            </w:r>
          </w:p>
        </w:tc>
        <w:tc>
          <w:tcPr>
            <w:tcW w:w="7087" w:type="dxa"/>
          </w:tcPr>
          <w:p w14:paraId="2EDE9F59" w14:textId="77777777" w:rsidR="00153AD1" w:rsidRPr="00FE57F2" w:rsidRDefault="00153AD1" w:rsidP="00F926B9">
            <w:pPr>
              <w:keepNext/>
              <w:suppressAutoHyphens w:val="0"/>
              <w:rPr>
                <w:color w:val="000000"/>
                <w:szCs w:val="22"/>
                <w:lang w:val="es-ES"/>
              </w:rPr>
            </w:pPr>
            <w:r w:rsidRPr="00556B9B">
              <w:rPr>
                <w:rFonts w:cs="Times New Roman"/>
                <w:color w:val="000000"/>
                <w:szCs w:val="22"/>
                <w:lang w:val="hu-HU"/>
              </w:rPr>
              <w:t>A koponyaűri nyomás fokozódása, convulsio, opticus neuritis</w:t>
            </w:r>
          </w:p>
        </w:tc>
      </w:tr>
      <w:tr w:rsidR="004C3718" w:rsidRPr="00556B9B" w14:paraId="1C76E054" w14:textId="77777777" w:rsidTr="00F926B9">
        <w:trPr>
          <w:cantSplit/>
        </w:trPr>
        <w:tc>
          <w:tcPr>
            <w:tcW w:w="2235" w:type="dxa"/>
          </w:tcPr>
          <w:p w14:paraId="2029AD8E" w14:textId="77777777" w:rsidR="004C3718" w:rsidRPr="00556B9B" w:rsidRDefault="004C3718" w:rsidP="00DF7747">
            <w:pPr>
              <w:rPr>
                <w:i/>
                <w:iCs/>
                <w:noProof/>
                <w:color w:val="000000"/>
                <w:szCs w:val="22"/>
                <w:lang w:val="hu-HU"/>
              </w:rPr>
            </w:pPr>
            <w:r w:rsidRPr="00556B9B">
              <w:rPr>
                <w:i/>
                <w:color w:val="000000"/>
              </w:rPr>
              <w:t>Nem ismert:</w:t>
            </w:r>
          </w:p>
        </w:tc>
        <w:tc>
          <w:tcPr>
            <w:tcW w:w="7087" w:type="dxa"/>
          </w:tcPr>
          <w:p w14:paraId="79F3E3CB" w14:textId="77777777" w:rsidR="004C3718" w:rsidRPr="00556B9B" w:rsidRDefault="004C3718" w:rsidP="00DF7747">
            <w:pPr>
              <w:rPr>
                <w:rFonts w:cs="Times New Roman"/>
                <w:color w:val="000000"/>
                <w:szCs w:val="22"/>
                <w:lang w:val="hu-HU"/>
              </w:rPr>
            </w:pPr>
            <w:r w:rsidRPr="00556B9B">
              <w:rPr>
                <w:color w:val="000000"/>
              </w:rPr>
              <w:t>Cerebralis oedema*</w:t>
            </w:r>
          </w:p>
        </w:tc>
      </w:tr>
      <w:tr w:rsidR="00153AD1" w:rsidRPr="00556B9B" w14:paraId="7366AA7E" w14:textId="77777777" w:rsidTr="00F926B9">
        <w:trPr>
          <w:cantSplit/>
        </w:trPr>
        <w:tc>
          <w:tcPr>
            <w:tcW w:w="9322" w:type="dxa"/>
            <w:gridSpan w:val="2"/>
          </w:tcPr>
          <w:p w14:paraId="1788BA7A" w14:textId="77777777" w:rsidR="00153AD1" w:rsidRPr="00556B9B" w:rsidRDefault="00153AD1" w:rsidP="00DF7747">
            <w:pPr>
              <w:rPr>
                <w:color w:val="000000"/>
              </w:rPr>
            </w:pPr>
            <w:r w:rsidRPr="00556B9B">
              <w:rPr>
                <w:rFonts w:cs="Times New Roman"/>
                <w:b/>
                <w:color w:val="000000"/>
                <w:szCs w:val="22"/>
                <w:lang w:val="hu-HU"/>
              </w:rPr>
              <w:t>Szembetegségek és szemészeti tünetek</w:t>
            </w:r>
          </w:p>
        </w:tc>
      </w:tr>
      <w:tr w:rsidR="00153AD1" w:rsidRPr="00556B9B" w14:paraId="14483E1E" w14:textId="77777777" w:rsidTr="00F926B9">
        <w:trPr>
          <w:cantSplit/>
        </w:trPr>
        <w:tc>
          <w:tcPr>
            <w:tcW w:w="2235" w:type="dxa"/>
          </w:tcPr>
          <w:p w14:paraId="44A78B40" w14:textId="77777777" w:rsidR="00153AD1" w:rsidRPr="00556B9B" w:rsidRDefault="00153AD1" w:rsidP="00F926B9">
            <w:pPr>
              <w:keepNext/>
              <w:suppressAutoHyphens w:val="0"/>
              <w:rPr>
                <w:i/>
                <w:iCs/>
                <w:color w:val="000000"/>
              </w:rPr>
            </w:pPr>
            <w:r w:rsidRPr="00556B9B">
              <w:rPr>
                <w:rFonts w:cs="Times New Roman"/>
                <w:i/>
                <w:iCs/>
                <w:noProof/>
                <w:color w:val="000000"/>
                <w:szCs w:val="22"/>
                <w:lang w:val="hu-HU"/>
              </w:rPr>
              <w:t>Gyakori:</w:t>
            </w:r>
          </w:p>
        </w:tc>
        <w:tc>
          <w:tcPr>
            <w:tcW w:w="7087" w:type="dxa"/>
          </w:tcPr>
          <w:p w14:paraId="6A95EA3E" w14:textId="77777777" w:rsidR="00153AD1" w:rsidRPr="00556B9B" w:rsidRDefault="00153AD1" w:rsidP="00F926B9">
            <w:pPr>
              <w:keepNext/>
              <w:suppressAutoHyphens w:val="0"/>
              <w:rPr>
                <w:color w:val="000000"/>
              </w:rPr>
            </w:pPr>
            <w:r w:rsidRPr="00556B9B">
              <w:rPr>
                <w:rFonts w:cs="Times New Roman"/>
                <w:color w:val="000000"/>
                <w:szCs w:val="22"/>
                <w:lang w:val="hu-HU"/>
              </w:rPr>
              <w:t>Szemhéjödéma, könnyezés, kötőhártya-bevérzés, conjunctivitis, szemszárazság, homályos látás</w:t>
            </w:r>
          </w:p>
        </w:tc>
      </w:tr>
      <w:tr w:rsidR="00153AD1" w:rsidRPr="00556B9B" w14:paraId="29B4F3B2" w14:textId="77777777" w:rsidTr="00F926B9">
        <w:trPr>
          <w:cantSplit/>
        </w:trPr>
        <w:tc>
          <w:tcPr>
            <w:tcW w:w="2235" w:type="dxa"/>
          </w:tcPr>
          <w:p w14:paraId="3283C676" w14:textId="77777777" w:rsidR="00153AD1" w:rsidRPr="00556B9B" w:rsidRDefault="00153AD1" w:rsidP="00F926B9">
            <w:pPr>
              <w:keepNext/>
              <w:suppressAutoHyphens w:val="0"/>
              <w:rPr>
                <w:i/>
                <w:iCs/>
                <w:color w:val="000000"/>
              </w:rPr>
            </w:pPr>
            <w:r w:rsidRPr="00556B9B">
              <w:rPr>
                <w:i/>
                <w:iCs/>
                <w:noProof/>
                <w:color w:val="000000"/>
                <w:szCs w:val="22"/>
                <w:lang w:val="hu-HU"/>
              </w:rPr>
              <w:t>Nem gyakori:</w:t>
            </w:r>
          </w:p>
        </w:tc>
        <w:tc>
          <w:tcPr>
            <w:tcW w:w="7087" w:type="dxa"/>
          </w:tcPr>
          <w:p w14:paraId="0461743D" w14:textId="77777777" w:rsidR="00153AD1" w:rsidRPr="00556B9B" w:rsidRDefault="00153AD1" w:rsidP="00F926B9">
            <w:pPr>
              <w:keepNext/>
              <w:suppressAutoHyphens w:val="0"/>
              <w:rPr>
                <w:color w:val="000000"/>
              </w:rPr>
            </w:pPr>
            <w:r w:rsidRPr="00556B9B">
              <w:rPr>
                <w:rFonts w:cs="Times New Roman"/>
                <w:color w:val="000000"/>
                <w:szCs w:val="22"/>
                <w:lang w:val="hu-HU"/>
              </w:rPr>
              <w:t>A szem irritációja, a szem fájdalma, orbitaödéma, sclera-bevérzés, retina-bevérzés, blepharitis, maculaödéma</w:t>
            </w:r>
          </w:p>
        </w:tc>
      </w:tr>
      <w:tr w:rsidR="00153AD1" w:rsidRPr="00556B9B" w14:paraId="390D484B" w14:textId="77777777" w:rsidTr="00F926B9">
        <w:trPr>
          <w:cantSplit/>
        </w:trPr>
        <w:tc>
          <w:tcPr>
            <w:tcW w:w="2235" w:type="dxa"/>
          </w:tcPr>
          <w:p w14:paraId="1DF5BB99" w14:textId="77777777" w:rsidR="00153AD1" w:rsidRPr="00556B9B" w:rsidRDefault="00153AD1" w:rsidP="00F926B9">
            <w:pPr>
              <w:keepNext/>
              <w:suppressAutoHyphens w:val="0"/>
              <w:rPr>
                <w:i/>
                <w:iCs/>
                <w:color w:val="000000"/>
              </w:rPr>
            </w:pPr>
            <w:r w:rsidRPr="00556B9B">
              <w:rPr>
                <w:i/>
                <w:iCs/>
                <w:noProof/>
                <w:color w:val="000000"/>
                <w:szCs w:val="22"/>
                <w:lang w:val="hu-HU"/>
              </w:rPr>
              <w:t>Ritka:</w:t>
            </w:r>
          </w:p>
        </w:tc>
        <w:tc>
          <w:tcPr>
            <w:tcW w:w="7087" w:type="dxa"/>
          </w:tcPr>
          <w:p w14:paraId="772A9E71" w14:textId="77777777" w:rsidR="00153AD1" w:rsidRPr="00556B9B" w:rsidRDefault="00153AD1" w:rsidP="00F926B9">
            <w:pPr>
              <w:keepNext/>
              <w:suppressAutoHyphens w:val="0"/>
              <w:rPr>
                <w:color w:val="000000"/>
              </w:rPr>
            </w:pPr>
            <w:r w:rsidRPr="00556B9B">
              <w:rPr>
                <w:rFonts w:cs="Times New Roman"/>
                <w:color w:val="000000"/>
                <w:szCs w:val="22"/>
                <w:lang w:val="hu-HU"/>
              </w:rPr>
              <w:t>Cataracta, glaucoma, papillaödéma</w:t>
            </w:r>
          </w:p>
        </w:tc>
      </w:tr>
      <w:tr w:rsidR="004C3718" w:rsidRPr="00556B9B" w14:paraId="50984E92" w14:textId="77777777" w:rsidTr="00F926B9">
        <w:trPr>
          <w:cantSplit/>
        </w:trPr>
        <w:tc>
          <w:tcPr>
            <w:tcW w:w="2235" w:type="dxa"/>
          </w:tcPr>
          <w:p w14:paraId="4D9B26CF" w14:textId="77777777" w:rsidR="004C3718" w:rsidRPr="00556B9B" w:rsidRDefault="004C3718" w:rsidP="00DF7747">
            <w:pPr>
              <w:rPr>
                <w:i/>
                <w:iCs/>
                <w:noProof/>
                <w:color w:val="000000"/>
                <w:szCs w:val="22"/>
                <w:lang w:val="hu-HU"/>
              </w:rPr>
            </w:pPr>
            <w:r w:rsidRPr="00556B9B">
              <w:rPr>
                <w:i/>
                <w:color w:val="000000"/>
              </w:rPr>
              <w:t>Nem ismert:</w:t>
            </w:r>
          </w:p>
        </w:tc>
        <w:tc>
          <w:tcPr>
            <w:tcW w:w="7087" w:type="dxa"/>
          </w:tcPr>
          <w:p w14:paraId="542CAA91" w14:textId="77777777" w:rsidR="004C3718" w:rsidRPr="00556B9B" w:rsidRDefault="004C3718" w:rsidP="00DF7747">
            <w:pPr>
              <w:rPr>
                <w:rFonts w:cs="Times New Roman"/>
                <w:color w:val="000000"/>
                <w:szCs w:val="22"/>
                <w:lang w:val="hu-HU"/>
              </w:rPr>
            </w:pPr>
            <w:r w:rsidRPr="00556B9B">
              <w:rPr>
                <w:color w:val="000000"/>
              </w:rPr>
              <w:t>Üvegtesti vérzés*</w:t>
            </w:r>
          </w:p>
        </w:tc>
      </w:tr>
      <w:tr w:rsidR="00153AD1" w:rsidRPr="00556B9B" w14:paraId="0CA4161C" w14:textId="77777777" w:rsidTr="00F926B9">
        <w:trPr>
          <w:cantSplit/>
        </w:trPr>
        <w:tc>
          <w:tcPr>
            <w:tcW w:w="9322" w:type="dxa"/>
            <w:gridSpan w:val="2"/>
          </w:tcPr>
          <w:p w14:paraId="7E0B2554" w14:textId="77777777" w:rsidR="00153AD1" w:rsidRPr="00556B9B" w:rsidRDefault="00153AD1" w:rsidP="00F926B9">
            <w:pPr>
              <w:keepNext/>
              <w:rPr>
                <w:color w:val="000000"/>
              </w:rPr>
            </w:pPr>
            <w:r w:rsidRPr="00556B9B">
              <w:rPr>
                <w:rFonts w:cs="Times New Roman"/>
                <w:b/>
                <w:color w:val="000000"/>
                <w:szCs w:val="22"/>
                <w:lang w:val="hu-HU"/>
              </w:rPr>
              <w:t>A fül és az egyensúly-érzékelő szerv betegségei és tünetei</w:t>
            </w:r>
          </w:p>
        </w:tc>
      </w:tr>
      <w:tr w:rsidR="00153AD1" w:rsidRPr="00556B9B" w14:paraId="1F93B305" w14:textId="77777777" w:rsidTr="00F926B9">
        <w:trPr>
          <w:cantSplit/>
        </w:trPr>
        <w:tc>
          <w:tcPr>
            <w:tcW w:w="2235" w:type="dxa"/>
          </w:tcPr>
          <w:p w14:paraId="0DF0D6C3" w14:textId="77777777" w:rsidR="00153AD1" w:rsidRPr="00556B9B" w:rsidRDefault="00153AD1" w:rsidP="00DF7747">
            <w:pPr>
              <w:rPr>
                <w:i/>
                <w:iCs/>
                <w:color w:val="000000"/>
              </w:rPr>
            </w:pPr>
            <w:r w:rsidRPr="00556B9B">
              <w:rPr>
                <w:i/>
                <w:iCs/>
                <w:noProof/>
                <w:color w:val="000000"/>
                <w:szCs w:val="22"/>
                <w:lang w:val="hu-HU"/>
              </w:rPr>
              <w:t>Nem gyakori:</w:t>
            </w:r>
          </w:p>
        </w:tc>
        <w:tc>
          <w:tcPr>
            <w:tcW w:w="7087" w:type="dxa"/>
          </w:tcPr>
          <w:p w14:paraId="6B6BBF38" w14:textId="77777777" w:rsidR="00153AD1" w:rsidRPr="00556B9B" w:rsidRDefault="00153AD1" w:rsidP="00DF7747">
            <w:pPr>
              <w:rPr>
                <w:color w:val="000000"/>
              </w:rPr>
            </w:pPr>
            <w:r w:rsidRPr="00556B9B">
              <w:rPr>
                <w:rFonts w:cs="Times New Roman"/>
                <w:color w:val="000000"/>
                <w:szCs w:val="22"/>
                <w:lang w:val="hu-HU"/>
              </w:rPr>
              <w:t>Vertigo, tinnitus, halláscsökkenés</w:t>
            </w:r>
          </w:p>
        </w:tc>
      </w:tr>
      <w:tr w:rsidR="00153AD1" w:rsidRPr="00556B9B" w14:paraId="51481FA0" w14:textId="77777777" w:rsidTr="00F926B9">
        <w:trPr>
          <w:cantSplit/>
        </w:trPr>
        <w:tc>
          <w:tcPr>
            <w:tcW w:w="9322" w:type="dxa"/>
            <w:gridSpan w:val="2"/>
          </w:tcPr>
          <w:p w14:paraId="00477B0C" w14:textId="77777777" w:rsidR="00153AD1" w:rsidRPr="00556B9B" w:rsidRDefault="00153AD1" w:rsidP="00F926B9">
            <w:pPr>
              <w:keepNext/>
              <w:rPr>
                <w:color w:val="000000"/>
              </w:rPr>
            </w:pPr>
            <w:r w:rsidRPr="00556B9B">
              <w:rPr>
                <w:rFonts w:cs="Times New Roman"/>
                <w:b/>
                <w:color w:val="000000"/>
                <w:szCs w:val="22"/>
                <w:lang w:val="hu-HU"/>
              </w:rPr>
              <w:t>Szívbetegségek és a szívvel kapcsolatos tünetek</w:t>
            </w:r>
          </w:p>
        </w:tc>
      </w:tr>
      <w:tr w:rsidR="00153AD1" w:rsidRPr="00556B9B" w14:paraId="5833A3C9" w14:textId="77777777" w:rsidTr="00F926B9">
        <w:trPr>
          <w:cantSplit/>
        </w:trPr>
        <w:tc>
          <w:tcPr>
            <w:tcW w:w="2235" w:type="dxa"/>
          </w:tcPr>
          <w:p w14:paraId="56F213AB" w14:textId="77777777" w:rsidR="00153AD1" w:rsidRPr="00556B9B" w:rsidRDefault="00153AD1" w:rsidP="00F926B9">
            <w:pPr>
              <w:keepNext/>
              <w:rPr>
                <w:i/>
                <w:iCs/>
                <w:color w:val="000000"/>
              </w:rPr>
            </w:pPr>
            <w:r w:rsidRPr="00556B9B">
              <w:rPr>
                <w:i/>
                <w:iCs/>
                <w:noProof/>
                <w:color w:val="000000"/>
                <w:szCs w:val="22"/>
                <w:lang w:val="hu-HU"/>
              </w:rPr>
              <w:t>Nem gyakori:</w:t>
            </w:r>
          </w:p>
        </w:tc>
        <w:tc>
          <w:tcPr>
            <w:tcW w:w="7087" w:type="dxa"/>
          </w:tcPr>
          <w:p w14:paraId="1FE9677B" w14:textId="77777777" w:rsidR="00153AD1" w:rsidRPr="00556B9B" w:rsidRDefault="00153AD1" w:rsidP="00F926B9">
            <w:pPr>
              <w:keepNext/>
              <w:rPr>
                <w:color w:val="000000"/>
              </w:rPr>
            </w:pPr>
            <w:r w:rsidRPr="00556B9B">
              <w:rPr>
                <w:rFonts w:cs="Times New Roman"/>
                <w:color w:val="000000"/>
                <w:szCs w:val="22"/>
                <w:lang w:val="hu-HU"/>
              </w:rPr>
              <w:t>Palpitatio, tachycardia, pangásos szívelégtelenség</w:t>
            </w:r>
            <w:r w:rsidRPr="00556B9B">
              <w:rPr>
                <w:rFonts w:cs="Times New Roman"/>
                <w:color w:val="000000"/>
                <w:szCs w:val="22"/>
                <w:vertAlign w:val="superscript"/>
                <w:lang w:val="hu-HU"/>
              </w:rPr>
              <w:t>3</w:t>
            </w:r>
            <w:r w:rsidRPr="00556B9B">
              <w:rPr>
                <w:rFonts w:cs="Times New Roman"/>
                <w:color w:val="000000"/>
                <w:szCs w:val="22"/>
                <w:lang w:val="hu-HU"/>
              </w:rPr>
              <w:t>, tüdőödéma</w:t>
            </w:r>
          </w:p>
        </w:tc>
      </w:tr>
      <w:tr w:rsidR="00153AD1" w:rsidRPr="00556B9B" w14:paraId="7E48A2A2" w14:textId="77777777" w:rsidTr="00F926B9">
        <w:trPr>
          <w:cantSplit/>
        </w:trPr>
        <w:tc>
          <w:tcPr>
            <w:tcW w:w="2235" w:type="dxa"/>
          </w:tcPr>
          <w:p w14:paraId="501F4882" w14:textId="77777777" w:rsidR="00153AD1" w:rsidRPr="00556B9B" w:rsidRDefault="00153AD1" w:rsidP="00F926B9">
            <w:pPr>
              <w:keepNext/>
              <w:rPr>
                <w:i/>
                <w:iCs/>
                <w:color w:val="000000"/>
              </w:rPr>
            </w:pPr>
            <w:r w:rsidRPr="00556B9B">
              <w:rPr>
                <w:i/>
                <w:iCs/>
                <w:noProof/>
                <w:color w:val="000000"/>
                <w:szCs w:val="22"/>
                <w:lang w:val="hu-HU"/>
              </w:rPr>
              <w:t>Ritka:</w:t>
            </w:r>
          </w:p>
        </w:tc>
        <w:tc>
          <w:tcPr>
            <w:tcW w:w="7087" w:type="dxa"/>
          </w:tcPr>
          <w:p w14:paraId="5B2D920B" w14:textId="77777777" w:rsidR="00153AD1" w:rsidRPr="00556B9B" w:rsidRDefault="00153AD1" w:rsidP="00F926B9">
            <w:pPr>
              <w:keepNext/>
              <w:rPr>
                <w:color w:val="000000"/>
              </w:rPr>
            </w:pPr>
            <w:r w:rsidRPr="00556B9B">
              <w:rPr>
                <w:rFonts w:cs="Times New Roman"/>
                <w:color w:val="000000"/>
                <w:szCs w:val="22"/>
                <w:lang w:val="hu-HU"/>
              </w:rPr>
              <w:t>Arrhythmia, pitvarfibrilláció, szívmegállás, szívinfarktus, angina pectoris, pericardialis folyadékgyülem</w:t>
            </w:r>
          </w:p>
        </w:tc>
      </w:tr>
      <w:tr w:rsidR="004C3718" w:rsidRPr="00556B9B" w14:paraId="6057AFC4" w14:textId="77777777" w:rsidTr="00F926B9">
        <w:trPr>
          <w:cantSplit/>
        </w:trPr>
        <w:tc>
          <w:tcPr>
            <w:tcW w:w="2235" w:type="dxa"/>
          </w:tcPr>
          <w:p w14:paraId="43941D9B" w14:textId="77777777" w:rsidR="004C3718" w:rsidRPr="00556B9B" w:rsidRDefault="004C3718" w:rsidP="00DF7747">
            <w:pPr>
              <w:rPr>
                <w:i/>
                <w:iCs/>
                <w:noProof/>
                <w:color w:val="000000"/>
                <w:szCs w:val="22"/>
                <w:lang w:val="hu-HU"/>
              </w:rPr>
            </w:pPr>
            <w:r w:rsidRPr="00556B9B">
              <w:rPr>
                <w:i/>
                <w:color w:val="000000"/>
              </w:rPr>
              <w:t>Nem ismert:</w:t>
            </w:r>
          </w:p>
        </w:tc>
        <w:tc>
          <w:tcPr>
            <w:tcW w:w="7087" w:type="dxa"/>
          </w:tcPr>
          <w:p w14:paraId="2440ADC9" w14:textId="77777777" w:rsidR="004C3718" w:rsidRPr="00556B9B" w:rsidRDefault="004C3718" w:rsidP="00DF7747">
            <w:pPr>
              <w:rPr>
                <w:rFonts w:cs="Times New Roman"/>
                <w:color w:val="000000"/>
                <w:szCs w:val="22"/>
                <w:lang w:val="hu-HU"/>
              </w:rPr>
            </w:pPr>
            <w:r w:rsidRPr="00556B9B">
              <w:rPr>
                <w:color w:val="000000"/>
              </w:rPr>
              <w:t>Pericarditis*, szívtamponád*</w:t>
            </w:r>
          </w:p>
        </w:tc>
      </w:tr>
      <w:tr w:rsidR="00153AD1" w:rsidRPr="00556B9B" w14:paraId="30B58A5C" w14:textId="77777777" w:rsidTr="00F926B9">
        <w:trPr>
          <w:cantSplit/>
        </w:trPr>
        <w:tc>
          <w:tcPr>
            <w:tcW w:w="9322" w:type="dxa"/>
            <w:gridSpan w:val="2"/>
          </w:tcPr>
          <w:p w14:paraId="1EFED170" w14:textId="77777777" w:rsidR="00153AD1" w:rsidRPr="00556B9B" w:rsidRDefault="00153AD1" w:rsidP="00F926B9">
            <w:pPr>
              <w:keepNext/>
              <w:rPr>
                <w:color w:val="000000"/>
                <w:szCs w:val="22"/>
              </w:rPr>
            </w:pPr>
            <w:r w:rsidRPr="00556B9B">
              <w:rPr>
                <w:b/>
                <w:color w:val="000000"/>
                <w:szCs w:val="22"/>
                <w:lang w:val="hu-HU"/>
              </w:rPr>
              <w:lastRenderedPageBreak/>
              <w:t>Érbetegségek és tünetek</w:t>
            </w:r>
            <w:r w:rsidRPr="00556B9B">
              <w:rPr>
                <w:rFonts w:ascii="Times New Roman Bold" w:hAnsi="Times New Roman Bold"/>
                <w:b/>
                <w:color w:val="000000"/>
                <w:szCs w:val="22"/>
                <w:vertAlign w:val="superscript"/>
                <w:lang w:val="hu-HU"/>
              </w:rPr>
              <w:t>4</w:t>
            </w:r>
          </w:p>
        </w:tc>
      </w:tr>
      <w:tr w:rsidR="00153AD1" w:rsidRPr="00556B9B" w14:paraId="5E8DE33F" w14:textId="77777777" w:rsidTr="00F926B9">
        <w:trPr>
          <w:cantSplit/>
        </w:trPr>
        <w:tc>
          <w:tcPr>
            <w:tcW w:w="2235" w:type="dxa"/>
          </w:tcPr>
          <w:p w14:paraId="3F89A8A3" w14:textId="77777777" w:rsidR="00153AD1" w:rsidRPr="00556B9B" w:rsidRDefault="00153AD1" w:rsidP="00F926B9">
            <w:pPr>
              <w:keepNext/>
              <w:rPr>
                <w:i/>
                <w:iCs/>
                <w:color w:val="000000"/>
                <w:szCs w:val="22"/>
              </w:rPr>
            </w:pPr>
            <w:r w:rsidRPr="00556B9B">
              <w:rPr>
                <w:rFonts w:cs="Times New Roman"/>
                <w:i/>
                <w:iCs/>
                <w:noProof/>
                <w:color w:val="000000"/>
                <w:szCs w:val="22"/>
                <w:lang w:val="hu-HU"/>
              </w:rPr>
              <w:t>Gyakori:</w:t>
            </w:r>
          </w:p>
        </w:tc>
        <w:tc>
          <w:tcPr>
            <w:tcW w:w="7087" w:type="dxa"/>
          </w:tcPr>
          <w:p w14:paraId="1F175E6B" w14:textId="77777777" w:rsidR="00153AD1" w:rsidRPr="00556B9B" w:rsidRDefault="00153AD1" w:rsidP="00F926B9">
            <w:pPr>
              <w:keepNext/>
              <w:rPr>
                <w:color w:val="000000"/>
                <w:szCs w:val="22"/>
              </w:rPr>
            </w:pPr>
            <w:r w:rsidRPr="00556B9B">
              <w:rPr>
                <w:rFonts w:cs="Times New Roman"/>
                <w:color w:val="000000"/>
                <w:szCs w:val="22"/>
                <w:lang w:val="hu-HU"/>
              </w:rPr>
              <w:t>Kipirulás, vérzés</w:t>
            </w:r>
          </w:p>
        </w:tc>
      </w:tr>
      <w:tr w:rsidR="00153AD1" w:rsidRPr="00556B9B" w14:paraId="6AB6F1C5" w14:textId="77777777" w:rsidTr="00F926B9">
        <w:trPr>
          <w:cantSplit/>
        </w:trPr>
        <w:tc>
          <w:tcPr>
            <w:tcW w:w="2235" w:type="dxa"/>
          </w:tcPr>
          <w:p w14:paraId="0453C075" w14:textId="77777777" w:rsidR="00153AD1" w:rsidRPr="00556B9B" w:rsidDel="00655175" w:rsidRDefault="00153AD1" w:rsidP="00F926B9">
            <w:pPr>
              <w:keepNext/>
              <w:rPr>
                <w:i/>
                <w:iCs/>
                <w:color w:val="000000"/>
                <w:szCs w:val="22"/>
                <w:u w:val="single"/>
              </w:rPr>
            </w:pPr>
            <w:r w:rsidRPr="00556B9B">
              <w:rPr>
                <w:i/>
                <w:iCs/>
                <w:noProof/>
                <w:color w:val="000000"/>
                <w:szCs w:val="22"/>
                <w:lang w:val="hu-HU"/>
              </w:rPr>
              <w:t>Nem gyakori:</w:t>
            </w:r>
          </w:p>
        </w:tc>
        <w:tc>
          <w:tcPr>
            <w:tcW w:w="7087" w:type="dxa"/>
          </w:tcPr>
          <w:p w14:paraId="1C0AF071" w14:textId="77777777" w:rsidR="00153AD1" w:rsidRPr="00556B9B" w:rsidDel="00655175" w:rsidRDefault="00153AD1" w:rsidP="00F926B9">
            <w:pPr>
              <w:keepNext/>
              <w:rPr>
                <w:color w:val="000000"/>
                <w:szCs w:val="22"/>
              </w:rPr>
            </w:pPr>
            <w:r w:rsidRPr="00556B9B">
              <w:rPr>
                <w:rFonts w:cs="Times New Roman"/>
                <w:color w:val="000000"/>
                <w:szCs w:val="22"/>
                <w:lang w:val="hu-HU"/>
              </w:rPr>
              <w:t xml:space="preserve">Hypertonia, haematoma, </w:t>
            </w:r>
            <w:r w:rsidRPr="00556B9B">
              <w:rPr>
                <w:color w:val="000000"/>
                <w:lang w:val="hu-HU" w:eastAsia="hu-HU"/>
              </w:rPr>
              <w:t xml:space="preserve">subduralis haematoma, </w:t>
            </w:r>
            <w:r w:rsidRPr="00556B9B">
              <w:rPr>
                <w:rFonts w:cs="Times New Roman"/>
                <w:color w:val="000000"/>
                <w:szCs w:val="22"/>
                <w:lang w:val="hu-HU"/>
              </w:rPr>
              <w:t>végtaghidegség, hypotonia, Raynaud-jelenség</w:t>
            </w:r>
          </w:p>
        </w:tc>
      </w:tr>
      <w:tr w:rsidR="004C3718" w:rsidRPr="00556B9B" w14:paraId="78CC74CA" w14:textId="77777777" w:rsidTr="00F926B9">
        <w:trPr>
          <w:cantSplit/>
        </w:trPr>
        <w:tc>
          <w:tcPr>
            <w:tcW w:w="2235" w:type="dxa"/>
          </w:tcPr>
          <w:p w14:paraId="076600CA" w14:textId="77777777" w:rsidR="004C3718" w:rsidRPr="00556B9B" w:rsidRDefault="004C3718" w:rsidP="00DF7747">
            <w:pPr>
              <w:rPr>
                <w:i/>
                <w:iCs/>
                <w:noProof/>
                <w:color w:val="000000"/>
                <w:szCs w:val="22"/>
                <w:lang w:val="hu-HU"/>
              </w:rPr>
            </w:pPr>
            <w:r w:rsidRPr="00556B9B">
              <w:rPr>
                <w:i/>
                <w:color w:val="000000"/>
              </w:rPr>
              <w:t>Nem ismert:</w:t>
            </w:r>
          </w:p>
        </w:tc>
        <w:tc>
          <w:tcPr>
            <w:tcW w:w="7087" w:type="dxa"/>
          </w:tcPr>
          <w:p w14:paraId="6F390046" w14:textId="77777777" w:rsidR="004C3718" w:rsidRPr="00556B9B" w:rsidRDefault="004C3718" w:rsidP="00DF7747">
            <w:pPr>
              <w:rPr>
                <w:rFonts w:cs="Times New Roman"/>
                <w:color w:val="000000"/>
                <w:szCs w:val="22"/>
                <w:lang w:val="hu-HU"/>
              </w:rPr>
            </w:pPr>
            <w:r w:rsidRPr="00556B9B">
              <w:rPr>
                <w:color w:val="000000"/>
              </w:rPr>
              <w:t>Thrombosis/embolia*</w:t>
            </w:r>
          </w:p>
        </w:tc>
      </w:tr>
      <w:tr w:rsidR="00153AD1" w:rsidRPr="00556B9B" w14:paraId="388FDBEB" w14:textId="77777777" w:rsidTr="00F926B9">
        <w:trPr>
          <w:cantSplit/>
        </w:trPr>
        <w:tc>
          <w:tcPr>
            <w:tcW w:w="9322" w:type="dxa"/>
            <w:gridSpan w:val="2"/>
          </w:tcPr>
          <w:p w14:paraId="56A950DC" w14:textId="77777777" w:rsidR="00153AD1" w:rsidRPr="00556B9B" w:rsidRDefault="00153AD1" w:rsidP="00F926B9">
            <w:pPr>
              <w:keepNext/>
              <w:rPr>
                <w:color w:val="000000"/>
                <w:szCs w:val="22"/>
              </w:rPr>
            </w:pPr>
            <w:r w:rsidRPr="00556B9B">
              <w:rPr>
                <w:rFonts w:cs="Times New Roman"/>
                <w:b/>
                <w:color w:val="000000"/>
                <w:szCs w:val="22"/>
                <w:lang w:val="hu-HU"/>
              </w:rPr>
              <w:t>Légzőrendszeri, mellkasi és mediastinalis betegségek és tünetek</w:t>
            </w:r>
          </w:p>
        </w:tc>
      </w:tr>
      <w:tr w:rsidR="00153AD1" w:rsidRPr="00556B9B" w14:paraId="0FD58C99" w14:textId="77777777" w:rsidTr="00F926B9">
        <w:trPr>
          <w:cantSplit/>
        </w:trPr>
        <w:tc>
          <w:tcPr>
            <w:tcW w:w="2235" w:type="dxa"/>
          </w:tcPr>
          <w:p w14:paraId="01F4919A" w14:textId="77777777" w:rsidR="00153AD1" w:rsidRPr="00556B9B" w:rsidRDefault="00153AD1" w:rsidP="00F926B9">
            <w:pPr>
              <w:keepNext/>
              <w:rPr>
                <w:i/>
                <w:iCs/>
                <w:color w:val="000000"/>
              </w:rPr>
            </w:pPr>
            <w:r w:rsidRPr="00556B9B">
              <w:rPr>
                <w:rFonts w:cs="Times New Roman"/>
                <w:i/>
                <w:iCs/>
                <w:noProof/>
                <w:color w:val="000000"/>
                <w:szCs w:val="22"/>
                <w:lang w:val="hu-HU"/>
              </w:rPr>
              <w:t>Gyakori:</w:t>
            </w:r>
          </w:p>
        </w:tc>
        <w:tc>
          <w:tcPr>
            <w:tcW w:w="7087" w:type="dxa"/>
          </w:tcPr>
          <w:p w14:paraId="1E828283" w14:textId="77777777" w:rsidR="00153AD1" w:rsidRPr="00556B9B" w:rsidRDefault="00153AD1" w:rsidP="00F926B9">
            <w:pPr>
              <w:keepNext/>
              <w:rPr>
                <w:color w:val="000000"/>
              </w:rPr>
            </w:pPr>
            <w:r w:rsidRPr="00556B9B">
              <w:rPr>
                <w:rFonts w:cs="Times New Roman"/>
                <w:color w:val="000000"/>
                <w:szCs w:val="22"/>
                <w:lang w:val="hu-HU"/>
              </w:rPr>
              <w:t>Dyspnoe, orrvérzés, köhögés</w:t>
            </w:r>
          </w:p>
        </w:tc>
      </w:tr>
      <w:tr w:rsidR="00153AD1" w:rsidRPr="00556B9B" w14:paraId="05BBF4AE" w14:textId="77777777" w:rsidTr="00F926B9">
        <w:trPr>
          <w:cantSplit/>
        </w:trPr>
        <w:tc>
          <w:tcPr>
            <w:tcW w:w="2235" w:type="dxa"/>
          </w:tcPr>
          <w:p w14:paraId="0E7F8C1F" w14:textId="77777777" w:rsidR="00153AD1" w:rsidRPr="00556B9B" w:rsidRDefault="00153AD1" w:rsidP="00F926B9">
            <w:pPr>
              <w:keepNext/>
              <w:rPr>
                <w:i/>
                <w:iCs/>
                <w:color w:val="000000"/>
              </w:rPr>
            </w:pPr>
            <w:r w:rsidRPr="00556B9B">
              <w:rPr>
                <w:i/>
                <w:iCs/>
                <w:noProof/>
                <w:color w:val="000000"/>
                <w:szCs w:val="22"/>
                <w:lang w:val="hu-HU"/>
              </w:rPr>
              <w:t>Nem gyakori:</w:t>
            </w:r>
          </w:p>
        </w:tc>
        <w:tc>
          <w:tcPr>
            <w:tcW w:w="7087" w:type="dxa"/>
          </w:tcPr>
          <w:p w14:paraId="4E2F4020" w14:textId="77777777" w:rsidR="00153AD1" w:rsidRPr="00556B9B" w:rsidRDefault="00153AD1" w:rsidP="00F926B9">
            <w:pPr>
              <w:keepNext/>
              <w:rPr>
                <w:color w:val="000000"/>
              </w:rPr>
            </w:pPr>
            <w:r w:rsidRPr="00556B9B">
              <w:rPr>
                <w:rFonts w:cs="Times New Roman"/>
                <w:color w:val="000000"/>
                <w:szCs w:val="22"/>
                <w:lang w:val="hu-HU"/>
              </w:rPr>
              <w:t>Pleuralis folyadékgyülem</w:t>
            </w:r>
            <w:r w:rsidRPr="00556B9B">
              <w:rPr>
                <w:rFonts w:cs="Times New Roman"/>
                <w:color w:val="000000"/>
                <w:szCs w:val="22"/>
                <w:vertAlign w:val="superscript"/>
                <w:lang w:val="hu-HU"/>
              </w:rPr>
              <w:t>5</w:t>
            </w:r>
            <w:r w:rsidRPr="00556B9B">
              <w:rPr>
                <w:rFonts w:cs="Times New Roman"/>
                <w:color w:val="000000"/>
                <w:szCs w:val="22"/>
                <w:lang w:val="hu-HU"/>
              </w:rPr>
              <w:t>, pharyngolaryngealis fájdalom, pharyngitis</w:t>
            </w:r>
          </w:p>
        </w:tc>
      </w:tr>
      <w:tr w:rsidR="00153AD1" w:rsidRPr="00556B9B" w14:paraId="10B64817" w14:textId="77777777" w:rsidTr="00F926B9">
        <w:trPr>
          <w:cantSplit/>
        </w:trPr>
        <w:tc>
          <w:tcPr>
            <w:tcW w:w="2235" w:type="dxa"/>
          </w:tcPr>
          <w:p w14:paraId="16A65DA7" w14:textId="77777777" w:rsidR="00153AD1" w:rsidRPr="00556B9B" w:rsidRDefault="00153AD1" w:rsidP="00F926B9">
            <w:pPr>
              <w:keepNext/>
              <w:rPr>
                <w:i/>
                <w:iCs/>
                <w:color w:val="000000"/>
              </w:rPr>
            </w:pPr>
            <w:r w:rsidRPr="00556B9B">
              <w:rPr>
                <w:i/>
                <w:iCs/>
                <w:noProof/>
                <w:color w:val="000000"/>
                <w:szCs w:val="22"/>
                <w:lang w:val="hu-HU"/>
              </w:rPr>
              <w:t>Ritka:</w:t>
            </w:r>
          </w:p>
        </w:tc>
        <w:tc>
          <w:tcPr>
            <w:tcW w:w="7087" w:type="dxa"/>
          </w:tcPr>
          <w:p w14:paraId="07638A1E" w14:textId="77777777" w:rsidR="00153AD1" w:rsidRPr="00556B9B" w:rsidRDefault="00153AD1" w:rsidP="00F926B9">
            <w:pPr>
              <w:keepNext/>
              <w:rPr>
                <w:color w:val="000000"/>
              </w:rPr>
            </w:pPr>
            <w:r w:rsidRPr="00556B9B">
              <w:rPr>
                <w:rFonts w:cs="Times New Roman"/>
                <w:color w:val="000000"/>
                <w:szCs w:val="22"/>
                <w:lang w:val="hu-HU"/>
              </w:rPr>
              <w:t>Pleuralis fájdalom, tüdőfibrosis, pulmonalis hypertonia, tüdővérzés</w:t>
            </w:r>
          </w:p>
        </w:tc>
      </w:tr>
      <w:tr w:rsidR="004C3718" w:rsidRPr="00462020" w14:paraId="09E4803A" w14:textId="77777777" w:rsidTr="00F926B9">
        <w:trPr>
          <w:cantSplit/>
        </w:trPr>
        <w:tc>
          <w:tcPr>
            <w:tcW w:w="2235" w:type="dxa"/>
          </w:tcPr>
          <w:p w14:paraId="3BF84DC2" w14:textId="77777777" w:rsidR="004C3718" w:rsidRPr="00556B9B" w:rsidRDefault="004C3718" w:rsidP="00DF7747">
            <w:pPr>
              <w:rPr>
                <w:i/>
                <w:iCs/>
                <w:noProof/>
                <w:color w:val="000000"/>
                <w:szCs w:val="22"/>
                <w:lang w:val="hu-HU"/>
              </w:rPr>
            </w:pPr>
            <w:r w:rsidRPr="00556B9B">
              <w:rPr>
                <w:i/>
                <w:color w:val="000000"/>
              </w:rPr>
              <w:t>Nem ismert:</w:t>
            </w:r>
          </w:p>
        </w:tc>
        <w:tc>
          <w:tcPr>
            <w:tcW w:w="7087" w:type="dxa"/>
          </w:tcPr>
          <w:p w14:paraId="3FCBD62E" w14:textId="77777777" w:rsidR="004C3718" w:rsidRPr="00556B9B" w:rsidRDefault="004C3718" w:rsidP="00E94F2D">
            <w:pPr>
              <w:rPr>
                <w:rFonts w:cs="Times New Roman"/>
                <w:color w:val="000000"/>
                <w:szCs w:val="22"/>
                <w:lang w:val="hu-HU"/>
              </w:rPr>
            </w:pPr>
            <w:r w:rsidRPr="00556B9B">
              <w:rPr>
                <w:color w:val="000000"/>
                <w:lang w:val="hu-HU"/>
              </w:rPr>
              <w:t>Akut légzési elégtelenség</w:t>
            </w:r>
            <w:r w:rsidRPr="00556B9B">
              <w:rPr>
                <w:color w:val="000000"/>
                <w:vertAlign w:val="superscript"/>
                <w:lang w:val="hu-HU"/>
              </w:rPr>
              <w:t>1</w:t>
            </w:r>
            <w:r w:rsidR="00E94F2D" w:rsidRPr="00556B9B">
              <w:rPr>
                <w:color w:val="000000"/>
                <w:vertAlign w:val="superscript"/>
                <w:lang w:val="hu-HU"/>
              </w:rPr>
              <w:t>1</w:t>
            </w:r>
            <w:r w:rsidRPr="00556B9B">
              <w:rPr>
                <w:color w:val="000000"/>
                <w:lang w:val="hu-HU"/>
              </w:rPr>
              <w:t>*, interstitialis tüdőbetegség*</w:t>
            </w:r>
          </w:p>
        </w:tc>
      </w:tr>
      <w:tr w:rsidR="00153AD1" w:rsidRPr="00556B9B" w14:paraId="13DBB53A" w14:textId="77777777" w:rsidTr="00F926B9">
        <w:trPr>
          <w:cantSplit/>
        </w:trPr>
        <w:tc>
          <w:tcPr>
            <w:tcW w:w="9322" w:type="dxa"/>
            <w:gridSpan w:val="2"/>
          </w:tcPr>
          <w:p w14:paraId="1E17D88F" w14:textId="77777777" w:rsidR="00153AD1" w:rsidRPr="00556B9B" w:rsidRDefault="00153AD1" w:rsidP="00F926B9">
            <w:pPr>
              <w:keepNext/>
              <w:rPr>
                <w:color w:val="000000"/>
                <w:lang w:val="fr-FR"/>
              </w:rPr>
            </w:pPr>
            <w:r w:rsidRPr="00556B9B">
              <w:rPr>
                <w:rFonts w:cs="Times New Roman"/>
                <w:b/>
                <w:color w:val="000000"/>
                <w:szCs w:val="22"/>
                <w:lang w:val="hu-HU"/>
              </w:rPr>
              <w:t>Emésztőrendszeri betegségek és tünetek</w:t>
            </w:r>
          </w:p>
        </w:tc>
      </w:tr>
      <w:tr w:rsidR="00153AD1" w:rsidRPr="00556B9B" w14:paraId="21C39DF5" w14:textId="77777777" w:rsidTr="00F926B9">
        <w:trPr>
          <w:cantSplit/>
        </w:trPr>
        <w:tc>
          <w:tcPr>
            <w:tcW w:w="2235" w:type="dxa"/>
          </w:tcPr>
          <w:p w14:paraId="6EC42C49" w14:textId="77777777" w:rsidR="00153AD1" w:rsidRPr="00556B9B" w:rsidRDefault="00153AD1" w:rsidP="00F926B9">
            <w:pPr>
              <w:keepNext/>
              <w:rPr>
                <w:i/>
                <w:iCs/>
                <w:color w:val="000000"/>
              </w:rPr>
            </w:pPr>
            <w:r w:rsidRPr="00556B9B">
              <w:rPr>
                <w:rFonts w:cs="Times New Roman"/>
                <w:i/>
                <w:iCs/>
                <w:noProof/>
                <w:color w:val="000000"/>
                <w:szCs w:val="22"/>
                <w:lang w:val="hu-HU"/>
              </w:rPr>
              <w:t>Nagyon gyakori:</w:t>
            </w:r>
          </w:p>
        </w:tc>
        <w:tc>
          <w:tcPr>
            <w:tcW w:w="7087" w:type="dxa"/>
          </w:tcPr>
          <w:p w14:paraId="76E3F1E4" w14:textId="77777777" w:rsidR="00153AD1" w:rsidRPr="00556B9B" w:rsidRDefault="00153AD1" w:rsidP="00F926B9">
            <w:pPr>
              <w:keepNext/>
              <w:rPr>
                <w:color w:val="000000"/>
              </w:rPr>
            </w:pPr>
            <w:r w:rsidRPr="00556B9B">
              <w:rPr>
                <w:rFonts w:cs="Times New Roman"/>
                <w:color w:val="000000"/>
                <w:szCs w:val="22"/>
                <w:lang w:val="hu-HU"/>
              </w:rPr>
              <w:t>Hányinger, hasmenés, hányás, dyspepsia, hasi fájdalom</w:t>
            </w:r>
            <w:r w:rsidRPr="00556B9B">
              <w:rPr>
                <w:rFonts w:cs="Times New Roman"/>
                <w:color w:val="000000"/>
                <w:szCs w:val="22"/>
                <w:vertAlign w:val="superscript"/>
                <w:lang w:val="hu-HU"/>
              </w:rPr>
              <w:t>6</w:t>
            </w:r>
          </w:p>
        </w:tc>
      </w:tr>
      <w:tr w:rsidR="00153AD1" w:rsidRPr="00556B9B" w14:paraId="67E77715" w14:textId="77777777" w:rsidTr="00F926B9">
        <w:trPr>
          <w:cantSplit/>
        </w:trPr>
        <w:tc>
          <w:tcPr>
            <w:tcW w:w="2235" w:type="dxa"/>
          </w:tcPr>
          <w:p w14:paraId="688F89A8" w14:textId="77777777" w:rsidR="00153AD1" w:rsidRPr="00556B9B" w:rsidRDefault="00153AD1" w:rsidP="00F926B9">
            <w:pPr>
              <w:keepNext/>
              <w:rPr>
                <w:i/>
                <w:iCs/>
                <w:color w:val="000000"/>
              </w:rPr>
            </w:pPr>
            <w:r w:rsidRPr="00556B9B">
              <w:rPr>
                <w:rFonts w:cs="Times New Roman"/>
                <w:i/>
                <w:iCs/>
                <w:noProof/>
                <w:color w:val="000000"/>
                <w:szCs w:val="22"/>
                <w:lang w:val="hu-HU"/>
              </w:rPr>
              <w:t>Gyakori:</w:t>
            </w:r>
          </w:p>
        </w:tc>
        <w:tc>
          <w:tcPr>
            <w:tcW w:w="7087" w:type="dxa"/>
          </w:tcPr>
          <w:p w14:paraId="65A0E113" w14:textId="77777777" w:rsidR="00153AD1" w:rsidRPr="00556B9B" w:rsidRDefault="00153AD1" w:rsidP="00F926B9">
            <w:pPr>
              <w:keepNext/>
              <w:rPr>
                <w:color w:val="000000"/>
              </w:rPr>
            </w:pPr>
            <w:r w:rsidRPr="00556B9B">
              <w:rPr>
                <w:rFonts w:cs="Times New Roman"/>
                <w:color w:val="000000"/>
                <w:szCs w:val="22"/>
                <w:lang w:val="hu-HU"/>
              </w:rPr>
              <w:t>Flatulentia, haspuffadás, gastro-oesophagealis reflux, obstipatio, szájszárazság, gastritis</w:t>
            </w:r>
          </w:p>
        </w:tc>
      </w:tr>
      <w:tr w:rsidR="00153AD1" w:rsidRPr="00556B9B" w14:paraId="71CF8E2E" w14:textId="77777777" w:rsidTr="00F926B9">
        <w:trPr>
          <w:cantSplit/>
        </w:trPr>
        <w:tc>
          <w:tcPr>
            <w:tcW w:w="2235" w:type="dxa"/>
          </w:tcPr>
          <w:p w14:paraId="35D05106" w14:textId="77777777" w:rsidR="00153AD1" w:rsidRPr="00556B9B" w:rsidRDefault="00153AD1" w:rsidP="00F926B9">
            <w:pPr>
              <w:keepNext/>
              <w:rPr>
                <w:i/>
                <w:iCs/>
                <w:color w:val="000000"/>
              </w:rPr>
            </w:pPr>
            <w:r w:rsidRPr="00556B9B">
              <w:rPr>
                <w:i/>
                <w:iCs/>
                <w:noProof/>
                <w:color w:val="000000"/>
                <w:szCs w:val="22"/>
                <w:lang w:val="hu-HU"/>
              </w:rPr>
              <w:t>Nem gyakori:</w:t>
            </w:r>
          </w:p>
        </w:tc>
        <w:tc>
          <w:tcPr>
            <w:tcW w:w="7087" w:type="dxa"/>
          </w:tcPr>
          <w:p w14:paraId="13C11857" w14:textId="77777777" w:rsidR="00153AD1" w:rsidRPr="00556B9B" w:rsidRDefault="00153AD1" w:rsidP="00F926B9">
            <w:pPr>
              <w:keepNext/>
              <w:rPr>
                <w:color w:val="000000"/>
              </w:rPr>
            </w:pPr>
            <w:r w:rsidRPr="00556B9B">
              <w:rPr>
                <w:rFonts w:cs="Times New Roman"/>
                <w:color w:val="000000"/>
                <w:szCs w:val="22"/>
                <w:lang w:val="hu-HU"/>
              </w:rPr>
              <w:t>Stomatitis, szájüregi fekélyek, gastrointestinalis vérzés</w:t>
            </w:r>
            <w:r w:rsidRPr="00556B9B">
              <w:rPr>
                <w:rFonts w:cs="Times New Roman"/>
                <w:color w:val="000000"/>
                <w:szCs w:val="22"/>
                <w:vertAlign w:val="superscript"/>
                <w:lang w:val="hu-HU"/>
              </w:rPr>
              <w:t>7</w:t>
            </w:r>
            <w:r w:rsidRPr="00556B9B">
              <w:rPr>
                <w:rFonts w:cs="Times New Roman"/>
                <w:color w:val="000000"/>
                <w:szCs w:val="22"/>
                <w:lang w:val="hu-HU"/>
              </w:rPr>
              <w:t>, eructatio, melaena, oesophagitis, ascites, gyomorfekély, haematemesis, cheilitis, dysphagia, pancreatitis</w:t>
            </w:r>
          </w:p>
        </w:tc>
      </w:tr>
      <w:tr w:rsidR="00153AD1" w:rsidRPr="00556B9B" w14:paraId="6FE1C0CE" w14:textId="77777777" w:rsidTr="00F926B9">
        <w:trPr>
          <w:cantSplit/>
        </w:trPr>
        <w:tc>
          <w:tcPr>
            <w:tcW w:w="2235" w:type="dxa"/>
          </w:tcPr>
          <w:p w14:paraId="428E6CFA" w14:textId="77777777" w:rsidR="00153AD1" w:rsidRPr="00556B9B" w:rsidRDefault="00153AD1" w:rsidP="00F926B9">
            <w:pPr>
              <w:keepNext/>
              <w:rPr>
                <w:i/>
                <w:iCs/>
                <w:color w:val="000000"/>
              </w:rPr>
            </w:pPr>
            <w:r w:rsidRPr="00556B9B">
              <w:rPr>
                <w:i/>
                <w:iCs/>
                <w:noProof/>
                <w:color w:val="000000"/>
                <w:szCs w:val="22"/>
                <w:lang w:val="hu-HU"/>
              </w:rPr>
              <w:t>Ritka:</w:t>
            </w:r>
          </w:p>
        </w:tc>
        <w:tc>
          <w:tcPr>
            <w:tcW w:w="7087" w:type="dxa"/>
          </w:tcPr>
          <w:p w14:paraId="6CF78CCF" w14:textId="77777777" w:rsidR="00153AD1" w:rsidRPr="00556B9B" w:rsidRDefault="00153AD1" w:rsidP="00F926B9">
            <w:pPr>
              <w:keepNext/>
              <w:rPr>
                <w:snapToGrid w:val="0"/>
                <w:color w:val="000000"/>
                <w:szCs w:val="22"/>
                <w:lang w:val="en-US"/>
              </w:rPr>
            </w:pPr>
            <w:r w:rsidRPr="00556B9B">
              <w:rPr>
                <w:rFonts w:cs="Times New Roman"/>
                <w:color w:val="000000"/>
                <w:szCs w:val="22"/>
                <w:lang w:val="hu-HU"/>
              </w:rPr>
              <w:t>Colitis, ileus, gyulladásos bélbetegség</w:t>
            </w:r>
          </w:p>
        </w:tc>
      </w:tr>
      <w:tr w:rsidR="004C3718" w:rsidRPr="00556B9B" w14:paraId="7EEAB247" w14:textId="77777777" w:rsidTr="00F926B9">
        <w:trPr>
          <w:cantSplit/>
        </w:trPr>
        <w:tc>
          <w:tcPr>
            <w:tcW w:w="2235" w:type="dxa"/>
          </w:tcPr>
          <w:p w14:paraId="42AE9659" w14:textId="77777777" w:rsidR="004C3718" w:rsidRPr="00556B9B" w:rsidRDefault="004C3718" w:rsidP="00DF7747">
            <w:pPr>
              <w:rPr>
                <w:i/>
                <w:iCs/>
                <w:noProof/>
                <w:color w:val="000000"/>
                <w:szCs w:val="22"/>
                <w:lang w:val="hu-HU"/>
              </w:rPr>
            </w:pPr>
            <w:r w:rsidRPr="00556B9B">
              <w:rPr>
                <w:i/>
                <w:color w:val="000000"/>
              </w:rPr>
              <w:t>Nem ismert:</w:t>
            </w:r>
          </w:p>
        </w:tc>
        <w:tc>
          <w:tcPr>
            <w:tcW w:w="7087" w:type="dxa"/>
          </w:tcPr>
          <w:p w14:paraId="3ECAA362" w14:textId="77777777" w:rsidR="004C3718" w:rsidRPr="00556B9B" w:rsidRDefault="004C3718" w:rsidP="00DF7747">
            <w:pPr>
              <w:rPr>
                <w:rFonts w:cs="Times New Roman"/>
                <w:color w:val="000000"/>
                <w:szCs w:val="22"/>
                <w:lang w:val="hu-HU"/>
              </w:rPr>
            </w:pPr>
            <w:r w:rsidRPr="00556B9B">
              <w:rPr>
                <w:color w:val="000000"/>
              </w:rPr>
              <w:t>Ileus/bélelzáródás*, gastrointestinalis perforatio*, diverticulitis*, gastricus antralis vascularis ectasia (GAVE)*</w:t>
            </w:r>
          </w:p>
        </w:tc>
      </w:tr>
      <w:tr w:rsidR="00153AD1" w:rsidRPr="00556B9B" w14:paraId="2B8BE556" w14:textId="77777777" w:rsidTr="00F926B9">
        <w:trPr>
          <w:cantSplit/>
        </w:trPr>
        <w:tc>
          <w:tcPr>
            <w:tcW w:w="9322" w:type="dxa"/>
            <w:gridSpan w:val="2"/>
          </w:tcPr>
          <w:p w14:paraId="0CC6392B" w14:textId="77777777" w:rsidR="00153AD1" w:rsidRPr="00556B9B" w:rsidRDefault="00153AD1" w:rsidP="00F926B9">
            <w:pPr>
              <w:keepNext/>
              <w:rPr>
                <w:snapToGrid w:val="0"/>
                <w:color w:val="000000"/>
                <w:szCs w:val="22"/>
              </w:rPr>
            </w:pPr>
            <w:r w:rsidRPr="00556B9B">
              <w:rPr>
                <w:b/>
                <w:color w:val="000000"/>
                <w:szCs w:val="22"/>
                <w:lang w:val="hu-HU"/>
              </w:rPr>
              <w:t>Máj- és epebetegségek, illetve tünetek</w:t>
            </w:r>
          </w:p>
        </w:tc>
      </w:tr>
      <w:tr w:rsidR="00153AD1" w:rsidRPr="00556B9B" w14:paraId="4F9E0481" w14:textId="77777777" w:rsidTr="00F926B9">
        <w:trPr>
          <w:cantSplit/>
        </w:trPr>
        <w:tc>
          <w:tcPr>
            <w:tcW w:w="2235" w:type="dxa"/>
          </w:tcPr>
          <w:p w14:paraId="30E9EF5B" w14:textId="77777777" w:rsidR="00153AD1" w:rsidRPr="00556B9B" w:rsidRDefault="00153AD1" w:rsidP="00F926B9">
            <w:pPr>
              <w:keepNext/>
              <w:rPr>
                <w:i/>
                <w:iCs/>
                <w:color w:val="000000"/>
                <w:szCs w:val="22"/>
              </w:rPr>
            </w:pPr>
            <w:r w:rsidRPr="00556B9B">
              <w:rPr>
                <w:rFonts w:cs="Times New Roman"/>
                <w:i/>
                <w:iCs/>
                <w:noProof/>
                <w:color w:val="000000"/>
                <w:szCs w:val="22"/>
                <w:lang w:val="hu-HU"/>
              </w:rPr>
              <w:t>Gyakori:</w:t>
            </w:r>
          </w:p>
        </w:tc>
        <w:tc>
          <w:tcPr>
            <w:tcW w:w="7087" w:type="dxa"/>
          </w:tcPr>
          <w:p w14:paraId="19904B1B" w14:textId="77777777" w:rsidR="00153AD1" w:rsidRPr="00556B9B" w:rsidRDefault="00153AD1" w:rsidP="00F926B9">
            <w:pPr>
              <w:keepNext/>
              <w:rPr>
                <w:color w:val="000000"/>
                <w:szCs w:val="22"/>
              </w:rPr>
            </w:pPr>
            <w:r w:rsidRPr="00556B9B">
              <w:rPr>
                <w:rFonts w:cs="Times New Roman"/>
                <w:color w:val="000000"/>
                <w:szCs w:val="22"/>
                <w:lang w:val="hu-HU"/>
              </w:rPr>
              <w:t>A májenzimek szintjének emelkedése</w:t>
            </w:r>
          </w:p>
        </w:tc>
      </w:tr>
      <w:tr w:rsidR="00153AD1" w:rsidRPr="00556B9B" w14:paraId="66D53BDA" w14:textId="77777777" w:rsidTr="00F926B9">
        <w:trPr>
          <w:cantSplit/>
        </w:trPr>
        <w:tc>
          <w:tcPr>
            <w:tcW w:w="2235" w:type="dxa"/>
          </w:tcPr>
          <w:p w14:paraId="7C1F9D74" w14:textId="77777777" w:rsidR="00153AD1" w:rsidRPr="00556B9B" w:rsidRDefault="00153AD1" w:rsidP="00F926B9">
            <w:pPr>
              <w:keepNext/>
              <w:rPr>
                <w:i/>
                <w:iCs/>
                <w:color w:val="000000"/>
                <w:szCs w:val="22"/>
              </w:rPr>
            </w:pPr>
            <w:r w:rsidRPr="00556B9B">
              <w:rPr>
                <w:i/>
                <w:iCs/>
                <w:noProof/>
                <w:color w:val="000000"/>
                <w:szCs w:val="22"/>
                <w:lang w:val="hu-HU"/>
              </w:rPr>
              <w:t>Nem gyakori</w:t>
            </w:r>
            <w:r w:rsidRPr="00556B9B">
              <w:rPr>
                <w:i/>
                <w:iCs/>
                <w:color w:val="000000"/>
                <w:szCs w:val="22"/>
              </w:rPr>
              <w:t>:</w:t>
            </w:r>
          </w:p>
        </w:tc>
        <w:tc>
          <w:tcPr>
            <w:tcW w:w="7087" w:type="dxa"/>
          </w:tcPr>
          <w:p w14:paraId="63E86E1D" w14:textId="77777777" w:rsidR="00153AD1" w:rsidRPr="00556B9B" w:rsidRDefault="00153AD1" w:rsidP="00F926B9">
            <w:pPr>
              <w:keepNext/>
              <w:rPr>
                <w:color w:val="000000"/>
                <w:szCs w:val="22"/>
              </w:rPr>
            </w:pPr>
            <w:r w:rsidRPr="00556B9B">
              <w:rPr>
                <w:rFonts w:cs="Times New Roman"/>
                <w:color w:val="000000"/>
                <w:szCs w:val="22"/>
                <w:lang w:val="hu-HU"/>
              </w:rPr>
              <w:t>Hyperbilirubinaemia, hepatitis, icterus</w:t>
            </w:r>
          </w:p>
        </w:tc>
      </w:tr>
      <w:tr w:rsidR="00153AD1" w:rsidRPr="00556B9B" w14:paraId="00837A33" w14:textId="77777777" w:rsidTr="00F926B9">
        <w:trPr>
          <w:cantSplit/>
        </w:trPr>
        <w:tc>
          <w:tcPr>
            <w:tcW w:w="2235" w:type="dxa"/>
          </w:tcPr>
          <w:p w14:paraId="1D661AED" w14:textId="77777777" w:rsidR="00153AD1" w:rsidRPr="00556B9B" w:rsidRDefault="00153AD1" w:rsidP="00DF7747">
            <w:pPr>
              <w:rPr>
                <w:i/>
                <w:iCs/>
                <w:color w:val="000000"/>
                <w:szCs w:val="22"/>
              </w:rPr>
            </w:pPr>
            <w:r w:rsidRPr="00556B9B">
              <w:rPr>
                <w:i/>
                <w:iCs/>
                <w:noProof/>
                <w:color w:val="000000"/>
                <w:szCs w:val="22"/>
                <w:lang w:val="hu-HU"/>
              </w:rPr>
              <w:t>Ritka:</w:t>
            </w:r>
          </w:p>
        </w:tc>
        <w:tc>
          <w:tcPr>
            <w:tcW w:w="7087" w:type="dxa"/>
          </w:tcPr>
          <w:p w14:paraId="7123ABD2" w14:textId="77777777" w:rsidR="00153AD1" w:rsidRPr="00556B9B" w:rsidRDefault="00153AD1" w:rsidP="00DF7747">
            <w:pPr>
              <w:rPr>
                <w:color w:val="000000"/>
                <w:szCs w:val="22"/>
              </w:rPr>
            </w:pPr>
            <w:r w:rsidRPr="00556B9B">
              <w:rPr>
                <w:rFonts w:cs="Times New Roman"/>
                <w:color w:val="000000"/>
                <w:szCs w:val="22"/>
                <w:lang w:val="hu-HU"/>
              </w:rPr>
              <w:t>Májelégtelenség</w:t>
            </w:r>
            <w:r w:rsidRPr="00556B9B">
              <w:rPr>
                <w:rFonts w:cs="Times New Roman"/>
                <w:color w:val="000000"/>
                <w:szCs w:val="22"/>
                <w:vertAlign w:val="superscript"/>
                <w:lang w:val="hu-HU"/>
              </w:rPr>
              <w:t>8</w:t>
            </w:r>
            <w:r w:rsidRPr="00556B9B">
              <w:rPr>
                <w:rFonts w:cs="Times New Roman"/>
                <w:color w:val="000000"/>
                <w:szCs w:val="22"/>
                <w:lang w:val="hu-HU"/>
              </w:rPr>
              <w:t>, májnecrosis</w:t>
            </w:r>
          </w:p>
        </w:tc>
      </w:tr>
      <w:tr w:rsidR="00153AD1" w:rsidRPr="00556B9B" w14:paraId="7374C98D" w14:textId="77777777" w:rsidTr="00F926B9">
        <w:trPr>
          <w:cantSplit/>
        </w:trPr>
        <w:tc>
          <w:tcPr>
            <w:tcW w:w="9322" w:type="dxa"/>
            <w:gridSpan w:val="2"/>
          </w:tcPr>
          <w:p w14:paraId="4EF3A103" w14:textId="77777777" w:rsidR="00153AD1" w:rsidRPr="00556B9B" w:rsidRDefault="00153AD1" w:rsidP="00F926B9">
            <w:pPr>
              <w:keepNext/>
              <w:rPr>
                <w:color w:val="000000"/>
              </w:rPr>
            </w:pPr>
            <w:r w:rsidRPr="00556B9B">
              <w:rPr>
                <w:b/>
                <w:color w:val="000000"/>
                <w:szCs w:val="22"/>
                <w:lang w:val="hu-HU"/>
              </w:rPr>
              <w:t>A bőr és a bőr alatti szövet betegségei és tünetei</w:t>
            </w:r>
          </w:p>
        </w:tc>
      </w:tr>
      <w:tr w:rsidR="00153AD1" w:rsidRPr="00556B9B" w14:paraId="43FE953F" w14:textId="77777777" w:rsidTr="00F926B9">
        <w:trPr>
          <w:cantSplit/>
        </w:trPr>
        <w:tc>
          <w:tcPr>
            <w:tcW w:w="2235" w:type="dxa"/>
          </w:tcPr>
          <w:p w14:paraId="62652D3E" w14:textId="77777777" w:rsidR="00153AD1" w:rsidRPr="00556B9B" w:rsidRDefault="00153AD1" w:rsidP="00F926B9">
            <w:pPr>
              <w:keepNext/>
              <w:rPr>
                <w:i/>
                <w:iCs/>
                <w:color w:val="000000"/>
              </w:rPr>
            </w:pPr>
            <w:r w:rsidRPr="00556B9B">
              <w:rPr>
                <w:rFonts w:cs="Times New Roman"/>
                <w:i/>
                <w:iCs/>
                <w:noProof/>
                <w:color w:val="000000"/>
                <w:szCs w:val="22"/>
                <w:lang w:val="hu-HU"/>
              </w:rPr>
              <w:t>Nagyon gyakori</w:t>
            </w:r>
            <w:r w:rsidRPr="00556B9B">
              <w:rPr>
                <w:i/>
                <w:iCs/>
                <w:color w:val="000000"/>
                <w:szCs w:val="22"/>
              </w:rPr>
              <w:t>:</w:t>
            </w:r>
          </w:p>
        </w:tc>
        <w:tc>
          <w:tcPr>
            <w:tcW w:w="7087" w:type="dxa"/>
          </w:tcPr>
          <w:p w14:paraId="5E8589A6" w14:textId="77777777" w:rsidR="00153AD1" w:rsidRPr="00556B9B" w:rsidRDefault="00153AD1" w:rsidP="00F926B9">
            <w:pPr>
              <w:keepNext/>
              <w:rPr>
                <w:color w:val="000000"/>
                <w:lang w:val="pt-PT"/>
              </w:rPr>
            </w:pPr>
            <w:r w:rsidRPr="00556B9B">
              <w:rPr>
                <w:rFonts w:cs="Times New Roman"/>
                <w:color w:val="000000"/>
                <w:szCs w:val="22"/>
                <w:lang w:val="hu-HU"/>
              </w:rPr>
              <w:t>Periorbitalis ödéma, dermatitis/ekzema/bőrkiütés</w:t>
            </w:r>
          </w:p>
        </w:tc>
      </w:tr>
      <w:tr w:rsidR="00153AD1" w:rsidRPr="00556B9B" w14:paraId="51EA0B23" w14:textId="77777777" w:rsidTr="00F926B9">
        <w:trPr>
          <w:cantSplit/>
        </w:trPr>
        <w:tc>
          <w:tcPr>
            <w:tcW w:w="2235" w:type="dxa"/>
          </w:tcPr>
          <w:p w14:paraId="18B079F7" w14:textId="77777777" w:rsidR="00153AD1" w:rsidRPr="00556B9B" w:rsidRDefault="00153AD1" w:rsidP="00F926B9">
            <w:pPr>
              <w:keepNext/>
              <w:rPr>
                <w:i/>
                <w:iCs/>
                <w:color w:val="000000"/>
              </w:rPr>
            </w:pPr>
            <w:r w:rsidRPr="00556B9B">
              <w:rPr>
                <w:rFonts w:cs="Times New Roman"/>
                <w:i/>
                <w:iCs/>
                <w:noProof/>
                <w:color w:val="000000"/>
                <w:szCs w:val="22"/>
                <w:lang w:val="hu-HU"/>
              </w:rPr>
              <w:t>Gyakori:</w:t>
            </w:r>
          </w:p>
        </w:tc>
        <w:tc>
          <w:tcPr>
            <w:tcW w:w="7087" w:type="dxa"/>
          </w:tcPr>
          <w:p w14:paraId="4543B7AC" w14:textId="77777777" w:rsidR="00153AD1" w:rsidRPr="00556B9B" w:rsidRDefault="00153AD1" w:rsidP="00F926B9">
            <w:pPr>
              <w:keepNext/>
              <w:rPr>
                <w:color w:val="000000"/>
              </w:rPr>
            </w:pPr>
            <w:r w:rsidRPr="00556B9B">
              <w:rPr>
                <w:rFonts w:cs="Times New Roman"/>
                <w:color w:val="000000"/>
                <w:szCs w:val="22"/>
                <w:lang w:val="hu-HU"/>
              </w:rPr>
              <w:t>Pruritus, arcödéma, bőrszárazság, erythema, alopecia, éjszakai izzadás, fényérzékenységi reakció</w:t>
            </w:r>
          </w:p>
        </w:tc>
      </w:tr>
      <w:tr w:rsidR="00153AD1" w:rsidRPr="00556B9B" w14:paraId="761DF06C" w14:textId="77777777" w:rsidTr="00F926B9">
        <w:trPr>
          <w:cantSplit/>
        </w:trPr>
        <w:tc>
          <w:tcPr>
            <w:tcW w:w="2235" w:type="dxa"/>
          </w:tcPr>
          <w:p w14:paraId="1ABA2CC3" w14:textId="77777777" w:rsidR="00153AD1" w:rsidRPr="00556B9B" w:rsidRDefault="00153AD1" w:rsidP="00F926B9">
            <w:pPr>
              <w:keepNext/>
              <w:rPr>
                <w:i/>
                <w:iCs/>
                <w:color w:val="000000"/>
              </w:rPr>
            </w:pPr>
            <w:r w:rsidRPr="00556B9B">
              <w:rPr>
                <w:i/>
                <w:iCs/>
                <w:noProof/>
                <w:color w:val="000000"/>
                <w:szCs w:val="22"/>
                <w:lang w:val="hu-HU"/>
              </w:rPr>
              <w:t>Nem gyakori:</w:t>
            </w:r>
          </w:p>
        </w:tc>
        <w:tc>
          <w:tcPr>
            <w:tcW w:w="7087" w:type="dxa"/>
          </w:tcPr>
          <w:p w14:paraId="7353EFA8" w14:textId="77777777" w:rsidR="00153AD1" w:rsidRPr="007C3BCA" w:rsidRDefault="00153AD1" w:rsidP="00F926B9">
            <w:pPr>
              <w:keepNext/>
              <w:rPr>
                <w:color w:val="000000"/>
                <w:szCs w:val="22"/>
              </w:rPr>
            </w:pPr>
            <w:r w:rsidRPr="007C3BCA">
              <w:rPr>
                <w:rFonts w:cs="Times New Roman"/>
                <w:color w:val="000000"/>
                <w:szCs w:val="22"/>
                <w:lang w:val="hu-HU"/>
              </w:rPr>
              <w:t>Pustulosus bőrkiütés, véraláfutás, fokozott izzadás, urticaria, ecchymosis, bőrvérzések, hypotrichosis, bőr hypopigmentatio, exfoliatív dermatitis, onychoclasia, folliculitis, petechiák, psoriasis, purpura, bőr hyperpigmentatio, bullosus bőrkiütés</w:t>
            </w:r>
          </w:p>
        </w:tc>
      </w:tr>
      <w:tr w:rsidR="00153AD1" w:rsidRPr="00556B9B" w14:paraId="5E82E1EF" w14:textId="77777777" w:rsidTr="00F926B9">
        <w:trPr>
          <w:cantSplit/>
        </w:trPr>
        <w:tc>
          <w:tcPr>
            <w:tcW w:w="2235" w:type="dxa"/>
          </w:tcPr>
          <w:p w14:paraId="759D4AC1" w14:textId="77777777" w:rsidR="00153AD1" w:rsidRPr="00556B9B" w:rsidRDefault="00153AD1" w:rsidP="00F926B9">
            <w:pPr>
              <w:keepNext/>
              <w:rPr>
                <w:i/>
                <w:iCs/>
                <w:color w:val="000000"/>
              </w:rPr>
            </w:pPr>
            <w:r w:rsidRPr="00556B9B">
              <w:rPr>
                <w:i/>
                <w:iCs/>
                <w:noProof/>
                <w:color w:val="000000"/>
                <w:szCs w:val="22"/>
                <w:lang w:val="hu-HU"/>
              </w:rPr>
              <w:t>Ritka:</w:t>
            </w:r>
          </w:p>
        </w:tc>
        <w:tc>
          <w:tcPr>
            <w:tcW w:w="7087" w:type="dxa"/>
          </w:tcPr>
          <w:p w14:paraId="2E49C121" w14:textId="5D692E66" w:rsidR="00153AD1" w:rsidRPr="007C3BCA" w:rsidRDefault="00153AD1" w:rsidP="00F926B9">
            <w:pPr>
              <w:keepNext/>
              <w:rPr>
                <w:color w:val="000000"/>
              </w:rPr>
            </w:pPr>
            <w:r w:rsidRPr="007C3BCA">
              <w:rPr>
                <w:rFonts w:cs="Times New Roman"/>
                <w:color w:val="000000"/>
                <w:szCs w:val="22"/>
                <w:lang w:val="hu-HU"/>
              </w:rPr>
              <w:t xml:space="preserve">Akut lázas neutrophil dermatosis (Sweet-szindróma), a körmök elszíneződése, angioödéma, </w:t>
            </w:r>
            <w:r w:rsidR="00930F69" w:rsidRPr="007C3BCA">
              <w:rPr>
                <w:rFonts w:cs="Times New Roman"/>
                <w:color w:val="000000"/>
                <w:szCs w:val="22"/>
                <w:lang w:val="hu-HU"/>
              </w:rPr>
              <w:t>vesicularis</w:t>
            </w:r>
            <w:r w:rsidRPr="007C3BCA">
              <w:rPr>
                <w:rFonts w:cs="Times New Roman"/>
                <w:color w:val="000000"/>
                <w:szCs w:val="22"/>
                <w:lang w:val="hu-HU"/>
              </w:rPr>
              <w:t xml:space="preserve"> bőrkiütés, erythema multiforme, leukocytoclasticus vasculitis, Stevens—Johnson-szindróma, akut, generalizált </w:t>
            </w:r>
            <w:r w:rsidRPr="007C3BCA">
              <w:rPr>
                <w:color w:val="000000"/>
                <w:szCs w:val="22"/>
              </w:rPr>
              <w:t>exanthematosus pustulosis (AGEP)</w:t>
            </w:r>
          </w:p>
        </w:tc>
      </w:tr>
      <w:tr w:rsidR="004C3718" w:rsidRPr="00462020" w14:paraId="1BF09517" w14:textId="77777777" w:rsidTr="00F926B9">
        <w:trPr>
          <w:cantSplit/>
        </w:trPr>
        <w:tc>
          <w:tcPr>
            <w:tcW w:w="2235" w:type="dxa"/>
          </w:tcPr>
          <w:p w14:paraId="5E226A95" w14:textId="77777777" w:rsidR="004C3718" w:rsidRPr="00556B9B" w:rsidRDefault="004C3718" w:rsidP="00DF7747">
            <w:pPr>
              <w:rPr>
                <w:i/>
                <w:iCs/>
                <w:noProof/>
                <w:color w:val="000000"/>
                <w:szCs w:val="22"/>
                <w:lang w:val="hu-HU"/>
              </w:rPr>
            </w:pPr>
            <w:r w:rsidRPr="00556B9B">
              <w:rPr>
                <w:i/>
                <w:color w:val="000000"/>
              </w:rPr>
              <w:t>Nem ismert:</w:t>
            </w:r>
          </w:p>
        </w:tc>
        <w:tc>
          <w:tcPr>
            <w:tcW w:w="7087" w:type="dxa"/>
          </w:tcPr>
          <w:p w14:paraId="695FD162" w14:textId="77777777" w:rsidR="004C3718" w:rsidRPr="00556B9B" w:rsidRDefault="004C3718" w:rsidP="00DF7747">
            <w:pPr>
              <w:rPr>
                <w:rFonts w:cs="Times New Roman"/>
                <w:color w:val="000000"/>
                <w:szCs w:val="22"/>
                <w:lang w:val="hu-HU"/>
              </w:rPr>
            </w:pPr>
            <w:r w:rsidRPr="00556B9B">
              <w:rPr>
                <w:color w:val="000000"/>
                <w:lang w:val="hu-HU"/>
              </w:rPr>
              <w:t>Palmo-plantaris erythrodysaesthesia szindróma*, lichenoid keratosis*, lichen planus*, toxicus epidermalis necrolysis*, eosinophiliával és szisztémás tünetekkel járó, gyógyszer okozta kiütés (DRESS)*</w:t>
            </w:r>
            <w:r w:rsidR="007948FC" w:rsidRPr="00BF3D9F">
              <w:rPr>
                <w:color w:val="000000"/>
                <w:szCs w:val="22"/>
                <w:lang w:val="hu-HU"/>
              </w:rPr>
              <w:t>, pseudoporphyria*</w:t>
            </w:r>
          </w:p>
        </w:tc>
      </w:tr>
      <w:tr w:rsidR="00153AD1" w:rsidRPr="00462020" w14:paraId="0EE125E2" w14:textId="77777777" w:rsidTr="00F926B9">
        <w:trPr>
          <w:cantSplit/>
        </w:trPr>
        <w:tc>
          <w:tcPr>
            <w:tcW w:w="9322" w:type="dxa"/>
            <w:gridSpan w:val="2"/>
          </w:tcPr>
          <w:p w14:paraId="779449D3" w14:textId="77777777" w:rsidR="00153AD1" w:rsidRPr="00556B9B" w:rsidRDefault="00153AD1" w:rsidP="00F926B9">
            <w:pPr>
              <w:keepNext/>
              <w:rPr>
                <w:color w:val="000000"/>
                <w:szCs w:val="22"/>
                <w:lang w:val="hu-HU"/>
              </w:rPr>
            </w:pPr>
            <w:r w:rsidRPr="00556B9B">
              <w:rPr>
                <w:b/>
                <w:color w:val="000000"/>
                <w:szCs w:val="22"/>
                <w:lang w:val="hu-HU"/>
              </w:rPr>
              <w:t>A csont- és izomrendszer, valamint a kötőszövet betegségei és tünetei</w:t>
            </w:r>
          </w:p>
        </w:tc>
      </w:tr>
      <w:tr w:rsidR="00153AD1" w:rsidRPr="00556B9B" w14:paraId="0BB05049" w14:textId="77777777" w:rsidTr="00F926B9">
        <w:trPr>
          <w:cantSplit/>
        </w:trPr>
        <w:tc>
          <w:tcPr>
            <w:tcW w:w="2235" w:type="dxa"/>
          </w:tcPr>
          <w:p w14:paraId="6E76F6E3" w14:textId="77777777" w:rsidR="00153AD1" w:rsidRPr="00556B9B" w:rsidRDefault="00153AD1" w:rsidP="00F926B9">
            <w:pPr>
              <w:keepNext/>
              <w:rPr>
                <w:i/>
                <w:iCs/>
                <w:color w:val="000000"/>
                <w:szCs w:val="22"/>
              </w:rPr>
            </w:pPr>
            <w:r w:rsidRPr="00556B9B">
              <w:rPr>
                <w:rFonts w:cs="Times New Roman"/>
                <w:i/>
                <w:iCs/>
                <w:noProof/>
                <w:color w:val="000000"/>
                <w:szCs w:val="22"/>
                <w:lang w:val="hu-HU"/>
              </w:rPr>
              <w:t>Nagyon gyakori:</w:t>
            </w:r>
          </w:p>
        </w:tc>
        <w:tc>
          <w:tcPr>
            <w:tcW w:w="7087" w:type="dxa"/>
          </w:tcPr>
          <w:p w14:paraId="64EA4D9C" w14:textId="77777777" w:rsidR="00153AD1" w:rsidRPr="00556B9B" w:rsidRDefault="00153AD1" w:rsidP="00F926B9">
            <w:pPr>
              <w:keepNext/>
              <w:rPr>
                <w:color w:val="000000"/>
                <w:szCs w:val="22"/>
              </w:rPr>
            </w:pPr>
            <w:r w:rsidRPr="00556B9B">
              <w:rPr>
                <w:rFonts w:cs="Times New Roman"/>
                <w:color w:val="000000"/>
                <w:szCs w:val="22"/>
                <w:lang w:val="hu-HU"/>
              </w:rPr>
              <w:t>Izomspazmus és görcs, musculoskeletalis fájdalom beleértve a myalgiát</w:t>
            </w:r>
            <w:r w:rsidR="00C064DB" w:rsidRPr="00556B9B">
              <w:rPr>
                <w:rFonts w:cs="Times New Roman"/>
                <w:color w:val="000000"/>
                <w:szCs w:val="22"/>
                <w:vertAlign w:val="superscript"/>
                <w:lang w:val="hu-HU"/>
              </w:rPr>
              <w:t>9</w:t>
            </w:r>
            <w:r w:rsidRPr="00556B9B">
              <w:rPr>
                <w:rFonts w:cs="Times New Roman"/>
                <w:color w:val="000000"/>
                <w:szCs w:val="22"/>
                <w:lang w:val="hu-HU"/>
              </w:rPr>
              <w:t>, arthralgiát és a csontfájdalmat</w:t>
            </w:r>
            <w:r w:rsidR="00C064DB" w:rsidRPr="00556B9B">
              <w:rPr>
                <w:rFonts w:cs="Times New Roman"/>
                <w:color w:val="000000"/>
                <w:szCs w:val="22"/>
                <w:vertAlign w:val="superscript"/>
                <w:lang w:val="hu-HU"/>
              </w:rPr>
              <w:t>10</w:t>
            </w:r>
          </w:p>
        </w:tc>
      </w:tr>
      <w:tr w:rsidR="00153AD1" w:rsidRPr="00556B9B" w14:paraId="444DE305" w14:textId="77777777" w:rsidTr="00F926B9">
        <w:trPr>
          <w:cantSplit/>
        </w:trPr>
        <w:tc>
          <w:tcPr>
            <w:tcW w:w="2235" w:type="dxa"/>
          </w:tcPr>
          <w:p w14:paraId="0604C89B" w14:textId="77777777" w:rsidR="00153AD1" w:rsidRPr="00556B9B" w:rsidRDefault="00153AD1" w:rsidP="00F926B9">
            <w:pPr>
              <w:keepNext/>
              <w:rPr>
                <w:i/>
                <w:iCs/>
                <w:color w:val="000000"/>
                <w:szCs w:val="22"/>
              </w:rPr>
            </w:pPr>
            <w:r w:rsidRPr="00556B9B">
              <w:rPr>
                <w:rFonts w:cs="Times New Roman"/>
                <w:i/>
                <w:iCs/>
                <w:noProof/>
                <w:color w:val="000000"/>
                <w:szCs w:val="22"/>
                <w:lang w:val="hu-HU"/>
              </w:rPr>
              <w:t>Gyakori</w:t>
            </w:r>
            <w:r w:rsidRPr="00556B9B">
              <w:rPr>
                <w:i/>
                <w:iCs/>
                <w:color w:val="000000"/>
                <w:szCs w:val="22"/>
              </w:rPr>
              <w:t>:</w:t>
            </w:r>
          </w:p>
        </w:tc>
        <w:tc>
          <w:tcPr>
            <w:tcW w:w="7087" w:type="dxa"/>
          </w:tcPr>
          <w:p w14:paraId="00908BC0" w14:textId="77777777" w:rsidR="00153AD1" w:rsidRPr="00556B9B" w:rsidRDefault="00153AD1" w:rsidP="00F926B9">
            <w:pPr>
              <w:keepNext/>
              <w:rPr>
                <w:color w:val="000000"/>
                <w:szCs w:val="22"/>
                <w:lang w:val="pt-PT"/>
              </w:rPr>
            </w:pPr>
            <w:r w:rsidRPr="00556B9B">
              <w:rPr>
                <w:rFonts w:cs="Times New Roman"/>
                <w:color w:val="000000"/>
                <w:szCs w:val="22"/>
                <w:lang w:val="hu-HU"/>
              </w:rPr>
              <w:t>Ízületi duzzanat</w:t>
            </w:r>
          </w:p>
        </w:tc>
      </w:tr>
      <w:tr w:rsidR="00153AD1" w:rsidRPr="00556B9B" w14:paraId="41C987A3" w14:textId="77777777" w:rsidTr="00F926B9">
        <w:trPr>
          <w:cantSplit/>
        </w:trPr>
        <w:tc>
          <w:tcPr>
            <w:tcW w:w="2235" w:type="dxa"/>
          </w:tcPr>
          <w:p w14:paraId="7B0B1F57" w14:textId="77777777" w:rsidR="00153AD1" w:rsidRPr="00556B9B" w:rsidRDefault="00153AD1" w:rsidP="00F926B9">
            <w:pPr>
              <w:keepNext/>
              <w:rPr>
                <w:i/>
                <w:iCs/>
                <w:color w:val="000000"/>
                <w:szCs w:val="22"/>
              </w:rPr>
            </w:pPr>
            <w:r w:rsidRPr="00556B9B">
              <w:rPr>
                <w:i/>
                <w:iCs/>
                <w:noProof/>
                <w:color w:val="000000"/>
                <w:szCs w:val="22"/>
                <w:lang w:val="hu-HU"/>
              </w:rPr>
              <w:t>Nem gyakori:</w:t>
            </w:r>
          </w:p>
        </w:tc>
        <w:tc>
          <w:tcPr>
            <w:tcW w:w="7087" w:type="dxa"/>
          </w:tcPr>
          <w:p w14:paraId="74BE40D1" w14:textId="77777777" w:rsidR="00153AD1" w:rsidRPr="00556B9B" w:rsidRDefault="00153AD1" w:rsidP="00F926B9">
            <w:pPr>
              <w:keepNext/>
              <w:rPr>
                <w:color w:val="000000"/>
                <w:szCs w:val="22"/>
                <w:lang w:val="pt-PT"/>
              </w:rPr>
            </w:pPr>
            <w:r w:rsidRPr="00556B9B">
              <w:rPr>
                <w:rFonts w:cs="Times New Roman"/>
                <w:color w:val="000000"/>
                <w:szCs w:val="22"/>
                <w:lang w:val="hu-HU"/>
              </w:rPr>
              <w:t>Izom</w:t>
            </w:r>
            <w:r w:rsidRPr="00556B9B">
              <w:rPr>
                <w:rFonts w:cs="Times New Roman"/>
                <w:color w:val="000000"/>
                <w:szCs w:val="22"/>
                <w:lang w:val="hu-HU"/>
              </w:rPr>
              <w:noBreakHyphen/>
              <w:t> és ízületi merevség</w:t>
            </w:r>
          </w:p>
        </w:tc>
      </w:tr>
      <w:tr w:rsidR="00153AD1" w:rsidRPr="00556B9B" w14:paraId="37046BE6" w14:textId="77777777" w:rsidTr="00F926B9">
        <w:trPr>
          <w:cantSplit/>
        </w:trPr>
        <w:tc>
          <w:tcPr>
            <w:tcW w:w="2235" w:type="dxa"/>
          </w:tcPr>
          <w:p w14:paraId="6B655FD7" w14:textId="77777777" w:rsidR="00153AD1" w:rsidRPr="00556B9B" w:rsidRDefault="00153AD1" w:rsidP="00F926B9">
            <w:pPr>
              <w:keepNext/>
              <w:rPr>
                <w:i/>
                <w:iCs/>
                <w:color w:val="000000"/>
                <w:szCs w:val="22"/>
              </w:rPr>
            </w:pPr>
            <w:r w:rsidRPr="00556B9B">
              <w:rPr>
                <w:i/>
                <w:iCs/>
                <w:noProof/>
                <w:color w:val="000000"/>
                <w:szCs w:val="22"/>
                <w:lang w:val="hu-HU"/>
              </w:rPr>
              <w:t>Ritka:</w:t>
            </w:r>
          </w:p>
        </w:tc>
        <w:tc>
          <w:tcPr>
            <w:tcW w:w="7087" w:type="dxa"/>
          </w:tcPr>
          <w:p w14:paraId="2B1A9CF7" w14:textId="77777777" w:rsidR="00153AD1" w:rsidRPr="00556B9B" w:rsidRDefault="00153AD1" w:rsidP="00F926B9">
            <w:pPr>
              <w:keepNext/>
              <w:rPr>
                <w:color w:val="000000"/>
                <w:szCs w:val="22"/>
                <w:lang w:val="pt-PT"/>
              </w:rPr>
            </w:pPr>
            <w:r w:rsidRPr="00556B9B">
              <w:rPr>
                <w:rFonts w:cs="Times New Roman"/>
                <w:color w:val="000000"/>
                <w:szCs w:val="22"/>
                <w:lang w:val="hu-HU"/>
              </w:rPr>
              <w:t>Izomgyengeség, arthritis,</w:t>
            </w:r>
            <w:r w:rsidRPr="00556B9B">
              <w:rPr>
                <w:color w:val="000000"/>
                <w:szCs w:val="22"/>
              </w:rPr>
              <w:t xml:space="preserve"> rhabdomyolysis/myopathia</w:t>
            </w:r>
          </w:p>
        </w:tc>
      </w:tr>
      <w:tr w:rsidR="004C3718" w:rsidRPr="00462020" w14:paraId="1607EB29" w14:textId="77777777" w:rsidTr="00F926B9">
        <w:trPr>
          <w:cantSplit/>
        </w:trPr>
        <w:tc>
          <w:tcPr>
            <w:tcW w:w="2235" w:type="dxa"/>
          </w:tcPr>
          <w:p w14:paraId="3FAC2AED" w14:textId="77777777" w:rsidR="004C3718" w:rsidRPr="00556B9B" w:rsidRDefault="004C3718" w:rsidP="00DF7747">
            <w:pPr>
              <w:rPr>
                <w:i/>
                <w:iCs/>
                <w:noProof/>
                <w:color w:val="000000"/>
                <w:szCs w:val="22"/>
                <w:lang w:val="hu-HU"/>
              </w:rPr>
            </w:pPr>
            <w:r w:rsidRPr="00556B9B">
              <w:rPr>
                <w:i/>
                <w:color w:val="000000"/>
              </w:rPr>
              <w:t>Nem ismert:</w:t>
            </w:r>
          </w:p>
        </w:tc>
        <w:tc>
          <w:tcPr>
            <w:tcW w:w="7087" w:type="dxa"/>
          </w:tcPr>
          <w:p w14:paraId="4AF78DCE" w14:textId="77777777" w:rsidR="004C3718" w:rsidRPr="00556B9B" w:rsidRDefault="004C3718" w:rsidP="00DF7747">
            <w:pPr>
              <w:rPr>
                <w:rFonts w:cs="Times New Roman"/>
                <w:color w:val="000000"/>
                <w:szCs w:val="22"/>
                <w:lang w:val="hu-HU"/>
              </w:rPr>
            </w:pPr>
            <w:r w:rsidRPr="00556B9B">
              <w:rPr>
                <w:color w:val="000000"/>
                <w:lang w:val="hu-HU"/>
              </w:rPr>
              <w:t>Avascularis necrosis/csípő necrosis*, retardált növekedés gyermekeknél*</w:t>
            </w:r>
          </w:p>
        </w:tc>
      </w:tr>
      <w:tr w:rsidR="00153AD1" w:rsidRPr="00462020" w14:paraId="36A30A38" w14:textId="77777777" w:rsidTr="00F926B9">
        <w:trPr>
          <w:cantSplit/>
        </w:trPr>
        <w:tc>
          <w:tcPr>
            <w:tcW w:w="9322" w:type="dxa"/>
            <w:gridSpan w:val="2"/>
          </w:tcPr>
          <w:p w14:paraId="48D536C5" w14:textId="77777777" w:rsidR="00153AD1" w:rsidRPr="00556B9B" w:rsidRDefault="00153AD1" w:rsidP="00F926B9">
            <w:pPr>
              <w:keepNext/>
              <w:rPr>
                <w:b/>
                <w:color w:val="000000"/>
                <w:szCs w:val="22"/>
                <w:lang w:val="hu-HU"/>
              </w:rPr>
            </w:pPr>
            <w:r w:rsidRPr="00556B9B">
              <w:rPr>
                <w:b/>
                <w:color w:val="000000"/>
                <w:szCs w:val="22"/>
                <w:lang w:val="hu-HU"/>
              </w:rPr>
              <w:t>Vese- és húgyúti betegségek és tünetek</w:t>
            </w:r>
          </w:p>
        </w:tc>
      </w:tr>
      <w:tr w:rsidR="00153AD1" w:rsidRPr="00556B9B" w14:paraId="2E07014E" w14:textId="77777777" w:rsidTr="00F926B9">
        <w:trPr>
          <w:cantSplit/>
        </w:trPr>
        <w:tc>
          <w:tcPr>
            <w:tcW w:w="2235" w:type="dxa"/>
          </w:tcPr>
          <w:p w14:paraId="27CBDA57" w14:textId="77777777" w:rsidR="00153AD1" w:rsidRPr="00556B9B" w:rsidRDefault="00153AD1" w:rsidP="00F926B9">
            <w:pPr>
              <w:keepNext/>
              <w:rPr>
                <w:i/>
                <w:iCs/>
                <w:color w:val="000000"/>
              </w:rPr>
            </w:pPr>
            <w:r w:rsidRPr="00556B9B">
              <w:rPr>
                <w:i/>
                <w:iCs/>
                <w:noProof/>
                <w:color w:val="000000"/>
                <w:szCs w:val="22"/>
                <w:lang w:val="hu-HU"/>
              </w:rPr>
              <w:t>Nem gyakori:</w:t>
            </w:r>
          </w:p>
        </w:tc>
        <w:tc>
          <w:tcPr>
            <w:tcW w:w="7087" w:type="dxa"/>
          </w:tcPr>
          <w:p w14:paraId="528406D5" w14:textId="77777777" w:rsidR="00153AD1" w:rsidRPr="00556B9B" w:rsidRDefault="00153AD1" w:rsidP="00F926B9">
            <w:pPr>
              <w:keepNext/>
              <w:rPr>
                <w:color w:val="000000"/>
              </w:rPr>
            </w:pPr>
            <w:r w:rsidRPr="00556B9B">
              <w:rPr>
                <w:rFonts w:cs="Times New Roman"/>
                <w:color w:val="000000"/>
                <w:szCs w:val="22"/>
                <w:lang w:val="hu-HU"/>
              </w:rPr>
              <w:t>Vesefájdalmak, haematuria, akut veseelégtelenség, gyakori vizelés</w:t>
            </w:r>
          </w:p>
        </w:tc>
      </w:tr>
      <w:tr w:rsidR="0098716C" w:rsidRPr="00556B9B" w14:paraId="2D86A1D1" w14:textId="77777777" w:rsidTr="00F926B9">
        <w:trPr>
          <w:cantSplit/>
        </w:trPr>
        <w:tc>
          <w:tcPr>
            <w:tcW w:w="2235" w:type="dxa"/>
          </w:tcPr>
          <w:p w14:paraId="5DC9E4B3" w14:textId="77777777" w:rsidR="0098716C" w:rsidRPr="00556B9B" w:rsidRDefault="0098716C" w:rsidP="00DF7747">
            <w:pPr>
              <w:rPr>
                <w:i/>
                <w:iCs/>
                <w:noProof/>
                <w:color w:val="000000"/>
                <w:szCs w:val="22"/>
                <w:lang w:val="hu-HU"/>
              </w:rPr>
            </w:pPr>
            <w:r w:rsidRPr="00556B9B">
              <w:rPr>
                <w:i/>
                <w:iCs/>
                <w:noProof/>
                <w:color w:val="000000"/>
                <w:szCs w:val="22"/>
                <w:lang w:val="hu-HU"/>
              </w:rPr>
              <w:t>Nem ismert</w:t>
            </w:r>
            <w:r w:rsidR="00B42FC3" w:rsidRPr="00556B9B">
              <w:rPr>
                <w:i/>
                <w:iCs/>
                <w:noProof/>
                <w:color w:val="000000"/>
                <w:szCs w:val="22"/>
                <w:lang w:val="hu-HU"/>
              </w:rPr>
              <w:t>:</w:t>
            </w:r>
          </w:p>
        </w:tc>
        <w:tc>
          <w:tcPr>
            <w:tcW w:w="7087" w:type="dxa"/>
          </w:tcPr>
          <w:p w14:paraId="25579F4A" w14:textId="77777777" w:rsidR="0098716C" w:rsidRPr="00556B9B" w:rsidRDefault="0098716C" w:rsidP="00DF7747">
            <w:pPr>
              <w:rPr>
                <w:rFonts w:cs="Times New Roman"/>
                <w:color w:val="000000"/>
                <w:szCs w:val="22"/>
                <w:lang w:val="hu-HU"/>
              </w:rPr>
            </w:pPr>
            <w:r w:rsidRPr="00556B9B">
              <w:rPr>
                <w:rFonts w:cs="Times New Roman"/>
                <w:color w:val="000000"/>
                <w:szCs w:val="22"/>
                <w:lang w:val="hu-HU"/>
              </w:rPr>
              <w:t>Krónikus veseelégtelenség</w:t>
            </w:r>
          </w:p>
        </w:tc>
      </w:tr>
      <w:tr w:rsidR="00153AD1" w:rsidRPr="00556B9B" w14:paraId="47916242" w14:textId="77777777" w:rsidTr="00F926B9">
        <w:trPr>
          <w:cantSplit/>
        </w:trPr>
        <w:tc>
          <w:tcPr>
            <w:tcW w:w="9322" w:type="dxa"/>
            <w:gridSpan w:val="2"/>
          </w:tcPr>
          <w:p w14:paraId="20FA90CA" w14:textId="77777777" w:rsidR="00153AD1" w:rsidRPr="00556B9B" w:rsidRDefault="00153AD1" w:rsidP="00F926B9">
            <w:pPr>
              <w:keepNext/>
              <w:rPr>
                <w:color w:val="000000"/>
                <w:szCs w:val="22"/>
              </w:rPr>
            </w:pPr>
            <w:r w:rsidRPr="00556B9B">
              <w:rPr>
                <w:b/>
                <w:color w:val="000000"/>
                <w:szCs w:val="22"/>
                <w:lang w:val="hu-HU"/>
              </w:rPr>
              <w:t>A nemi szervekkel és az emlőkkel kapcsolatos betegségek és tünetek</w:t>
            </w:r>
          </w:p>
        </w:tc>
      </w:tr>
      <w:tr w:rsidR="00153AD1" w:rsidRPr="00556B9B" w14:paraId="7851BCA2" w14:textId="77777777" w:rsidTr="00F926B9">
        <w:trPr>
          <w:cantSplit/>
        </w:trPr>
        <w:tc>
          <w:tcPr>
            <w:tcW w:w="2235" w:type="dxa"/>
          </w:tcPr>
          <w:p w14:paraId="2F7365C1" w14:textId="77777777" w:rsidR="00153AD1" w:rsidRPr="00556B9B" w:rsidRDefault="00153AD1" w:rsidP="00F926B9">
            <w:pPr>
              <w:keepNext/>
              <w:rPr>
                <w:i/>
                <w:iCs/>
                <w:color w:val="000000"/>
                <w:szCs w:val="22"/>
              </w:rPr>
            </w:pPr>
            <w:r w:rsidRPr="00556B9B">
              <w:rPr>
                <w:i/>
                <w:iCs/>
                <w:noProof/>
                <w:color w:val="000000"/>
                <w:szCs w:val="22"/>
                <w:lang w:val="hu-HU"/>
              </w:rPr>
              <w:t>Nem gyakori:</w:t>
            </w:r>
          </w:p>
        </w:tc>
        <w:tc>
          <w:tcPr>
            <w:tcW w:w="7087" w:type="dxa"/>
          </w:tcPr>
          <w:p w14:paraId="7913668A" w14:textId="77777777" w:rsidR="00153AD1" w:rsidRPr="00556B9B" w:rsidRDefault="00153AD1" w:rsidP="00F926B9">
            <w:pPr>
              <w:keepNext/>
              <w:rPr>
                <w:color w:val="000000"/>
                <w:szCs w:val="22"/>
              </w:rPr>
            </w:pPr>
            <w:r w:rsidRPr="00556B9B">
              <w:rPr>
                <w:rFonts w:cs="Times New Roman"/>
                <w:color w:val="000000"/>
                <w:szCs w:val="22"/>
                <w:lang w:val="hu-HU"/>
              </w:rPr>
              <w:t>Gynaecomastia, erectilis dysfunctio, menorrhagia, rendszertelen menstruáció, szexuális dysfunctio, emlőbimbó fájdalom, emlő megnagyobbodás, scrotalis ödéma</w:t>
            </w:r>
          </w:p>
        </w:tc>
      </w:tr>
      <w:tr w:rsidR="00153AD1" w:rsidRPr="00462020" w14:paraId="4945A3ED" w14:textId="77777777" w:rsidTr="00F926B9">
        <w:trPr>
          <w:cantSplit/>
        </w:trPr>
        <w:tc>
          <w:tcPr>
            <w:tcW w:w="2235" w:type="dxa"/>
          </w:tcPr>
          <w:p w14:paraId="72BE8078" w14:textId="77777777" w:rsidR="00153AD1" w:rsidRPr="00556B9B" w:rsidRDefault="00153AD1" w:rsidP="00DF7747">
            <w:pPr>
              <w:rPr>
                <w:i/>
                <w:iCs/>
                <w:noProof/>
                <w:color w:val="000000"/>
                <w:szCs w:val="22"/>
                <w:lang w:val="hu-HU"/>
              </w:rPr>
            </w:pPr>
            <w:r w:rsidRPr="00556B9B">
              <w:rPr>
                <w:i/>
                <w:iCs/>
                <w:noProof/>
                <w:color w:val="000000"/>
                <w:szCs w:val="22"/>
                <w:lang w:val="hu-HU"/>
              </w:rPr>
              <w:t>Ritka:</w:t>
            </w:r>
          </w:p>
        </w:tc>
        <w:tc>
          <w:tcPr>
            <w:tcW w:w="7087" w:type="dxa"/>
          </w:tcPr>
          <w:p w14:paraId="115371E9" w14:textId="77777777" w:rsidR="00153AD1" w:rsidRPr="00556B9B" w:rsidRDefault="00153AD1" w:rsidP="00DF7747">
            <w:pPr>
              <w:rPr>
                <w:rFonts w:cs="Times New Roman"/>
                <w:color w:val="000000"/>
                <w:szCs w:val="22"/>
                <w:lang w:val="hu-HU"/>
              </w:rPr>
            </w:pPr>
            <w:r w:rsidRPr="00556B9B">
              <w:rPr>
                <w:color w:val="000000"/>
                <w:szCs w:val="22"/>
                <w:lang w:val="hu-HU"/>
              </w:rPr>
              <w:t>Corpus luteum haemorrhagicum/cysta ovarii haemorrhagicum</w:t>
            </w:r>
          </w:p>
        </w:tc>
      </w:tr>
      <w:tr w:rsidR="00153AD1" w:rsidRPr="00462020" w14:paraId="399715B6" w14:textId="77777777" w:rsidTr="00F926B9">
        <w:trPr>
          <w:cantSplit/>
        </w:trPr>
        <w:tc>
          <w:tcPr>
            <w:tcW w:w="9322" w:type="dxa"/>
            <w:gridSpan w:val="2"/>
          </w:tcPr>
          <w:p w14:paraId="0FAEA25A" w14:textId="77777777" w:rsidR="00153AD1" w:rsidRPr="00556B9B" w:rsidRDefault="00153AD1" w:rsidP="00F926B9">
            <w:pPr>
              <w:keepNext/>
              <w:rPr>
                <w:color w:val="000000"/>
                <w:szCs w:val="22"/>
                <w:lang w:val="hu-HU"/>
              </w:rPr>
            </w:pPr>
            <w:r w:rsidRPr="00556B9B">
              <w:rPr>
                <w:b/>
                <w:color w:val="000000"/>
                <w:szCs w:val="22"/>
                <w:lang w:val="hu-HU"/>
              </w:rPr>
              <w:lastRenderedPageBreak/>
              <w:t>Általános tünetek, az alkalmazás helyén fellépő reakciók</w:t>
            </w:r>
          </w:p>
        </w:tc>
      </w:tr>
      <w:tr w:rsidR="00153AD1" w:rsidRPr="00556B9B" w14:paraId="643F0DC2" w14:textId="77777777" w:rsidTr="00F926B9">
        <w:trPr>
          <w:cantSplit/>
        </w:trPr>
        <w:tc>
          <w:tcPr>
            <w:tcW w:w="2235" w:type="dxa"/>
          </w:tcPr>
          <w:p w14:paraId="7428B7BD" w14:textId="77777777" w:rsidR="00153AD1" w:rsidRPr="00556B9B" w:rsidRDefault="00153AD1" w:rsidP="00F926B9">
            <w:pPr>
              <w:keepNext/>
              <w:rPr>
                <w:i/>
                <w:iCs/>
                <w:color w:val="000000"/>
                <w:szCs w:val="22"/>
              </w:rPr>
            </w:pPr>
            <w:r w:rsidRPr="00556B9B">
              <w:rPr>
                <w:rFonts w:cs="Times New Roman"/>
                <w:i/>
                <w:iCs/>
                <w:noProof/>
                <w:color w:val="000000"/>
                <w:szCs w:val="22"/>
                <w:lang w:val="hu-HU"/>
              </w:rPr>
              <w:t>Nagyon gyakori:</w:t>
            </w:r>
          </w:p>
        </w:tc>
        <w:tc>
          <w:tcPr>
            <w:tcW w:w="7087" w:type="dxa"/>
          </w:tcPr>
          <w:p w14:paraId="591DB895" w14:textId="77777777" w:rsidR="00153AD1" w:rsidRPr="00556B9B" w:rsidRDefault="00153AD1" w:rsidP="00F926B9">
            <w:pPr>
              <w:keepNext/>
              <w:rPr>
                <w:color w:val="000000"/>
                <w:szCs w:val="22"/>
              </w:rPr>
            </w:pPr>
            <w:r w:rsidRPr="00556B9B">
              <w:rPr>
                <w:rFonts w:cs="Times New Roman"/>
                <w:color w:val="000000"/>
                <w:szCs w:val="22"/>
                <w:lang w:val="hu-HU"/>
              </w:rPr>
              <w:t>Folyadékretenció és ödéma, fáradékonyság</w:t>
            </w:r>
          </w:p>
        </w:tc>
      </w:tr>
      <w:tr w:rsidR="00153AD1" w:rsidRPr="00462020" w14:paraId="6A7AAE88" w14:textId="77777777" w:rsidTr="00F926B9">
        <w:trPr>
          <w:cantSplit/>
        </w:trPr>
        <w:tc>
          <w:tcPr>
            <w:tcW w:w="2235" w:type="dxa"/>
          </w:tcPr>
          <w:p w14:paraId="61FFBF50" w14:textId="77777777" w:rsidR="00153AD1" w:rsidRPr="00556B9B" w:rsidRDefault="00153AD1" w:rsidP="00F926B9">
            <w:pPr>
              <w:keepNext/>
              <w:rPr>
                <w:i/>
                <w:iCs/>
                <w:color w:val="000000"/>
                <w:szCs w:val="22"/>
              </w:rPr>
            </w:pPr>
            <w:r w:rsidRPr="00556B9B">
              <w:rPr>
                <w:rFonts w:cs="Times New Roman"/>
                <w:i/>
                <w:iCs/>
                <w:noProof/>
                <w:color w:val="000000"/>
                <w:szCs w:val="22"/>
                <w:lang w:val="hu-HU"/>
              </w:rPr>
              <w:t>Gyakori:</w:t>
            </w:r>
          </w:p>
        </w:tc>
        <w:tc>
          <w:tcPr>
            <w:tcW w:w="7087" w:type="dxa"/>
          </w:tcPr>
          <w:p w14:paraId="2B5B5939" w14:textId="77777777" w:rsidR="00153AD1" w:rsidRPr="00FE57F2" w:rsidRDefault="00153AD1" w:rsidP="00F926B9">
            <w:pPr>
              <w:keepNext/>
              <w:rPr>
                <w:color w:val="000000"/>
                <w:szCs w:val="22"/>
                <w:lang w:val="es-ES"/>
              </w:rPr>
            </w:pPr>
            <w:r w:rsidRPr="00556B9B">
              <w:rPr>
                <w:rFonts w:cs="Times New Roman"/>
                <w:color w:val="000000"/>
                <w:szCs w:val="22"/>
                <w:lang w:val="hu-HU"/>
              </w:rPr>
              <w:t>Gyengeség, láz, anasarca, hidegrázás, borzongás</w:t>
            </w:r>
          </w:p>
        </w:tc>
      </w:tr>
      <w:tr w:rsidR="00153AD1" w:rsidRPr="00556B9B" w14:paraId="651A2DAD" w14:textId="77777777" w:rsidTr="00F926B9">
        <w:trPr>
          <w:cantSplit/>
        </w:trPr>
        <w:tc>
          <w:tcPr>
            <w:tcW w:w="2235" w:type="dxa"/>
          </w:tcPr>
          <w:p w14:paraId="7F86748A" w14:textId="77777777" w:rsidR="00153AD1" w:rsidRPr="00556B9B" w:rsidRDefault="00153AD1" w:rsidP="00DF7747">
            <w:pPr>
              <w:rPr>
                <w:i/>
                <w:iCs/>
                <w:color w:val="000000"/>
                <w:szCs w:val="22"/>
              </w:rPr>
            </w:pPr>
            <w:r w:rsidRPr="00556B9B">
              <w:rPr>
                <w:i/>
                <w:iCs/>
                <w:noProof/>
                <w:color w:val="000000"/>
                <w:szCs w:val="22"/>
                <w:lang w:val="hu-HU"/>
              </w:rPr>
              <w:t>Nem gyakori:</w:t>
            </w:r>
          </w:p>
        </w:tc>
        <w:tc>
          <w:tcPr>
            <w:tcW w:w="7087" w:type="dxa"/>
          </w:tcPr>
          <w:p w14:paraId="6431C9DE" w14:textId="77777777" w:rsidR="00153AD1" w:rsidRPr="00556B9B" w:rsidRDefault="00153AD1" w:rsidP="00DF7747">
            <w:pPr>
              <w:rPr>
                <w:color w:val="000000"/>
                <w:szCs w:val="22"/>
              </w:rPr>
            </w:pPr>
            <w:r w:rsidRPr="00556B9B">
              <w:rPr>
                <w:rFonts w:cs="Times New Roman"/>
                <w:color w:val="000000"/>
                <w:szCs w:val="22"/>
                <w:lang w:val="hu-HU"/>
              </w:rPr>
              <w:t>Mellkasi fájdalom, rossz közérzet</w:t>
            </w:r>
          </w:p>
        </w:tc>
      </w:tr>
      <w:tr w:rsidR="00153AD1" w:rsidRPr="00556B9B" w14:paraId="0438F427" w14:textId="77777777" w:rsidTr="00F926B9">
        <w:trPr>
          <w:cantSplit/>
        </w:trPr>
        <w:tc>
          <w:tcPr>
            <w:tcW w:w="9322" w:type="dxa"/>
            <w:gridSpan w:val="2"/>
          </w:tcPr>
          <w:p w14:paraId="3857327F" w14:textId="77777777" w:rsidR="00153AD1" w:rsidRPr="00556B9B" w:rsidRDefault="00153AD1" w:rsidP="00F926B9">
            <w:pPr>
              <w:keepNext/>
              <w:rPr>
                <w:color w:val="000000"/>
                <w:lang w:val="hu-HU"/>
              </w:rPr>
            </w:pPr>
            <w:r w:rsidRPr="00556B9B">
              <w:rPr>
                <w:rFonts w:cs="Times New Roman"/>
                <w:b/>
                <w:color w:val="000000"/>
                <w:szCs w:val="22"/>
                <w:lang w:val="hu-HU"/>
              </w:rPr>
              <w:t>Laboratóriumi és egyéb vizsgálatok eredményei</w:t>
            </w:r>
          </w:p>
        </w:tc>
      </w:tr>
      <w:tr w:rsidR="00153AD1" w:rsidRPr="00556B9B" w14:paraId="7AE82700" w14:textId="77777777" w:rsidTr="00F926B9">
        <w:trPr>
          <w:cantSplit/>
        </w:trPr>
        <w:tc>
          <w:tcPr>
            <w:tcW w:w="2235" w:type="dxa"/>
          </w:tcPr>
          <w:p w14:paraId="17FB309F" w14:textId="77777777" w:rsidR="00153AD1" w:rsidRPr="00556B9B" w:rsidRDefault="00153AD1" w:rsidP="00F926B9">
            <w:pPr>
              <w:keepNext/>
              <w:rPr>
                <w:i/>
                <w:iCs/>
                <w:color w:val="000000"/>
              </w:rPr>
            </w:pPr>
            <w:r w:rsidRPr="00556B9B">
              <w:rPr>
                <w:rFonts w:cs="Times New Roman"/>
                <w:i/>
                <w:iCs/>
                <w:noProof/>
                <w:color w:val="000000"/>
                <w:szCs w:val="22"/>
                <w:lang w:val="hu-HU"/>
              </w:rPr>
              <w:t>Nagyon gyakori:</w:t>
            </w:r>
          </w:p>
        </w:tc>
        <w:tc>
          <w:tcPr>
            <w:tcW w:w="7087" w:type="dxa"/>
          </w:tcPr>
          <w:p w14:paraId="1A84FCEF" w14:textId="77777777" w:rsidR="00153AD1" w:rsidRPr="00556B9B" w:rsidRDefault="00153AD1" w:rsidP="00F926B9">
            <w:pPr>
              <w:keepNext/>
              <w:rPr>
                <w:color w:val="000000"/>
              </w:rPr>
            </w:pPr>
            <w:r w:rsidRPr="00556B9B">
              <w:rPr>
                <w:color w:val="000000"/>
                <w:szCs w:val="22"/>
              </w:rPr>
              <w:t>Testtömeg-növekedés</w:t>
            </w:r>
          </w:p>
        </w:tc>
      </w:tr>
      <w:tr w:rsidR="00153AD1" w:rsidRPr="00556B9B" w14:paraId="7C3E8269" w14:textId="77777777" w:rsidTr="00F926B9">
        <w:trPr>
          <w:cantSplit/>
        </w:trPr>
        <w:tc>
          <w:tcPr>
            <w:tcW w:w="2235" w:type="dxa"/>
          </w:tcPr>
          <w:p w14:paraId="372D2476" w14:textId="77777777" w:rsidR="00153AD1" w:rsidRPr="00556B9B" w:rsidRDefault="00153AD1" w:rsidP="00F926B9">
            <w:pPr>
              <w:keepNext/>
              <w:rPr>
                <w:i/>
                <w:iCs/>
                <w:color w:val="000000"/>
              </w:rPr>
            </w:pPr>
            <w:r w:rsidRPr="00556B9B">
              <w:rPr>
                <w:rFonts w:cs="Times New Roman"/>
                <w:i/>
                <w:iCs/>
                <w:noProof/>
                <w:color w:val="000000"/>
                <w:szCs w:val="22"/>
                <w:lang w:val="hu-HU"/>
              </w:rPr>
              <w:t>Gyakori:</w:t>
            </w:r>
          </w:p>
        </w:tc>
        <w:tc>
          <w:tcPr>
            <w:tcW w:w="7087" w:type="dxa"/>
          </w:tcPr>
          <w:p w14:paraId="59DC8747" w14:textId="77777777" w:rsidR="00153AD1" w:rsidRPr="00556B9B" w:rsidRDefault="00153AD1" w:rsidP="00F926B9">
            <w:pPr>
              <w:keepNext/>
              <w:rPr>
                <w:color w:val="000000"/>
              </w:rPr>
            </w:pPr>
            <w:r w:rsidRPr="00556B9B">
              <w:rPr>
                <w:color w:val="000000"/>
                <w:szCs w:val="22"/>
              </w:rPr>
              <w:t>Testtömeg-csökkenés</w:t>
            </w:r>
          </w:p>
        </w:tc>
      </w:tr>
      <w:tr w:rsidR="00153AD1" w:rsidRPr="00556B9B" w14:paraId="41EF55CE" w14:textId="77777777" w:rsidTr="00F926B9">
        <w:trPr>
          <w:cantSplit/>
        </w:trPr>
        <w:tc>
          <w:tcPr>
            <w:tcW w:w="2235" w:type="dxa"/>
          </w:tcPr>
          <w:p w14:paraId="051DEB43" w14:textId="77777777" w:rsidR="00153AD1" w:rsidRPr="00556B9B" w:rsidRDefault="00153AD1" w:rsidP="00F926B9">
            <w:pPr>
              <w:keepNext/>
              <w:rPr>
                <w:i/>
                <w:iCs/>
                <w:color w:val="000000"/>
              </w:rPr>
            </w:pPr>
            <w:r w:rsidRPr="00556B9B">
              <w:rPr>
                <w:i/>
                <w:iCs/>
                <w:noProof/>
                <w:color w:val="000000"/>
                <w:szCs w:val="22"/>
                <w:lang w:val="hu-HU"/>
              </w:rPr>
              <w:t>Nem gyakori:</w:t>
            </w:r>
          </w:p>
        </w:tc>
        <w:tc>
          <w:tcPr>
            <w:tcW w:w="7087" w:type="dxa"/>
          </w:tcPr>
          <w:p w14:paraId="67D71938" w14:textId="77777777" w:rsidR="00153AD1" w:rsidRPr="00556B9B" w:rsidRDefault="00153AD1" w:rsidP="00F926B9">
            <w:pPr>
              <w:keepNext/>
              <w:rPr>
                <w:color w:val="000000"/>
              </w:rPr>
            </w:pPr>
            <w:r w:rsidRPr="00556B9B">
              <w:rPr>
                <w:rFonts w:cs="Times New Roman"/>
                <w:color w:val="000000"/>
                <w:szCs w:val="22"/>
                <w:lang w:val="hu-HU"/>
              </w:rPr>
              <w:t>A vér kreatininszint emelkedése, a vér kreatinfoszfokináz-szint emelkedése, a vér laktátdehidrogenáz-szint emelkedése, a vér alkalikus-foszfatázszint emelkedése</w:t>
            </w:r>
          </w:p>
        </w:tc>
      </w:tr>
      <w:tr w:rsidR="00153AD1" w:rsidRPr="00556B9B" w14:paraId="50028A9D" w14:textId="77777777" w:rsidTr="00F926B9">
        <w:trPr>
          <w:cantSplit/>
        </w:trPr>
        <w:tc>
          <w:tcPr>
            <w:tcW w:w="2235" w:type="dxa"/>
          </w:tcPr>
          <w:p w14:paraId="15BB9F39" w14:textId="77777777" w:rsidR="00153AD1" w:rsidRPr="00556B9B" w:rsidRDefault="00153AD1" w:rsidP="00DF7747">
            <w:pPr>
              <w:rPr>
                <w:i/>
                <w:iCs/>
                <w:noProof/>
                <w:color w:val="000000"/>
                <w:szCs w:val="22"/>
                <w:lang w:val="hu-HU"/>
              </w:rPr>
            </w:pPr>
            <w:r w:rsidRPr="00556B9B">
              <w:rPr>
                <w:i/>
                <w:iCs/>
                <w:noProof/>
                <w:color w:val="000000"/>
                <w:szCs w:val="22"/>
                <w:lang w:val="hu-HU"/>
              </w:rPr>
              <w:t>Ritka:</w:t>
            </w:r>
          </w:p>
        </w:tc>
        <w:tc>
          <w:tcPr>
            <w:tcW w:w="7087" w:type="dxa"/>
          </w:tcPr>
          <w:p w14:paraId="59D809F3" w14:textId="77777777" w:rsidR="00153AD1" w:rsidRPr="00556B9B" w:rsidRDefault="00153AD1" w:rsidP="00DF7747">
            <w:pPr>
              <w:rPr>
                <w:rFonts w:cs="Times New Roman"/>
                <w:color w:val="000000"/>
                <w:szCs w:val="22"/>
                <w:lang w:val="hu-HU"/>
              </w:rPr>
            </w:pPr>
            <w:r w:rsidRPr="00556B9B">
              <w:rPr>
                <w:rFonts w:cs="Times New Roman"/>
                <w:color w:val="000000"/>
                <w:szCs w:val="22"/>
                <w:lang w:val="hu-HU"/>
              </w:rPr>
              <w:t>A vér amilázszint emelkedése</w:t>
            </w:r>
          </w:p>
        </w:tc>
      </w:tr>
    </w:tbl>
    <w:p w14:paraId="0C8C92FD" w14:textId="77777777" w:rsidR="004C3718" w:rsidRPr="00556B9B" w:rsidRDefault="004C3718" w:rsidP="00F926B9">
      <w:pPr>
        <w:keepNext/>
        <w:widowControl w:val="0"/>
        <w:spacing w:line="240" w:lineRule="auto"/>
        <w:rPr>
          <w:color w:val="000000"/>
        </w:rPr>
      </w:pPr>
    </w:p>
    <w:p w14:paraId="07EFA13F" w14:textId="77777777" w:rsidR="004C3718" w:rsidRPr="00556B9B" w:rsidRDefault="004C3718" w:rsidP="00F926B9">
      <w:pPr>
        <w:keepNext/>
        <w:keepLines/>
        <w:widowControl w:val="0"/>
        <w:spacing w:line="240" w:lineRule="auto"/>
        <w:ind w:left="567" w:hanging="567"/>
        <w:rPr>
          <w:color w:val="000000"/>
          <w:lang w:val="hu-HU"/>
        </w:rPr>
      </w:pPr>
      <w:r w:rsidRPr="00556B9B">
        <w:rPr>
          <w:color w:val="000000"/>
        </w:rPr>
        <w:t>*</w:t>
      </w:r>
      <w:r w:rsidRPr="00556B9B">
        <w:tab/>
      </w:r>
      <w:r w:rsidRPr="00556B9B">
        <w:rPr>
          <w:color w:val="000000"/>
        </w:rPr>
        <w:t>Ezeket a típusú reakciókat elsősorban a Glivec-kel a forgalomba hozatalt követően szerzett tapasztalatok alapján jelentették. Ezek közé spontán esetismertetések, valamint folyamatban lévő vizsgálatokból, kiterjesztett gyógyszerhozzáférési programokból, klinikai farmakológiai vizsgálatokból és nem engedélyezett indikációkban folytatott, feltáró jellegű vizsgálatokból jelentett súlyos nemkívánatos események tartoznak. Mivel ezeket a reakciókat egy bizonytalan méretű populációból jelentették, a gyakoriságukat nem mindig lehet megbízhatóan megbecsülni vagy az imatinib-expozícióval való oki összefüggést megállapítani.</w:t>
      </w:r>
    </w:p>
    <w:p w14:paraId="0F099D3F" w14:textId="77777777" w:rsidR="00153AD1" w:rsidRPr="00556B9B" w:rsidRDefault="00153AD1" w:rsidP="00F926B9">
      <w:pPr>
        <w:keepNext/>
        <w:keepLines/>
        <w:spacing w:line="240" w:lineRule="auto"/>
        <w:ind w:left="567" w:hanging="567"/>
        <w:rPr>
          <w:color w:val="000000"/>
          <w:lang w:val="hu-HU"/>
        </w:rPr>
      </w:pPr>
      <w:r w:rsidRPr="00556B9B">
        <w:rPr>
          <w:color w:val="000000"/>
          <w:lang w:val="hu-HU"/>
        </w:rPr>
        <w:t>1</w:t>
      </w:r>
      <w:r w:rsidRPr="00556B9B">
        <w:rPr>
          <w:color w:val="000000"/>
          <w:lang w:val="hu-HU"/>
        </w:rPr>
        <w:tab/>
        <w:t>Pneumoniáról a leggyakrabban transzformált CML</w:t>
      </w:r>
      <w:r w:rsidRPr="00556B9B">
        <w:rPr>
          <w:color w:val="000000"/>
          <w:lang w:val="hu-HU"/>
        </w:rPr>
        <w:noBreakHyphen/>
        <w:t>ben, valamint GIST</w:t>
      </w:r>
      <w:r w:rsidRPr="00556B9B">
        <w:rPr>
          <w:color w:val="000000"/>
          <w:lang w:val="hu-HU"/>
        </w:rPr>
        <w:noBreakHyphen/>
        <w:t>ben szenvedő betegeknél számoltak be.</w:t>
      </w:r>
    </w:p>
    <w:p w14:paraId="7EE22591" w14:textId="77777777" w:rsidR="00153AD1" w:rsidRPr="007C3BCA" w:rsidRDefault="00153AD1" w:rsidP="00F926B9">
      <w:pPr>
        <w:keepNext/>
        <w:keepLines/>
        <w:spacing w:line="240" w:lineRule="auto"/>
        <w:ind w:left="567" w:hanging="567"/>
        <w:rPr>
          <w:color w:val="000000"/>
          <w:lang w:val="hu-HU"/>
        </w:rPr>
      </w:pPr>
      <w:r w:rsidRPr="00556B9B">
        <w:rPr>
          <w:color w:val="000000"/>
          <w:lang w:val="hu-HU"/>
        </w:rPr>
        <w:t>2</w:t>
      </w:r>
      <w:r w:rsidRPr="00556B9B">
        <w:rPr>
          <w:color w:val="000000"/>
          <w:lang w:val="hu-HU"/>
        </w:rPr>
        <w:tab/>
        <w:t>A fejfájás a GIST</w:t>
      </w:r>
      <w:r w:rsidRPr="00556B9B">
        <w:rPr>
          <w:color w:val="000000"/>
          <w:lang w:val="hu-HU"/>
        </w:rPr>
        <w:noBreakHyphen/>
        <w:t xml:space="preserve">ben szenvedő betegek esetében volt a </w:t>
      </w:r>
      <w:r w:rsidRPr="007C3BCA">
        <w:rPr>
          <w:color w:val="000000"/>
          <w:lang w:val="hu-HU"/>
        </w:rPr>
        <w:t>leggyakoribb.</w:t>
      </w:r>
    </w:p>
    <w:p w14:paraId="44C827E8" w14:textId="749F539A" w:rsidR="00153AD1" w:rsidRPr="007C3BCA" w:rsidRDefault="00153AD1" w:rsidP="00F926B9">
      <w:pPr>
        <w:keepNext/>
        <w:keepLines/>
        <w:spacing w:line="240" w:lineRule="auto"/>
        <w:ind w:left="567" w:hanging="567"/>
        <w:rPr>
          <w:color w:val="000000"/>
          <w:lang w:val="hu-HU"/>
        </w:rPr>
      </w:pPr>
      <w:r w:rsidRPr="007C3BCA">
        <w:rPr>
          <w:color w:val="000000"/>
          <w:lang w:val="hu-HU"/>
        </w:rPr>
        <w:t>3</w:t>
      </w:r>
      <w:r w:rsidRPr="007C3BCA">
        <w:rPr>
          <w:color w:val="000000"/>
          <w:lang w:val="hu-HU"/>
        </w:rPr>
        <w:tab/>
        <w:t>Betegévre vetítve gyakrabban figyeltek meg cardialis eseményeket, beleértve a pangásos szívelégtelenséget transzformált CML</w:t>
      </w:r>
      <w:r w:rsidRPr="007C3BCA">
        <w:rPr>
          <w:color w:val="000000"/>
          <w:lang w:val="hu-HU"/>
        </w:rPr>
        <w:noBreakHyphen/>
        <w:t>ben szenvedő betegek</w:t>
      </w:r>
      <w:r w:rsidR="00DA5007" w:rsidRPr="007C3BCA">
        <w:rPr>
          <w:color w:val="000000"/>
          <w:lang w:val="hu-HU"/>
        </w:rPr>
        <w:t>nél</w:t>
      </w:r>
      <w:r w:rsidRPr="007C3BCA">
        <w:rPr>
          <w:color w:val="000000"/>
          <w:lang w:val="hu-HU"/>
        </w:rPr>
        <w:t>, mint krónikus CML</w:t>
      </w:r>
      <w:r w:rsidRPr="007C3BCA">
        <w:rPr>
          <w:color w:val="000000"/>
          <w:lang w:val="hu-HU"/>
        </w:rPr>
        <w:noBreakHyphen/>
        <w:t>ben szenvedő betegek</w:t>
      </w:r>
      <w:r w:rsidR="00DA5007" w:rsidRPr="007C3BCA">
        <w:rPr>
          <w:color w:val="000000"/>
          <w:lang w:val="hu-HU"/>
        </w:rPr>
        <w:t>nél</w:t>
      </w:r>
      <w:r w:rsidRPr="007C3BCA">
        <w:rPr>
          <w:color w:val="000000"/>
          <w:lang w:val="hu-HU"/>
        </w:rPr>
        <w:t>.</w:t>
      </w:r>
    </w:p>
    <w:p w14:paraId="4DAFCF6A" w14:textId="77777777" w:rsidR="00153AD1" w:rsidRPr="007C3BCA" w:rsidRDefault="00153AD1" w:rsidP="00F926B9">
      <w:pPr>
        <w:keepNext/>
        <w:keepLines/>
        <w:spacing w:line="240" w:lineRule="auto"/>
        <w:ind w:left="567" w:hanging="567"/>
        <w:rPr>
          <w:color w:val="000000"/>
          <w:lang w:val="hu-HU"/>
        </w:rPr>
      </w:pPr>
      <w:r w:rsidRPr="007C3BCA">
        <w:rPr>
          <w:color w:val="000000"/>
          <w:lang w:val="hu-HU"/>
        </w:rPr>
        <w:t>4</w:t>
      </w:r>
      <w:r w:rsidRPr="007C3BCA">
        <w:rPr>
          <w:color w:val="000000"/>
          <w:lang w:val="hu-HU"/>
        </w:rPr>
        <w:tab/>
        <w:t>A kipirulás a GIST</w:t>
      </w:r>
      <w:r w:rsidRPr="007C3BCA">
        <w:rPr>
          <w:color w:val="000000"/>
          <w:lang w:val="hu-HU"/>
        </w:rPr>
        <w:noBreakHyphen/>
        <w:t>ben, míg a vérzés (haematoma, haemorrhagia) a GIST</w:t>
      </w:r>
      <w:r w:rsidRPr="007C3BCA">
        <w:rPr>
          <w:color w:val="000000"/>
          <w:lang w:val="hu-HU"/>
        </w:rPr>
        <w:noBreakHyphen/>
        <w:t>ben és a transzformált CML</w:t>
      </w:r>
      <w:r w:rsidRPr="007C3BCA">
        <w:rPr>
          <w:color w:val="000000"/>
          <w:lang w:val="hu-HU"/>
        </w:rPr>
        <w:noBreakHyphen/>
        <w:t>ben (CML</w:t>
      </w:r>
      <w:r w:rsidRPr="007C3BCA">
        <w:rPr>
          <w:color w:val="000000"/>
          <w:lang w:val="hu-HU"/>
        </w:rPr>
        <w:noBreakHyphen/>
        <w:t>AP és CML</w:t>
      </w:r>
      <w:r w:rsidRPr="007C3BCA">
        <w:rPr>
          <w:color w:val="000000"/>
          <w:lang w:val="hu-HU"/>
        </w:rPr>
        <w:noBreakHyphen/>
        <w:t>BC) szenvedő betegeknél volt a leggyakoribb.</w:t>
      </w:r>
    </w:p>
    <w:p w14:paraId="6CB4F111" w14:textId="77777777" w:rsidR="00153AD1" w:rsidRPr="00556B9B" w:rsidRDefault="00153AD1" w:rsidP="00F926B9">
      <w:pPr>
        <w:keepNext/>
        <w:keepLines/>
        <w:spacing w:line="240" w:lineRule="auto"/>
        <w:ind w:left="567" w:hanging="567"/>
        <w:rPr>
          <w:color w:val="000000"/>
          <w:lang w:val="hu-HU"/>
        </w:rPr>
      </w:pPr>
      <w:r w:rsidRPr="007C3BCA">
        <w:rPr>
          <w:color w:val="000000"/>
          <w:lang w:val="hu-HU"/>
        </w:rPr>
        <w:t>5</w:t>
      </w:r>
      <w:r w:rsidRPr="007C3BCA">
        <w:rPr>
          <w:color w:val="000000"/>
          <w:lang w:val="hu-HU"/>
        </w:rPr>
        <w:tab/>
        <w:t>Pleuralis folyadékgyülemről gyakrabban számoltak be GIST</w:t>
      </w:r>
      <w:r w:rsidRPr="007C3BCA">
        <w:rPr>
          <w:color w:val="000000"/>
          <w:lang w:val="hu-HU"/>
        </w:rPr>
        <w:noBreakHyphen/>
        <w:t>ben, illetve transzformált CML</w:t>
      </w:r>
      <w:r w:rsidRPr="007C3BCA">
        <w:rPr>
          <w:color w:val="000000"/>
          <w:lang w:val="hu-HU"/>
        </w:rPr>
        <w:noBreakHyphen/>
        <w:t>ben (CML</w:t>
      </w:r>
      <w:r w:rsidRPr="007C3BCA">
        <w:rPr>
          <w:color w:val="000000"/>
          <w:lang w:val="hu-HU"/>
        </w:rPr>
        <w:noBreakHyphen/>
        <w:t>AP és CML</w:t>
      </w:r>
      <w:r w:rsidRPr="007C3BCA">
        <w:rPr>
          <w:color w:val="000000"/>
          <w:lang w:val="hu-HU"/>
        </w:rPr>
        <w:noBreakHyphen/>
        <w:t>BC), mint krónikus CML</w:t>
      </w:r>
      <w:r w:rsidRPr="007C3BCA">
        <w:rPr>
          <w:color w:val="000000"/>
          <w:lang w:val="hu-HU"/>
        </w:rPr>
        <w:noBreakHyphen/>
        <w:t>ben</w:t>
      </w:r>
      <w:r w:rsidRPr="00556B9B">
        <w:rPr>
          <w:color w:val="000000"/>
          <w:lang w:val="hu-HU"/>
        </w:rPr>
        <w:t xml:space="preserve"> szenvedő betegeknél.</w:t>
      </w:r>
    </w:p>
    <w:p w14:paraId="74911807" w14:textId="77777777" w:rsidR="00153AD1" w:rsidRPr="00556B9B" w:rsidRDefault="00153AD1" w:rsidP="00F926B9">
      <w:pPr>
        <w:keepNext/>
        <w:keepLines/>
        <w:spacing w:line="240" w:lineRule="auto"/>
        <w:ind w:left="567" w:hanging="567"/>
        <w:rPr>
          <w:color w:val="000000"/>
          <w:lang w:val="hu-HU"/>
        </w:rPr>
      </w:pPr>
      <w:r w:rsidRPr="00556B9B">
        <w:rPr>
          <w:color w:val="000000"/>
          <w:lang w:val="hu-HU"/>
        </w:rPr>
        <w:t>6+7</w:t>
      </w:r>
      <w:r w:rsidRPr="00556B9B">
        <w:rPr>
          <w:color w:val="000000"/>
          <w:lang w:val="hu-HU"/>
        </w:rPr>
        <w:tab/>
        <w:t>Hasfájást és gastrointestinalis vérzést a leggyakrabban GIST</w:t>
      </w:r>
      <w:r w:rsidRPr="00556B9B">
        <w:rPr>
          <w:color w:val="000000"/>
          <w:lang w:val="hu-HU"/>
        </w:rPr>
        <w:noBreakHyphen/>
        <w:t>ben szenvedő betegeknél figyeltek meg.</w:t>
      </w:r>
    </w:p>
    <w:p w14:paraId="7D53B24F" w14:textId="77777777" w:rsidR="00153AD1" w:rsidRPr="00556B9B" w:rsidRDefault="00153AD1" w:rsidP="00F926B9">
      <w:pPr>
        <w:keepNext/>
        <w:keepLines/>
        <w:spacing w:line="240" w:lineRule="auto"/>
        <w:rPr>
          <w:color w:val="000000"/>
          <w:lang w:val="hu-HU"/>
        </w:rPr>
      </w:pPr>
      <w:r w:rsidRPr="00556B9B">
        <w:rPr>
          <w:color w:val="000000"/>
          <w:lang w:val="hu-HU"/>
        </w:rPr>
        <w:t>8</w:t>
      </w:r>
      <w:r w:rsidRPr="00556B9B">
        <w:rPr>
          <w:color w:val="000000"/>
          <w:lang w:val="hu-HU"/>
        </w:rPr>
        <w:tab/>
        <w:t>Beszámoltak néhány halálos kimenetelű májelégtelenségről, illetve májnecrosisról.</w:t>
      </w:r>
    </w:p>
    <w:p w14:paraId="0EEC84F3" w14:textId="77777777" w:rsidR="00E94F2D" w:rsidRPr="00556B9B" w:rsidRDefault="00E94F2D" w:rsidP="00F926B9">
      <w:pPr>
        <w:keepNext/>
        <w:keepLines/>
        <w:spacing w:line="240" w:lineRule="auto"/>
        <w:ind w:left="567" w:hanging="567"/>
        <w:rPr>
          <w:color w:val="000000"/>
          <w:lang w:val="hu-HU"/>
        </w:rPr>
      </w:pPr>
      <w:r w:rsidRPr="00556B9B">
        <w:rPr>
          <w:color w:val="000000"/>
          <w:lang w:val="hu-HU"/>
        </w:rPr>
        <w:t>9</w:t>
      </w:r>
      <w:r w:rsidRPr="00556B9B">
        <w:rPr>
          <w:color w:val="000000"/>
          <w:lang w:val="hu-HU"/>
        </w:rPr>
        <w:tab/>
        <w:t xml:space="preserve">A forgalomba hozatalt követően imatinib terápia ideje alatt vagy a kezelés felfüggesztése után </w:t>
      </w:r>
      <w:r w:rsidR="00731E39" w:rsidRPr="00556B9B">
        <w:rPr>
          <w:rFonts w:cs="Times New Roman"/>
          <w:color w:val="000000"/>
          <w:szCs w:val="22"/>
          <w:lang w:val="hu-HU"/>
        </w:rPr>
        <w:t>musculoskeletalis</w:t>
      </w:r>
      <w:r w:rsidR="00731E39" w:rsidRPr="00556B9B">
        <w:rPr>
          <w:color w:val="000000"/>
          <w:lang w:val="hu-HU"/>
        </w:rPr>
        <w:t xml:space="preserve"> fájdalmat figyeltek meg</w:t>
      </w:r>
      <w:r w:rsidRPr="00556B9B">
        <w:rPr>
          <w:color w:val="000000"/>
          <w:lang w:val="hu-HU"/>
        </w:rPr>
        <w:t>.</w:t>
      </w:r>
    </w:p>
    <w:p w14:paraId="22B528AF" w14:textId="77777777" w:rsidR="00153AD1" w:rsidRPr="00556B9B" w:rsidRDefault="00CE0733" w:rsidP="00F926B9">
      <w:pPr>
        <w:keepNext/>
        <w:keepLines/>
        <w:spacing w:line="240" w:lineRule="auto"/>
        <w:ind w:left="567" w:hanging="567"/>
        <w:rPr>
          <w:color w:val="000000"/>
          <w:lang w:val="hu-HU"/>
        </w:rPr>
      </w:pPr>
      <w:r w:rsidRPr="00556B9B">
        <w:rPr>
          <w:color w:val="000000"/>
          <w:lang w:val="hu-HU"/>
        </w:rPr>
        <w:t>10</w:t>
      </w:r>
      <w:r w:rsidR="00153AD1" w:rsidRPr="00556B9B">
        <w:rPr>
          <w:color w:val="000000"/>
          <w:lang w:val="hu-HU"/>
        </w:rPr>
        <w:tab/>
        <w:t>A vázizomzat és a csontrendszer fájdalmát, és ezzel kapcsolatos eseményeket gyakrabban figyeltek meg CML-ben, mint GIST-ben szenvedő betegeknél.</w:t>
      </w:r>
    </w:p>
    <w:p w14:paraId="1AE68337" w14:textId="77777777" w:rsidR="004C3718" w:rsidRPr="00556B9B" w:rsidRDefault="00CE0733" w:rsidP="00F926B9">
      <w:pPr>
        <w:keepNext/>
        <w:widowControl w:val="0"/>
        <w:tabs>
          <w:tab w:val="left" w:pos="720"/>
        </w:tabs>
        <w:spacing w:line="240" w:lineRule="auto"/>
        <w:ind w:left="567" w:hanging="567"/>
        <w:rPr>
          <w:color w:val="000000"/>
          <w:lang w:val="hu-HU"/>
        </w:rPr>
      </w:pPr>
      <w:r w:rsidRPr="00556B9B">
        <w:rPr>
          <w:color w:val="000000"/>
          <w:lang w:val="hu-HU"/>
        </w:rPr>
        <w:t>11</w:t>
      </w:r>
      <w:r w:rsidR="004C3718" w:rsidRPr="00556B9B">
        <w:rPr>
          <w:lang w:val="hu-HU"/>
        </w:rPr>
        <w:tab/>
      </w:r>
      <w:r w:rsidR="004C3718" w:rsidRPr="00556B9B">
        <w:rPr>
          <w:color w:val="000000"/>
          <w:lang w:val="hu-HU"/>
        </w:rPr>
        <w:t>Az előrehaladott betegségben, súlyos fertőzésekben, súlyos neutropeniában és egyéb súlyos kísérőbetegségekben szenvedő betegeknél végzetes kimenetelű eseteket jelentettek.</w:t>
      </w:r>
    </w:p>
    <w:p w14:paraId="18448CF4" w14:textId="77777777" w:rsidR="00153AD1" w:rsidRPr="00556B9B" w:rsidRDefault="00153AD1" w:rsidP="00153AD1">
      <w:pPr>
        <w:spacing w:line="240" w:lineRule="auto"/>
        <w:rPr>
          <w:color w:val="000000"/>
          <w:u w:val="single"/>
          <w:lang w:val="hu-HU"/>
        </w:rPr>
      </w:pPr>
    </w:p>
    <w:p w14:paraId="18E03A6B" w14:textId="77777777" w:rsidR="00153AD1" w:rsidRPr="00556B9B" w:rsidRDefault="00153AD1" w:rsidP="00F926B9">
      <w:pPr>
        <w:keepNext/>
        <w:spacing w:line="240" w:lineRule="auto"/>
        <w:rPr>
          <w:color w:val="000000"/>
          <w:lang w:val="hu-HU"/>
        </w:rPr>
      </w:pPr>
      <w:r w:rsidRPr="00556B9B">
        <w:rPr>
          <w:color w:val="000000"/>
          <w:u w:val="single"/>
          <w:lang w:val="hu-HU"/>
        </w:rPr>
        <w:t>Laboratóriumi eltérések</w:t>
      </w:r>
    </w:p>
    <w:p w14:paraId="6D2DE32D" w14:textId="77777777" w:rsidR="00153AD1" w:rsidRPr="00556B9B" w:rsidRDefault="00153AD1" w:rsidP="00F926B9">
      <w:pPr>
        <w:keepNext/>
        <w:spacing w:line="240" w:lineRule="auto"/>
        <w:rPr>
          <w:i/>
          <w:color w:val="000000"/>
          <w:lang w:val="hu-HU"/>
        </w:rPr>
      </w:pPr>
      <w:r w:rsidRPr="00556B9B">
        <w:rPr>
          <w:i/>
          <w:color w:val="000000"/>
          <w:lang w:val="hu-HU"/>
        </w:rPr>
        <w:t>Hematológia</w:t>
      </w:r>
    </w:p>
    <w:p w14:paraId="14711A0E" w14:textId="77777777" w:rsidR="00153AD1" w:rsidRPr="00556B9B" w:rsidRDefault="00153AD1" w:rsidP="00153AD1">
      <w:pPr>
        <w:spacing w:line="240" w:lineRule="auto"/>
        <w:rPr>
          <w:color w:val="000000"/>
          <w:lang w:val="hu-HU"/>
        </w:rPr>
      </w:pPr>
      <w:r w:rsidRPr="00556B9B">
        <w:rPr>
          <w:color w:val="000000"/>
          <w:lang w:val="hu-HU"/>
        </w:rPr>
        <w:t>CML</w:t>
      </w:r>
      <w:r w:rsidRPr="00556B9B">
        <w:rPr>
          <w:color w:val="000000"/>
          <w:lang w:val="hu-HU"/>
        </w:rPr>
        <w:noBreakHyphen/>
        <w:t xml:space="preserve">ben a cytopenia (főképp a neutropenia és thrombocytopenia) valamennyi vizsgálatban következetesen jelentkezett, és gyakoribbnak tűnt a nagyobb, </w:t>
      </w:r>
      <w:r w:rsidRPr="00556B9B">
        <w:rPr>
          <w:color w:val="000000"/>
          <w:lang w:val="hu-HU"/>
        </w:rPr>
        <w:sym w:font="Symbol" w:char="F0B3"/>
      </w:r>
      <w:r w:rsidRPr="00556B9B">
        <w:rPr>
          <w:color w:val="000000"/>
          <w:lang w:val="hu-HU"/>
        </w:rPr>
        <w:t xml:space="preserve"> 750 mg dózisok mellett (fázis I. vizsgálat). Viszont a cytopeniák előfordulása egyértelműen függött a betegség stádiumától; 3. vagy 4. fokú neutropenia (ANC </w:t>
      </w:r>
      <w:r w:rsidRPr="00556B9B">
        <w:rPr>
          <w:color w:val="000000"/>
          <w:lang w:val="hu-HU"/>
        </w:rPr>
        <w:sym w:font="Symbol" w:char="F03C"/>
      </w:r>
      <w:r w:rsidRPr="00556B9B">
        <w:rPr>
          <w:color w:val="000000"/>
          <w:lang w:val="hu-HU"/>
        </w:rPr>
        <w:t> 1,0 x 10</w:t>
      </w:r>
      <w:r w:rsidRPr="00556B9B">
        <w:rPr>
          <w:color w:val="000000"/>
          <w:vertAlign w:val="superscript"/>
          <w:lang w:val="hu-HU"/>
        </w:rPr>
        <w:t>9</w:t>
      </w:r>
      <w:r w:rsidRPr="00556B9B">
        <w:rPr>
          <w:color w:val="000000"/>
          <w:lang w:val="hu-HU"/>
        </w:rPr>
        <w:t>/l) és thrombocytopenia (thrombocytaszám &lt; 50 x 10</w:t>
      </w:r>
      <w:r w:rsidRPr="00556B9B">
        <w:rPr>
          <w:color w:val="000000"/>
          <w:vertAlign w:val="superscript"/>
          <w:lang w:val="hu-HU"/>
        </w:rPr>
        <w:t>9</w:t>
      </w:r>
      <w:r w:rsidRPr="00556B9B">
        <w:rPr>
          <w:color w:val="000000"/>
          <w:lang w:val="hu-HU"/>
        </w:rPr>
        <w:t>/l) 4–6</w:t>
      </w:r>
      <w:r w:rsidRPr="00556B9B">
        <w:rPr>
          <w:color w:val="000000"/>
          <w:lang w:val="hu-HU"/>
        </w:rPr>
        <w:noBreakHyphen/>
        <w:t>szor gyakrabban fordult elő blasztos krízisben és akcelerált fázisban (59% </w:t>
      </w:r>
      <w:r w:rsidRPr="00556B9B">
        <w:rPr>
          <w:color w:val="000000"/>
          <w:lang w:val="hu-HU"/>
        </w:rPr>
        <w:noBreakHyphen/>
        <w:t> 64%, ill. 44% </w:t>
      </w:r>
      <w:r w:rsidRPr="00556B9B">
        <w:rPr>
          <w:color w:val="000000"/>
          <w:lang w:val="hu-HU"/>
        </w:rPr>
        <w:noBreakHyphen/>
        <w:t> 63% a neutropenia, ill. a thrombocytopenia vonatkozásában), összehasonlítva az újonnan diagnosztizált krónikus fázisú CML</w:t>
      </w:r>
      <w:r w:rsidRPr="00556B9B">
        <w:rPr>
          <w:color w:val="000000"/>
          <w:lang w:val="hu-HU"/>
        </w:rPr>
        <w:noBreakHyphen/>
        <w:t>es betegekkel (16,7% neutropenia, ill. 8,9% thrombocytopenia). Újonnan diagnosztizált krónikus fázisú CML</w:t>
      </w:r>
      <w:r w:rsidRPr="00556B9B">
        <w:rPr>
          <w:color w:val="000000"/>
          <w:lang w:val="hu-HU"/>
        </w:rPr>
        <w:noBreakHyphen/>
        <w:t>ben a 4. fokú neutropenia (ANC &lt; 0,5 x 0</w:t>
      </w:r>
      <w:r w:rsidRPr="00556B9B">
        <w:rPr>
          <w:color w:val="000000"/>
          <w:vertAlign w:val="superscript"/>
          <w:lang w:val="hu-HU"/>
        </w:rPr>
        <w:t>9</w:t>
      </w:r>
      <w:r w:rsidRPr="00556B9B">
        <w:rPr>
          <w:color w:val="000000"/>
          <w:lang w:val="hu-HU"/>
        </w:rPr>
        <w:t>/l) és thrombocytopenia (thrombocytaszám &lt; 10 x 10</w:t>
      </w:r>
      <w:r w:rsidRPr="00556B9B">
        <w:rPr>
          <w:color w:val="000000"/>
          <w:vertAlign w:val="superscript"/>
          <w:lang w:val="hu-HU"/>
        </w:rPr>
        <w:t>9</w:t>
      </w:r>
      <w:r w:rsidRPr="00556B9B">
        <w:rPr>
          <w:color w:val="000000"/>
          <w:lang w:val="hu-HU"/>
        </w:rPr>
        <w:t xml:space="preserve">/l) a betegek 3,6%-ában, illetve </w:t>
      </w:r>
      <w:r w:rsidRPr="00556B9B">
        <w:rPr>
          <w:color w:val="000000"/>
          <w:lang w:val="hu-HU"/>
        </w:rPr>
        <w:sym w:font="Symbol" w:char="F03C"/>
      </w:r>
      <w:r w:rsidRPr="00556B9B">
        <w:rPr>
          <w:color w:val="000000"/>
          <w:lang w:val="hu-HU"/>
        </w:rPr>
        <w:t> 1%</w:t>
      </w:r>
      <w:r w:rsidRPr="00556B9B">
        <w:rPr>
          <w:color w:val="000000"/>
          <w:lang w:val="hu-HU"/>
        </w:rPr>
        <w:noBreakHyphen/>
        <w:t>ában volt megfigyelhető. A neutropeniás, ill. thrombocytopeniás időszak medián tartama 2–3, ill. 3–4 hét között mozgott. Ezek a jelenségek általában a dózis csökkentésével, vagy a Glivec</w:t>
      </w:r>
      <w:r w:rsidRPr="00556B9B">
        <w:rPr>
          <w:color w:val="000000"/>
          <w:lang w:val="hu-HU"/>
        </w:rPr>
        <w:noBreakHyphen/>
        <w:t>kezelés megszakításával rendezhetők, de néhány esetben a kezelés végleges elhagyását teszik szükségessé. CML</w:t>
      </w:r>
      <w:r w:rsidRPr="00556B9B">
        <w:rPr>
          <w:color w:val="000000"/>
          <w:lang w:val="hu-HU"/>
        </w:rPr>
        <w:noBreakHyphen/>
        <w:t>es gyermekekben a leggyakrabban észlelt toxicitások 3. és 4. fokú cytopeniák voltak, beleértve a neutropeniát, thrombocytopeniát és anaemiát, melyek általában a kezelés első néhány hónapjában alakultak ki.</w:t>
      </w:r>
    </w:p>
    <w:p w14:paraId="5201435B" w14:textId="77777777" w:rsidR="00153AD1" w:rsidRPr="00556B9B" w:rsidRDefault="00153AD1" w:rsidP="00153AD1">
      <w:pPr>
        <w:pStyle w:val="BodyText"/>
        <w:spacing w:line="240" w:lineRule="auto"/>
        <w:rPr>
          <w:b w:val="0"/>
          <w:i w:val="0"/>
          <w:color w:val="000000"/>
          <w:lang w:val="hu-HU"/>
        </w:rPr>
      </w:pPr>
    </w:p>
    <w:p w14:paraId="1581E3B6" w14:textId="77777777" w:rsidR="00153AD1" w:rsidRPr="00556B9B" w:rsidRDefault="00153AD1" w:rsidP="00153AD1">
      <w:pPr>
        <w:pStyle w:val="BodyText"/>
        <w:spacing w:line="240" w:lineRule="auto"/>
        <w:rPr>
          <w:b w:val="0"/>
          <w:i w:val="0"/>
          <w:color w:val="000000"/>
          <w:lang w:val="hu-HU"/>
        </w:rPr>
      </w:pPr>
      <w:r w:rsidRPr="00556B9B">
        <w:rPr>
          <w:b w:val="0"/>
          <w:i w:val="0"/>
          <w:color w:val="000000"/>
          <w:lang w:val="hu-HU"/>
        </w:rPr>
        <w:lastRenderedPageBreak/>
        <w:t>A nem reszekábilis és/vagy metasztatikus GIST</w:t>
      </w:r>
      <w:r w:rsidRPr="00556B9B">
        <w:rPr>
          <w:b w:val="0"/>
          <w:i w:val="0"/>
          <w:color w:val="000000"/>
          <w:lang w:val="hu-HU"/>
        </w:rPr>
        <w:noBreakHyphen/>
        <w:t>ben szenvedő betegekkel végzett vizsgálatban 3., ill. 4. fokú anaemiát a betegek 5,4%, ill. 0,7%</w:t>
      </w:r>
      <w:r w:rsidRPr="00556B9B">
        <w:rPr>
          <w:b w:val="0"/>
          <w:i w:val="0"/>
          <w:color w:val="000000"/>
          <w:lang w:val="hu-HU"/>
        </w:rPr>
        <w:noBreakHyphen/>
        <w:t>ban jelentettek, ami – legalábbis esetenként – a gastrointestinalis vagy intratumoralis vérzésnek lehetett a következménye. 3., ill. 4. fokú neutropeniát a betegek 7,5%, ill. 2,7%</w:t>
      </w:r>
      <w:r w:rsidRPr="00556B9B">
        <w:rPr>
          <w:b w:val="0"/>
          <w:i w:val="0"/>
          <w:color w:val="000000"/>
          <w:lang w:val="hu-HU"/>
        </w:rPr>
        <w:noBreakHyphen/>
        <w:t>ában, 3. fokú thrombocytopeniát pedig 0,7%</w:t>
      </w:r>
      <w:r w:rsidRPr="00556B9B">
        <w:rPr>
          <w:b w:val="0"/>
          <w:i w:val="0"/>
          <w:color w:val="000000"/>
          <w:lang w:val="hu-HU"/>
        </w:rPr>
        <w:noBreakHyphen/>
        <w:t>ban figyeltek meg. Nem volt olyan beteg, akinél 4. fokú thrombocytopeniát észleltek volna. A fehérvérsejt-, ill neutrophil sejtszám csökkenése elsősorban a kezelés első 6 hetében fordult elő, később az értékek relatíve stabilizálódtak.</w:t>
      </w:r>
    </w:p>
    <w:p w14:paraId="330974F1" w14:textId="77777777" w:rsidR="00153AD1" w:rsidRPr="00556B9B" w:rsidRDefault="00153AD1" w:rsidP="00153AD1">
      <w:pPr>
        <w:spacing w:line="240" w:lineRule="auto"/>
        <w:rPr>
          <w:color w:val="000000"/>
          <w:lang w:val="hu-HU"/>
        </w:rPr>
      </w:pPr>
    </w:p>
    <w:p w14:paraId="0CD80165" w14:textId="77777777" w:rsidR="00153AD1" w:rsidRPr="00556B9B" w:rsidRDefault="00153AD1" w:rsidP="00153AD1">
      <w:pPr>
        <w:pStyle w:val="Heading6"/>
        <w:numPr>
          <w:ilvl w:val="0"/>
          <w:numId w:val="0"/>
        </w:numPr>
        <w:tabs>
          <w:tab w:val="clear" w:pos="567"/>
          <w:tab w:val="clear" w:pos="4536"/>
        </w:tabs>
        <w:spacing w:line="240" w:lineRule="auto"/>
        <w:rPr>
          <w:color w:val="000000"/>
          <w:lang w:val="hu-HU"/>
        </w:rPr>
      </w:pPr>
      <w:r w:rsidRPr="00556B9B">
        <w:rPr>
          <w:color w:val="000000"/>
          <w:lang w:val="hu-HU"/>
        </w:rPr>
        <w:t>Biokémia</w:t>
      </w:r>
    </w:p>
    <w:p w14:paraId="55BA29E0" w14:textId="1F572C64" w:rsidR="00153AD1" w:rsidRPr="00556B9B" w:rsidRDefault="00153AD1" w:rsidP="00153AD1">
      <w:pPr>
        <w:spacing w:line="240" w:lineRule="auto"/>
        <w:rPr>
          <w:color w:val="000000"/>
          <w:lang w:val="hu-HU"/>
        </w:rPr>
      </w:pPr>
      <w:r w:rsidRPr="007C3BCA">
        <w:rPr>
          <w:color w:val="000000"/>
          <w:lang w:val="hu-HU"/>
        </w:rPr>
        <w:t>A transzaminázok (</w:t>
      </w:r>
      <w:r w:rsidRPr="007C3BCA">
        <w:rPr>
          <w:color w:val="000000"/>
          <w:szCs w:val="22"/>
          <w:lang w:val="hu-HU"/>
        </w:rPr>
        <w:t xml:space="preserve">&lt; 5%) </w:t>
      </w:r>
      <w:r w:rsidRPr="007C3BCA">
        <w:rPr>
          <w:color w:val="000000"/>
          <w:lang w:val="hu-HU"/>
        </w:rPr>
        <w:t xml:space="preserve">vagy a bilirubinszint </w:t>
      </w:r>
      <w:r w:rsidRPr="007C3BCA">
        <w:rPr>
          <w:color w:val="000000"/>
          <w:szCs w:val="22"/>
          <w:lang w:val="hu-HU"/>
        </w:rPr>
        <w:t xml:space="preserve">(&lt; 1%) </w:t>
      </w:r>
      <w:r w:rsidRPr="007C3BCA">
        <w:rPr>
          <w:color w:val="000000"/>
          <w:lang w:val="hu-HU"/>
        </w:rPr>
        <w:t>súlyos fokú emelkedését figyelték meg CML</w:t>
      </w:r>
      <w:r w:rsidRPr="007C3BCA">
        <w:rPr>
          <w:color w:val="000000"/>
          <w:lang w:val="hu-HU"/>
        </w:rPr>
        <w:noBreakHyphen/>
        <w:t>es betegek</w:t>
      </w:r>
      <w:r w:rsidR="00DA5007" w:rsidRPr="007C3BCA">
        <w:rPr>
          <w:color w:val="000000"/>
          <w:lang w:val="hu-HU"/>
        </w:rPr>
        <w:t>nél</w:t>
      </w:r>
      <w:r w:rsidRPr="007C3BCA">
        <w:rPr>
          <w:color w:val="000000"/>
          <w:lang w:val="hu-HU"/>
        </w:rPr>
        <w:t>, és általában a</w:t>
      </w:r>
      <w:r w:rsidRPr="00556B9B">
        <w:rPr>
          <w:color w:val="000000"/>
          <w:lang w:val="hu-HU"/>
        </w:rPr>
        <w:t xml:space="preserve"> dózis csökkentésével vagy a kezelés megszakításával (ezen epizódok medián időtartama egy hét körül volt) kezelhető volt. A terápia végleges felfüggesztése (a májfunkciós laboratóriumi eltérések miatt) a CML</w:t>
      </w:r>
      <w:r w:rsidRPr="00556B9B">
        <w:rPr>
          <w:color w:val="000000"/>
          <w:lang w:val="hu-HU"/>
        </w:rPr>
        <w:noBreakHyphen/>
        <w:t>es betegek kevesebb mint 1%</w:t>
      </w:r>
      <w:r w:rsidRPr="00556B9B">
        <w:rPr>
          <w:color w:val="000000"/>
          <w:lang w:val="hu-HU"/>
        </w:rPr>
        <w:noBreakHyphen/>
        <w:t>ban történt. GIST</w:t>
      </w:r>
      <w:r w:rsidRPr="00556B9B">
        <w:rPr>
          <w:color w:val="000000"/>
          <w:lang w:val="hu-HU"/>
        </w:rPr>
        <w:noBreakHyphen/>
        <w:t>ben szenvedő betegek (B2222 vizsgálat) 6,8%</w:t>
      </w:r>
      <w:r w:rsidRPr="00556B9B">
        <w:rPr>
          <w:color w:val="000000"/>
          <w:lang w:val="hu-HU"/>
        </w:rPr>
        <w:noBreakHyphen/>
        <w:t xml:space="preserve">ában figyelték meg a </w:t>
      </w:r>
      <w:smartTag w:uri="urn:schemas-microsoft-com:office:smarttags" w:element="stockticker">
        <w:r w:rsidRPr="00556B9B">
          <w:rPr>
            <w:color w:val="000000"/>
            <w:lang w:val="hu-HU"/>
          </w:rPr>
          <w:t>GPT</w:t>
        </w:r>
      </w:smartTag>
      <w:r w:rsidRPr="00556B9B">
        <w:rPr>
          <w:color w:val="000000"/>
          <w:lang w:val="hu-HU"/>
        </w:rPr>
        <w:t xml:space="preserve"> (glutamát</w:t>
      </w:r>
      <w:r w:rsidRPr="00556B9B">
        <w:rPr>
          <w:color w:val="000000"/>
          <w:lang w:val="hu-HU"/>
        </w:rPr>
        <w:noBreakHyphen/>
        <w:t>piruvát transzamináz) szint 3. vagy 4. fokú emelkedését, és 4,8%</w:t>
      </w:r>
      <w:r w:rsidRPr="00556B9B">
        <w:rPr>
          <w:color w:val="000000"/>
          <w:lang w:val="hu-HU"/>
        </w:rPr>
        <w:noBreakHyphen/>
        <w:t xml:space="preserve">ában a </w:t>
      </w:r>
      <w:smartTag w:uri="urn:schemas-microsoft-com:office:smarttags" w:element="stockticker">
        <w:r w:rsidRPr="00556B9B">
          <w:rPr>
            <w:color w:val="000000"/>
            <w:lang w:val="hu-HU"/>
          </w:rPr>
          <w:t>GOT</w:t>
        </w:r>
      </w:smartTag>
      <w:r w:rsidRPr="00556B9B">
        <w:rPr>
          <w:color w:val="000000"/>
          <w:lang w:val="hu-HU"/>
        </w:rPr>
        <w:t xml:space="preserve"> (glutaminsav</w:t>
      </w:r>
      <w:r w:rsidRPr="00556B9B">
        <w:rPr>
          <w:color w:val="000000"/>
          <w:lang w:val="hu-HU"/>
        </w:rPr>
        <w:noBreakHyphen/>
        <w:t>oxálecetsav transzamináz) szint 3. vagy 4. fokú emelkedését.</w:t>
      </w:r>
    </w:p>
    <w:p w14:paraId="61E55A54" w14:textId="77777777" w:rsidR="00153AD1" w:rsidRPr="00556B9B" w:rsidRDefault="00153AD1" w:rsidP="00153AD1">
      <w:pPr>
        <w:spacing w:line="240" w:lineRule="auto"/>
        <w:rPr>
          <w:color w:val="000000"/>
          <w:lang w:val="hu-HU"/>
        </w:rPr>
      </w:pPr>
    </w:p>
    <w:p w14:paraId="36C72E32" w14:textId="77777777" w:rsidR="00153AD1" w:rsidRPr="00556B9B" w:rsidRDefault="00153AD1" w:rsidP="00153AD1">
      <w:pPr>
        <w:spacing w:line="240" w:lineRule="auto"/>
        <w:rPr>
          <w:color w:val="000000"/>
          <w:lang w:val="hu-HU"/>
        </w:rPr>
      </w:pPr>
      <w:r w:rsidRPr="00556B9B">
        <w:rPr>
          <w:color w:val="000000"/>
          <w:lang w:val="hu-HU"/>
        </w:rPr>
        <w:t>Előfordult cytolytikus és cholestatikus hepatitis- és májelégtelenség, némelyik (közöttük egy beteggel, aki nagy dózisban szedett paracetamolt) halálos kimenetellel.</w:t>
      </w:r>
    </w:p>
    <w:p w14:paraId="1243FA4D" w14:textId="77777777" w:rsidR="001B3CCE" w:rsidRPr="00556B9B" w:rsidRDefault="001B3CCE" w:rsidP="001B3CCE">
      <w:pPr>
        <w:spacing w:line="240" w:lineRule="auto"/>
        <w:rPr>
          <w:color w:val="000000"/>
          <w:lang w:val="hu-HU"/>
        </w:rPr>
      </w:pPr>
    </w:p>
    <w:p w14:paraId="54E6100C" w14:textId="77777777" w:rsidR="001B3CCE" w:rsidRPr="00556B9B" w:rsidRDefault="001B3CCE" w:rsidP="00F926B9">
      <w:pPr>
        <w:keepNext/>
        <w:spacing w:line="240" w:lineRule="auto"/>
        <w:rPr>
          <w:color w:val="000000"/>
          <w:u w:val="single"/>
          <w:lang w:val="hu-HU"/>
        </w:rPr>
      </w:pPr>
      <w:r w:rsidRPr="00556B9B">
        <w:rPr>
          <w:color w:val="000000"/>
          <w:u w:val="single"/>
          <w:lang w:val="hu-HU"/>
        </w:rPr>
        <w:t>Néhány k</w:t>
      </w:r>
      <w:r w:rsidR="005E5CC8" w:rsidRPr="00556B9B">
        <w:rPr>
          <w:color w:val="000000"/>
          <w:u w:val="single"/>
          <w:lang w:val="hu-HU"/>
        </w:rPr>
        <w:t>iválasztott mellékhatás leírása</w:t>
      </w:r>
    </w:p>
    <w:p w14:paraId="19027F6B" w14:textId="77777777" w:rsidR="001B3CCE" w:rsidRPr="00556B9B" w:rsidRDefault="001B3CCE" w:rsidP="00F926B9">
      <w:pPr>
        <w:keepNext/>
        <w:spacing w:line="240" w:lineRule="auto"/>
        <w:rPr>
          <w:rFonts w:cs="Times New Roman"/>
          <w:i/>
          <w:color w:val="000000"/>
          <w:szCs w:val="22"/>
          <w:u w:val="single"/>
          <w:lang w:val="hu-HU"/>
        </w:rPr>
      </w:pPr>
      <w:r w:rsidRPr="00556B9B">
        <w:rPr>
          <w:i/>
          <w:color w:val="000000"/>
          <w:u w:val="single"/>
          <w:lang w:val="hu-HU"/>
        </w:rPr>
        <w:t>Hepatitis </w:t>
      </w:r>
      <w:r w:rsidRPr="00556B9B">
        <w:rPr>
          <w:rFonts w:cs="Times New Roman"/>
          <w:i/>
          <w:color w:val="000000"/>
          <w:szCs w:val="22"/>
          <w:u w:val="single"/>
          <w:lang w:val="hu-HU"/>
        </w:rPr>
        <w:t>B reaktiváció</w:t>
      </w:r>
    </w:p>
    <w:p w14:paraId="0FDEE44C" w14:textId="6E4EAC1A" w:rsidR="001B3CCE" w:rsidRPr="00556B9B" w:rsidRDefault="001B3CCE" w:rsidP="001B3CCE">
      <w:pPr>
        <w:spacing w:line="240" w:lineRule="auto"/>
        <w:rPr>
          <w:rFonts w:cs="Times New Roman"/>
          <w:szCs w:val="22"/>
          <w:lang w:val="hu-HU"/>
        </w:rPr>
      </w:pPr>
      <w:r w:rsidRPr="00556B9B">
        <w:rPr>
          <w:rFonts w:cs="Times New Roman"/>
          <w:szCs w:val="22"/>
          <w:lang w:val="hu-HU"/>
        </w:rPr>
        <w:t>A BCR</w:t>
      </w:r>
      <w:r w:rsidRPr="00556B9B">
        <w:rPr>
          <w:rFonts w:cs="Times New Roman"/>
          <w:szCs w:val="22"/>
          <w:lang w:val="hu-HU"/>
        </w:rPr>
        <w:noBreakHyphen/>
        <w:t>ABL tirozin</w:t>
      </w:r>
      <w:r w:rsidRPr="00556B9B">
        <w:rPr>
          <w:rFonts w:cs="Times New Roman"/>
          <w:szCs w:val="22"/>
          <w:lang w:val="hu-HU"/>
        </w:rPr>
        <w:noBreakHyphen/>
        <w:t>kináz inhibitorok alkalmazásával kapcsolatban a hepatitis B reaktivációjáról számoltak be Egyes esetekben akut májelégtelenség vagy fulmináns hepatitis alakult ki, amely májtranszplantáció</w:t>
      </w:r>
      <w:r w:rsidR="00F10932">
        <w:rPr>
          <w:rFonts w:cs="Times New Roman"/>
          <w:szCs w:val="22"/>
          <w:lang w:val="hu-HU"/>
        </w:rPr>
        <w:t>t tett szükségessé,</w:t>
      </w:r>
      <w:r w:rsidRPr="00556B9B">
        <w:rPr>
          <w:rFonts w:cs="Times New Roman"/>
          <w:szCs w:val="22"/>
          <w:lang w:val="hu-HU"/>
        </w:rPr>
        <w:t xml:space="preserve"> vagy halálos kimenetelhez vezetett (lásd 4.4 pont).</w:t>
      </w:r>
    </w:p>
    <w:p w14:paraId="74E8E277" w14:textId="77777777" w:rsidR="00153AD1" w:rsidRPr="00556B9B" w:rsidRDefault="00153AD1" w:rsidP="00153AD1">
      <w:pPr>
        <w:spacing w:line="240" w:lineRule="auto"/>
        <w:ind w:left="567" w:hanging="567"/>
        <w:rPr>
          <w:color w:val="000000"/>
          <w:lang w:val="hu-HU"/>
        </w:rPr>
      </w:pPr>
    </w:p>
    <w:p w14:paraId="2544EB8A" w14:textId="77777777" w:rsidR="00153AD1" w:rsidRPr="00556B9B" w:rsidRDefault="00153AD1" w:rsidP="00F926B9">
      <w:pPr>
        <w:keepNext/>
        <w:tabs>
          <w:tab w:val="left" w:pos="567"/>
        </w:tabs>
        <w:suppressAutoHyphens w:val="0"/>
        <w:spacing w:line="240" w:lineRule="auto"/>
        <w:rPr>
          <w:rFonts w:cs="Times New Roman"/>
          <w:szCs w:val="22"/>
          <w:u w:val="single"/>
          <w:lang w:val="hu-HU" w:eastAsia="en-US" w:bidi="ar-SA"/>
        </w:rPr>
      </w:pPr>
      <w:r w:rsidRPr="00556B9B">
        <w:rPr>
          <w:rFonts w:cs="Times New Roman"/>
          <w:szCs w:val="22"/>
          <w:u w:val="single"/>
          <w:lang w:val="hu-HU" w:eastAsia="en-US" w:bidi="ar-SA"/>
        </w:rPr>
        <w:t>Feltételezett mellékhatások bejelentése</w:t>
      </w:r>
    </w:p>
    <w:p w14:paraId="600CCDCB" w14:textId="77777777" w:rsidR="00153AD1" w:rsidRPr="00556B9B" w:rsidRDefault="00153AD1" w:rsidP="00153AD1">
      <w:pPr>
        <w:spacing w:line="240" w:lineRule="auto"/>
        <w:rPr>
          <w:color w:val="000000"/>
          <w:lang w:val="hu-HU"/>
        </w:rPr>
      </w:pPr>
      <w:r w:rsidRPr="00556B9B">
        <w:rPr>
          <w:rFonts w:cs="Times New Roman"/>
          <w:szCs w:val="22"/>
          <w:lang w:val="hu-HU" w:eastAsia="en-US" w:bidi="ar-SA"/>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5" w:history="1">
        <w:r w:rsidRPr="00556B9B">
          <w:rPr>
            <w:rFonts w:cs="Times New Roman"/>
            <w:szCs w:val="22"/>
            <w:shd w:val="pct15" w:color="auto" w:fill="auto"/>
            <w:lang w:val="hu-HU" w:eastAsia="hu-HU" w:bidi="ar-SA"/>
          </w:rPr>
          <w:t>V. függelékben</w:t>
        </w:r>
      </w:hyperlink>
      <w:r w:rsidRPr="00556B9B">
        <w:rPr>
          <w:rFonts w:cs="Times New Roman"/>
          <w:szCs w:val="22"/>
          <w:shd w:val="pct15" w:color="auto" w:fill="auto"/>
          <w:lang w:val="hu-HU" w:eastAsia="en-US" w:bidi="ar-SA"/>
        </w:rPr>
        <w:t xml:space="preserve"> található elérhetőségek valamelyikén keresztül.</w:t>
      </w:r>
    </w:p>
    <w:p w14:paraId="663FDB95" w14:textId="77777777" w:rsidR="00153AD1" w:rsidRPr="00556B9B" w:rsidRDefault="00153AD1" w:rsidP="00153AD1">
      <w:pPr>
        <w:spacing w:line="240" w:lineRule="auto"/>
        <w:ind w:left="567" w:hanging="567"/>
        <w:rPr>
          <w:color w:val="000000"/>
          <w:lang w:val="hu-HU"/>
        </w:rPr>
      </w:pPr>
    </w:p>
    <w:p w14:paraId="3AD7C01E" w14:textId="77777777" w:rsidR="00153AD1" w:rsidRPr="00556B9B" w:rsidRDefault="00153AD1" w:rsidP="00F926B9">
      <w:pPr>
        <w:keepNext/>
        <w:spacing w:line="240" w:lineRule="auto"/>
        <w:ind w:left="567" w:hanging="567"/>
        <w:rPr>
          <w:b/>
          <w:color w:val="000000"/>
          <w:lang w:val="hu-HU"/>
        </w:rPr>
      </w:pPr>
      <w:r w:rsidRPr="00556B9B">
        <w:rPr>
          <w:b/>
          <w:color w:val="000000"/>
          <w:lang w:val="hu-HU"/>
        </w:rPr>
        <w:t>4.9</w:t>
      </w:r>
      <w:r w:rsidRPr="00556B9B">
        <w:rPr>
          <w:b/>
          <w:color w:val="000000"/>
          <w:lang w:val="hu-HU"/>
        </w:rPr>
        <w:tab/>
        <w:t>Túladagolás</w:t>
      </w:r>
    </w:p>
    <w:p w14:paraId="01F20257" w14:textId="77777777" w:rsidR="00153AD1" w:rsidRPr="00556B9B" w:rsidRDefault="00153AD1" w:rsidP="00F926B9">
      <w:pPr>
        <w:keepNext/>
        <w:spacing w:line="240" w:lineRule="auto"/>
        <w:rPr>
          <w:color w:val="000000"/>
          <w:lang w:val="hu-HU"/>
        </w:rPr>
      </w:pPr>
    </w:p>
    <w:p w14:paraId="3C506300" w14:textId="77777777" w:rsidR="00153AD1" w:rsidRPr="006D0F5F" w:rsidRDefault="00153AD1" w:rsidP="00153AD1">
      <w:pPr>
        <w:widowControl w:val="0"/>
        <w:spacing w:line="240" w:lineRule="auto"/>
        <w:rPr>
          <w:color w:val="000000"/>
          <w:szCs w:val="22"/>
          <w:lang w:val="hu-HU"/>
        </w:rPr>
      </w:pPr>
      <w:r w:rsidRPr="00556B9B">
        <w:rPr>
          <w:color w:val="000000"/>
          <w:szCs w:val="22"/>
          <w:lang w:val="hu-HU"/>
        </w:rPr>
        <w:t xml:space="preserve">A javasolt terápiás dózisnál nagyobb adagokkal szerzett tapasztalat korlátozott. Glivec túladagolás egyedülálló eseteiről vannak spontán jelentések és a szakirodalomban megjelent beszámolók. Túladagolás esetén a beteget obszerválni kell, és megfelelő tüneti kezelésben kell részesíteni. Ezekben az esetekben a beszámolók </w:t>
      </w:r>
      <w:r w:rsidRPr="006D0F5F">
        <w:rPr>
          <w:color w:val="000000"/>
          <w:szCs w:val="22"/>
          <w:lang w:val="hu-HU"/>
        </w:rPr>
        <w:t>szerint a kimenetel általában „javult” vagy „gyógyult” volt. A különböző dózistartományokban jelentett események a következők:</w:t>
      </w:r>
    </w:p>
    <w:p w14:paraId="72F2D4F6" w14:textId="77777777" w:rsidR="00153AD1" w:rsidRPr="006D0F5F" w:rsidRDefault="00153AD1" w:rsidP="00153AD1">
      <w:pPr>
        <w:widowControl w:val="0"/>
        <w:spacing w:line="240" w:lineRule="auto"/>
        <w:rPr>
          <w:color w:val="000000"/>
          <w:szCs w:val="22"/>
          <w:lang w:val="hu-HU"/>
        </w:rPr>
      </w:pPr>
    </w:p>
    <w:p w14:paraId="68E0C9AA" w14:textId="5B2D4EFD" w:rsidR="00153AD1" w:rsidRPr="006D0F5F" w:rsidRDefault="00153AD1" w:rsidP="00F926B9">
      <w:pPr>
        <w:keepNext/>
        <w:widowControl w:val="0"/>
        <w:spacing w:line="240" w:lineRule="auto"/>
        <w:rPr>
          <w:color w:val="000000"/>
          <w:szCs w:val="22"/>
          <w:lang w:val="hu-HU"/>
        </w:rPr>
      </w:pPr>
      <w:r w:rsidRPr="006D0F5F">
        <w:rPr>
          <w:i/>
          <w:noProof/>
          <w:color w:val="000000"/>
          <w:lang w:val="hu-HU"/>
        </w:rPr>
        <w:t>Felnőtt</w:t>
      </w:r>
      <w:r w:rsidR="00DA5007" w:rsidRPr="006D0F5F">
        <w:rPr>
          <w:i/>
          <w:noProof/>
          <w:color w:val="000000"/>
          <w:lang w:val="hu-HU"/>
        </w:rPr>
        <w:t>ek</w:t>
      </w:r>
    </w:p>
    <w:p w14:paraId="12A578F8" w14:textId="77777777" w:rsidR="00153AD1" w:rsidRPr="006D0F5F" w:rsidRDefault="00153AD1" w:rsidP="00153AD1">
      <w:pPr>
        <w:pStyle w:val="Text"/>
        <w:spacing w:before="0"/>
        <w:jc w:val="left"/>
        <w:rPr>
          <w:color w:val="000000"/>
          <w:sz w:val="22"/>
          <w:szCs w:val="22"/>
          <w:lang w:val="hu-HU"/>
        </w:rPr>
      </w:pPr>
      <w:r w:rsidRPr="006D0F5F">
        <w:rPr>
          <w:color w:val="000000"/>
          <w:sz w:val="22"/>
          <w:szCs w:val="22"/>
          <w:lang w:val="hu-HU"/>
        </w:rPr>
        <w:t>1200</w:t>
      </w:r>
      <w:r w:rsidRPr="006D0F5F">
        <w:rPr>
          <w:color w:val="000000"/>
          <w:sz w:val="22"/>
          <w:szCs w:val="22"/>
          <w:lang w:val="hu-HU"/>
        </w:rPr>
        <w:noBreakHyphen/>
        <w:t>1600 mg (az időtartam 1</w:t>
      </w:r>
      <w:r w:rsidRPr="006D0F5F">
        <w:rPr>
          <w:color w:val="000000"/>
          <w:sz w:val="22"/>
          <w:szCs w:val="22"/>
          <w:lang w:val="hu-HU"/>
        </w:rPr>
        <w:noBreakHyphen/>
        <w:t>10 nap között változik): hányinger, hányás, hasmenés, bőrkiütés, erythema, ödéma, duzzanat, fáradtság, izomspasmus, thrombocytopenia, pancytopenia, hasi fájdalom, fejfájás, étvágycsökkenés.</w:t>
      </w:r>
    </w:p>
    <w:p w14:paraId="711E7F62" w14:textId="743C2F53" w:rsidR="00153AD1" w:rsidRPr="006D0F5F" w:rsidRDefault="00153AD1" w:rsidP="00153AD1">
      <w:pPr>
        <w:pStyle w:val="Text"/>
        <w:spacing w:before="0"/>
        <w:jc w:val="left"/>
        <w:rPr>
          <w:color w:val="000000"/>
          <w:sz w:val="22"/>
          <w:szCs w:val="22"/>
          <w:lang w:val="hu-HU"/>
        </w:rPr>
      </w:pPr>
      <w:r w:rsidRPr="006D0F5F">
        <w:rPr>
          <w:color w:val="000000"/>
          <w:sz w:val="22"/>
          <w:szCs w:val="22"/>
          <w:lang w:val="hu-HU"/>
        </w:rPr>
        <w:t>1800</w:t>
      </w:r>
      <w:r w:rsidRPr="006D0F5F">
        <w:rPr>
          <w:color w:val="000000"/>
          <w:sz w:val="22"/>
          <w:szCs w:val="22"/>
          <w:lang w:val="hu-HU"/>
        </w:rPr>
        <w:noBreakHyphen/>
        <w:t>3200 mg (akár napi 3200 mg 6 napon keresztül): gyengeség, myalgia, emelkedett kreatin</w:t>
      </w:r>
      <w:r w:rsidR="00DA5007" w:rsidRPr="006D0F5F">
        <w:rPr>
          <w:color w:val="000000"/>
          <w:sz w:val="22"/>
          <w:szCs w:val="22"/>
          <w:lang w:val="hu-HU"/>
        </w:rPr>
        <w:t>-</w:t>
      </w:r>
      <w:r w:rsidRPr="006D0F5F">
        <w:rPr>
          <w:color w:val="000000"/>
          <w:sz w:val="22"/>
          <w:szCs w:val="22"/>
          <w:lang w:val="hu-HU"/>
        </w:rPr>
        <w:t xml:space="preserve"> foszfokináz</w:t>
      </w:r>
      <w:r w:rsidRPr="006D0F5F">
        <w:rPr>
          <w:color w:val="000000"/>
          <w:sz w:val="22"/>
          <w:szCs w:val="22"/>
          <w:lang w:val="hu-HU"/>
        </w:rPr>
        <w:noBreakHyphen/>
        <w:t>szint, emelkedett bilirubinszint, gastrointestinalis fájdalom.</w:t>
      </w:r>
    </w:p>
    <w:p w14:paraId="3A09C2C5" w14:textId="43F0872D" w:rsidR="00153AD1" w:rsidRPr="006D0F5F" w:rsidRDefault="00153AD1" w:rsidP="00153AD1">
      <w:pPr>
        <w:pStyle w:val="Text"/>
        <w:spacing w:before="0"/>
        <w:jc w:val="left"/>
        <w:rPr>
          <w:color w:val="000000"/>
          <w:sz w:val="22"/>
          <w:szCs w:val="22"/>
          <w:lang w:val="hu-HU"/>
        </w:rPr>
      </w:pPr>
      <w:r w:rsidRPr="006D0F5F">
        <w:rPr>
          <w:color w:val="000000"/>
          <w:sz w:val="22"/>
          <w:szCs w:val="22"/>
          <w:lang w:val="hu-HU"/>
        </w:rPr>
        <w:t>6400 mg (egyetlen adag): A szakirodalomban egy beteg esetéről számoltak be, akinél hányingert, hányást, hasi fájdalmat, lázat, arcdagadást, csökkent neutro</w:t>
      </w:r>
      <w:r w:rsidR="004E6BE2" w:rsidRPr="006D0F5F">
        <w:rPr>
          <w:color w:val="000000"/>
          <w:sz w:val="22"/>
          <w:szCs w:val="22"/>
          <w:lang w:val="hu-HU"/>
        </w:rPr>
        <w:t>ph</w:t>
      </w:r>
      <w:r w:rsidRPr="006D0F5F">
        <w:rPr>
          <w:color w:val="000000"/>
          <w:sz w:val="22"/>
          <w:szCs w:val="22"/>
          <w:lang w:val="hu-HU"/>
        </w:rPr>
        <w:t>ilszámot, emelkedett transzamináz</w:t>
      </w:r>
      <w:r w:rsidRPr="006D0F5F">
        <w:rPr>
          <w:color w:val="000000"/>
          <w:sz w:val="22"/>
          <w:szCs w:val="22"/>
          <w:lang w:val="hu-HU"/>
        </w:rPr>
        <w:noBreakHyphen/>
        <w:t>szinteket észleltek.</w:t>
      </w:r>
    </w:p>
    <w:p w14:paraId="2381D643" w14:textId="77777777" w:rsidR="00153AD1" w:rsidRPr="00556B9B" w:rsidRDefault="00153AD1" w:rsidP="00153AD1">
      <w:pPr>
        <w:pStyle w:val="Text"/>
        <w:spacing w:before="0"/>
        <w:jc w:val="left"/>
        <w:rPr>
          <w:color w:val="000000"/>
          <w:sz w:val="22"/>
          <w:szCs w:val="22"/>
          <w:lang w:val="hu-HU"/>
        </w:rPr>
      </w:pPr>
      <w:r w:rsidRPr="006D0F5F">
        <w:rPr>
          <w:color w:val="000000"/>
          <w:sz w:val="22"/>
          <w:szCs w:val="22"/>
          <w:lang w:val="hu-HU"/>
        </w:rPr>
        <w:t>8</w:t>
      </w:r>
      <w:r w:rsidRPr="006D0F5F">
        <w:rPr>
          <w:color w:val="000000"/>
          <w:sz w:val="22"/>
          <w:szCs w:val="22"/>
          <w:lang w:val="hu-HU"/>
        </w:rPr>
        <w:noBreakHyphen/>
        <w:t>10 g (egyetlen adag): hányást és gastrointestinalis fájdalmat jelentettek.</w:t>
      </w:r>
    </w:p>
    <w:p w14:paraId="470581E2" w14:textId="77777777" w:rsidR="00153AD1" w:rsidRPr="00556B9B" w:rsidRDefault="00153AD1" w:rsidP="00153AD1">
      <w:pPr>
        <w:widowControl w:val="0"/>
        <w:spacing w:line="240" w:lineRule="auto"/>
        <w:rPr>
          <w:color w:val="000000"/>
          <w:szCs w:val="22"/>
          <w:lang w:val="hu-HU"/>
        </w:rPr>
      </w:pPr>
    </w:p>
    <w:p w14:paraId="3954A81F" w14:textId="77777777" w:rsidR="00153AD1" w:rsidRPr="00556B9B" w:rsidRDefault="00153AD1" w:rsidP="00F926B9">
      <w:pPr>
        <w:keepNext/>
        <w:widowControl w:val="0"/>
        <w:spacing w:line="240" w:lineRule="auto"/>
        <w:rPr>
          <w:color w:val="000000"/>
          <w:szCs w:val="22"/>
          <w:lang w:val="hu-HU"/>
        </w:rPr>
      </w:pPr>
      <w:r w:rsidRPr="00556B9B">
        <w:rPr>
          <w:i/>
          <w:noProof/>
          <w:color w:val="000000"/>
          <w:lang w:val="hu-HU"/>
        </w:rPr>
        <w:t>Gyermekek</w:t>
      </w:r>
      <w:r w:rsidR="00331B30" w:rsidRPr="00556B9B">
        <w:rPr>
          <w:i/>
          <w:noProof/>
          <w:color w:val="000000"/>
          <w:lang w:val="hu-HU"/>
        </w:rPr>
        <w:t xml:space="preserve"> és serdülők</w:t>
      </w:r>
    </w:p>
    <w:p w14:paraId="7FC2921D" w14:textId="77777777" w:rsidR="00153AD1" w:rsidRPr="00556B9B" w:rsidRDefault="00153AD1" w:rsidP="00153AD1">
      <w:pPr>
        <w:pStyle w:val="Text"/>
        <w:spacing w:before="0"/>
        <w:jc w:val="left"/>
        <w:rPr>
          <w:color w:val="000000"/>
          <w:sz w:val="22"/>
          <w:szCs w:val="22"/>
          <w:lang w:val="hu-HU"/>
        </w:rPr>
      </w:pPr>
      <w:r w:rsidRPr="00556B9B">
        <w:rPr>
          <w:color w:val="000000"/>
          <w:sz w:val="22"/>
          <w:szCs w:val="22"/>
          <w:lang w:val="hu-HU"/>
        </w:rPr>
        <w:t>Egy 3 éves fiúnál, aki egyetlen 400 mg</w:t>
      </w:r>
      <w:r w:rsidRPr="00556B9B">
        <w:rPr>
          <w:color w:val="000000"/>
          <w:sz w:val="22"/>
          <w:szCs w:val="22"/>
          <w:lang w:val="hu-HU"/>
        </w:rPr>
        <w:noBreakHyphen/>
        <w:t>os adagot kapott, hányást, hasmenést és étvágytalanságot, egy másik 3 éves fiúnál, aki egyetlen 980 mg</w:t>
      </w:r>
      <w:r w:rsidRPr="00556B9B">
        <w:rPr>
          <w:color w:val="000000"/>
          <w:sz w:val="22"/>
          <w:szCs w:val="22"/>
          <w:lang w:val="hu-HU"/>
        </w:rPr>
        <w:noBreakHyphen/>
        <w:t>os adagot kapott, fehérvérsejtszám</w:t>
      </w:r>
      <w:r w:rsidRPr="00556B9B">
        <w:rPr>
          <w:color w:val="000000"/>
          <w:sz w:val="22"/>
          <w:szCs w:val="22"/>
          <w:lang w:val="hu-HU"/>
        </w:rPr>
        <w:noBreakHyphen/>
        <w:t>csökkenést és hasmenést észleltek.</w:t>
      </w:r>
    </w:p>
    <w:p w14:paraId="666C4F1B" w14:textId="77777777" w:rsidR="00153AD1" w:rsidRPr="00556B9B" w:rsidRDefault="00153AD1" w:rsidP="00153AD1">
      <w:pPr>
        <w:spacing w:line="240" w:lineRule="auto"/>
        <w:rPr>
          <w:color w:val="000000"/>
          <w:lang w:val="hu-HU"/>
        </w:rPr>
      </w:pPr>
    </w:p>
    <w:p w14:paraId="6423A04A" w14:textId="77777777" w:rsidR="00153AD1" w:rsidRPr="00556B9B" w:rsidRDefault="00153AD1" w:rsidP="00153AD1">
      <w:pPr>
        <w:spacing w:line="240" w:lineRule="auto"/>
        <w:rPr>
          <w:color w:val="000000"/>
          <w:lang w:val="hu-HU"/>
        </w:rPr>
      </w:pPr>
      <w:r w:rsidRPr="00556B9B">
        <w:rPr>
          <w:color w:val="000000"/>
          <w:lang w:val="hu-HU"/>
        </w:rPr>
        <w:t>Túladagolás esetén a beteget megfigyelés alatt kell tartani, és megfelelő szupportív kezelésben kell részesíteni.</w:t>
      </w:r>
    </w:p>
    <w:p w14:paraId="45C91CC9" w14:textId="77777777" w:rsidR="00153AD1" w:rsidRPr="00556B9B" w:rsidRDefault="00153AD1" w:rsidP="00153AD1">
      <w:pPr>
        <w:pStyle w:val="Trgymutat"/>
        <w:suppressLineNumbers w:val="0"/>
        <w:spacing w:line="240" w:lineRule="auto"/>
        <w:rPr>
          <w:color w:val="000000"/>
          <w:lang w:val="hu-HU"/>
        </w:rPr>
      </w:pPr>
    </w:p>
    <w:p w14:paraId="4F62260F" w14:textId="77777777" w:rsidR="00153AD1" w:rsidRPr="00556B9B" w:rsidRDefault="00153AD1" w:rsidP="00153AD1">
      <w:pPr>
        <w:spacing w:line="240" w:lineRule="auto"/>
        <w:rPr>
          <w:color w:val="000000"/>
          <w:lang w:val="hu-HU"/>
        </w:rPr>
      </w:pPr>
    </w:p>
    <w:p w14:paraId="035ADB87" w14:textId="77777777" w:rsidR="00153AD1" w:rsidRPr="00556B9B" w:rsidRDefault="00153AD1" w:rsidP="00F926B9">
      <w:pPr>
        <w:keepNext/>
        <w:spacing w:line="240" w:lineRule="auto"/>
        <w:ind w:left="567" w:hanging="567"/>
        <w:rPr>
          <w:b/>
          <w:color w:val="000000"/>
          <w:lang w:val="hu-HU"/>
        </w:rPr>
      </w:pPr>
      <w:r w:rsidRPr="00556B9B">
        <w:rPr>
          <w:b/>
          <w:color w:val="000000"/>
          <w:lang w:val="hu-HU"/>
        </w:rPr>
        <w:t>5.</w:t>
      </w:r>
      <w:r w:rsidRPr="00556B9B">
        <w:rPr>
          <w:b/>
          <w:color w:val="000000"/>
          <w:lang w:val="hu-HU"/>
        </w:rPr>
        <w:tab/>
        <w:t>FARMAKOLÓGIAI TULAJDONSÁGOK</w:t>
      </w:r>
    </w:p>
    <w:p w14:paraId="4FA487DC" w14:textId="77777777" w:rsidR="00153AD1" w:rsidRPr="00556B9B" w:rsidRDefault="00153AD1" w:rsidP="00F926B9">
      <w:pPr>
        <w:keepNext/>
        <w:spacing w:line="240" w:lineRule="auto"/>
        <w:rPr>
          <w:color w:val="000000"/>
          <w:lang w:val="hu-HU"/>
        </w:rPr>
      </w:pPr>
    </w:p>
    <w:p w14:paraId="75FCD723" w14:textId="77777777" w:rsidR="00153AD1" w:rsidRPr="00556B9B" w:rsidRDefault="00153AD1" w:rsidP="00F926B9">
      <w:pPr>
        <w:keepNext/>
        <w:spacing w:line="240" w:lineRule="auto"/>
        <w:ind w:left="567" w:hanging="567"/>
        <w:rPr>
          <w:b/>
          <w:color w:val="000000"/>
          <w:lang w:val="hu-HU"/>
        </w:rPr>
      </w:pPr>
      <w:r w:rsidRPr="00556B9B">
        <w:rPr>
          <w:b/>
          <w:color w:val="000000"/>
          <w:lang w:val="hu-HU"/>
        </w:rPr>
        <w:t>5.1</w:t>
      </w:r>
      <w:r w:rsidRPr="00556B9B">
        <w:rPr>
          <w:b/>
          <w:color w:val="000000"/>
          <w:lang w:val="hu-HU"/>
        </w:rPr>
        <w:tab/>
        <w:t>Farmakodinámiás tulajdonságok</w:t>
      </w:r>
    </w:p>
    <w:p w14:paraId="7FD66035" w14:textId="77777777" w:rsidR="00153AD1" w:rsidRPr="00556B9B" w:rsidRDefault="00153AD1" w:rsidP="00F926B9">
      <w:pPr>
        <w:keepNext/>
        <w:spacing w:line="240" w:lineRule="auto"/>
        <w:rPr>
          <w:color w:val="000000"/>
          <w:lang w:val="hu-HU"/>
        </w:rPr>
      </w:pPr>
    </w:p>
    <w:p w14:paraId="5E35D341" w14:textId="77777777" w:rsidR="00153AD1" w:rsidRPr="00556B9B" w:rsidRDefault="00153AD1" w:rsidP="00153AD1">
      <w:pPr>
        <w:spacing w:line="240" w:lineRule="auto"/>
        <w:rPr>
          <w:color w:val="000000"/>
          <w:lang w:val="hu-HU"/>
        </w:rPr>
      </w:pPr>
      <w:r w:rsidRPr="00556B9B">
        <w:rPr>
          <w:color w:val="000000"/>
          <w:lang w:val="hu-HU"/>
        </w:rPr>
        <w:t>Farmakoterápiás csoport: protein</w:t>
      </w:r>
      <w:r w:rsidRPr="00556B9B">
        <w:rPr>
          <w:color w:val="000000"/>
          <w:lang w:val="hu-HU"/>
        </w:rPr>
        <w:noBreakHyphen/>
        <w:t>tirozinkináz inhibitor, ATC kód: L01XE01</w:t>
      </w:r>
    </w:p>
    <w:p w14:paraId="51F64425" w14:textId="77777777" w:rsidR="00153AD1" w:rsidRPr="00556B9B" w:rsidRDefault="00153AD1" w:rsidP="00153AD1">
      <w:pPr>
        <w:spacing w:line="240" w:lineRule="auto"/>
        <w:rPr>
          <w:color w:val="000000"/>
          <w:lang w:val="hu-HU"/>
        </w:rPr>
      </w:pPr>
    </w:p>
    <w:p w14:paraId="6FA12FFB" w14:textId="77777777" w:rsidR="00153AD1" w:rsidRPr="00556B9B" w:rsidRDefault="00153AD1" w:rsidP="00F926B9">
      <w:pPr>
        <w:pStyle w:val="EndnoteText"/>
        <w:keepNext/>
        <w:widowControl w:val="0"/>
        <w:rPr>
          <w:color w:val="000000"/>
          <w:szCs w:val="22"/>
          <w:u w:val="single"/>
          <w:lang w:val="hu-HU"/>
        </w:rPr>
      </w:pPr>
      <w:r w:rsidRPr="00556B9B">
        <w:rPr>
          <w:color w:val="000000"/>
          <w:u w:val="single"/>
          <w:lang w:val="hu-HU"/>
        </w:rPr>
        <w:t>Hatásmechanizmus</w:t>
      </w:r>
    </w:p>
    <w:p w14:paraId="15BAA9A5" w14:textId="77777777" w:rsidR="00153AD1" w:rsidRPr="00556B9B" w:rsidRDefault="00153AD1" w:rsidP="00153AD1">
      <w:pPr>
        <w:pStyle w:val="EndnoteText"/>
        <w:widowControl w:val="0"/>
        <w:rPr>
          <w:lang w:val="hu-HU"/>
        </w:rPr>
      </w:pPr>
      <w:r w:rsidRPr="00556B9B">
        <w:rPr>
          <w:lang w:val="hu-HU"/>
        </w:rPr>
        <w:t>Az imatinib egy kis molekulájú protein</w:t>
      </w:r>
      <w:r w:rsidRPr="00556B9B">
        <w:rPr>
          <w:lang w:val="hu-HU"/>
        </w:rPr>
        <w:noBreakHyphen/>
        <w:t>tirozinkináz inhibitor, ami hatékonyan gátolja a Bcr</w:t>
      </w:r>
      <w:r w:rsidRPr="00556B9B">
        <w:rPr>
          <w:lang w:val="hu-HU"/>
        </w:rPr>
        <w:noBreakHyphen/>
        <w:t>Abl tirozinkináz (TK), valamint több TK</w:t>
      </w:r>
      <w:r w:rsidRPr="00556B9B">
        <w:rPr>
          <w:lang w:val="hu-HU"/>
        </w:rPr>
        <w:noBreakHyphen/>
        <w:t>receptor aktivitását: a Kit</w:t>
      </w:r>
      <w:r w:rsidRPr="00556B9B">
        <w:rPr>
          <w:lang w:val="hu-HU"/>
        </w:rPr>
        <w:noBreakHyphen/>
        <w:t>et, az őssejt faktor (SCF) receptorát, amit a c</w:t>
      </w:r>
      <w:r w:rsidRPr="00556B9B">
        <w:rPr>
          <w:lang w:val="hu-HU"/>
        </w:rPr>
        <w:noBreakHyphen/>
        <w:t>Kit protoonkogén kódol, a diszkoidin domén receptorokat (DDR1 és DDR2), a kolónia stimuláló faktor receptort (CSF</w:t>
      </w:r>
      <w:r w:rsidRPr="00556B9B">
        <w:rPr>
          <w:lang w:val="hu-HU"/>
        </w:rPr>
        <w:noBreakHyphen/>
        <w:t>1R) és a thrombocyta</w:t>
      </w:r>
      <w:r w:rsidRPr="00556B9B">
        <w:rPr>
          <w:lang w:val="hu-HU"/>
        </w:rPr>
        <w:noBreakHyphen/>
        <w:t>eredetű növekedési faktor receptor</w:t>
      </w:r>
      <w:r w:rsidRPr="00556B9B">
        <w:rPr>
          <w:lang w:val="hu-HU"/>
        </w:rPr>
        <w:noBreakHyphen/>
        <w:t>alfát és </w:t>
      </w:r>
      <w:r w:rsidRPr="00556B9B">
        <w:rPr>
          <w:lang w:val="hu-HU"/>
        </w:rPr>
        <w:noBreakHyphen/>
        <w:t>bétát (PDGFR</w:t>
      </w:r>
      <w:r w:rsidRPr="00556B9B">
        <w:rPr>
          <w:lang w:val="hu-HU"/>
        </w:rPr>
        <w:noBreakHyphen/>
        <w:t>alfa és PDGFR</w:t>
      </w:r>
      <w:r w:rsidRPr="00556B9B">
        <w:rPr>
          <w:lang w:val="hu-HU"/>
        </w:rPr>
        <w:noBreakHyphen/>
        <w:t>béta). Az imatinib gátolni tudja még az ezeknek a receptor</w:t>
      </w:r>
      <w:r w:rsidRPr="00556B9B">
        <w:rPr>
          <w:lang w:val="hu-HU"/>
        </w:rPr>
        <w:noBreakHyphen/>
        <w:t>kinázoknak az aktiválódása által mediált celluláris eseményeket.</w:t>
      </w:r>
    </w:p>
    <w:p w14:paraId="350AE35A" w14:textId="77777777" w:rsidR="00153AD1" w:rsidRPr="00556B9B" w:rsidRDefault="00153AD1" w:rsidP="00153AD1">
      <w:pPr>
        <w:rPr>
          <w:lang w:val="hu-HU"/>
        </w:rPr>
      </w:pPr>
    </w:p>
    <w:p w14:paraId="7DC0C750" w14:textId="77777777" w:rsidR="00153AD1" w:rsidRPr="00556B9B" w:rsidRDefault="00153AD1" w:rsidP="00F926B9">
      <w:pPr>
        <w:keepNext/>
        <w:spacing w:line="240" w:lineRule="auto"/>
        <w:rPr>
          <w:u w:val="single"/>
          <w:lang w:val="hu-HU"/>
        </w:rPr>
      </w:pPr>
      <w:r w:rsidRPr="00556B9B">
        <w:rPr>
          <w:u w:val="single"/>
          <w:lang w:val="hu-HU"/>
        </w:rPr>
        <w:t>Farmakodinámiás hatások</w:t>
      </w:r>
    </w:p>
    <w:p w14:paraId="67AB3D2C" w14:textId="77777777" w:rsidR="00153AD1" w:rsidRPr="00556B9B" w:rsidRDefault="00153AD1" w:rsidP="00153AD1">
      <w:pPr>
        <w:spacing w:line="240" w:lineRule="auto"/>
        <w:rPr>
          <w:color w:val="000000"/>
          <w:lang w:val="hu-HU"/>
        </w:rPr>
      </w:pPr>
      <w:r w:rsidRPr="00556B9B">
        <w:rPr>
          <w:color w:val="000000"/>
          <w:lang w:val="hu-HU"/>
        </w:rPr>
        <w:t>Az imatinib protein</w:t>
      </w:r>
      <w:r w:rsidRPr="00556B9B">
        <w:rPr>
          <w:color w:val="000000"/>
          <w:lang w:val="hu-HU"/>
        </w:rPr>
        <w:noBreakHyphen/>
        <w:t xml:space="preserve">tirozinkináz inhibitor, hatékonyan gátolja a Bcr-Abl tirozinkinázt </w:t>
      </w:r>
      <w:r w:rsidRPr="00556B9B">
        <w:rPr>
          <w:i/>
          <w:color w:val="000000"/>
          <w:lang w:val="hu-HU"/>
        </w:rPr>
        <w:t>in vitro,</w:t>
      </w:r>
      <w:r w:rsidRPr="00556B9B">
        <w:rPr>
          <w:color w:val="000000"/>
          <w:lang w:val="hu-HU"/>
        </w:rPr>
        <w:t xml:space="preserve"> celluláris szinten, és </w:t>
      </w:r>
      <w:r w:rsidRPr="00556B9B">
        <w:rPr>
          <w:i/>
          <w:color w:val="000000"/>
          <w:lang w:val="hu-HU"/>
        </w:rPr>
        <w:t>in vivo</w:t>
      </w:r>
      <w:r w:rsidRPr="00556B9B">
        <w:rPr>
          <w:color w:val="000000"/>
          <w:lang w:val="hu-HU"/>
        </w:rPr>
        <w:t>. A vegyület a Bcr-Abl pozitív sejtvonalak és a Philadelphia kromoszóma pozitív CML és akut lymphoblastos leukaemiás (</w:t>
      </w:r>
      <w:smartTag w:uri="urn:schemas-microsoft-com:office:smarttags" w:element="stockticker">
        <w:r w:rsidRPr="00556B9B">
          <w:rPr>
            <w:color w:val="000000"/>
            <w:lang w:val="hu-HU"/>
          </w:rPr>
          <w:t>ALL</w:t>
        </w:r>
      </w:smartTag>
      <w:r w:rsidRPr="00556B9B">
        <w:rPr>
          <w:color w:val="000000"/>
          <w:lang w:val="hu-HU"/>
        </w:rPr>
        <w:t>) betegekből frissen izolált leukaemiás sejtek proliferációját szelektíven gátolja, és azokban apoptózist indukál.</w:t>
      </w:r>
    </w:p>
    <w:p w14:paraId="2F56BD97" w14:textId="77777777" w:rsidR="00153AD1" w:rsidRPr="00556B9B" w:rsidRDefault="00153AD1" w:rsidP="00153AD1">
      <w:pPr>
        <w:spacing w:line="240" w:lineRule="auto"/>
        <w:rPr>
          <w:color w:val="000000"/>
          <w:lang w:val="hu-HU"/>
        </w:rPr>
      </w:pPr>
    </w:p>
    <w:p w14:paraId="2DB42652" w14:textId="77777777" w:rsidR="00153AD1" w:rsidRPr="00556B9B" w:rsidRDefault="00153AD1" w:rsidP="00153AD1">
      <w:pPr>
        <w:spacing w:line="240" w:lineRule="auto"/>
        <w:rPr>
          <w:color w:val="000000"/>
          <w:lang w:val="hu-HU"/>
        </w:rPr>
      </w:pPr>
      <w:r w:rsidRPr="00556B9B">
        <w:rPr>
          <w:color w:val="000000"/>
          <w:lang w:val="hu-HU"/>
        </w:rPr>
        <w:t>Állatmodellekben, Bcr</w:t>
      </w:r>
      <w:r w:rsidRPr="00556B9B">
        <w:rPr>
          <w:color w:val="000000"/>
          <w:lang w:val="hu-HU"/>
        </w:rPr>
        <w:noBreakHyphen/>
        <w:t>Abl pozitív tumorsejteket használva, a vegyület egyedülálló anyagként mutat</w:t>
      </w:r>
      <w:r w:rsidRPr="00556B9B">
        <w:rPr>
          <w:i/>
          <w:color w:val="000000"/>
          <w:lang w:val="hu-HU"/>
        </w:rPr>
        <w:t xml:space="preserve"> in vivo</w:t>
      </w:r>
      <w:r w:rsidRPr="00556B9B">
        <w:rPr>
          <w:color w:val="000000"/>
          <w:lang w:val="hu-HU"/>
        </w:rPr>
        <w:t xml:space="preserve"> antitumor aktivitást.</w:t>
      </w:r>
    </w:p>
    <w:p w14:paraId="732ED0CF" w14:textId="77777777" w:rsidR="00153AD1" w:rsidRPr="00556B9B" w:rsidRDefault="00153AD1" w:rsidP="00153AD1">
      <w:pPr>
        <w:spacing w:line="240" w:lineRule="auto"/>
        <w:rPr>
          <w:color w:val="000000"/>
          <w:lang w:val="hu-HU"/>
        </w:rPr>
      </w:pPr>
    </w:p>
    <w:p w14:paraId="660D77CE" w14:textId="77777777" w:rsidR="00153AD1" w:rsidRPr="00556B9B" w:rsidRDefault="00153AD1" w:rsidP="00153AD1">
      <w:pPr>
        <w:spacing w:line="240" w:lineRule="auto"/>
        <w:rPr>
          <w:color w:val="000000"/>
          <w:lang w:val="hu-HU"/>
        </w:rPr>
      </w:pPr>
      <w:r w:rsidRPr="00556B9B">
        <w:rPr>
          <w:color w:val="000000"/>
          <w:lang w:val="hu-HU"/>
        </w:rPr>
        <w:t>Továbbá, az imatinib hatékonyan gátolja a thrombocyta-eredetű növekedési faktor (PDGF), PDGF</w:t>
      </w:r>
      <w:r w:rsidRPr="00556B9B">
        <w:rPr>
          <w:color w:val="000000"/>
          <w:lang w:val="hu-HU"/>
        </w:rPr>
        <w:noBreakHyphen/>
        <w:t>R, az őssejt faktor (SCF), tirozinkináz receptorait, a c</w:t>
      </w:r>
      <w:r w:rsidRPr="00556B9B">
        <w:rPr>
          <w:color w:val="000000"/>
          <w:lang w:val="hu-HU"/>
        </w:rPr>
        <w:noBreakHyphen/>
        <w:t>Kit</w:t>
      </w:r>
      <w:r w:rsidRPr="00556B9B">
        <w:rPr>
          <w:color w:val="000000"/>
          <w:lang w:val="hu-HU"/>
        </w:rPr>
        <w:noBreakHyphen/>
        <w:t xml:space="preserve">et, és gátolja a PDGF és SCF által közvetített celluláris folyamatokat. Az imatinib </w:t>
      </w:r>
      <w:r w:rsidRPr="00556B9B">
        <w:rPr>
          <w:i/>
          <w:color w:val="000000"/>
          <w:lang w:val="hu-HU"/>
        </w:rPr>
        <w:t>in vitro</w:t>
      </w:r>
      <w:r w:rsidRPr="00556B9B">
        <w:rPr>
          <w:color w:val="000000"/>
          <w:lang w:val="hu-HU"/>
        </w:rPr>
        <w:t xml:space="preserve"> az aktiváló </w:t>
      </w:r>
      <w:r w:rsidRPr="00556B9B">
        <w:rPr>
          <w:i/>
          <w:color w:val="000000"/>
          <w:lang w:val="hu-HU"/>
        </w:rPr>
        <w:t>kit</w:t>
      </w:r>
      <w:r w:rsidRPr="00556B9B">
        <w:rPr>
          <w:color w:val="000000"/>
          <w:lang w:val="hu-HU"/>
        </w:rPr>
        <w:t xml:space="preserve"> mutációt expresszáló gastrointestinalis stromalis tumor (GIST) sejtek proliferációját gátolja, és apoptózisukat indukálja. Az </w:t>
      </w:r>
      <w:smartTag w:uri="urn:schemas-microsoft-com:office:smarttags" w:element="stockticker">
        <w:r w:rsidRPr="00556B9B">
          <w:rPr>
            <w:color w:val="000000"/>
            <w:lang w:val="hu-HU"/>
          </w:rPr>
          <w:t>MDS</w:t>
        </w:r>
      </w:smartTag>
      <w:r w:rsidRPr="00556B9B">
        <w:rPr>
          <w:color w:val="000000"/>
          <w:lang w:val="hu-HU"/>
        </w:rPr>
        <w:t>/MPD,a HES/</w:t>
      </w:r>
      <w:smartTag w:uri="urn:schemas-microsoft-com:office:smarttags" w:element="stockticker">
        <w:r w:rsidRPr="00556B9B">
          <w:rPr>
            <w:color w:val="000000"/>
            <w:lang w:val="hu-HU"/>
          </w:rPr>
          <w:t>CEL</w:t>
        </w:r>
      </w:smartTag>
      <w:r w:rsidRPr="00556B9B">
        <w:rPr>
          <w:color w:val="000000"/>
          <w:lang w:val="hu-HU"/>
        </w:rPr>
        <w:t>, valamint a DFSP patogenezise kapcsán felmerült a PDGF receptor vagy az Abl protein tirozinkinázok konstitutív aktivációja, amely a különböző partnerfehérjékkel való fúzió, illetve a PDGF konstitutív termelődésének következménye. Az imatinib gátolja a PDGFR és Abl</w:t>
      </w:r>
      <w:r w:rsidRPr="00556B9B">
        <w:rPr>
          <w:color w:val="000000"/>
          <w:lang w:val="hu-HU"/>
        </w:rPr>
        <w:noBreakHyphen/>
        <w:t>kináz kóros regulációja által okozott sejtproliferációt és jelátvitelt.</w:t>
      </w:r>
    </w:p>
    <w:p w14:paraId="2DB9F52D" w14:textId="77777777" w:rsidR="00153AD1" w:rsidRPr="00556B9B" w:rsidRDefault="00153AD1" w:rsidP="00153AD1">
      <w:pPr>
        <w:spacing w:line="240" w:lineRule="auto"/>
        <w:rPr>
          <w:color w:val="000000"/>
          <w:lang w:val="hu-HU"/>
        </w:rPr>
      </w:pPr>
    </w:p>
    <w:p w14:paraId="51FF82EF" w14:textId="77777777" w:rsidR="00153AD1" w:rsidRPr="00556B9B" w:rsidRDefault="00153AD1" w:rsidP="00F926B9">
      <w:pPr>
        <w:keepNext/>
        <w:spacing w:line="240" w:lineRule="auto"/>
        <w:rPr>
          <w:color w:val="000000"/>
          <w:u w:val="single"/>
          <w:lang w:val="hu-HU"/>
        </w:rPr>
      </w:pPr>
      <w:r w:rsidRPr="00556B9B">
        <w:rPr>
          <w:color w:val="000000"/>
          <w:u w:val="single"/>
          <w:lang w:val="hu-HU"/>
        </w:rPr>
        <w:t>Klinikai vizsgálatok krónikus myeloid leukaemiában</w:t>
      </w:r>
    </w:p>
    <w:p w14:paraId="524EDE85" w14:textId="77777777" w:rsidR="00153AD1" w:rsidRPr="006D0F5F" w:rsidRDefault="00153AD1" w:rsidP="00153AD1">
      <w:pPr>
        <w:spacing w:line="240" w:lineRule="auto"/>
        <w:rPr>
          <w:color w:val="000000"/>
          <w:lang w:val="hu-HU"/>
        </w:rPr>
      </w:pPr>
      <w:r w:rsidRPr="00556B9B">
        <w:rPr>
          <w:color w:val="000000"/>
          <w:lang w:val="hu-HU"/>
        </w:rPr>
        <w:t xml:space="preserve">A Glivec hatékonyságát a teljes hematológiai és cytogenetikai válaszarány, valamint a progressziómentes túlélés határozza meg. Az újonnan diagnosztizált, krónikus fázisú CML kivételével nem végeztek kontrollált vizsgálatokat a kezelés </w:t>
      </w:r>
      <w:r w:rsidRPr="006D0F5F">
        <w:rPr>
          <w:color w:val="000000"/>
          <w:lang w:val="hu-HU"/>
        </w:rPr>
        <w:t>klinikai előnyeit (pl. a betegséggel összefüggő tünetek javulását vagy a túlélési arány növekedését) illetően.</w:t>
      </w:r>
    </w:p>
    <w:p w14:paraId="36BB6A09" w14:textId="77777777" w:rsidR="00153AD1" w:rsidRPr="006D0F5F" w:rsidRDefault="00153AD1" w:rsidP="00153AD1">
      <w:pPr>
        <w:spacing w:line="240" w:lineRule="auto"/>
        <w:rPr>
          <w:color w:val="000000"/>
          <w:lang w:val="hu-HU"/>
        </w:rPr>
      </w:pPr>
    </w:p>
    <w:p w14:paraId="4EDFAD51" w14:textId="1C871ADF" w:rsidR="00153AD1" w:rsidRPr="006D0F5F" w:rsidRDefault="00153AD1" w:rsidP="00153AD1">
      <w:pPr>
        <w:pStyle w:val="WW-BodyText2"/>
        <w:rPr>
          <w:color w:val="000000"/>
          <w:sz w:val="22"/>
        </w:rPr>
      </w:pPr>
      <w:r w:rsidRPr="006D0F5F">
        <w:rPr>
          <w:color w:val="000000"/>
          <w:sz w:val="22"/>
        </w:rPr>
        <w:t>Három nagy, nemzetközi, nyílt, nem kontroll</w:t>
      </w:r>
      <w:r w:rsidR="00E43AFB" w:rsidRPr="006D0F5F">
        <w:rPr>
          <w:color w:val="000000"/>
          <w:sz w:val="22"/>
        </w:rPr>
        <w:t>os</w:t>
      </w:r>
      <w:r w:rsidRPr="006D0F5F">
        <w:rPr>
          <w:color w:val="000000"/>
          <w:sz w:val="22"/>
        </w:rPr>
        <w:t xml:space="preserve"> II. </w:t>
      </w:r>
      <w:r w:rsidR="00E43AFB" w:rsidRPr="006D0F5F">
        <w:rPr>
          <w:color w:val="000000"/>
          <w:sz w:val="22"/>
        </w:rPr>
        <w:t xml:space="preserve">fázisú </w:t>
      </w:r>
      <w:r w:rsidRPr="006D0F5F">
        <w:rPr>
          <w:color w:val="000000"/>
          <w:sz w:val="22"/>
        </w:rPr>
        <w:t>vizsgálat történt Philadelphia kromoszóma pozitív (Ph+) előrehaladott, blasztos vagy akcelerált fázisban levő CML</w:t>
      </w:r>
      <w:r w:rsidRPr="006D0F5F">
        <w:rPr>
          <w:color w:val="000000"/>
          <w:sz w:val="22"/>
        </w:rPr>
        <w:noBreakHyphen/>
        <w:t>es betegekkel, valamint egyéb Ph+ leukaemiákban, ill. alfa</w:t>
      </w:r>
      <w:r w:rsidRPr="006D0F5F">
        <w:rPr>
          <w:color w:val="000000"/>
          <w:sz w:val="22"/>
        </w:rPr>
        <w:noBreakHyphen/>
        <w:t>interferon (IFN) terápiára rezisztens krónikus fázisú CML</w:t>
      </w:r>
      <w:r w:rsidRPr="006D0F5F">
        <w:rPr>
          <w:color w:val="000000"/>
          <w:sz w:val="22"/>
        </w:rPr>
        <w:noBreakHyphen/>
        <w:t xml:space="preserve">ben szenvedő betegekkel. Egy nagy, nyílt, multicentrikus, nemzetközi, randomizált </w:t>
      </w:r>
      <w:smartTag w:uri="urn:schemas-microsoft-com:office:smarttags" w:element="stockticker">
        <w:r w:rsidRPr="006D0F5F">
          <w:rPr>
            <w:color w:val="000000"/>
            <w:sz w:val="22"/>
          </w:rPr>
          <w:t>III</w:t>
        </w:r>
      </w:smartTag>
      <w:r w:rsidRPr="006D0F5F">
        <w:rPr>
          <w:color w:val="000000"/>
          <w:sz w:val="22"/>
        </w:rPr>
        <w:t xml:space="preserve">. </w:t>
      </w:r>
      <w:r w:rsidR="00E43AFB" w:rsidRPr="006D0F5F">
        <w:rPr>
          <w:color w:val="000000"/>
          <w:sz w:val="22"/>
        </w:rPr>
        <w:t xml:space="preserve">fázisú </w:t>
      </w:r>
      <w:r w:rsidRPr="006D0F5F">
        <w:rPr>
          <w:color w:val="000000"/>
          <w:sz w:val="22"/>
        </w:rPr>
        <w:t>vizsgálatot végeztek újonnan diagnosztizált Ph+ CML</w:t>
      </w:r>
      <w:r w:rsidRPr="006D0F5F">
        <w:rPr>
          <w:color w:val="000000"/>
          <w:sz w:val="22"/>
        </w:rPr>
        <w:noBreakHyphen/>
        <w:t>es betegekkel. Továbbá két I.</w:t>
      </w:r>
      <w:r w:rsidR="00E43AFB" w:rsidRPr="006D0F5F">
        <w:rPr>
          <w:color w:val="000000"/>
          <w:sz w:val="22"/>
        </w:rPr>
        <w:t xml:space="preserve"> fázisú</w:t>
      </w:r>
      <w:r w:rsidRPr="006D0F5F">
        <w:rPr>
          <w:color w:val="000000"/>
          <w:sz w:val="22"/>
        </w:rPr>
        <w:t xml:space="preserve">, valamint egy II. </w:t>
      </w:r>
      <w:r w:rsidR="00E43AFB" w:rsidRPr="006D0F5F">
        <w:rPr>
          <w:color w:val="000000"/>
          <w:sz w:val="22"/>
        </w:rPr>
        <w:t xml:space="preserve">fázisú </w:t>
      </w:r>
      <w:r w:rsidRPr="006D0F5F">
        <w:rPr>
          <w:color w:val="000000"/>
          <w:sz w:val="22"/>
        </w:rPr>
        <w:t>vizsgálatban kezeltek gyermekeket.</w:t>
      </w:r>
    </w:p>
    <w:p w14:paraId="7608D24A" w14:textId="77777777" w:rsidR="00153AD1" w:rsidRPr="006D0F5F" w:rsidRDefault="00153AD1" w:rsidP="00153AD1">
      <w:pPr>
        <w:spacing w:line="240" w:lineRule="auto"/>
        <w:rPr>
          <w:color w:val="000000"/>
          <w:lang w:val="hu-HU"/>
        </w:rPr>
      </w:pPr>
    </w:p>
    <w:p w14:paraId="4B78673B" w14:textId="061EA41F" w:rsidR="00153AD1" w:rsidRPr="006D0F5F" w:rsidRDefault="00153AD1" w:rsidP="00153AD1">
      <w:pPr>
        <w:spacing w:line="240" w:lineRule="auto"/>
        <w:rPr>
          <w:color w:val="000000"/>
          <w:lang w:val="hu-HU"/>
        </w:rPr>
      </w:pPr>
      <w:r w:rsidRPr="006D0F5F">
        <w:rPr>
          <w:color w:val="000000"/>
          <w:lang w:val="hu-HU"/>
        </w:rPr>
        <w:t>Valamennyi klinikai vizsgálatot figyelembe véve a betegek 38–40%</w:t>
      </w:r>
      <w:r w:rsidR="00E43AFB" w:rsidRPr="006D0F5F">
        <w:rPr>
          <w:color w:val="000000"/>
          <w:lang w:val="hu-HU"/>
        </w:rPr>
        <w:t xml:space="preserve">-a </w:t>
      </w:r>
      <w:r w:rsidRPr="006D0F5F">
        <w:rPr>
          <w:color w:val="000000"/>
          <w:lang w:val="hu-HU"/>
        </w:rPr>
        <w:t>60 éves vagy ennél idősebb, 10–12%</w:t>
      </w:r>
      <w:r w:rsidRPr="006D0F5F">
        <w:rPr>
          <w:color w:val="000000"/>
          <w:lang w:val="hu-HU"/>
        </w:rPr>
        <w:noBreakHyphen/>
        <w:t>a 70 éves vagy ennél idősebb volt.</w:t>
      </w:r>
    </w:p>
    <w:p w14:paraId="651D1022" w14:textId="77777777" w:rsidR="00153AD1" w:rsidRPr="006D0F5F" w:rsidRDefault="00153AD1" w:rsidP="00153AD1">
      <w:pPr>
        <w:spacing w:line="240" w:lineRule="auto"/>
        <w:rPr>
          <w:color w:val="000000"/>
          <w:lang w:val="hu-HU"/>
        </w:rPr>
      </w:pPr>
    </w:p>
    <w:p w14:paraId="2700D00E" w14:textId="4ED3A75F" w:rsidR="00153AD1" w:rsidRPr="00556B9B" w:rsidRDefault="00153AD1" w:rsidP="00153AD1">
      <w:pPr>
        <w:pStyle w:val="Heading2"/>
        <w:spacing w:before="0" w:after="0" w:line="240" w:lineRule="auto"/>
        <w:rPr>
          <w:rFonts w:ascii="Times New Roman" w:hAnsi="Times New Roman"/>
          <w:b w:val="0"/>
          <w:i w:val="0"/>
          <w:color w:val="000000"/>
          <w:sz w:val="22"/>
          <w:lang w:val="hu-HU"/>
        </w:rPr>
      </w:pPr>
      <w:r w:rsidRPr="006D0F5F">
        <w:rPr>
          <w:rFonts w:ascii="Times New Roman" w:hAnsi="Times New Roman"/>
          <w:b w:val="0"/>
          <w:color w:val="000000"/>
          <w:sz w:val="22"/>
          <w:lang w:val="hu-HU"/>
        </w:rPr>
        <w:t>Újonnan diagnosztizált krónikus fázis:</w:t>
      </w:r>
      <w:r w:rsidRPr="006D0F5F">
        <w:rPr>
          <w:rFonts w:ascii="Times New Roman" w:hAnsi="Times New Roman"/>
          <w:b w:val="0"/>
          <w:i w:val="0"/>
          <w:color w:val="000000"/>
          <w:sz w:val="22"/>
          <w:lang w:val="hu-HU"/>
        </w:rPr>
        <w:t xml:space="preserve"> ez, a felnőttek</w:t>
      </w:r>
      <w:r w:rsidR="00E43AFB" w:rsidRPr="006D0F5F">
        <w:rPr>
          <w:rFonts w:ascii="Times New Roman" w:hAnsi="Times New Roman"/>
          <w:b w:val="0"/>
          <w:i w:val="0"/>
          <w:color w:val="000000"/>
          <w:sz w:val="22"/>
          <w:lang w:val="hu-HU"/>
        </w:rPr>
        <w:t xml:space="preserve"> bevonásával</w:t>
      </w:r>
      <w:r w:rsidRPr="006D0F5F">
        <w:rPr>
          <w:rFonts w:ascii="Times New Roman" w:hAnsi="Times New Roman"/>
          <w:b w:val="0"/>
          <w:i w:val="0"/>
          <w:color w:val="000000"/>
          <w:sz w:val="22"/>
          <w:lang w:val="hu-HU"/>
        </w:rPr>
        <w:t xml:space="preserve"> végzett, </w:t>
      </w:r>
      <w:smartTag w:uri="urn:schemas-microsoft-com:office:smarttags" w:element="stockticker">
        <w:r w:rsidRPr="006D0F5F">
          <w:rPr>
            <w:rFonts w:ascii="Times New Roman" w:hAnsi="Times New Roman"/>
            <w:b w:val="0"/>
            <w:i w:val="0"/>
            <w:color w:val="000000"/>
            <w:sz w:val="22"/>
            <w:lang w:val="hu-HU"/>
          </w:rPr>
          <w:t>III</w:t>
        </w:r>
      </w:smartTag>
      <w:r w:rsidRPr="006D0F5F">
        <w:rPr>
          <w:rFonts w:ascii="Times New Roman" w:hAnsi="Times New Roman"/>
          <w:b w:val="0"/>
          <w:i w:val="0"/>
          <w:color w:val="000000"/>
          <w:sz w:val="22"/>
          <w:lang w:val="hu-HU"/>
        </w:rPr>
        <w:t xml:space="preserve">. </w:t>
      </w:r>
      <w:r w:rsidR="00E43AFB" w:rsidRPr="006D0F5F">
        <w:rPr>
          <w:rFonts w:ascii="Times New Roman" w:hAnsi="Times New Roman"/>
          <w:b w:val="0"/>
          <w:i w:val="0"/>
          <w:color w:val="000000"/>
          <w:sz w:val="22"/>
          <w:lang w:val="hu-HU"/>
        </w:rPr>
        <w:t xml:space="preserve">fázisú </w:t>
      </w:r>
      <w:r w:rsidRPr="006D0F5F">
        <w:rPr>
          <w:rFonts w:ascii="Times New Roman" w:hAnsi="Times New Roman"/>
          <w:b w:val="0"/>
          <w:i w:val="0"/>
          <w:color w:val="000000"/>
          <w:sz w:val="22"/>
          <w:lang w:val="hu-HU"/>
        </w:rPr>
        <w:t>vizsgálat a Glivec monoterápiát hasonlította össze az alfa</w:t>
      </w:r>
      <w:r w:rsidRPr="006D0F5F">
        <w:rPr>
          <w:rFonts w:ascii="Times New Roman" w:hAnsi="Times New Roman"/>
          <w:b w:val="0"/>
          <w:i w:val="0"/>
          <w:color w:val="000000"/>
          <w:sz w:val="22"/>
          <w:lang w:val="hu-HU"/>
        </w:rPr>
        <w:noBreakHyphen/>
        <w:t>interferon (IFN) – citarabin (Ara</w:t>
      </w:r>
      <w:r w:rsidRPr="006D0F5F">
        <w:rPr>
          <w:rFonts w:ascii="Times New Roman" w:hAnsi="Times New Roman"/>
          <w:b w:val="0"/>
          <w:i w:val="0"/>
          <w:color w:val="000000"/>
          <w:sz w:val="22"/>
          <w:lang w:val="hu-HU"/>
        </w:rPr>
        <w:noBreakHyphen/>
        <w:t>C) kombinált kezeléssel. Azok a betegek, akiknél nem alakult ki válasz (6 hónap alatt nem következett be komplett hematológiai válasz (</w:t>
      </w:r>
      <w:smartTag w:uri="urn:schemas-microsoft-com:office:smarttags" w:element="stockticker">
        <w:r w:rsidRPr="006D0F5F">
          <w:rPr>
            <w:rFonts w:ascii="Times New Roman" w:hAnsi="Times New Roman"/>
            <w:b w:val="0"/>
            <w:i w:val="0"/>
            <w:color w:val="000000"/>
            <w:sz w:val="22"/>
            <w:lang w:val="hu-HU"/>
          </w:rPr>
          <w:t>CHR</w:t>
        </w:r>
      </w:smartTag>
      <w:r w:rsidRPr="006D0F5F">
        <w:rPr>
          <w:rFonts w:ascii="Times New Roman" w:hAnsi="Times New Roman"/>
          <w:b w:val="0"/>
          <w:i w:val="0"/>
          <w:color w:val="000000"/>
          <w:sz w:val="22"/>
          <w:lang w:val="hu-HU"/>
        </w:rPr>
        <w:t>), nőtt a fehérvérsejtszám, nem volt nagyfokú (major) cytogenetikai válasz (MCyR) 24 hónapon belül), illetve megszűnt a válasz (</w:t>
      </w:r>
      <w:smartTag w:uri="urn:schemas-microsoft-com:office:smarttags" w:element="stockticker">
        <w:r w:rsidRPr="006D0F5F">
          <w:rPr>
            <w:rFonts w:ascii="Times New Roman" w:hAnsi="Times New Roman"/>
            <w:b w:val="0"/>
            <w:i w:val="0"/>
            <w:color w:val="000000"/>
            <w:sz w:val="22"/>
            <w:lang w:val="hu-HU"/>
          </w:rPr>
          <w:t>CHR</w:t>
        </w:r>
      </w:smartTag>
      <w:r w:rsidRPr="006D0F5F">
        <w:rPr>
          <w:rFonts w:ascii="Times New Roman" w:hAnsi="Times New Roman"/>
          <w:b w:val="0"/>
          <w:i w:val="0"/>
          <w:color w:val="000000"/>
          <w:sz w:val="22"/>
          <w:lang w:val="hu-HU"/>
        </w:rPr>
        <w:t xml:space="preserve"> vagy MCyR megszűnése), vagy nem tolerálták a kezelést, átmehettek a másik kezelési csoportba. A Glivec</w:t>
      </w:r>
      <w:r w:rsidRPr="006D0F5F">
        <w:rPr>
          <w:rFonts w:ascii="Times New Roman" w:hAnsi="Times New Roman"/>
          <w:b w:val="0"/>
          <w:i w:val="0"/>
          <w:color w:val="000000"/>
          <w:sz w:val="22"/>
          <w:lang w:val="hu-HU"/>
        </w:rPr>
        <w:noBreakHyphen/>
        <w:t>csoportban a betegek</w:t>
      </w:r>
      <w:r w:rsidRPr="00556B9B">
        <w:rPr>
          <w:rFonts w:ascii="Times New Roman" w:hAnsi="Times New Roman"/>
          <w:b w:val="0"/>
          <w:i w:val="0"/>
          <w:color w:val="000000"/>
          <w:sz w:val="22"/>
          <w:lang w:val="hu-HU"/>
        </w:rPr>
        <w:t xml:space="preserve"> naponta </w:t>
      </w:r>
      <w:r w:rsidRPr="00556B9B">
        <w:rPr>
          <w:rFonts w:ascii="Times New Roman" w:hAnsi="Times New Roman"/>
          <w:b w:val="0"/>
          <w:i w:val="0"/>
          <w:color w:val="000000"/>
          <w:sz w:val="22"/>
          <w:lang w:val="hu-HU"/>
        </w:rPr>
        <w:lastRenderedPageBreak/>
        <w:t>400 mg Glivec</w:t>
      </w:r>
      <w:r w:rsidRPr="00556B9B">
        <w:rPr>
          <w:rFonts w:ascii="Times New Roman" w:hAnsi="Times New Roman"/>
          <w:b w:val="0"/>
          <w:i w:val="0"/>
          <w:color w:val="000000"/>
          <w:sz w:val="22"/>
          <w:lang w:val="hu-HU"/>
        </w:rPr>
        <w:noBreakHyphen/>
        <w:t xml:space="preserve">et kaptak, az IFN csoportban </w:t>
      </w:r>
      <w:smartTag w:uri="urn:schemas-microsoft-com:office:smarttags" w:element="metricconverter">
        <w:smartTagPr>
          <w:attr w:name="ProductID" w:val="5ﾠM"/>
        </w:smartTagPr>
        <w:r w:rsidRPr="00556B9B">
          <w:rPr>
            <w:rFonts w:ascii="Times New Roman" w:hAnsi="Times New Roman"/>
            <w:b w:val="0"/>
            <w:i w:val="0"/>
            <w:color w:val="000000"/>
            <w:sz w:val="22"/>
            <w:lang w:val="hu-HU"/>
          </w:rPr>
          <w:t>5 M</w:t>
        </w:r>
      </w:smartTag>
      <w:r w:rsidRPr="00556B9B">
        <w:rPr>
          <w:rFonts w:ascii="Times New Roman" w:hAnsi="Times New Roman"/>
          <w:b w:val="0"/>
          <w:i w:val="0"/>
          <w:color w:val="000000"/>
          <w:sz w:val="22"/>
          <w:lang w:val="hu-HU"/>
        </w:rPr>
        <w:t xml:space="preserve"> NE/m</w:t>
      </w:r>
      <w:r w:rsidRPr="00556B9B">
        <w:rPr>
          <w:rFonts w:ascii="Times New Roman" w:hAnsi="Times New Roman"/>
          <w:b w:val="0"/>
          <w:i w:val="0"/>
          <w:color w:val="000000"/>
          <w:sz w:val="22"/>
          <w:vertAlign w:val="superscript"/>
          <w:lang w:val="hu-HU"/>
        </w:rPr>
        <w:t>2</w:t>
      </w:r>
      <w:r w:rsidRPr="00556B9B">
        <w:rPr>
          <w:rFonts w:ascii="Times New Roman" w:hAnsi="Times New Roman"/>
          <w:b w:val="0"/>
          <w:i w:val="0"/>
          <w:color w:val="000000"/>
          <w:sz w:val="22"/>
          <w:lang w:val="hu-HU"/>
        </w:rPr>
        <w:t>/nap IFN</w:t>
      </w:r>
      <w:r w:rsidRPr="00556B9B">
        <w:rPr>
          <w:rFonts w:ascii="Times New Roman" w:hAnsi="Times New Roman"/>
          <w:b w:val="0"/>
          <w:i w:val="0"/>
          <w:color w:val="000000"/>
          <w:sz w:val="22"/>
          <w:lang w:val="hu-HU"/>
        </w:rPr>
        <w:noBreakHyphen/>
        <w:t>t és 20 mg/m</w:t>
      </w:r>
      <w:r w:rsidRPr="00556B9B">
        <w:rPr>
          <w:rFonts w:ascii="Times New Roman" w:hAnsi="Times New Roman"/>
          <w:b w:val="0"/>
          <w:i w:val="0"/>
          <w:color w:val="000000"/>
          <w:sz w:val="22"/>
          <w:vertAlign w:val="superscript"/>
          <w:lang w:val="hu-HU"/>
        </w:rPr>
        <w:t>2</w:t>
      </w:r>
      <w:r w:rsidRPr="00556B9B">
        <w:rPr>
          <w:rFonts w:ascii="Times New Roman" w:hAnsi="Times New Roman"/>
          <w:b w:val="0"/>
          <w:i w:val="0"/>
          <w:color w:val="000000"/>
          <w:sz w:val="22"/>
          <w:lang w:val="hu-HU"/>
        </w:rPr>
        <w:t>/nap Ara</w:t>
      </w:r>
      <w:r w:rsidRPr="00556B9B">
        <w:rPr>
          <w:rFonts w:ascii="Times New Roman" w:hAnsi="Times New Roman"/>
          <w:b w:val="0"/>
          <w:i w:val="0"/>
          <w:color w:val="000000"/>
          <w:sz w:val="22"/>
          <w:lang w:val="hu-HU"/>
        </w:rPr>
        <w:noBreakHyphen/>
        <w:t>C kombinációt kaptak subcutan, havonta 10 napon keresztül.</w:t>
      </w:r>
    </w:p>
    <w:p w14:paraId="653A6B8C" w14:textId="77777777" w:rsidR="00153AD1" w:rsidRPr="00556B9B" w:rsidRDefault="00153AD1" w:rsidP="00153AD1">
      <w:pPr>
        <w:rPr>
          <w:color w:val="000000"/>
          <w:lang w:val="hu-HU"/>
        </w:rPr>
      </w:pPr>
    </w:p>
    <w:p w14:paraId="0D3CB81F" w14:textId="77777777" w:rsidR="00153AD1" w:rsidRPr="00556B9B" w:rsidRDefault="00153AD1" w:rsidP="00F926B9">
      <w:pPr>
        <w:pStyle w:val="Heading2"/>
        <w:keepNext w:val="0"/>
        <w:numPr>
          <w:ilvl w:val="0"/>
          <w:numId w:val="0"/>
        </w:numPr>
        <w:spacing w:before="0" w:after="0" w:line="240" w:lineRule="auto"/>
        <w:rPr>
          <w:rFonts w:ascii="Times New Roman" w:hAnsi="Times New Roman"/>
          <w:b w:val="0"/>
          <w:i w:val="0"/>
          <w:color w:val="000000"/>
          <w:sz w:val="22"/>
          <w:lang w:val="hu-HU"/>
        </w:rPr>
      </w:pPr>
      <w:r w:rsidRPr="00556B9B">
        <w:rPr>
          <w:rFonts w:ascii="Times New Roman" w:hAnsi="Times New Roman"/>
          <w:b w:val="0"/>
          <w:i w:val="0"/>
          <w:color w:val="000000"/>
          <w:sz w:val="22"/>
          <w:lang w:val="hu-HU"/>
        </w:rPr>
        <w:t>Összesen 1106 beteget randomizáltak (553</w:t>
      </w:r>
      <w:r w:rsidRPr="00556B9B">
        <w:rPr>
          <w:rFonts w:ascii="Times New Roman" w:hAnsi="Times New Roman"/>
          <w:b w:val="0"/>
          <w:i w:val="0"/>
          <w:color w:val="000000"/>
          <w:sz w:val="22"/>
          <w:lang w:val="hu-HU"/>
        </w:rPr>
        <w:noBreakHyphen/>
        <w:t>t mindegyik csoportban). A két csoport a kiindulási értékeket illetően kiegyenlített volt. Az átlagéletkor 51 év (18–70 év) volt. A betegek 21,9%</w:t>
      </w:r>
      <w:r w:rsidRPr="00556B9B">
        <w:rPr>
          <w:rFonts w:ascii="Times New Roman" w:hAnsi="Times New Roman"/>
          <w:b w:val="0"/>
          <w:i w:val="0"/>
          <w:color w:val="000000"/>
          <w:sz w:val="22"/>
          <w:lang w:val="hu-HU"/>
        </w:rPr>
        <w:noBreakHyphen/>
        <w:t>a volt 60 éves vagy efelett. 59% volt a férfiak és 41% volt a nők aránya; 89,9% kaukázusi, 4,7% fekete rasszbeli volt. Hét évvel az utolsó beteg bevonása után az első vonalbeli kezelés medián időtartama a Glivec</w:t>
      </w:r>
      <w:r w:rsidRPr="00556B9B">
        <w:rPr>
          <w:rFonts w:ascii="Times New Roman" w:hAnsi="Times New Roman"/>
          <w:b w:val="0"/>
          <w:i w:val="0"/>
          <w:color w:val="000000"/>
          <w:sz w:val="22"/>
          <w:lang w:val="hu-HU"/>
        </w:rPr>
        <w:noBreakHyphen/>
        <w:t>csoportban 82 hónap, az IFN csoportban 8 hónap volt. A második vonalbeli Glivec</w:t>
      </w:r>
      <w:r w:rsidRPr="00556B9B">
        <w:rPr>
          <w:rFonts w:ascii="Times New Roman" w:hAnsi="Times New Roman"/>
          <w:b w:val="0"/>
          <w:i w:val="0"/>
          <w:color w:val="000000"/>
          <w:sz w:val="22"/>
          <w:lang w:val="hu-HU"/>
        </w:rPr>
        <w:noBreakHyphen/>
        <w:t>kezelés medián időtartama 64 hónap volt. Az első vonalbeli Glivec</w:t>
      </w:r>
      <w:r w:rsidRPr="00556B9B">
        <w:rPr>
          <w:rFonts w:ascii="Times New Roman" w:hAnsi="Times New Roman"/>
          <w:b w:val="0"/>
          <w:i w:val="0"/>
          <w:color w:val="000000"/>
          <w:sz w:val="22"/>
          <w:lang w:val="hu-HU"/>
        </w:rPr>
        <w:noBreakHyphen/>
        <w:t>kezelésben részesülő betegek átlagos napi adagja 406 </w:t>
      </w:r>
      <w:r w:rsidRPr="00556B9B">
        <w:rPr>
          <w:rFonts w:ascii="Times New Roman" w:hAnsi="Times New Roman"/>
          <w:b w:val="0"/>
          <w:i w:val="0"/>
          <w:color w:val="000000"/>
          <w:sz w:val="22"/>
          <w:lang w:val="hu-HU"/>
        </w:rPr>
        <w:sym w:font="Symbol" w:char="F0B1"/>
      </w:r>
      <w:r w:rsidRPr="00556B9B">
        <w:rPr>
          <w:rFonts w:ascii="Times New Roman" w:hAnsi="Times New Roman"/>
          <w:b w:val="0"/>
          <w:i w:val="0"/>
          <w:color w:val="000000"/>
          <w:sz w:val="22"/>
          <w:lang w:val="hu-HU"/>
        </w:rPr>
        <w:t xml:space="preserve"> 76 mg volt. A vizsgálat elsődleges hatékonysági végpontja a progresziómentes túlélési idő. Progressziónak az alábbi események bármelyikének bekövetkeztét tekintették: akcelerált fázisba vagy blasztos krízisbe való progresszió, halál bekövetkezte, a </w:t>
      </w:r>
      <w:smartTag w:uri="urn:schemas-microsoft-com:office:smarttags" w:element="stockticker">
        <w:r w:rsidRPr="00556B9B">
          <w:rPr>
            <w:rFonts w:ascii="Times New Roman" w:hAnsi="Times New Roman"/>
            <w:b w:val="0"/>
            <w:i w:val="0"/>
            <w:color w:val="000000"/>
            <w:sz w:val="22"/>
            <w:lang w:val="hu-HU"/>
          </w:rPr>
          <w:t>CHR</w:t>
        </w:r>
      </w:smartTag>
      <w:r w:rsidRPr="00556B9B">
        <w:rPr>
          <w:rFonts w:ascii="Times New Roman" w:hAnsi="Times New Roman"/>
          <w:b w:val="0"/>
          <w:i w:val="0"/>
          <w:color w:val="000000"/>
          <w:sz w:val="22"/>
          <w:lang w:val="hu-HU"/>
        </w:rPr>
        <w:t xml:space="preserve"> vagy MCyR megszűnése, vagy, ha megfelelő kezelés mellett sem jött létre </w:t>
      </w:r>
      <w:smartTag w:uri="urn:schemas-microsoft-com:office:smarttags" w:element="stockticker">
        <w:r w:rsidRPr="00556B9B">
          <w:rPr>
            <w:rFonts w:ascii="Times New Roman" w:hAnsi="Times New Roman"/>
            <w:b w:val="0"/>
            <w:i w:val="0"/>
            <w:color w:val="000000"/>
            <w:sz w:val="22"/>
            <w:lang w:val="hu-HU"/>
          </w:rPr>
          <w:t>CHR</w:t>
        </w:r>
      </w:smartTag>
      <w:r w:rsidRPr="00556B9B">
        <w:rPr>
          <w:rFonts w:ascii="Times New Roman" w:hAnsi="Times New Roman"/>
          <w:b w:val="0"/>
          <w:i w:val="0"/>
          <w:color w:val="000000"/>
          <w:sz w:val="22"/>
          <w:lang w:val="hu-HU"/>
        </w:rPr>
        <w:t xml:space="preserve">, nőtt a fehérvérsejtszám. Fő másodlagos kiértékelési végpontok: a jelentős cytogenetikai válasz, a hematológiai válasz, molekuláris válasz ( a minimális reziduális betegség értékelése), az akcelerált fázisig vagy a blasztos krízisig eltelt idő és a túlélés. A </w:t>
      </w:r>
      <w:r w:rsidR="004C3718" w:rsidRPr="00556B9B">
        <w:rPr>
          <w:rFonts w:ascii="Times New Roman" w:hAnsi="Times New Roman"/>
          <w:b w:val="0"/>
          <w:i w:val="0"/>
          <w:color w:val="000000"/>
          <w:sz w:val="22"/>
          <w:lang w:val="hu-HU"/>
        </w:rPr>
        <w:t>2</w:t>
      </w:r>
      <w:r w:rsidRPr="00556B9B">
        <w:rPr>
          <w:rFonts w:ascii="Times New Roman" w:hAnsi="Times New Roman"/>
          <w:b w:val="0"/>
          <w:i w:val="0"/>
          <w:color w:val="000000"/>
          <w:sz w:val="22"/>
          <w:lang w:val="hu-HU"/>
        </w:rPr>
        <w:t>. táblázat a kezelésre adott választ mutatja.</w:t>
      </w:r>
    </w:p>
    <w:p w14:paraId="6D704411" w14:textId="77777777" w:rsidR="00153AD1" w:rsidRPr="00556B9B" w:rsidRDefault="00153AD1" w:rsidP="00F926B9">
      <w:pPr>
        <w:pStyle w:val="Heading2"/>
        <w:keepNext w:val="0"/>
        <w:numPr>
          <w:ilvl w:val="0"/>
          <w:numId w:val="0"/>
        </w:numPr>
        <w:spacing w:before="0" w:after="0" w:line="240" w:lineRule="auto"/>
        <w:rPr>
          <w:rFonts w:ascii="Times New Roman" w:hAnsi="Times New Roman"/>
          <w:b w:val="0"/>
          <w:i w:val="0"/>
          <w:color w:val="000000"/>
          <w:sz w:val="22"/>
          <w:lang w:val="hu-HU"/>
        </w:rPr>
      </w:pPr>
    </w:p>
    <w:p w14:paraId="06F032F8" w14:textId="77777777" w:rsidR="00153AD1" w:rsidRPr="00556B9B" w:rsidRDefault="004C3718" w:rsidP="00F926B9">
      <w:pPr>
        <w:pStyle w:val="Header"/>
        <w:keepNext/>
        <w:keepLines/>
        <w:tabs>
          <w:tab w:val="clear" w:pos="567"/>
          <w:tab w:val="clear" w:pos="4153"/>
        </w:tabs>
        <w:spacing w:line="240" w:lineRule="auto"/>
        <w:ind w:left="1134" w:hanging="1134"/>
        <w:rPr>
          <w:rFonts w:ascii="Times New Roman" w:hAnsi="Times New Roman"/>
          <w:b/>
          <w:color w:val="000000"/>
          <w:sz w:val="22"/>
          <w:lang w:val="hu-HU"/>
        </w:rPr>
      </w:pPr>
      <w:r w:rsidRPr="00556B9B">
        <w:rPr>
          <w:rFonts w:ascii="Times New Roman" w:hAnsi="Times New Roman"/>
          <w:b/>
          <w:color w:val="000000"/>
          <w:sz w:val="22"/>
          <w:lang w:val="hu-HU"/>
        </w:rPr>
        <w:t>2</w:t>
      </w:r>
      <w:r w:rsidR="00153AD1" w:rsidRPr="00556B9B">
        <w:rPr>
          <w:rFonts w:ascii="Times New Roman" w:hAnsi="Times New Roman"/>
          <w:b/>
          <w:color w:val="000000"/>
          <w:sz w:val="22"/>
          <w:lang w:val="hu-HU"/>
        </w:rPr>
        <w:t>. táblázat</w:t>
      </w:r>
      <w:r w:rsidR="00153AD1" w:rsidRPr="00556B9B">
        <w:rPr>
          <w:rFonts w:ascii="Times New Roman" w:hAnsi="Times New Roman"/>
          <w:b/>
          <w:color w:val="000000"/>
          <w:sz w:val="22"/>
          <w:lang w:val="hu-HU"/>
        </w:rPr>
        <w:tab/>
        <w:t>Az újonnan diagnosztizált CML vizsgálat - a kezelésre adott válasz (84 hónapos adatok)</w:t>
      </w:r>
    </w:p>
    <w:p w14:paraId="47E0120F" w14:textId="77777777" w:rsidR="00153AD1" w:rsidRPr="00556B9B" w:rsidRDefault="00153AD1" w:rsidP="00F926B9">
      <w:pPr>
        <w:pStyle w:val="Header"/>
        <w:keepNext/>
        <w:spacing w:line="240" w:lineRule="auto"/>
        <w:rPr>
          <w:rFonts w:ascii="Times New Roman" w:hAnsi="Times New Roman"/>
          <w:color w:val="000000"/>
          <w:sz w:val="22"/>
          <w:lang w:val="hu-HU"/>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153AD1" w:rsidRPr="00556B9B" w14:paraId="7C7EE27F" w14:textId="77777777" w:rsidTr="00F926B9">
        <w:trPr>
          <w:cantSplit/>
        </w:trPr>
        <w:tc>
          <w:tcPr>
            <w:tcW w:w="3794" w:type="dxa"/>
            <w:tcBorders>
              <w:top w:val="single" w:sz="4" w:space="0" w:color="auto"/>
              <w:left w:val="single" w:sz="4" w:space="0" w:color="auto"/>
              <w:bottom w:val="nil"/>
            </w:tcBorders>
          </w:tcPr>
          <w:p w14:paraId="7A21AB9A" w14:textId="77777777" w:rsidR="00153AD1" w:rsidRPr="00556B9B" w:rsidRDefault="00153AD1" w:rsidP="00F926B9">
            <w:pPr>
              <w:pStyle w:val="Table"/>
              <w:widowControl w:val="0"/>
              <w:spacing w:before="0" w:after="0"/>
              <w:rPr>
                <w:rFonts w:ascii="Times New Roman" w:hAnsi="Times New Roman"/>
                <w:color w:val="000000"/>
                <w:sz w:val="22"/>
                <w:lang w:val="hu-HU"/>
              </w:rPr>
            </w:pPr>
          </w:p>
        </w:tc>
        <w:tc>
          <w:tcPr>
            <w:tcW w:w="2693" w:type="dxa"/>
            <w:tcBorders>
              <w:top w:val="single" w:sz="4" w:space="0" w:color="auto"/>
              <w:bottom w:val="nil"/>
            </w:tcBorders>
          </w:tcPr>
          <w:p w14:paraId="78C13132" w14:textId="77777777" w:rsidR="00153AD1" w:rsidRPr="00556B9B" w:rsidRDefault="00153AD1" w:rsidP="00F926B9">
            <w:pPr>
              <w:pStyle w:val="Table"/>
              <w:widowControl w:val="0"/>
              <w:spacing w:before="0" w:after="0"/>
              <w:jc w:val="center"/>
              <w:rPr>
                <w:rFonts w:ascii="Times New Roman" w:hAnsi="Times New Roman"/>
                <w:b/>
                <w:color w:val="000000"/>
                <w:sz w:val="22"/>
                <w:lang w:val="hu-HU"/>
              </w:rPr>
            </w:pPr>
            <w:r w:rsidRPr="00556B9B">
              <w:rPr>
                <w:rFonts w:ascii="Times New Roman" w:hAnsi="Times New Roman"/>
                <w:b/>
                <w:color w:val="000000"/>
                <w:sz w:val="22"/>
                <w:lang w:val="hu-HU"/>
              </w:rPr>
              <w:t>Glivec</w:t>
            </w:r>
          </w:p>
        </w:tc>
        <w:tc>
          <w:tcPr>
            <w:tcW w:w="2718" w:type="dxa"/>
            <w:tcBorders>
              <w:top w:val="single" w:sz="4" w:space="0" w:color="auto"/>
              <w:bottom w:val="nil"/>
              <w:right w:val="single" w:sz="4" w:space="0" w:color="auto"/>
            </w:tcBorders>
          </w:tcPr>
          <w:p w14:paraId="26894DEA" w14:textId="77777777" w:rsidR="00153AD1" w:rsidRPr="00556B9B" w:rsidRDefault="00153AD1" w:rsidP="00F926B9">
            <w:pPr>
              <w:pStyle w:val="Table"/>
              <w:widowControl w:val="0"/>
              <w:spacing w:before="0" w:after="0"/>
              <w:jc w:val="center"/>
              <w:rPr>
                <w:rFonts w:ascii="Times New Roman" w:hAnsi="Times New Roman"/>
                <w:b/>
                <w:color w:val="000000"/>
                <w:sz w:val="22"/>
                <w:lang w:val="hu-HU"/>
              </w:rPr>
            </w:pPr>
            <w:r w:rsidRPr="00556B9B">
              <w:rPr>
                <w:rFonts w:ascii="Times New Roman" w:hAnsi="Times New Roman"/>
                <w:b/>
                <w:color w:val="000000"/>
                <w:sz w:val="22"/>
                <w:lang w:val="hu-HU"/>
              </w:rPr>
              <w:t>IFN+Ara-C</w:t>
            </w:r>
          </w:p>
        </w:tc>
      </w:tr>
      <w:tr w:rsidR="00153AD1" w:rsidRPr="00556B9B" w14:paraId="19E97D38" w14:textId="77777777" w:rsidTr="00F926B9">
        <w:trPr>
          <w:cantSplit/>
        </w:trPr>
        <w:tc>
          <w:tcPr>
            <w:tcW w:w="3794" w:type="dxa"/>
            <w:tcBorders>
              <w:top w:val="nil"/>
              <w:left w:val="single" w:sz="4" w:space="0" w:color="auto"/>
              <w:bottom w:val="single" w:sz="4" w:space="0" w:color="auto"/>
            </w:tcBorders>
          </w:tcPr>
          <w:p w14:paraId="2AC40FD5" w14:textId="77777777" w:rsidR="00153AD1" w:rsidRPr="00556B9B" w:rsidRDefault="00153AD1" w:rsidP="00F926B9">
            <w:pPr>
              <w:pStyle w:val="Table"/>
              <w:widowControl w:val="0"/>
              <w:spacing w:before="0" w:after="0"/>
              <w:rPr>
                <w:rFonts w:ascii="Times New Roman" w:hAnsi="Times New Roman"/>
                <w:b/>
                <w:color w:val="000000"/>
                <w:sz w:val="22"/>
                <w:u w:val="single"/>
                <w:lang w:val="hu-HU"/>
              </w:rPr>
            </w:pPr>
            <w:r w:rsidRPr="00556B9B">
              <w:rPr>
                <w:rFonts w:ascii="Times New Roman" w:hAnsi="Times New Roman"/>
                <w:b/>
                <w:color w:val="000000"/>
                <w:sz w:val="22"/>
                <w:lang w:val="hu-HU"/>
              </w:rPr>
              <w:t>(A legjobb válaszarányok)</w:t>
            </w:r>
          </w:p>
        </w:tc>
        <w:tc>
          <w:tcPr>
            <w:tcW w:w="2693" w:type="dxa"/>
            <w:tcBorders>
              <w:top w:val="nil"/>
              <w:bottom w:val="single" w:sz="4" w:space="0" w:color="auto"/>
            </w:tcBorders>
          </w:tcPr>
          <w:p w14:paraId="3EA03539"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n=553</w:t>
            </w:r>
          </w:p>
        </w:tc>
        <w:tc>
          <w:tcPr>
            <w:tcW w:w="2718" w:type="dxa"/>
            <w:tcBorders>
              <w:top w:val="nil"/>
              <w:bottom w:val="single" w:sz="4" w:space="0" w:color="auto"/>
              <w:right w:val="single" w:sz="4" w:space="0" w:color="auto"/>
            </w:tcBorders>
          </w:tcPr>
          <w:p w14:paraId="23269331"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n=553</w:t>
            </w:r>
          </w:p>
        </w:tc>
      </w:tr>
      <w:tr w:rsidR="00153AD1" w:rsidRPr="00556B9B" w14:paraId="10FFFF8A" w14:textId="77777777" w:rsidTr="00F926B9">
        <w:trPr>
          <w:cantSplit/>
        </w:trPr>
        <w:tc>
          <w:tcPr>
            <w:tcW w:w="3794" w:type="dxa"/>
            <w:tcBorders>
              <w:top w:val="nil"/>
              <w:left w:val="single" w:sz="4" w:space="0" w:color="auto"/>
            </w:tcBorders>
          </w:tcPr>
          <w:p w14:paraId="2D758C96" w14:textId="77777777" w:rsidR="00153AD1" w:rsidRPr="00556B9B" w:rsidRDefault="00153AD1" w:rsidP="00F926B9">
            <w:pPr>
              <w:pStyle w:val="Table"/>
              <w:widowControl w:val="0"/>
              <w:spacing w:before="0" w:after="0"/>
              <w:rPr>
                <w:rFonts w:ascii="Times New Roman" w:hAnsi="Times New Roman"/>
                <w:b/>
                <w:color w:val="000000"/>
                <w:sz w:val="22"/>
                <w:lang w:val="hu-HU"/>
              </w:rPr>
            </w:pPr>
            <w:r w:rsidRPr="00556B9B">
              <w:rPr>
                <w:rFonts w:ascii="Times New Roman" w:hAnsi="Times New Roman"/>
                <w:b/>
                <w:color w:val="000000"/>
                <w:sz w:val="22"/>
                <w:lang w:val="hu-HU"/>
              </w:rPr>
              <w:t>Hematológiai válasz</w:t>
            </w:r>
          </w:p>
        </w:tc>
        <w:tc>
          <w:tcPr>
            <w:tcW w:w="2693" w:type="dxa"/>
            <w:tcBorders>
              <w:top w:val="nil"/>
            </w:tcBorders>
          </w:tcPr>
          <w:p w14:paraId="119F15A9" w14:textId="77777777" w:rsidR="00153AD1" w:rsidRPr="00556B9B" w:rsidRDefault="00153AD1" w:rsidP="00F926B9">
            <w:pPr>
              <w:pStyle w:val="Table"/>
              <w:widowControl w:val="0"/>
              <w:spacing w:before="0" w:after="0"/>
              <w:jc w:val="center"/>
              <w:rPr>
                <w:rFonts w:ascii="Times New Roman" w:hAnsi="Times New Roman"/>
                <w:b/>
                <w:color w:val="000000"/>
                <w:sz w:val="22"/>
                <w:lang w:val="hu-HU"/>
              </w:rPr>
            </w:pPr>
          </w:p>
        </w:tc>
        <w:tc>
          <w:tcPr>
            <w:tcW w:w="2718" w:type="dxa"/>
            <w:tcBorders>
              <w:top w:val="nil"/>
              <w:right w:val="single" w:sz="4" w:space="0" w:color="auto"/>
            </w:tcBorders>
          </w:tcPr>
          <w:p w14:paraId="1F0EAC98" w14:textId="77777777" w:rsidR="00153AD1" w:rsidRPr="00556B9B" w:rsidRDefault="00153AD1" w:rsidP="00F926B9">
            <w:pPr>
              <w:pStyle w:val="Table"/>
              <w:widowControl w:val="0"/>
              <w:spacing w:before="0" w:after="0"/>
              <w:jc w:val="center"/>
              <w:rPr>
                <w:rFonts w:ascii="Times New Roman" w:hAnsi="Times New Roman"/>
                <w:b/>
                <w:color w:val="000000"/>
                <w:sz w:val="22"/>
                <w:lang w:val="hu-HU"/>
              </w:rPr>
            </w:pPr>
          </w:p>
        </w:tc>
      </w:tr>
      <w:tr w:rsidR="00153AD1" w:rsidRPr="00556B9B" w14:paraId="6AF1998F" w14:textId="77777777" w:rsidTr="00F926B9">
        <w:trPr>
          <w:cantSplit/>
        </w:trPr>
        <w:tc>
          <w:tcPr>
            <w:tcW w:w="3794" w:type="dxa"/>
            <w:tcBorders>
              <w:top w:val="nil"/>
              <w:left w:val="single" w:sz="4" w:space="0" w:color="auto"/>
            </w:tcBorders>
          </w:tcPr>
          <w:p w14:paraId="47FB0D13" w14:textId="77777777" w:rsidR="00153AD1" w:rsidRPr="00556B9B" w:rsidRDefault="00153AD1" w:rsidP="00F926B9">
            <w:pPr>
              <w:pStyle w:val="Table"/>
              <w:widowControl w:val="0"/>
              <w:spacing w:before="0" w:after="0"/>
              <w:rPr>
                <w:rFonts w:ascii="Times New Roman" w:hAnsi="Times New Roman"/>
                <w:color w:val="000000"/>
                <w:sz w:val="22"/>
                <w:lang w:val="hu-HU"/>
              </w:rPr>
            </w:pPr>
            <w:smartTag w:uri="urn:schemas-microsoft-com:office:smarttags" w:element="stockticker">
              <w:r w:rsidRPr="00556B9B">
                <w:rPr>
                  <w:rFonts w:ascii="Times New Roman" w:hAnsi="Times New Roman"/>
                  <w:color w:val="000000"/>
                  <w:sz w:val="22"/>
                  <w:lang w:val="hu-HU"/>
                </w:rPr>
                <w:t>CHR</w:t>
              </w:r>
            </w:smartTag>
            <w:r w:rsidRPr="00556B9B">
              <w:rPr>
                <w:rFonts w:ascii="Times New Roman" w:hAnsi="Times New Roman"/>
                <w:color w:val="000000"/>
                <w:sz w:val="22"/>
                <w:lang w:val="hu-HU"/>
              </w:rPr>
              <w:t xml:space="preserve"> arány n (%)</w:t>
            </w:r>
          </w:p>
        </w:tc>
        <w:tc>
          <w:tcPr>
            <w:tcW w:w="2693" w:type="dxa"/>
            <w:tcBorders>
              <w:top w:val="nil"/>
            </w:tcBorders>
          </w:tcPr>
          <w:p w14:paraId="053177BC"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534 (96,6%)*</w:t>
            </w:r>
          </w:p>
        </w:tc>
        <w:tc>
          <w:tcPr>
            <w:tcW w:w="2718" w:type="dxa"/>
            <w:tcBorders>
              <w:top w:val="nil"/>
              <w:right w:val="single" w:sz="4" w:space="0" w:color="auto"/>
            </w:tcBorders>
          </w:tcPr>
          <w:p w14:paraId="55CB1501"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313 (56,6%)*</w:t>
            </w:r>
          </w:p>
        </w:tc>
      </w:tr>
      <w:tr w:rsidR="00153AD1" w:rsidRPr="00556B9B" w14:paraId="23DF0684" w14:textId="77777777" w:rsidTr="00F926B9">
        <w:trPr>
          <w:cantSplit/>
        </w:trPr>
        <w:tc>
          <w:tcPr>
            <w:tcW w:w="3794" w:type="dxa"/>
            <w:tcBorders>
              <w:left w:val="single" w:sz="4" w:space="0" w:color="auto"/>
            </w:tcBorders>
          </w:tcPr>
          <w:p w14:paraId="519CE6C1" w14:textId="77777777" w:rsidR="00153AD1" w:rsidRPr="00556B9B" w:rsidRDefault="00153AD1" w:rsidP="00F926B9">
            <w:pPr>
              <w:pStyle w:val="Table"/>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ab/>
              <w:t>[95% CI]</w:t>
            </w:r>
          </w:p>
        </w:tc>
        <w:tc>
          <w:tcPr>
            <w:tcW w:w="2693" w:type="dxa"/>
          </w:tcPr>
          <w:p w14:paraId="0B4D51DC"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[94,7%, 97,9%]</w:t>
            </w:r>
          </w:p>
        </w:tc>
        <w:tc>
          <w:tcPr>
            <w:tcW w:w="2718" w:type="dxa"/>
            <w:tcBorders>
              <w:right w:val="single" w:sz="4" w:space="0" w:color="auto"/>
            </w:tcBorders>
          </w:tcPr>
          <w:p w14:paraId="304A0CEF"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[52,4%, 60,8%]</w:t>
            </w:r>
          </w:p>
        </w:tc>
      </w:tr>
      <w:tr w:rsidR="00153AD1" w:rsidRPr="00556B9B" w14:paraId="321576C0" w14:textId="77777777" w:rsidTr="00F926B9">
        <w:trPr>
          <w:cantSplit/>
        </w:trPr>
        <w:tc>
          <w:tcPr>
            <w:tcW w:w="3794" w:type="dxa"/>
            <w:tcBorders>
              <w:left w:val="single" w:sz="4" w:space="0" w:color="auto"/>
            </w:tcBorders>
          </w:tcPr>
          <w:p w14:paraId="3E09B9B0" w14:textId="77777777" w:rsidR="00153AD1" w:rsidRPr="00556B9B" w:rsidRDefault="00153AD1" w:rsidP="00F926B9">
            <w:pPr>
              <w:pStyle w:val="Table"/>
              <w:widowControl w:val="0"/>
              <w:spacing w:before="0" w:after="0"/>
              <w:rPr>
                <w:rFonts w:ascii="Times New Roman" w:hAnsi="Times New Roman"/>
                <w:color w:val="000000"/>
                <w:sz w:val="22"/>
                <w:lang w:val="hu-HU"/>
              </w:rPr>
            </w:pPr>
          </w:p>
        </w:tc>
        <w:tc>
          <w:tcPr>
            <w:tcW w:w="2693" w:type="dxa"/>
          </w:tcPr>
          <w:p w14:paraId="16257692" w14:textId="77777777" w:rsidR="00153AD1" w:rsidRPr="00556B9B" w:rsidRDefault="00153AD1" w:rsidP="00F926B9">
            <w:pPr>
              <w:pStyle w:val="Table"/>
              <w:widowControl w:val="0"/>
              <w:spacing w:before="0" w:after="0"/>
              <w:rPr>
                <w:rFonts w:ascii="Times New Roman" w:hAnsi="Times New Roman"/>
                <w:color w:val="000000"/>
                <w:sz w:val="22"/>
                <w:lang w:val="hu-HU"/>
              </w:rPr>
            </w:pPr>
          </w:p>
        </w:tc>
        <w:tc>
          <w:tcPr>
            <w:tcW w:w="2718" w:type="dxa"/>
            <w:tcBorders>
              <w:right w:val="single" w:sz="4" w:space="0" w:color="auto"/>
            </w:tcBorders>
          </w:tcPr>
          <w:p w14:paraId="36428C84" w14:textId="77777777" w:rsidR="00153AD1" w:rsidRPr="00556B9B" w:rsidRDefault="00153AD1" w:rsidP="00F926B9">
            <w:pPr>
              <w:pStyle w:val="Table"/>
              <w:widowControl w:val="0"/>
              <w:spacing w:before="0" w:after="0"/>
              <w:rPr>
                <w:rFonts w:ascii="Times New Roman" w:hAnsi="Times New Roman"/>
                <w:color w:val="000000"/>
                <w:sz w:val="22"/>
                <w:lang w:val="hu-HU"/>
              </w:rPr>
            </w:pPr>
          </w:p>
        </w:tc>
      </w:tr>
      <w:tr w:rsidR="00153AD1" w:rsidRPr="00556B9B" w14:paraId="6150799D" w14:textId="77777777" w:rsidTr="00F926B9">
        <w:trPr>
          <w:cantSplit/>
        </w:trPr>
        <w:tc>
          <w:tcPr>
            <w:tcW w:w="3794" w:type="dxa"/>
            <w:tcBorders>
              <w:left w:val="single" w:sz="4" w:space="0" w:color="auto"/>
            </w:tcBorders>
          </w:tcPr>
          <w:p w14:paraId="7C797292" w14:textId="77777777" w:rsidR="00153AD1" w:rsidRPr="00556B9B" w:rsidRDefault="00153AD1" w:rsidP="00F926B9">
            <w:pPr>
              <w:pStyle w:val="Table"/>
              <w:widowControl w:val="0"/>
              <w:spacing w:before="0" w:after="0"/>
              <w:rPr>
                <w:rFonts w:ascii="Times New Roman" w:hAnsi="Times New Roman"/>
                <w:b/>
                <w:color w:val="000000"/>
                <w:sz w:val="22"/>
                <w:lang w:val="hu-HU"/>
              </w:rPr>
            </w:pPr>
            <w:r w:rsidRPr="00556B9B">
              <w:rPr>
                <w:rFonts w:ascii="Times New Roman" w:hAnsi="Times New Roman"/>
                <w:b/>
                <w:color w:val="000000"/>
                <w:sz w:val="22"/>
                <w:lang w:val="hu-HU"/>
              </w:rPr>
              <w:t>Cytogenetikai válasz</w:t>
            </w:r>
          </w:p>
        </w:tc>
        <w:tc>
          <w:tcPr>
            <w:tcW w:w="2693" w:type="dxa"/>
          </w:tcPr>
          <w:p w14:paraId="5A2D4E89" w14:textId="77777777" w:rsidR="00153AD1" w:rsidRPr="00556B9B" w:rsidRDefault="00153AD1" w:rsidP="00F926B9">
            <w:pPr>
              <w:pStyle w:val="Table"/>
              <w:widowControl w:val="0"/>
              <w:spacing w:before="0" w:after="0"/>
              <w:rPr>
                <w:rFonts w:ascii="Times New Roman" w:hAnsi="Times New Roman"/>
                <w:b/>
                <w:color w:val="000000"/>
                <w:sz w:val="22"/>
                <w:lang w:val="hu-HU"/>
              </w:rPr>
            </w:pPr>
          </w:p>
        </w:tc>
        <w:tc>
          <w:tcPr>
            <w:tcW w:w="2718" w:type="dxa"/>
            <w:tcBorders>
              <w:right w:val="single" w:sz="4" w:space="0" w:color="auto"/>
            </w:tcBorders>
          </w:tcPr>
          <w:p w14:paraId="172AD595" w14:textId="77777777" w:rsidR="00153AD1" w:rsidRPr="00556B9B" w:rsidRDefault="00153AD1" w:rsidP="00F926B9">
            <w:pPr>
              <w:pStyle w:val="Table"/>
              <w:widowControl w:val="0"/>
              <w:spacing w:before="0" w:after="0"/>
              <w:rPr>
                <w:rFonts w:ascii="Times New Roman" w:hAnsi="Times New Roman"/>
                <w:b/>
                <w:color w:val="000000"/>
                <w:sz w:val="22"/>
                <w:lang w:val="hu-HU"/>
              </w:rPr>
            </w:pPr>
          </w:p>
        </w:tc>
      </w:tr>
      <w:tr w:rsidR="00153AD1" w:rsidRPr="00556B9B" w14:paraId="368F0B14" w14:textId="77777777" w:rsidTr="00F926B9">
        <w:trPr>
          <w:cantSplit/>
        </w:trPr>
        <w:tc>
          <w:tcPr>
            <w:tcW w:w="3794" w:type="dxa"/>
            <w:tcBorders>
              <w:left w:val="single" w:sz="4" w:space="0" w:color="auto"/>
            </w:tcBorders>
          </w:tcPr>
          <w:p w14:paraId="6756569F" w14:textId="77777777" w:rsidR="00153AD1" w:rsidRPr="00556B9B" w:rsidRDefault="00153AD1" w:rsidP="00F926B9">
            <w:pPr>
              <w:pStyle w:val="Table"/>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Nagyfokú válasz (MCyR) n (%)</w:t>
            </w:r>
          </w:p>
        </w:tc>
        <w:tc>
          <w:tcPr>
            <w:tcW w:w="2693" w:type="dxa"/>
          </w:tcPr>
          <w:p w14:paraId="764602C0"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490 (88,6%)*</w:t>
            </w:r>
          </w:p>
        </w:tc>
        <w:tc>
          <w:tcPr>
            <w:tcW w:w="2718" w:type="dxa"/>
            <w:tcBorders>
              <w:right w:val="single" w:sz="4" w:space="0" w:color="auto"/>
            </w:tcBorders>
          </w:tcPr>
          <w:p w14:paraId="76E47CA7"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129 (23,3%)*</w:t>
            </w:r>
          </w:p>
        </w:tc>
      </w:tr>
      <w:tr w:rsidR="00153AD1" w:rsidRPr="00556B9B" w14:paraId="410F41A9" w14:textId="77777777" w:rsidTr="00F926B9">
        <w:trPr>
          <w:cantSplit/>
        </w:trPr>
        <w:tc>
          <w:tcPr>
            <w:tcW w:w="3794" w:type="dxa"/>
            <w:tcBorders>
              <w:left w:val="single" w:sz="4" w:space="0" w:color="auto"/>
            </w:tcBorders>
          </w:tcPr>
          <w:p w14:paraId="28A8D436" w14:textId="77777777" w:rsidR="00153AD1" w:rsidRPr="00556B9B" w:rsidRDefault="00153AD1" w:rsidP="00F926B9">
            <w:pPr>
              <w:pStyle w:val="Table"/>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ab/>
              <w:t>[95% CI]</w:t>
            </w:r>
          </w:p>
        </w:tc>
        <w:tc>
          <w:tcPr>
            <w:tcW w:w="2693" w:type="dxa"/>
          </w:tcPr>
          <w:p w14:paraId="6FE1DC34"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[85,7%, 91,1%]</w:t>
            </w:r>
          </w:p>
        </w:tc>
        <w:tc>
          <w:tcPr>
            <w:tcW w:w="2718" w:type="dxa"/>
            <w:tcBorders>
              <w:right w:val="single" w:sz="4" w:space="0" w:color="auto"/>
            </w:tcBorders>
          </w:tcPr>
          <w:p w14:paraId="46C9A6C2"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[19,9%, 27,1%]</w:t>
            </w:r>
          </w:p>
        </w:tc>
      </w:tr>
      <w:tr w:rsidR="00153AD1" w:rsidRPr="00556B9B" w14:paraId="726BFF86" w14:textId="77777777" w:rsidTr="00F926B9">
        <w:trPr>
          <w:cantSplit/>
        </w:trPr>
        <w:tc>
          <w:tcPr>
            <w:tcW w:w="3794" w:type="dxa"/>
            <w:tcBorders>
              <w:left w:val="single" w:sz="4" w:space="0" w:color="auto"/>
            </w:tcBorders>
          </w:tcPr>
          <w:p w14:paraId="0156BA6E" w14:textId="77777777" w:rsidR="00153AD1" w:rsidRPr="00556B9B" w:rsidRDefault="00153AD1" w:rsidP="00F926B9">
            <w:pPr>
              <w:pStyle w:val="Table"/>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ab/>
              <w:t>Komplett CyR n (%)</w:t>
            </w:r>
          </w:p>
        </w:tc>
        <w:tc>
          <w:tcPr>
            <w:tcW w:w="2693" w:type="dxa"/>
          </w:tcPr>
          <w:p w14:paraId="773AACC1"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456 (82,5%)*</w:t>
            </w:r>
          </w:p>
        </w:tc>
        <w:tc>
          <w:tcPr>
            <w:tcW w:w="2718" w:type="dxa"/>
            <w:tcBorders>
              <w:right w:val="single" w:sz="4" w:space="0" w:color="auto"/>
            </w:tcBorders>
          </w:tcPr>
          <w:p w14:paraId="21025B0F"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64 (11,6%)*</w:t>
            </w:r>
          </w:p>
        </w:tc>
      </w:tr>
      <w:tr w:rsidR="00153AD1" w:rsidRPr="00556B9B" w14:paraId="73DA2428" w14:textId="77777777" w:rsidTr="00F926B9">
        <w:trPr>
          <w:cantSplit/>
        </w:trPr>
        <w:tc>
          <w:tcPr>
            <w:tcW w:w="3794" w:type="dxa"/>
            <w:tcBorders>
              <w:left w:val="single" w:sz="4" w:space="0" w:color="auto"/>
            </w:tcBorders>
          </w:tcPr>
          <w:p w14:paraId="3436B6E9" w14:textId="77777777" w:rsidR="00153AD1" w:rsidRPr="00556B9B" w:rsidRDefault="00153AD1" w:rsidP="00F926B9">
            <w:pPr>
              <w:pStyle w:val="Table"/>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ab/>
              <w:t>Részleges CyR n (%)</w:t>
            </w:r>
          </w:p>
        </w:tc>
        <w:tc>
          <w:tcPr>
            <w:tcW w:w="2693" w:type="dxa"/>
          </w:tcPr>
          <w:p w14:paraId="3213CC9B"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34 (6,1%)</w:t>
            </w:r>
          </w:p>
        </w:tc>
        <w:tc>
          <w:tcPr>
            <w:tcW w:w="2718" w:type="dxa"/>
            <w:tcBorders>
              <w:right w:val="single" w:sz="4" w:space="0" w:color="auto"/>
            </w:tcBorders>
          </w:tcPr>
          <w:p w14:paraId="3C9D267B"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lang w:val="hu-HU"/>
              </w:rPr>
              <w:t>65 (11,8%)</w:t>
            </w:r>
          </w:p>
        </w:tc>
      </w:tr>
      <w:tr w:rsidR="00153AD1" w:rsidRPr="00556B9B" w14:paraId="4E89B941" w14:textId="77777777" w:rsidTr="00F926B9">
        <w:trPr>
          <w:cantSplit/>
        </w:trPr>
        <w:tc>
          <w:tcPr>
            <w:tcW w:w="3794" w:type="dxa"/>
            <w:tcBorders>
              <w:left w:val="single" w:sz="4" w:space="0" w:color="auto"/>
              <w:bottom w:val="nil"/>
            </w:tcBorders>
          </w:tcPr>
          <w:p w14:paraId="12AA0CD1" w14:textId="77777777" w:rsidR="00153AD1" w:rsidRPr="00556B9B" w:rsidRDefault="00153AD1" w:rsidP="00F926B9">
            <w:pPr>
              <w:pStyle w:val="Table"/>
              <w:widowControl w:val="0"/>
              <w:spacing w:before="0" w:after="0"/>
              <w:rPr>
                <w:rFonts w:ascii="Times New Roman" w:hAnsi="Times New Roman"/>
                <w:color w:val="000000"/>
                <w:sz w:val="22"/>
                <w:lang w:val="hu-HU"/>
              </w:rPr>
            </w:pPr>
          </w:p>
        </w:tc>
        <w:tc>
          <w:tcPr>
            <w:tcW w:w="2693" w:type="dxa"/>
            <w:tcBorders>
              <w:bottom w:val="nil"/>
            </w:tcBorders>
          </w:tcPr>
          <w:p w14:paraId="20BA7230" w14:textId="77777777" w:rsidR="00153AD1" w:rsidRPr="00556B9B" w:rsidRDefault="00153AD1" w:rsidP="00F926B9">
            <w:pPr>
              <w:pStyle w:val="Table"/>
              <w:widowControl w:val="0"/>
              <w:spacing w:before="0" w:after="0"/>
              <w:rPr>
                <w:rFonts w:ascii="Times New Roman" w:hAnsi="Times New Roman"/>
                <w:color w:val="000000"/>
                <w:sz w:val="22"/>
                <w:lang w:val="hu-HU"/>
              </w:rPr>
            </w:pPr>
          </w:p>
        </w:tc>
        <w:tc>
          <w:tcPr>
            <w:tcW w:w="2718" w:type="dxa"/>
            <w:tcBorders>
              <w:bottom w:val="nil"/>
              <w:right w:val="single" w:sz="4" w:space="0" w:color="auto"/>
            </w:tcBorders>
          </w:tcPr>
          <w:p w14:paraId="2BBB611F" w14:textId="77777777" w:rsidR="00153AD1" w:rsidRPr="00556B9B" w:rsidRDefault="00153AD1" w:rsidP="00F926B9">
            <w:pPr>
              <w:pStyle w:val="Table"/>
              <w:widowControl w:val="0"/>
              <w:spacing w:before="0" w:after="0"/>
              <w:rPr>
                <w:rFonts w:ascii="Times New Roman" w:hAnsi="Times New Roman"/>
                <w:color w:val="000000"/>
                <w:sz w:val="22"/>
                <w:lang w:val="hu-HU"/>
              </w:rPr>
            </w:pPr>
          </w:p>
        </w:tc>
      </w:tr>
      <w:tr w:rsidR="00153AD1" w:rsidRPr="00556B9B" w14:paraId="2DD55DE7" w14:textId="77777777" w:rsidTr="00F926B9">
        <w:trPr>
          <w:cantSplit/>
        </w:trPr>
        <w:tc>
          <w:tcPr>
            <w:tcW w:w="3794" w:type="dxa"/>
            <w:tcBorders>
              <w:left w:val="single" w:sz="4" w:space="0" w:color="auto"/>
              <w:bottom w:val="nil"/>
            </w:tcBorders>
          </w:tcPr>
          <w:p w14:paraId="1494C809" w14:textId="77777777" w:rsidR="00153AD1" w:rsidRPr="00556B9B" w:rsidRDefault="00153AD1" w:rsidP="00F926B9">
            <w:pPr>
              <w:pStyle w:val="Table"/>
              <w:widowControl w:val="0"/>
              <w:spacing w:before="0" w:after="0"/>
              <w:rPr>
                <w:rFonts w:ascii="Times New Roman" w:hAnsi="Times New Roman"/>
                <w:b/>
                <w:color w:val="000000"/>
                <w:sz w:val="22"/>
                <w:lang w:val="hu-HU"/>
              </w:rPr>
            </w:pPr>
            <w:r w:rsidRPr="00556B9B">
              <w:rPr>
                <w:rFonts w:ascii="Times New Roman" w:hAnsi="Times New Roman"/>
                <w:b/>
                <w:color w:val="000000"/>
                <w:sz w:val="22"/>
                <w:lang w:val="hu-HU"/>
              </w:rPr>
              <w:t>Molekuláris válasz</w:t>
            </w:r>
            <w:r w:rsidRPr="00556B9B">
              <w:rPr>
                <w:rFonts w:ascii="Times New Roman" w:hAnsi="Times New Roman"/>
                <w:color w:val="000000"/>
                <w:sz w:val="22"/>
                <w:lang w:val="hu-HU"/>
              </w:rPr>
              <w:t>**</w:t>
            </w:r>
          </w:p>
        </w:tc>
        <w:tc>
          <w:tcPr>
            <w:tcW w:w="2693" w:type="dxa"/>
            <w:tcBorders>
              <w:bottom w:val="nil"/>
            </w:tcBorders>
          </w:tcPr>
          <w:p w14:paraId="2ACAB772" w14:textId="77777777" w:rsidR="00153AD1" w:rsidRPr="00556B9B" w:rsidRDefault="00153AD1" w:rsidP="00F926B9">
            <w:pPr>
              <w:pStyle w:val="Table"/>
              <w:widowControl w:val="0"/>
              <w:spacing w:before="0" w:after="0"/>
              <w:rPr>
                <w:rFonts w:ascii="Times New Roman" w:hAnsi="Times New Roman"/>
                <w:color w:val="000000"/>
                <w:sz w:val="22"/>
                <w:lang w:val="hu-HU"/>
              </w:rPr>
            </w:pPr>
          </w:p>
        </w:tc>
        <w:tc>
          <w:tcPr>
            <w:tcW w:w="2718" w:type="dxa"/>
            <w:tcBorders>
              <w:bottom w:val="nil"/>
              <w:right w:val="single" w:sz="4" w:space="0" w:color="auto"/>
            </w:tcBorders>
          </w:tcPr>
          <w:p w14:paraId="3DEC5067" w14:textId="77777777" w:rsidR="00153AD1" w:rsidRPr="00556B9B" w:rsidRDefault="00153AD1" w:rsidP="00F926B9">
            <w:pPr>
              <w:pStyle w:val="Table"/>
              <w:widowControl w:val="0"/>
              <w:spacing w:before="0" w:after="0"/>
              <w:rPr>
                <w:rFonts w:ascii="Times New Roman" w:hAnsi="Times New Roman"/>
                <w:color w:val="000000"/>
                <w:sz w:val="22"/>
                <w:lang w:val="hu-HU"/>
              </w:rPr>
            </w:pPr>
          </w:p>
        </w:tc>
      </w:tr>
      <w:tr w:rsidR="00153AD1" w:rsidRPr="00556B9B" w14:paraId="76A2C467" w14:textId="77777777" w:rsidTr="00F926B9">
        <w:trPr>
          <w:cantSplit/>
        </w:trPr>
        <w:tc>
          <w:tcPr>
            <w:tcW w:w="3794" w:type="dxa"/>
            <w:tcBorders>
              <w:left w:val="single" w:sz="4" w:space="0" w:color="auto"/>
              <w:bottom w:val="nil"/>
            </w:tcBorders>
          </w:tcPr>
          <w:p w14:paraId="6D8042A1" w14:textId="77777777" w:rsidR="00153AD1" w:rsidRPr="00556B9B" w:rsidRDefault="00153AD1" w:rsidP="00F926B9">
            <w:pPr>
              <w:pStyle w:val="Table"/>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Nagyfokú válasz a 12. hónapban (%)</w:t>
            </w:r>
          </w:p>
        </w:tc>
        <w:tc>
          <w:tcPr>
            <w:tcW w:w="2693" w:type="dxa"/>
            <w:tcBorders>
              <w:bottom w:val="nil"/>
            </w:tcBorders>
          </w:tcPr>
          <w:p w14:paraId="6C8900EA"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szCs w:val="22"/>
                <w:lang w:val="en-GB"/>
              </w:rPr>
              <w:t>153/305=50,2%</w:t>
            </w:r>
          </w:p>
        </w:tc>
        <w:tc>
          <w:tcPr>
            <w:tcW w:w="2718" w:type="dxa"/>
            <w:tcBorders>
              <w:bottom w:val="nil"/>
              <w:right w:val="single" w:sz="4" w:space="0" w:color="auto"/>
            </w:tcBorders>
          </w:tcPr>
          <w:p w14:paraId="5EF4F689"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szCs w:val="22"/>
                <w:lang w:val="en-GB"/>
              </w:rPr>
              <w:t>8/83=9,6%</w:t>
            </w:r>
          </w:p>
        </w:tc>
      </w:tr>
      <w:tr w:rsidR="00153AD1" w:rsidRPr="00556B9B" w14:paraId="5C8D2C74" w14:textId="77777777" w:rsidTr="00F926B9">
        <w:trPr>
          <w:cantSplit/>
        </w:trPr>
        <w:tc>
          <w:tcPr>
            <w:tcW w:w="3794" w:type="dxa"/>
            <w:tcBorders>
              <w:left w:val="single" w:sz="4" w:space="0" w:color="auto"/>
              <w:bottom w:val="nil"/>
            </w:tcBorders>
          </w:tcPr>
          <w:p w14:paraId="5D558D11" w14:textId="77777777" w:rsidR="00153AD1" w:rsidRPr="00556B9B" w:rsidRDefault="00153AD1" w:rsidP="00F926B9">
            <w:pPr>
              <w:pStyle w:val="Table"/>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Nagyfokú válasz a 24. hónapban (%)</w:t>
            </w:r>
          </w:p>
        </w:tc>
        <w:tc>
          <w:tcPr>
            <w:tcW w:w="2693" w:type="dxa"/>
            <w:tcBorders>
              <w:bottom w:val="nil"/>
            </w:tcBorders>
          </w:tcPr>
          <w:p w14:paraId="3611A383"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szCs w:val="22"/>
                <w:lang w:val="en-GB"/>
              </w:rPr>
              <w:t>73/104=70,2%</w:t>
            </w:r>
          </w:p>
        </w:tc>
        <w:tc>
          <w:tcPr>
            <w:tcW w:w="2718" w:type="dxa"/>
            <w:tcBorders>
              <w:bottom w:val="nil"/>
              <w:right w:val="single" w:sz="4" w:space="0" w:color="auto"/>
            </w:tcBorders>
          </w:tcPr>
          <w:p w14:paraId="5DBAA65D" w14:textId="77777777" w:rsidR="00153AD1" w:rsidRPr="00556B9B" w:rsidRDefault="00153AD1" w:rsidP="00F926B9">
            <w:pPr>
              <w:pStyle w:val="Table"/>
              <w:widowControl w:val="0"/>
              <w:spacing w:before="0" w:after="0"/>
              <w:jc w:val="center"/>
              <w:rPr>
                <w:rFonts w:ascii="Times New Roman" w:hAnsi="Times New Roman"/>
                <w:color w:val="000000"/>
                <w:sz w:val="22"/>
                <w:lang w:val="hu-HU"/>
              </w:rPr>
            </w:pPr>
            <w:r w:rsidRPr="00556B9B">
              <w:rPr>
                <w:rFonts w:ascii="Times New Roman" w:hAnsi="Times New Roman"/>
                <w:color w:val="000000"/>
                <w:sz w:val="22"/>
                <w:szCs w:val="22"/>
                <w:lang w:val="en-GB"/>
              </w:rPr>
              <w:t>3/12=25%</w:t>
            </w:r>
          </w:p>
        </w:tc>
      </w:tr>
      <w:tr w:rsidR="00153AD1" w:rsidRPr="00556B9B" w14:paraId="6AAFD8E7" w14:textId="77777777" w:rsidTr="00F926B9">
        <w:trPr>
          <w:cantSplit/>
        </w:trPr>
        <w:tc>
          <w:tcPr>
            <w:tcW w:w="3794" w:type="dxa"/>
            <w:tcBorders>
              <w:left w:val="single" w:sz="4" w:space="0" w:color="auto"/>
              <w:bottom w:val="nil"/>
            </w:tcBorders>
          </w:tcPr>
          <w:p w14:paraId="2EEF42D8" w14:textId="77777777" w:rsidR="00153AD1" w:rsidRPr="00556B9B" w:rsidRDefault="00153AD1" w:rsidP="00F926B9">
            <w:pPr>
              <w:pStyle w:val="Table"/>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Nagyfokú válasz a 84. hónapban (%)</w:t>
            </w:r>
          </w:p>
        </w:tc>
        <w:tc>
          <w:tcPr>
            <w:tcW w:w="2693" w:type="dxa"/>
            <w:tcBorders>
              <w:bottom w:val="nil"/>
            </w:tcBorders>
          </w:tcPr>
          <w:p w14:paraId="2BE4371B" w14:textId="77777777" w:rsidR="00153AD1" w:rsidRPr="00556B9B" w:rsidRDefault="00153AD1" w:rsidP="00F926B9">
            <w:pPr>
              <w:pStyle w:val="Table"/>
              <w:widowControl w:val="0"/>
              <w:spacing w:before="0" w:after="0"/>
              <w:jc w:val="center"/>
              <w:rPr>
                <w:rFonts w:ascii="Times New Roman" w:hAnsi="Times New Roman"/>
                <w:color w:val="000000"/>
                <w:sz w:val="22"/>
                <w:szCs w:val="22"/>
                <w:lang w:val="en-GB"/>
              </w:rPr>
            </w:pPr>
            <w:r w:rsidRPr="00556B9B">
              <w:rPr>
                <w:rFonts w:ascii="Times New Roman" w:hAnsi="Times New Roman"/>
                <w:color w:val="000000"/>
                <w:sz w:val="22"/>
                <w:szCs w:val="22"/>
                <w:lang w:val="en-GB"/>
              </w:rPr>
              <w:t>102/116=87,9%</w:t>
            </w:r>
          </w:p>
        </w:tc>
        <w:tc>
          <w:tcPr>
            <w:tcW w:w="2718" w:type="dxa"/>
            <w:tcBorders>
              <w:bottom w:val="nil"/>
              <w:right w:val="single" w:sz="4" w:space="0" w:color="auto"/>
            </w:tcBorders>
          </w:tcPr>
          <w:p w14:paraId="6D22CA17" w14:textId="77777777" w:rsidR="00153AD1" w:rsidRPr="00556B9B" w:rsidRDefault="00153AD1" w:rsidP="00F926B9">
            <w:pPr>
              <w:pStyle w:val="Table"/>
              <w:widowControl w:val="0"/>
              <w:spacing w:before="0" w:after="0"/>
              <w:jc w:val="center"/>
              <w:rPr>
                <w:rFonts w:ascii="Times New Roman" w:hAnsi="Times New Roman"/>
                <w:color w:val="000000"/>
                <w:sz w:val="22"/>
                <w:szCs w:val="22"/>
                <w:lang w:val="en-GB"/>
              </w:rPr>
            </w:pPr>
            <w:r w:rsidRPr="00556B9B">
              <w:rPr>
                <w:rFonts w:ascii="Times New Roman" w:hAnsi="Times New Roman"/>
                <w:color w:val="000000"/>
                <w:sz w:val="22"/>
                <w:szCs w:val="22"/>
                <w:lang w:val="en-GB"/>
              </w:rPr>
              <w:t>3/4=75%</w:t>
            </w:r>
          </w:p>
        </w:tc>
      </w:tr>
      <w:tr w:rsidR="00153AD1" w:rsidRPr="00462020" w14:paraId="0816ABD6" w14:textId="77777777" w:rsidTr="00F926B9">
        <w:trPr>
          <w:cantSplit/>
        </w:trPr>
        <w:tc>
          <w:tcPr>
            <w:tcW w:w="9205" w:type="dxa"/>
            <w:gridSpan w:val="3"/>
            <w:tcBorders>
              <w:top w:val="single" w:sz="4" w:space="0" w:color="auto"/>
              <w:left w:val="single" w:sz="4" w:space="0" w:color="auto"/>
              <w:bottom w:val="single" w:sz="4" w:space="0" w:color="auto"/>
              <w:right w:val="single" w:sz="4" w:space="0" w:color="auto"/>
            </w:tcBorders>
          </w:tcPr>
          <w:p w14:paraId="7720FC31" w14:textId="77777777" w:rsidR="00153AD1" w:rsidRPr="00556B9B" w:rsidRDefault="00153AD1" w:rsidP="00DF7747">
            <w:pPr>
              <w:pStyle w:val="Table"/>
              <w:keepNext w:val="0"/>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 p &lt; 0,001, Fischer</w:t>
            </w:r>
            <w:r w:rsidRPr="00556B9B">
              <w:rPr>
                <w:rFonts w:ascii="Times New Roman" w:hAnsi="Times New Roman"/>
                <w:color w:val="000000"/>
                <w:sz w:val="22"/>
                <w:lang w:val="hu-HU"/>
              </w:rPr>
              <w:noBreakHyphen/>
              <w:t>féle egzakt próba</w:t>
            </w:r>
          </w:p>
          <w:p w14:paraId="4777E1AE" w14:textId="77777777" w:rsidR="00153AD1" w:rsidRPr="00556B9B" w:rsidRDefault="00153AD1" w:rsidP="00DF7747">
            <w:pPr>
              <w:pStyle w:val="Table"/>
              <w:keepNext w:val="0"/>
              <w:keepLines w:val="0"/>
              <w:widowControl w:val="0"/>
              <w:spacing w:before="0" w:after="0"/>
              <w:rPr>
                <w:rFonts w:ascii="Times New Roman" w:hAnsi="Times New Roman"/>
                <w:color w:val="000000"/>
                <w:sz w:val="22"/>
                <w:lang w:val="hu-HU"/>
              </w:rPr>
            </w:pPr>
            <w:r w:rsidRPr="00556B9B">
              <w:rPr>
                <w:rFonts w:ascii="Times New Roman" w:hAnsi="Times New Roman"/>
                <w:color w:val="000000"/>
                <w:sz w:val="22"/>
                <w:lang w:val="hu-HU"/>
              </w:rPr>
              <w:t>** a molekuláris válasz százalékarányok a rendelkezésre álló mintákon alapulnak</w:t>
            </w:r>
          </w:p>
          <w:p w14:paraId="5D19B00B" w14:textId="77777777" w:rsidR="00153AD1" w:rsidRPr="00556B9B" w:rsidRDefault="00153AD1" w:rsidP="00DF7747">
            <w:pPr>
              <w:pStyle w:val="Header"/>
              <w:spacing w:line="240" w:lineRule="auto"/>
              <w:rPr>
                <w:rFonts w:ascii="Times New Roman" w:hAnsi="Times New Roman"/>
                <w:b/>
                <w:color w:val="000000"/>
                <w:sz w:val="22"/>
                <w:lang w:val="hu-HU" w:eastAsia="en-US"/>
              </w:rPr>
            </w:pPr>
            <w:r w:rsidRPr="00556B9B">
              <w:rPr>
                <w:rFonts w:ascii="Times New Roman" w:hAnsi="Times New Roman"/>
                <w:b/>
                <w:color w:val="000000"/>
                <w:sz w:val="22"/>
                <w:lang w:val="hu-HU" w:eastAsia="en-US"/>
              </w:rPr>
              <w:t xml:space="preserve">A hematológiai válasz kritériumai (mindegyik megerősítve </w:t>
            </w:r>
            <w:r w:rsidRPr="00556B9B">
              <w:rPr>
                <w:rFonts w:ascii="Times New Roman" w:hAnsi="Times New Roman"/>
                <w:b/>
                <w:color w:val="000000"/>
                <w:sz w:val="22"/>
                <w:lang w:val="hu-HU" w:eastAsia="en-US"/>
              </w:rPr>
              <w:sym w:font="Symbol" w:char="F0B3"/>
            </w:r>
            <w:r w:rsidRPr="00556B9B">
              <w:rPr>
                <w:rFonts w:ascii="Times New Roman" w:hAnsi="Times New Roman"/>
                <w:b/>
                <w:color w:val="000000"/>
                <w:sz w:val="22"/>
                <w:lang w:val="hu-HU" w:eastAsia="en-US"/>
              </w:rPr>
              <w:t> 4 hét múlva):</w:t>
            </w:r>
          </w:p>
          <w:p w14:paraId="3D837C0D" w14:textId="77777777" w:rsidR="00153AD1" w:rsidRPr="00556B9B" w:rsidRDefault="00153AD1" w:rsidP="00DF7747">
            <w:pPr>
              <w:spacing w:line="240" w:lineRule="auto"/>
              <w:rPr>
                <w:color w:val="000000"/>
                <w:lang w:val="hu-HU"/>
              </w:rPr>
            </w:pPr>
            <w:r w:rsidRPr="00556B9B">
              <w:rPr>
                <w:color w:val="000000"/>
                <w:lang w:val="hu-HU"/>
              </w:rPr>
              <w:t>Fvs &lt; 10 x 10</w:t>
            </w:r>
            <w:r w:rsidRPr="00556B9B">
              <w:rPr>
                <w:color w:val="000000"/>
                <w:vertAlign w:val="superscript"/>
                <w:lang w:val="hu-HU"/>
              </w:rPr>
              <w:t>9</w:t>
            </w:r>
            <w:r w:rsidRPr="00556B9B">
              <w:rPr>
                <w:color w:val="000000"/>
                <w:lang w:val="hu-HU"/>
              </w:rPr>
              <w:t>/l, thrombocytaszám &lt; 450 x 10</w:t>
            </w:r>
            <w:r w:rsidRPr="00556B9B">
              <w:rPr>
                <w:color w:val="000000"/>
                <w:vertAlign w:val="superscript"/>
                <w:lang w:val="hu-HU"/>
              </w:rPr>
              <w:t>9</w:t>
            </w:r>
            <w:r w:rsidRPr="00556B9B">
              <w:rPr>
                <w:color w:val="000000"/>
                <w:lang w:val="hu-HU"/>
              </w:rPr>
              <w:t>/l, myelocyta+metamyelocyta &lt; 5% a vérben, nincs blast és promyelocyta a vérben, basophil &lt; 20%, nincs extramedullaris involvatio</w:t>
            </w:r>
          </w:p>
          <w:p w14:paraId="783AC155" w14:textId="77777777" w:rsidR="00153AD1" w:rsidRPr="00556B9B" w:rsidRDefault="00153AD1" w:rsidP="00DF7747">
            <w:pPr>
              <w:pStyle w:val="Table"/>
              <w:keepNext w:val="0"/>
              <w:keepLines w:val="0"/>
              <w:widowControl w:val="0"/>
              <w:spacing w:before="0" w:after="0"/>
              <w:rPr>
                <w:rFonts w:ascii="Times New Roman" w:hAnsi="Times New Roman"/>
                <w:color w:val="000000"/>
                <w:sz w:val="22"/>
                <w:lang w:val="hu-HU"/>
              </w:rPr>
            </w:pPr>
            <w:r w:rsidRPr="00556B9B">
              <w:rPr>
                <w:rFonts w:ascii="Times New Roman" w:hAnsi="Times New Roman"/>
                <w:b/>
                <w:color w:val="000000"/>
                <w:sz w:val="22"/>
                <w:lang w:val="hu-HU"/>
              </w:rPr>
              <w:t>A cytogenetikai válasz kritériumai:</w:t>
            </w:r>
            <w:r w:rsidRPr="00556B9B">
              <w:rPr>
                <w:rFonts w:ascii="Times New Roman" w:hAnsi="Times New Roman"/>
                <w:color w:val="000000"/>
                <w:sz w:val="22"/>
                <w:lang w:val="hu-HU"/>
              </w:rPr>
              <w:t xml:space="preserve"> komplett: 0% Ph+ metafázis; részleges: 1–35%; minor: 36</w:t>
            </w:r>
            <w:r w:rsidRPr="00556B9B">
              <w:rPr>
                <w:rFonts w:ascii="Times New Roman" w:hAnsi="Times New Roman"/>
                <w:color w:val="000000"/>
                <w:sz w:val="22"/>
                <w:lang w:val="hu-HU"/>
              </w:rPr>
              <w:noBreakHyphen/>
              <w:t>65%; minimális: 66–95%. A nagyfokú választ (0</w:t>
            </w:r>
            <w:r w:rsidRPr="00556B9B">
              <w:rPr>
                <w:rFonts w:ascii="Times New Roman" w:hAnsi="Times New Roman"/>
                <w:color w:val="000000"/>
                <w:sz w:val="22"/>
                <w:szCs w:val="22"/>
                <w:lang w:val="hu-HU"/>
              </w:rPr>
              <w:t>–</w:t>
            </w:r>
            <w:r w:rsidRPr="00556B9B">
              <w:rPr>
                <w:rFonts w:ascii="Times New Roman" w:hAnsi="Times New Roman"/>
                <w:color w:val="000000"/>
                <w:sz w:val="22"/>
                <w:lang w:val="hu-HU"/>
              </w:rPr>
              <w:t>35%) a komplett és részleges válasz együttesen jelenti.</w:t>
            </w:r>
          </w:p>
          <w:p w14:paraId="0117C614" w14:textId="77777777" w:rsidR="00153AD1" w:rsidRPr="00556B9B" w:rsidRDefault="00153AD1" w:rsidP="00DF7747">
            <w:pPr>
              <w:pStyle w:val="Table"/>
              <w:keepNext w:val="0"/>
              <w:keepLines w:val="0"/>
              <w:widowControl w:val="0"/>
              <w:spacing w:before="0" w:after="0"/>
              <w:rPr>
                <w:rFonts w:ascii="Times New Roman" w:hAnsi="Times New Roman"/>
                <w:color w:val="000000"/>
                <w:sz w:val="22"/>
                <w:lang w:val="hu-HU"/>
              </w:rPr>
            </w:pPr>
            <w:r w:rsidRPr="00556B9B">
              <w:rPr>
                <w:rFonts w:ascii="Times New Roman" w:hAnsi="Times New Roman"/>
                <w:b/>
                <w:color w:val="000000"/>
                <w:sz w:val="22"/>
                <w:lang w:val="hu-HU"/>
              </w:rPr>
              <w:t>A nagyfokú molekuláris válasz kritériumai:</w:t>
            </w:r>
            <w:r w:rsidRPr="00556B9B">
              <w:rPr>
                <w:rFonts w:ascii="Times New Roman" w:hAnsi="Times New Roman"/>
                <w:color w:val="000000"/>
                <w:sz w:val="22"/>
                <w:lang w:val="hu-HU"/>
              </w:rPr>
              <w:t xml:space="preserve"> a Bcr</w:t>
            </w:r>
            <w:r w:rsidRPr="00556B9B">
              <w:rPr>
                <w:rFonts w:ascii="Times New Roman" w:hAnsi="Times New Roman"/>
                <w:color w:val="000000"/>
                <w:sz w:val="22"/>
                <w:lang w:val="hu-HU"/>
              </w:rPr>
              <w:noBreakHyphen/>
              <w:t xml:space="preserve">Abl transzkripció mennyiségének ≥ 3 logaritmus csökkenése a perifériás vérben 12 hónapos kezelést követően (valós idejű, kvantatív reverz transzkriptáz </w:t>
            </w:r>
            <w:smartTag w:uri="urn:schemas-microsoft-com:office:smarttags" w:element="stockticker">
              <w:r w:rsidRPr="00556B9B">
                <w:rPr>
                  <w:rFonts w:ascii="Times New Roman" w:hAnsi="Times New Roman"/>
                  <w:color w:val="000000"/>
                  <w:sz w:val="22"/>
                  <w:lang w:val="hu-HU"/>
                </w:rPr>
                <w:t>PCR</w:t>
              </w:r>
            </w:smartTag>
            <w:r w:rsidRPr="00556B9B">
              <w:rPr>
                <w:rFonts w:ascii="Times New Roman" w:hAnsi="Times New Roman"/>
                <w:color w:val="000000"/>
                <w:sz w:val="22"/>
                <w:lang w:val="hu-HU"/>
              </w:rPr>
              <w:t xml:space="preserve"> módszerrel mérve) egy standard kiindulási értékhez viszonyítva.</w:t>
            </w:r>
          </w:p>
        </w:tc>
      </w:tr>
    </w:tbl>
    <w:p w14:paraId="68CAD78E" w14:textId="77777777" w:rsidR="00153AD1" w:rsidRPr="00556B9B" w:rsidRDefault="00153AD1" w:rsidP="00F926B9">
      <w:pPr>
        <w:pStyle w:val="Heading2"/>
        <w:keepNext w:val="0"/>
        <w:numPr>
          <w:ilvl w:val="0"/>
          <w:numId w:val="0"/>
        </w:numPr>
        <w:spacing w:before="0" w:after="0" w:line="240" w:lineRule="auto"/>
        <w:rPr>
          <w:rFonts w:ascii="Times New Roman" w:hAnsi="Times New Roman"/>
          <w:b w:val="0"/>
          <w:i w:val="0"/>
          <w:color w:val="000000"/>
          <w:sz w:val="22"/>
          <w:lang w:val="hu-HU"/>
        </w:rPr>
      </w:pPr>
    </w:p>
    <w:p w14:paraId="48BC4B5F" w14:textId="77777777" w:rsidR="00153AD1" w:rsidRPr="00556B9B" w:rsidRDefault="00153AD1" w:rsidP="00F926B9">
      <w:pPr>
        <w:pStyle w:val="Heading2"/>
        <w:keepNext w:val="0"/>
        <w:numPr>
          <w:ilvl w:val="0"/>
          <w:numId w:val="0"/>
        </w:numPr>
        <w:spacing w:before="0" w:after="0" w:line="240" w:lineRule="auto"/>
        <w:rPr>
          <w:rFonts w:ascii="Times New Roman" w:hAnsi="Times New Roman"/>
          <w:b w:val="0"/>
          <w:i w:val="0"/>
          <w:color w:val="000000"/>
          <w:sz w:val="22"/>
          <w:lang w:val="hu-HU"/>
        </w:rPr>
      </w:pPr>
      <w:r w:rsidRPr="00556B9B">
        <w:rPr>
          <w:rFonts w:ascii="Times New Roman" w:hAnsi="Times New Roman"/>
          <w:b w:val="0"/>
          <w:i w:val="0"/>
          <w:color w:val="000000"/>
          <w:sz w:val="22"/>
          <w:lang w:val="hu-HU"/>
        </w:rPr>
        <w:t>Az első vonalbeli kezelésre adott komplett hematológiai válasz, nagyfokú cytogenetikai válasz és komplett cytogenetikai válasz arányait Kaplan</w:t>
      </w:r>
      <w:r w:rsidRPr="00556B9B">
        <w:rPr>
          <w:rFonts w:ascii="Times New Roman" w:hAnsi="Times New Roman"/>
          <w:b w:val="0"/>
          <w:i w:val="0"/>
          <w:color w:val="000000"/>
          <w:sz w:val="22"/>
          <w:lang w:val="hu-HU"/>
        </w:rPr>
        <w:noBreakHyphen/>
        <w:t>Meier módszerrel számították ki, melynek során a nem reagálókat az utolsó vizsgálat időpontjában cenzorálták. Az első vonalbeli Glivec</w:t>
      </w:r>
      <w:r w:rsidRPr="00556B9B">
        <w:rPr>
          <w:rFonts w:ascii="Times New Roman" w:hAnsi="Times New Roman"/>
          <w:b w:val="0"/>
          <w:i w:val="0"/>
          <w:color w:val="000000"/>
          <w:sz w:val="22"/>
          <w:lang w:val="hu-HU"/>
        </w:rPr>
        <w:noBreakHyphen/>
        <w:t xml:space="preserve">kezelésre adott becsült kumulatív válaszarányok ezen módszerrel meghatározott értékei a kezelés időtartamának előrehaladtával javultak: 12 hónapos kezelés esetén a </w:t>
      </w:r>
      <w:smartTag w:uri="urn:schemas-microsoft-com:office:smarttags" w:element="stockticker">
        <w:r w:rsidRPr="00556B9B">
          <w:rPr>
            <w:rFonts w:ascii="Times New Roman" w:hAnsi="Times New Roman"/>
            <w:b w:val="0"/>
            <w:i w:val="0"/>
            <w:color w:val="000000"/>
            <w:sz w:val="22"/>
            <w:lang w:val="hu-HU"/>
          </w:rPr>
          <w:t>CHR</w:t>
        </w:r>
      </w:smartTag>
      <w:r w:rsidRPr="00556B9B">
        <w:rPr>
          <w:rFonts w:ascii="Times New Roman" w:hAnsi="Times New Roman"/>
          <w:b w:val="0"/>
          <w:i w:val="0"/>
          <w:color w:val="000000"/>
          <w:sz w:val="22"/>
          <w:lang w:val="hu-HU"/>
        </w:rPr>
        <w:t xml:space="preserve"> 96,4%, a CCyR 69,5% volt, 84 hónapos kezelés esetén pedig a </w:t>
      </w:r>
      <w:smartTag w:uri="urn:schemas-microsoft-com:office:smarttags" w:element="stockticker">
        <w:r w:rsidRPr="00556B9B">
          <w:rPr>
            <w:rFonts w:ascii="Times New Roman" w:hAnsi="Times New Roman"/>
            <w:b w:val="0"/>
            <w:i w:val="0"/>
            <w:color w:val="000000"/>
            <w:sz w:val="22"/>
            <w:lang w:val="hu-HU"/>
          </w:rPr>
          <w:t>CHR</w:t>
        </w:r>
      </w:smartTag>
      <w:r w:rsidRPr="00556B9B">
        <w:rPr>
          <w:rFonts w:ascii="Times New Roman" w:hAnsi="Times New Roman"/>
          <w:b w:val="0"/>
          <w:i w:val="0"/>
          <w:color w:val="000000"/>
          <w:sz w:val="22"/>
          <w:lang w:val="hu-HU"/>
        </w:rPr>
        <w:t xml:space="preserve"> 98,4%, a CCyR 87,2% volt.</w:t>
      </w:r>
    </w:p>
    <w:p w14:paraId="7AA46981" w14:textId="77777777" w:rsidR="00153AD1" w:rsidRPr="00556B9B" w:rsidRDefault="00153AD1" w:rsidP="00153AD1">
      <w:pPr>
        <w:rPr>
          <w:color w:val="000000"/>
          <w:lang w:val="hu-HU"/>
        </w:rPr>
      </w:pPr>
    </w:p>
    <w:p w14:paraId="10706C95" w14:textId="77777777" w:rsidR="00153AD1" w:rsidRPr="00556B9B" w:rsidRDefault="00153AD1" w:rsidP="00F926B9">
      <w:pPr>
        <w:rPr>
          <w:color w:val="000000"/>
          <w:lang w:val="hu-HU"/>
        </w:rPr>
      </w:pPr>
      <w:r w:rsidRPr="00556B9B">
        <w:rPr>
          <w:color w:val="000000"/>
          <w:lang w:val="hu-HU"/>
        </w:rPr>
        <w:t xml:space="preserve">Hét éves nyomonkövetés során a Glivec-csoportban 93 (16,8%) progresszióval kapcsolatos esemény lépett fel: 37 esetben (6,7%) akcelerált fázisba vagy blasztos krízisbe történő progresszió, 31 esetben </w:t>
      </w:r>
      <w:r w:rsidRPr="00556B9B">
        <w:rPr>
          <w:color w:val="000000"/>
          <w:lang w:val="hu-HU"/>
        </w:rPr>
        <w:lastRenderedPageBreak/>
        <w:t>(5,6%) a nagyfokú cytogenetikai válasz megszűnése, 15 esetben (2,7%) a komplett hematológiai válasz megszűnése vagy a fehérvérsejtszám emelkedése, és 10 esetben (1,8%) a CML</w:t>
      </w:r>
      <w:r w:rsidRPr="00556B9B">
        <w:rPr>
          <w:color w:val="000000"/>
          <w:lang w:val="hu-HU"/>
        </w:rPr>
        <w:noBreakHyphen/>
        <w:t>től független halálozás. Ezzel szemben az IFN+Ara</w:t>
      </w:r>
      <w:r w:rsidRPr="00556B9B">
        <w:rPr>
          <w:color w:val="000000"/>
          <w:lang w:val="hu-HU"/>
        </w:rPr>
        <w:noBreakHyphen/>
        <w:t>C</w:t>
      </w:r>
      <w:r w:rsidRPr="00556B9B">
        <w:rPr>
          <w:color w:val="000000"/>
          <w:lang w:val="hu-HU"/>
        </w:rPr>
        <w:noBreakHyphen/>
        <w:t>csoportban 165 esemény (29,8%) következett be, melyek közül 130 az első vonalbeli IFN+Ara</w:t>
      </w:r>
      <w:r w:rsidRPr="00556B9B">
        <w:rPr>
          <w:color w:val="000000"/>
          <w:lang w:val="hu-HU"/>
        </w:rPr>
        <w:noBreakHyphen/>
        <w:t>C kezelés mellett lépett fel.</w:t>
      </w:r>
    </w:p>
    <w:p w14:paraId="44024734" w14:textId="77777777" w:rsidR="00153AD1" w:rsidRPr="00556B9B" w:rsidRDefault="00153AD1" w:rsidP="00F926B9">
      <w:pPr>
        <w:pStyle w:val="Heading2"/>
        <w:keepNext w:val="0"/>
        <w:numPr>
          <w:ilvl w:val="0"/>
          <w:numId w:val="0"/>
        </w:numPr>
        <w:spacing w:before="0" w:after="0" w:line="240" w:lineRule="auto"/>
        <w:rPr>
          <w:rFonts w:ascii="Times New Roman" w:hAnsi="Times New Roman"/>
          <w:b w:val="0"/>
          <w:i w:val="0"/>
          <w:color w:val="000000"/>
          <w:sz w:val="22"/>
          <w:lang w:val="hu-HU"/>
        </w:rPr>
      </w:pPr>
    </w:p>
    <w:p w14:paraId="26725CC6" w14:textId="77777777" w:rsidR="00153AD1" w:rsidRPr="00556B9B" w:rsidRDefault="00153AD1" w:rsidP="00F926B9">
      <w:pPr>
        <w:pStyle w:val="Heading2"/>
        <w:keepNext w:val="0"/>
        <w:numPr>
          <w:ilvl w:val="0"/>
          <w:numId w:val="0"/>
        </w:numPr>
        <w:spacing w:before="0" w:after="0" w:line="240" w:lineRule="auto"/>
        <w:rPr>
          <w:rFonts w:ascii="Times New Roman" w:hAnsi="Times New Roman"/>
          <w:b w:val="0"/>
          <w:i w:val="0"/>
          <w:color w:val="000000"/>
          <w:sz w:val="22"/>
          <w:lang w:val="hu-HU"/>
        </w:rPr>
      </w:pPr>
      <w:r w:rsidRPr="00556B9B">
        <w:rPr>
          <w:rFonts w:ascii="Times New Roman" w:hAnsi="Times New Roman"/>
          <w:b w:val="0"/>
          <w:i w:val="0"/>
          <w:color w:val="000000"/>
          <w:sz w:val="22"/>
          <w:lang w:val="hu-HU"/>
        </w:rPr>
        <w:t xml:space="preserve">A 84. hónapban az akcelerált fázisba vagy a blasztos krízisbe való progressziótól mentes betegek becsült aránya szignifikánsan magasabb volt a Glivec, mint az </w:t>
      </w:r>
      <w:smartTag w:uri="urn:schemas-microsoft-com:office:smarttags" w:element="stockticker">
        <w:r w:rsidRPr="00556B9B">
          <w:rPr>
            <w:rFonts w:ascii="Times New Roman" w:hAnsi="Times New Roman"/>
            <w:b w:val="0"/>
            <w:i w:val="0"/>
            <w:color w:val="000000"/>
            <w:sz w:val="22"/>
            <w:lang w:val="hu-HU"/>
          </w:rPr>
          <w:t>INF</w:t>
        </w:r>
      </w:smartTag>
      <w:r w:rsidRPr="00556B9B">
        <w:rPr>
          <w:rFonts w:ascii="Times New Roman" w:hAnsi="Times New Roman"/>
          <w:b w:val="0"/>
          <w:i w:val="0"/>
          <w:color w:val="000000"/>
          <w:sz w:val="22"/>
          <w:lang w:val="hu-HU"/>
        </w:rPr>
        <w:t> csoportban (92,5% vs. 85,1%, p &lt; 0,001). Az akcelerált fázisba vagy blasztos krízisbe történő progresszió éves aránya a kezelés időtartamával párhuzamosan csökkent, és a 4., ill. 5. évben évente kevesebb volt 1%</w:t>
      </w:r>
      <w:r w:rsidRPr="00556B9B">
        <w:rPr>
          <w:rFonts w:ascii="Times New Roman" w:hAnsi="Times New Roman"/>
          <w:b w:val="0"/>
          <w:i w:val="0"/>
          <w:color w:val="000000"/>
          <w:sz w:val="22"/>
          <w:lang w:val="hu-HU"/>
        </w:rPr>
        <w:noBreakHyphen/>
        <w:t>nál. A becsült progresziómentes túlélési arány a 84. hónapban 81,2% volt a Glivec</w:t>
      </w:r>
      <w:r w:rsidRPr="00556B9B">
        <w:rPr>
          <w:rFonts w:ascii="Times New Roman" w:hAnsi="Times New Roman"/>
          <w:b w:val="0"/>
          <w:i w:val="0"/>
          <w:color w:val="000000"/>
          <w:sz w:val="22"/>
          <w:lang w:val="hu-HU"/>
        </w:rPr>
        <w:noBreakHyphen/>
        <w:t>csoportban, a kontroll</w:t>
      </w:r>
      <w:r w:rsidRPr="00556B9B">
        <w:rPr>
          <w:rFonts w:ascii="Times New Roman" w:hAnsi="Times New Roman"/>
          <w:b w:val="0"/>
          <w:i w:val="0"/>
          <w:color w:val="000000"/>
          <w:sz w:val="22"/>
          <w:lang w:val="hu-HU"/>
        </w:rPr>
        <w:noBreakHyphen/>
        <w:t>csoportban pedig 60,6% (p &lt; 0,001). Glivec mellett a progresszió minden típusának éves aránya szintén csökkent az idő előrehaladtával.</w:t>
      </w:r>
    </w:p>
    <w:p w14:paraId="0C5DEB54" w14:textId="77777777" w:rsidR="00153AD1" w:rsidRPr="00556B9B" w:rsidRDefault="00153AD1" w:rsidP="00F926B9">
      <w:pPr>
        <w:pStyle w:val="Heading2"/>
        <w:keepNext w:val="0"/>
        <w:numPr>
          <w:ilvl w:val="0"/>
          <w:numId w:val="0"/>
        </w:numPr>
        <w:spacing w:before="0" w:after="0" w:line="240" w:lineRule="auto"/>
        <w:rPr>
          <w:rFonts w:ascii="Times New Roman" w:hAnsi="Times New Roman"/>
          <w:b w:val="0"/>
          <w:i w:val="0"/>
          <w:color w:val="000000"/>
          <w:sz w:val="22"/>
          <w:lang w:val="hu-HU"/>
        </w:rPr>
      </w:pPr>
    </w:p>
    <w:p w14:paraId="0A19AF5D" w14:textId="28C8CB2B" w:rsidR="00153AD1" w:rsidRPr="00556B9B" w:rsidRDefault="00153AD1" w:rsidP="00F926B9">
      <w:pPr>
        <w:pStyle w:val="Heading2"/>
        <w:keepNext w:val="0"/>
        <w:numPr>
          <w:ilvl w:val="0"/>
          <w:numId w:val="0"/>
        </w:numPr>
        <w:spacing w:before="0" w:after="0" w:line="240" w:lineRule="auto"/>
        <w:rPr>
          <w:rFonts w:ascii="Times New Roman" w:hAnsi="Times New Roman"/>
          <w:b w:val="0"/>
          <w:i w:val="0"/>
          <w:color w:val="000000"/>
          <w:sz w:val="22"/>
          <w:lang w:val="hu-HU"/>
        </w:rPr>
      </w:pPr>
      <w:r w:rsidRPr="00556B9B">
        <w:rPr>
          <w:rFonts w:ascii="Times New Roman" w:hAnsi="Times New Roman"/>
          <w:b w:val="0"/>
          <w:i w:val="0"/>
          <w:color w:val="000000"/>
          <w:sz w:val="22"/>
          <w:lang w:val="hu-HU"/>
        </w:rPr>
        <w:t>A Glivec-csoportban összesen 71 beteg (12,8%), az IFN+Ara</w:t>
      </w:r>
      <w:r w:rsidRPr="00556B9B">
        <w:rPr>
          <w:rFonts w:ascii="Times New Roman" w:hAnsi="Times New Roman"/>
          <w:b w:val="0"/>
          <w:i w:val="0"/>
          <w:color w:val="000000"/>
          <w:sz w:val="22"/>
          <w:lang w:val="hu-HU"/>
        </w:rPr>
        <w:noBreakHyphen/>
        <w:t>C-csoportban 85 beteg (15,4%) halt meg. A 84. hónapban a becsült teljes túlélés a Glivec</w:t>
      </w:r>
      <w:r w:rsidRPr="00556B9B">
        <w:rPr>
          <w:rFonts w:ascii="Times New Roman" w:hAnsi="Times New Roman"/>
          <w:b w:val="0"/>
          <w:i w:val="0"/>
          <w:color w:val="000000"/>
          <w:sz w:val="22"/>
          <w:lang w:val="hu-HU"/>
        </w:rPr>
        <w:noBreakHyphen/>
        <w:t>csoportban 86,4% (83, 90), az IFN+Ara</w:t>
      </w:r>
      <w:r w:rsidRPr="00556B9B">
        <w:rPr>
          <w:rFonts w:ascii="Times New Roman" w:hAnsi="Times New Roman"/>
          <w:b w:val="0"/>
          <w:i w:val="0"/>
          <w:color w:val="000000"/>
          <w:sz w:val="22"/>
          <w:lang w:val="hu-HU"/>
        </w:rPr>
        <w:noBreakHyphen/>
        <w:t>C</w:t>
      </w:r>
      <w:r w:rsidRPr="00556B9B">
        <w:rPr>
          <w:rFonts w:ascii="Times New Roman" w:hAnsi="Times New Roman"/>
          <w:b w:val="0"/>
          <w:i w:val="0"/>
          <w:color w:val="000000"/>
          <w:sz w:val="22"/>
          <w:lang w:val="hu-HU"/>
        </w:rPr>
        <w:noBreakHyphen/>
        <w:t>csoportban 83,3% (80, 87) volt (p = 0,073, logrank próba). Az „eseményig eltelt idő” végpontot nagymértékben befolyásolja az IFN+Ara</w:t>
      </w:r>
      <w:r w:rsidRPr="00556B9B">
        <w:rPr>
          <w:rFonts w:ascii="Times New Roman" w:hAnsi="Times New Roman"/>
          <w:b w:val="0"/>
          <w:i w:val="0"/>
          <w:color w:val="000000"/>
          <w:sz w:val="22"/>
          <w:lang w:val="hu-HU"/>
        </w:rPr>
        <w:noBreakHyphen/>
        <w:t>C kezelésről Glivec</w:t>
      </w:r>
      <w:r w:rsidRPr="00556B9B">
        <w:rPr>
          <w:rFonts w:ascii="Times New Roman" w:hAnsi="Times New Roman"/>
          <w:b w:val="0"/>
          <w:i w:val="0"/>
          <w:color w:val="000000"/>
          <w:sz w:val="22"/>
          <w:lang w:val="hu-HU"/>
        </w:rPr>
        <w:noBreakHyphen/>
        <w:t>kezelésre történő átváltás magas aránya. A Glivec</w:t>
      </w:r>
      <w:r w:rsidRPr="00556B9B">
        <w:rPr>
          <w:rFonts w:ascii="Times New Roman" w:hAnsi="Times New Roman"/>
          <w:b w:val="0"/>
          <w:i w:val="0"/>
          <w:color w:val="000000"/>
          <w:sz w:val="22"/>
          <w:lang w:val="hu-HU"/>
        </w:rPr>
        <w:noBreakHyphen/>
        <w:t>kezelés túlélésre gyakorolt hatását krónikus fázisú, újonnan diagnosztizált CML</w:t>
      </w:r>
      <w:r w:rsidRPr="00556B9B">
        <w:rPr>
          <w:rFonts w:ascii="Times New Roman" w:hAnsi="Times New Roman"/>
          <w:b w:val="0"/>
          <w:i w:val="0"/>
          <w:color w:val="000000"/>
          <w:sz w:val="22"/>
          <w:lang w:val="hu-HU"/>
        </w:rPr>
        <w:noBreakHyphen/>
        <w:t xml:space="preserve">ben tovább vizsgálták a </w:t>
      </w:r>
      <w:r w:rsidRPr="006D0F5F">
        <w:rPr>
          <w:rFonts w:ascii="Times New Roman" w:hAnsi="Times New Roman"/>
          <w:b w:val="0"/>
          <w:i w:val="0"/>
          <w:color w:val="000000"/>
          <w:sz w:val="22"/>
          <w:lang w:val="hu-HU"/>
        </w:rPr>
        <w:t>fenti Glivec adatok, valamint egy, az IFN+Ara</w:t>
      </w:r>
      <w:r w:rsidRPr="006D0F5F">
        <w:rPr>
          <w:rFonts w:ascii="Times New Roman" w:hAnsi="Times New Roman"/>
          <w:b w:val="0"/>
          <w:i w:val="0"/>
          <w:color w:val="000000"/>
          <w:sz w:val="22"/>
          <w:lang w:val="hu-HU"/>
        </w:rPr>
        <w:noBreakHyphen/>
        <w:t>C</w:t>
      </w:r>
      <w:r w:rsidRPr="006D0F5F">
        <w:rPr>
          <w:rFonts w:ascii="Times New Roman" w:hAnsi="Times New Roman"/>
          <w:b w:val="0"/>
          <w:i w:val="0"/>
          <w:color w:val="000000"/>
          <w:sz w:val="22"/>
          <w:lang w:val="hu-HU"/>
        </w:rPr>
        <w:noBreakHyphen/>
        <w:t xml:space="preserve">t (n=325) azonos protokoll szerint alkalmazó </w:t>
      </w:r>
      <w:smartTag w:uri="urn:schemas-microsoft-com:office:smarttags" w:element="stockticker">
        <w:r w:rsidRPr="006D0F5F">
          <w:rPr>
            <w:rFonts w:ascii="Times New Roman" w:hAnsi="Times New Roman"/>
            <w:b w:val="0"/>
            <w:i w:val="0"/>
            <w:color w:val="000000"/>
            <w:sz w:val="22"/>
            <w:lang w:val="hu-HU"/>
          </w:rPr>
          <w:t>III</w:t>
        </w:r>
        <w:r w:rsidR="00A83F73" w:rsidRPr="006D0F5F">
          <w:rPr>
            <w:rFonts w:ascii="Times New Roman" w:hAnsi="Times New Roman"/>
            <w:b w:val="0"/>
            <w:i w:val="0"/>
            <w:color w:val="000000"/>
            <w:sz w:val="22"/>
            <w:lang w:val="hu-HU"/>
          </w:rPr>
          <w:t xml:space="preserve">. fázisú </w:t>
        </w:r>
      </w:smartTag>
      <w:r w:rsidRPr="006D0F5F">
        <w:rPr>
          <w:rFonts w:ascii="Times New Roman" w:hAnsi="Times New Roman"/>
          <w:b w:val="0"/>
          <w:i w:val="0"/>
          <w:color w:val="000000"/>
          <w:sz w:val="22"/>
          <w:lang w:val="hu-HU"/>
        </w:rPr>
        <w:t xml:space="preserve"> vizsgálat elsődleges adatainak retrospektív elemzése során. Ezen retrospektív elemzés igazolta a „jobb, mint” hipotézist a Glivec esetén az IFN+Ara</w:t>
      </w:r>
      <w:r w:rsidRPr="006D0F5F">
        <w:rPr>
          <w:rFonts w:ascii="Times New Roman" w:hAnsi="Times New Roman"/>
          <w:b w:val="0"/>
          <w:i w:val="0"/>
          <w:color w:val="000000"/>
          <w:sz w:val="22"/>
          <w:lang w:val="hu-HU"/>
        </w:rPr>
        <w:noBreakHyphen/>
        <w:t>C kezeléshez viszonyítva (p &lt; 0,001) a teljes túlélés tekintetében; 42 hónapon belül 47 (8,5%) Glivec</w:t>
      </w:r>
      <w:r w:rsidRPr="006D0F5F">
        <w:rPr>
          <w:rFonts w:ascii="Times New Roman" w:hAnsi="Times New Roman"/>
          <w:b w:val="0"/>
          <w:i w:val="0"/>
          <w:color w:val="000000"/>
          <w:sz w:val="22"/>
          <w:lang w:val="hu-HU"/>
        </w:rPr>
        <w:noBreakHyphen/>
        <w:t>kezelést és 63 (19,4%) IFN+Ara</w:t>
      </w:r>
      <w:r w:rsidRPr="006D0F5F">
        <w:rPr>
          <w:rFonts w:ascii="Times New Roman" w:hAnsi="Times New Roman"/>
          <w:b w:val="0"/>
          <w:i w:val="0"/>
          <w:color w:val="000000"/>
          <w:sz w:val="22"/>
          <w:lang w:val="hu-HU"/>
        </w:rPr>
        <w:noBreakHyphen/>
        <w:t>C kezelést kapott beteg halt meg</w:t>
      </w:r>
      <w:r w:rsidRPr="00556B9B">
        <w:rPr>
          <w:rFonts w:ascii="Times New Roman" w:hAnsi="Times New Roman"/>
          <w:b w:val="0"/>
          <w:i w:val="0"/>
          <w:color w:val="000000"/>
          <w:sz w:val="22"/>
          <w:lang w:val="hu-HU"/>
        </w:rPr>
        <w:t>.</w:t>
      </w:r>
    </w:p>
    <w:p w14:paraId="16693EF5" w14:textId="77777777" w:rsidR="00153AD1" w:rsidRPr="00556B9B" w:rsidRDefault="00153AD1" w:rsidP="00F926B9">
      <w:pPr>
        <w:rPr>
          <w:color w:val="000000"/>
          <w:lang w:val="hu-HU"/>
        </w:rPr>
      </w:pPr>
    </w:p>
    <w:p w14:paraId="5EA0EB02" w14:textId="77777777" w:rsidR="00153AD1" w:rsidRPr="00556B9B" w:rsidRDefault="00153AD1" w:rsidP="00F926B9">
      <w:pPr>
        <w:rPr>
          <w:color w:val="000000"/>
          <w:lang w:val="hu-HU"/>
        </w:rPr>
      </w:pPr>
      <w:r w:rsidRPr="00556B9B">
        <w:rPr>
          <w:color w:val="000000"/>
          <w:lang w:val="hu-HU"/>
        </w:rPr>
        <w:t>A Glivec</w:t>
      </w:r>
      <w:r w:rsidRPr="00556B9B">
        <w:rPr>
          <w:color w:val="000000"/>
          <w:lang w:val="hu-HU"/>
        </w:rPr>
        <w:noBreakHyphen/>
        <w:t>kezelésben részesülő betegek esetében a cytogenetikai és molekuláris válasz mértéke egyértelmű hatással volt a hosszú távú kimenetelre. Míg a 12. hónapban komplett cytogenetikai választ (részleges cytogenetikai választ) mutató betegek körülbelül 96%</w:t>
      </w:r>
      <w:r w:rsidRPr="00556B9B">
        <w:rPr>
          <w:color w:val="000000"/>
          <w:lang w:val="hu-HU"/>
        </w:rPr>
        <w:noBreakHyphen/>
        <w:t>a (93%</w:t>
      </w:r>
      <w:r w:rsidRPr="00556B9B">
        <w:rPr>
          <w:color w:val="000000"/>
          <w:lang w:val="hu-HU"/>
        </w:rPr>
        <w:noBreakHyphen/>
        <w:t>a) a 84. hónapra nem progrediált akcelerált fázisba/blasztos krízisbe, addig a 12. hónapban nagyfokú cytogenetikai válasz nélküli betegeknek csak 81%</w:t>
      </w:r>
      <w:r w:rsidRPr="00556B9B">
        <w:rPr>
          <w:color w:val="000000"/>
          <w:lang w:val="hu-HU"/>
        </w:rPr>
        <w:noBreakHyphen/>
        <w:t>a nem progrediált előrehaladott CML</w:t>
      </w:r>
      <w:r w:rsidRPr="00556B9B">
        <w:rPr>
          <w:color w:val="000000"/>
          <w:lang w:val="hu-HU"/>
        </w:rPr>
        <w:noBreakHyphen/>
        <w:t>be a 84. hónapra (p &lt; 0,001 összesítve, p = 0,25 a komplett cytogenetikai választ és részleges cytogenetikai választ mutató csoportok összehasonlítása esetén). Azoknál a betegeknél, akik a 12. hónapban a Bcr</w:t>
      </w:r>
      <w:r w:rsidRPr="00556B9B">
        <w:rPr>
          <w:color w:val="000000"/>
          <w:lang w:val="hu-HU"/>
        </w:rPr>
        <w:noBreakHyphen/>
        <w:t>Abl transzkripció legalább 3 logaritmus értékű csökkenését mutatták, a progressziómentesség (akcelerált fázisba/blasztos krízisbe) fennmaradásának valószínűsége a 84. hónapban 99% volt. Hasonló eredményeket kaptak a 18 hónapos iránymutató analízis során.</w:t>
      </w:r>
    </w:p>
    <w:p w14:paraId="5E6499CB" w14:textId="77777777" w:rsidR="00153AD1" w:rsidRPr="00556B9B" w:rsidRDefault="00153AD1" w:rsidP="00153AD1">
      <w:pPr>
        <w:pStyle w:val="Header"/>
        <w:spacing w:line="240" w:lineRule="auto"/>
        <w:rPr>
          <w:rFonts w:ascii="Times New Roman" w:hAnsi="Times New Roman"/>
          <w:color w:val="000000"/>
          <w:sz w:val="22"/>
          <w:lang w:val="hu-HU"/>
        </w:rPr>
      </w:pPr>
    </w:p>
    <w:p w14:paraId="546CFA6E" w14:textId="77777777" w:rsidR="00153AD1" w:rsidRPr="00556B9B" w:rsidRDefault="00153AD1" w:rsidP="00153AD1">
      <w:pPr>
        <w:pStyle w:val="Header"/>
        <w:spacing w:line="240" w:lineRule="auto"/>
        <w:rPr>
          <w:rFonts w:ascii="Times New Roman" w:hAnsi="Times New Roman"/>
          <w:color w:val="000000"/>
          <w:sz w:val="22"/>
          <w:lang w:val="hu-HU"/>
        </w:rPr>
      </w:pPr>
      <w:r w:rsidRPr="00556B9B">
        <w:rPr>
          <w:rFonts w:ascii="Times New Roman" w:hAnsi="Times New Roman"/>
          <w:color w:val="000000"/>
          <w:sz w:val="22"/>
          <w:lang w:val="hu-HU"/>
        </w:rPr>
        <w:t>Ezen vizsgálatban lehetőség volt a dózis napi 400 mg</w:t>
      </w:r>
      <w:r w:rsidRPr="00556B9B">
        <w:rPr>
          <w:rFonts w:ascii="Times New Roman" w:hAnsi="Times New Roman"/>
          <w:color w:val="000000"/>
          <w:sz w:val="22"/>
          <w:lang w:val="hu-HU"/>
        </w:rPr>
        <w:noBreakHyphen/>
        <w:t>ról napi 600 mg</w:t>
      </w:r>
      <w:r w:rsidRPr="00556B9B">
        <w:rPr>
          <w:rFonts w:ascii="Times New Roman" w:hAnsi="Times New Roman"/>
          <w:color w:val="000000"/>
          <w:sz w:val="22"/>
          <w:lang w:val="hu-HU"/>
        </w:rPr>
        <w:noBreakHyphen/>
        <w:t>ra, majd napi 600 mg</w:t>
      </w:r>
      <w:r w:rsidRPr="00556B9B">
        <w:rPr>
          <w:rFonts w:ascii="Times New Roman" w:hAnsi="Times New Roman"/>
          <w:color w:val="000000"/>
          <w:sz w:val="22"/>
          <w:lang w:val="hu-HU"/>
        </w:rPr>
        <w:noBreakHyphen/>
        <w:t>ról napi 800 mg</w:t>
      </w:r>
      <w:r w:rsidRPr="00556B9B">
        <w:rPr>
          <w:rFonts w:ascii="Times New Roman" w:hAnsi="Times New Roman"/>
          <w:color w:val="000000"/>
          <w:sz w:val="22"/>
          <w:lang w:val="hu-HU"/>
        </w:rPr>
        <w:noBreakHyphen/>
        <w:t>ra történő emelésére. A 42 hónapos nyomonkövetés után 11 betegben (4 héten belül) a cytogenetikai válasz bizonyítottan megszűnt. Ezen 11 beteg közül 4 beteg gyógyszeradagját emelték napi 800 mg</w:t>
      </w:r>
      <w:r w:rsidRPr="00556B9B">
        <w:rPr>
          <w:rFonts w:ascii="Times New Roman" w:hAnsi="Times New Roman"/>
          <w:color w:val="000000"/>
          <w:sz w:val="22"/>
          <w:lang w:val="hu-HU"/>
        </w:rPr>
        <w:noBreakHyphen/>
        <w:t>ra, közülük kettőnél újra megjelent a cytogenetikai válasz (1 részleges, 1 komplett, az utóbbi molekuláris választ is mutatott), míg azon 7 beteg közül, akiknek nem emelték az adagját, csak egynél alakult ki ismét komplett cytogenetikai válasz. Bizonyos mellékhatások előfordulása gyakoribb volt azon 40 betegben, akiknek a napi adagját 800 mg</w:t>
      </w:r>
      <w:r w:rsidRPr="00556B9B">
        <w:rPr>
          <w:rFonts w:ascii="Times New Roman" w:hAnsi="Times New Roman"/>
          <w:color w:val="000000"/>
          <w:sz w:val="22"/>
          <w:lang w:val="hu-HU"/>
        </w:rPr>
        <w:noBreakHyphen/>
        <w:t>ra emelték, a dózisemelést megelőző betegmintához viszonyítva (n=551). A gyakoribb mellékhatások közé tartoznak a gastrointestinalis vérzések, a conjunctivitis és a transzaminázszint, illetve bilirubinszint emelkedése. Más mellékhatásról azonos vagy kisebb gyakorisággal számoltak be.</w:t>
      </w:r>
    </w:p>
    <w:p w14:paraId="73D02733" w14:textId="77777777" w:rsidR="00153AD1" w:rsidRPr="00556B9B" w:rsidRDefault="00153AD1" w:rsidP="00153AD1">
      <w:pPr>
        <w:tabs>
          <w:tab w:val="left" w:pos="8505"/>
        </w:tabs>
        <w:spacing w:line="240" w:lineRule="auto"/>
        <w:rPr>
          <w:color w:val="000000"/>
          <w:lang w:val="hu-HU"/>
        </w:rPr>
      </w:pPr>
    </w:p>
    <w:p w14:paraId="137CB62F" w14:textId="77777777" w:rsidR="00153AD1" w:rsidRPr="00556B9B" w:rsidRDefault="00153AD1" w:rsidP="00153AD1">
      <w:pPr>
        <w:spacing w:line="240" w:lineRule="auto"/>
        <w:rPr>
          <w:color w:val="000000"/>
          <w:lang w:val="hu-HU"/>
        </w:rPr>
      </w:pPr>
      <w:r w:rsidRPr="00556B9B">
        <w:rPr>
          <w:i/>
          <w:color w:val="000000"/>
          <w:lang w:val="hu-HU"/>
        </w:rPr>
        <w:t>Krónikus fázis, IFN</w:t>
      </w:r>
      <w:r w:rsidRPr="00556B9B">
        <w:rPr>
          <w:i/>
          <w:color w:val="000000"/>
          <w:lang w:val="hu-HU"/>
        </w:rPr>
        <w:noBreakHyphen/>
        <w:t>hatástalanság</w:t>
      </w:r>
      <w:r w:rsidRPr="00556B9B">
        <w:rPr>
          <w:color w:val="000000"/>
          <w:lang w:val="hu-HU"/>
        </w:rPr>
        <w:t xml:space="preserve">: 532 felnőtt beteget kezeltek 400 mg kezdő dózissal. A betegek három nagy: hematológiai hatástalanság (29%), cytogenetikai hatástalanság (35%) vagy IFN intolerancia (36%) csoportra oszlottak. A betegek előzetesen 14 hónapon (medián idő) át kaptak IFN kezelést </w:t>
      </w:r>
      <w:r w:rsidRPr="00556B9B">
        <w:rPr>
          <w:color w:val="000000"/>
          <w:lang w:val="hu-HU"/>
        </w:rPr>
        <w:sym w:font="Symbol" w:char="F0B3"/>
      </w:r>
      <w:r w:rsidRPr="00556B9B">
        <w:rPr>
          <w:color w:val="000000"/>
          <w:lang w:val="hu-HU"/>
        </w:rPr>
        <w:t> 25 x 10</w:t>
      </w:r>
      <w:r w:rsidRPr="00556B9B">
        <w:rPr>
          <w:color w:val="000000"/>
          <w:vertAlign w:val="superscript"/>
          <w:lang w:val="hu-HU"/>
        </w:rPr>
        <w:t>6</w:t>
      </w:r>
      <w:r w:rsidRPr="00556B9B">
        <w:rPr>
          <w:color w:val="000000"/>
          <w:lang w:val="hu-HU"/>
        </w:rPr>
        <w:t>/l NE/hét adagban, és valamennyien késői krónikus fázisban voltak, a diagnózistól számított (medián) 32 hónapban. A primer hatékonysági mutató a vizsgálatban a nagyfokú cytogenetikai válasz volt (komplett + részleges válasz: 0–35% Ph+ metafázis a csontvelőben).</w:t>
      </w:r>
    </w:p>
    <w:p w14:paraId="3265D6DB" w14:textId="77777777" w:rsidR="00153AD1" w:rsidRPr="00556B9B" w:rsidRDefault="00153AD1" w:rsidP="00153AD1">
      <w:pPr>
        <w:spacing w:line="240" w:lineRule="auto"/>
        <w:rPr>
          <w:color w:val="000000"/>
          <w:lang w:val="hu-HU"/>
        </w:rPr>
      </w:pPr>
    </w:p>
    <w:p w14:paraId="07F068BA" w14:textId="77777777" w:rsidR="00153AD1" w:rsidRPr="00556B9B" w:rsidRDefault="00153AD1" w:rsidP="00153AD1">
      <w:pPr>
        <w:spacing w:line="240" w:lineRule="auto"/>
        <w:rPr>
          <w:color w:val="000000"/>
          <w:lang w:val="hu-HU"/>
        </w:rPr>
      </w:pPr>
      <w:r w:rsidRPr="00556B9B">
        <w:rPr>
          <w:color w:val="000000"/>
          <w:lang w:val="hu-HU"/>
        </w:rPr>
        <w:t>Ebben a vizsgálatban a betegek 65%</w:t>
      </w:r>
      <w:r w:rsidRPr="00556B9B">
        <w:rPr>
          <w:color w:val="000000"/>
          <w:lang w:val="hu-HU"/>
        </w:rPr>
        <w:noBreakHyphen/>
        <w:t>a elérte a nagyfokú cytogenetikai választ, ami a betegek 53%</w:t>
      </w:r>
      <w:r w:rsidRPr="00556B9B">
        <w:rPr>
          <w:color w:val="000000"/>
          <w:lang w:val="hu-HU"/>
        </w:rPr>
        <w:noBreakHyphen/>
        <w:t>ában (megerősített 43%</w:t>
      </w:r>
      <w:r w:rsidRPr="00556B9B">
        <w:rPr>
          <w:color w:val="000000"/>
          <w:lang w:val="hu-HU"/>
        </w:rPr>
        <w:noBreakHyphen/>
        <w:t>ban) volt komplett (</w:t>
      </w:r>
      <w:r w:rsidR="00F10EA5" w:rsidRPr="00556B9B">
        <w:rPr>
          <w:color w:val="000000"/>
          <w:lang w:val="hu-HU"/>
        </w:rPr>
        <w:t>3</w:t>
      </w:r>
      <w:r w:rsidRPr="00556B9B">
        <w:rPr>
          <w:color w:val="000000"/>
          <w:lang w:val="hu-HU"/>
        </w:rPr>
        <w:t>. táblázat). Komplett hematológiai válasz a betegek 95%</w:t>
      </w:r>
      <w:r w:rsidRPr="00556B9B">
        <w:rPr>
          <w:color w:val="000000"/>
          <w:lang w:val="hu-HU"/>
        </w:rPr>
        <w:noBreakHyphen/>
        <w:t>a esetében következett be.</w:t>
      </w:r>
    </w:p>
    <w:p w14:paraId="2CEE60E4" w14:textId="77777777" w:rsidR="00153AD1" w:rsidRPr="00556B9B" w:rsidRDefault="00153AD1" w:rsidP="00153AD1">
      <w:pPr>
        <w:spacing w:line="240" w:lineRule="auto"/>
        <w:rPr>
          <w:color w:val="000000"/>
          <w:lang w:val="hu-HU"/>
        </w:rPr>
      </w:pPr>
    </w:p>
    <w:p w14:paraId="5007E2F1" w14:textId="77777777" w:rsidR="00153AD1" w:rsidRPr="00556B9B" w:rsidRDefault="00153AD1" w:rsidP="00153AD1">
      <w:pPr>
        <w:spacing w:line="240" w:lineRule="auto"/>
        <w:rPr>
          <w:color w:val="000000"/>
          <w:lang w:val="hu-HU"/>
        </w:rPr>
      </w:pPr>
      <w:r w:rsidRPr="00556B9B">
        <w:rPr>
          <w:i/>
          <w:color w:val="000000"/>
          <w:lang w:val="hu-HU"/>
        </w:rPr>
        <w:t>Akcelerált fázis</w:t>
      </w:r>
      <w:r w:rsidRPr="00556B9B">
        <w:rPr>
          <w:color w:val="000000"/>
          <w:lang w:val="hu-HU"/>
        </w:rPr>
        <w:t>: 235 akcelerált fázisban levő felnőtt beteget vontak be a vizsgálatba. Az első 77 beteg kezdő adagja 400 mg volt, a protokollt később módosították a magasabb dózisok engedélyezése érdekében, így a további 158 beteg kezdő adagja 600 mg lett.</w:t>
      </w:r>
    </w:p>
    <w:p w14:paraId="599A28C4" w14:textId="77777777" w:rsidR="00153AD1" w:rsidRPr="00556B9B" w:rsidRDefault="00153AD1" w:rsidP="00153AD1">
      <w:pPr>
        <w:spacing w:line="240" w:lineRule="auto"/>
        <w:rPr>
          <w:color w:val="000000"/>
          <w:lang w:val="hu-HU"/>
        </w:rPr>
      </w:pPr>
    </w:p>
    <w:p w14:paraId="0A1AD2A7" w14:textId="77777777" w:rsidR="00153AD1" w:rsidRPr="006D0F5F" w:rsidRDefault="00153AD1" w:rsidP="00153AD1">
      <w:pPr>
        <w:spacing w:line="240" w:lineRule="auto"/>
        <w:rPr>
          <w:color w:val="000000"/>
          <w:lang w:val="hu-HU"/>
        </w:rPr>
      </w:pPr>
      <w:r w:rsidRPr="00556B9B">
        <w:rPr>
          <w:color w:val="000000"/>
          <w:lang w:val="hu-HU"/>
        </w:rPr>
        <w:t>A primer hatásossági mutató a hematológiai válaszarány volt: melyet vagy a komplett hematológiai válasz, a leukaemia hiánya (pl. nem volt blastsejt a vérben és a csontvelőben, de nem volt tökéletes normalizálódás a perifériás vérben, mint a komplett válaszok esetén), vagy a krónikus CML fázisba való visszatérés jelentett. Igazolt hematológiai válasz a betegek 71,5%</w:t>
      </w:r>
      <w:r w:rsidRPr="00556B9B">
        <w:rPr>
          <w:color w:val="000000"/>
          <w:lang w:val="hu-HU"/>
        </w:rPr>
        <w:noBreakHyphen/>
        <w:t>ában volt (</w:t>
      </w:r>
      <w:r w:rsidR="00F10EA5" w:rsidRPr="00556B9B">
        <w:rPr>
          <w:color w:val="000000"/>
          <w:lang w:val="hu-HU"/>
        </w:rPr>
        <w:t>3</w:t>
      </w:r>
      <w:r w:rsidRPr="00556B9B">
        <w:rPr>
          <w:color w:val="000000"/>
          <w:lang w:val="hu-HU"/>
        </w:rPr>
        <w:t>. táblázat). Fontos tény, hogy a betegek 27,7%</w:t>
      </w:r>
      <w:r w:rsidRPr="00556B9B">
        <w:rPr>
          <w:color w:val="000000"/>
          <w:lang w:val="hu-HU"/>
        </w:rPr>
        <w:noBreakHyphen/>
        <w:t>a elért jelentős cytogenetikai választ is, ami a betegek 20,4%-ában (megerősítetten 16%</w:t>
      </w:r>
      <w:r w:rsidRPr="00556B9B">
        <w:rPr>
          <w:color w:val="000000"/>
          <w:lang w:val="hu-HU"/>
        </w:rPr>
        <w:noBreakHyphen/>
        <w:t>ban) komplett volt. A 600 mg</w:t>
      </w:r>
      <w:r w:rsidRPr="00556B9B">
        <w:rPr>
          <w:color w:val="000000"/>
          <w:lang w:val="hu-HU"/>
        </w:rPr>
        <w:noBreakHyphen/>
        <w:t xml:space="preserve">mal kezelt </w:t>
      </w:r>
      <w:r w:rsidRPr="006D0F5F">
        <w:rPr>
          <w:color w:val="000000"/>
          <w:lang w:val="hu-HU"/>
        </w:rPr>
        <w:t>betegekben a progressziómentes túlélés, ill. az általános túlélés jelenlegi becsült középértékei 22,9 és 42,5 hónap.</w:t>
      </w:r>
    </w:p>
    <w:p w14:paraId="42101647" w14:textId="77777777" w:rsidR="00153AD1" w:rsidRPr="006D0F5F" w:rsidRDefault="00153AD1" w:rsidP="00153AD1">
      <w:pPr>
        <w:spacing w:line="240" w:lineRule="auto"/>
        <w:rPr>
          <w:color w:val="000000"/>
          <w:lang w:val="hu-HU"/>
        </w:rPr>
      </w:pPr>
    </w:p>
    <w:p w14:paraId="7E3371D0" w14:textId="26184CB8" w:rsidR="00153AD1" w:rsidRPr="00556B9B" w:rsidRDefault="00153AD1" w:rsidP="00153AD1">
      <w:pPr>
        <w:spacing w:line="240" w:lineRule="auto"/>
        <w:rPr>
          <w:color w:val="000000"/>
          <w:lang w:val="hu-HU"/>
        </w:rPr>
      </w:pPr>
      <w:r w:rsidRPr="006D0F5F">
        <w:rPr>
          <w:i/>
          <w:color w:val="000000"/>
          <w:lang w:val="hu-HU"/>
        </w:rPr>
        <w:t>Myeloid blastos krízis</w:t>
      </w:r>
      <w:r w:rsidRPr="006D0F5F">
        <w:rPr>
          <w:color w:val="000000"/>
          <w:lang w:val="hu-HU"/>
        </w:rPr>
        <w:t>: 260 myeloid blasztos krízis fázisban levő beteget vontak be a vizsgálatba. 95 (37%) beteg részesült korábban kemoterápiában az akcelerált fázis vagy a blastos krízis kezelésére („előkezelt betegek”), míg 165 (63%) beteg nem kapott kezelést („kezeletlen betegek”).</w:t>
      </w:r>
      <w:r w:rsidRPr="00556B9B">
        <w:rPr>
          <w:color w:val="000000"/>
          <w:lang w:val="hu-HU"/>
        </w:rPr>
        <w:t xml:space="preserve"> Az első 37 beteg kezdő dózisa 400 mg volt, a protokollt később módosították a magasabb dózisok engedélyezése érdekében, így a további 223 beteg kezdő adagja 600 mg lett.</w:t>
      </w:r>
    </w:p>
    <w:p w14:paraId="16A23878" w14:textId="77777777" w:rsidR="00153AD1" w:rsidRPr="00556B9B" w:rsidRDefault="00153AD1" w:rsidP="00153AD1">
      <w:pPr>
        <w:pStyle w:val="WW-BodyText2"/>
        <w:rPr>
          <w:color w:val="000000"/>
          <w:sz w:val="22"/>
        </w:rPr>
      </w:pPr>
    </w:p>
    <w:p w14:paraId="685D0977" w14:textId="77777777" w:rsidR="00153AD1" w:rsidRPr="00556B9B" w:rsidRDefault="00153AD1" w:rsidP="00153AD1">
      <w:pPr>
        <w:pStyle w:val="WW-BodyText2"/>
        <w:rPr>
          <w:color w:val="000000"/>
          <w:sz w:val="22"/>
        </w:rPr>
      </w:pPr>
      <w:r w:rsidRPr="00556B9B">
        <w:rPr>
          <w:color w:val="000000"/>
          <w:sz w:val="22"/>
        </w:rPr>
        <w:t>A primer hatékonysági mutató – ugyanazokat a kritériumokat alkalmazva, mint az akcelerált fázisú vizsgálatban – a hematológiai válaszarány volt: melyet vagy a komplett hematológiai válasz, a leukaemia hiánya, vagy a krónikus CML fázisba való visszatérés jelentett. Ebben a vizsgálatban a betegek 31%-a elért hematológiai választ (a kezeletlen betegek 36%</w:t>
      </w:r>
      <w:r w:rsidRPr="00556B9B">
        <w:rPr>
          <w:color w:val="000000"/>
          <w:sz w:val="22"/>
        </w:rPr>
        <w:noBreakHyphen/>
        <w:t>a, az előkezeltek 22%</w:t>
      </w:r>
      <w:r w:rsidRPr="00556B9B">
        <w:rPr>
          <w:color w:val="000000"/>
          <w:sz w:val="22"/>
        </w:rPr>
        <w:noBreakHyphen/>
        <w:t>a). A válaszarány a 600 mg dózissal kezelt betegek körében magasabb (33%) volt, mint a 400 mg</w:t>
      </w:r>
      <w:r w:rsidRPr="00556B9B">
        <w:rPr>
          <w:color w:val="000000"/>
          <w:sz w:val="22"/>
        </w:rPr>
        <w:noBreakHyphen/>
        <w:t>mal kezeltekében (16%, p = 0,0220). A jelenleg becsült átlagos túlélés 7,7, ill. 4,7 hónap volt a korábban kezeletlen, ill. előkezelt betegekben.</w:t>
      </w:r>
    </w:p>
    <w:p w14:paraId="54410B12" w14:textId="77777777" w:rsidR="00153AD1" w:rsidRPr="00556B9B" w:rsidRDefault="00153AD1" w:rsidP="00153AD1">
      <w:pPr>
        <w:pStyle w:val="WW-BodyText2"/>
        <w:rPr>
          <w:color w:val="000000"/>
          <w:sz w:val="22"/>
        </w:rPr>
      </w:pPr>
    </w:p>
    <w:p w14:paraId="5E52A082" w14:textId="0D43E59F" w:rsidR="00153AD1" w:rsidRPr="00556B9B" w:rsidRDefault="00153AD1" w:rsidP="00153AD1">
      <w:pPr>
        <w:spacing w:line="240" w:lineRule="auto"/>
        <w:rPr>
          <w:color w:val="000000"/>
          <w:lang w:val="hu-HU"/>
        </w:rPr>
      </w:pPr>
      <w:r w:rsidRPr="006D0F5F">
        <w:rPr>
          <w:i/>
          <w:color w:val="000000"/>
          <w:lang w:val="hu-HU"/>
        </w:rPr>
        <w:t>Lymphoid blastos krízis</w:t>
      </w:r>
      <w:r w:rsidRPr="006D0F5F">
        <w:rPr>
          <w:color w:val="000000"/>
          <w:lang w:val="hu-HU"/>
        </w:rPr>
        <w:t>: korlátozott szám</w:t>
      </w:r>
      <w:r w:rsidRPr="00556B9B">
        <w:rPr>
          <w:color w:val="000000"/>
          <w:lang w:val="hu-HU"/>
        </w:rPr>
        <w:t>ú beteget vontak be fázis I. vizsgálatokba (n = 10). A hematológiai válaszarány 70%, időtartama pedig 2–3 hónap volt.</w:t>
      </w:r>
    </w:p>
    <w:p w14:paraId="22E47571" w14:textId="77777777" w:rsidR="00153AD1" w:rsidRPr="00556B9B" w:rsidRDefault="00153AD1" w:rsidP="00153AD1">
      <w:pPr>
        <w:spacing w:line="240" w:lineRule="auto"/>
        <w:rPr>
          <w:color w:val="000000"/>
          <w:lang w:val="hu-HU"/>
        </w:rPr>
      </w:pPr>
    </w:p>
    <w:p w14:paraId="317A3E34" w14:textId="77777777" w:rsidR="00153AD1" w:rsidRPr="00556B9B" w:rsidRDefault="00F10EA5" w:rsidP="00F926B9">
      <w:pPr>
        <w:keepNext/>
        <w:tabs>
          <w:tab w:val="left" w:pos="1134"/>
        </w:tabs>
        <w:spacing w:line="240" w:lineRule="auto"/>
        <w:rPr>
          <w:b/>
          <w:color w:val="000000"/>
          <w:lang w:val="hu-HU"/>
        </w:rPr>
      </w:pPr>
      <w:r w:rsidRPr="00556B9B">
        <w:rPr>
          <w:b/>
          <w:color w:val="000000"/>
          <w:lang w:val="hu-HU"/>
        </w:rPr>
        <w:lastRenderedPageBreak/>
        <w:t>3</w:t>
      </w:r>
      <w:r w:rsidR="00153AD1" w:rsidRPr="00556B9B">
        <w:rPr>
          <w:b/>
          <w:color w:val="000000"/>
          <w:lang w:val="hu-HU"/>
        </w:rPr>
        <w:t>. táblázat</w:t>
      </w:r>
      <w:r w:rsidR="00153AD1" w:rsidRPr="00556B9B">
        <w:rPr>
          <w:b/>
          <w:color w:val="000000"/>
          <w:lang w:val="hu-HU"/>
        </w:rPr>
        <w:tab/>
        <w:t>Terápiás válasz a felnőttek bevonásával végzett CML klinikai vizsgálatokban</w:t>
      </w:r>
    </w:p>
    <w:p w14:paraId="39B115AD" w14:textId="77777777" w:rsidR="00153AD1" w:rsidRPr="00556B9B" w:rsidRDefault="00153AD1" w:rsidP="00F926B9">
      <w:pPr>
        <w:keepNext/>
        <w:spacing w:line="240" w:lineRule="auto"/>
        <w:rPr>
          <w:color w:val="000000"/>
          <w:lang w:val="hu-HU"/>
        </w:rPr>
      </w:pPr>
    </w:p>
    <w:tbl>
      <w:tblPr>
        <w:tblW w:w="9356" w:type="dxa"/>
        <w:tblInd w:w="-141" w:type="dxa"/>
        <w:tblLayout w:type="fixed"/>
        <w:tblCellMar>
          <w:left w:w="0" w:type="dxa"/>
          <w:right w:w="0" w:type="dxa"/>
        </w:tblCellMar>
        <w:tblLook w:val="0000" w:firstRow="0" w:lastRow="0" w:firstColumn="0" w:lastColumn="0" w:noHBand="0" w:noVBand="0"/>
      </w:tblPr>
      <w:tblGrid>
        <w:gridCol w:w="3367"/>
        <w:gridCol w:w="1885"/>
        <w:gridCol w:w="1889"/>
        <w:gridCol w:w="2215"/>
      </w:tblGrid>
      <w:tr w:rsidR="00153AD1" w:rsidRPr="00556B9B" w14:paraId="367D2B02" w14:textId="77777777" w:rsidTr="00F926B9">
        <w:trPr>
          <w:cantSplit/>
        </w:trPr>
        <w:tc>
          <w:tcPr>
            <w:tcW w:w="3367" w:type="dxa"/>
            <w:tcBorders>
              <w:top w:val="single" w:sz="4" w:space="0" w:color="auto"/>
              <w:left w:val="single" w:sz="4" w:space="0" w:color="auto"/>
              <w:bottom w:val="single" w:sz="4" w:space="0" w:color="auto"/>
              <w:right w:val="single" w:sz="4" w:space="0" w:color="auto"/>
            </w:tcBorders>
          </w:tcPr>
          <w:p w14:paraId="59995DF2" w14:textId="77777777" w:rsidR="00153AD1" w:rsidRPr="00556B9B" w:rsidRDefault="00153AD1" w:rsidP="00F926B9">
            <w:pPr>
              <w:keepNext/>
              <w:spacing w:line="240" w:lineRule="auto"/>
              <w:jc w:val="center"/>
              <w:rPr>
                <w:color w:val="000000"/>
                <w:lang w:val="hu-HU"/>
              </w:rPr>
            </w:pPr>
          </w:p>
        </w:tc>
        <w:tc>
          <w:tcPr>
            <w:tcW w:w="1885" w:type="dxa"/>
            <w:tcBorders>
              <w:top w:val="single" w:sz="4" w:space="0" w:color="auto"/>
              <w:left w:val="single" w:sz="4" w:space="0" w:color="auto"/>
              <w:bottom w:val="single" w:sz="4" w:space="0" w:color="auto"/>
              <w:right w:val="single" w:sz="4" w:space="0" w:color="auto"/>
            </w:tcBorders>
          </w:tcPr>
          <w:p w14:paraId="6BB5ED6B" w14:textId="77777777" w:rsidR="00153AD1" w:rsidRPr="00556B9B" w:rsidRDefault="00153AD1" w:rsidP="00F926B9">
            <w:pPr>
              <w:keepNext/>
              <w:spacing w:line="240" w:lineRule="auto"/>
              <w:jc w:val="center"/>
              <w:rPr>
                <w:color w:val="000000"/>
                <w:lang w:val="hu-HU"/>
              </w:rPr>
            </w:pPr>
            <w:r w:rsidRPr="00556B9B">
              <w:rPr>
                <w:color w:val="000000"/>
                <w:lang w:val="hu-HU"/>
              </w:rPr>
              <w:t>0110 vizsgálat</w:t>
            </w:r>
          </w:p>
          <w:p w14:paraId="3D622047" w14:textId="77777777" w:rsidR="00153AD1" w:rsidRPr="00556B9B" w:rsidRDefault="00153AD1" w:rsidP="00F926B9">
            <w:pPr>
              <w:keepNext/>
              <w:spacing w:line="240" w:lineRule="auto"/>
              <w:jc w:val="center"/>
              <w:rPr>
                <w:color w:val="000000"/>
                <w:lang w:val="hu-HU"/>
              </w:rPr>
            </w:pPr>
            <w:r w:rsidRPr="00556B9B">
              <w:rPr>
                <w:color w:val="000000"/>
                <w:lang w:val="hu-HU"/>
              </w:rPr>
              <w:t>37 hónap adata</w:t>
            </w:r>
          </w:p>
          <w:p w14:paraId="787D07C0" w14:textId="77777777" w:rsidR="00153AD1" w:rsidRPr="00556B9B" w:rsidRDefault="00153AD1" w:rsidP="00F926B9">
            <w:pPr>
              <w:keepNext/>
              <w:spacing w:line="240" w:lineRule="auto"/>
              <w:jc w:val="center"/>
              <w:rPr>
                <w:color w:val="000000"/>
                <w:lang w:val="hu-HU"/>
              </w:rPr>
            </w:pPr>
            <w:r w:rsidRPr="00556B9B">
              <w:rPr>
                <w:color w:val="000000"/>
                <w:lang w:val="hu-HU"/>
              </w:rPr>
              <w:t>krónikus fázis IFN</w:t>
            </w:r>
            <w:r w:rsidRPr="00556B9B">
              <w:rPr>
                <w:color w:val="000000"/>
                <w:lang w:val="hu-HU"/>
              </w:rPr>
              <w:noBreakHyphen/>
              <w:t>hatástalanság</w:t>
            </w:r>
          </w:p>
          <w:p w14:paraId="6F9F4749" w14:textId="77777777" w:rsidR="00153AD1" w:rsidRPr="00556B9B" w:rsidRDefault="00153AD1" w:rsidP="00F926B9">
            <w:pPr>
              <w:keepNext/>
              <w:spacing w:line="240" w:lineRule="auto"/>
              <w:jc w:val="center"/>
              <w:rPr>
                <w:color w:val="000000"/>
                <w:lang w:val="hu-HU"/>
              </w:rPr>
            </w:pPr>
            <w:r w:rsidRPr="00556B9B">
              <w:rPr>
                <w:color w:val="000000"/>
                <w:lang w:val="hu-HU"/>
              </w:rPr>
              <w:t>(n = 532)</w:t>
            </w:r>
          </w:p>
        </w:tc>
        <w:tc>
          <w:tcPr>
            <w:tcW w:w="1889" w:type="dxa"/>
            <w:tcBorders>
              <w:top w:val="single" w:sz="4" w:space="0" w:color="auto"/>
              <w:left w:val="single" w:sz="4" w:space="0" w:color="auto"/>
              <w:bottom w:val="single" w:sz="4" w:space="0" w:color="auto"/>
              <w:right w:val="single" w:sz="4" w:space="0" w:color="auto"/>
            </w:tcBorders>
          </w:tcPr>
          <w:p w14:paraId="4C7EA325" w14:textId="77777777" w:rsidR="00153AD1" w:rsidRPr="00556B9B" w:rsidRDefault="00153AD1" w:rsidP="00F926B9">
            <w:pPr>
              <w:keepNext/>
              <w:spacing w:line="240" w:lineRule="auto"/>
              <w:jc w:val="center"/>
              <w:rPr>
                <w:color w:val="000000"/>
                <w:lang w:val="hu-HU"/>
              </w:rPr>
            </w:pPr>
            <w:r w:rsidRPr="00556B9B">
              <w:rPr>
                <w:color w:val="000000"/>
                <w:lang w:val="hu-HU"/>
              </w:rPr>
              <w:t>0109 vizsgálat</w:t>
            </w:r>
          </w:p>
          <w:p w14:paraId="3145A460" w14:textId="77777777" w:rsidR="00153AD1" w:rsidRPr="00556B9B" w:rsidRDefault="00153AD1" w:rsidP="00F926B9">
            <w:pPr>
              <w:keepNext/>
              <w:spacing w:line="240" w:lineRule="auto"/>
              <w:jc w:val="center"/>
              <w:rPr>
                <w:color w:val="000000"/>
                <w:lang w:val="hu-HU"/>
              </w:rPr>
            </w:pPr>
            <w:r w:rsidRPr="00556B9B">
              <w:rPr>
                <w:color w:val="000000"/>
                <w:lang w:val="hu-HU"/>
              </w:rPr>
              <w:t>40,5 hónap adata</w:t>
            </w:r>
          </w:p>
          <w:p w14:paraId="57BFB9DC" w14:textId="77777777" w:rsidR="00153AD1" w:rsidRPr="00556B9B" w:rsidRDefault="00153AD1" w:rsidP="00F926B9">
            <w:pPr>
              <w:keepNext/>
              <w:spacing w:line="240" w:lineRule="auto"/>
              <w:jc w:val="center"/>
              <w:rPr>
                <w:color w:val="000000"/>
                <w:lang w:val="hu-HU"/>
              </w:rPr>
            </w:pPr>
            <w:r w:rsidRPr="00556B9B">
              <w:rPr>
                <w:color w:val="000000"/>
                <w:lang w:val="hu-HU"/>
              </w:rPr>
              <w:t>akcelerált fázis</w:t>
            </w:r>
          </w:p>
          <w:p w14:paraId="714A1598" w14:textId="77777777" w:rsidR="00153AD1" w:rsidRPr="00556B9B" w:rsidRDefault="00153AD1" w:rsidP="00F926B9">
            <w:pPr>
              <w:keepNext/>
              <w:spacing w:line="240" w:lineRule="auto"/>
              <w:jc w:val="center"/>
              <w:rPr>
                <w:color w:val="000000"/>
                <w:lang w:val="hu-HU"/>
              </w:rPr>
            </w:pPr>
            <w:r w:rsidRPr="00556B9B">
              <w:rPr>
                <w:color w:val="000000"/>
                <w:lang w:val="hu-HU"/>
              </w:rPr>
              <w:t>(n = 235)</w:t>
            </w:r>
          </w:p>
        </w:tc>
        <w:tc>
          <w:tcPr>
            <w:tcW w:w="2215" w:type="dxa"/>
            <w:tcBorders>
              <w:top w:val="single" w:sz="4" w:space="0" w:color="auto"/>
              <w:left w:val="single" w:sz="4" w:space="0" w:color="auto"/>
              <w:bottom w:val="single" w:sz="4" w:space="0" w:color="auto"/>
              <w:right w:val="single" w:sz="4" w:space="0" w:color="auto"/>
            </w:tcBorders>
          </w:tcPr>
          <w:p w14:paraId="422B5EE8" w14:textId="77777777" w:rsidR="00153AD1" w:rsidRPr="00556B9B" w:rsidRDefault="00153AD1" w:rsidP="00F926B9">
            <w:pPr>
              <w:keepNext/>
              <w:spacing w:line="240" w:lineRule="auto"/>
              <w:jc w:val="center"/>
              <w:rPr>
                <w:color w:val="000000"/>
                <w:lang w:val="hu-HU"/>
              </w:rPr>
            </w:pPr>
            <w:r w:rsidRPr="00556B9B">
              <w:rPr>
                <w:color w:val="000000"/>
                <w:lang w:val="hu-HU"/>
              </w:rPr>
              <w:t>0102 vizsgálat</w:t>
            </w:r>
          </w:p>
          <w:p w14:paraId="14E4B955" w14:textId="77777777" w:rsidR="00153AD1" w:rsidRPr="00556B9B" w:rsidRDefault="00153AD1" w:rsidP="00F926B9">
            <w:pPr>
              <w:keepNext/>
              <w:spacing w:line="240" w:lineRule="auto"/>
              <w:jc w:val="center"/>
              <w:rPr>
                <w:color w:val="000000"/>
                <w:lang w:val="hu-HU"/>
              </w:rPr>
            </w:pPr>
            <w:r w:rsidRPr="00556B9B">
              <w:rPr>
                <w:color w:val="000000"/>
                <w:lang w:val="hu-HU"/>
              </w:rPr>
              <w:t>38 hónap adata</w:t>
            </w:r>
          </w:p>
          <w:p w14:paraId="25A6BD8F" w14:textId="77777777" w:rsidR="00153AD1" w:rsidRPr="00556B9B" w:rsidRDefault="00153AD1" w:rsidP="00F926B9">
            <w:pPr>
              <w:keepNext/>
              <w:spacing w:line="240" w:lineRule="auto"/>
              <w:jc w:val="center"/>
              <w:rPr>
                <w:color w:val="000000"/>
                <w:lang w:val="hu-HU"/>
              </w:rPr>
            </w:pPr>
            <w:r w:rsidRPr="00556B9B">
              <w:rPr>
                <w:color w:val="000000"/>
                <w:lang w:val="hu-HU"/>
              </w:rPr>
              <w:t>myeloid blasztos krízis</w:t>
            </w:r>
          </w:p>
          <w:p w14:paraId="08C2DBF6" w14:textId="77777777" w:rsidR="00153AD1" w:rsidRPr="00556B9B" w:rsidRDefault="00153AD1" w:rsidP="00F926B9">
            <w:pPr>
              <w:keepNext/>
              <w:spacing w:line="240" w:lineRule="auto"/>
              <w:jc w:val="center"/>
              <w:rPr>
                <w:color w:val="000000"/>
                <w:lang w:val="hu-HU"/>
              </w:rPr>
            </w:pPr>
            <w:r w:rsidRPr="00556B9B">
              <w:rPr>
                <w:color w:val="000000"/>
                <w:lang w:val="hu-HU"/>
              </w:rPr>
              <w:t>(n = 260)</w:t>
            </w:r>
          </w:p>
        </w:tc>
      </w:tr>
      <w:tr w:rsidR="00153AD1" w:rsidRPr="00556B9B" w14:paraId="71F2492E" w14:textId="77777777" w:rsidTr="00F926B9">
        <w:trPr>
          <w:cantSplit/>
        </w:trPr>
        <w:tc>
          <w:tcPr>
            <w:tcW w:w="3367" w:type="dxa"/>
            <w:tcBorders>
              <w:top w:val="single" w:sz="4" w:space="0" w:color="auto"/>
              <w:left w:val="single" w:sz="4" w:space="0" w:color="auto"/>
              <w:bottom w:val="single" w:sz="4" w:space="0" w:color="auto"/>
              <w:right w:val="single" w:sz="4" w:space="0" w:color="auto"/>
            </w:tcBorders>
          </w:tcPr>
          <w:p w14:paraId="7AE7BFDE" w14:textId="77777777" w:rsidR="00153AD1" w:rsidRPr="00556B9B" w:rsidRDefault="00153AD1" w:rsidP="00F926B9">
            <w:pPr>
              <w:keepNext/>
              <w:spacing w:line="240" w:lineRule="auto"/>
              <w:rPr>
                <w:color w:val="000000"/>
                <w:lang w:val="hu-HU"/>
              </w:rPr>
            </w:pPr>
          </w:p>
        </w:tc>
        <w:tc>
          <w:tcPr>
            <w:tcW w:w="5989" w:type="dxa"/>
            <w:gridSpan w:val="3"/>
            <w:tcBorders>
              <w:top w:val="single" w:sz="4" w:space="0" w:color="auto"/>
              <w:left w:val="single" w:sz="4" w:space="0" w:color="auto"/>
              <w:bottom w:val="single" w:sz="4" w:space="0" w:color="auto"/>
              <w:right w:val="single" w:sz="4" w:space="0" w:color="auto"/>
            </w:tcBorders>
          </w:tcPr>
          <w:p w14:paraId="27B8A72E" w14:textId="77777777" w:rsidR="00153AD1" w:rsidRPr="00556B9B" w:rsidRDefault="00153AD1" w:rsidP="00F926B9">
            <w:pPr>
              <w:keepNext/>
              <w:spacing w:line="240" w:lineRule="auto"/>
              <w:jc w:val="center"/>
              <w:rPr>
                <w:color w:val="000000"/>
                <w:lang w:val="hu-HU"/>
              </w:rPr>
            </w:pPr>
            <w:r w:rsidRPr="00556B9B">
              <w:rPr>
                <w:color w:val="000000"/>
                <w:lang w:val="hu-HU"/>
              </w:rPr>
              <w:t>a betegek%</w:t>
            </w:r>
            <w:r w:rsidRPr="00556B9B">
              <w:rPr>
                <w:color w:val="000000"/>
                <w:lang w:val="hu-HU"/>
              </w:rPr>
              <w:noBreakHyphen/>
              <w:t>a (= CI</w:t>
            </w:r>
            <w:r w:rsidRPr="00556B9B">
              <w:rPr>
                <w:color w:val="000000"/>
                <w:vertAlign w:val="subscript"/>
                <w:lang w:val="hu-HU"/>
              </w:rPr>
              <w:t>95%</w:t>
            </w:r>
            <w:r w:rsidRPr="00556B9B">
              <w:rPr>
                <w:color w:val="000000"/>
                <w:lang w:val="hu-HU"/>
              </w:rPr>
              <w:t>)</w:t>
            </w:r>
          </w:p>
        </w:tc>
      </w:tr>
      <w:tr w:rsidR="00153AD1" w:rsidRPr="00556B9B" w14:paraId="336F5B68" w14:textId="77777777" w:rsidTr="00F926B9">
        <w:trPr>
          <w:cantSplit/>
        </w:trPr>
        <w:tc>
          <w:tcPr>
            <w:tcW w:w="3367" w:type="dxa"/>
            <w:tcBorders>
              <w:top w:val="single" w:sz="4" w:space="0" w:color="auto"/>
              <w:left w:val="single" w:sz="4" w:space="0" w:color="auto"/>
              <w:right w:val="single" w:sz="4" w:space="0" w:color="auto"/>
            </w:tcBorders>
          </w:tcPr>
          <w:p w14:paraId="76EE4FC3" w14:textId="77777777" w:rsidR="00153AD1" w:rsidRPr="00556B9B" w:rsidRDefault="00153AD1" w:rsidP="00F926B9">
            <w:pPr>
              <w:keepNext/>
              <w:spacing w:line="240" w:lineRule="auto"/>
              <w:ind w:left="142"/>
              <w:rPr>
                <w:color w:val="000000"/>
                <w:vertAlign w:val="superscript"/>
                <w:lang w:val="hu-HU"/>
              </w:rPr>
            </w:pPr>
            <w:r w:rsidRPr="00556B9B">
              <w:rPr>
                <w:color w:val="000000"/>
                <w:lang w:val="hu-HU"/>
              </w:rPr>
              <w:t>Hematológiai válasz</w:t>
            </w:r>
            <w:r w:rsidRPr="00556B9B">
              <w:rPr>
                <w:color w:val="000000"/>
                <w:vertAlign w:val="superscript"/>
                <w:lang w:val="hu-HU"/>
              </w:rPr>
              <w:t>1</w:t>
            </w:r>
          </w:p>
        </w:tc>
        <w:tc>
          <w:tcPr>
            <w:tcW w:w="1885" w:type="dxa"/>
            <w:tcBorders>
              <w:top w:val="single" w:sz="4" w:space="0" w:color="auto"/>
              <w:left w:val="single" w:sz="4" w:space="0" w:color="auto"/>
              <w:right w:val="single" w:sz="4" w:space="0" w:color="auto"/>
            </w:tcBorders>
          </w:tcPr>
          <w:p w14:paraId="2F76D4F7" w14:textId="77777777" w:rsidR="00153AD1" w:rsidRPr="00556B9B" w:rsidRDefault="00153AD1" w:rsidP="00F926B9">
            <w:pPr>
              <w:keepNext/>
              <w:spacing w:line="240" w:lineRule="auto"/>
              <w:jc w:val="center"/>
              <w:rPr>
                <w:color w:val="000000"/>
                <w:lang w:val="hu-HU"/>
              </w:rPr>
            </w:pPr>
            <w:r w:rsidRPr="00556B9B">
              <w:rPr>
                <w:color w:val="000000"/>
                <w:lang w:val="hu-HU"/>
              </w:rPr>
              <w:t>95% (92,3–96,3)</w:t>
            </w:r>
          </w:p>
        </w:tc>
        <w:tc>
          <w:tcPr>
            <w:tcW w:w="1889" w:type="dxa"/>
            <w:tcBorders>
              <w:top w:val="single" w:sz="4" w:space="0" w:color="auto"/>
              <w:left w:val="single" w:sz="4" w:space="0" w:color="auto"/>
              <w:right w:val="single" w:sz="4" w:space="0" w:color="auto"/>
            </w:tcBorders>
          </w:tcPr>
          <w:p w14:paraId="7CD4DB92" w14:textId="77777777" w:rsidR="00153AD1" w:rsidRPr="00556B9B" w:rsidRDefault="00153AD1" w:rsidP="00F926B9">
            <w:pPr>
              <w:keepNext/>
              <w:spacing w:line="240" w:lineRule="auto"/>
              <w:jc w:val="center"/>
              <w:rPr>
                <w:color w:val="000000"/>
                <w:lang w:val="hu-HU"/>
              </w:rPr>
            </w:pPr>
            <w:r w:rsidRPr="00556B9B">
              <w:rPr>
                <w:color w:val="000000"/>
                <w:lang w:val="hu-HU"/>
              </w:rPr>
              <w:t>71% (65,3–77,2)</w:t>
            </w:r>
          </w:p>
        </w:tc>
        <w:tc>
          <w:tcPr>
            <w:tcW w:w="2215" w:type="dxa"/>
            <w:tcBorders>
              <w:top w:val="single" w:sz="4" w:space="0" w:color="auto"/>
              <w:left w:val="single" w:sz="4" w:space="0" w:color="auto"/>
              <w:right w:val="single" w:sz="4" w:space="0" w:color="auto"/>
            </w:tcBorders>
          </w:tcPr>
          <w:p w14:paraId="0CF87A0F" w14:textId="77777777" w:rsidR="00153AD1" w:rsidRPr="00556B9B" w:rsidRDefault="00153AD1" w:rsidP="00F926B9">
            <w:pPr>
              <w:keepNext/>
              <w:spacing w:line="240" w:lineRule="auto"/>
              <w:jc w:val="center"/>
              <w:rPr>
                <w:color w:val="000000"/>
                <w:lang w:val="hu-HU"/>
              </w:rPr>
            </w:pPr>
            <w:r w:rsidRPr="00556B9B">
              <w:rPr>
                <w:color w:val="000000"/>
                <w:lang w:val="hu-HU"/>
              </w:rPr>
              <w:t>31% (25,2–36,8)</w:t>
            </w:r>
          </w:p>
        </w:tc>
      </w:tr>
      <w:tr w:rsidR="00153AD1" w:rsidRPr="00556B9B" w14:paraId="0FE9385A" w14:textId="77777777" w:rsidTr="00F926B9">
        <w:trPr>
          <w:cantSplit/>
        </w:trPr>
        <w:tc>
          <w:tcPr>
            <w:tcW w:w="3367" w:type="dxa"/>
            <w:tcBorders>
              <w:left w:val="single" w:sz="4" w:space="0" w:color="auto"/>
              <w:right w:val="single" w:sz="4" w:space="0" w:color="auto"/>
            </w:tcBorders>
          </w:tcPr>
          <w:p w14:paraId="521262F9" w14:textId="77777777" w:rsidR="00153AD1" w:rsidRPr="00556B9B" w:rsidRDefault="00153AD1" w:rsidP="00F926B9">
            <w:pPr>
              <w:keepNext/>
              <w:spacing w:line="240" w:lineRule="auto"/>
              <w:ind w:left="284"/>
              <w:rPr>
                <w:color w:val="000000"/>
                <w:lang w:val="hu-HU"/>
              </w:rPr>
            </w:pPr>
            <w:r w:rsidRPr="00556B9B">
              <w:rPr>
                <w:color w:val="000000"/>
                <w:lang w:val="hu-HU"/>
              </w:rPr>
              <w:t>Komplett hematológiai válasz (</w:t>
            </w:r>
            <w:smartTag w:uri="urn:schemas-microsoft-com:office:smarttags" w:element="stockticker">
              <w:r w:rsidRPr="00556B9B">
                <w:rPr>
                  <w:color w:val="000000"/>
                  <w:lang w:val="hu-HU"/>
                </w:rPr>
                <w:t>CHR</w:t>
              </w:r>
            </w:smartTag>
            <w:r w:rsidRPr="00556B9B">
              <w:rPr>
                <w:color w:val="000000"/>
                <w:lang w:val="hu-HU"/>
              </w:rPr>
              <w:t>)</w:t>
            </w:r>
          </w:p>
        </w:tc>
        <w:tc>
          <w:tcPr>
            <w:tcW w:w="1885" w:type="dxa"/>
            <w:tcBorders>
              <w:left w:val="single" w:sz="4" w:space="0" w:color="auto"/>
              <w:right w:val="single" w:sz="4" w:space="0" w:color="auto"/>
            </w:tcBorders>
          </w:tcPr>
          <w:p w14:paraId="266BBB28" w14:textId="77777777" w:rsidR="00153AD1" w:rsidRPr="00556B9B" w:rsidRDefault="00153AD1" w:rsidP="00F926B9">
            <w:pPr>
              <w:keepNext/>
              <w:spacing w:line="240" w:lineRule="auto"/>
              <w:jc w:val="center"/>
              <w:rPr>
                <w:color w:val="000000"/>
                <w:lang w:val="hu-HU"/>
              </w:rPr>
            </w:pPr>
            <w:r w:rsidRPr="00556B9B">
              <w:rPr>
                <w:color w:val="000000"/>
                <w:lang w:val="hu-HU"/>
              </w:rPr>
              <w:t>95%</w:t>
            </w:r>
          </w:p>
        </w:tc>
        <w:tc>
          <w:tcPr>
            <w:tcW w:w="1889" w:type="dxa"/>
            <w:tcBorders>
              <w:left w:val="single" w:sz="4" w:space="0" w:color="auto"/>
              <w:right w:val="single" w:sz="4" w:space="0" w:color="auto"/>
            </w:tcBorders>
          </w:tcPr>
          <w:p w14:paraId="0DF7B910" w14:textId="77777777" w:rsidR="00153AD1" w:rsidRPr="00556B9B" w:rsidRDefault="00153AD1" w:rsidP="00F926B9">
            <w:pPr>
              <w:keepNext/>
              <w:spacing w:line="240" w:lineRule="auto"/>
              <w:jc w:val="center"/>
              <w:rPr>
                <w:color w:val="000000"/>
                <w:lang w:val="hu-HU"/>
              </w:rPr>
            </w:pPr>
            <w:r w:rsidRPr="00556B9B">
              <w:rPr>
                <w:color w:val="000000"/>
                <w:lang w:val="hu-HU"/>
              </w:rPr>
              <w:t>42%</w:t>
            </w:r>
          </w:p>
        </w:tc>
        <w:tc>
          <w:tcPr>
            <w:tcW w:w="2215" w:type="dxa"/>
            <w:tcBorders>
              <w:left w:val="single" w:sz="4" w:space="0" w:color="auto"/>
              <w:right w:val="single" w:sz="4" w:space="0" w:color="auto"/>
            </w:tcBorders>
          </w:tcPr>
          <w:p w14:paraId="738351E2" w14:textId="77777777" w:rsidR="00153AD1" w:rsidRPr="00556B9B" w:rsidRDefault="00153AD1" w:rsidP="00F926B9">
            <w:pPr>
              <w:keepNext/>
              <w:spacing w:line="240" w:lineRule="auto"/>
              <w:jc w:val="center"/>
              <w:rPr>
                <w:color w:val="000000"/>
                <w:lang w:val="hu-HU"/>
              </w:rPr>
            </w:pPr>
            <w:r w:rsidRPr="00556B9B">
              <w:rPr>
                <w:color w:val="000000"/>
                <w:lang w:val="hu-HU"/>
              </w:rPr>
              <w:t>8%</w:t>
            </w:r>
          </w:p>
        </w:tc>
      </w:tr>
      <w:tr w:rsidR="00153AD1" w:rsidRPr="00556B9B" w14:paraId="6A914FD6" w14:textId="77777777" w:rsidTr="00F926B9">
        <w:trPr>
          <w:cantSplit/>
        </w:trPr>
        <w:tc>
          <w:tcPr>
            <w:tcW w:w="3367" w:type="dxa"/>
            <w:tcBorders>
              <w:left w:val="single" w:sz="4" w:space="0" w:color="auto"/>
              <w:right w:val="single" w:sz="4" w:space="0" w:color="auto"/>
            </w:tcBorders>
          </w:tcPr>
          <w:p w14:paraId="012381E2" w14:textId="77777777" w:rsidR="00153AD1" w:rsidRPr="00556B9B" w:rsidRDefault="00153AD1" w:rsidP="00F926B9">
            <w:pPr>
              <w:keepNext/>
              <w:spacing w:line="240" w:lineRule="auto"/>
              <w:ind w:left="284"/>
              <w:rPr>
                <w:color w:val="000000"/>
                <w:lang w:val="hu-HU"/>
              </w:rPr>
            </w:pPr>
            <w:r w:rsidRPr="00556B9B">
              <w:rPr>
                <w:color w:val="000000"/>
                <w:lang w:val="hu-HU"/>
              </w:rPr>
              <w:t>Leukaemia nem mutatható ki (NEL)</w:t>
            </w:r>
          </w:p>
        </w:tc>
        <w:tc>
          <w:tcPr>
            <w:tcW w:w="1885" w:type="dxa"/>
            <w:tcBorders>
              <w:left w:val="single" w:sz="4" w:space="0" w:color="auto"/>
              <w:right w:val="single" w:sz="4" w:space="0" w:color="auto"/>
            </w:tcBorders>
          </w:tcPr>
          <w:p w14:paraId="4A3A5C85" w14:textId="77777777" w:rsidR="00153AD1" w:rsidRPr="00556B9B" w:rsidRDefault="00153AD1" w:rsidP="00F926B9">
            <w:pPr>
              <w:keepNext/>
              <w:spacing w:line="240" w:lineRule="auto"/>
              <w:jc w:val="center"/>
              <w:rPr>
                <w:color w:val="000000"/>
                <w:lang w:val="hu-HU"/>
              </w:rPr>
            </w:pPr>
            <w:r w:rsidRPr="00556B9B">
              <w:rPr>
                <w:color w:val="000000"/>
                <w:lang w:val="hu-HU"/>
              </w:rPr>
              <w:t>nincs adat</w:t>
            </w:r>
          </w:p>
        </w:tc>
        <w:tc>
          <w:tcPr>
            <w:tcW w:w="1889" w:type="dxa"/>
            <w:tcBorders>
              <w:left w:val="single" w:sz="4" w:space="0" w:color="auto"/>
              <w:right w:val="single" w:sz="4" w:space="0" w:color="auto"/>
            </w:tcBorders>
          </w:tcPr>
          <w:p w14:paraId="3BFC349B" w14:textId="77777777" w:rsidR="00153AD1" w:rsidRPr="00556B9B" w:rsidRDefault="00153AD1" w:rsidP="00F926B9">
            <w:pPr>
              <w:keepNext/>
              <w:spacing w:line="240" w:lineRule="auto"/>
              <w:jc w:val="center"/>
              <w:rPr>
                <w:color w:val="000000"/>
                <w:lang w:val="hu-HU"/>
              </w:rPr>
            </w:pPr>
            <w:r w:rsidRPr="00556B9B">
              <w:rPr>
                <w:color w:val="000000"/>
                <w:lang w:val="hu-HU"/>
              </w:rPr>
              <w:t>12%</w:t>
            </w:r>
          </w:p>
        </w:tc>
        <w:tc>
          <w:tcPr>
            <w:tcW w:w="2215" w:type="dxa"/>
            <w:tcBorders>
              <w:left w:val="single" w:sz="4" w:space="0" w:color="auto"/>
              <w:right w:val="single" w:sz="4" w:space="0" w:color="auto"/>
            </w:tcBorders>
          </w:tcPr>
          <w:p w14:paraId="557AFEE4" w14:textId="77777777" w:rsidR="00153AD1" w:rsidRPr="00556B9B" w:rsidRDefault="00153AD1" w:rsidP="00F926B9">
            <w:pPr>
              <w:keepNext/>
              <w:spacing w:line="240" w:lineRule="auto"/>
              <w:jc w:val="center"/>
              <w:rPr>
                <w:color w:val="000000"/>
                <w:lang w:val="hu-HU"/>
              </w:rPr>
            </w:pPr>
            <w:r w:rsidRPr="00556B9B">
              <w:rPr>
                <w:color w:val="000000"/>
                <w:lang w:val="hu-HU"/>
              </w:rPr>
              <w:t>5%</w:t>
            </w:r>
          </w:p>
        </w:tc>
      </w:tr>
      <w:tr w:rsidR="00153AD1" w:rsidRPr="00556B9B" w14:paraId="677DB1DB" w14:textId="77777777" w:rsidTr="00F926B9">
        <w:trPr>
          <w:cantSplit/>
        </w:trPr>
        <w:tc>
          <w:tcPr>
            <w:tcW w:w="3367" w:type="dxa"/>
            <w:tcBorders>
              <w:left w:val="single" w:sz="4" w:space="0" w:color="auto"/>
              <w:bottom w:val="single" w:sz="4" w:space="0" w:color="auto"/>
              <w:right w:val="single" w:sz="4" w:space="0" w:color="auto"/>
            </w:tcBorders>
          </w:tcPr>
          <w:p w14:paraId="63B0AADE" w14:textId="77777777" w:rsidR="00153AD1" w:rsidRPr="00556B9B" w:rsidRDefault="00153AD1" w:rsidP="00F926B9">
            <w:pPr>
              <w:keepNext/>
              <w:spacing w:line="240" w:lineRule="auto"/>
              <w:ind w:left="284"/>
              <w:rPr>
                <w:color w:val="000000"/>
                <w:lang w:val="hu-HU"/>
              </w:rPr>
            </w:pPr>
            <w:r w:rsidRPr="00556B9B">
              <w:rPr>
                <w:color w:val="000000"/>
                <w:lang w:val="hu-HU"/>
              </w:rPr>
              <w:t>Visszatérés a krónikus fázisba (</w:t>
            </w:r>
            <w:smartTag w:uri="urn:schemas-microsoft-com:office:smarttags" w:element="stockticker">
              <w:r w:rsidRPr="00556B9B">
                <w:rPr>
                  <w:color w:val="000000"/>
                  <w:lang w:val="hu-HU"/>
                </w:rPr>
                <w:t>RTC</w:t>
              </w:r>
            </w:smartTag>
            <w:r w:rsidRPr="00556B9B">
              <w:rPr>
                <w:color w:val="000000"/>
                <w:lang w:val="hu-HU"/>
              </w:rPr>
              <w:t>)</w:t>
            </w:r>
          </w:p>
        </w:tc>
        <w:tc>
          <w:tcPr>
            <w:tcW w:w="1885" w:type="dxa"/>
            <w:tcBorders>
              <w:left w:val="single" w:sz="4" w:space="0" w:color="auto"/>
              <w:bottom w:val="single" w:sz="4" w:space="0" w:color="auto"/>
              <w:right w:val="single" w:sz="4" w:space="0" w:color="auto"/>
            </w:tcBorders>
          </w:tcPr>
          <w:p w14:paraId="0B97F698" w14:textId="77777777" w:rsidR="00153AD1" w:rsidRPr="00556B9B" w:rsidRDefault="00153AD1" w:rsidP="00F926B9">
            <w:pPr>
              <w:keepNext/>
              <w:spacing w:line="240" w:lineRule="auto"/>
              <w:jc w:val="center"/>
              <w:rPr>
                <w:color w:val="000000"/>
                <w:lang w:val="hu-HU"/>
              </w:rPr>
            </w:pPr>
            <w:r w:rsidRPr="00556B9B">
              <w:rPr>
                <w:color w:val="000000"/>
                <w:lang w:val="hu-HU"/>
              </w:rPr>
              <w:t>nincs adat</w:t>
            </w:r>
          </w:p>
        </w:tc>
        <w:tc>
          <w:tcPr>
            <w:tcW w:w="1889" w:type="dxa"/>
            <w:tcBorders>
              <w:left w:val="single" w:sz="4" w:space="0" w:color="auto"/>
              <w:bottom w:val="single" w:sz="4" w:space="0" w:color="auto"/>
              <w:right w:val="single" w:sz="4" w:space="0" w:color="auto"/>
            </w:tcBorders>
          </w:tcPr>
          <w:p w14:paraId="5FDBE6EE" w14:textId="77777777" w:rsidR="00153AD1" w:rsidRPr="00556B9B" w:rsidRDefault="00153AD1" w:rsidP="00F926B9">
            <w:pPr>
              <w:keepNext/>
              <w:spacing w:line="240" w:lineRule="auto"/>
              <w:jc w:val="center"/>
              <w:rPr>
                <w:color w:val="000000"/>
                <w:lang w:val="hu-HU"/>
              </w:rPr>
            </w:pPr>
            <w:r w:rsidRPr="00556B9B">
              <w:rPr>
                <w:color w:val="000000"/>
                <w:lang w:val="hu-HU"/>
              </w:rPr>
              <w:t>17%</w:t>
            </w:r>
          </w:p>
        </w:tc>
        <w:tc>
          <w:tcPr>
            <w:tcW w:w="2215" w:type="dxa"/>
            <w:tcBorders>
              <w:left w:val="single" w:sz="4" w:space="0" w:color="auto"/>
              <w:bottom w:val="single" w:sz="4" w:space="0" w:color="auto"/>
              <w:right w:val="single" w:sz="4" w:space="0" w:color="auto"/>
            </w:tcBorders>
          </w:tcPr>
          <w:p w14:paraId="12371DC4" w14:textId="77777777" w:rsidR="00153AD1" w:rsidRPr="00556B9B" w:rsidRDefault="00153AD1" w:rsidP="00F926B9">
            <w:pPr>
              <w:keepNext/>
              <w:spacing w:line="240" w:lineRule="auto"/>
              <w:jc w:val="center"/>
              <w:rPr>
                <w:color w:val="000000"/>
                <w:lang w:val="hu-HU"/>
              </w:rPr>
            </w:pPr>
            <w:r w:rsidRPr="00556B9B">
              <w:rPr>
                <w:color w:val="000000"/>
                <w:lang w:val="hu-HU"/>
              </w:rPr>
              <w:t>18%</w:t>
            </w:r>
          </w:p>
        </w:tc>
      </w:tr>
      <w:tr w:rsidR="00153AD1" w:rsidRPr="00556B9B" w14:paraId="1F7A3966" w14:textId="77777777" w:rsidTr="00F926B9">
        <w:trPr>
          <w:cantSplit/>
        </w:trPr>
        <w:tc>
          <w:tcPr>
            <w:tcW w:w="3367" w:type="dxa"/>
            <w:tcBorders>
              <w:top w:val="single" w:sz="4" w:space="0" w:color="auto"/>
              <w:left w:val="single" w:sz="4" w:space="0" w:color="auto"/>
              <w:right w:val="single" w:sz="4" w:space="0" w:color="auto"/>
            </w:tcBorders>
          </w:tcPr>
          <w:p w14:paraId="5C1D0D9A" w14:textId="77777777" w:rsidR="00153AD1" w:rsidRPr="00556B9B" w:rsidRDefault="00153AD1" w:rsidP="00F926B9">
            <w:pPr>
              <w:keepNext/>
              <w:spacing w:line="240" w:lineRule="auto"/>
              <w:ind w:left="142"/>
              <w:rPr>
                <w:color w:val="000000"/>
                <w:vertAlign w:val="superscript"/>
                <w:lang w:val="hu-HU"/>
              </w:rPr>
            </w:pPr>
            <w:r w:rsidRPr="00556B9B">
              <w:rPr>
                <w:color w:val="000000"/>
                <w:lang w:val="hu-HU"/>
              </w:rPr>
              <w:t>Nagyfokú cytogenetikai válasz</w:t>
            </w:r>
            <w:r w:rsidRPr="00556B9B">
              <w:rPr>
                <w:color w:val="000000"/>
                <w:vertAlign w:val="superscript"/>
                <w:lang w:val="hu-HU"/>
              </w:rPr>
              <w:t>2</w:t>
            </w:r>
          </w:p>
        </w:tc>
        <w:tc>
          <w:tcPr>
            <w:tcW w:w="1885" w:type="dxa"/>
            <w:tcBorders>
              <w:top w:val="single" w:sz="4" w:space="0" w:color="auto"/>
              <w:left w:val="single" w:sz="4" w:space="0" w:color="auto"/>
              <w:right w:val="single" w:sz="4" w:space="0" w:color="auto"/>
            </w:tcBorders>
          </w:tcPr>
          <w:p w14:paraId="619FAE20" w14:textId="77777777" w:rsidR="00153AD1" w:rsidRPr="00556B9B" w:rsidRDefault="00153AD1" w:rsidP="00F926B9">
            <w:pPr>
              <w:keepNext/>
              <w:spacing w:line="240" w:lineRule="auto"/>
              <w:jc w:val="center"/>
              <w:rPr>
                <w:color w:val="000000"/>
                <w:lang w:val="hu-HU"/>
              </w:rPr>
            </w:pPr>
            <w:r w:rsidRPr="00556B9B">
              <w:rPr>
                <w:color w:val="000000"/>
                <w:lang w:val="hu-HU"/>
              </w:rPr>
              <w:t>65% (61,2–69,5)</w:t>
            </w:r>
          </w:p>
        </w:tc>
        <w:tc>
          <w:tcPr>
            <w:tcW w:w="1889" w:type="dxa"/>
            <w:tcBorders>
              <w:top w:val="single" w:sz="4" w:space="0" w:color="auto"/>
              <w:left w:val="single" w:sz="4" w:space="0" w:color="auto"/>
              <w:right w:val="single" w:sz="4" w:space="0" w:color="auto"/>
            </w:tcBorders>
          </w:tcPr>
          <w:p w14:paraId="45E7F204" w14:textId="77777777" w:rsidR="00153AD1" w:rsidRPr="00556B9B" w:rsidRDefault="00153AD1" w:rsidP="00F926B9">
            <w:pPr>
              <w:keepNext/>
              <w:spacing w:line="240" w:lineRule="auto"/>
              <w:jc w:val="center"/>
              <w:rPr>
                <w:color w:val="000000"/>
                <w:lang w:val="hu-HU"/>
              </w:rPr>
            </w:pPr>
            <w:r w:rsidRPr="00556B9B">
              <w:rPr>
                <w:color w:val="000000"/>
                <w:lang w:val="hu-HU"/>
              </w:rPr>
              <w:t>28% (22,0–33,9)</w:t>
            </w:r>
          </w:p>
        </w:tc>
        <w:tc>
          <w:tcPr>
            <w:tcW w:w="2215" w:type="dxa"/>
            <w:tcBorders>
              <w:top w:val="single" w:sz="4" w:space="0" w:color="auto"/>
              <w:left w:val="single" w:sz="4" w:space="0" w:color="auto"/>
              <w:right w:val="single" w:sz="4" w:space="0" w:color="auto"/>
            </w:tcBorders>
          </w:tcPr>
          <w:p w14:paraId="6E3C6EF9" w14:textId="77777777" w:rsidR="00153AD1" w:rsidRPr="00556B9B" w:rsidRDefault="00153AD1" w:rsidP="00F926B9">
            <w:pPr>
              <w:keepNext/>
              <w:spacing w:line="240" w:lineRule="auto"/>
              <w:jc w:val="center"/>
              <w:rPr>
                <w:color w:val="000000"/>
                <w:lang w:val="hu-HU"/>
              </w:rPr>
            </w:pPr>
            <w:r w:rsidRPr="00556B9B">
              <w:rPr>
                <w:color w:val="000000"/>
                <w:lang w:val="hu-HU"/>
              </w:rPr>
              <w:t>15% (11,2–20,4)</w:t>
            </w:r>
          </w:p>
        </w:tc>
      </w:tr>
      <w:tr w:rsidR="00153AD1" w:rsidRPr="00556B9B" w14:paraId="3BDEE7C3" w14:textId="77777777" w:rsidTr="00F926B9">
        <w:trPr>
          <w:cantSplit/>
        </w:trPr>
        <w:tc>
          <w:tcPr>
            <w:tcW w:w="3367" w:type="dxa"/>
            <w:tcBorders>
              <w:left w:val="single" w:sz="4" w:space="0" w:color="auto"/>
              <w:right w:val="single" w:sz="4" w:space="0" w:color="auto"/>
            </w:tcBorders>
          </w:tcPr>
          <w:p w14:paraId="2EF8CA1C" w14:textId="77777777" w:rsidR="00153AD1" w:rsidRPr="00556B9B" w:rsidRDefault="00153AD1" w:rsidP="00F926B9">
            <w:pPr>
              <w:keepNext/>
              <w:spacing w:line="240" w:lineRule="auto"/>
              <w:ind w:left="284"/>
              <w:rPr>
                <w:color w:val="000000"/>
                <w:lang w:val="hu-HU"/>
              </w:rPr>
            </w:pPr>
            <w:r w:rsidRPr="00556B9B">
              <w:rPr>
                <w:color w:val="000000"/>
                <w:lang w:val="hu-HU"/>
              </w:rPr>
              <w:t>Komplett</w:t>
            </w:r>
          </w:p>
        </w:tc>
        <w:tc>
          <w:tcPr>
            <w:tcW w:w="1885" w:type="dxa"/>
            <w:tcBorders>
              <w:left w:val="single" w:sz="4" w:space="0" w:color="auto"/>
              <w:right w:val="single" w:sz="4" w:space="0" w:color="auto"/>
            </w:tcBorders>
          </w:tcPr>
          <w:p w14:paraId="196E55A9" w14:textId="77777777" w:rsidR="00153AD1" w:rsidRPr="00556B9B" w:rsidRDefault="00153AD1" w:rsidP="00F926B9">
            <w:pPr>
              <w:keepNext/>
              <w:spacing w:line="240" w:lineRule="auto"/>
              <w:jc w:val="center"/>
              <w:rPr>
                <w:color w:val="000000"/>
                <w:lang w:val="hu-HU"/>
              </w:rPr>
            </w:pPr>
            <w:r w:rsidRPr="00556B9B">
              <w:rPr>
                <w:color w:val="000000"/>
                <w:lang w:val="hu-HU"/>
              </w:rPr>
              <w:t>53%</w:t>
            </w:r>
          </w:p>
        </w:tc>
        <w:tc>
          <w:tcPr>
            <w:tcW w:w="1889" w:type="dxa"/>
            <w:tcBorders>
              <w:left w:val="single" w:sz="4" w:space="0" w:color="auto"/>
              <w:right w:val="single" w:sz="4" w:space="0" w:color="auto"/>
            </w:tcBorders>
          </w:tcPr>
          <w:p w14:paraId="38D904CB" w14:textId="77777777" w:rsidR="00153AD1" w:rsidRPr="00556B9B" w:rsidRDefault="00153AD1" w:rsidP="00F926B9">
            <w:pPr>
              <w:keepNext/>
              <w:spacing w:line="240" w:lineRule="auto"/>
              <w:jc w:val="center"/>
              <w:rPr>
                <w:color w:val="000000"/>
                <w:lang w:val="hu-HU"/>
              </w:rPr>
            </w:pPr>
            <w:r w:rsidRPr="00556B9B">
              <w:rPr>
                <w:color w:val="000000"/>
                <w:lang w:val="hu-HU"/>
              </w:rPr>
              <w:t>20%</w:t>
            </w:r>
          </w:p>
        </w:tc>
        <w:tc>
          <w:tcPr>
            <w:tcW w:w="2215" w:type="dxa"/>
            <w:tcBorders>
              <w:left w:val="single" w:sz="4" w:space="0" w:color="auto"/>
              <w:right w:val="single" w:sz="4" w:space="0" w:color="auto"/>
            </w:tcBorders>
          </w:tcPr>
          <w:p w14:paraId="7899B5C3" w14:textId="77777777" w:rsidR="00153AD1" w:rsidRPr="00556B9B" w:rsidRDefault="00153AD1" w:rsidP="00F926B9">
            <w:pPr>
              <w:keepNext/>
              <w:spacing w:line="240" w:lineRule="auto"/>
              <w:jc w:val="center"/>
              <w:rPr>
                <w:color w:val="000000"/>
                <w:lang w:val="hu-HU"/>
              </w:rPr>
            </w:pPr>
            <w:r w:rsidRPr="00556B9B">
              <w:rPr>
                <w:color w:val="000000"/>
                <w:lang w:val="hu-HU"/>
              </w:rPr>
              <w:t>7%</w:t>
            </w:r>
          </w:p>
        </w:tc>
      </w:tr>
      <w:tr w:rsidR="00153AD1" w:rsidRPr="00556B9B" w14:paraId="2A996B2B" w14:textId="77777777" w:rsidTr="00F926B9">
        <w:trPr>
          <w:cantSplit/>
        </w:trPr>
        <w:tc>
          <w:tcPr>
            <w:tcW w:w="3367" w:type="dxa"/>
            <w:tcBorders>
              <w:left w:val="single" w:sz="4" w:space="0" w:color="auto"/>
              <w:right w:val="single" w:sz="4" w:space="0" w:color="auto"/>
            </w:tcBorders>
          </w:tcPr>
          <w:p w14:paraId="716DE94C" w14:textId="77777777" w:rsidR="00153AD1" w:rsidRPr="00556B9B" w:rsidRDefault="00153AD1" w:rsidP="00F926B9">
            <w:pPr>
              <w:keepNext/>
              <w:spacing w:line="240" w:lineRule="auto"/>
              <w:ind w:left="284"/>
              <w:rPr>
                <w:color w:val="000000"/>
                <w:lang w:val="hu-HU"/>
              </w:rPr>
            </w:pPr>
            <w:r w:rsidRPr="00556B9B">
              <w:rPr>
                <w:color w:val="000000"/>
                <w:lang w:val="hu-HU"/>
              </w:rPr>
              <w:t>(Megerősített</w:t>
            </w:r>
            <w:r w:rsidRPr="00556B9B">
              <w:rPr>
                <w:color w:val="000000"/>
                <w:vertAlign w:val="superscript"/>
                <w:lang w:val="hu-HU"/>
              </w:rPr>
              <w:t>3</w:t>
            </w:r>
            <w:r w:rsidRPr="00556B9B">
              <w:rPr>
                <w:color w:val="000000"/>
                <w:lang w:val="hu-HU"/>
              </w:rPr>
              <w:t>) (95% CI)</w:t>
            </w:r>
          </w:p>
        </w:tc>
        <w:tc>
          <w:tcPr>
            <w:tcW w:w="1885" w:type="dxa"/>
            <w:tcBorders>
              <w:left w:val="single" w:sz="4" w:space="0" w:color="auto"/>
              <w:right w:val="single" w:sz="4" w:space="0" w:color="auto"/>
            </w:tcBorders>
          </w:tcPr>
          <w:p w14:paraId="209BF110" w14:textId="77777777" w:rsidR="00153AD1" w:rsidRPr="00556B9B" w:rsidRDefault="00153AD1" w:rsidP="00F926B9">
            <w:pPr>
              <w:keepNext/>
              <w:spacing w:line="240" w:lineRule="auto"/>
              <w:jc w:val="center"/>
              <w:rPr>
                <w:color w:val="000000"/>
                <w:lang w:val="hu-HU"/>
              </w:rPr>
            </w:pPr>
            <w:r w:rsidRPr="00556B9B">
              <w:rPr>
                <w:color w:val="000000"/>
                <w:lang w:val="hu-HU"/>
              </w:rPr>
              <w:t>(43%) [38,6–47,2]</w:t>
            </w:r>
          </w:p>
        </w:tc>
        <w:tc>
          <w:tcPr>
            <w:tcW w:w="1889" w:type="dxa"/>
            <w:tcBorders>
              <w:left w:val="single" w:sz="4" w:space="0" w:color="auto"/>
              <w:right w:val="single" w:sz="4" w:space="0" w:color="auto"/>
            </w:tcBorders>
          </w:tcPr>
          <w:p w14:paraId="197BAE62" w14:textId="77777777" w:rsidR="00153AD1" w:rsidRPr="00556B9B" w:rsidRDefault="00153AD1" w:rsidP="00F926B9">
            <w:pPr>
              <w:keepNext/>
              <w:spacing w:line="240" w:lineRule="auto"/>
              <w:jc w:val="center"/>
              <w:rPr>
                <w:color w:val="000000"/>
                <w:lang w:val="hu-HU"/>
              </w:rPr>
            </w:pPr>
            <w:r w:rsidRPr="00556B9B">
              <w:rPr>
                <w:color w:val="000000"/>
                <w:lang w:val="hu-HU"/>
              </w:rPr>
              <w:t>(16%) [11,3–21,0]</w:t>
            </w:r>
          </w:p>
        </w:tc>
        <w:tc>
          <w:tcPr>
            <w:tcW w:w="2215" w:type="dxa"/>
            <w:tcBorders>
              <w:left w:val="single" w:sz="4" w:space="0" w:color="auto"/>
              <w:right w:val="single" w:sz="4" w:space="0" w:color="auto"/>
            </w:tcBorders>
          </w:tcPr>
          <w:p w14:paraId="38DDA897" w14:textId="77777777" w:rsidR="00153AD1" w:rsidRPr="00556B9B" w:rsidRDefault="00153AD1" w:rsidP="00F926B9">
            <w:pPr>
              <w:keepNext/>
              <w:spacing w:line="240" w:lineRule="auto"/>
              <w:jc w:val="center"/>
              <w:rPr>
                <w:color w:val="000000"/>
                <w:lang w:val="hu-HU"/>
              </w:rPr>
            </w:pPr>
            <w:r w:rsidRPr="00556B9B">
              <w:rPr>
                <w:color w:val="000000"/>
                <w:lang w:val="hu-HU"/>
              </w:rPr>
              <w:t>(2%) [0,6–4,4]</w:t>
            </w:r>
          </w:p>
        </w:tc>
      </w:tr>
      <w:tr w:rsidR="00153AD1" w:rsidRPr="00556B9B" w14:paraId="43029B2C" w14:textId="77777777" w:rsidTr="00F926B9">
        <w:trPr>
          <w:cantSplit/>
        </w:trPr>
        <w:tc>
          <w:tcPr>
            <w:tcW w:w="3367" w:type="dxa"/>
            <w:tcBorders>
              <w:left w:val="single" w:sz="4" w:space="0" w:color="auto"/>
              <w:bottom w:val="single" w:sz="4" w:space="0" w:color="auto"/>
              <w:right w:val="single" w:sz="4" w:space="0" w:color="auto"/>
            </w:tcBorders>
          </w:tcPr>
          <w:p w14:paraId="5AB120F1" w14:textId="77777777" w:rsidR="00153AD1" w:rsidRPr="00556B9B" w:rsidRDefault="00153AD1" w:rsidP="00F926B9">
            <w:pPr>
              <w:keepNext/>
              <w:spacing w:line="240" w:lineRule="auto"/>
              <w:ind w:left="426"/>
              <w:rPr>
                <w:color w:val="000000"/>
                <w:lang w:val="hu-HU"/>
              </w:rPr>
            </w:pPr>
            <w:r w:rsidRPr="00556B9B">
              <w:rPr>
                <w:color w:val="000000"/>
                <w:lang w:val="hu-HU"/>
              </w:rPr>
              <w:t>Részleges</w:t>
            </w:r>
          </w:p>
        </w:tc>
        <w:tc>
          <w:tcPr>
            <w:tcW w:w="1885" w:type="dxa"/>
            <w:tcBorders>
              <w:left w:val="single" w:sz="4" w:space="0" w:color="auto"/>
              <w:bottom w:val="single" w:sz="4" w:space="0" w:color="auto"/>
              <w:right w:val="single" w:sz="4" w:space="0" w:color="auto"/>
            </w:tcBorders>
          </w:tcPr>
          <w:p w14:paraId="5849B2F6" w14:textId="77777777" w:rsidR="00153AD1" w:rsidRPr="00556B9B" w:rsidRDefault="00153AD1" w:rsidP="00F926B9">
            <w:pPr>
              <w:keepNext/>
              <w:spacing w:line="240" w:lineRule="auto"/>
              <w:jc w:val="center"/>
              <w:rPr>
                <w:color w:val="000000"/>
                <w:lang w:val="hu-HU"/>
              </w:rPr>
            </w:pPr>
            <w:r w:rsidRPr="00556B9B">
              <w:rPr>
                <w:color w:val="000000"/>
                <w:lang w:val="hu-HU"/>
              </w:rPr>
              <w:t>12%</w:t>
            </w:r>
          </w:p>
        </w:tc>
        <w:tc>
          <w:tcPr>
            <w:tcW w:w="1889" w:type="dxa"/>
            <w:tcBorders>
              <w:left w:val="single" w:sz="4" w:space="0" w:color="auto"/>
              <w:bottom w:val="single" w:sz="4" w:space="0" w:color="auto"/>
              <w:right w:val="single" w:sz="4" w:space="0" w:color="auto"/>
            </w:tcBorders>
          </w:tcPr>
          <w:p w14:paraId="1E637969" w14:textId="77777777" w:rsidR="00153AD1" w:rsidRPr="00556B9B" w:rsidRDefault="00153AD1" w:rsidP="00F926B9">
            <w:pPr>
              <w:keepNext/>
              <w:spacing w:line="240" w:lineRule="auto"/>
              <w:jc w:val="center"/>
              <w:rPr>
                <w:color w:val="000000"/>
                <w:lang w:val="hu-HU"/>
              </w:rPr>
            </w:pPr>
            <w:r w:rsidRPr="00556B9B">
              <w:rPr>
                <w:color w:val="000000"/>
                <w:lang w:val="hu-HU"/>
              </w:rPr>
              <w:t>7%</w:t>
            </w:r>
          </w:p>
        </w:tc>
        <w:tc>
          <w:tcPr>
            <w:tcW w:w="2215" w:type="dxa"/>
            <w:tcBorders>
              <w:left w:val="single" w:sz="4" w:space="0" w:color="auto"/>
              <w:bottom w:val="single" w:sz="4" w:space="0" w:color="auto"/>
              <w:right w:val="single" w:sz="4" w:space="0" w:color="auto"/>
            </w:tcBorders>
          </w:tcPr>
          <w:p w14:paraId="69357627" w14:textId="77777777" w:rsidR="00153AD1" w:rsidRPr="00556B9B" w:rsidRDefault="00153AD1" w:rsidP="00F926B9">
            <w:pPr>
              <w:keepNext/>
              <w:spacing w:line="240" w:lineRule="auto"/>
              <w:jc w:val="center"/>
              <w:rPr>
                <w:color w:val="000000"/>
                <w:lang w:val="hu-HU"/>
              </w:rPr>
            </w:pPr>
            <w:r w:rsidRPr="00556B9B">
              <w:rPr>
                <w:color w:val="000000"/>
                <w:lang w:val="hu-HU"/>
              </w:rPr>
              <w:t>8%</w:t>
            </w:r>
          </w:p>
        </w:tc>
      </w:tr>
      <w:tr w:rsidR="00153AD1" w:rsidRPr="00462020" w14:paraId="3188B495" w14:textId="77777777" w:rsidTr="00F926B9">
        <w:trPr>
          <w:cantSplit/>
        </w:trPr>
        <w:tc>
          <w:tcPr>
            <w:tcW w:w="9356" w:type="dxa"/>
            <w:gridSpan w:val="4"/>
            <w:tcBorders>
              <w:top w:val="single" w:sz="4" w:space="0" w:color="auto"/>
              <w:left w:val="single" w:sz="2" w:space="0" w:color="000000"/>
              <w:bottom w:val="single" w:sz="4" w:space="0" w:color="auto"/>
              <w:right w:val="single" w:sz="2" w:space="0" w:color="000000"/>
            </w:tcBorders>
          </w:tcPr>
          <w:p w14:paraId="5607BB21" w14:textId="77777777" w:rsidR="00153AD1" w:rsidRPr="00556B9B" w:rsidRDefault="00153AD1" w:rsidP="00DF7747">
            <w:pPr>
              <w:spacing w:line="240" w:lineRule="auto"/>
              <w:ind w:left="142"/>
              <w:rPr>
                <w:b/>
                <w:color w:val="000000"/>
                <w:lang w:val="hu-HU"/>
              </w:rPr>
            </w:pPr>
            <w:r w:rsidRPr="00556B9B">
              <w:rPr>
                <w:b/>
                <w:color w:val="000000"/>
                <w:vertAlign w:val="superscript"/>
                <w:lang w:val="hu-HU"/>
              </w:rPr>
              <w:t>1</w:t>
            </w:r>
            <w:r w:rsidRPr="00556B9B">
              <w:rPr>
                <w:b/>
                <w:color w:val="000000"/>
                <w:lang w:val="hu-HU"/>
              </w:rPr>
              <w:t xml:space="preserve">Hematológiai válasz kritériumai (mindegyik megerősítve </w:t>
            </w:r>
            <w:r w:rsidRPr="00556B9B">
              <w:rPr>
                <w:color w:val="000000"/>
                <w:lang w:val="hu-HU"/>
              </w:rPr>
              <w:sym w:font="Symbol" w:char="F0B3"/>
            </w:r>
            <w:r w:rsidRPr="00556B9B">
              <w:rPr>
                <w:b/>
                <w:color w:val="000000"/>
                <w:lang w:val="hu-HU"/>
              </w:rPr>
              <w:t> 4 hét múlva):</w:t>
            </w:r>
          </w:p>
          <w:p w14:paraId="01A2BA28" w14:textId="77777777" w:rsidR="00153AD1" w:rsidRPr="00556B9B" w:rsidRDefault="00153AD1" w:rsidP="00DF7747">
            <w:pPr>
              <w:spacing w:line="240" w:lineRule="auto"/>
              <w:ind w:left="709" w:hanging="567"/>
              <w:rPr>
                <w:color w:val="000000"/>
                <w:lang w:val="hu-HU"/>
              </w:rPr>
            </w:pPr>
            <w:smartTag w:uri="urn:schemas-microsoft-com:office:smarttags" w:element="stockticker">
              <w:r w:rsidRPr="00556B9B">
                <w:rPr>
                  <w:color w:val="000000"/>
                  <w:lang w:val="hu-HU"/>
                </w:rPr>
                <w:t>CHR</w:t>
              </w:r>
            </w:smartTag>
            <w:r w:rsidRPr="00556B9B">
              <w:rPr>
                <w:color w:val="000000"/>
                <w:lang w:val="hu-HU"/>
              </w:rPr>
              <w:t>: a 0110 vizsgálatban [fvs &lt; 10 x 10</w:t>
            </w:r>
            <w:r w:rsidRPr="00556B9B">
              <w:rPr>
                <w:color w:val="000000"/>
                <w:vertAlign w:val="superscript"/>
                <w:lang w:val="hu-HU"/>
              </w:rPr>
              <w:t>9</w:t>
            </w:r>
            <w:r w:rsidRPr="00556B9B">
              <w:rPr>
                <w:color w:val="000000"/>
                <w:lang w:val="hu-HU"/>
              </w:rPr>
              <w:t>/l, thrombocytaszám &lt; 450 x 10</w:t>
            </w:r>
            <w:r w:rsidRPr="00556B9B">
              <w:rPr>
                <w:color w:val="000000"/>
                <w:vertAlign w:val="superscript"/>
                <w:lang w:val="hu-HU"/>
              </w:rPr>
              <w:t>9</w:t>
            </w:r>
            <w:r w:rsidRPr="00556B9B">
              <w:rPr>
                <w:color w:val="000000"/>
                <w:lang w:val="hu-HU"/>
              </w:rPr>
              <w:t xml:space="preserve">/l, myelocyta + metamyelocyta &lt; 5% a vérben, nincs blast és promyelocyta a vérben, basophil &lt; 20%, nincs extramedullaris involvatio], a 0102 és 0109 vizsgálatokban: [ANC </w:t>
            </w:r>
            <w:r w:rsidRPr="00556B9B">
              <w:rPr>
                <w:color w:val="000000"/>
                <w:lang w:val="hu-HU"/>
              </w:rPr>
              <w:sym w:font="Symbol" w:char="F0B3"/>
            </w:r>
            <w:r w:rsidRPr="00556B9B">
              <w:rPr>
                <w:color w:val="000000"/>
                <w:lang w:val="hu-HU"/>
              </w:rPr>
              <w:t> 1,5 x 10</w:t>
            </w:r>
            <w:r w:rsidRPr="00556B9B">
              <w:rPr>
                <w:color w:val="000000"/>
                <w:vertAlign w:val="superscript"/>
                <w:lang w:val="hu-HU"/>
              </w:rPr>
              <w:t>9</w:t>
            </w:r>
            <w:r w:rsidRPr="00556B9B">
              <w:rPr>
                <w:color w:val="000000"/>
                <w:lang w:val="hu-HU"/>
              </w:rPr>
              <w:t xml:space="preserve">/l, thrombocytaszám </w:t>
            </w:r>
            <w:r w:rsidRPr="00556B9B">
              <w:rPr>
                <w:color w:val="000000"/>
                <w:lang w:val="hu-HU"/>
              </w:rPr>
              <w:sym w:font="Symbol" w:char="F0B3"/>
            </w:r>
            <w:r w:rsidRPr="00556B9B">
              <w:rPr>
                <w:color w:val="000000"/>
                <w:lang w:val="hu-HU"/>
              </w:rPr>
              <w:t> 100 x 10</w:t>
            </w:r>
            <w:r w:rsidRPr="00556B9B">
              <w:rPr>
                <w:color w:val="000000"/>
                <w:vertAlign w:val="superscript"/>
                <w:lang w:val="hu-HU"/>
              </w:rPr>
              <w:t>9</w:t>
            </w:r>
            <w:r w:rsidRPr="00556B9B">
              <w:rPr>
                <w:color w:val="000000"/>
                <w:lang w:val="hu-HU"/>
              </w:rPr>
              <w:t>/l, nincs blast a vérben, a csontvelőben a blast &lt; 5% és nincs extramedulláris betegség].</w:t>
            </w:r>
          </w:p>
          <w:p w14:paraId="5ACC49DA" w14:textId="77777777" w:rsidR="00153AD1" w:rsidRPr="00556B9B" w:rsidRDefault="00153AD1" w:rsidP="00DF7747">
            <w:pPr>
              <w:spacing w:line="240" w:lineRule="auto"/>
              <w:ind w:left="709" w:hanging="567"/>
              <w:rPr>
                <w:color w:val="000000"/>
                <w:lang w:val="hu-HU"/>
              </w:rPr>
            </w:pPr>
            <w:r w:rsidRPr="00556B9B">
              <w:rPr>
                <w:color w:val="000000"/>
                <w:lang w:val="hu-HU"/>
              </w:rPr>
              <w:t xml:space="preserve">NEL: ugyanazon kritériumok, mint a </w:t>
            </w:r>
            <w:smartTag w:uri="urn:schemas-microsoft-com:office:smarttags" w:element="stockticker">
              <w:r w:rsidRPr="00556B9B">
                <w:rPr>
                  <w:color w:val="000000"/>
                  <w:lang w:val="hu-HU"/>
                </w:rPr>
                <w:t>CHR</w:t>
              </w:r>
            </w:smartTag>
            <w:r w:rsidRPr="00556B9B">
              <w:rPr>
                <w:color w:val="000000"/>
                <w:lang w:val="hu-HU"/>
              </w:rPr>
              <w:noBreakHyphen/>
              <w:t>ben, de ANC </w:t>
            </w:r>
            <w:r w:rsidRPr="00556B9B">
              <w:rPr>
                <w:color w:val="000000"/>
                <w:lang w:val="hu-HU"/>
              </w:rPr>
              <w:sym w:font="Symbol" w:char="F0B3"/>
            </w:r>
            <w:r w:rsidRPr="00556B9B">
              <w:rPr>
                <w:color w:val="000000"/>
                <w:lang w:val="hu-HU"/>
              </w:rPr>
              <w:t> 1 x 10</w:t>
            </w:r>
            <w:r w:rsidRPr="00556B9B">
              <w:rPr>
                <w:color w:val="000000"/>
                <w:vertAlign w:val="superscript"/>
                <w:lang w:val="hu-HU"/>
              </w:rPr>
              <w:t>9</w:t>
            </w:r>
            <w:r w:rsidRPr="00556B9B">
              <w:rPr>
                <w:color w:val="000000"/>
                <w:lang w:val="hu-HU"/>
              </w:rPr>
              <w:t xml:space="preserve">/l, és a thrombocytaszám </w:t>
            </w:r>
            <w:r w:rsidRPr="00556B9B">
              <w:rPr>
                <w:color w:val="000000"/>
                <w:lang w:val="hu-HU"/>
              </w:rPr>
              <w:sym w:font="Symbol" w:char="F0B3"/>
            </w:r>
            <w:r w:rsidRPr="00556B9B">
              <w:rPr>
                <w:color w:val="000000"/>
                <w:lang w:val="hu-HU"/>
              </w:rPr>
              <w:t> 20 x 10</w:t>
            </w:r>
            <w:r w:rsidRPr="00556B9B">
              <w:rPr>
                <w:color w:val="000000"/>
                <w:vertAlign w:val="superscript"/>
                <w:lang w:val="hu-HU"/>
              </w:rPr>
              <w:t>9</w:t>
            </w:r>
            <w:r w:rsidRPr="00556B9B">
              <w:rPr>
                <w:color w:val="000000"/>
                <w:lang w:val="hu-HU"/>
              </w:rPr>
              <w:t>/l (csak a 0102 és 0109 vizsgálatokban)</w:t>
            </w:r>
          </w:p>
          <w:p w14:paraId="6A3A084F" w14:textId="77777777" w:rsidR="00153AD1" w:rsidRPr="00556B9B" w:rsidRDefault="00153AD1" w:rsidP="00DF7747">
            <w:pPr>
              <w:spacing w:line="240" w:lineRule="auto"/>
              <w:ind w:left="709" w:hanging="567"/>
              <w:rPr>
                <w:color w:val="000000"/>
                <w:lang w:val="hu-HU"/>
              </w:rPr>
            </w:pPr>
            <w:smartTag w:uri="urn:schemas-microsoft-com:office:smarttags" w:element="stockticker">
              <w:r w:rsidRPr="00556B9B">
                <w:rPr>
                  <w:color w:val="000000"/>
                  <w:lang w:val="hu-HU"/>
                </w:rPr>
                <w:t>RTC</w:t>
              </w:r>
            </w:smartTag>
            <w:r w:rsidRPr="00556B9B">
              <w:rPr>
                <w:color w:val="000000"/>
                <w:lang w:val="hu-HU"/>
              </w:rPr>
              <w:t>: &lt; 15% blast, ill. &lt; 30% blast + promyelocyta a csontvelőben és a perifériás vérben, &lt; 20% basophil a peripheriás vérben, nincs extramedulláris betegség másutt, mint a lépben és a májban (csak a 0102 és 0109 vizsgálatokban).</w:t>
            </w:r>
          </w:p>
          <w:p w14:paraId="4F5DBB61" w14:textId="77777777" w:rsidR="00153AD1" w:rsidRPr="00556B9B" w:rsidRDefault="00153AD1" w:rsidP="00DF7747">
            <w:pPr>
              <w:spacing w:line="240" w:lineRule="auto"/>
              <w:ind w:left="142"/>
              <w:rPr>
                <w:b/>
                <w:color w:val="000000"/>
                <w:lang w:val="hu-HU"/>
              </w:rPr>
            </w:pPr>
            <w:r w:rsidRPr="00556B9B">
              <w:rPr>
                <w:b/>
                <w:color w:val="000000"/>
                <w:vertAlign w:val="superscript"/>
                <w:lang w:val="hu-HU"/>
              </w:rPr>
              <w:t>2</w:t>
            </w:r>
            <w:r w:rsidRPr="00556B9B">
              <w:rPr>
                <w:b/>
                <w:color w:val="000000"/>
                <w:lang w:val="hu-HU"/>
              </w:rPr>
              <w:t>Cytogenetikai válasz kritériumai:</w:t>
            </w:r>
          </w:p>
          <w:p w14:paraId="59EA5BAB" w14:textId="77777777" w:rsidR="00153AD1" w:rsidRPr="00556B9B" w:rsidRDefault="00153AD1" w:rsidP="00DF7747">
            <w:pPr>
              <w:spacing w:line="240" w:lineRule="auto"/>
              <w:ind w:left="142"/>
              <w:rPr>
                <w:color w:val="000000"/>
                <w:lang w:val="hu-HU"/>
              </w:rPr>
            </w:pPr>
            <w:r w:rsidRPr="00556B9B">
              <w:rPr>
                <w:color w:val="000000"/>
                <w:lang w:val="hu-HU"/>
              </w:rPr>
              <w:t>A nagyfokú cytogenetikai válasz a komplett és részleges választ együttesen jelenti: komplett: 0% Ph+ metafázis, részleges: 1–35%)</w:t>
            </w:r>
          </w:p>
          <w:p w14:paraId="0ECB8A63" w14:textId="77777777" w:rsidR="00153AD1" w:rsidRPr="00556B9B" w:rsidRDefault="00153AD1" w:rsidP="00DF7747">
            <w:pPr>
              <w:spacing w:line="240" w:lineRule="auto"/>
              <w:ind w:left="142"/>
              <w:rPr>
                <w:color w:val="000000"/>
                <w:lang w:val="hu-HU"/>
              </w:rPr>
            </w:pPr>
            <w:r w:rsidRPr="00556B9B">
              <w:rPr>
                <w:color w:val="000000"/>
                <w:vertAlign w:val="superscript"/>
                <w:lang w:val="hu-HU"/>
              </w:rPr>
              <w:t>3</w:t>
            </w:r>
            <w:r w:rsidRPr="00556B9B">
              <w:rPr>
                <w:color w:val="000000"/>
                <w:lang w:val="hu-HU"/>
              </w:rPr>
              <w:t xml:space="preserve">Komplett cytogenetikai válasz: </w:t>
            </w:r>
            <w:r w:rsidRPr="00556B9B">
              <w:rPr>
                <w:color w:val="000000"/>
                <w:u w:val="single"/>
                <w:lang w:val="hu-HU"/>
              </w:rPr>
              <w:t>l</w:t>
            </w:r>
            <w:r w:rsidRPr="00556B9B">
              <w:rPr>
                <w:color w:val="000000"/>
                <w:lang w:val="hu-HU"/>
              </w:rPr>
              <w:t>egalább egy hónappal az első csontvelővizsgálat után végzett második csontvelő cytogenetikai vizsgálat megerősíti a komplett cytogenetikai választ.</w:t>
            </w:r>
          </w:p>
        </w:tc>
      </w:tr>
    </w:tbl>
    <w:p w14:paraId="64848FF1" w14:textId="77777777" w:rsidR="00153AD1" w:rsidRPr="00556B9B" w:rsidRDefault="00153AD1" w:rsidP="00153AD1">
      <w:pPr>
        <w:spacing w:line="240" w:lineRule="auto"/>
        <w:rPr>
          <w:color w:val="000000"/>
          <w:lang w:val="hu-HU"/>
        </w:rPr>
      </w:pPr>
    </w:p>
    <w:p w14:paraId="4C930C42" w14:textId="14048021" w:rsidR="00153AD1" w:rsidRPr="00556B9B" w:rsidRDefault="00153AD1" w:rsidP="00153AD1">
      <w:pPr>
        <w:spacing w:line="240" w:lineRule="auto"/>
        <w:rPr>
          <w:color w:val="000000"/>
          <w:lang w:val="hu-HU"/>
        </w:rPr>
      </w:pPr>
      <w:r w:rsidRPr="006D0F5F">
        <w:rPr>
          <w:i/>
          <w:color w:val="000000"/>
          <w:lang w:val="hu-HU"/>
        </w:rPr>
        <w:t>Gyermekek</w:t>
      </w:r>
      <w:r w:rsidR="00A83F73" w:rsidRPr="006D0F5F">
        <w:rPr>
          <w:i/>
          <w:color w:val="000000"/>
          <w:lang w:val="hu-HU"/>
        </w:rPr>
        <w:t xml:space="preserve"> és serdülők</w:t>
      </w:r>
      <w:r w:rsidRPr="006D0F5F">
        <w:rPr>
          <w:i/>
          <w:color w:val="000000"/>
          <w:lang w:val="hu-HU"/>
        </w:rPr>
        <w:t>:</w:t>
      </w:r>
      <w:r w:rsidRPr="006D0F5F">
        <w:rPr>
          <w:color w:val="000000"/>
          <w:lang w:val="hu-HU"/>
        </w:rPr>
        <w:t xml:space="preserve"> összesen 26, 18 év alatti krónikus fázisú (n = 11) vagy blastos krízisben lévő CML</w:t>
      </w:r>
      <w:r w:rsidRPr="006D0F5F">
        <w:rPr>
          <w:color w:val="000000"/>
          <w:lang w:val="hu-HU"/>
        </w:rPr>
        <w:noBreakHyphen/>
        <w:t>es vagy Ph+ akut leukaemiás (n = 15) gyermek</w:t>
      </w:r>
      <w:r w:rsidR="00E87DE6" w:rsidRPr="006D0F5F">
        <w:rPr>
          <w:color w:val="000000"/>
          <w:lang w:val="hu-HU"/>
        </w:rPr>
        <w:t>- és serdülő</w:t>
      </w:r>
      <w:r w:rsidRPr="006D0F5F">
        <w:rPr>
          <w:color w:val="000000"/>
          <w:lang w:val="hu-HU"/>
        </w:rPr>
        <w:t xml:space="preserve">korú beteget vontak be a dózis-eszkalációs I. </w:t>
      </w:r>
      <w:r w:rsidR="00E87DE6" w:rsidRPr="006D0F5F">
        <w:rPr>
          <w:color w:val="000000"/>
          <w:lang w:val="hu-HU"/>
        </w:rPr>
        <w:t xml:space="preserve">fázisú </w:t>
      </w:r>
      <w:r w:rsidRPr="006D0F5F">
        <w:rPr>
          <w:color w:val="000000"/>
          <w:lang w:val="hu-HU"/>
        </w:rPr>
        <w:t>vizsgálatba. Erősen előkezelt betegek voltak, 46%</w:t>
      </w:r>
      <w:r w:rsidRPr="006D0F5F">
        <w:rPr>
          <w:color w:val="000000"/>
          <w:lang w:val="hu-HU"/>
        </w:rPr>
        <w:noBreakHyphen/>
        <w:t>uk átesett már csontvelő-transzplantáción, illetve 73%</w:t>
      </w:r>
      <w:r w:rsidRPr="006D0F5F">
        <w:rPr>
          <w:color w:val="000000"/>
          <w:lang w:val="hu-HU"/>
        </w:rPr>
        <w:noBreakHyphen/>
        <w:t xml:space="preserve">uk előzetesen kombinált kemoterápiát kapott. A </w:t>
      </w:r>
      <w:r w:rsidR="00E90FD9" w:rsidRPr="006D0F5F">
        <w:rPr>
          <w:color w:val="000000"/>
          <w:lang w:val="hu-HU"/>
        </w:rPr>
        <w:t>betegek</w:t>
      </w:r>
      <w:r w:rsidRPr="006D0F5F">
        <w:rPr>
          <w:color w:val="000000"/>
          <w:lang w:val="hu-HU"/>
        </w:rPr>
        <w:t xml:space="preserve"> Glivec dózisa 260 mg/m</w:t>
      </w:r>
      <w:r w:rsidRPr="006D0F5F">
        <w:rPr>
          <w:color w:val="000000"/>
          <w:vertAlign w:val="superscript"/>
          <w:lang w:val="hu-HU"/>
        </w:rPr>
        <w:t>2</w:t>
      </w:r>
      <w:r w:rsidRPr="006D0F5F">
        <w:rPr>
          <w:color w:val="000000"/>
          <w:lang w:val="hu-HU"/>
        </w:rPr>
        <w:t>/nap (n = 5), 340 mg/m</w:t>
      </w:r>
      <w:r w:rsidRPr="006D0F5F">
        <w:rPr>
          <w:color w:val="000000"/>
          <w:vertAlign w:val="superscript"/>
          <w:lang w:val="hu-HU"/>
        </w:rPr>
        <w:t>2</w:t>
      </w:r>
      <w:r w:rsidRPr="006D0F5F">
        <w:rPr>
          <w:color w:val="000000"/>
          <w:lang w:val="hu-HU"/>
        </w:rPr>
        <w:t>/nap (n = 9), 440 mg/m</w:t>
      </w:r>
      <w:r w:rsidRPr="006D0F5F">
        <w:rPr>
          <w:color w:val="000000"/>
          <w:vertAlign w:val="superscript"/>
          <w:lang w:val="hu-HU"/>
        </w:rPr>
        <w:t>2</w:t>
      </w:r>
      <w:r w:rsidRPr="006D0F5F">
        <w:rPr>
          <w:color w:val="000000"/>
          <w:lang w:val="hu-HU"/>
        </w:rPr>
        <w:t>/nap (n = 7), ill. 570 mg/m</w:t>
      </w:r>
      <w:r w:rsidRPr="006D0F5F">
        <w:rPr>
          <w:color w:val="000000"/>
          <w:vertAlign w:val="superscript"/>
          <w:lang w:val="hu-HU"/>
        </w:rPr>
        <w:t>2</w:t>
      </w:r>
      <w:r w:rsidRPr="006D0F5F">
        <w:rPr>
          <w:color w:val="000000"/>
          <w:lang w:val="hu-HU"/>
        </w:rPr>
        <w:t>/nap (n = 5) volt. A krónikus fázisú CML</w:t>
      </w:r>
      <w:r w:rsidR="00E90FD9" w:rsidRPr="006D0F5F">
        <w:rPr>
          <w:color w:val="000000"/>
          <w:lang w:val="hu-HU"/>
        </w:rPr>
        <w:t>-es</w:t>
      </w:r>
      <w:r w:rsidRPr="006D0F5F">
        <w:rPr>
          <w:color w:val="000000"/>
          <w:lang w:val="hu-HU"/>
        </w:rPr>
        <w:t xml:space="preserve"> betegek közül 9</w:t>
      </w:r>
      <w:r w:rsidRPr="006D0F5F">
        <w:rPr>
          <w:color w:val="000000"/>
          <w:lang w:val="hu-HU"/>
        </w:rPr>
        <w:noBreakHyphen/>
        <w:t>nek a cytogenetikai adatai rendelkezésre állnak: közülük 4 (44%) ért el komplett, és 3 (33%) részleges cytogenetikai választ; ez 77% MCyR</w:t>
      </w:r>
      <w:r w:rsidRPr="006D0F5F">
        <w:rPr>
          <w:color w:val="000000"/>
          <w:lang w:val="hu-HU"/>
        </w:rPr>
        <w:noBreakHyphen/>
        <w:t>nek felel meg.</w:t>
      </w:r>
    </w:p>
    <w:p w14:paraId="404A158C" w14:textId="77777777" w:rsidR="00153AD1" w:rsidRPr="00556B9B" w:rsidRDefault="00153AD1" w:rsidP="00153AD1">
      <w:pPr>
        <w:spacing w:line="240" w:lineRule="auto"/>
        <w:rPr>
          <w:color w:val="000000"/>
          <w:lang w:val="hu-HU"/>
        </w:rPr>
      </w:pPr>
    </w:p>
    <w:p w14:paraId="75295FF7" w14:textId="186FFF05" w:rsidR="00153AD1" w:rsidRPr="00556B9B" w:rsidRDefault="00153AD1" w:rsidP="00153AD1">
      <w:pPr>
        <w:spacing w:line="240" w:lineRule="auto"/>
        <w:rPr>
          <w:color w:val="000000"/>
          <w:lang w:val="hu-HU"/>
        </w:rPr>
      </w:pPr>
      <w:r w:rsidRPr="00556B9B">
        <w:rPr>
          <w:color w:val="000000"/>
          <w:lang w:val="hu-HU"/>
        </w:rPr>
        <w:t>Összesen 51 újonnan diagnosztizált és kezeletlen krónikus fázisú CML</w:t>
      </w:r>
      <w:r w:rsidRPr="00556B9B">
        <w:rPr>
          <w:color w:val="000000"/>
          <w:lang w:val="hu-HU"/>
        </w:rPr>
        <w:noBreakHyphen/>
        <w:t xml:space="preserve">es gyermekgyógyászati beteget vontak be egy nyílt, multicentrikus, egy vizsgálati </w:t>
      </w:r>
      <w:r w:rsidRPr="006D0F5F">
        <w:rPr>
          <w:color w:val="000000"/>
          <w:lang w:val="hu-HU"/>
        </w:rPr>
        <w:t>karos, II</w:t>
      </w:r>
      <w:r w:rsidR="00E90FD9" w:rsidRPr="006D0F5F">
        <w:rPr>
          <w:color w:val="000000"/>
          <w:lang w:val="hu-HU"/>
        </w:rPr>
        <w:t>. fázisú</w:t>
      </w:r>
      <w:r w:rsidRPr="006D0F5F">
        <w:rPr>
          <w:color w:val="000000"/>
          <w:lang w:val="hu-HU"/>
        </w:rPr>
        <w:t xml:space="preserve"> vizsgálatba. A Glivec dózisa 340 mg/m</w:t>
      </w:r>
      <w:r w:rsidRPr="006D0F5F">
        <w:rPr>
          <w:color w:val="000000"/>
          <w:vertAlign w:val="superscript"/>
          <w:lang w:val="hu-HU"/>
        </w:rPr>
        <w:t>2</w:t>
      </w:r>
      <w:r w:rsidRPr="006D0F5F">
        <w:rPr>
          <w:color w:val="000000"/>
          <w:lang w:val="hu-HU"/>
        </w:rPr>
        <w:t>/nap volt, dózislimitáló toxicitás hiányában a kezelést nem szakították meg. A Glivec</w:t>
      </w:r>
      <w:r w:rsidRPr="006D0F5F">
        <w:rPr>
          <w:color w:val="000000"/>
          <w:lang w:val="hu-HU"/>
        </w:rPr>
        <w:noBreakHyphen/>
        <w:t>kezelés gyors választ indukál az újonnan diagnosztizált gyermekgyógyászati CML</w:t>
      </w:r>
      <w:r w:rsidRPr="006D0F5F">
        <w:rPr>
          <w:color w:val="000000"/>
          <w:lang w:val="hu-HU"/>
        </w:rPr>
        <w:noBreakHyphen/>
        <w:t xml:space="preserve">es betegekben, és 8 hetes kezelés után a </w:t>
      </w:r>
      <w:smartTag w:uri="urn:schemas-microsoft-com:office:smarttags" w:element="stockticker">
        <w:r w:rsidRPr="006D0F5F">
          <w:rPr>
            <w:color w:val="000000"/>
            <w:lang w:val="hu-HU"/>
          </w:rPr>
          <w:t>CHR</w:t>
        </w:r>
      </w:smartTag>
      <w:r w:rsidRPr="006D0F5F">
        <w:rPr>
          <w:color w:val="000000"/>
          <w:lang w:val="hu-HU"/>
        </w:rPr>
        <w:t xml:space="preserve"> 78%. A </w:t>
      </w:r>
      <w:smartTag w:uri="urn:schemas-microsoft-com:office:smarttags" w:element="stockticker">
        <w:r w:rsidRPr="006D0F5F">
          <w:rPr>
            <w:color w:val="000000"/>
            <w:lang w:val="hu-HU"/>
          </w:rPr>
          <w:t>CHR</w:t>
        </w:r>
      </w:smartTag>
      <w:r w:rsidRPr="006D0F5F">
        <w:rPr>
          <w:color w:val="000000"/>
          <w:lang w:val="hu-HU"/>
        </w:rPr>
        <w:t xml:space="preserve"> magas arányához 65%</w:t>
      </w:r>
      <w:r w:rsidRPr="006D0F5F">
        <w:rPr>
          <w:color w:val="000000"/>
          <w:lang w:val="hu-HU"/>
        </w:rPr>
        <w:noBreakHyphen/>
        <w:t>os komplett cytogenetikai válasz (CCyR) társul, ami hasonló a felnőttek</w:t>
      </w:r>
      <w:r w:rsidR="00E90FD9" w:rsidRPr="006D0F5F">
        <w:rPr>
          <w:color w:val="000000"/>
          <w:lang w:val="hu-HU"/>
        </w:rPr>
        <w:t>nél</w:t>
      </w:r>
      <w:r w:rsidRPr="006D0F5F">
        <w:rPr>
          <w:color w:val="000000"/>
          <w:lang w:val="hu-HU"/>
        </w:rPr>
        <w:t xml:space="preserve"> látott eredményekhez. Ezenkívül 16%</w:t>
      </w:r>
      <w:r w:rsidRPr="006D0F5F">
        <w:rPr>
          <w:color w:val="000000"/>
          <w:lang w:val="hu-HU"/>
        </w:rPr>
        <w:noBreakHyphen/>
        <w:t>ban figyeltek meg részleges cytogenetikai választ (PCyR); ez 81% MCyR</w:t>
      </w:r>
      <w:r w:rsidRPr="00556B9B">
        <w:rPr>
          <w:color w:val="000000"/>
          <w:lang w:val="hu-HU"/>
        </w:rPr>
        <w:noBreakHyphen/>
        <w:t>nek felel meg. A CCyR</w:t>
      </w:r>
      <w:r w:rsidRPr="00556B9B">
        <w:rPr>
          <w:color w:val="000000"/>
          <w:lang w:val="hu-HU"/>
        </w:rPr>
        <w:noBreakHyphen/>
        <w:t>t elérő betegek többségében a 3. és a 10. hónap között alakult ki a CCyR, és a válaszig eltelt idő mediánértéke a Kaplan-Meier becslés szerint 5,6 hónap.</w:t>
      </w:r>
    </w:p>
    <w:p w14:paraId="4F538B34" w14:textId="77777777" w:rsidR="00153AD1" w:rsidRPr="00556B9B" w:rsidRDefault="00153AD1" w:rsidP="00153AD1">
      <w:pPr>
        <w:rPr>
          <w:color w:val="000000"/>
          <w:u w:val="single"/>
          <w:lang w:val="hu-HU"/>
        </w:rPr>
      </w:pPr>
    </w:p>
    <w:p w14:paraId="53102920" w14:textId="77777777" w:rsidR="00153AD1" w:rsidRPr="00556B9B" w:rsidRDefault="00153AD1" w:rsidP="00153AD1">
      <w:pPr>
        <w:rPr>
          <w:rFonts w:eastAsia="SimSun"/>
          <w:color w:val="000000"/>
          <w:szCs w:val="22"/>
          <w:lang w:val="hu-HU" w:eastAsia="zh-CN"/>
        </w:rPr>
      </w:pPr>
      <w:r w:rsidRPr="00556B9B">
        <w:rPr>
          <w:rFonts w:eastAsia="SimSun"/>
          <w:color w:val="000000"/>
          <w:szCs w:val="22"/>
          <w:lang w:val="hu-HU" w:eastAsia="zh-CN"/>
        </w:rPr>
        <w:t xml:space="preserve">Az Európai Gyógyszerügynökség </w:t>
      </w:r>
      <w:r w:rsidRPr="00556B9B">
        <w:rPr>
          <w:noProof/>
          <w:szCs w:val="22"/>
          <w:lang w:val="hu-HU" w:eastAsia="en-US"/>
        </w:rPr>
        <w:t xml:space="preserve">a gyermekpopuláció minden alcsoportjánál eltekint </w:t>
      </w:r>
      <w:r w:rsidRPr="00556B9B">
        <w:rPr>
          <w:rFonts w:eastAsia="SimSun"/>
          <w:color w:val="000000"/>
          <w:szCs w:val="22"/>
          <w:lang w:val="hu-HU" w:eastAsia="zh-CN"/>
        </w:rPr>
        <w:t xml:space="preserve">a Glivec vizsgálati eredményeinek benyújtási kötelezettségétől </w:t>
      </w:r>
      <w:r w:rsidRPr="00556B9B">
        <w:rPr>
          <w:color w:val="000000"/>
          <w:lang w:val="hu-HU"/>
        </w:rPr>
        <w:t>Philadelphia kromoszóma (bcr</w:t>
      </w:r>
      <w:r w:rsidRPr="00556B9B">
        <w:rPr>
          <w:color w:val="000000"/>
          <w:lang w:val="hu-HU"/>
        </w:rPr>
        <w:noBreakHyphen/>
        <w:t xml:space="preserve">abl </w:t>
      </w:r>
      <w:r w:rsidRPr="00556B9B">
        <w:rPr>
          <w:color w:val="000000"/>
          <w:lang w:val="hu-HU"/>
        </w:rPr>
        <w:lastRenderedPageBreak/>
        <w:t>transzlokáció)-pozitív (Ph+) krónikus myeloid leukaemiában</w:t>
      </w:r>
      <w:r w:rsidRPr="00556B9B">
        <w:rPr>
          <w:rFonts w:eastAsia="SimSun"/>
          <w:color w:val="000000"/>
          <w:szCs w:val="22"/>
          <w:lang w:val="hu-HU" w:eastAsia="zh-CN"/>
        </w:rPr>
        <w:t xml:space="preserve"> (lásd 4.2 pont, gyermekgyógyászati </w:t>
      </w:r>
      <w:r w:rsidRPr="00556B9B">
        <w:rPr>
          <w:noProof/>
          <w:szCs w:val="22"/>
          <w:lang w:val="hu-HU" w:eastAsia="en-US"/>
        </w:rPr>
        <w:t xml:space="preserve">alkalmazásra vonatkozó </w:t>
      </w:r>
      <w:r w:rsidRPr="00556B9B">
        <w:rPr>
          <w:rFonts w:eastAsia="SimSun"/>
          <w:color w:val="000000"/>
          <w:szCs w:val="22"/>
          <w:lang w:val="hu-HU" w:eastAsia="zh-CN"/>
        </w:rPr>
        <w:t>információk).</w:t>
      </w:r>
    </w:p>
    <w:p w14:paraId="2E06854C" w14:textId="77777777" w:rsidR="00153AD1" w:rsidRPr="00556B9B" w:rsidRDefault="00153AD1" w:rsidP="00153AD1">
      <w:pPr>
        <w:rPr>
          <w:color w:val="000000"/>
          <w:u w:val="single"/>
          <w:lang w:val="hu-HU"/>
        </w:rPr>
      </w:pPr>
    </w:p>
    <w:p w14:paraId="4B3471D3" w14:textId="77777777" w:rsidR="00153AD1" w:rsidRPr="006D0F5F" w:rsidRDefault="00153AD1" w:rsidP="00F926B9">
      <w:pPr>
        <w:keepNext/>
        <w:rPr>
          <w:color w:val="000000"/>
          <w:lang w:val="hu-HU"/>
        </w:rPr>
      </w:pPr>
      <w:r w:rsidRPr="00556B9B">
        <w:rPr>
          <w:color w:val="000000"/>
          <w:u w:val="single"/>
          <w:lang w:val="hu-HU"/>
        </w:rPr>
        <w:t xml:space="preserve">Klinikai vizsgálatok Ph+ </w:t>
      </w:r>
      <w:smartTag w:uri="urn:schemas-microsoft-com:office:smarttags" w:element="stockticker">
        <w:r w:rsidRPr="00556B9B">
          <w:rPr>
            <w:color w:val="000000"/>
            <w:u w:val="single"/>
            <w:lang w:val="hu-HU"/>
          </w:rPr>
          <w:t>ALL</w:t>
        </w:r>
      </w:smartTag>
      <w:r w:rsidRPr="00556B9B">
        <w:rPr>
          <w:color w:val="000000"/>
          <w:u w:val="single"/>
          <w:lang w:val="hu-HU"/>
        </w:rPr>
        <w:noBreakHyphen/>
      </w:r>
      <w:r w:rsidRPr="006D0F5F">
        <w:rPr>
          <w:color w:val="000000"/>
          <w:u w:val="single"/>
          <w:lang w:val="hu-HU"/>
        </w:rPr>
        <w:t>ben</w:t>
      </w:r>
    </w:p>
    <w:p w14:paraId="35FF94DA" w14:textId="0DA6B3C7" w:rsidR="00153AD1" w:rsidRPr="00556B9B" w:rsidRDefault="00153AD1" w:rsidP="00153AD1">
      <w:pPr>
        <w:rPr>
          <w:color w:val="000000"/>
          <w:lang w:val="hu-HU"/>
        </w:rPr>
      </w:pPr>
      <w:r w:rsidRPr="006D0F5F">
        <w:rPr>
          <w:i/>
          <w:color w:val="000000"/>
          <w:lang w:val="hu-HU"/>
        </w:rPr>
        <w:t xml:space="preserve">Újonnan diagnosztizált Ph+ </w:t>
      </w:r>
      <w:smartTag w:uri="urn:schemas-microsoft-com:office:smarttags" w:element="stockticker">
        <w:r w:rsidRPr="006D0F5F">
          <w:rPr>
            <w:i/>
            <w:color w:val="000000"/>
            <w:lang w:val="hu-HU"/>
          </w:rPr>
          <w:t>ALL</w:t>
        </w:r>
      </w:smartTag>
      <w:r w:rsidRPr="006D0F5F">
        <w:rPr>
          <w:i/>
          <w:color w:val="000000"/>
          <w:lang w:val="hu-HU"/>
        </w:rPr>
        <w:t>:</w:t>
      </w:r>
      <w:r w:rsidRPr="006D0F5F">
        <w:rPr>
          <w:color w:val="000000"/>
          <w:lang w:val="hu-HU"/>
        </w:rPr>
        <w:t xml:space="preserve"> Egy kontroll</w:t>
      </w:r>
      <w:r w:rsidR="00531C9D" w:rsidRPr="006D0F5F">
        <w:rPr>
          <w:color w:val="000000"/>
          <w:lang w:val="hu-HU"/>
        </w:rPr>
        <w:t>os</w:t>
      </w:r>
      <w:r w:rsidRPr="006D0F5F">
        <w:rPr>
          <w:color w:val="000000"/>
          <w:lang w:val="hu-HU"/>
        </w:rPr>
        <w:t xml:space="preserve"> vizsgálatban (ADE10) 55 újonnan diagnosztizált, 55 éves vagy idősebb beteg</w:t>
      </w:r>
      <w:r w:rsidR="00531C9D" w:rsidRPr="006D0F5F">
        <w:rPr>
          <w:color w:val="000000"/>
          <w:lang w:val="hu-HU"/>
        </w:rPr>
        <w:t>nél</w:t>
      </w:r>
      <w:r w:rsidRPr="006D0F5F">
        <w:rPr>
          <w:color w:val="000000"/>
          <w:lang w:val="hu-HU"/>
        </w:rPr>
        <w:t xml:space="preserve"> hasonlították össze az imatinibbel, illetve a kemoterápiával történő indukciós kezelést. Az imatinib monoterápia</w:t>
      </w:r>
      <w:r w:rsidRPr="00556B9B">
        <w:rPr>
          <w:color w:val="000000"/>
          <w:lang w:val="hu-HU"/>
        </w:rPr>
        <w:t xml:space="preserve"> szignifikánsan magasabb arányban indukált komplett hematológiai választ, mint a kemoterápia (96,3% vs. 50%; p = 0,0001). Amikor a kemoterápiára nem vagy rosszul reagáló betegeknek „salvage” kezelésként imatinibet adtak, 11 betegből 9 esetében (81,8%) komplett hematológiai választ értek el. Ezen klinikai hatáshoz a bcr</w:t>
      </w:r>
      <w:r w:rsidRPr="00556B9B">
        <w:rPr>
          <w:color w:val="000000"/>
          <w:lang w:val="hu-HU"/>
        </w:rPr>
        <w:noBreakHyphen/>
        <w:t xml:space="preserve">abl transzkripció nagyobb mértékű csökkenése társult az imatinibbel kezelt betegekben, mint a kemoterápiás vizsgálati karban a 2 hetes kezelés után (p = 0,02). Az indukciót követően minden beteg imatinibet és konszolidációs kemoterápiát (lásd </w:t>
      </w:r>
      <w:r w:rsidR="00F10EA5" w:rsidRPr="00556B9B">
        <w:rPr>
          <w:color w:val="000000"/>
          <w:lang w:val="hu-HU"/>
        </w:rPr>
        <w:t>4</w:t>
      </w:r>
      <w:r w:rsidRPr="00556B9B">
        <w:rPr>
          <w:color w:val="000000"/>
          <w:lang w:val="hu-HU"/>
        </w:rPr>
        <w:t>. táblázat) kapott, és a 8. héten a bcr</w:t>
      </w:r>
      <w:r w:rsidRPr="00556B9B">
        <w:rPr>
          <w:color w:val="000000"/>
          <w:lang w:val="hu-HU"/>
        </w:rPr>
        <w:noBreakHyphen/>
        <w:t>abl transzkriptum szintje mindkét vizsgálati karban azonos volt. Amint az a vizsgálat elrendezése alapján várható volt, nem figyeltek meg különbséget a remisszió időtartama, a betegségmentes túlélés vagy a teljes túlélés terén, bár a teljes molekuláris választ mutató és minimális reziduális betegségben szenvedő betegeknél jobb kimenetet láttak mind a remisszió időtartama (p = 0,01), mind a betegségmentes túlélés (p = 0,02) terén.</w:t>
      </w:r>
    </w:p>
    <w:p w14:paraId="28FE49EF" w14:textId="77777777" w:rsidR="00153AD1" w:rsidRPr="00556B9B" w:rsidRDefault="00153AD1" w:rsidP="00153AD1">
      <w:pPr>
        <w:rPr>
          <w:color w:val="000000"/>
          <w:lang w:val="hu-HU"/>
        </w:rPr>
      </w:pPr>
    </w:p>
    <w:p w14:paraId="3E672E64" w14:textId="77777777" w:rsidR="00153AD1" w:rsidRPr="00556B9B" w:rsidRDefault="00153AD1" w:rsidP="00153AD1">
      <w:pPr>
        <w:rPr>
          <w:color w:val="000000"/>
          <w:lang w:val="hu-HU"/>
        </w:rPr>
      </w:pPr>
      <w:r w:rsidRPr="00556B9B">
        <w:rPr>
          <w:color w:val="000000"/>
          <w:lang w:val="hu-HU"/>
        </w:rPr>
        <w:t xml:space="preserve">211 újonnan diagnosztizált Ph+ </w:t>
      </w:r>
      <w:smartTag w:uri="urn:schemas-microsoft-com:office:smarttags" w:element="stockticker">
        <w:r w:rsidRPr="00556B9B">
          <w:rPr>
            <w:color w:val="000000"/>
            <w:lang w:val="hu-HU"/>
          </w:rPr>
          <w:t>ALL</w:t>
        </w:r>
      </w:smartTag>
      <w:r w:rsidRPr="00556B9B">
        <w:rPr>
          <w:color w:val="000000"/>
          <w:lang w:val="hu-HU"/>
        </w:rPr>
        <w:noBreakHyphen/>
        <w:t xml:space="preserve">es betegből álló mintán végzett négy, nem kontrollált klinikai vizsgálat (AAU02, ADE04, AJP01 és AUS01) eredményei összhangban vannak a fent ismertetett eredményekkel. Az imatinib indukciós kemoterápiával (lásd </w:t>
      </w:r>
      <w:r w:rsidR="00F10EA5" w:rsidRPr="00556B9B">
        <w:rPr>
          <w:color w:val="000000"/>
          <w:lang w:val="hu-HU"/>
        </w:rPr>
        <w:t>4</w:t>
      </w:r>
      <w:r w:rsidRPr="00556B9B">
        <w:rPr>
          <w:color w:val="000000"/>
          <w:lang w:val="hu-HU"/>
        </w:rPr>
        <w:t>. táblázat) kombinációban adva 93%</w:t>
      </w:r>
      <w:r w:rsidRPr="00556B9B">
        <w:rPr>
          <w:color w:val="000000"/>
          <w:lang w:val="hu-HU"/>
        </w:rPr>
        <w:noBreakHyphen/>
        <w:t>os komplett hematológiai válaszarányt (a 158 értékelhető betegből 147) és 90%</w:t>
      </w:r>
      <w:r w:rsidRPr="00556B9B">
        <w:rPr>
          <w:color w:val="000000"/>
          <w:lang w:val="hu-HU"/>
        </w:rPr>
        <w:noBreakHyphen/>
        <w:t>os nagyfokú cytogenetikai válaszarányt (a 21 értékelhető betegből 19) eredményezett. A komplett molekuláris válaszarány 48% volt (a 102 értékelhető betegből 49). Két vizsgálatban (AJP01 és AUS01) a betegségmentes túlélés (</w:t>
      </w:r>
      <w:smartTag w:uri="urn:schemas-microsoft-com:office:smarttags" w:element="stockticker">
        <w:r w:rsidRPr="00556B9B">
          <w:rPr>
            <w:color w:val="000000"/>
            <w:lang w:val="hu-HU"/>
          </w:rPr>
          <w:t>DFS</w:t>
        </w:r>
      </w:smartTag>
      <w:r w:rsidRPr="00556B9B">
        <w:rPr>
          <w:color w:val="000000"/>
          <w:lang w:val="hu-HU"/>
        </w:rPr>
        <w:t>) és a teljes túlélés (OS) folyamatosan meghaladta az 1 évet, és jobb volt a történeti kontrollhoz (</w:t>
      </w:r>
      <w:smartTag w:uri="urn:schemas-microsoft-com:office:smarttags" w:element="stockticker">
        <w:r w:rsidRPr="00556B9B">
          <w:rPr>
            <w:color w:val="000000"/>
            <w:szCs w:val="22"/>
            <w:lang w:val="hu-HU"/>
          </w:rPr>
          <w:t>DFS</w:t>
        </w:r>
      </w:smartTag>
      <w:r w:rsidRPr="00556B9B">
        <w:rPr>
          <w:color w:val="000000"/>
          <w:szCs w:val="22"/>
          <w:lang w:val="hu-HU"/>
        </w:rPr>
        <w:t xml:space="preserve"> p &lt; 0,001; OS p &lt; 0,0001) </w:t>
      </w:r>
      <w:r w:rsidRPr="00556B9B">
        <w:rPr>
          <w:color w:val="000000"/>
          <w:lang w:val="hu-HU"/>
        </w:rPr>
        <w:t>viszonyítva.</w:t>
      </w:r>
    </w:p>
    <w:p w14:paraId="176B80A2" w14:textId="77777777" w:rsidR="00153AD1" w:rsidRPr="00556B9B" w:rsidRDefault="00153AD1" w:rsidP="00153AD1">
      <w:pPr>
        <w:rPr>
          <w:color w:val="000000"/>
          <w:lang w:val="hu-HU"/>
        </w:rPr>
      </w:pPr>
    </w:p>
    <w:p w14:paraId="12327336" w14:textId="77777777" w:rsidR="00153AD1" w:rsidRPr="00556B9B" w:rsidRDefault="00F10EA5" w:rsidP="00F926B9">
      <w:pPr>
        <w:pStyle w:val="EndnoteText"/>
        <w:keepNext/>
        <w:keepLines/>
        <w:widowControl w:val="0"/>
        <w:ind w:left="1134" w:hanging="1134"/>
        <w:rPr>
          <w:b/>
          <w:bCs/>
          <w:color w:val="000000"/>
          <w:szCs w:val="22"/>
          <w:lang w:val="hu-HU"/>
        </w:rPr>
      </w:pPr>
      <w:r w:rsidRPr="00556B9B">
        <w:rPr>
          <w:b/>
          <w:bCs/>
          <w:color w:val="000000"/>
          <w:szCs w:val="22"/>
          <w:lang w:val="hu-HU"/>
        </w:rPr>
        <w:t>4</w:t>
      </w:r>
      <w:r w:rsidR="00153AD1" w:rsidRPr="00556B9B">
        <w:rPr>
          <w:b/>
          <w:bCs/>
          <w:color w:val="000000"/>
          <w:szCs w:val="22"/>
          <w:lang w:val="hu-HU"/>
        </w:rPr>
        <w:t>. táblázat</w:t>
      </w:r>
      <w:r w:rsidR="00153AD1" w:rsidRPr="00556B9B">
        <w:rPr>
          <w:b/>
          <w:bCs/>
          <w:color w:val="000000"/>
          <w:szCs w:val="22"/>
          <w:lang w:val="hu-HU"/>
        </w:rPr>
        <w:tab/>
        <w:t>Kemoterápiás</w:t>
      </w:r>
      <w:r w:rsidR="00153AD1" w:rsidRPr="00556B9B">
        <w:rPr>
          <w:b/>
          <w:color w:val="000000"/>
          <w:szCs w:val="22"/>
          <w:lang w:val="hu-HU"/>
        </w:rPr>
        <w:t xml:space="preserve"> kezelési protokollok, amelyeket az imatinibbel kombinációban alkalmaztak</w:t>
      </w:r>
    </w:p>
    <w:p w14:paraId="347AA679" w14:textId="77777777" w:rsidR="00153AD1" w:rsidRPr="00556B9B" w:rsidRDefault="00153AD1" w:rsidP="00F926B9">
      <w:pPr>
        <w:pStyle w:val="EndnoteText"/>
        <w:keepNext/>
        <w:widowControl w:val="0"/>
        <w:rPr>
          <w:color w:val="000000"/>
          <w:szCs w:val="22"/>
          <w:lang w:val="hu-HU"/>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153AD1" w:rsidRPr="00556B9B" w14:paraId="29920D39" w14:textId="77777777" w:rsidTr="00F926B9">
        <w:trPr>
          <w:cantSplit/>
        </w:trPr>
        <w:tc>
          <w:tcPr>
            <w:tcW w:w="2148" w:type="dxa"/>
            <w:tcBorders>
              <w:top w:val="single" w:sz="4" w:space="0" w:color="auto"/>
              <w:bottom w:val="single" w:sz="4" w:space="0" w:color="auto"/>
            </w:tcBorders>
            <w:shd w:val="clear" w:color="auto" w:fill="auto"/>
          </w:tcPr>
          <w:p w14:paraId="60515136"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b/>
                <w:color w:val="000000"/>
                <w:sz w:val="22"/>
                <w:szCs w:val="22"/>
                <w:lang w:val="hu-HU"/>
              </w:rPr>
              <w:t>ADE10 vizsgálat</w:t>
            </w:r>
          </w:p>
        </w:tc>
        <w:tc>
          <w:tcPr>
            <w:tcW w:w="6732" w:type="dxa"/>
            <w:gridSpan w:val="4"/>
            <w:tcBorders>
              <w:top w:val="single" w:sz="4" w:space="0" w:color="auto"/>
              <w:bottom w:val="single" w:sz="4" w:space="0" w:color="auto"/>
            </w:tcBorders>
            <w:shd w:val="clear" w:color="auto" w:fill="auto"/>
          </w:tcPr>
          <w:p w14:paraId="2AA57BFB"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r>
      <w:tr w:rsidR="00153AD1" w:rsidRPr="00556B9B" w14:paraId="6F710E86" w14:textId="77777777" w:rsidTr="00F926B9">
        <w:trPr>
          <w:cantSplit/>
        </w:trPr>
        <w:tc>
          <w:tcPr>
            <w:tcW w:w="2148" w:type="dxa"/>
            <w:tcBorders>
              <w:top w:val="single" w:sz="4" w:space="0" w:color="auto"/>
              <w:bottom w:val="single" w:sz="4" w:space="0" w:color="auto"/>
            </w:tcBorders>
            <w:shd w:val="clear" w:color="auto" w:fill="auto"/>
          </w:tcPr>
          <w:p w14:paraId="631210A8"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Előfázis</w:t>
            </w:r>
          </w:p>
        </w:tc>
        <w:tc>
          <w:tcPr>
            <w:tcW w:w="6732" w:type="dxa"/>
            <w:gridSpan w:val="4"/>
            <w:tcBorders>
              <w:top w:val="single" w:sz="4" w:space="0" w:color="auto"/>
              <w:bottom w:val="single" w:sz="4" w:space="0" w:color="auto"/>
            </w:tcBorders>
            <w:shd w:val="clear" w:color="auto" w:fill="auto"/>
          </w:tcPr>
          <w:p w14:paraId="4715EBC6"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p w14:paraId="2F02F69A"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200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 3., 4., 5. napon;</w:t>
            </w:r>
          </w:p>
          <w:p w14:paraId="1FBB4C76"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MTX 12 mg intrathecalis alkalmazás az 1. napon</w:t>
            </w:r>
          </w:p>
        </w:tc>
      </w:tr>
      <w:tr w:rsidR="00153AD1" w:rsidRPr="00462020" w14:paraId="06B89FD5" w14:textId="77777777" w:rsidTr="00F926B9">
        <w:trPr>
          <w:cantSplit/>
        </w:trPr>
        <w:tc>
          <w:tcPr>
            <w:tcW w:w="2148" w:type="dxa"/>
            <w:tcBorders>
              <w:top w:val="single" w:sz="4" w:space="0" w:color="auto"/>
              <w:bottom w:val="single" w:sz="4" w:space="0" w:color="auto"/>
            </w:tcBorders>
            <w:shd w:val="clear" w:color="auto" w:fill="auto"/>
          </w:tcPr>
          <w:p w14:paraId="5F472BB4"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Remisszió indukció</w:t>
            </w:r>
          </w:p>
        </w:tc>
        <w:tc>
          <w:tcPr>
            <w:tcW w:w="6732" w:type="dxa"/>
            <w:gridSpan w:val="4"/>
            <w:tcBorders>
              <w:top w:val="single" w:sz="4" w:space="0" w:color="auto"/>
              <w:bottom w:val="single" w:sz="4" w:space="0" w:color="auto"/>
            </w:tcBorders>
            <w:shd w:val="clear" w:color="auto" w:fill="auto"/>
          </w:tcPr>
          <w:p w14:paraId="48649080"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 6</w:t>
            </w:r>
            <w:r w:rsidRPr="00556B9B">
              <w:rPr>
                <w:rFonts w:ascii="Times New Roman" w:hAnsi="Times New Roman"/>
                <w:color w:val="000000"/>
                <w:sz w:val="22"/>
                <w:szCs w:val="22"/>
                <w:lang w:val="hu-HU"/>
              </w:rPr>
              <w:noBreakHyphen/>
              <w:t>7. és 13</w:t>
            </w:r>
            <w:r w:rsidRPr="00556B9B">
              <w:rPr>
                <w:rFonts w:ascii="Times New Roman" w:hAnsi="Times New Roman"/>
                <w:color w:val="000000"/>
                <w:sz w:val="22"/>
                <w:szCs w:val="22"/>
                <w:lang w:val="hu-HU"/>
              </w:rPr>
              <w:noBreakHyphen/>
              <w:t>16. napon,;</w:t>
            </w:r>
          </w:p>
          <w:p w14:paraId="55085EDB"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VCR 1 mg i.v. a 7. és 14. napon;</w:t>
            </w:r>
          </w:p>
          <w:p w14:paraId="3D2BE807" w14:textId="77777777" w:rsidR="00153AD1" w:rsidRPr="00556B9B" w:rsidRDefault="00153AD1" w:rsidP="00F926B9">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IDA</w:t>
              </w:r>
            </w:smartTag>
            <w:r w:rsidRPr="00556B9B">
              <w:rPr>
                <w:rFonts w:ascii="Times New Roman" w:hAnsi="Times New Roman"/>
                <w:color w:val="000000"/>
                <w:sz w:val="22"/>
                <w:szCs w:val="22"/>
                <w:lang w:val="hu-HU"/>
              </w:rPr>
              <w:t xml:space="preserve"> 8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(0,5 órás), a 7., 8., 14. és 15. napon;</w:t>
            </w:r>
          </w:p>
          <w:p w14:paraId="587120AB"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500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az 1. napon;</w:t>
            </w:r>
          </w:p>
          <w:p w14:paraId="06FF2EF2"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 22</w:t>
            </w:r>
            <w:r w:rsidRPr="00556B9B">
              <w:rPr>
                <w:rFonts w:ascii="Times New Roman" w:hAnsi="Times New Roman"/>
                <w:color w:val="000000"/>
                <w:sz w:val="22"/>
                <w:szCs w:val="22"/>
                <w:lang w:val="hu-HU"/>
              </w:rPr>
              <w:noBreakHyphen/>
              <w:t>25. és 29</w:t>
            </w:r>
            <w:r w:rsidRPr="00556B9B">
              <w:rPr>
                <w:rFonts w:ascii="Times New Roman" w:hAnsi="Times New Roman"/>
                <w:color w:val="000000"/>
                <w:sz w:val="22"/>
                <w:szCs w:val="22"/>
                <w:lang w:val="hu-HU"/>
              </w:rPr>
              <w:noBreakHyphen/>
              <w:t>32. napon</w:t>
            </w:r>
          </w:p>
        </w:tc>
      </w:tr>
      <w:tr w:rsidR="00153AD1" w:rsidRPr="00556B9B" w14:paraId="79A4D38C" w14:textId="77777777" w:rsidTr="00F926B9">
        <w:trPr>
          <w:cantSplit/>
        </w:trPr>
        <w:tc>
          <w:tcPr>
            <w:tcW w:w="2148" w:type="dxa"/>
            <w:tcBorders>
              <w:top w:val="single" w:sz="4" w:space="0" w:color="auto"/>
              <w:bottom w:val="single" w:sz="4" w:space="0" w:color="auto"/>
            </w:tcBorders>
            <w:shd w:val="clear" w:color="auto" w:fill="auto"/>
          </w:tcPr>
          <w:p w14:paraId="73D85E68"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 xml:space="preserve">Konszolidációs terápia I, </w:t>
            </w:r>
            <w:smartTag w:uri="urn:schemas-microsoft-com:office:smarttags" w:element="stockticker">
              <w:r w:rsidRPr="00556B9B">
                <w:rPr>
                  <w:rFonts w:ascii="Times New Roman" w:hAnsi="Times New Roman"/>
                  <w:color w:val="000000"/>
                  <w:sz w:val="22"/>
                  <w:szCs w:val="22"/>
                  <w:lang w:val="hu-HU"/>
                </w:rPr>
                <w:t>III</w:t>
              </w:r>
            </w:smartTag>
            <w:r w:rsidRPr="00556B9B">
              <w:rPr>
                <w:rFonts w:ascii="Times New Roman" w:hAnsi="Times New Roman"/>
                <w:color w:val="000000"/>
                <w:sz w:val="22"/>
                <w:szCs w:val="22"/>
                <w:lang w:val="hu-HU"/>
              </w:rPr>
              <w:t>, V</w:t>
            </w:r>
          </w:p>
        </w:tc>
        <w:tc>
          <w:tcPr>
            <w:tcW w:w="6732" w:type="dxa"/>
            <w:gridSpan w:val="4"/>
            <w:tcBorders>
              <w:top w:val="single" w:sz="4" w:space="0" w:color="auto"/>
              <w:bottom w:val="single" w:sz="4" w:space="0" w:color="auto"/>
            </w:tcBorders>
            <w:shd w:val="clear" w:color="auto" w:fill="auto"/>
          </w:tcPr>
          <w:p w14:paraId="4EAAA62E" w14:textId="77777777" w:rsidR="00153AD1" w:rsidRPr="00556B9B" w:rsidRDefault="00153AD1" w:rsidP="00F926B9">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500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az 1. és 15. napon;</w:t>
            </w:r>
          </w:p>
          <w:p w14:paraId="03B609DB"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6-MP 25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20. napon</w:t>
            </w:r>
          </w:p>
        </w:tc>
      </w:tr>
      <w:tr w:rsidR="00153AD1" w:rsidRPr="00462020" w14:paraId="12D820CD" w14:textId="77777777" w:rsidTr="00F926B9">
        <w:trPr>
          <w:cantSplit/>
        </w:trPr>
        <w:tc>
          <w:tcPr>
            <w:tcW w:w="2148" w:type="dxa"/>
            <w:tcBorders>
              <w:top w:val="single" w:sz="4" w:space="0" w:color="auto"/>
              <w:bottom w:val="single" w:sz="4" w:space="0" w:color="auto"/>
            </w:tcBorders>
            <w:shd w:val="clear" w:color="auto" w:fill="auto"/>
          </w:tcPr>
          <w:p w14:paraId="43549C84"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Konszolidációs terápia II, IV</w:t>
            </w:r>
          </w:p>
        </w:tc>
        <w:tc>
          <w:tcPr>
            <w:tcW w:w="6732" w:type="dxa"/>
            <w:gridSpan w:val="4"/>
            <w:tcBorders>
              <w:top w:val="single" w:sz="4" w:space="0" w:color="auto"/>
              <w:bottom w:val="single" w:sz="4" w:space="0" w:color="auto"/>
            </w:tcBorders>
            <w:shd w:val="clear" w:color="auto" w:fill="auto"/>
          </w:tcPr>
          <w:p w14:paraId="20055B22"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75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az 1</w:t>
            </w:r>
            <w:r w:rsidRPr="00556B9B">
              <w:rPr>
                <w:rFonts w:ascii="Times New Roman" w:hAnsi="Times New Roman"/>
                <w:color w:val="000000"/>
                <w:sz w:val="22"/>
                <w:szCs w:val="22"/>
                <w:lang w:val="hu-HU"/>
              </w:rPr>
              <w:noBreakHyphen/>
              <w:t>5. napon;</w:t>
            </w:r>
          </w:p>
          <w:p w14:paraId="0885DF67"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VM26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az 1</w:t>
            </w:r>
            <w:r w:rsidRPr="00556B9B">
              <w:rPr>
                <w:rFonts w:ascii="Times New Roman" w:hAnsi="Times New Roman"/>
                <w:color w:val="000000"/>
                <w:sz w:val="22"/>
                <w:szCs w:val="22"/>
                <w:lang w:val="hu-HU"/>
              </w:rPr>
              <w:noBreakHyphen/>
              <w:t>5. napon</w:t>
            </w:r>
          </w:p>
        </w:tc>
      </w:tr>
      <w:tr w:rsidR="00153AD1" w:rsidRPr="00556B9B" w14:paraId="1C2EC11C" w14:textId="77777777" w:rsidTr="00F926B9">
        <w:trPr>
          <w:cantSplit/>
        </w:trPr>
        <w:tc>
          <w:tcPr>
            <w:tcW w:w="2148" w:type="dxa"/>
            <w:tcBorders>
              <w:top w:val="single" w:sz="4" w:space="0" w:color="auto"/>
              <w:bottom w:val="single" w:sz="4" w:space="0" w:color="auto"/>
            </w:tcBorders>
            <w:shd w:val="clear" w:color="auto" w:fill="auto"/>
          </w:tcPr>
          <w:p w14:paraId="086F1CA9" w14:textId="77777777" w:rsidR="00153AD1" w:rsidRPr="00556B9B" w:rsidRDefault="00153AD1" w:rsidP="00F926B9">
            <w:pPr>
              <w:pStyle w:val="Table"/>
              <w:keepLines w:val="0"/>
              <w:widowControl w:val="0"/>
              <w:rPr>
                <w:rFonts w:ascii="Times New Roman" w:hAnsi="Times New Roman"/>
                <w:b/>
                <w:color w:val="000000"/>
                <w:sz w:val="22"/>
                <w:szCs w:val="22"/>
                <w:lang w:val="hu-HU"/>
              </w:rPr>
            </w:pPr>
            <w:r w:rsidRPr="00556B9B">
              <w:rPr>
                <w:rFonts w:ascii="Times New Roman" w:hAnsi="Times New Roman"/>
                <w:b/>
                <w:color w:val="000000"/>
                <w:sz w:val="22"/>
                <w:szCs w:val="22"/>
                <w:lang w:val="hu-HU"/>
              </w:rPr>
              <w:lastRenderedPageBreak/>
              <w:t>AAU02 vizsgálat</w:t>
            </w:r>
          </w:p>
        </w:tc>
        <w:tc>
          <w:tcPr>
            <w:tcW w:w="2652" w:type="dxa"/>
            <w:tcBorders>
              <w:top w:val="single" w:sz="4" w:space="0" w:color="auto"/>
              <w:bottom w:val="single" w:sz="4" w:space="0" w:color="auto"/>
            </w:tcBorders>
            <w:shd w:val="clear" w:color="auto" w:fill="auto"/>
          </w:tcPr>
          <w:p w14:paraId="29AB3E1C"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080" w:type="dxa"/>
            <w:tcBorders>
              <w:top w:val="single" w:sz="4" w:space="0" w:color="auto"/>
              <w:bottom w:val="single" w:sz="4" w:space="0" w:color="auto"/>
            </w:tcBorders>
          </w:tcPr>
          <w:p w14:paraId="297A9349"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380" w:type="dxa"/>
            <w:tcBorders>
              <w:top w:val="single" w:sz="4" w:space="0" w:color="auto"/>
              <w:bottom w:val="single" w:sz="4" w:space="0" w:color="auto"/>
            </w:tcBorders>
          </w:tcPr>
          <w:p w14:paraId="5E712C90"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620" w:type="dxa"/>
            <w:tcBorders>
              <w:top w:val="single" w:sz="4" w:space="0" w:color="auto"/>
              <w:bottom w:val="single" w:sz="4" w:space="0" w:color="auto"/>
            </w:tcBorders>
          </w:tcPr>
          <w:p w14:paraId="36C7705F"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r>
      <w:tr w:rsidR="00153AD1" w:rsidRPr="00462020" w14:paraId="3BFEB558" w14:textId="77777777" w:rsidTr="00F926B9">
        <w:trPr>
          <w:cantSplit/>
        </w:trPr>
        <w:tc>
          <w:tcPr>
            <w:tcW w:w="2148" w:type="dxa"/>
            <w:tcBorders>
              <w:top w:val="single" w:sz="4" w:space="0" w:color="auto"/>
              <w:bottom w:val="single" w:sz="4" w:space="0" w:color="auto"/>
            </w:tcBorders>
            <w:shd w:val="clear" w:color="auto" w:fill="auto"/>
          </w:tcPr>
          <w:p w14:paraId="48B3056B"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Indukciós terápia (</w:t>
            </w:r>
            <w:r w:rsidRPr="00556B9B">
              <w:rPr>
                <w:rFonts w:ascii="Times New Roman" w:hAnsi="Times New Roman"/>
                <w:i/>
                <w:color w:val="000000"/>
                <w:sz w:val="22"/>
                <w:szCs w:val="22"/>
                <w:lang w:val="hu-HU"/>
              </w:rPr>
              <w:t>de novo</w:t>
            </w:r>
            <w:r w:rsidRPr="00556B9B">
              <w:rPr>
                <w:rFonts w:ascii="Times New Roman" w:hAnsi="Times New Roman"/>
                <w:color w:val="000000"/>
                <w:sz w:val="22"/>
                <w:szCs w:val="22"/>
                <w:lang w:val="hu-HU"/>
              </w:rPr>
              <w:t xml:space="preserve"> Ph+ </w:t>
            </w:r>
            <w:smartTag w:uri="urn:schemas-microsoft-com:office:smarttags" w:element="stockticker">
              <w:r w:rsidRPr="00556B9B">
                <w:rPr>
                  <w:rFonts w:ascii="Times New Roman" w:hAnsi="Times New Roman"/>
                  <w:color w:val="000000"/>
                  <w:sz w:val="22"/>
                  <w:szCs w:val="22"/>
                  <w:lang w:val="hu-HU"/>
                </w:rPr>
                <w:t>ALL</w:t>
              </w:r>
            </w:smartTag>
            <w:r w:rsidRPr="00556B9B">
              <w:rPr>
                <w:rFonts w:ascii="Times New Roman" w:hAnsi="Times New Roman"/>
                <w:color w:val="000000"/>
                <w:sz w:val="22"/>
                <w:szCs w:val="22"/>
                <w:lang w:val="hu-HU"/>
              </w:rPr>
              <w:t>)</w:t>
            </w:r>
          </w:p>
        </w:tc>
        <w:tc>
          <w:tcPr>
            <w:tcW w:w="6732" w:type="dxa"/>
            <w:gridSpan w:val="4"/>
            <w:tcBorders>
              <w:top w:val="single" w:sz="4" w:space="0" w:color="auto"/>
              <w:bottom w:val="single" w:sz="4" w:space="0" w:color="auto"/>
            </w:tcBorders>
            <w:shd w:val="clear" w:color="auto" w:fill="auto"/>
          </w:tcPr>
          <w:p w14:paraId="16E3C732"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Daunorubicin 30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az 1</w:t>
            </w:r>
            <w:r w:rsidRPr="00556B9B">
              <w:rPr>
                <w:rFonts w:ascii="Times New Roman" w:hAnsi="Times New Roman"/>
                <w:color w:val="000000"/>
                <w:sz w:val="22"/>
                <w:szCs w:val="22"/>
                <w:lang w:val="hu-HU"/>
              </w:rPr>
              <w:noBreakHyphen/>
              <w:t>3. és 15</w:t>
            </w:r>
            <w:r w:rsidRPr="00556B9B">
              <w:rPr>
                <w:rFonts w:ascii="Times New Roman" w:hAnsi="Times New Roman"/>
                <w:color w:val="000000"/>
                <w:sz w:val="22"/>
                <w:szCs w:val="22"/>
                <w:lang w:val="hu-HU"/>
              </w:rPr>
              <w:noBreakHyphen/>
              <w:t>16. napon;</w:t>
            </w:r>
          </w:p>
          <w:p w14:paraId="3B5D7D2A" w14:textId="77777777" w:rsidR="00153AD1" w:rsidRPr="00556B9B" w:rsidRDefault="00153AD1" w:rsidP="00F926B9">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VCR</w:t>
              </w:r>
            </w:smartTag>
            <w:r w:rsidRPr="00556B9B">
              <w:rPr>
                <w:rFonts w:ascii="Times New Roman" w:hAnsi="Times New Roman"/>
                <w:color w:val="000000"/>
                <w:sz w:val="22"/>
                <w:szCs w:val="22"/>
                <w:lang w:val="hu-HU"/>
              </w:rPr>
              <w:t xml:space="preserve"> 2 mg teljes adag i.v. az 1., 8., 15. és 22. napon;</w:t>
            </w:r>
          </w:p>
          <w:p w14:paraId="0C979059"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750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az 1. és 8. napon;</w:t>
            </w:r>
          </w:p>
          <w:p w14:paraId="2D8962E0"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Prednizon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7. és 15</w:t>
            </w:r>
            <w:r w:rsidRPr="00556B9B">
              <w:rPr>
                <w:rFonts w:ascii="Times New Roman" w:hAnsi="Times New Roman"/>
                <w:color w:val="000000"/>
                <w:sz w:val="22"/>
                <w:szCs w:val="22"/>
                <w:lang w:val="hu-HU"/>
              </w:rPr>
              <w:noBreakHyphen/>
              <w:t>21. napon;</w:t>
            </w:r>
          </w:p>
          <w:p w14:paraId="0AA2FC3A" w14:textId="77777777" w:rsidR="00153AD1" w:rsidRPr="00556B9B" w:rsidRDefault="00153AD1" w:rsidP="00F926B9">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IDA</w:t>
              </w:r>
            </w:smartTag>
            <w:r w:rsidRPr="00556B9B">
              <w:rPr>
                <w:rFonts w:ascii="Times New Roman" w:hAnsi="Times New Roman"/>
                <w:color w:val="000000"/>
                <w:sz w:val="22"/>
                <w:szCs w:val="22"/>
                <w:lang w:val="hu-HU"/>
              </w:rPr>
              <w:t xml:space="preserve"> 9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28. napon;</w:t>
            </w:r>
          </w:p>
          <w:p w14:paraId="29B2F02C" w14:textId="77777777" w:rsidR="00153AD1" w:rsidRPr="00556B9B" w:rsidRDefault="00153AD1" w:rsidP="00F926B9">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15 mg intrathecalis alkalmazás az 1., 8., 15. és 22. napon;</w:t>
            </w:r>
          </w:p>
          <w:p w14:paraId="50B49D2D"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40 mg intrathecalis alkalmazás az 1., 8., 15. és 22. napon; Metilprednizolon 40 mg intrathecalis alkalmazás az 1., 8., 15. és 22. napon</w:t>
            </w:r>
          </w:p>
        </w:tc>
      </w:tr>
      <w:tr w:rsidR="00153AD1" w:rsidRPr="00556B9B" w14:paraId="3F1ED4AA" w14:textId="77777777" w:rsidTr="00F926B9">
        <w:trPr>
          <w:cantSplit/>
        </w:trPr>
        <w:tc>
          <w:tcPr>
            <w:tcW w:w="2148" w:type="dxa"/>
            <w:tcBorders>
              <w:top w:val="single" w:sz="4" w:space="0" w:color="auto"/>
              <w:bottom w:val="single" w:sz="4" w:space="0" w:color="auto"/>
            </w:tcBorders>
            <w:shd w:val="clear" w:color="auto" w:fill="auto"/>
          </w:tcPr>
          <w:p w14:paraId="357FBD52"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Konszolidációs terápia (</w:t>
            </w:r>
            <w:r w:rsidRPr="00556B9B">
              <w:rPr>
                <w:rFonts w:ascii="Times New Roman" w:hAnsi="Times New Roman"/>
                <w:i/>
                <w:color w:val="000000"/>
                <w:sz w:val="22"/>
                <w:szCs w:val="22"/>
                <w:lang w:val="hu-HU"/>
              </w:rPr>
              <w:t>de novo</w:t>
            </w:r>
            <w:r w:rsidRPr="00556B9B">
              <w:rPr>
                <w:rFonts w:ascii="Times New Roman" w:hAnsi="Times New Roman"/>
                <w:color w:val="000000"/>
                <w:sz w:val="22"/>
                <w:szCs w:val="22"/>
                <w:lang w:val="hu-HU"/>
              </w:rPr>
              <w:t xml:space="preserve"> Ph+ </w:t>
            </w:r>
            <w:smartTag w:uri="urn:schemas-microsoft-com:office:smarttags" w:element="stockticker">
              <w:r w:rsidRPr="00556B9B">
                <w:rPr>
                  <w:rFonts w:ascii="Times New Roman" w:hAnsi="Times New Roman"/>
                  <w:color w:val="000000"/>
                  <w:sz w:val="22"/>
                  <w:szCs w:val="22"/>
                  <w:lang w:val="hu-HU"/>
                </w:rPr>
                <w:t>ALL</w:t>
              </w:r>
            </w:smartTag>
            <w:r w:rsidRPr="00556B9B">
              <w:rPr>
                <w:rFonts w:ascii="Times New Roman" w:hAnsi="Times New Roman"/>
                <w:color w:val="000000"/>
                <w:sz w:val="22"/>
                <w:szCs w:val="22"/>
                <w:lang w:val="hu-HU"/>
              </w:rPr>
              <w:t>)</w:t>
            </w:r>
          </w:p>
        </w:tc>
        <w:tc>
          <w:tcPr>
            <w:tcW w:w="6732" w:type="dxa"/>
            <w:gridSpan w:val="4"/>
            <w:tcBorders>
              <w:top w:val="single" w:sz="4" w:space="0" w:color="auto"/>
              <w:bottom w:val="single" w:sz="4" w:space="0" w:color="auto"/>
            </w:tcBorders>
            <w:shd w:val="clear" w:color="auto" w:fill="auto"/>
          </w:tcPr>
          <w:p w14:paraId="008ED027"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1000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/12 óra i.v.(3 órás) az 1</w:t>
            </w:r>
            <w:r w:rsidRPr="00556B9B">
              <w:rPr>
                <w:rFonts w:ascii="Times New Roman" w:hAnsi="Times New Roman"/>
                <w:color w:val="000000"/>
                <w:sz w:val="22"/>
                <w:szCs w:val="22"/>
                <w:lang w:val="hu-HU"/>
              </w:rPr>
              <w:noBreakHyphen/>
              <w:t>4. napon;</w:t>
            </w:r>
          </w:p>
          <w:p w14:paraId="01D42816"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Mitoxantron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i.v.a 3</w:t>
            </w:r>
            <w:r w:rsidRPr="00556B9B">
              <w:rPr>
                <w:rFonts w:ascii="Times New Roman" w:hAnsi="Times New Roman"/>
                <w:color w:val="000000"/>
                <w:sz w:val="22"/>
                <w:szCs w:val="22"/>
                <w:lang w:val="hu-HU"/>
              </w:rPr>
              <w:noBreakHyphen/>
              <w:t>5. napon;</w:t>
            </w:r>
          </w:p>
          <w:p w14:paraId="43128525"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15 mg intrathecalis alkalmazás az 1. napon;</w:t>
            </w:r>
          </w:p>
          <w:p w14:paraId="388AC7C6"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Metilprednizolon 40 mg intrathecalis alkalmazás az 1. napon</w:t>
            </w:r>
          </w:p>
        </w:tc>
      </w:tr>
      <w:tr w:rsidR="00153AD1" w:rsidRPr="00556B9B" w14:paraId="0DDF7E86" w14:textId="77777777" w:rsidTr="00F926B9">
        <w:trPr>
          <w:cantSplit/>
        </w:trPr>
        <w:tc>
          <w:tcPr>
            <w:tcW w:w="4800" w:type="dxa"/>
            <w:gridSpan w:val="2"/>
            <w:tcBorders>
              <w:top w:val="single" w:sz="4" w:space="0" w:color="auto"/>
              <w:bottom w:val="single" w:sz="4" w:space="0" w:color="auto"/>
            </w:tcBorders>
            <w:shd w:val="clear" w:color="auto" w:fill="auto"/>
          </w:tcPr>
          <w:p w14:paraId="1CD16084" w14:textId="77777777" w:rsidR="00153AD1" w:rsidRPr="00556B9B" w:rsidRDefault="00153AD1" w:rsidP="00F926B9">
            <w:pPr>
              <w:pStyle w:val="Table"/>
              <w:keepLines w:val="0"/>
              <w:widowControl w:val="0"/>
              <w:rPr>
                <w:rFonts w:ascii="Times New Roman" w:hAnsi="Times New Roman"/>
                <w:b/>
                <w:color w:val="000000"/>
                <w:sz w:val="22"/>
                <w:szCs w:val="22"/>
                <w:lang w:val="hu-HU"/>
              </w:rPr>
            </w:pPr>
            <w:r w:rsidRPr="00556B9B">
              <w:rPr>
                <w:rFonts w:ascii="Times New Roman" w:hAnsi="Times New Roman"/>
                <w:b/>
                <w:color w:val="000000"/>
                <w:sz w:val="22"/>
                <w:szCs w:val="22"/>
                <w:lang w:val="hu-HU"/>
              </w:rPr>
              <w:t>ADE04 vizsgálat</w:t>
            </w:r>
          </w:p>
        </w:tc>
        <w:tc>
          <w:tcPr>
            <w:tcW w:w="1080" w:type="dxa"/>
            <w:tcBorders>
              <w:top w:val="single" w:sz="4" w:space="0" w:color="auto"/>
              <w:bottom w:val="single" w:sz="4" w:space="0" w:color="auto"/>
            </w:tcBorders>
          </w:tcPr>
          <w:p w14:paraId="27706ADE"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380" w:type="dxa"/>
            <w:tcBorders>
              <w:top w:val="single" w:sz="4" w:space="0" w:color="auto"/>
              <w:bottom w:val="single" w:sz="4" w:space="0" w:color="auto"/>
            </w:tcBorders>
          </w:tcPr>
          <w:p w14:paraId="1EC081FE"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620" w:type="dxa"/>
            <w:tcBorders>
              <w:top w:val="single" w:sz="4" w:space="0" w:color="auto"/>
              <w:bottom w:val="single" w:sz="4" w:space="0" w:color="auto"/>
            </w:tcBorders>
          </w:tcPr>
          <w:p w14:paraId="5A47C1B7"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r>
      <w:tr w:rsidR="00153AD1" w:rsidRPr="00556B9B" w14:paraId="3ED7FEF6" w14:textId="77777777" w:rsidTr="00F926B9">
        <w:trPr>
          <w:cantSplit/>
        </w:trPr>
        <w:tc>
          <w:tcPr>
            <w:tcW w:w="2148" w:type="dxa"/>
            <w:tcBorders>
              <w:top w:val="single" w:sz="4" w:space="0" w:color="auto"/>
              <w:bottom w:val="single" w:sz="4" w:space="0" w:color="auto"/>
            </w:tcBorders>
            <w:shd w:val="clear" w:color="auto" w:fill="auto"/>
          </w:tcPr>
          <w:p w14:paraId="52058384"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Előfázis</w:t>
            </w:r>
          </w:p>
        </w:tc>
        <w:tc>
          <w:tcPr>
            <w:tcW w:w="6732" w:type="dxa"/>
            <w:gridSpan w:val="4"/>
            <w:tcBorders>
              <w:top w:val="single" w:sz="4" w:space="0" w:color="auto"/>
              <w:bottom w:val="single" w:sz="4" w:space="0" w:color="auto"/>
            </w:tcBorders>
            <w:shd w:val="clear" w:color="auto" w:fill="auto"/>
          </w:tcPr>
          <w:p w14:paraId="38933891"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p w14:paraId="02EDF5CF"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200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 3</w:t>
            </w:r>
            <w:r w:rsidRPr="00556B9B">
              <w:rPr>
                <w:rFonts w:ascii="Times New Roman" w:hAnsi="Times New Roman"/>
                <w:color w:val="000000"/>
                <w:sz w:val="22"/>
                <w:szCs w:val="22"/>
                <w:lang w:val="hu-HU"/>
              </w:rPr>
              <w:noBreakHyphen/>
              <w:t>5. napon;</w:t>
            </w:r>
          </w:p>
          <w:p w14:paraId="7DFBC596" w14:textId="77777777" w:rsidR="00153AD1" w:rsidRPr="00556B9B" w:rsidRDefault="00153AD1" w:rsidP="00F926B9">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15 mg intrathecalis alkalmazás az 1. napon</w:t>
            </w:r>
          </w:p>
        </w:tc>
      </w:tr>
      <w:tr w:rsidR="00153AD1" w:rsidRPr="00462020" w14:paraId="14782CC4" w14:textId="77777777" w:rsidTr="00F926B9">
        <w:trPr>
          <w:cantSplit/>
        </w:trPr>
        <w:tc>
          <w:tcPr>
            <w:tcW w:w="2148" w:type="dxa"/>
            <w:tcBorders>
              <w:top w:val="single" w:sz="4" w:space="0" w:color="auto"/>
              <w:bottom w:val="single" w:sz="4" w:space="0" w:color="auto"/>
            </w:tcBorders>
            <w:shd w:val="clear" w:color="auto" w:fill="auto"/>
          </w:tcPr>
          <w:p w14:paraId="7F5CEA52"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Indukciós terápia I</w:t>
            </w:r>
          </w:p>
        </w:tc>
        <w:tc>
          <w:tcPr>
            <w:tcW w:w="6732" w:type="dxa"/>
            <w:gridSpan w:val="4"/>
            <w:tcBorders>
              <w:top w:val="single" w:sz="4" w:space="0" w:color="auto"/>
              <w:bottom w:val="single" w:sz="4" w:space="0" w:color="auto"/>
            </w:tcBorders>
            <w:shd w:val="clear" w:color="auto" w:fill="auto"/>
          </w:tcPr>
          <w:p w14:paraId="2A964C84"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p w14:paraId="63024030" w14:textId="77777777" w:rsidR="00153AD1" w:rsidRPr="00556B9B" w:rsidRDefault="00153AD1" w:rsidP="00F926B9">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VCR</w:t>
              </w:r>
            </w:smartTag>
            <w:r w:rsidRPr="00556B9B">
              <w:rPr>
                <w:rFonts w:ascii="Times New Roman" w:hAnsi="Times New Roman"/>
                <w:color w:val="000000"/>
                <w:sz w:val="22"/>
                <w:szCs w:val="22"/>
                <w:lang w:val="hu-HU"/>
              </w:rPr>
              <w:t xml:space="preserve"> 2 mg i.v. a 6., 13. és 20. napon;</w:t>
            </w:r>
          </w:p>
          <w:p w14:paraId="68656247"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Daunorubicin 45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 6</w:t>
            </w:r>
            <w:r w:rsidRPr="00556B9B">
              <w:rPr>
                <w:rFonts w:ascii="Times New Roman" w:hAnsi="Times New Roman"/>
                <w:color w:val="000000"/>
                <w:sz w:val="22"/>
                <w:szCs w:val="22"/>
                <w:lang w:val="hu-HU"/>
              </w:rPr>
              <w:noBreakHyphen/>
              <w:t>7. és 13</w:t>
            </w:r>
            <w:r w:rsidRPr="00556B9B">
              <w:rPr>
                <w:rFonts w:ascii="Times New Roman" w:hAnsi="Times New Roman"/>
                <w:color w:val="000000"/>
                <w:sz w:val="22"/>
                <w:szCs w:val="22"/>
                <w:lang w:val="hu-HU"/>
              </w:rPr>
              <w:noBreakHyphen/>
              <w:t>14. napon</w:t>
            </w:r>
          </w:p>
        </w:tc>
      </w:tr>
      <w:tr w:rsidR="00153AD1" w:rsidRPr="00556B9B" w14:paraId="74A68198" w14:textId="77777777" w:rsidTr="00F926B9">
        <w:trPr>
          <w:cantSplit/>
        </w:trPr>
        <w:tc>
          <w:tcPr>
            <w:tcW w:w="2148" w:type="dxa"/>
            <w:tcBorders>
              <w:top w:val="single" w:sz="4" w:space="0" w:color="auto"/>
              <w:bottom w:val="single" w:sz="4" w:space="0" w:color="auto"/>
            </w:tcBorders>
            <w:shd w:val="clear" w:color="auto" w:fill="auto"/>
          </w:tcPr>
          <w:p w14:paraId="615A0F0D"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Indukciós terápia II</w:t>
            </w:r>
          </w:p>
        </w:tc>
        <w:tc>
          <w:tcPr>
            <w:tcW w:w="6732" w:type="dxa"/>
            <w:gridSpan w:val="4"/>
            <w:tcBorders>
              <w:top w:val="single" w:sz="4" w:space="0" w:color="auto"/>
              <w:bottom w:val="single" w:sz="4" w:space="0" w:color="auto"/>
            </w:tcBorders>
            <w:shd w:val="clear" w:color="auto" w:fill="auto"/>
          </w:tcPr>
          <w:p w14:paraId="57005A3C"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1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 26. és 46. napon;</w:t>
            </w:r>
          </w:p>
          <w:p w14:paraId="43929AF2"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75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 28</w:t>
            </w:r>
            <w:r w:rsidRPr="00556B9B">
              <w:rPr>
                <w:rFonts w:ascii="Times New Roman" w:hAnsi="Times New Roman"/>
                <w:color w:val="000000"/>
                <w:sz w:val="22"/>
                <w:szCs w:val="22"/>
                <w:lang w:val="hu-HU"/>
              </w:rPr>
              <w:noBreakHyphen/>
              <w:t>31., 35</w:t>
            </w:r>
            <w:r w:rsidRPr="00556B9B">
              <w:rPr>
                <w:rFonts w:ascii="Times New Roman" w:hAnsi="Times New Roman"/>
                <w:color w:val="000000"/>
                <w:sz w:val="22"/>
                <w:szCs w:val="22"/>
                <w:lang w:val="hu-HU"/>
              </w:rPr>
              <w:noBreakHyphen/>
              <w:t>38. és 42</w:t>
            </w:r>
            <w:r w:rsidRPr="00556B9B">
              <w:rPr>
                <w:rFonts w:ascii="Times New Roman" w:hAnsi="Times New Roman"/>
                <w:color w:val="000000"/>
                <w:sz w:val="22"/>
                <w:szCs w:val="22"/>
                <w:lang w:val="hu-HU"/>
              </w:rPr>
              <w:noBreakHyphen/>
              <w:t>45. napon;</w:t>
            </w:r>
          </w:p>
          <w:p w14:paraId="6A4F0603"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6-MP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 26</w:t>
            </w:r>
            <w:r w:rsidRPr="00556B9B">
              <w:rPr>
                <w:rFonts w:ascii="Times New Roman" w:hAnsi="Times New Roman"/>
                <w:color w:val="000000"/>
                <w:sz w:val="22"/>
                <w:szCs w:val="22"/>
                <w:lang w:val="hu-HU"/>
              </w:rPr>
              <w:noBreakHyphen/>
              <w:t>46. napon</w:t>
            </w:r>
          </w:p>
        </w:tc>
      </w:tr>
      <w:tr w:rsidR="00153AD1" w:rsidRPr="00462020" w14:paraId="416115FE" w14:textId="77777777" w:rsidTr="00F926B9">
        <w:trPr>
          <w:cantSplit/>
        </w:trPr>
        <w:tc>
          <w:tcPr>
            <w:tcW w:w="2148" w:type="dxa"/>
            <w:tcBorders>
              <w:top w:val="nil"/>
              <w:bottom w:val="single" w:sz="4" w:space="0" w:color="auto"/>
            </w:tcBorders>
            <w:shd w:val="clear" w:color="auto" w:fill="auto"/>
          </w:tcPr>
          <w:p w14:paraId="32C6A2A0"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Konszolidációs terápia</w:t>
            </w:r>
          </w:p>
        </w:tc>
        <w:tc>
          <w:tcPr>
            <w:tcW w:w="6732" w:type="dxa"/>
            <w:gridSpan w:val="4"/>
            <w:tcBorders>
              <w:top w:val="nil"/>
              <w:bottom w:val="single" w:sz="4" w:space="0" w:color="auto"/>
            </w:tcBorders>
            <w:shd w:val="clear" w:color="auto" w:fill="auto"/>
          </w:tcPr>
          <w:p w14:paraId="09599817"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10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p w14:paraId="4D2C542A"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Vindezin 3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az 1. napon;</w:t>
            </w:r>
          </w:p>
          <w:p w14:paraId="38A5B6BC"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1,5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az 1. napon;</w:t>
            </w:r>
          </w:p>
          <w:p w14:paraId="48601E37"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Etopozid 250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 4</w:t>
            </w:r>
            <w:r w:rsidRPr="00556B9B">
              <w:rPr>
                <w:rFonts w:ascii="Times New Roman" w:hAnsi="Times New Roman"/>
                <w:color w:val="000000"/>
                <w:sz w:val="22"/>
                <w:szCs w:val="22"/>
                <w:lang w:val="hu-HU"/>
              </w:rPr>
              <w:noBreakHyphen/>
              <w:t>5. napon;</w:t>
            </w:r>
          </w:p>
          <w:p w14:paraId="2A740E9B"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Ara-C 2x 2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(3 órás, 12 óránként) az 5. napon</w:t>
            </w:r>
          </w:p>
        </w:tc>
      </w:tr>
      <w:tr w:rsidR="00153AD1" w:rsidRPr="00556B9B" w14:paraId="597F1C68" w14:textId="77777777" w:rsidTr="00F926B9">
        <w:trPr>
          <w:cantSplit/>
        </w:trPr>
        <w:tc>
          <w:tcPr>
            <w:tcW w:w="2148" w:type="dxa"/>
            <w:tcBorders>
              <w:top w:val="nil"/>
              <w:bottom w:val="single" w:sz="4" w:space="0" w:color="auto"/>
            </w:tcBorders>
            <w:shd w:val="clear" w:color="auto" w:fill="auto"/>
          </w:tcPr>
          <w:p w14:paraId="44958844" w14:textId="77777777" w:rsidR="00153AD1" w:rsidRPr="00556B9B" w:rsidRDefault="00153AD1" w:rsidP="00F926B9">
            <w:pPr>
              <w:pStyle w:val="Table"/>
              <w:keepLines w:val="0"/>
              <w:widowControl w:val="0"/>
              <w:rPr>
                <w:rFonts w:ascii="Times New Roman" w:hAnsi="Times New Roman"/>
                <w:b/>
                <w:color w:val="000000"/>
                <w:sz w:val="22"/>
                <w:szCs w:val="22"/>
                <w:lang w:val="hu-HU"/>
              </w:rPr>
            </w:pPr>
            <w:r w:rsidRPr="00556B9B">
              <w:rPr>
                <w:rFonts w:ascii="Times New Roman" w:hAnsi="Times New Roman"/>
                <w:b/>
                <w:color w:val="000000"/>
                <w:sz w:val="22"/>
                <w:szCs w:val="22"/>
                <w:lang w:val="hu-HU"/>
              </w:rPr>
              <w:t>AJP01 vizsgálat</w:t>
            </w:r>
          </w:p>
        </w:tc>
        <w:tc>
          <w:tcPr>
            <w:tcW w:w="2652" w:type="dxa"/>
            <w:tcBorders>
              <w:top w:val="nil"/>
              <w:bottom w:val="single" w:sz="4" w:space="0" w:color="auto"/>
            </w:tcBorders>
            <w:shd w:val="clear" w:color="auto" w:fill="auto"/>
          </w:tcPr>
          <w:p w14:paraId="37996E1F"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080" w:type="dxa"/>
            <w:tcBorders>
              <w:top w:val="nil"/>
              <w:bottom w:val="single" w:sz="4" w:space="0" w:color="auto"/>
            </w:tcBorders>
          </w:tcPr>
          <w:p w14:paraId="142277CD"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380" w:type="dxa"/>
            <w:tcBorders>
              <w:top w:val="nil"/>
              <w:bottom w:val="single" w:sz="4" w:space="0" w:color="auto"/>
            </w:tcBorders>
          </w:tcPr>
          <w:p w14:paraId="095AB377"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620" w:type="dxa"/>
            <w:tcBorders>
              <w:top w:val="nil"/>
              <w:bottom w:val="single" w:sz="4" w:space="0" w:color="auto"/>
            </w:tcBorders>
          </w:tcPr>
          <w:p w14:paraId="77A39459"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r>
      <w:tr w:rsidR="00153AD1" w:rsidRPr="00556B9B" w14:paraId="2F9E13A2" w14:textId="77777777" w:rsidTr="00F926B9">
        <w:trPr>
          <w:cantSplit/>
        </w:trPr>
        <w:tc>
          <w:tcPr>
            <w:tcW w:w="2148" w:type="dxa"/>
            <w:tcBorders>
              <w:top w:val="nil"/>
              <w:bottom w:val="single" w:sz="4" w:space="0" w:color="auto"/>
            </w:tcBorders>
            <w:shd w:val="clear" w:color="auto" w:fill="auto"/>
          </w:tcPr>
          <w:p w14:paraId="7C71A834" w14:textId="77777777" w:rsidR="00153AD1" w:rsidRPr="00556B9B" w:rsidRDefault="00153AD1" w:rsidP="00F926B9">
            <w:pPr>
              <w:pStyle w:val="Table"/>
              <w:keepLines w:val="0"/>
              <w:widowControl w:val="0"/>
              <w:jc w:val="both"/>
              <w:rPr>
                <w:rFonts w:ascii="Times New Roman" w:hAnsi="Times New Roman"/>
                <w:color w:val="000000"/>
                <w:sz w:val="22"/>
                <w:szCs w:val="22"/>
                <w:lang w:val="hu-HU"/>
              </w:rPr>
            </w:pPr>
            <w:r w:rsidRPr="00556B9B">
              <w:rPr>
                <w:rFonts w:ascii="Times New Roman" w:hAnsi="Times New Roman"/>
                <w:color w:val="000000"/>
                <w:sz w:val="22"/>
                <w:szCs w:val="22"/>
                <w:lang w:val="hu-HU"/>
              </w:rPr>
              <w:t>Indukciós terápia</w:t>
            </w:r>
          </w:p>
        </w:tc>
        <w:tc>
          <w:tcPr>
            <w:tcW w:w="6732" w:type="dxa"/>
            <w:gridSpan w:val="4"/>
            <w:tcBorders>
              <w:top w:val="nil"/>
              <w:bottom w:val="single" w:sz="4" w:space="0" w:color="auto"/>
            </w:tcBorders>
            <w:shd w:val="clear" w:color="auto" w:fill="auto"/>
          </w:tcPr>
          <w:p w14:paraId="2F4EDEB5"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CP 1,2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(3 órás) az 1. napon;</w:t>
            </w:r>
          </w:p>
          <w:p w14:paraId="7FC29D7E"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Daunorubicin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 órás) az 1</w:t>
            </w:r>
            <w:r w:rsidRPr="00556B9B">
              <w:rPr>
                <w:rFonts w:ascii="Times New Roman" w:hAnsi="Times New Roman"/>
                <w:color w:val="000000"/>
                <w:sz w:val="22"/>
                <w:szCs w:val="22"/>
                <w:lang w:val="hu-HU"/>
              </w:rPr>
              <w:noBreakHyphen/>
              <w:t>3. napon;</w:t>
            </w:r>
          </w:p>
          <w:p w14:paraId="6820DF82"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Vinkrisztin 1,3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az 1., 8., 15. és 21. napon;</w:t>
            </w:r>
          </w:p>
          <w:p w14:paraId="502B7E6E"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Prednizolon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/nap per os</w:t>
            </w:r>
          </w:p>
        </w:tc>
      </w:tr>
      <w:tr w:rsidR="00153AD1" w:rsidRPr="00556B9B" w14:paraId="633CC8D7" w14:textId="77777777" w:rsidTr="00F926B9">
        <w:trPr>
          <w:cantSplit/>
        </w:trPr>
        <w:tc>
          <w:tcPr>
            <w:tcW w:w="2148" w:type="dxa"/>
            <w:tcBorders>
              <w:top w:val="single" w:sz="4" w:space="0" w:color="auto"/>
              <w:bottom w:val="single" w:sz="4" w:space="0" w:color="auto"/>
            </w:tcBorders>
            <w:shd w:val="clear" w:color="auto" w:fill="auto"/>
          </w:tcPr>
          <w:p w14:paraId="5E64073D" w14:textId="77777777" w:rsidR="00153AD1" w:rsidRPr="00556B9B" w:rsidRDefault="00153AD1" w:rsidP="00F926B9">
            <w:pPr>
              <w:pStyle w:val="Table"/>
              <w:keepLines w:val="0"/>
              <w:widowControl w:val="0"/>
              <w:tabs>
                <w:tab w:val="left" w:pos="0"/>
              </w:tabs>
              <w:rPr>
                <w:rFonts w:ascii="Times New Roman" w:hAnsi="Times New Roman"/>
                <w:color w:val="000000"/>
                <w:sz w:val="22"/>
                <w:szCs w:val="22"/>
                <w:lang w:val="hu-HU"/>
              </w:rPr>
            </w:pPr>
            <w:r w:rsidRPr="00556B9B">
              <w:rPr>
                <w:rFonts w:ascii="Times New Roman" w:hAnsi="Times New Roman"/>
                <w:color w:val="000000"/>
                <w:sz w:val="22"/>
                <w:szCs w:val="22"/>
                <w:lang w:val="hu-HU"/>
              </w:rPr>
              <w:t>Konszolidációs terápia</w:t>
            </w:r>
          </w:p>
        </w:tc>
        <w:tc>
          <w:tcPr>
            <w:tcW w:w="6732" w:type="dxa"/>
            <w:gridSpan w:val="4"/>
            <w:tcBorders>
              <w:top w:val="single" w:sz="4" w:space="0" w:color="auto"/>
              <w:bottom w:val="single" w:sz="4" w:space="0" w:color="auto"/>
            </w:tcBorders>
            <w:shd w:val="clear" w:color="auto" w:fill="auto"/>
          </w:tcPr>
          <w:p w14:paraId="3E76A3C0"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 xml:space="preserve">Váltó kemoterápiás kezelés: nagy dózisú kemoterápiás kezelés - </w:t>
            </w: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az 1. napon és Ara-C 2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(12 óránként</w:t>
            </w:r>
          </w:p>
          <w:p w14:paraId="6874C880"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a) a 2</w:t>
            </w:r>
            <w:r w:rsidRPr="00556B9B">
              <w:rPr>
                <w:rFonts w:ascii="Times New Roman" w:hAnsi="Times New Roman"/>
                <w:color w:val="000000"/>
                <w:sz w:val="22"/>
                <w:szCs w:val="22"/>
                <w:lang w:val="hu-HU"/>
              </w:rPr>
              <w:noBreakHyphen/>
              <w:t>3. napon, 4 cikluson keresztül</w:t>
            </w:r>
          </w:p>
        </w:tc>
      </w:tr>
      <w:tr w:rsidR="00153AD1" w:rsidRPr="00556B9B" w14:paraId="65A66063" w14:textId="77777777" w:rsidTr="00F926B9">
        <w:trPr>
          <w:cantSplit/>
        </w:trPr>
        <w:tc>
          <w:tcPr>
            <w:tcW w:w="2148" w:type="dxa"/>
            <w:tcBorders>
              <w:top w:val="single" w:sz="4" w:space="0" w:color="auto"/>
              <w:bottom w:val="single" w:sz="4" w:space="0" w:color="auto"/>
            </w:tcBorders>
            <w:shd w:val="clear" w:color="auto" w:fill="auto"/>
          </w:tcPr>
          <w:p w14:paraId="2DF1C0FD" w14:textId="77777777" w:rsidR="00153AD1" w:rsidRPr="00556B9B" w:rsidRDefault="00153AD1" w:rsidP="00F926B9">
            <w:pPr>
              <w:pStyle w:val="Table"/>
              <w:keepNext w:val="0"/>
              <w:keepLines w:val="0"/>
              <w:widowControl w:val="0"/>
              <w:tabs>
                <w:tab w:val="left" w:pos="0"/>
              </w:tabs>
              <w:rPr>
                <w:rFonts w:ascii="Times New Roman" w:hAnsi="Times New Roman"/>
                <w:color w:val="000000"/>
                <w:sz w:val="22"/>
                <w:szCs w:val="22"/>
                <w:lang w:val="hu-HU"/>
              </w:rPr>
            </w:pPr>
            <w:r w:rsidRPr="00556B9B">
              <w:rPr>
                <w:rFonts w:ascii="Times New Roman" w:hAnsi="Times New Roman"/>
                <w:color w:val="000000"/>
                <w:sz w:val="22"/>
                <w:szCs w:val="22"/>
                <w:lang w:val="hu-HU"/>
              </w:rPr>
              <w:t>Fenntartó kezelés</w:t>
            </w:r>
          </w:p>
        </w:tc>
        <w:tc>
          <w:tcPr>
            <w:tcW w:w="6732" w:type="dxa"/>
            <w:gridSpan w:val="4"/>
            <w:tcBorders>
              <w:top w:val="single" w:sz="4" w:space="0" w:color="auto"/>
              <w:bottom w:val="single" w:sz="4" w:space="0" w:color="auto"/>
            </w:tcBorders>
            <w:shd w:val="clear" w:color="auto" w:fill="auto"/>
          </w:tcPr>
          <w:p w14:paraId="2E857E6E"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VCR</w:t>
              </w:r>
            </w:smartTag>
            <w:r w:rsidRPr="00556B9B">
              <w:rPr>
                <w:rFonts w:ascii="Times New Roman" w:hAnsi="Times New Roman"/>
                <w:color w:val="000000"/>
                <w:sz w:val="22"/>
                <w:szCs w:val="22"/>
                <w:lang w:val="hu-HU"/>
              </w:rPr>
              <w:t xml:space="preserve"> 1,3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az 1. napon;</w:t>
            </w:r>
          </w:p>
          <w:p w14:paraId="5250179A" w14:textId="77777777" w:rsidR="00153AD1" w:rsidRPr="00556B9B" w:rsidRDefault="00153AD1" w:rsidP="00F926B9">
            <w:pPr>
              <w:pStyle w:val="Table"/>
              <w:keepNext w:val="0"/>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Prednizolon 60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per os az 1</w:t>
            </w:r>
            <w:r w:rsidRPr="00556B9B">
              <w:rPr>
                <w:rFonts w:ascii="Times New Roman" w:hAnsi="Times New Roman"/>
                <w:color w:val="000000"/>
                <w:sz w:val="22"/>
                <w:szCs w:val="22"/>
                <w:lang w:val="hu-HU"/>
              </w:rPr>
              <w:noBreakHyphen/>
              <w:t>5. napon</w:t>
            </w:r>
          </w:p>
        </w:tc>
      </w:tr>
      <w:tr w:rsidR="00153AD1" w:rsidRPr="00556B9B" w14:paraId="2D33469E" w14:textId="77777777" w:rsidTr="00F926B9">
        <w:trPr>
          <w:cantSplit/>
        </w:trPr>
        <w:tc>
          <w:tcPr>
            <w:tcW w:w="4800" w:type="dxa"/>
            <w:gridSpan w:val="2"/>
            <w:tcBorders>
              <w:top w:val="single" w:sz="4" w:space="0" w:color="auto"/>
              <w:bottom w:val="single" w:sz="4" w:space="0" w:color="auto"/>
            </w:tcBorders>
            <w:shd w:val="clear" w:color="auto" w:fill="auto"/>
          </w:tcPr>
          <w:p w14:paraId="3ACC8FF4"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b/>
                <w:color w:val="000000"/>
                <w:sz w:val="22"/>
                <w:szCs w:val="22"/>
                <w:lang w:val="hu-HU"/>
              </w:rPr>
              <w:lastRenderedPageBreak/>
              <w:t>AUS01 vizsgálat</w:t>
            </w:r>
          </w:p>
        </w:tc>
        <w:tc>
          <w:tcPr>
            <w:tcW w:w="1080" w:type="dxa"/>
            <w:tcBorders>
              <w:top w:val="single" w:sz="4" w:space="0" w:color="auto"/>
              <w:bottom w:val="single" w:sz="4" w:space="0" w:color="auto"/>
            </w:tcBorders>
          </w:tcPr>
          <w:p w14:paraId="54BB6340"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380" w:type="dxa"/>
            <w:tcBorders>
              <w:top w:val="single" w:sz="4" w:space="0" w:color="auto"/>
              <w:bottom w:val="single" w:sz="4" w:space="0" w:color="auto"/>
            </w:tcBorders>
          </w:tcPr>
          <w:p w14:paraId="33DB5F66"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c>
          <w:tcPr>
            <w:tcW w:w="1620" w:type="dxa"/>
            <w:tcBorders>
              <w:top w:val="single" w:sz="4" w:space="0" w:color="auto"/>
              <w:bottom w:val="single" w:sz="4" w:space="0" w:color="auto"/>
            </w:tcBorders>
          </w:tcPr>
          <w:p w14:paraId="01E79B09" w14:textId="77777777" w:rsidR="00153AD1" w:rsidRPr="00556B9B" w:rsidRDefault="00153AD1" w:rsidP="00F926B9">
            <w:pPr>
              <w:pStyle w:val="Table"/>
              <w:keepLines w:val="0"/>
              <w:widowControl w:val="0"/>
              <w:rPr>
                <w:rFonts w:ascii="Times New Roman" w:hAnsi="Times New Roman"/>
                <w:color w:val="000000"/>
                <w:sz w:val="22"/>
                <w:szCs w:val="22"/>
                <w:lang w:val="hu-HU"/>
              </w:rPr>
            </w:pPr>
          </w:p>
        </w:tc>
      </w:tr>
      <w:tr w:rsidR="00153AD1" w:rsidRPr="00462020" w14:paraId="7AEA3283" w14:textId="77777777" w:rsidTr="00F926B9">
        <w:trPr>
          <w:cantSplit/>
        </w:trPr>
        <w:tc>
          <w:tcPr>
            <w:tcW w:w="2148" w:type="dxa"/>
            <w:tcBorders>
              <w:top w:val="single" w:sz="4" w:space="0" w:color="auto"/>
              <w:bottom w:val="single" w:sz="4" w:space="0" w:color="auto"/>
            </w:tcBorders>
            <w:shd w:val="clear" w:color="auto" w:fill="auto"/>
          </w:tcPr>
          <w:p w14:paraId="2328E488"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Indukciós-konszolidációs terápia</w:t>
            </w:r>
          </w:p>
        </w:tc>
        <w:tc>
          <w:tcPr>
            <w:tcW w:w="6732" w:type="dxa"/>
            <w:gridSpan w:val="4"/>
            <w:tcBorders>
              <w:top w:val="single" w:sz="4" w:space="0" w:color="auto"/>
              <w:bottom w:val="single" w:sz="4" w:space="0" w:color="auto"/>
            </w:tcBorders>
            <w:shd w:val="clear" w:color="auto" w:fill="auto"/>
          </w:tcPr>
          <w:p w14:paraId="72D40AAC"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Hyper-CVAD kezelés: CP 300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(3 órás, 12 óránként) az 1</w:t>
            </w:r>
            <w:r w:rsidRPr="00556B9B">
              <w:rPr>
                <w:rFonts w:ascii="Times New Roman" w:hAnsi="Times New Roman"/>
                <w:color w:val="000000"/>
                <w:sz w:val="22"/>
                <w:szCs w:val="22"/>
                <w:lang w:val="hu-HU"/>
              </w:rPr>
              <w:noBreakHyphen/>
              <w:t>3. napon;</w:t>
            </w:r>
          </w:p>
          <w:p w14:paraId="4BAA5D72"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Vinkrisztin 2 mg i.v. a 4. és 11. napon;</w:t>
            </w:r>
          </w:p>
          <w:p w14:paraId="61CFCD15"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Doxorubicin 50 mg/m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 4. napon;</w:t>
            </w:r>
          </w:p>
          <w:p w14:paraId="7BFB8354"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DEX 40 mg/nap az 1</w:t>
            </w:r>
            <w:r w:rsidRPr="00556B9B">
              <w:rPr>
                <w:rFonts w:ascii="Times New Roman" w:hAnsi="Times New Roman"/>
                <w:color w:val="000000"/>
                <w:sz w:val="22"/>
                <w:szCs w:val="22"/>
                <w:lang w:val="hu-HU"/>
              </w:rPr>
              <w:noBreakHyphen/>
              <w:t>4. és 11</w:t>
            </w:r>
            <w:r w:rsidRPr="00556B9B">
              <w:rPr>
                <w:rFonts w:ascii="Times New Roman" w:hAnsi="Times New Roman"/>
                <w:color w:val="000000"/>
                <w:sz w:val="22"/>
                <w:szCs w:val="22"/>
                <w:lang w:val="hu-HU"/>
              </w:rPr>
              <w:noBreakHyphen/>
              <w:t xml:space="preserve">14. napon, váltva az alábbi kezeléssel: </w:t>
            </w:r>
            <w:smartTag w:uri="urn:schemas-microsoft-com:office:smarttags" w:element="stockticker">
              <w:r w:rsidRPr="00556B9B">
                <w:rPr>
                  <w:rFonts w:ascii="Times New Roman" w:hAnsi="Times New Roman"/>
                  <w:color w:val="000000"/>
                  <w:sz w:val="22"/>
                  <w:szCs w:val="22"/>
                  <w:lang w:val="hu-HU"/>
                </w:rPr>
                <w:t>MTX</w:t>
              </w:r>
            </w:smartTag>
            <w:r w:rsidRPr="00556B9B">
              <w:rPr>
                <w:rFonts w:ascii="Times New Roman" w:hAnsi="Times New Roman"/>
                <w:color w:val="000000"/>
                <w:sz w:val="22"/>
                <w:szCs w:val="22"/>
                <w:lang w:val="hu-HU"/>
              </w:rPr>
              <w:t xml:space="preserve"> 1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(24 órás) az 1. napon, Ara-C 1 g/m</w:t>
            </w:r>
            <w:r w:rsidRPr="00556B9B">
              <w:rPr>
                <w:rFonts w:ascii="Times New Roman" w:hAnsi="Times New Roman"/>
                <w:color w:val="000000"/>
                <w:sz w:val="22"/>
                <w:szCs w:val="22"/>
                <w:vertAlign w:val="superscript"/>
                <w:lang w:val="hu-HU"/>
              </w:rPr>
              <w:t>2</w:t>
            </w:r>
            <w:r w:rsidRPr="00556B9B">
              <w:rPr>
                <w:rFonts w:ascii="Times New Roman" w:hAnsi="Times New Roman"/>
                <w:color w:val="000000"/>
                <w:sz w:val="22"/>
                <w:szCs w:val="22"/>
                <w:lang w:val="hu-HU"/>
              </w:rPr>
              <w:t xml:space="preserve"> i.v. (2 órás, 12 óránként) a 2</w:t>
            </w:r>
            <w:r w:rsidRPr="00556B9B">
              <w:rPr>
                <w:rFonts w:ascii="Times New Roman" w:hAnsi="Times New Roman"/>
                <w:color w:val="000000"/>
                <w:sz w:val="22"/>
                <w:szCs w:val="22"/>
                <w:lang w:val="hu-HU"/>
              </w:rPr>
              <w:noBreakHyphen/>
              <w:t>3. napon (összesen 8 kezelés)</w:t>
            </w:r>
          </w:p>
        </w:tc>
      </w:tr>
      <w:tr w:rsidR="00153AD1" w:rsidRPr="00462020" w14:paraId="1EB13BA1" w14:textId="77777777" w:rsidTr="00F926B9">
        <w:trPr>
          <w:cantSplit/>
        </w:trPr>
        <w:tc>
          <w:tcPr>
            <w:tcW w:w="2148" w:type="dxa"/>
            <w:tcBorders>
              <w:top w:val="single" w:sz="4" w:space="0" w:color="auto"/>
              <w:bottom w:val="single" w:sz="4" w:space="0" w:color="auto"/>
            </w:tcBorders>
            <w:shd w:val="clear" w:color="auto" w:fill="auto"/>
          </w:tcPr>
          <w:p w14:paraId="05A0B551"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Fenntartó kezelés</w:t>
            </w:r>
          </w:p>
        </w:tc>
        <w:tc>
          <w:tcPr>
            <w:tcW w:w="6732" w:type="dxa"/>
            <w:gridSpan w:val="4"/>
            <w:tcBorders>
              <w:top w:val="single" w:sz="4" w:space="0" w:color="auto"/>
              <w:bottom w:val="single" w:sz="4" w:space="0" w:color="auto"/>
            </w:tcBorders>
            <w:shd w:val="clear" w:color="auto" w:fill="auto"/>
          </w:tcPr>
          <w:p w14:paraId="0158A34B" w14:textId="77777777" w:rsidR="00153AD1" w:rsidRPr="00556B9B" w:rsidRDefault="00153AD1" w:rsidP="00F926B9">
            <w:pPr>
              <w:pStyle w:val="Table"/>
              <w:keepLines w:val="0"/>
              <w:widowControl w:val="0"/>
              <w:rPr>
                <w:rFonts w:ascii="Times New Roman" w:hAnsi="Times New Roman"/>
                <w:color w:val="000000"/>
                <w:sz w:val="22"/>
                <w:szCs w:val="22"/>
                <w:lang w:val="hu-HU"/>
              </w:rPr>
            </w:pPr>
            <w:smartTag w:uri="urn:schemas-microsoft-com:office:smarttags" w:element="stockticker">
              <w:r w:rsidRPr="00556B9B">
                <w:rPr>
                  <w:rFonts w:ascii="Times New Roman" w:hAnsi="Times New Roman"/>
                  <w:color w:val="000000"/>
                  <w:sz w:val="22"/>
                  <w:szCs w:val="22"/>
                  <w:lang w:val="hu-HU"/>
                </w:rPr>
                <w:t>VCR</w:t>
              </w:r>
            </w:smartTag>
            <w:r w:rsidRPr="00556B9B">
              <w:rPr>
                <w:rFonts w:ascii="Times New Roman" w:hAnsi="Times New Roman"/>
                <w:color w:val="000000"/>
                <w:sz w:val="22"/>
                <w:szCs w:val="22"/>
                <w:lang w:val="hu-HU"/>
              </w:rPr>
              <w:t xml:space="preserve"> 2 mg i.v. havonta 13 hónapon keresztül;</w:t>
            </w:r>
          </w:p>
          <w:p w14:paraId="407D36EF"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Prednizolon 200 mg per os, havonta 5 napig 13 hónapon keresztül</w:t>
            </w:r>
          </w:p>
        </w:tc>
      </w:tr>
      <w:tr w:rsidR="00153AD1" w:rsidRPr="00462020" w14:paraId="685DEF96" w14:textId="77777777" w:rsidTr="00F926B9">
        <w:trPr>
          <w:cantSplit/>
        </w:trPr>
        <w:tc>
          <w:tcPr>
            <w:tcW w:w="8880" w:type="dxa"/>
            <w:gridSpan w:val="5"/>
            <w:tcBorders>
              <w:top w:val="single" w:sz="4" w:space="0" w:color="auto"/>
              <w:bottom w:val="single" w:sz="4" w:space="0" w:color="auto"/>
            </w:tcBorders>
            <w:shd w:val="clear" w:color="auto" w:fill="auto"/>
          </w:tcPr>
          <w:p w14:paraId="10495566" w14:textId="77777777" w:rsidR="00153AD1" w:rsidRPr="00556B9B" w:rsidRDefault="00153AD1" w:rsidP="00F926B9">
            <w:pPr>
              <w:pStyle w:val="Table"/>
              <w:keepLines w:val="0"/>
              <w:widowControl w:val="0"/>
              <w:rPr>
                <w:rFonts w:ascii="Times New Roman" w:hAnsi="Times New Roman"/>
                <w:color w:val="000000"/>
                <w:sz w:val="22"/>
                <w:szCs w:val="22"/>
                <w:lang w:val="hu-HU"/>
              </w:rPr>
            </w:pPr>
            <w:r w:rsidRPr="00556B9B">
              <w:rPr>
                <w:rFonts w:ascii="Times New Roman" w:hAnsi="Times New Roman"/>
                <w:color w:val="000000"/>
                <w:sz w:val="22"/>
                <w:szCs w:val="22"/>
                <w:lang w:val="hu-HU"/>
              </w:rPr>
              <w:t>Minden kezelési protokoll tartalmaz szteroidot, központi idegrendszeri hatások profilaxisa céljából.</w:t>
            </w:r>
          </w:p>
        </w:tc>
      </w:tr>
      <w:tr w:rsidR="00153AD1" w:rsidRPr="00462020" w14:paraId="54D6944E" w14:textId="77777777" w:rsidTr="00F926B9">
        <w:trPr>
          <w:cantSplit/>
        </w:trPr>
        <w:tc>
          <w:tcPr>
            <w:tcW w:w="8880" w:type="dxa"/>
            <w:gridSpan w:val="5"/>
            <w:tcBorders>
              <w:top w:val="single" w:sz="4" w:space="0" w:color="auto"/>
              <w:bottom w:val="single" w:sz="4" w:space="0" w:color="auto"/>
            </w:tcBorders>
            <w:shd w:val="clear" w:color="auto" w:fill="auto"/>
          </w:tcPr>
          <w:p w14:paraId="76BD3CE8" w14:textId="77777777" w:rsidR="00153AD1" w:rsidRPr="006D0F5F" w:rsidRDefault="00153AD1" w:rsidP="00F926B9">
            <w:pPr>
              <w:pStyle w:val="Table"/>
              <w:keepNext w:val="0"/>
              <w:keepLines w:val="0"/>
              <w:widowControl w:val="0"/>
              <w:rPr>
                <w:rFonts w:ascii="Times New Roman" w:hAnsi="Times New Roman"/>
                <w:color w:val="000000"/>
                <w:sz w:val="22"/>
                <w:szCs w:val="22"/>
                <w:lang w:val="hu-HU"/>
              </w:rPr>
            </w:pPr>
            <w:r w:rsidRPr="006D0F5F">
              <w:rPr>
                <w:rFonts w:ascii="Times New Roman" w:hAnsi="Times New Roman"/>
                <w:color w:val="000000"/>
                <w:sz w:val="22"/>
                <w:szCs w:val="22"/>
                <w:lang w:val="hu-HU"/>
              </w:rPr>
              <w:t xml:space="preserve">Ara-C: citozin-arabinozid; CP: ciklofoszfamid; DEX: dexametazon; </w:t>
            </w:r>
            <w:smartTag w:uri="urn:schemas-microsoft-com:office:smarttags" w:element="stockticker">
              <w:r w:rsidRPr="006D0F5F">
                <w:rPr>
                  <w:rFonts w:ascii="Times New Roman" w:hAnsi="Times New Roman"/>
                  <w:color w:val="000000"/>
                  <w:sz w:val="22"/>
                  <w:szCs w:val="22"/>
                  <w:lang w:val="hu-HU"/>
                </w:rPr>
                <w:t>MTX</w:t>
              </w:r>
            </w:smartTag>
            <w:r w:rsidRPr="006D0F5F">
              <w:rPr>
                <w:rFonts w:ascii="Times New Roman" w:hAnsi="Times New Roman"/>
                <w:color w:val="000000"/>
                <w:sz w:val="22"/>
                <w:szCs w:val="22"/>
                <w:lang w:val="hu-HU"/>
              </w:rPr>
              <w:t>: metotrexát; 6-MP: 6</w:t>
            </w:r>
            <w:r w:rsidRPr="006D0F5F">
              <w:rPr>
                <w:rFonts w:ascii="Times New Roman" w:hAnsi="Times New Roman"/>
                <w:color w:val="000000"/>
                <w:sz w:val="22"/>
                <w:szCs w:val="22"/>
                <w:lang w:val="hu-HU"/>
              </w:rPr>
              <w:noBreakHyphen/>
              <w:t xml:space="preserve">merkaptopurin; VM26: tenipozid; </w:t>
            </w:r>
            <w:smartTag w:uri="urn:schemas-microsoft-com:office:smarttags" w:element="stockticker">
              <w:r w:rsidRPr="006D0F5F">
                <w:rPr>
                  <w:rFonts w:ascii="Times New Roman" w:hAnsi="Times New Roman"/>
                  <w:color w:val="000000"/>
                  <w:sz w:val="22"/>
                  <w:szCs w:val="22"/>
                  <w:lang w:val="hu-HU"/>
                </w:rPr>
                <w:t>VCR</w:t>
              </w:r>
            </w:smartTag>
            <w:r w:rsidRPr="006D0F5F">
              <w:rPr>
                <w:rFonts w:ascii="Times New Roman" w:hAnsi="Times New Roman"/>
                <w:color w:val="000000"/>
                <w:sz w:val="22"/>
                <w:szCs w:val="22"/>
                <w:lang w:val="hu-HU"/>
              </w:rPr>
              <w:t xml:space="preserve">: vinkrisztin; </w:t>
            </w:r>
            <w:smartTag w:uri="urn:schemas-microsoft-com:office:smarttags" w:element="stockticker">
              <w:r w:rsidRPr="006D0F5F">
                <w:rPr>
                  <w:rFonts w:ascii="Times New Roman" w:hAnsi="Times New Roman"/>
                  <w:color w:val="000000"/>
                  <w:sz w:val="22"/>
                  <w:szCs w:val="22"/>
                  <w:lang w:val="hu-HU"/>
                </w:rPr>
                <w:t>IDA</w:t>
              </w:r>
            </w:smartTag>
            <w:r w:rsidRPr="006D0F5F">
              <w:rPr>
                <w:rFonts w:ascii="Times New Roman" w:hAnsi="Times New Roman"/>
                <w:color w:val="000000"/>
                <w:sz w:val="22"/>
                <w:szCs w:val="22"/>
                <w:lang w:val="hu-HU"/>
              </w:rPr>
              <w:t>: idarubicin; i.v.: intravénás alkalmazás</w:t>
            </w:r>
          </w:p>
        </w:tc>
      </w:tr>
    </w:tbl>
    <w:p w14:paraId="47045046" w14:textId="77777777" w:rsidR="00153AD1" w:rsidRPr="006D0F5F" w:rsidRDefault="00153AD1" w:rsidP="00153AD1">
      <w:pPr>
        <w:rPr>
          <w:color w:val="000000"/>
          <w:lang w:val="hu-HU"/>
        </w:rPr>
      </w:pPr>
    </w:p>
    <w:p w14:paraId="0B886267" w14:textId="08391860" w:rsidR="00153AD1" w:rsidRPr="00556B9B" w:rsidRDefault="00153AD1" w:rsidP="00153AD1">
      <w:pPr>
        <w:pStyle w:val="EndnoteText"/>
        <w:widowControl w:val="0"/>
        <w:rPr>
          <w:color w:val="000000"/>
          <w:lang w:val="hu-HU" w:eastAsia="hu-HU"/>
        </w:rPr>
      </w:pPr>
      <w:r w:rsidRPr="006D0F5F">
        <w:rPr>
          <w:i/>
          <w:color w:val="000000"/>
          <w:lang w:val="hu-HU" w:eastAsia="hu-HU"/>
        </w:rPr>
        <w:t>Gyermek</w:t>
      </w:r>
      <w:r w:rsidR="00531C9D" w:rsidRPr="006D0F5F">
        <w:rPr>
          <w:i/>
          <w:color w:val="000000"/>
          <w:lang w:val="hu-HU" w:eastAsia="hu-HU"/>
        </w:rPr>
        <w:t>ek és serdülők</w:t>
      </w:r>
      <w:r w:rsidRPr="006D0F5F">
        <w:rPr>
          <w:color w:val="000000"/>
          <w:lang w:val="hu-HU" w:eastAsia="hu-HU"/>
        </w:rPr>
        <w:t>:</w:t>
      </w:r>
      <w:r w:rsidRPr="006D0F5F">
        <w:rPr>
          <w:lang w:val="hu-HU" w:eastAsia="hu-HU"/>
        </w:rPr>
        <w:t xml:space="preserve"> </w:t>
      </w:r>
      <w:r w:rsidRPr="006D0F5F">
        <w:rPr>
          <w:color w:val="000000"/>
          <w:lang w:val="hu-HU" w:eastAsia="hu-HU"/>
        </w:rPr>
        <w:t>Az I2301, nyílt elrendezésű, multicentrikus, szekvenciális kohorszú, nem randomizált, III</w:t>
      </w:r>
      <w:r w:rsidR="00F34915" w:rsidRPr="006D0F5F">
        <w:rPr>
          <w:color w:val="000000"/>
          <w:lang w:val="hu-HU" w:eastAsia="hu-HU"/>
        </w:rPr>
        <w:t>. fázisú</w:t>
      </w:r>
      <w:r w:rsidRPr="006D0F5F">
        <w:rPr>
          <w:color w:val="000000"/>
          <w:lang w:val="hu-HU" w:eastAsia="hu-HU"/>
        </w:rPr>
        <w:t xml:space="preserve"> vizsgálatba összesen 93, Ph+ALL gyermek, serdülő</w:t>
      </w:r>
      <w:r w:rsidR="00531C9D" w:rsidRPr="006D0F5F">
        <w:rPr>
          <w:color w:val="000000"/>
          <w:lang w:val="hu-HU" w:eastAsia="hu-HU"/>
        </w:rPr>
        <w:t>korú</w:t>
      </w:r>
      <w:r w:rsidRPr="006D0F5F">
        <w:rPr>
          <w:color w:val="000000"/>
          <w:lang w:val="hu-HU" w:eastAsia="hu-HU"/>
        </w:rPr>
        <w:t xml:space="preserve"> és fiatal felnőtt beteget vontak be (1</w:t>
      </w:r>
      <w:r w:rsidRPr="006D0F5F">
        <w:rPr>
          <w:color w:val="000000"/>
          <w:lang w:val="hu-HU"/>
        </w:rPr>
        <w:t> év</w:t>
      </w:r>
      <w:r w:rsidRPr="006D0F5F">
        <w:rPr>
          <w:color w:val="000000"/>
          <w:lang w:val="hu-HU" w:eastAsia="hu-HU"/>
        </w:rPr>
        <w:t>es kortól 22</w:t>
      </w:r>
      <w:r w:rsidRPr="006D0F5F">
        <w:rPr>
          <w:color w:val="000000"/>
          <w:lang w:val="hu-HU"/>
        </w:rPr>
        <w:t> év</w:t>
      </w:r>
      <w:r w:rsidRPr="006D0F5F">
        <w:rPr>
          <w:color w:val="000000"/>
          <w:lang w:val="hu-HU" w:eastAsia="hu-HU"/>
        </w:rPr>
        <w:t>es korig), és kezeltek Glivec</w:t>
      </w:r>
      <w:r w:rsidRPr="006D0F5F">
        <w:rPr>
          <w:color w:val="000000"/>
          <w:lang w:val="hu-HU"/>
        </w:rPr>
        <w:noBreakHyphen/>
      </w:r>
      <w:r w:rsidRPr="006D0F5F">
        <w:rPr>
          <w:color w:val="000000"/>
          <w:lang w:val="hu-HU" w:eastAsia="hu-HU"/>
        </w:rPr>
        <w:t>kel (340</w:t>
      </w:r>
      <w:r w:rsidRPr="006D0F5F">
        <w:rPr>
          <w:color w:val="000000"/>
          <w:lang w:val="hu-HU"/>
        </w:rPr>
        <w:t> mg</w:t>
      </w:r>
      <w:r w:rsidRPr="006D0F5F">
        <w:rPr>
          <w:color w:val="000000"/>
          <w:lang w:val="hu-HU" w:eastAsia="hu-HU"/>
        </w:rPr>
        <w:t>/m</w:t>
      </w:r>
      <w:r w:rsidRPr="006D0F5F">
        <w:rPr>
          <w:color w:val="000000"/>
          <w:vertAlign w:val="superscript"/>
          <w:lang w:val="hu-HU" w:eastAsia="hu-HU"/>
        </w:rPr>
        <w:t>2</w:t>
      </w:r>
      <w:r w:rsidRPr="006D0F5F">
        <w:rPr>
          <w:color w:val="000000"/>
          <w:lang w:val="hu-HU" w:eastAsia="hu-HU"/>
        </w:rPr>
        <w:t>/nap), az indukciós kezelés után intenzív kemoterápiával kombinálva. A Glivec</w:t>
      </w:r>
      <w:r w:rsidRPr="006D0F5F">
        <w:rPr>
          <w:color w:val="000000"/>
          <w:lang w:val="hu-HU"/>
        </w:rPr>
        <w:noBreakHyphen/>
      </w:r>
      <w:r w:rsidRPr="006D0F5F">
        <w:rPr>
          <w:color w:val="000000"/>
          <w:lang w:val="hu-HU" w:eastAsia="hu-HU"/>
        </w:rPr>
        <w:t>et intermittálva adták az 1</w:t>
      </w:r>
      <w:r w:rsidRPr="006D0F5F">
        <w:rPr>
          <w:color w:val="000000"/>
          <w:lang w:val="hu-HU"/>
        </w:rPr>
        <w:noBreakHyphen/>
      </w:r>
      <w:r w:rsidRPr="006D0F5F">
        <w:rPr>
          <w:color w:val="000000"/>
          <w:lang w:val="hu-HU" w:eastAsia="hu-HU"/>
        </w:rPr>
        <w:t>5. kohorszokban, kohorszról</w:t>
      </w:r>
      <w:r w:rsidRPr="006D0F5F">
        <w:rPr>
          <w:color w:val="000000"/>
          <w:lang w:val="hu-HU"/>
        </w:rPr>
        <w:noBreakHyphen/>
      </w:r>
      <w:r w:rsidRPr="006D0F5F">
        <w:rPr>
          <w:color w:val="000000"/>
          <w:lang w:val="hu-HU" w:eastAsia="hu-HU"/>
        </w:rPr>
        <w:t>kohorszra növekvő időtartamban, és a Glivec</w:t>
      </w:r>
      <w:r w:rsidRPr="006D0F5F">
        <w:rPr>
          <w:color w:val="000000"/>
          <w:lang w:val="hu-HU"/>
        </w:rPr>
        <w:noBreakHyphen/>
      </w:r>
      <w:r w:rsidRPr="006D0F5F">
        <w:rPr>
          <w:color w:val="000000"/>
          <w:lang w:val="hu-HU" w:eastAsia="hu-HU"/>
        </w:rPr>
        <w:t>et korábban kezdve. Az 1. kohorsz kapta a legalacsonyabb és az 5. kohorsz kapta</w:t>
      </w:r>
      <w:r w:rsidRPr="00556B9B">
        <w:rPr>
          <w:color w:val="000000"/>
          <w:lang w:val="hu-HU" w:eastAsia="hu-HU"/>
        </w:rPr>
        <w:t xml:space="preserve"> a legmagasabb Glivec intenzitást (az első kemoterápiás ciklusok alatt a leghosszabb a</w:t>
      </w:r>
      <w:r w:rsidRPr="00556B9B">
        <w:rPr>
          <w:color w:val="000000"/>
          <w:lang w:val="hu-HU"/>
        </w:rPr>
        <w:t xml:space="preserve"> nap</w:t>
      </w:r>
      <w:r w:rsidRPr="00556B9B">
        <w:rPr>
          <w:color w:val="000000"/>
          <w:lang w:val="hu-HU" w:eastAsia="hu-HU"/>
        </w:rPr>
        <w:t>okban mért időtartam, a Glivec folyamatos,</w:t>
      </w:r>
      <w:r w:rsidRPr="00556B9B">
        <w:rPr>
          <w:color w:val="000000"/>
          <w:lang w:val="hu-HU"/>
        </w:rPr>
        <w:t xml:space="preserve"> nap</w:t>
      </w:r>
      <w:r w:rsidRPr="00556B9B">
        <w:rPr>
          <w:color w:val="000000"/>
          <w:lang w:val="hu-HU" w:eastAsia="hu-HU"/>
        </w:rPr>
        <w:t>onkénti adagolásával). A Glivec folyamatos,</w:t>
      </w:r>
      <w:r w:rsidRPr="00556B9B">
        <w:rPr>
          <w:color w:val="000000"/>
          <w:lang w:val="hu-HU"/>
        </w:rPr>
        <w:t xml:space="preserve"> nap</w:t>
      </w:r>
      <w:r w:rsidRPr="00556B9B">
        <w:rPr>
          <w:color w:val="000000"/>
          <w:lang w:val="hu-HU" w:eastAsia="hu-HU"/>
        </w:rPr>
        <w:t>onkénti expozíciója a terápiás ciklus korai időszakában, kemoterápiával kombinálva az 5. kohorsz betegeinél (n = 50) javította a 4</w:t>
      </w:r>
      <w:r w:rsidRPr="00556B9B">
        <w:rPr>
          <w:color w:val="000000"/>
          <w:lang w:val="hu-HU"/>
        </w:rPr>
        <w:t> év</w:t>
      </w:r>
      <w:r w:rsidRPr="00556B9B">
        <w:rPr>
          <w:color w:val="000000"/>
          <w:lang w:val="hu-HU" w:eastAsia="hu-HU"/>
        </w:rPr>
        <w:t>es, eseménymentes túlélést (EFS), azokhoz a hisztorikus kontrollokhoz képest (n = 120), akik Glivec nélkül kaptak standard kemoterápiát (sorrendben 69,6% vs. 31,6%). A becsült 4</w:t>
      </w:r>
      <w:r w:rsidRPr="00556B9B">
        <w:rPr>
          <w:color w:val="000000"/>
          <w:lang w:val="hu-HU"/>
        </w:rPr>
        <w:t> év</w:t>
      </w:r>
      <w:r w:rsidRPr="00556B9B">
        <w:rPr>
          <w:color w:val="000000"/>
          <w:lang w:val="hu-HU" w:eastAsia="hu-HU"/>
        </w:rPr>
        <w:t>es teljes túlélés az 5. kohorsz betegeinél 83,6% volt, a hisztorikus kontrolloknál észlelt 44,8%</w:t>
      </w:r>
      <w:r w:rsidRPr="00556B9B">
        <w:rPr>
          <w:color w:val="000000"/>
          <w:lang w:val="hu-HU"/>
        </w:rPr>
        <w:noBreakHyphen/>
      </w:r>
      <w:r w:rsidRPr="00556B9B">
        <w:rPr>
          <w:color w:val="000000"/>
          <w:lang w:val="hu-HU" w:eastAsia="hu-HU"/>
        </w:rPr>
        <w:t>hoz képest. Az 5. kohorsz 50 betege közül 20 (40%) esett át haemopoeticus őssejt transzplantáción.</w:t>
      </w:r>
    </w:p>
    <w:p w14:paraId="0A33BC26" w14:textId="77777777" w:rsidR="00153AD1" w:rsidRPr="00556B9B" w:rsidRDefault="00153AD1" w:rsidP="00153AD1">
      <w:pPr>
        <w:pStyle w:val="EndnoteText"/>
        <w:widowControl w:val="0"/>
        <w:rPr>
          <w:color w:val="000000"/>
          <w:lang w:val="hu-HU"/>
        </w:rPr>
      </w:pPr>
    </w:p>
    <w:p w14:paraId="7DC5B027" w14:textId="77777777" w:rsidR="00153AD1" w:rsidRPr="00556B9B" w:rsidRDefault="00F10EA5" w:rsidP="00F926B9">
      <w:pPr>
        <w:pStyle w:val="EndnoteText"/>
        <w:keepNext/>
        <w:keepLines/>
        <w:widowControl w:val="0"/>
        <w:ind w:left="1134" w:hanging="1134"/>
        <w:rPr>
          <w:b/>
          <w:color w:val="000000"/>
          <w:lang w:val="hu-HU"/>
        </w:rPr>
      </w:pPr>
      <w:r w:rsidRPr="00556B9B">
        <w:rPr>
          <w:b/>
          <w:color w:val="000000"/>
          <w:lang w:val="hu-HU" w:eastAsia="hu-HU"/>
        </w:rPr>
        <w:t>5</w:t>
      </w:r>
      <w:r w:rsidR="00153AD1" w:rsidRPr="00556B9B">
        <w:rPr>
          <w:b/>
          <w:color w:val="000000"/>
          <w:lang w:val="hu-HU" w:eastAsia="hu-HU"/>
        </w:rPr>
        <w:t>. táblázat</w:t>
      </w:r>
      <w:r w:rsidR="00153AD1" w:rsidRPr="00556B9B">
        <w:rPr>
          <w:b/>
          <w:color w:val="000000"/>
          <w:lang w:val="hu-HU" w:eastAsia="hu-HU"/>
        </w:rPr>
        <w:tab/>
        <w:t>Az I2301</w:t>
      </w:r>
      <w:r w:rsidR="00153AD1" w:rsidRPr="00556B9B">
        <w:rPr>
          <w:b/>
          <w:color w:val="000000"/>
          <w:lang w:val="hu-HU"/>
        </w:rPr>
        <w:t xml:space="preserve"> </w:t>
      </w:r>
      <w:r w:rsidR="00153AD1" w:rsidRPr="00556B9B">
        <w:rPr>
          <w:b/>
          <w:color w:val="000000"/>
          <w:lang w:val="hu-HU" w:eastAsia="hu-HU"/>
        </w:rPr>
        <w:t>vizsgálatban az imatinibbel kombinációban alkalmazott kemoterápiás rezsim</w:t>
      </w:r>
    </w:p>
    <w:p w14:paraId="2403CAC5" w14:textId="77777777" w:rsidR="00153AD1" w:rsidRPr="00556B9B" w:rsidRDefault="00153AD1" w:rsidP="00F926B9">
      <w:pPr>
        <w:pStyle w:val="EndnoteText"/>
        <w:keepNext/>
        <w:widowControl w:val="0"/>
        <w:rPr>
          <w:color w:val="00000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725"/>
      </w:tblGrid>
      <w:tr w:rsidR="00153AD1" w:rsidRPr="00556B9B" w14:paraId="211B0813" w14:textId="77777777" w:rsidTr="00F926B9">
        <w:trPr>
          <w:cantSplit/>
        </w:trPr>
        <w:tc>
          <w:tcPr>
            <w:tcW w:w="2358" w:type="dxa"/>
            <w:shd w:val="clear" w:color="auto" w:fill="auto"/>
          </w:tcPr>
          <w:p w14:paraId="4086B21F" w14:textId="77777777" w:rsidR="00153AD1" w:rsidRPr="00556B9B" w:rsidRDefault="00153AD1" w:rsidP="00DF7747">
            <w:pPr>
              <w:pStyle w:val="EndnoteText"/>
              <w:widowControl w:val="0"/>
              <w:rPr>
                <w:color w:val="000000"/>
                <w:lang w:val="hu-HU"/>
              </w:rPr>
            </w:pPr>
            <w:r w:rsidRPr="00556B9B">
              <w:rPr>
                <w:color w:val="000000"/>
                <w:lang w:val="hu-HU"/>
              </w:rPr>
              <w:t>1. konszolidációs blokk</w:t>
            </w:r>
          </w:p>
          <w:p w14:paraId="0A6C1ED7" w14:textId="77777777" w:rsidR="00153AD1" w:rsidRPr="00556B9B" w:rsidRDefault="00153AD1" w:rsidP="00DF7747">
            <w:pPr>
              <w:pStyle w:val="EndnoteText"/>
              <w:widowControl w:val="0"/>
              <w:rPr>
                <w:color w:val="000000"/>
              </w:rPr>
            </w:pPr>
            <w:r w:rsidRPr="00556B9B">
              <w:rPr>
                <w:color w:val="000000"/>
                <w:lang w:val="hu-HU"/>
              </w:rPr>
              <w:t>(3 hét</w:t>
            </w:r>
            <w:r w:rsidRPr="00556B9B">
              <w:rPr>
                <w:color w:val="000000"/>
              </w:rPr>
              <w:t>)</w:t>
            </w:r>
          </w:p>
        </w:tc>
        <w:tc>
          <w:tcPr>
            <w:tcW w:w="6929" w:type="dxa"/>
            <w:shd w:val="clear" w:color="auto" w:fill="auto"/>
          </w:tcPr>
          <w:p w14:paraId="70E7CDD5" w14:textId="77777777" w:rsidR="00153AD1" w:rsidRPr="00FE57F2" w:rsidRDefault="00153AD1" w:rsidP="00DF7747">
            <w:pPr>
              <w:pStyle w:val="EndnoteText"/>
              <w:widowControl w:val="0"/>
              <w:rPr>
                <w:color w:val="000000"/>
                <w:lang w:val="de-CH"/>
              </w:rPr>
            </w:pPr>
            <w:r w:rsidRPr="00FE57F2">
              <w:rPr>
                <w:color w:val="000000"/>
                <w:lang w:val="de-CH"/>
              </w:rPr>
              <w:t>VP</w:t>
            </w:r>
            <w:r w:rsidRPr="00FE57F2">
              <w:rPr>
                <w:color w:val="000000"/>
                <w:lang w:val="de-CH"/>
              </w:rPr>
              <w:noBreakHyphen/>
              <w:t>16 (100 mg/m</w:t>
            </w:r>
            <w:r w:rsidRPr="00FE57F2">
              <w:rPr>
                <w:color w:val="000000"/>
                <w:vertAlign w:val="superscript"/>
                <w:lang w:val="de-CH"/>
              </w:rPr>
              <w:t>2</w:t>
            </w:r>
            <w:r w:rsidRPr="00FE57F2">
              <w:rPr>
                <w:color w:val="000000"/>
                <w:lang w:val="de-CH"/>
              </w:rPr>
              <w:t>/nap, iv.): 1</w:t>
            </w:r>
            <w:r w:rsidRPr="00FE57F2">
              <w:rPr>
                <w:color w:val="000000"/>
                <w:lang w:val="de-CH"/>
              </w:rPr>
              <w:noBreakHyphen/>
              <w:t>5. nap</w:t>
            </w:r>
          </w:p>
          <w:p w14:paraId="07D05945" w14:textId="77777777" w:rsidR="00153AD1" w:rsidRPr="00556B9B" w:rsidRDefault="00153AD1" w:rsidP="00DF7747">
            <w:pPr>
              <w:pStyle w:val="EndnoteText"/>
              <w:widowControl w:val="0"/>
              <w:rPr>
                <w:color w:val="000000"/>
              </w:rPr>
            </w:pPr>
            <w:r w:rsidRPr="00556B9B">
              <w:rPr>
                <w:color w:val="000000"/>
              </w:rPr>
              <w:t>Ifoszfamid (1,8 g/m</w:t>
            </w:r>
            <w:r w:rsidRPr="00556B9B">
              <w:rPr>
                <w:color w:val="000000"/>
                <w:vertAlign w:val="superscript"/>
              </w:rPr>
              <w:t>2</w:t>
            </w:r>
            <w:r w:rsidRPr="00556B9B">
              <w:rPr>
                <w:color w:val="000000"/>
              </w:rPr>
              <w:t>/nap, iv.): 1</w:t>
            </w:r>
            <w:r w:rsidRPr="00556B9B">
              <w:rPr>
                <w:color w:val="000000"/>
              </w:rPr>
              <w:noBreakHyphen/>
              <w:t>5. nap</w:t>
            </w:r>
          </w:p>
          <w:p w14:paraId="5EFD6D54" w14:textId="77777777" w:rsidR="00153AD1" w:rsidRPr="00556B9B" w:rsidRDefault="00153AD1" w:rsidP="00DF7747">
            <w:pPr>
              <w:pStyle w:val="EndnoteText"/>
              <w:widowControl w:val="0"/>
              <w:rPr>
                <w:color w:val="000000"/>
              </w:rPr>
            </w:pPr>
            <w:r w:rsidRPr="00556B9B">
              <w:rPr>
                <w:color w:val="000000"/>
              </w:rPr>
              <w:t>MESNA (360 mg/m</w:t>
            </w:r>
            <w:r w:rsidRPr="00556B9B">
              <w:rPr>
                <w:color w:val="000000"/>
                <w:vertAlign w:val="superscript"/>
              </w:rPr>
              <w:t>2</w:t>
            </w:r>
            <w:r w:rsidRPr="00556B9B">
              <w:rPr>
                <w:color w:val="000000"/>
              </w:rPr>
              <w:t>/dózis 3 óránként, 8 dózis/nap, iv.): 1</w:t>
            </w:r>
            <w:r w:rsidRPr="00556B9B">
              <w:rPr>
                <w:color w:val="000000"/>
              </w:rPr>
              <w:noBreakHyphen/>
              <w:t>5. nap</w:t>
            </w:r>
          </w:p>
          <w:p w14:paraId="3B58115F" w14:textId="77777777" w:rsidR="00153AD1" w:rsidRPr="00556B9B" w:rsidRDefault="00153AD1" w:rsidP="00DF7747">
            <w:pPr>
              <w:pStyle w:val="EndnoteText"/>
              <w:widowControl w:val="0"/>
              <w:rPr>
                <w:color w:val="000000"/>
              </w:rPr>
            </w:pPr>
            <w:r w:rsidRPr="00556B9B">
              <w:rPr>
                <w:color w:val="000000"/>
              </w:rPr>
              <w:t>G</w:t>
            </w:r>
            <w:r w:rsidRPr="00556B9B">
              <w:rPr>
                <w:color w:val="000000"/>
              </w:rPr>
              <w:noBreakHyphen/>
              <w:t>CSF (5 μg/kg, sc.): 6</w:t>
            </w:r>
            <w:r w:rsidRPr="00556B9B">
              <w:rPr>
                <w:color w:val="000000"/>
              </w:rPr>
              <w:noBreakHyphen/>
              <w:t>15. nap vagy addig, amíg az ANC &gt; 1500 a mélypont után</w:t>
            </w:r>
          </w:p>
          <w:p w14:paraId="3C9F4BE5" w14:textId="77777777" w:rsidR="00153AD1" w:rsidRPr="00556B9B" w:rsidRDefault="00153AD1" w:rsidP="00DF7747">
            <w:pPr>
              <w:pStyle w:val="EndnoteText"/>
              <w:widowControl w:val="0"/>
              <w:rPr>
                <w:color w:val="000000"/>
              </w:rPr>
            </w:pPr>
            <w:r w:rsidRPr="00556B9B">
              <w:rPr>
                <w:color w:val="000000"/>
              </w:rPr>
              <w:t>i.t. metotrexát (életkorra korrigált): CSAK az 1. nap</w:t>
            </w:r>
          </w:p>
          <w:p w14:paraId="462F56A0" w14:textId="77777777" w:rsidR="00153AD1" w:rsidRPr="00556B9B" w:rsidRDefault="00153AD1" w:rsidP="00DF7747">
            <w:pPr>
              <w:pStyle w:val="EndnoteText"/>
              <w:widowControl w:val="0"/>
              <w:rPr>
                <w:color w:val="000000"/>
              </w:rPr>
            </w:pPr>
            <w:r w:rsidRPr="00556B9B">
              <w:rPr>
                <w:color w:val="000000"/>
              </w:rPr>
              <w:t>Hármas i.t. kezelés (életkorra korrigált): 8., 15. nap</w:t>
            </w:r>
          </w:p>
        </w:tc>
      </w:tr>
      <w:tr w:rsidR="00153AD1" w:rsidRPr="00556B9B" w14:paraId="32A473C0" w14:textId="77777777" w:rsidTr="00F926B9">
        <w:trPr>
          <w:cantSplit/>
        </w:trPr>
        <w:tc>
          <w:tcPr>
            <w:tcW w:w="2358" w:type="dxa"/>
            <w:shd w:val="clear" w:color="auto" w:fill="auto"/>
          </w:tcPr>
          <w:p w14:paraId="2511937A" w14:textId="77777777" w:rsidR="00153AD1" w:rsidRPr="00556B9B" w:rsidRDefault="00153AD1" w:rsidP="00DF7747">
            <w:pPr>
              <w:pStyle w:val="EndnoteText"/>
              <w:widowControl w:val="0"/>
              <w:rPr>
                <w:color w:val="000000"/>
              </w:rPr>
            </w:pPr>
            <w:r w:rsidRPr="00556B9B">
              <w:rPr>
                <w:color w:val="000000"/>
              </w:rPr>
              <w:t>2. konszolidációs blokk</w:t>
            </w:r>
          </w:p>
          <w:p w14:paraId="2E53693E" w14:textId="77777777" w:rsidR="00153AD1" w:rsidRPr="00556B9B" w:rsidRDefault="00153AD1" w:rsidP="00DF7747">
            <w:pPr>
              <w:pStyle w:val="EndnoteText"/>
              <w:widowControl w:val="0"/>
              <w:rPr>
                <w:color w:val="000000"/>
              </w:rPr>
            </w:pPr>
            <w:r w:rsidRPr="00556B9B">
              <w:rPr>
                <w:color w:val="000000"/>
              </w:rPr>
              <w:t>(3 hét)</w:t>
            </w:r>
          </w:p>
        </w:tc>
        <w:tc>
          <w:tcPr>
            <w:tcW w:w="6929" w:type="dxa"/>
            <w:shd w:val="clear" w:color="auto" w:fill="auto"/>
          </w:tcPr>
          <w:p w14:paraId="50F932A9" w14:textId="77777777" w:rsidR="00153AD1" w:rsidRPr="00556B9B" w:rsidRDefault="00153AD1" w:rsidP="00DF7747">
            <w:pPr>
              <w:pStyle w:val="EndnoteText"/>
              <w:widowControl w:val="0"/>
              <w:rPr>
                <w:color w:val="000000"/>
              </w:rPr>
            </w:pPr>
            <w:r w:rsidRPr="00556B9B">
              <w:rPr>
                <w:color w:val="000000"/>
              </w:rPr>
              <w:t>Metotrexát (5 g/m</w:t>
            </w:r>
            <w:r w:rsidRPr="00556B9B">
              <w:rPr>
                <w:color w:val="000000"/>
                <w:vertAlign w:val="superscript"/>
              </w:rPr>
              <w:t>2</w:t>
            </w:r>
            <w:r w:rsidRPr="00556B9B">
              <w:rPr>
                <w:color w:val="000000"/>
              </w:rPr>
              <w:t xml:space="preserve"> 24 óra alatt, iv.): 1. nap</w:t>
            </w:r>
          </w:p>
          <w:p w14:paraId="03194DA6" w14:textId="77777777" w:rsidR="00153AD1" w:rsidRPr="00556B9B" w:rsidRDefault="00153AD1" w:rsidP="00DF7747">
            <w:pPr>
              <w:pStyle w:val="EndnoteText"/>
              <w:widowControl w:val="0"/>
              <w:rPr>
                <w:color w:val="000000"/>
              </w:rPr>
            </w:pPr>
            <w:r w:rsidRPr="00556B9B">
              <w:rPr>
                <w:color w:val="000000"/>
              </w:rPr>
              <w:t>Leukovorin (75 mg/m</w:t>
            </w:r>
            <w:r w:rsidRPr="00556B9B">
              <w:rPr>
                <w:color w:val="000000"/>
                <w:vertAlign w:val="superscript"/>
              </w:rPr>
              <w:t>2</w:t>
            </w:r>
            <w:r w:rsidRPr="00556B9B">
              <w:rPr>
                <w:color w:val="000000"/>
              </w:rPr>
              <w:t xml:space="preserve"> a 36. órában, iv.</w:t>
            </w:r>
            <w:r w:rsidRPr="00556B9B">
              <w:rPr>
                <w:color w:val="000000"/>
                <w:lang w:val="en-US"/>
              </w:rPr>
              <w:t>; 15 mg/m</w:t>
            </w:r>
            <w:r w:rsidRPr="00556B9B">
              <w:rPr>
                <w:color w:val="000000"/>
                <w:vertAlign w:val="superscript"/>
                <w:lang w:val="en-US"/>
              </w:rPr>
              <w:t>2</w:t>
            </w:r>
            <w:r w:rsidRPr="00556B9B">
              <w:rPr>
                <w:color w:val="000000"/>
                <w:lang w:val="en-US"/>
              </w:rPr>
              <w:t xml:space="preserve"> iv. vagy p.o. </w:t>
            </w:r>
            <w:r w:rsidRPr="00556B9B">
              <w:rPr>
                <w:color w:val="000000"/>
              </w:rPr>
              <w:t>6 óránként, 6 dózis)iii: 2. és 3. nap</w:t>
            </w:r>
          </w:p>
          <w:p w14:paraId="7CC47B05" w14:textId="77777777" w:rsidR="00153AD1" w:rsidRPr="00556B9B" w:rsidRDefault="00153AD1" w:rsidP="00DF7747">
            <w:pPr>
              <w:pStyle w:val="EndnoteText"/>
              <w:widowControl w:val="0"/>
              <w:rPr>
                <w:color w:val="000000"/>
              </w:rPr>
            </w:pPr>
            <w:r w:rsidRPr="00556B9B">
              <w:rPr>
                <w:color w:val="000000"/>
              </w:rPr>
              <w:t>Hármas i.t. kezelés (életkorra korrigált): 1. nap</w:t>
            </w:r>
          </w:p>
          <w:p w14:paraId="18B064FC" w14:textId="77777777" w:rsidR="00153AD1" w:rsidRPr="00556B9B" w:rsidRDefault="00153AD1" w:rsidP="00DF7747">
            <w:pPr>
              <w:pStyle w:val="EndnoteText"/>
              <w:widowControl w:val="0"/>
              <w:rPr>
                <w:color w:val="000000"/>
              </w:rPr>
            </w:pPr>
            <w:r w:rsidRPr="00556B9B">
              <w:rPr>
                <w:color w:val="000000"/>
              </w:rPr>
              <w:t>ARA</w:t>
            </w:r>
            <w:r w:rsidRPr="00556B9B">
              <w:rPr>
                <w:color w:val="000000"/>
              </w:rPr>
              <w:noBreakHyphen/>
              <w:t>C (3 g/m</w:t>
            </w:r>
            <w:r w:rsidRPr="00556B9B">
              <w:rPr>
                <w:color w:val="000000"/>
                <w:vertAlign w:val="superscript"/>
              </w:rPr>
              <w:t>2</w:t>
            </w:r>
            <w:r w:rsidRPr="00556B9B">
              <w:rPr>
                <w:color w:val="000000"/>
              </w:rPr>
              <w:t>/dózis 12 óránként x 4, iv.): 2. és 3. nap</w:t>
            </w:r>
          </w:p>
          <w:p w14:paraId="421ECCD2" w14:textId="77777777" w:rsidR="00153AD1" w:rsidRPr="00556B9B" w:rsidRDefault="00153AD1" w:rsidP="00DF7747">
            <w:pPr>
              <w:pStyle w:val="EndnoteText"/>
              <w:widowControl w:val="0"/>
              <w:rPr>
                <w:color w:val="000000"/>
              </w:rPr>
            </w:pPr>
            <w:r w:rsidRPr="00556B9B">
              <w:rPr>
                <w:color w:val="000000"/>
              </w:rPr>
              <w:t>G</w:t>
            </w:r>
            <w:r w:rsidRPr="00556B9B">
              <w:rPr>
                <w:color w:val="000000"/>
              </w:rPr>
              <w:noBreakHyphen/>
              <w:t>CSF (5 μg/kg, sc.): 4</w:t>
            </w:r>
            <w:r w:rsidRPr="00556B9B">
              <w:rPr>
                <w:color w:val="000000"/>
              </w:rPr>
              <w:noBreakHyphen/>
              <w:t>13. nap vagy addig, amíg az ANC &gt; 1500 a mélypont után</w:t>
            </w:r>
          </w:p>
        </w:tc>
      </w:tr>
      <w:tr w:rsidR="00153AD1" w:rsidRPr="00462020" w14:paraId="372E0468" w14:textId="77777777" w:rsidTr="00F926B9">
        <w:trPr>
          <w:cantSplit/>
        </w:trPr>
        <w:tc>
          <w:tcPr>
            <w:tcW w:w="2358" w:type="dxa"/>
            <w:shd w:val="clear" w:color="auto" w:fill="auto"/>
          </w:tcPr>
          <w:p w14:paraId="69F94FF5" w14:textId="77777777" w:rsidR="00153AD1" w:rsidRPr="00556B9B" w:rsidRDefault="00153AD1" w:rsidP="00DF7747">
            <w:pPr>
              <w:pStyle w:val="EndnoteText"/>
              <w:widowControl w:val="0"/>
              <w:rPr>
                <w:color w:val="000000"/>
              </w:rPr>
            </w:pPr>
            <w:r w:rsidRPr="00556B9B">
              <w:rPr>
                <w:color w:val="000000"/>
              </w:rPr>
              <w:lastRenderedPageBreak/>
              <w:t>1. reindukciós blokk</w:t>
            </w:r>
          </w:p>
          <w:p w14:paraId="1C7D6796" w14:textId="77777777" w:rsidR="00153AD1" w:rsidRPr="00556B9B" w:rsidRDefault="00153AD1" w:rsidP="00DF7747">
            <w:pPr>
              <w:pStyle w:val="EndnoteText"/>
              <w:widowControl w:val="0"/>
              <w:rPr>
                <w:color w:val="000000"/>
              </w:rPr>
            </w:pPr>
            <w:r w:rsidRPr="00556B9B">
              <w:rPr>
                <w:color w:val="000000"/>
              </w:rPr>
              <w:t>(3 hét)</w:t>
            </w:r>
          </w:p>
        </w:tc>
        <w:tc>
          <w:tcPr>
            <w:tcW w:w="6929" w:type="dxa"/>
            <w:shd w:val="clear" w:color="auto" w:fill="auto"/>
          </w:tcPr>
          <w:p w14:paraId="11FBA975" w14:textId="77777777" w:rsidR="00153AD1" w:rsidRPr="00556B9B" w:rsidRDefault="00153AD1" w:rsidP="00DF7747">
            <w:pPr>
              <w:pStyle w:val="EndnoteText"/>
              <w:widowControl w:val="0"/>
              <w:rPr>
                <w:color w:val="000000"/>
              </w:rPr>
            </w:pPr>
            <w:r w:rsidRPr="00556B9B">
              <w:rPr>
                <w:color w:val="000000"/>
              </w:rPr>
              <w:t>VCR (1,5 mg/m</w:t>
            </w:r>
            <w:r w:rsidRPr="00556B9B">
              <w:rPr>
                <w:color w:val="000000"/>
                <w:vertAlign w:val="superscript"/>
              </w:rPr>
              <w:t>2</w:t>
            </w:r>
            <w:r w:rsidRPr="00556B9B">
              <w:rPr>
                <w:color w:val="000000"/>
              </w:rPr>
              <w:t>/nap, iv.): 1., 8. és 15. nap</w:t>
            </w:r>
          </w:p>
          <w:p w14:paraId="7EA0974F" w14:textId="77777777" w:rsidR="00153AD1" w:rsidRPr="00556B9B" w:rsidRDefault="00153AD1" w:rsidP="00DF7747">
            <w:pPr>
              <w:pStyle w:val="EndnoteText"/>
              <w:widowControl w:val="0"/>
              <w:rPr>
                <w:color w:val="000000"/>
              </w:rPr>
            </w:pPr>
            <w:r w:rsidRPr="00556B9B">
              <w:rPr>
                <w:color w:val="000000"/>
              </w:rPr>
              <w:t>DAUN (45 mg/m</w:t>
            </w:r>
            <w:r w:rsidRPr="00556B9B">
              <w:rPr>
                <w:color w:val="000000"/>
                <w:vertAlign w:val="superscript"/>
              </w:rPr>
              <w:t>2</w:t>
            </w:r>
            <w:r w:rsidRPr="00556B9B">
              <w:rPr>
                <w:color w:val="000000"/>
              </w:rPr>
              <w:t>/nap bólus, iv.): 1. és 2. nap</w:t>
            </w:r>
          </w:p>
          <w:p w14:paraId="71D9BF89" w14:textId="77777777" w:rsidR="00153AD1" w:rsidRPr="00556B9B" w:rsidRDefault="00153AD1" w:rsidP="00DF7747">
            <w:pPr>
              <w:pStyle w:val="EndnoteText"/>
              <w:widowControl w:val="0"/>
              <w:rPr>
                <w:color w:val="000000"/>
              </w:rPr>
            </w:pPr>
            <w:r w:rsidRPr="00556B9B">
              <w:rPr>
                <w:color w:val="000000"/>
              </w:rPr>
              <w:t>CPM (250 mg/m</w:t>
            </w:r>
            <w:r w:rsidRPr="00556B9B">
              <w:rPr>
                <w:color w:val="000000"/>
                <w:vertAlign w:val="superscript"/>
              </w:rPr>
              <w:t>2</w:t>
            </w:r>
            <w:r w:rsidRPr="00556B9B">
              <w:rPr>
                <w:color w:val="000000"/>
              </w:rPr>
              <w:t>/dózis 12 óránként, 4 dózis, iv.): 3. és 4. nap</w:t>
            </w:r>
          </w:p>
          <w:p w14:paraId="4995E521" w14:textId="77777777" w:rsidR="00153AD1" w:rsidRPr="00556B9B" w:rsidRDefault="00153AD1" w:rsidP="00DF7747">
            <w:pPr>
              <w:pStyle w:val="EndnoteText"/>
              <w:widowControl w:val="0"/>
              <w:rPr>
                <w:color w:val="000000"/>
                <w:lang w:val="it-IT"/>
              </w:rPr>
            </w:pPr>
            <w:r w:rsidRPr="00556B9B">
              <w:rPr>
                <w:color w:val="000000"/>
                <w:lang w:val="it-IT"/>
              </w:rPr>
              <w:t>PEG</w:t>
            </w:r>
            <w:r w:rsidRPr="00556B9B">
              <w:rPr>
                <w:color w:val="000000"/>
                <w:lang w:val="it-IT"/>
              </w:rPr>
              <w:noBreakHyphen/>
              <w:t>ASP (2500 NE/m</w:t>
            </w:r>
            <w:r w:rsidRPr="00556B9B">
              <w:rPr>
                <w:color w:val="000000"/>
                <w:vertAlign w:val="superscript"/>
                <w:lang w:val="it-IT"/>
              </w:rPr>
              <w:t>2</w:t>
            </w:r>
            <w:r w:rsidRPr="00556B9B">
              <w:rPr>
                <w:color w:val="000000"/>
                <w:lang w:val="it-IT"/>
              </w:rPr>
              <w:t>, i.m.): 4. nap</w:t>
            </w:r>
          </w:p>
          <w:p w14:paraId="1683EE4B" w14:textId="77777777" w:rsidR="00153AD1" w:rsidRPr="00556B9B" w:rsidRDefault="00153AD1" w:rsidP="00DF7747">
            <w:pPr>
              <w:pStyle w:val="EndnoteText"/>
              <w:widowControl w:val="0"/>
              <w:rPr>
                <w:color w:val="000000"/>
                <w:lang w:val="it-IT"/>
              </w:rPr>
            </w:pPr>
            <w:r w:rsidRPr="00556B9B">
              <w:rPr>
                <w:color w:val="000000"/>
                <w:lang w:val="it-IT"/>
              </w:rPr>
              <w:t>G</w:t>
            </w:r>
            <w:r w:rsidRPr="00556B9B">
              <w:rPr>
                <w:color w:val="000000"/>
                <w:lang w:val="it-IT"/>
              </w:rPr>
              <w:noBreakHyphen/>
              <w:t>CSF (5 </w:t>
            </w:r>
            <w:r w:rsidRPr="00556B9B">
              <w:rPr>
                <w:color w:val="000000"/>
              </w:rPr>
              <w:t>μ</w:t>
            </w:r>
            <w:r w:rsidRPr="00556B9B">
              <w:rPr>
                <w:color w:val="000000"/>
                <w:lang w:val="it-IT"/>
              </w:rPr>
              <w:t>g/kg, sc.): 5</w:t>
            </w:r>
            <w:r w:rsidRPr="00556B9B">
              <w:rPr>
                <w:color w:val="000000"/>
                <w:lang w:val="it-IT"/>
              </w:rPr>
              <w:noBreakHyphen/>
              <w:t>14. nap vagy addig, amíg az ANC &gt; 1500 a mélypont után</w:t>
            </w:r>
          </w:p>
          <w:p w14:paraId="5E597BC6" w14:textId="77777777" w:rsidR="00153AD1" w:rsidRPr="00556B9B" w:rsidRDefault="00153AD1" w:rsidP="00DF7747">
            <w:pPr>
              <w:pStyle w:val="EndnoteText"/>
              <w:widowControl w:val="0"/>
              <w:rPr>
                <w:color w:val="000000"/>
                <w:lang w:val="it-IT"/>
              </w:rPr>
            </w:pPr>
            <w:r w:rsidRPr="00556B9B">
              <w:rPr>
                <w:color w:val="000000"/>
                <w:lang w:val="it-IT"/>
              </w:rPr>
              <w:t>Hármas i.t. kezelés (életkorra korrigált): 1. és 15. nap</w:t>
            </w:r>
          </w:p>
          <w:p w14:paraId="29EE548A" w14:textId="77777777" w:rsidR="00153AD1" w:rsidRPr="00FE57F2" w:rsidRDefault="00153AD1" w:rsidP="00DF7747">
            <w:pPr>
              <w:pStyle w:val="EndnoteText"/>
              <w:widowControl w:val="0"/>
              <w:rPr>
                <w:color w:val="000000"/>
                <w:lang w:val="it-IT"/>
              </w:rPr>
            </w:pPr>
            <w:r w:rsidRPr="00FE57F2">
              <w:rPr>
                <w:color w:val="000000"/>
                <w:lang w:val="it-IT"/>
              </w:rPr>
              <w:t>DEX (6 mg/m</w:t>
            </w:r>
            <w:r w:rsidRPr="00FE57F2">
              <w:rPr>
                <w:color w:val="000000"/>
                <w:vertAlign w:val="superscript"/>
                <w:lang w:val="it-IT"/>
              </w:rPr>
              <w:t>2</w:t>
            </w:r>
            <w:r w:rsidRPr="00FE57F2">
              <w:rPr>
                <w:color w:val="000000"/>
                <w:lang w:val="it-IT"/>
              </w:rPr>
              <w:t>/nap, p.o.): 1</w:t>
            </w:r>
            <w:r w:rsidRPr="00FE57F2">
              <w:rPr>
                <w:color w:val="000000"/>
                <w:lang w:val="it-IT"/>
              </w:rPr>
              <w:noBreakHyphen/>
              <w:t>7. és 15</w:t>
            </w:r>
            <w:r w:rsidRPr="00FE57F2">
              <w:rPr>
                <w:color w:val="000000"/>
                <w:lang w:val="it-IT"/>
              </w:rPr>
              <w:noBreakHyphen/>
              <w:t>21. nap</w:t>
            </w:r>
          </w:p>
        </w:tc>
      </w:tr>
      <w:tr w:rsidR="00153AD1" w:rsidRPr="00462020" w14:paraId="11202365" w14:textId="77777777" w:rsidTr="00F926B9">
        <w:trPr>
          <w:cantSplit/>
        </w:trPr>
        <w:tc>
          <w:tcPr>
            <w:tcW w:w="2358" w:type="dxa"/>
            <w:shd w:val="clear" w:color="auto" w:fill="auto"/>
          </w:tcPr>
          <w:p w14:paraId="7B6BCE30" w14:textId="77777777" w:rsidR="00153AD1" w:rsidRPr="00556B9B" w:rsidRDefault="00153AD1" w:rsidP="00DF7747">
            <w:pPr>
              <w:pStyle w:val="EndnoteText"/>
              <w:widowControl w:val="0"/>
              <w:rPr>
                <w:color w:val="000000"/>
              </w:rPr>
            </w:pPr>
            <w:r w:rsidRPr="00556B9B">
              <w:rPr>
                <w:color w:val="000000"/>
              </w:rPr>
              <w:t>1. intenzifikációs blokk</w:t>
            </w:r>
          </w:p>
          <w:p w14:paraId="71D2016B" w14:textId="77777777" w:rsidR="00153AD1" w:rsidRPr="00556B9B" w:rsidRDefault="00153AD1" w:rsidP="00DF7747">
            <w:pPr>
              <w:pStyle w:val="EndnoteText"/>
              <w:widowControl w:val="0"/>
              <w:rPr>
                <w:color w:val="000000"/>
              </w:rPr>
            </w:pPr>
            <w:r w:rsidRPr="00556B9B">
              <w:rPr>
                <w:color w:val="000000"/>
              </w:rPr>
              <w:t>(9 hét)</w:t>
            </w:r>
          </w:p>
        </w:tc>
        <w:tc>
          <w:tcPr>
            <w:tcW w:w="6929" w:type="dxa"/>
            <w:shd w:val="clear" w:color="auto" w:fill="auto"/>
          </w:tcPr>
          <w:p w14:paraId="208D5AFC" w14:textId="77777777" w:rsidR="00153AD1" w:rsidRPr="00556B9B" w:rsidRDefault="00153AD1" w:rsidP="00DF7747">
            <w:pPr>
              <w:pStyle w:val="EndnoteText"/>
              <w:widowControl w:val="0"/>
              <w:rPr>
                <w:color w:val="000000"/>
              </w:rPr>
            </w:pPr>
            <w:r w:rsidRPr="00556B9B">
              <w:rPr>
                <w:color w:val="000000"/>
              </w:rPr>
              <w:t>Metotrexát (5 g/m</w:t>
            </w:r>
            <w:r w:rsidRPr="00556B9B">
              <w:rPr>
                <w:color w:val="000000"/>
                <w:vertAlign w:val="superscript"/>
              </w:rPr>
              <w:t>2</w:t>
            </w:r>
            <w:r w:rsidRPr="00556B9B">
              <w:rPr>
                <w:color w:val="000000"/>
              </w:rPr>
              <w:t xml:space="preserve"> 24 óra alatt, iv.): 1. és 15. nap</w:t>
            </w:r>
          </w:p>
          <w:p w14:paraId="69E84BC9" w14:textId="77777777" w:rsidR="00153AD1" w:rsidRPr="00556B9B" w:rsidRDefault="00153AD1" w:rsidP="00DF7747">
            <w:pPr>
              <w:pStyle w:val="EndnoteText"/>
              <w:widowControl w:val="0"/>
              <w:rPr>
                <w:color w:val="000000"/>
              </w:rPr>
            </w:pPr>
            <w:r w:rsidRPr="00556B9B">
              <w:rPr>
                <w:color w:val="000000"/>
              </w:rPr>
              <w:t>Leukovorin (75 mg/m</w:t>
            </w:r>
            <w:r w:rsidRPr="00556B9B">
              <w:rPr>
                <w:color w:val="000000"/>
                <w:vertAlign w:val="superscript"/>
              </w:rPr>
              <w:t>2</w:t>
            </w:r>
            <w:r w:rsidRPr="00556B9B">
              <w:rPr>
                <w:color w:val="000000"/>
              </w:rPr>
              <w:t xml:space="preserve"> a 36. órában, iv.; 15 mg/m</w:t>
            </w:r>
            <w:r w:rsidRPr="00556B9B">
              <w:rPr>
                <w:color w:val="000000"/>
                <w:vertAlign w:val="superscript"/>
              </w:rPr>
              <w:t>2</w:t>
            </w:r>
            <w:r w:rsidRPr="00556B9B">
              <w:rPr>
                <w:color w:val="000000"/>
              </w:rPr>
              <w:t xml:space="preserve"> iv. vagy p.o. 6 óránként, 6 dózis)iii: 2., 3., 16. és 17. nap</w:t>
            </w:r>
          </w:p>
          <w:p w14:paraId="0FB060D9" w14:textId="77777777" w:rsidR="00153AD1" w:rsidRPr="00556B9B" w:rsidRDefault="00153AD1" w:rsidP="00DF7747">
            <w:pPr>
              <w:pStyle w:val="EndnoteText"/>
              <w:widowControl w:val="0"/>
              <w:rPr>
                <w:color w:val="000000"/>
              </w:rPr>
            </w:pPr>
            <w:r w:rsidRPr="00556B9B">
              <w:rPr>
                <w:color w:val="000000"/>
              </w:rPr>
              <w:t>Hármas i.t. kezelés (életkorra korrigált): 1. és 22. nap</w:t>
            </w:r>
          </w:p>
          <w:p w14:paraId="7C801DD9" w14:textId="77777777" w:rsidR="00153AD1" w:rsidRPr="00FE57F2" w:rsidRDefault="00153AD1" w:rsidP="00DF7747">
            <w:pPr>
              <w:pStyle w:val="EndnoteText"/>
              <w:widowControl w:val="0"/>
              <w:rPr>
                <w:color w:val="000000"/>
                <w:lang w:val="de-CH"/>
              </w:rPr>
            </w:pPr>
            <w:r w:rsidRPr="00FE57F2">
              <w:rPr>
                <w:color w:val="000000"/>
                <w:lang w:val="de-CH"/>
              </w:rPr>
              <w:t>VP</w:t>
            </w:r>
            <w:r w:rsidRPr="00FE57F2">
              <w:rPr>
                <w:color w:val="000000"/>
                <w:lang w:val="de-CH"/>
              </w:rPr>
              <w:noBreakHyphen/>
              <w:t>16 (100 mg/m</w:t>
            </w:r>
            <w:r w:rsidRPr="00FE57F2">
              <w:rPr>
                <w:color w:val="000000"/>
                <w:vertAlign w:val="superscript"/>
                <w:lang w:val="de-CH"/>
              </w:rPr>
              <w:t>2</w:t>
            </w:r>
            <w:r w:rsidRPr="00FE57F2">
              <w:rPr>
                <w:color w:val="000000"/>
                <w:lang w:val="de-CH"/>
              </w:rPr>
              <w:t>/nap, iv.): 22</w:t>
            </w:r>
            <w:r w:rsidRPr="00FE57F2">
              <w:rPr>
                <w:color w:val="000000"/>
                <w:lang w:val="de-CH"/>
              </w:rPr>
              <w:noBreakHyphen/>
              <w:t>26. nap</w:t>
            </w:r>
          </w:p>
          <w:p w14:paraId="5A0616CD" w14:textId="77777777" w:rsidR="00153AD1" w:rsidRPr="00FE57F2" w:rsidRDefault="00153AD1" w:rsidP="00DF7747">
            <w:pPr>
              <w:pStyle w:val="EndnoteText"/>
              <w:widowControl w:val="0"/>
              <w:rPr>
                <w:color w:val="000000"/>
                <w:lang w:val="de-CH"/>
              </w:rPr>
            </w:pPr>
            <w:r w:rsidRPr="00FE57F2">
              <w:rPr>
                <w:color w:val="000000"/>
                <w:lang w:val="de-CH"/>
              </w:rPr>
              <w:t>CPM (300 mg/m</w:t>
            </w:r>
            <w:r w:rsidRPr="00FE57F2">
              <w:rPr>
                <w:color w:val="000000"/>
                <w:vertAlign w:val="superscript"/>
                <w:lang w:val="de-CH"/>
              </w:rPr>
              <w:t>2</w:t>
            </w:r>
            <w:r w:rsidRPr="00FE57F2">
              <w:rPr>
                <w:color w:val="000000"/>
                <w:lang w:val="de-CH"/>
              </w:rPr>
              <w:t>/nap, iv.): 22</w:t>
            </w:r>
            <w:r w:rsidRPr="00FE57F2">
              <w:rPr>
                <w:color w:val="000000"/>
                <w:lang w:val="de-CH"/>
              </w:rPr>
              <w:noBreakHyphen/>
              <w:t>26. nap</w:t>
            </w:r>
          </w:p>
          <w:p w14:paraId="36A591D0" w14:textId="77777777" w:rsidR="00153AD1" w:rsidRPr="00FE57F2" w:rsidRDefault="00153AD1" w:rsidP="00DF7747">
            <w:pPr>
              <w:pStyle w:val="EndnoteText"/>
              <w:widowControl w:val="0"/>
              <w:rPr>
                <w:color w:val="000000"/>
                <w:lang w:val="de-CH"/>
              </w:rPr>
            </w:pPr>
            <w:r w:rsidRPr="00FE57F2">
              <w:rPr>
                <w:color w:val="000000"/>
                <w:lang w:val="de-CH"/>
              </w:rPr>
              <w:t>MESNA (150 mg/m</w:t>
            </w:r>
            <w:r w:rsidRPr="00FE57F2">
              <w:rPr>
                <w:color w:val="000000"/>
                <w:vertAlign w:val="superscript"/>
                <w:lang w:val="de-CH"/>
              </w:rPr>
              <w:t>2</w:t>
            </w:r>
            <w:r w:rsidRPr="00FE57F2">
              <w:rPr>
                <w:color w:val="000000"/>
                <w:lang w:val="de-CH"/>
              </w:rPr>
              <w:t>/nap, iv.): 22</w:t>
            </w:r>
            <w:r w:rsidRPr="00FE57F2">
              <w:rPr>
                <w:color w:val="000000"/>
                <w:lang w:val="de-CH"/>
              </w:rPr>
              <w:noBreakHyphen/>
              <w:t>26. nap</w:t>
            </w:r>
          </w:p>
          <w:p w14:paraId="08D79C27" w14:textId="77777777" w:rsidR="00153AD1" w:rsidRPr="00FE57F2" w:rsidRDefault="00153AD1" w:rsidP="00DF7747">
            <w:pPr>
              <w:pStyle w:val="EndnoteText"/>
              <w:widowControl w:val="0"/>
              <w:rPr>
                <w:color w:val="000000"/>
                <w:lang w:val="de-CH"/>
              </w:rPr>
            </w:pPr>
            <w:r w:rsidRPr="00FE57F2">
              <w:rPr>
                <w:color w:val="000000"/>
                <w:lang w:val="de-CH"/>
              </w:rPr>
              <w:t>G</w:t>
            </w:r>
            <w:r w:rsidRPr="00FE57F2">
              <w:rPr>
                <w:color w:val="000000"/>
                <w:lang w:val="de-CH"/>
              </w:rPr>
              <w:noBreakHyphen/>
              <w:t>CSF (5 </w:t>
            </w:r>
            <w:r w:rsidRPr="00556B9B">
              <w:rPr>
                <w:color w:val="000000"/>
              </w:rPr>
              <w:t>μ</w:t>
            </w:r>
            <w:r w:rsidRPr="00FE57F2">
              <w:rPr>
                <w:color w:val="000000"/>
                <w:lang w:val="de-CH"/>
              </w:rPr>
              <w:t>g/kg, sc.): 27</w:t>
            </w:r>
            <w:r w:rsidRPr="00FE57F2">
              <w:rPr>
                <w:color w:val="000000"/>
                <w:lang w:val="de-CH"/>
              </w:rPr>
              <w:noBreakHyphen/>
              <w:t>36. nap vagy addig, amíg az ANC &gt; 1500 a mélypont után</w:t>
            </w:r>
          </w:p>
          <w:p w14:paraId="528E3180" w14:textId="77777777" w:rsidR="00153AD1" w:rsidRPr="00556B9B" w:rsidRDefault="00153AD1" w:rsidP="00DF7747">
            <w:pPr>
              <w:pStyle w:val="EndnoteText"/>
              <w:widowControl w:val="0"/>
              <w:rPr>
                <w:color w:val="000000"/>
                <w:lang w:val="it-IT"/>
              </w:rPr>
            </w:pPr>
            <w:r w:rsidRPr="00FE57F2">
              <w:rPr>
                <w:color w:val="000000"/>
                <w:lang w:val="es-ES"/>
              </w:rPr>
              <w:t>ARA</w:t>
            </w:r>
            <w:r w:rsidRPr="00FE57F2">
              <w:rPr>
                <w:color w:val="000000"/>
                <w:lang w:val="es-ES"/>
              </w:rPr>
              <w:noBreakHyphen/>
              <w:t>C (3 g/m</w:t>
            </w:r>
            <w:r w:rsidRPr="00FE57F2">
              <w:rPr>
                <w:color w:val="000000"/>
                <w:vertAlign w:val="superscript"/>
                <w:lang w:val="es-ES"/>
              </w:rPr>
              <w:t>2</w:t>
            </w:r>
            <w:r w:rsidRPr="00FE57F2">
              <w:rPr>
                <w:color w:val="000000"/>
                <w:lang w:val="es-ES"/>
              </w:rPr>
              <w:t xml:space="preserve">, 12 óránként, iv.): 43. </w:t>
            </w:r>
            <w:r w:rsidRPr="00556B9B">
              <w:rPr>
                <w:color w:val="000000"/>
                <w:lang w:val="it-IT"/>
              </w:rPr>
              <w:t>44. nap</w:t>
            </w:r>
          </w:p>
          <w:p w14:paraId="340DD138" w14:textId="77777777" w:rsidR="00153AD1" w:rsidRPr="00556B9B" w:rsidRDefault="00153AD1" w:rsidP="00DF7747">
            <w:pPr>
              <w:pStyle w:val="EndnoteText"/>
              <w:widowControl w:val="0"/>
              <w:rPr>
                <w:color w:val="000000"/>
                <w:lang w:val="it-IT"/>
              </w:rPr>
            </w:pPr>
            <w:r w:rsidRPr="00556B9B">
              <w:rPr>
                <w:color w:val="000000"/>
                <w:lang w:val="it-IT"/>
              </w:rPr>
              <w:t>L</w:t>
            </w:r>
            <w:r w:rsidRPr="00556B9B">
              <w:rPr>
                <w:color w:val="000000"/>
                <w:lang w:val="it-IT"/>
              </w:rPr>
              <w:noBreakHyphen/>
              <w:t>ASP (6000 NE/m</w:t>
            </w:r>
            <w:r w:rsidRPr="00556B9B">
              <w:rPr>
                <w:color w:val="000000"/>
                <w:vertAlign w:val="superscript"/>
                <w:lang w:val="it-IT"/>
              </w:rPr>
              <w:t>2</w:t>
            </w:r>
            <w:r w:rsidRPr="00556B9B">
              <w:rPr>
                <w:color w:val="000000"/>
                <w:lang w:val="it-IT"/>
              </w:rPr>
              <w:t>, i.m.): 44. nap</w:t>
            </w:r>
          </w:p>
        </w:tc>
      </w:tr>
      <w:tr w:rsidR="00153AD1" w:rsidRPr="00462020" w14:paraId="3BDE757A" w14:textId="77777777" w:rsidTr="00F926B9">
        <w:trPr>
          <w:cantSplit/>
        </w:trPr>
        <w:tc>
          <w:tcPr>
            <w:tcW w:w="2358" w:type="dxa"/>
            <w:shd w:val="clear" w:color="auto" w:fill="auto"/>
          </w:tcPr>
          <w:p w14:paraId="18FA8933" w14:textId="77777777" w:rsidR="00153AD1" w:rsidRPr="00556B9B" w:rsidRDefault="00153AD1" w:rsidP="00DF7747">
            <w:pPr>
              <w:pStyle w:val="EndnoteText"/>
              <w:widowControl w:val="0"/>
              <w:rPr>
                <w:color w:val="000000"/>
              </w:rPr>
            </w:pPr>
            <w:r w:rsidRPr="00556B9B">
              <w:rPr>
                <w:color w:val="000000"/>
              </w:rPr>
              <w:t>2. reindukciós blokk</w:t>
            </w:r>
          </w:p>
          <w:p w14:paraId="5E6E2325" w14:textId="77777777" w:rsidR="00153AD1" w:rsidRPr="00556B9B" w:rsidRDefault="00153AD1" w:rsidP="00DF7747">
            <w:pPr>
              <w:pStyle w:val="EndnoteText"/>
              <w:widowControl w:val="0"/>
              <w:rPr>
                <w:color w:val="000000"/>
              </w:rPr>
            </w:pPr>
            <w:r w:rsidRPr="00556B9B">
              <w:rPr>
                <w:color w:val="000000"/>
              </w:rPr>
              <w:t>(3 hét)</w:t>
            </w:r>
          </w:p>
        </w:tc>
        <w:tc>
          <w:tcPr>
            <w:tcW w:w="6929" w:type="dxa"/>
            <w:shd w:val="clear" w:color="auto" w:fill="auto"/>
          </w:tcPr>
          <w:p w14:paraId="4247366E" w14:textId="77777777" w:rsidR="00153AD1" w:rsidRPr="00556B9B" w:rsidRDefault="00153AD1" w:rsidP="00DF7747">
            <w:pPr>
              <w:pStyle w:val="EndnoteText"/>
              <w:widowControl w:val="0"/>
              <w:rPr>
                <w:color w:val="000000"/>
              </w:rPr>
            </w:pPr>
            <w:r w:rsidRPr="00556B9B">
              <w:rPr>
                <w:color w:val="000000"/>
              </w:rPr>
              <w:t>VCR (1,5 mg/m</w:t>
            </w:r>
            <w:r w:rsidRPr="00556B9B">
              <w:rPr>
                <w:color w:val="000000"/>
                <w:vertAlign w:val="superscript"/>
              </w:rPr>
              <w:t>2</w:t>
            </w:r>
            <w:r w:rsidRPr="00556B9B">
              <w:rPr>
                <w:color w:val="000000"/>
              </w:rPr>
              <w:t>/nap, iv.): 1., 8. és 15. nap</w:t>
            </w:r>
          </w:p>
          <w:p w14:paraId="40FFFAB2" w14:textId="77777777" w:rsidR="00153AD1" w:rsidRPr="00556B9B" w:rsidRDefault="00153AD1" w:rsidP="00DF7747">
            <w:pPr>
              <w:pStyle w:val="EndnoteText"/>
              <w:widowControl w:val="0"/>
              <w:rPr>
                <w:color w:val="000000"/>
              </w:rPr>
            </w:pPr>
            <w:r w:rsidRPr="00556B9B">
              <w:rPr>
                <w:color w:val="000000"/>
              </w:rPr>
              <w:t>DAUN (45 mg/m</w:t>
            </w:r>
            <w:r w:rsidRPr="00556B9B">
              <w:rPr>
                <w:color w:val="000000"/>
                <w:vertAlign w:val="superscript"/>
              </w:rPr>
              <w:t>2</w:t>
            </w:r>
            <w:r w:rsidRPr="00556B9B">
              <w:rPr>
                <w:color w:val="000000"/>
              </w:rPr>
              <w:t>/nap bólus, iv.): 1. és 2. nap</w:t>
            </w:r>
          </w:p>
          <w:p w14:paraId="3741453F" w14:textId="77777777" w:rsidR="00153AD1" w:rsidRPr="00556B9B" w:rsidRDefault="00153AD1" w:rsidP="00DF7747">
            <w:pPr>
              <w:pStyle w:val="EndnoteText"/>
              <w:widowControl w:val="0"/>
              <w:rPr>
                <w:color w:val="000000"/>
              </w:rPr>
            </w:pPr>
            <w:r w:rsidRPr="00556B9B">
              <w:rPr>
                <w:color w:val="000000"/>
              </w:rPr>
              <w:t>CPM (250 mg/m</w:t>
            </w:r>
            <w:r w:rsidRPr="00556B9B">
              <w:rPr>
                <w:color w:val="000000"/>
                <w:vertAlign w:val="superscript"/>
              </w:rPr>
              <w:t>2</w:t>
            </w:r>
            <w:r w:rsidRPr="00556B9B">
              <w:rPr>
                <w:color w:val="000000"/>
              </w:rPr>
              <w:t>/dózis 12 óránként, 4 dózis, iv.): 3. és 4. nap</w:t>
            </w:r>
          </w:p>
          <w:p w14:paraId="5E0A5FC5" w14:textId="77777777" w:rsidR="00153AD1" w:rsidRPr="00556B9B" w:rsidRDefault="00153AD1" w:rsidP="00DF7747">
            <w:pPr>
              <w:pStyle w:val="EndnoteText"/>
              <w:widowControl w:val="0"/>
              <w:rPr>
                <w:color w:val="000000"/>
                <w:lang w:val="it-IT"/>
              </w:rPr>
            </w:pPr>
            <w:r w:rsidRPr="00556B9B">
              <w:rPr>
                <w:color w:val="000000"/>
                <w:lang w:val="it-IT"/>
              </w:rPr>
              <w:t>PEG</w:t>
            </w:r>
            <w:r w:rsidRPr="00556B9B">
              <w:rPr>
                <w:color w:val="000000"/>
                <w:lang w:val="it-IT"/>
              </w:rPr>
              <w:noBreakHyphen/>
              <w:t>ASP (2500 NE/m</w:t>
            </w:r>
            <w:r w:rsidRPr="00556B9B">
              <w:rPr>
                <w:color w:val="000000"/>
                <w:vertAlign w:val="superscript"/>
                <w:lang w:val="it-IT"/>
              </w:rPr>
              <w:t>2</w:t>
            </w:r>
            <w:r w:rsidRPr="00556B9B">
              <w:rPr>
                <w:color w:val="000000"/>
                <w:lang w:val="it-IT"/>
              </w:rPr>
              <w:t>, i.m.): 4. nap</w:t>
            </w:r>
          </w:p>
          <w:p w14:paraId="4F08F942" w14:textId="77777777" w:rsidR="00153AD1" w:rsidRPr="00556B9B" w:rsidRDefault="00153AD1" w:rsidP="00DF7747">
            <w:pPr>
              <w:pStyle w:val="EndnoteText"/>
              <w:widowControl w:val="0"/>
              <w:rPr>
                <w:color w:val="000000"/>
                <w:lang w:val="it-IT"/>
              </w:rPr>
            </w:pPr>
            <w:r w:rsidRPr="00556B9B">
              <w:rPr>
                <w:color w:val="000000"/>
                <w:lang w:val="it-IT"/>
              </w:rPr>
              <w:t>G</w:t>
            </w:r>
            <w:r w:rsidRPr="00556B9B">
              <w:rPr>
                <w:color w:val="000000"/>
                <w:lang w:val="it-IT"/>
              </w:rPr>
              <w:noBreakHyphen/>
              <w:t>CSF (5 </w:t>
            </w:r>
            <w:r w:rsidRPr="00556B9B">
              <w:rPr>
                <w:color w:val="000000"/>
              </w:rPr>
              <w:t>μ</w:t>
            </w:r>
            <w:r w:rsidRPr="00556B9B">
              <w:rPr>
                <w:color w:val="000000"/>
                <w:lang w:val="it-IT"/>
              </w:rPr>
              <w:t>g/kg, sc.): 5</w:t>
            </w:r>
            <w:r w:rsidRPr="00556B9B">
              <w:rPr>
                <w:color w:val="000000"/>
                <w:lang w:val="it-IT"/>
              </w:rPr>
              <w:noBreakHyphen/>
              <w:t>14. nap vagy addig, amíg az ANC &gt; 1500 a mélypont után</w:t>
            </w:r>
          </w:p>
          <w:p w14:paraId="264F3A03" w14:textId="77777777" w:rsidR="00153AD1" w:rsidRPr="00556B9B" w:rsidRDefault="00153AD1" w:rsidP="00DF7747">
            <w:pPr>
              <w:pStyle w:val="EndnoteText"/>
              <w:widowControl w:val="0"/>
              <w:rPr>
                <w:color w:val="000000"/>
                <w:lang w:val="it-IT"/>
              </w:rPr>
            </w:pPr>
            <w:r w:rsidRPr="00556B9B">
              <w:rPr>
                <w:color w:val="000000"/>
                <w:lang w:val="it-IT"/>
              </w:rPr>
              <w:t>Hármas i.t. kezelés (életkorra korrigált): 1. és 15. nap</w:t>
            </w:r>
          </w:p>
          <w:p w14:paraId="4871412F" w14:textId="77777777" w:rsidR="00153AD1" w:rsidRPr="00FE57F2" w:rsidRDefault="00153AD1" w:rsidP="00DF7747">
            <w:pPr>
              <w:pStyle w:val="EndnoteText"/>
              <w:widowControl w:val="0"/>
              <w:rPr>
                <w:color w:val="000000"/>
                <w:lang w:val="it-IT"/>
              </w:rPr>
            </w:pPr>
            <w:r w:rsidRPr="00FE57F2">
              <w:rPr>
                <w:color w:val="000000"/>
                <w:lang w:val="it-IT"/>
              </w:rPr>
              <w:t>DEX (6 mg/m</w:t>
            </w:r>
            <w:r w:rsidRPr="00FE57F2">
              <w:rPr>
                <w:color w:val="000000"/>
                <w:vertAlign w:val="superscript"/>
                <w:lang w:val="it-IT"/>
              </w:rPr>
              <w:t>2</w:t>
            </w:r>
            <w:r w:rsidRPr="00FE57F2">
              <w:rPr>
                <w:color w:val="000000"/>
                <w:lang w:val="it-IT"/>
              </w:rPr>
              <w:t>/nap, p.o.): 1</w:t>
            </w:r>
            <w:r w:rsidRPr="00FE57F2">
              <w:rPr>
                <w:color w:val="000000"/>
                <w:lang w:val="it-IT"/>
              </w:rPr>
              <w:noBreakHyphen/>
              <w:t>7. és 15</w:t>
            </w:r>
            <w:r w:rsidRPr="00FE57F2">
              <w:rPr>
                <w:color w:val="000000"/>
                <w:lang w:val="it-IT"/>
              </w:rPr>
              <w:noBreakHyphen/>
              <w:t>21. nap</w:t>
            </w:r>
          </w:p>
        </w:tc>
      </w:tr>
      <w:tr w:rsidR="00153AD1" w:rsidRPr="00462020" w14:paraId="154CD73A" w14:textId="77777777" w:rsidTr="00F926B9">
        <w:trPr>
          <w:cantSplit/>
        </w:trPr>
        <w:tc>
          <w:tcPr>
            <w:tcW w:w="2358" w:type="dxa"/>
            <w:shd w:val="clear" w:color="auto" w:fill="auto"/>
          </w:tcPr>
          <w:p w14:paraId="604D9525" w14:textId="77777777" w:rsidR="00153AD1" w:rsidRPr="00556B9B" w:rsidRDefault="00153AD1" w:rsidP="00DF7747">
            <w:pPr>
              <w:pStyle w:val="EndnoteText"/>
              <w:widowControl w:val="0"/>
              <w:rPr>
                <w:color w:val="000000"/>
                <w:lang w:val="it-IT"/>
              </w:rPr>
            </w:pPr>
            <w:r w:rsidRPr="00556B9B">
              <w:rPr>
                <w:color w:val="000000"/>
                <w:lang w:val="it-IT"/>
              </w:rPr>
              <w:t>2. intenzifikációs blokk</w:t>
            </w:r>
          </w:p>
          <w:p w14:paraId="1B5FA5C1" w14:textId="77777777" w:rsidR="00153AD1" w:rsidRPr="00556B9B" w:rsidRDefault="00153AD1" w:rsidP="00DF7747">
            <w:pPr>
              <w:pStyle w:val="EndnoteText"/>
              <w:widowControl w:val="0"/>
              <w:rPr>
                <w:color w:val="000000"/>
                <w:lang w:val="it-IT"/>
              </w:rPr>
            </w:pPr>
            <w:r w:rsidRPr="00556B9B">
              <w:rPr>
                <w:color w:val="000000"/>
                <w:lang w:val="it-IT"/>
              </w:rPr>
              <w:t>(9 hét)</w:t>
            </w:r>
          </w:p>
        </w:tc>
        <w:tc>
          <w:tcPr>
            <w:tcW w:w="6929" w:type="dxa"/>
            <w:shd w:val="clear" w:color="auto" w:fill="auto"/>
          </w:tcPr>
          <w:p w14:paraId="3F669383" w14:textId="77777777" w:rsidR="00153AD1" w:rsidRPr="00556B9B" w:rsidRDefault="00153AD1" w:rsidP="00DF7747">
            <w:pPr>
              <w:pStyle w:val="EndnoteText"/>
              <w:widowControl w:val="0"/>
              <w:rPr>
                <w:color w:val="000000"/>
                <w:lang w:val="it-IT"/>
              </w:rPr>
            </w:pPr>
            <w:r w:rsidRPr="00556B9B">
              <w:rPr>
                <w:color w:val="000000"/>
                <w:lang w:val="it-IT"/>
              </w:rPr>
              <w:t>Metotrexát (5 g/m</w:t>
            </w:r>
            <w:r w:rsidRPr="00556B9B">
              <w:rPr>
                <w:color w:val="000000"/>
                <w:vertAlign w:val="superscript"/>
                <w:lang w:val="it-IT"/>
              </w:rPr>
              <w:t>2</w:t>
            </w:r>
            <w:r w:rsidRPr="00556B9B">
              <w:rPr>
                <w:color w:val="000000"/>
                <w:lang w:val="it-IT"/>
              </w:rPr>
              <w:t xml:space="preserve"> 24 óra alatt, iv.): 1. és 15. nap</w:t>
            </w:r>
          </w:p>
          <w:p w14:paraId="5D35DD7B" w14:textId="77777777" w:rsidR="00153AD1" w:rsidRPr="00556B9B" w:rsidRDefault="00153AD1" w:rsidP="00DF7747">
            <w:pPr>
              <w:pStyle w:val="EndnoteText"/>
              <w:widowControl w:val="0"/>
              <w:rPr>
                <w:color w:val="000000"/>
                <w:lang w:val="it-IT"/>
              </w:rPr>
            </w:pPr>
            <w:r w:rsidRPr="00556B9B">
              <w:rPr>
                <w:color w:val="000000"/>
                <w:lang w:val="it-IT"/>
              </w:rPr>
              <w:t>Leukovorin (75 mg/m</w:t>
            </w:r>
            <w:r w:rsidRPr="00556B9B">
              <w:rPr>
                <w:color w:val="000000"/>
                <w:vertAlign w:val="superscript"/>
                <w:lang w:val="it-IT"/>
              </w:rPr>
              <w:t>2</w:t>
            </w:r>
            <w:r w:rsidRPr="00556B9B">
              <w:rPr>
                <w:color w:val="000000"/>
                <w:lang w:val="it-IT"/>
              </w:rPr>
              <w:t xml:space="preserve"> a 36. órában, iv.; 15 mg/m</w:t>
            </w:r>
            <w:r w:rsidRPr="00556B9B">
              <w:rPr>
                <w:color w:val="000000"/>
                <w:vertAlign w:val="superscript"/>
                <w:lang w:val="it-IT"/>
              </w:rPr>
              <w:t>2</w:t>
            </w:r>
            <w:r w:rsidRPr="00556B9B">
              <w:rPr>
                <w:color w:val="000000"/>
                <w:lang w:val="it-IT"/>
              </w:rPr>
              <w:t xml:space="preserve"> iv. vagy p.o. 6 óránként, 6 dózis)iii: 2., 3., 16. és 17. nap</w:t>
            </w:r>
          </w:p>
          <w:p w14:paraId="767EB02A" w14:textId="77777777" w:rsidR="00153AD1" w:rsidRPr="00556B9B" w:rsidRDefault="00153AD1" w:rsidP="00DF7747">
            <w:pPr>
              <w:pStyle w:val="EndnoteText"/>
              <w:widowControl w:val="0"/>
              <w:rPr>
                <w:color w:val="000000"/>
                <w:lang w:val="it-IT"/>
              </w:rPr>
            </w:pPr>
            <w:r w:rsidRPr="00556B9B">
              <w:rPr>
                <w:color w:val="000000"/>
                <w:lang w:val="it-IT"/>
              </w:rPr>
              <w:t>Hármas i.t. kezelés (életkorra korrigált): 1. és 22. nap</w:t>
            </w:r>
          </w:p>
          <w:p w14:paraId="75393E74" w14:textId="77777777" w:rsidR="00153AD1" w:rsidRPr="00556B9B" w:rsidRDefault="00153AD1" w:rsidP="00DF7747">
            <w:pPr>
              <w:pStyle w:val="EndnoteText"/>
              <w:widowControl w:val="0"/>
              <w:rPr>
                <w:color w:val="000000"/>
                <w:lang w:val="it-IT"/>
              </w:rPr>
            </w:pPr>
            <w:r w:rsidRPr="00556B9B">
              <w:rPr>
                <w:color w:val="000000"/>
                <w:lang w:val="it-IT"/>
              </w:rPr>
              <w:t>VP</w:t>
            </w:r>
            <w:r w:rsidRPr="00556B9B">
              <w:rPr>
                <w:color w:val="000000"/>
                <w:lang w:val="it-IT"/>
              </w:rPr>
              <w:noBreakHyphen/>
              <w:t>16 (100 mg/m</w:t>
            </w:r>
            <w:r w:rsidRPr="00556B9B">
              <w:rPr>
                <w:color w:val="000000"/>
                <w:vertAlign w:val="superscript"/>
                <w:lang w:val="it-IT"/>
              </w:rPr>
              <w:t>2</w:t>
            </w:r>
            <w:r w:rsidRPr="00556B9B">
              <w:rPr>
                <w:color w:val="000000"/>
                <w:lang w:val="it-IT"/>
              </w:rPr>
              <w:t>/nap, iv.): 22</w:t>
            </w:r>
            <w:r w:rsidRPr="00556B9B">
              <w:rPr>
                <w:color w:val="000000"/>
                <w:lang w:val="it-IT"/>
              </w:rPr>
              <w:noBreakHyphen/>
              <w:t>26. nap</w:t>
            </w:r>
          </w:p>
          <w:p w14:paraId="301DEA71" w14:textId="77777777" w:rsidR="00153AD1" w:rsidRPr="00556B9B" w:rsidRDefault="00153AD1" w:rsidP="00DF7747">
            <w:pPr>
              <w:pStyle w:val="EndnoteText"/>
              <w:widowControl w:val="0"/>
              <w:rPr>
                <w:color w:val="000000"/>
                <w:lang w:val="it-IT"/>
              </w:rPr>
            </w:pPr>
            <w:r w:rsidRPr="00556B9B">
              <w:rPr>
                <w:color w:val="000000"/>
                <w:lang w:val="it-IT"/>
              </w:rPr>
              <w:t>CPM (300 mg/m</w:t>
            </w:r>
            <w:r w:rsidRPr="00556B9B">
              <w:rPr>
                <w:color w:val="000000"/>
                <w:vertAlign w:val="superscript"/>
                <w:lang w:val="it-IT"/>
              </w:rPr>
              <w:t>2</w:t>
            </w:r>
            <w:r w:rsidRPr="00556B9B">
              <w:rPr>
                <w:color w:val="000000"/>
                <w:lang w:val="it-IT"/>
              </w:rPr>
              <w:t>/nap, iv.): 22</w:t>
            </w:r>
            <w:r w:rsidRPr="00556B9B">
              <w:rPr>
                <w:color w:val="000000"/>
                <w:lang w:val="it-IT"/>
              </w:rPr>
              <w:noBreakHyphen/>
              <w:t>26. nap</w:t>
            </w:r>
          </w:p>
          <w:p w14:paraId="06B7C619" w14:textId="77777777" w:rsidR="00153AD1" w:rsidRPr="00556B9B" w:rsidRDefault="00153AD1" w:rsidP="00DF7747">
            <w:pPr>
              <w:pStyle w:val="EndnoteText"/>
              <w:widowControl w:val="0"/>
              <w:rPr>
                <w:color w:val="000000"/>
                <w:lang w:val="it-IT"/>
              </w:rPr>
            </w:pPr>
            <w:r w:rsidRPr="00556B9B">
              <w:rPr>
                <w:color w:val="000000"/>
                <w:lang w:val="it-IT"/>
              </w:rPr>
              <w:t>MESNA (150 mg/m</w:t>
            </w:r>
            <w:r w:rsidRPr="00556B9B">
              <w:rPr>
                <w:color w:val="000000"/>
                <w:vertAlign w:val="superscript"/>
                <w:lang w:val="it-IT"/>
              </w:rPr>
              <w:t>2</w:t>
            </w:r>
            <w:r w:rsidRPr="00556B9B">
              <w:rPr>
                <w:color w:val="000000"/>
                <w:lang w:val="it-IT"/>
              </w:rPr>
              <w:t>/nap, iv.): 22</w:t>
            </w:r>
            <w:r w:rsidRPr="00556B9B">
              <w:rPr>
                <w:color w:val="000000"/>
                <w:lang w:val="it-IT"/>
              </w:rPr>
              <w:noBreakHyphen/>
              <w:t>26. nap</w:t>
            </w:r>
          </w:p>
          <w:p w14:paraId="533766C7" w14:textId="77777777" w:rsidR="00153AD1" w:rsidRPr="00556B9B" w:rsidRDefault="00153AD1" w:rsidP="00DF7747">
            <w:pPr>
              <w:pStyle w:val="EndnoteText"/>
              <w:widowControl w:val="0"/>
              <w:rPr>
                <w:color w:val="000000"/>
                <w:lang w:val="it-IT"/>
              </w:rPr>
            </w:pPr>
            <w:r w:rsidRPr="00556B9B">
              <w:rPr>
                <w:color w:val="000000"/>
                <w:lang w:val="it-IT"/>
              </w:rPr>
              <w:t>G</w:t>
            </w:r>
            <w:r w:rsidRPr="00556B9B">
              <w:rPr>
                <w:color w:val="000000"/>
                <w:lang w:val="it-IT"/>
              </w:rPr>
              <w:noBreakHyphen/>
              <w:t>CSF (5 </w:t>
            </w:r>
            <w:r w:rsidRPr="00556B9B">
              <w:rPr>
                <w:color w:val="000000"/>
              </w:rPr>
              <w:t>μ</w:t>
            </w:r>
            <w:r w:rsidRPr="00556B9B">
              <w:rPr>
                <w:color w:val="000000"/>
                <w:lang w:val="it-IT"/>
              </w:rPr>
              <w:t>g/kg, sc.): 27</w:t>
            </w:r>
            <w:r w:rsidRPr="00556B9B">
              <w:rPr>
                <w:color w:val="000000"/>
                <w:lang w:val="it-IT"/>
              </w:rPr>
              <w:noBreakHyphen/>
              <w:t>36. nap vagy addig, amíg az ANC &gt; 1500 a mélypont után</w:t>
            </w:r>
          </w:p>
          <w:p w14:paraId="0F6EB4E4" w14:textId="77777777" w:rsidR="00153AD1" w:rsidRPr="00556B9B" w:rsidRDefault="00153AD1" w:rsidP="00DF7747">
            <w:pPr>
              <w:pStyle w:val="EndnoteText"/>
              <w:widowControl w:val="0"/>
              <w:rPr>
                <w:color w:val="000000"/>
                <w:lang w:val="it-IT"/>
              </w:rPr>
            </w:pPr>
            <w:r w:rsidRPr="00556B9B">
              <w:rPr>
                <w:color w:val="000000"/>
                <w:lang w:val="it-IT"/>
              </w:rPr>
              <w:t>ARA</w:t>
            </w:r>
            <w:r w:rsidRPr="00556B9B">
              <w:rPr>
                <w:color w:val="000000"/>
                <w:lang w:val="it-IT"/>
              </w:rPr>
              <w:noBreakHyphen/>
              <w:t>C (3 g/m</w:t>
            </w:r>
            <w:r w:rsidRPr="00556B9B">
              <w:rPr>
                <w:color w:val="000000"/>
                <w:vertAlign w:val="superscript"/>
                <w:lang w:val="it-IT"/>
              </w:rPr>
              <w:t>2</w:t>
            </w:r>
            <w:r w:rsidRPr="00556B9B">
              <w:rPr>
                <w:color w:val="000000"/>
                <w:lang w:val="it-IT"/>
              </w:rPr>
              <w:t>, 12 óránként, iv.): 43., 44. nap</w:t>
            </w:r>
          </w:p>
          <w:p w14:paraId="251E4514" w14:textId="77777777" w:rsidR="00153AD1" w:rsidRPr="00556B9B" w:rsidRDefault="00153AD1" w:rsidP="00DF7747">
            <w:pPr>
              <w:pStyle w:val="EndnoteText"/>
              <w:widowControl w:val="0"/>
              <w:rPr>
                <w:color w:val="000000"/>
                <w:lang w:val="it-IT"/>
              </w:rPr>
            </w:pPr>
            <w:r w:rsidRPr="00556B9B">
              <w:rPr>
                <w:color w:val="000000"/>
                <w:lang w:val="it-IT"/>
              </w:rPr>
              <w:t>L</w:t>
            </w:r>
            <w:r w:rsidRPr="00556B9B">
              <w:rPr>
                <w:color w:val="000000"/>
                <w:lang w:val="it-IT"/>
              </w:rPr>
              <w:noBreakHyphen/>
              <w:t>ASP (6000 NE/m</w:t>
            </w:r>
            <w:r w:rsidRPr="00556B9B">
              <w:rPr>
                <w:color w:val="000000"/>
                <w:vertAlign w:val="superscript"/>
                <w:lang w:val="it-IT"/>
              </w:rPr>
              <w:t>2</w:t>
            </w:r>
            <w:r w:rsidRPr="00556B9B">
              <w:rPr>
                <w:color w:val="000000"/>
                <w:lang w:val="it-IT"/>
              </w:rPr>
              <w:t>, i.m.): 44. nap</w:t>
            </w:r>
          </w:p>
        </w:tc>
      </w:tr>
      <w:tr w:rsidR="00153AD1" w:rsidRPr="00462020" w14:paraId="6945CCA0" w14:textId="77777777" w:rsidTr="00F926B9">
        <w:trPr>
          <w:cantSplit/>
        </w:trPr>
        <w:tc>
          <w:tcPr>
            <w:tcW w:w="2358" w:type="dxa"/>
            <w:shd w:val="clear" w:color="auto" w:fill="auto"/>
          </w:tcPr>
          <w:p w14:paraId="3FE98012" w14:textId="77777777" w:rsidR="00153AD1" w:rsidRPr="00556B9B" w:rsidRDefault="00153AD1" w:rsidP="00DF7747">
            <w:pPr>
              <w:pStyle w:val="EndnoteText"/>
              <w:widowControl w:val="0"/>
              <w:rPr>
                <w:color w:val="000000"/>
                <w:lang w:val="it-IT"/>
              </w:rPr>
            </w:pPr>
            <w:r w:rsidRPr="00556B9B">
              <w:rPr>
                <w:color w:val="000000"/>
                <w:lang w:val="it-IT"/>
              </w:rPr>
              <w:t>Fenntartó kezelés</w:t>
            </w:r>
          </w:p>
          <w:p w14:paraId="7BE30E9F" w14:textId="77777777" w:rsidR="00153AD1" w:rsidRPr="00556B9B" w:rsidRDefault="00153AD1" w:rsidP="00DF7747">
            <w:pPr>
              <w:pStyle w:val="EndnoteText"/>
              <w:widowControl w:val="0"/>
              <w:rPr>
                <w:color w:val="000000"/>
                <w:lang w:val="it-IT"/>
              </w:rPr>
            </w:pPr>
            <w:r w:rsidRPr="00556B9B">
              <w:rPr>
                <w:color w:val="000000"/>
                <w:lang w:val="it-IT"/>
              </w:rPr>
              <w:t>(8 hetes ciklusok)</w:t>
            </w:r>
          </w:p>
          <w:p w14:paraId="50B4F308" w14:textId="77777777" w:rsidR="00153AD1" w:rsidRPr="00556B9B" w:rsidRDefault="00153AD1" w:rsidP="00DF7747">
            <w:pPr>
              <w:pStyle w:val="EndnoteText"/>
              <w:widowControl w:val="0"/>
              <w:rPr>
                <w:color w:val="000000"/>
                <w:lang w:val="it-IT"/>
              </w:rPr>
            </w:pPr>
            <w:r w:rsidRPr="00556B9B">
              <w:rPr>
                <w:color w:val="000000"/>
                <w:lang w:val="it-IT"/>
              </w:rPr>
              <w:t>1–4. Ciklus</w:t>
            </w:r>
          </w:p>
        </w:tc>
        <w:tc>
          <w:tcPr>
            <w:tcW w:w="6929" w:type="dxa"/>
            <w:shd w:val="clear" w:color="auto" w:fill="auto"/>
          </w:tcPr>
          <w:p w14:paraId="48DC4AC1" w14:textId="77777777" w:rsidR="00153AD1" w:rsidRPr="00556B9B" w:rsidRDefault="00153AD1" w:rsidP="00DF7747">
            <w:pPr>
              <w:pStyle w:val="EndnoteText"/>
              <w:widowControl w:val="0"/>
              <w:rPr>
                <w:color w:val="000000"/>
                <w:lang w:val="it-IT"/>
              </w:rPr>
            </w:pPr>
            <w:r w:rsidRPr="00556B9B">
              <w:rPr>
                <w:color w:val="000000"/>
                <w:lang w:val="it-IT"/>
              </w:rPr>
              <w:t>MTX (5 g/m</w:t>
            </w:r>
            <w:r w:rsidRPr="00556B9B">
              <w:rPr>
                <w:color w:val="000000"/>
                <w:vertAlign w:val="superscript"/>
                <w:lang w:val="it-IT"/>
              </w:rPr>
              <w:t>2</w:t>
            </w:r>
            <w:r w:rsidRPr="00556B9B">
              <w:rPr>
                <w:color w:val="000000"/>
                <w:lang w:val="it-IT"/>
              </w:rPr>
              <w:t xml:space="preserve"> 24 óra alatt, iv.): 1. nap</w:t>
            </w:r>
          </w:p>
          <w:p w14:paraId="462CA794" w14:textId="77777777" w:rsidR="00153AD1" w:rsidRPr="00556B9B" w:rsidRDefault="00153AD1" w:rsidP="00DF7747">
            <w:pPr>
              <w:pStyle w:val="EndnoteText"/>
              <w:widowControl w:val="0"/>
              <w:rPr>
                <w:color w:val="000000"/>
                <w:lang w:val="it-IT"/>
              </w:rPr>
            </w:pPr>
            <w:r w:rsidRPr="00556B9B">
              <w:rPr>
                <w:color w:val="000000"/>
                <w:lang w:val="it-IT"/>
              </w:rPr>
              <w:t>Leukovorin (75 mg/m</w:t>
            </w:r>
            <w:r w:rsidRPr="00556B9B">
              <w:rPr>
                <w:color w:val="000000"/>
                <w:vertAlign w:val="superscript"/>
                <w:lang w:val="it-IT"/>
              </w:rPr>
              <w:t>2</w:t>
            </w:r>
            <w:r w:rsidRPr="00556B9B">
              <w:rPr>
                <w:color w:val="000000"/>
                <w:lang w:val="it-IT"/>
              </w:rPr>
              <w:t xml:space="preserve"> a 36. órában, iv.; 15 mg/m</w:t>
            </w:r>
            <w:r w:rsidRPr="00556B9B">
              <w:rPr>
                <w:color w:val="000000"/>
                <w:vertAlign w:val="superscript"/>
                <w:lang w:val="it-IT"/>
              </w:rPr>
              <w:t>2</w:t>
            </w:r>
            <w:r w:rsidRPr="00556B9B">
              <w:rPr>
                <w:color w:val="000000"/>
                <w:lang w:val="it-IT"/>
              </w:rPr>
              <w:t xml:space="preserve"> iv. vagy p.o. 6 óránként, 6 dózis)iii: 2. és 3. nap</w:t>
            </w:r>
          </w:p>
          <w:p w14:paraId="3A25ADF6" w14:textId="77777777" w:rsidR="00153AD1" w:rsidRPr="00556B9B" w:rsidRDefault="00153AD1" w:rsidP="00DF7747">
            <w:pPr>
              <w:pStyle w:val="EndnoteText"/>
              <w:widowControl w:val="0"/>
              <w:rPr>
                <w:color w:val="000000"/>
                <w:lang w:val="it-IT"/>
              </w:rPr>
            </w:pPr>
            <w:r w:rsidRPr="00556B9B">
              <w:rPr>
                <w:color w:val="000000"/>
                <w:lang w:val="it-IT"/>
              </w:rPr>
              <w:t>Hármas i.t. kezelés (életkorra korrigált): 1., 29. nap</w:t>
            </w:r>
          </w:p>
          <w:p w14:paraId="528F7DFF" w14:textId="77777777" w:rsidR="00153AD1" w:rsidRPr="00556B9B" w:rsidRDefault="00153AD1" w:rsidP="00DF7747">
            <w:pPr>
              <w:pStyle w:val="EndnoteText"/>
              <w:widowControl w:val="0"/>
              <w:rPr>
                <w:color w:val="000000"/>
                <w:lang w:val="it-IT"/>
              </w:rPr>
            </w:pPr>
            <w:r w:rsidRPr="00556B9B">
              <w:rPr>
                <w:color w:val="000000"/>
                <w:lang w:val="it-IT"/>
              </w:rPr>
              <w:t>VCR (1,5 mg/m</w:t>
            </w:r>
            <w:r w:rsidRPr="00556B9B">
              <w:rPr>
                <w:color w:val="000000"/>
                <w:vertAlign w:val="superscript"/>
                <w:lang w:val="it-IT"/>
              </w:rPr>
              <w:t>2</w:t>
            </w:r>
            <w:r w:rsidRPr="00556B9B">
              <w:rPr>
                <w:color w:val="000000"/>
                <w:lang w:val="it-IT"/>
              </w:rPr>
              <w:t>, iv.): 1., 29. nap</w:t>
            </w:r>
          </w:p>
          <w:p w14:paraId="65E1925A" w14:textId="77777777" w:rsidR="00153AD1" w:rsidRPr="00556B9B" w:rsidRDefault="00153AD1" w:rsidP="00DF7747">
            <w:pPr>
              <w:pStyle w:val="EndnoteText"/>
              <w:widowControl w:val="0"/>
              <w:rPr>
                <w:color w:val="000000"/>
                <w:lang w:val="it-IT"/>
              </w:rPr>
            </w:pPr>
            <w:r w:rsidRPr="00556B9B">
              <w:rPr>
                <w:color w:val="000000"/>
                <w:lang w:val="it-IT"/>
              </w:rPr>
              <w:t>DEX (6 mg/m</w:t>
            </w:r>
            <w:r w:rsidRPr="00556B9B">
              <w:rPr>
                <w:color w:val="000000"/>
                <w:vertAlign w:val="superscript"/>
                <w:lang w:val="it-IT"/>
              </w:rPr>
              <w:t>2</w:t>
            </w:r>
            <w:r w:rsidRPr="00556B9B">
              <w:rPr>
                <w:color w:val="000000"/>
                <w:lang w:val="it-IT"/>
              </w:rPr>
              <w:t>/nap, p.o.): 1</w:t>
            </w:r>
            <w:r w:rsidRPr="00556B9B">
              <w:rPr>
                <w:color w:val="000000"/>
                <w:lang w:val="it-IT"/>
              </w:rPr>
              <w:noBreakHyphen/>
              <w:t>5.; 29</w:t>
            </w:r>
            <w:r w:rsidRPr="00556B9B">
              <w:rPr>
                <w:color w:val="000000"/>
                <w:lang w:val="it-IT"/>
              </w:rPr>
              <w:noBreakHyphen/>
              <w:t>33. nap</w:t>
            </w:r>
          </w:p>
          <w:p w14:paraId="19B8640F" w14:textId="77777777" w:rsidR="00153AD1" w:rsidRPr="00556B9B" w:rsidRDefault="00153AD1" w:rsidP="00DF7747">
            <w:pPr>
              <w:pStyle w:val="EndnoteText"/>
              <w:widowControl w:val="0"/>
              <w:rPr>
                <w:color w:val="000000"/>
                <w:lang w:val="it-IT"/>
              </w:rPr>
            </w:pPr>
            <w:r w:rsidRPr="00556B9B">
              <w:rPr>
                <w:color w:val="000000"/>
                <w:lang w:val="it-IT"/>
              </w:rPr>
              <w:t>6</w:t>
            </w:r>
            <w:r w:rsidRPr="00556B9B">
              <w:rPr>
                <w:color w:val="000000"/>
                <w:lang w:val="it-IT"/>
              </w:rPr>
              <w:noBreakHyphen/>
              <w:t>MP (75 mg/m</w:t>
            </w:r>
            <w:r w:rsidRPr="00556B9B">
              <w:rPr>
                <w:color w:val="000000"/>
                <w:vertAlign w:val="superscript"/>
                <w:lang w:val="it-IT"/>
              </w:rPr>
              <w:t>2</w:t>
            </w:r>
            <w:r w:rsidRPr="00556B9B">
              <w:rPr>
                <w:color w:val="000000"/>
                <w:lang w:val="it-IT"/>
              </w:rPr>
              <w:t>/nap, p.o.): 8</w:t>
            </w:r>
            <w:r w:rsidRPr="00556B9B">
              <w:rPr>
                <w:color w:val="000000"/>
                <w:lang w:val="it-IT"/>
              </w:rPr>
              <w:noBreakHyphen/>
              <w:t>28. nap</w:t>
            </w:r>
          </w:p>
          <w:p w14:paraId="51E3535D" w14:textId="77777777" w:rsidR="00153AD1" w:rsidRPr="00556B9B" w:rsidRDefault="00153AD1" w:rsidP="00DF7747">
            <w:pPr>
              <w:pStyle w:val="EndnoteText"/>
              <w:widowControl w:val="0"/>
              <w:rPr>
                <w:color w:val="000000"/>
                <w:lang w:val="it-IT"/>
              </w:rPr>
            </w:pPr>
            <w:r w:rsidRPr="00556B9B">
              <w:rPr>
                <w:color w:val="000000"/>
                <w:lang w:val="it-IT"/>
              </w:rPr>
              <w:t>Metotrexát (20 mg/m</w:t>
            </w:r>
            <w:r w:rsidRPr="00556B9B">
              <w:rPr>
                <w:color w:val="000000"/>
                <w:vertAlign w:val="superscript"/>
                <w:lang w:val="it-IT"/>
              </w:rPr>
              <w:t>2</w:t>
            </w:r>
            <w:r w:rsidRPr="00556B9B">
              <w:rPr>
                <w:color w:val="000000"/>
                <w:lang w:val="it-IT"/>
              </w:rPr>
              <w:t>/hét, p.o.): 8., 15., 22. nap</w:t>
            </w:r>
          </w:p>
          <w:p w14:paraId="1901EE4E" w14:textId="77777777" w:rsidR="00153AD1" w:rsidRPr="00556B9B" w:rsidRDefault="00153AD1" w:rsidP="00DF7747">
            <w:pPr>
              <w:pStyle w:val="EndnoteText"/>
              <w:widowControl w:val="0"/>
              <w:rPr>
                <w:color w:val="000000"/>
                <w:lang w:val="it-IT"/>
              </w:rPr>
            </w:pPr>
            <w:r w:rsidRPr="00556B9B">
              <w:rPr>
                <w:color w:val="000000"/>
                <w:lang w:val="it-IT"/>
              </w:rPr>
              <w:t>VP</w:t>
            </w:r>
            <w:r w:rsidRPr="00556B9B">
              <w:rPr>
                <w:color w:val="000000"/>
                <w:lang w:val="it-IT"/>
              </w:rPr>
              <w:noBreakHyphen/>
              <w:t>16 (100 mg/m</w:t>
            </w:r>
            <w:r w:rsidRPr="00556B9B">
              <w:rPr>
                <w:color w:val="000000"/>
                <w:vertAlign w:val="superscript"/>
                <w:lang w:val="it-IT"/>
              </w:rPr>
              <w:t>2</w:t>
            </w:r>
            <w:r w:rsidRPr="00556B9B">
              <w:rPr>
                <w:color w:val="000000"/>
                <w:lang w:val="it-IT"/>
              </w:rPr>
              <w:t>, iv.): 29</w:t>
            </w:r>
            <w:r w:rsidRPr="00556B9B">
              <w:rPr>
                <w:color w:val="000000"/>
                <w:lang w:val="it-IT"/>
              </w:rPr>
              <w:noBreakHyphen/>
              <w:t>33. nap</w:t>
            </w:r>
          </w:p>
          <w:p w14:paraId="7A1FDFCD" w14:textId="77777777" w:rsidR="00153AD1" w:rsidRPr="00556B9B" w:rsidRDefault="00153AD1" w:rsidP="00DF7747">
            <w:pPr>
              <w:pStyle w:val="EndnoteText"/>
              <w:widowControl w:val="0"/>
              <w:rPr>
                <w:color w:val="000000"/>
                <w:lang w:val="it-IT"/>
              </w:rPr>
            </w:pPr>
            <w:r w:rsidRPr="00556B9B">
              <w:rPr>
                <w:color w:val="000000"/>
                <w:lang w:val="it-IT"/>
              </w:rPr>
              <w:t>CPM (300 mg/m</w:t>
            </w:r>
            <w:r w:rsidRPr="00556B9B">
              <w:rPr>
                <w:color w:val="000000"/>
                <w:vertAlign w:val="superscript"/>
                <w:lang w:val="it-IT"/>
              </w:rPr>
              <w:t>2</w:t>
            </w:r>
            <w:r w:rsidRPr="00556B9B">
              <w:rPr>
                <w:color w:val="000000"/>
                <w:lang w:val="it-IT"/>
              </w:rPr>
              <w:t>, iv.): 29</w:t>
            </w:r>
            <w:r w:rsidRPr="00556B9B">
              <w:rPr>
                <w:color w:val="000000"/>
                <w:lang w:val="it-IT"/>
              </w:rPr>
              <w:noBreakHyphen/>
              <w:t>33. nap</w:t>
            </w:r>
          </w:p>
          <w:p w14:paraId="33D9C7E4" w14:textId="77777777" w:rsidR="00153AD1" w:rsidRPr="00556B9B" w:rsidRDefault="00153AD1" w:rsidP="00DF7747">
            <w:pPr>
              <w:pStyle w:val="EndnoteText"/>
              <w:widowControl w:val="0"/>
              <w:rPr>
                <w:color w:val="000000"/>
                <w:lang w:val="it-IT"/>
              </w:rPr>
            </w:pPr>
            <w:r w:rsidRPr="00556B9B">
              <w:rPr>
                <w:color w:val="000000"/>
                <w:lang w:val="it-IT"/>
              </w:rPr>
              <w:t>MESNA iv., 29</w:t>
            </w:r>
            <w:r w:rsidRPr="00556B9B">
              <w:rPr>
                <w:color w:val="000000"/>
                <w:lang w:val="it-IT"/>
              </w:rPr>
              <w:noBreakHyphen/>
              <w:t>33. nap</w:t>
            </w:r>
          </w:p>
          <w:p w14:paraId="44D63897" w14:textId="77777777" w:rsidR="00153AD1" w:rsidRPr="00556B9B" w:rsidRDefault="00153AD1" w:rsidP="00DF7747">
            <w:pPr>
              <w:pStyle w:val="EndnoteText"/>
              <w:widowControl w:val="0"/>
              <w:rPr>
                <w:color w:val="000000"/>
                <w:lang w:val="it-IT"/>
              </w:rPr>
            </w:pPr>
            <w:r w:rsidRPr="00556B9B">
              <w:rPr>
                <w:color w:val="000000"/>
                <w:lang w:val="it-IT"/>
              </w:rPr>
              <w:t>G</w:t>
            </w:r>
            <w:r w:rsidRPr="00556B9B">
              <w:rPr>
                <w:color w:val="000000"/>
                <w:lang w:val="it-IT"/>
              </w:rPr>
              <w:noBreakHyphen/>
              <w:t>CSF (5 </w:t>
            </w:r>
            <w:r w:rsidRPr="00556B9B">
              <w:rPr>
                <w:color w:val="000000"/>
              </w:rPr>
              <w:t>μ</w:t>
            </w:r>
            <w:r w:rsidRPr="00556B9B">
              <w:rPr>
                <w:color w:val="000000"/>
                <w:lang w:val="it-IT"/>
              </w:rPr>
              <w:t>g/kg, sc.): 34</w:t>
            </w:r>
            <w:r w:rsidRPr="00556B9B">
              <w:rPr>
                <w:color w:val="000000"/>
                <w:lang w:val="it-IT"/>
              </w:rPr>
              <w:noBreakHyphen/>
              <w:t>43. nap</w:t>
            </w:r>
          </w:p>
        </w:tc>
      </w:tr>
      <w:tr w:rsidR="00153AD1" w:rsidRPr="00462020" w14:paraId="5A19A549" w14:textId="77777777" w:rsidTr="00F926B9">
        <w:trPr>
          <w:cantSplit/>
        </w:trPr>
        <w:tc>
          <w:tcPr>
            <w:tcW w:w="2358" w:type="dxa"/>
            <w:shd w:val="clear" w:color="auto" w:fill="auto"/>
          </w:tcPr>
          <w:p w14:paraId="35C7F2D0" w14:textId="77777777" w:rsidR="00153AD1" w:rsidRPr="00556B9B" w:rsidRDefault="00153AD1" w:rsidP="00DF7747">
            <w:pPr>
              <w:pStyle w:val="EndnoteText"/>
              <w:widowControl w:val="0"/>
              <w:rPr>
                <w:color w:val="000000"/>
                <w:lang w:val="it-IT"/>
              </w:rPr>
            </w:pPr>
            <w:r w:rsidRPr="00556B9B">
              <w:rPr>
                <w:color w:val="000000"/>
                <w:lang w:val="it-IT"/>
              </w:rPr>
              <w:lastRenderedPageBreak/>
              <w:t>Fenntartó kezelés</w:t>
            </w:r>
          </w:p>
          <w:p w14:paraId="52BAE37D" w14:textId="77777777" w:rsidR="00153AD1" w:rsidRPr="00556B9B" w:rsidRDefault="00153AD1" w:rsidP="00DF7747">
            <w:pPr>
              <w:pStyle w:val="EndnoteText"/>
              <w:widowControl w:val="0"/>
              <w:rPr>
                <w:color w:val="000000"/>
                <w:lang w:val="it-IT"/>
              </w:rPr>
            </w:pPr>
            <w:r w:rsidRPr="00556B9B">
              <w:rPr>
                <w:color w:val="000000"/>
                <w:lang w:val="it-IT"/>
              </w:rPr>
              <w:t>(8 hetes ciklusok)</w:t>
            </w:r>
          </w:p>
          <w:p w14:paraId="66B608A7" w14:textId="77777777" w:rsidR="00153AD1" w:rsidRPr="00556B9B" w:rsidRDefault="00153AD1" w:rsidP="00DF7747">
            <w:pPr>
              <w:pStyle w:val="EndnoteText"/>
              <w:widowControl w:val="0"/>
              <w:rPr>
                <w:color w:val="000000"/>
                <w:lang w:val="it-IT"/>
              </w:rPr>
            </w:pPr>
            <w:r w:rsidRPr="00556B9B">
              <w:rPr>
                <w:color w:val="000000"/>
                <w:lang w:val="it-IT"/>
              </w:rPr>
              <w:t>5. ciklus</w:t>
            </w:r>
          </w:p>
        </w:tc>
        <w:tc>
          <w:tcPr>
            <w:tcW w:w="6929" w:type="dxa"/>
            <w:shd w:val="clear" w:color="auto" w:fill="auto"/>
          </w:tcPr>
          <w:p w14:paraId="7076CB20" w14:textId="77777777" w:rsidR="00153AD1" w:rsidRPr="00556B9B" w:rsidRDefault="00153AD1" w:rsidP="00DF7747">
            <w:pPr>
              <w:pStyle w:val="EndnoteText"/>
              <w:widowControl w:val="0"/>
              <w:rPr>
                <w:color w:val="000000"/>
                <w:lang w:val="it-IT"/>
              </w:rPr>
            </w:pPr>
            <w:r w:rsidRPr="00556B9B">
              <w:rPr>
                <w:color w:val="000000"/>
                <w:lang w:val="it-IT"/>
              </w:rPr>
              <w:t>Koponya irradiáció (csak az 5. blokkban)</w:t>
            </w:r>
          </w:p>
          <w:p w14:paraId="185B9060" w14:textId="77777777" w:rsidR="00153AD1" w:rsidRPr="00556B9B" w:rsidRDefault="00153AD1" w:rsidP="00DF7747">
            <w:pPr>
              <w:pStyle w:val="EndnoteText"/>
              <w:widowControl w:val="0"/>
              <w:rPr>
                <w:color w:val="000000"/>
                <w:lang w:val="it-IT"/>
              </w:rPr>
            </w:pPr>
            <w:r w:rsidRPr="00556B9B">
              <w:rPr>
                <w:color w:val="000000"/>
                <w:lang w:val="it-IT"/>
              </w:rPr>
              <w:t>12 Gy 8 frakcióban, minden olyan betegnél, aki a diagnózis pillanatában CNS1 és CNS2 stádiumban van</w:t>
            </w:r>
          </w:p>
          <w:p w14:paraId="0BBE6F32" w14:textId="77777777" w:rsidR="00153AD1" w:rsidRPr="00556B9B" w:rsidRDefault="00153AD1" w:rsidP="00DF7747">
            <w:pPr>
              <w:pStyle w:val="EndnoteText"/>
              <w:widowControl w:val="0"/>
              <w:rPr>
                <w:color w:val="000000"/>
                <w:lang w:val="it-IT"/>
              </w:rPr>
            </w:pPr>
            <w:r w:rsidRPr="00556B9B">
              <w:rPr>
                <w:color w:val="000000"/>
                <w:lang w:val="it-IT"/>
              </w:rPr>
              <w:t>18 Gy 10 frakcióban, minden olyan betegnél, aki a diagnózis pillanatában CNS3 stádiumban van</w:t>
            </w:r>
          </w:p>
          <w:p w14:paraId="23BC8D1C" w14:textId="77777777" w:rsidR="00153AD1" w:rsidRPr="00556B9B" w:rsidRDefault="00153AD1" w:rsidP="00DF7747">
            <w:pPr>
              <w:pStyle w:val="EndnoteText"/>
              <w:widowControl w:val="0"/>
              <w:rPr>
                <w:color w:val="000000"/>
                <w:lang w:val="it-IT"/>
              </w:rPr>
            </w:pPr>
            <w:r w:rsidRPr="00556B9B">
              <w:rPr>
                <w:color w:val="000000"/>
                <w:lang w:val="it-IT"/>
              </w:rPr>
              <w:t>VCR (1,5 mg/m</w:t>
            </w:r>
            <w:r w:rsidRPr="00556B9B">
              <w:rPr>
                <w:color w:val="000000"/>
                <w:vertAlign w:val="superscript"/>
                <w:lang w:val="it-IT"/>
              </w:rPr>
              <w:t>2</w:t>
            </w:r>
            <w:r w:rsidRPr="00556B9B">
              <w:rPr>
                <w:color w:val="000000"/>
                <w:lang w:val="it-IT"/>
              </w:rPr>
              <w:t>/nap, iv.): 1., 29. nap</w:t>
            </w:r>
          </w:p>
          <w:p w14:paraId="137E2AA4" w14:textId="77777777" w:rsidR="00153AD1" w:rsidRPr="00556B9B" w:rsidRDefault="00153AD1" w:rsidP="00DF7747">
            <w:pPr>
              <w:pStyle w:val="EndnoteText"/>
              <w:widowControl w:val="0"/>
              <w:rPr>
                <w:color w:val="000000"/>
                <w:lang w:val="it-IT"/>
              </w:rPr>
            </w:pPr>
            <w:r w:rsidRPr="00556B9B">
              <w:rPr>
                <w:color w:val="000000"/>
                <w:lang w:val="it-IT"/>
              </w:rPr>
              <w:t>DEX (6 mg/m</w:t>
            </w:r>
            <w:r w:rsidRPr="00556B9B">
              <w:rPr>
                <w:color w:val="000000"/>
                <w:vertAlign w:val="superscript"/>
                <w:lang w:val="it-IT"/>
              </w:rPr>
              <w:t>2</w:t>
            </w:r>
            <w:r w:rsidRPr="00556B9B">
              <w:rPr>
                <w:color w:val="000000"/>
                <w:lang w:val="it-IT"/>
              </w:rPr>
              <w:t>/nap, p.o.): 1</w:t>
            </w:r>
            <w:r w:rsidRPr="00556B9B">
              <w:rPr>
                <w:color w:val="000000"/>
                <w:lang w:val="it-IT"/>
              </w:rPr>
              <w:noBreakHyphen/>
              <w:t>5.; 29</w:t>
            </w:r>
            <w:r w:rsidRPr="00556B9B">
              <w:rPr>
                <w:color w:val="000000"/>
                <w:lang w:val="it-IT"/>
              </w:rPr>
              <w:noBreakHyphen/>
              <w:t>33. nap</w:t>
            </w:r>
          </w:p>
          <w:p w14:paraId="6A368348" w14:textId="77777777" w:rsidR="00153AD1" w:rsidRPr="00556B9B" w:rsidRDefault="00153AD1" w:rsidP="00DF7747">
            <w:pPr>
              <w:pStyle w:val="EndnoteText"/>
              <w:widowControl w:val="0"/>
              <w:rPr>
                <w:color w:val="000000"/>
                <w:lang w:val="it-IT"/>
              </w:rPr>
            </w:pPr>
            <w:r w:rsidRPr="00556B9B">
              <w:rPr>
                <w:color w:val="000000"/>
                <w:lang w:val="it-IT"/>
              </w:rPr>
              <w:t>6</w:t>
            </w:r>
            <w:r w:rsidRPr="00556B9B">
              <w:rPr>
                <w:color w:val="000000"/>
                <w:lang w:val="it-IT"/>
              </w:rPr>
              <w:noBreakHyphen/>
              <w:t>MP (75 mg/m</w:t>
            </w:r>
            <w:r w:rsidRPr="00556B9B">
              <w:rPr>
                <w:color w:val="000000"/>
                <w:vertAlign w:val="superscript"/>
                <w:lang w:val="it-IT"/>
              </w:rPr>
              <w:t>2</w:t>
            </w:r>
            <w:r w:rsidRPr="00556B9B">
              <w:rPr>
                <w:color w:val="000000"/>
                <w:lang w:val="it-IT"/>
              </w:rPr>
              <w:t>/nap, p.o.): 11</w:t>
            </w:r>
            <w:r w:rsidRPr="00556B9B">
              <w:rPr>
                <w:color w:val="000000"/>
                <w:lang w:val="it-IT"/>
              </w:rPr>
              <w:noBreakHyphen/>
              <w:t>56. nap (Az 5. ciklus 1. napján kezdődő koponya irradiáció 6</w:t>
            </w:r>
            <w:r w:rsidRPr="00556B9B">
              <w:rPr>
                <w:color w:val="000000"/>
                <w:lang w:val="it-IT"/>
              </w:rPr>
              <w:noBreakHyphen/>
              <w:t>10. napja alatt a 6</w:t>
            </w:r>
            <w:r w:rsidRPr="00556B9B">
              <w:rPr>
                <w:color w:val="000000"/>
                <w:lang w:val="it-IT"/>
              </w:rPr>
              <w:noBreakHyphen/>
              <w:t>MP adását abba kell hagyni. A 6</w:t>
            </w:r>
            <w:r w:rsidRPr="00556B9B">
              <w:rPr>
                <w:color w:val="000000"/>
                <w:lang w:val="it-IT"/>
              </w:rPr>
              <w:noBreakHyphen/>
              <w:t>MP</w:t>
            </w:r>
            <w:r w:rsidRPr="00556B9B">
              <w:rPr>
                <w:color w:val="000000"/>
                <w:lang w:val="it-IT"/>
              </w:rPr>
              <w:noBreakHyphen/>
              <w:t>t a koponya irradiáció befejezése utáni 1. nap kell elkezdeni.)</w:t>
            </w:r>
          </w:p>
          <w:p w14:paraId="485759B7" w14:textId="77777777" w:rsidR="00153AD1" w:rsidRPr="00556B9B" w:rsidRDefault="00153AD1" w:rsidP="00DF7747">
            <w:pPr>
              <w:pStyle w:val="EndnoteText"/>
              <w:widowControl w:val="0"/>
              <w:rPr>
                <w:color w:val="000000"/>
                <w:lang w:val="it-IT"/>
              </w:rPr>
            </w:pPr>
            <w:r w:rsidRPr="00556B9B">
              <w:rPr>
                <w:color w:val="000000"/>
                <w:lang w:val="it-IT"/>
              </w:rPr>
              <w:t>Metotrexát (20 mg/m</w:t>
            </w:r>
            <w:r w:rsidRPr="00556B9B">
              <w:rPr>
                <w:color w:val="000000"/>
                <w:vertAlign w:val="superscript"/>
                <w:lang w:val="it-IT"/>
              </w:rPr>
              <w:t>2</w:t>
            </w:r>
            <w:r w:rsidRPr="00556B9B">
              <w:rPr>
                <w:color w:val="000000"/>
                <w:lang w:val="it-IT"/>
              </w:rPr>
              <w:t>/hét, p.o.): 8., 15., 22., 29., 36., 43., 50. nap</w:t>
            </w:r>
          </w:p>
        </w:tc>
      </w:tr>
      <w:tr w:rsidR="00153AD1" w:rsidRPr="00462020" w14:paraId="48F8061B" w14:textId="77777777" w:rsidTr="00F926B9">
        <w:trPr>
          <w:cantSplit/>
        </w:trPr>
        <w:tc>
          <w:tcPr>
            <w:tcW w:w="2358" w:type="dxa"/>
            <w:shd w:val="clear" w:color="auto" w:fill="auto"/>
          </w:tcPr>
          <w:p w14:paraId="24E6B943" w14:textId="77777777" w:rsidR="00153AD1" w:rsidRPr="00556B9B" w:rsidRDefault="00153AD1" w:rsidP="00F926B9">
            <w:pPr>
              <w:pStyle w:val="EndnoteText"/>
              <w:keepNext/>
              <w:widowControl w:val="0"/>
              <w:rPr>
                <w:color w:val="000000"/>
                <w:lang w:val="it-IT"/>
              </w:rPr>
            </w:pPr>
            <w:r w:rsidRPr="00556B9B">
              <w:rPr>
                <w:color w:val="000000"/>
                <w:lang w:val="it-IT"/>
              </w:rPr>
              <w:t>Fenntartó kezelés</w:t>
            </w:r>
          </w:p>
          <w:p w14:paraId="425E0DB7" w14:textId="77777777" w:rsidR="00153AD1" w:rsidRPr="00556B9B" w:rsidRDefault="00153AD1" w:rsidP="00F926B9">
            <w:pPr>
              <w:pStyle w:val="EndnoteText"/>
              <w:keepNext/>
              <w:widowControl w:val="0"/>
              <w:rPr>
                <w:color w:val="000000"/>
                <w:lang w:val="it-IT"/>
              </w:rPr>
            </w:pPr>
            <w:r w:rsidRPr="00556B9B">
              <w:rPr>
                <w:color w:val="000000"/>
                <w:lang w:val="it-IT"/>
              </w:rPr>
              <w:t>(8 hetes ciklusok)</w:t>
            </w:r>
          </w:p>
          <w:p w14:paraId="2D40FF2C" w14:textId="77777777" w:rsidR="00153AD1" w:rsidRPr="00556B9B" w:rsidRDefault="00153AD1" w:rsidP="00F926B9">
            <w:pPr>
              <w:pStyle w:val="EndnoteText"/>
              <w:keepNext/>
              <w:widowControl w:val="0"/>
              <w:rPr>
                <w:color w:val="000000"/>
                <w:lang w:val="it-IT"/>
              </w:rPr>
            </w:pPr>
            <w:r w:rsidRPr="00556B9B">
              <w:rPr>
                <w:color w:val="000000"/>
                <w:lang w:val="it-IT"/>
              </w:rPr>
              <w:t>6</w:t>
            </w:r>
            <w:r w:rsidRPr="00556B9B">
              <w:rPr>
                <w:color w:val="000000"/>
                <w:lang w:val="it-IT"/>
              </w:rPr>
              <w:noBreakHyphen/>
              <w:t>12. ciklus</w:t>
            </w:r>
          </w:p>
        </w:tc>
        <w:tc>
          <w:tcPr>
            <w:tcW w:w="6929" w:type="dxa"/>
            <w:shd w:val="clear" w:color="auto" w:fill="auto"/>
          </w:tcPr>
          <w:p w14:paraId="3189FEB9" w14:textId="77777777" w:rsidR="00153AD1" w:rsidRPr="00556B9B" w:rsidRDefault="00153AD1" w:rsidP="00F926B9">
            <w:pPr>
              <w:pStyle w:val="EndnoteText"/>
              <w:keepNext/>
              <w:widowControl w:val="0"/>
              <w:rPr>
                <w:color w:val="000000"/>
                <w:lang w:val="it-IT"/>
              </w:rPr>
            </w:pPr>
            <w:r w:rsidRPr="00556B9B">
              <w:rPr>
                <w:color w:val="000000"/>
                <w:lang w:val="it-IT"/>
              </w:rPr>
              <w:t>VCR (1,5 mg/m</w:t>
            </w:r>
            <w:r w:rsidRPr="00556B9B">
              <w:rPr>
                <w:color w:val="000000"/>
                <w:vertAlign w:val="superscript"/>
                <w:lang w:val="it-IT"/>
              </w:rPr>
              <w:t>2</w:t>
            </w:r>
            <w:r w:rsidRPr="00556B9B">
              <w:rPr>
                <w:color w:val="000000"/>
                <w:lang w:val="it-IT"/>
              </w:rPr>
              <w:t>/nap, iv.): 1., 29. nap</w:t>
            </w:r>
          </w:p>
          <w:p w14:paraId="15FDBA7A" w14:textId="77777777" w:rsidR="00153AD1" w:rsidRPr="00556B9B" w:rsidRDefault="00153AD1" w:rsidP="00F926B9">
            <w:pPr>
              <w:pStyle w:val="EndnoteText"/>
              <w:keepNext/>
              <w:widowControl w:val="0"/>
              <w:rPr>
                <w:color w:val="000000"/>
                <w:lang w:val="it-IT"/>
              </w:rPr>
            </w:pPr>
            <w:r w:rsidRPr="00556B9B">
              <w:rPr>
                <w:color w:val="000000"/>
                <w:lang w:val="it-IT"/>
              </w:rPr>
              <w:t>DEX (6 mg/m</w:t>
            </w:r>
            <w:r w:rsidRPr="00556B9B">
              <w:rPr>
                <w:color w:val="000000"/>
                <w:vertAlign w:val="superscript"/>
                <w:lang w:val="it-IT"/>
              </w:rPr>
              <w:t>2</w:t>
            </w:r>
            <w:r w:rsidRPr="00556B9B">
              <w:rPr>
                <w:color w:val="000000"/>
                <w:lang w:val="it-IT"/>
              </w:rPr>
              <w:t>/nap, p.o.): 1</w:t>
            </w:r>
            <w:r w:rsidRPr="00556B9B">
              <w:rPr>
                <w:color w:val="000000"/>
                <w:lang w:val="it-IT"/>
              </w:rPr>
              <w:noBreakHyphen/>
              <w:t>5.; 29</w:t>
            </w:r>
            <w:r w:rsidRPr="00556B9B">
              <w:rPr>
                <w:color w:val="000000"/>
                <w:lang w:val="it-IT"/>
              </w:rPr>
              <w:noBreakHyphen/>
              <w:t>33. nap</w:t>
            </w:r>
          </w:p>
          <w:p w14:paraId="41E7A7CC" w14:textId="77777777" w:rsidR="00153AD1" w:rsidRPr="00556B9B" w:rsidRDefault="00153AD1" w:rsidP="00F926B9">
            <w:pPr>
              <w:pStyle w:val="EndnoteText"/>
              <w:keepNext/>
              <w:widowControl w:val="0"/>
              <w:rPr>
                <w:color w:val="000000"/>
                <w:lang w:val="it-IT"/>
              </w:rPr>
            </w:pPr>
            <w:r w:rsidRPr="00556B9B">
              <w:rPr>
                <w:color w:val="000000"/>
                <w:lang w:val="it-IT"/>
              </w:rPr>
              <w:t>6</w:t>
            </w:r>
            <w:r w:rsidRPr="00556B9B">
              <w:rPr>
                <w:color w:val="000000"/>
                <w:lang w:val="it-IT"/>
              </w:rPr>
              <w:noBreakHyphen/>
              <w:t>MP (75 mg/m</w:t>
            </w:r>
            <w:r w:rsidRPr="00556B9B">
              <w:rPr>
                <w:color w:val="000000"/>
                <w:vertAlign w:val="superscript"/>
                <w:lang w:val="it-IT"/>
              </w:rPr>
              <w:t>2</w:t>
            </w:r>
            <w:r w:rsidRPr="00556B9B">
              <w:rPr>
                <w:color w:val="000000"/>
                <w:lang w:val="it-IT"/>
              </w:rPr>
              <w:t>/nap, p.o.): 1</w:t>
            </w:r>
            <w:r w:rsidRPr="00556B9B">
              <w:rPr>
                <w:color w:val="000000"/>
                <w:lang w:val="it-IT"/>
              </w:rPr>
              <w:noBreakHyphen/>
              <w:t>56. nap</w:t>
            </w:r>
          </w:p>
          <w:p w14:paraId="6F1D0FE7" w14:textId="77777777" w:rsidR="00153AD1" w:rsidRPr="00556B9B" w:rsidRDefault="00153AD1" w:rsidP="00F926B9">
            <w:pPr>
              <w:pStyle w:val="EndnoteText"/>
              <w:keepNext/>
              <w:widowControl w:val="0"/>
              <w:rPr>
                <w:color w:val="000000"/>
                <w:lang w:val="it-IT"/>
              </w:rPr>
            </w:pPr>
            <w:r w:rsidRPr="00556B9B">
              <w:rPr>
                <w:color w:val="000000"/>
                <w:lang w:val="it-IT"/>
              </w:rPr>
              <w:t>Metotrexát (20 mg/m</w:t>
            </w:r>
            <w:r w:rsidRPr="00556B9B">
              <w:rPr>
                <w:color w:val="000000"/>
                <w:vertAlign w:val="superscript"/>
                <w:lang w:val="it-IT"/>
              </w:rPr>
              <w:t>2</w:t>
            </w:r>
            <w:r w:rsidRPr="00556B9B">
              <w:rPr>
                <w:color w:val="000000"/>
                <w:lang w:val="it-IT"/>
              </w:rPr>
              <w:t>/hét, p.o.): 1., 8., 15., 22., 29., 36., 43., 50. nap</w:t>
            </w:r>
          </w:p>
        </w:tc>
      </w:tr>
    </w:tbl>
    <w:p w14:paraId="6E0F16F1" w14:textId="77777777" w:rsidR="00153AD1" w:rsidRPr="006D0F5F" w:rsidRDefault="00153AD1" w:rsidP="00F926B9">
      <w:pPr>
        <w:pStyle w:val="EndnoteText"/>
        <w:keepLines/>
        <w:widowControl w:val="0"/>
        <w:rPr>
          <w:color w:val="000000"/>
          <w:szCs w:val="22"/>
          <w:lang w:val="hu-HU"/>
        </w:rPr>
      </w:pPr>
      <w:r w:rsidRPr="00556B9B">
        <w:rPr>
          <w:color w:val="000000"/>
          <w:lang w:val="hu-HU" w:eastAsia="hu-HU"/>
        </w:rPr>
        <w:t>G</w:t>
      </w:r>
      <w:r w:rsidRPr="00556B9B">
        <w:rPr>
          <w:color w:val="000000"/>
          <w:lang w:val="it-IT"/>
        </w:rPr>
        <w:noBreakHyphen/>
      </w:r>
      <w:r w:rsidRPr="00556B9B">
        <w:rPr>
          <w:color w:val="000000"/>
          <w:lang w:val="hu-HU" w:eastAsia="hu-HU"/>
        </w:rPr>
        <w:t>CSF = granulocyta</w:t>
      </w:r>
      <w:r w:rsidRPr="00556B9B">
        <w:rPr>
          <w:color w:val="000000"/>
          <w:lang w:val="it-IT"/>
        </w:rPr>
        <w:noBreakHyphen/>
      </w:r>
      <w:r w:rsidRPr="00556B9B">
        <w:rPr>
          <w:color w:val="000000"/>
          <w:lang w:val="hu-HU" w:eastAsia="hu-HU"/>
        </w:rPr>
        <w:t>kolónia stimuláló faktor, VP</w:t>
      </w:r>
      <w:r w:rsidRPr="00556B9B">
        <w:rPr>
          <w:color w:val="000000"/>
          <w:lang w:val="it-IT"/>
        </w:rPr>
        <w:noBreakHyphen/>
      </w:r>
      <w:r w:rsidRPr="00556B9B">
        <w:rPr>
          <w:color w:val="000000"/>
          <w:lang w:val="hu-HU" w:eastAsia="hu-HU"/>
        </w:rPr>
        <w:t>16 = etopozid, MTX = metotrexát, iv. = intravénás, sc. = subcutan, i.t. = intrathecalis, p.o. = per os, i.m. = intramuscularis, ARA</w:t>
      </w:r>
      <w:r w:rsidRPr="00556B9B">
        <w:rPr>
          <w:color w:val="000000"/>
          <w:lang w:val="hu-HU"/>
        </w:rPr>
        <w:noBreakHyphen/>
      </w:r>
      <w:r w:rsidRPr="00556B9B">
        <w:rPr>
          <w:color w:val="000000"/>
          <w:lang w:val="hu-HU" w:eastAsia="hu-HU"/>
        </w:rPr>
        <w:t>C = citarabin, CPM = ciklofoszfamid, VCR = vinkrisztin, DEX = dexametazon, DAUN = daunorubicin, 6</w:t>
      </w:r>
      <w:r w:rsidRPr="00556B9B">
        <w:rPr>
          <w:color w:val="000000"/>
          <w:lang w:val="hu-HU"/>
        </w:rPr>
        <w:noBreakHyphen/>
      </w:r>
      <w:r w:rsidRPr="00556B9B">
        <w:rPr>
          <w:color w:val="000000"/>
          <w:lang w:val="hu-HU" w:eastAsia="hu-HU"/>
        </w:rPr>
        <w:t>MP = 6</w:t>
      </w:r>
      <w:r w:rsidRPr="00556B9B">
        <w:rPr>
          <w:color w:val="000000"/>
          <w:lang w:val="hu-HU"/>
        </w:rPr>
        <w:noBreakHyphen/>
      </w:r>
      <w:r w:rsidRPr="00556B9B">
        <w:rPr>
          <w:color w:val="000000"/>
          <w:lang w:val="hu-HU" w:eastAsia="hu-HU"/>
        </w:rPr>
        <w:t>merkaptopurin, E. Coli L</w:t>
      </w:r>
      <w:r w:rsidRPr="00556B9B">
        <w:rPr>
          <w:color w:val="000000"/>
          <w:lang w:val="hu-HU"/>
        </w:rPr>
        <w:noBreakHyphen/>
      </w:r>
      <w:r w:rsidRPr="00556B9B">
        <w:rPr>
          <w:color w:val="000000"/>
          <w:lang w:val="hu-HU" w:eastAsia="hu-HU"/>
        </w:rPr>
        <w:t>ASP = L</w:t>
      </w:r>
      <w:r w:rsidRPr="00556B9B">
        <w:rPr>
          <w:color w:val="000000"/>
          <w:lang w:val="hu-HU"/>
        </w:rPr>
        <w:noBreakHyphen/>
      </w:r>
      <w:r w:rsidRPr="00556B9B">
        <w:rPr>
          <w:color w:val="000000"/>
          <w:lang w:val="hu-HU" w:eastAsia="hu-HU"/>
        </w:rPr>
        <w:t>aszparagináz, PEG</w:t>
      </w:r>
      <w:r w:rsidRPr="00556B9B">
        <w:rPr>
          <w:color w:val="000000"/>
          <w:lang w:val="hu-HU"/>
        </w:rPr>
        <w:noBreakHyphen/>
      </w:r>
      <w:r w:rsidRPr="00556B9B">
        <w:rPr>
          <w:color w:val="000000"/>
          <w:lang w:val="hu-HU" w:eastAsia="hu-HU"/>
        </w:rPr>
        <w:t>ASP = PEG aszparagináz, MESNA = 2</w:t>
      </w:r>
      <w:r w:rsidRPr="00556B9B">
        <w:rPr>
          <w:color w:val="000000"/>
          <w:lang w:val="hu-HU"/>
        </w:rPr>
        <w:noBreakHyphen/>
      </w:r>
      <w:r w:rsidRPr="00556B9B">
        <w:rPr>
          <w:color w:val="000000"/>
          <w:lang w:val="hu-HU" w:eastAsia="hu-HU"/>
        </w:rPr>
        <w:t>merkaptoetán</w:t>
      </w:r>
      <w:r w:rsidRPr="00556B9B">
        <w:rPr>
          <w:color w:val="000000"/>
          <w:lang w:val="hu-HU" w:eastAsia="hu-HU"/>
        </w:rPr>
        <w:noBreakHyphen/>
        <w:t>szulfonát</w:t>
      </w:r>
      <w:r w:rsidRPr="00556B9B">
        <w:rPr>
          <w:color w:val="000000"/>
          <w:lang w:val="hu-HU"/>
        </w:rPr>
        <w:noBreakHyphen/>
      </w:r>
      <w:r w:rsidRPr="00556B9B">
        <w:rPr>
          <w:color w:val="000000"/>
          <w:lang w:val="hu-HU" w:eastAsia="hu-HU"/>
        </w:rPr>
        <w:t>nátrium, iii = vagy amíg a MTX</w:t>
      </w:r>
      <w:r w:rsidRPr="00556B9B">
        <w:rPr>
          <w:color w:val="000000"/>
          <w:lang w:val="hu-HU"/>
        </w:rPr>
        <w:noBreakHyphen/>
      </w:r>
      <w:r w:rsidRPr="00556B9B">
        <w:rPr>
          <w:color w:val="000000"/>
          <w:lang w:val="hu-HU" w:eastAsia="hu-HU"/>
        </w:rPr>
        <w:t>szint &lt; 0,1 </w:t>
      </w:r>
      <w:r w:rsidRPr="006D0F5F">
        <w:rPr>
          <w:color w:val="000000"/>
          <w:lang w:val="hu-HU" w:eastAsia="hu-HU"/>
        </w:rPr>
        <w:t>µM, Gy = Gray</w:t>
      </w:r>
    </w:p>
    <w:p w14:paraId="53F01349" w14:textId="77777777" w:rsidR="00153AD1" w:rsidRPr="006D0F5F" w:rsidRDefault="00153AD1" w:rsidP="00153AD1">
      <w:pPr>
        <w:pStyle w:val="EndnoteText"/>
        <w:widowControl w:val="0"/>
        <w:jc w:val="both"/>
        <w:rPr>
          <w:color w:val="000000"/>
          <w:sz w:val="20"/>
          <w:lang w:val="hu-HU"/>
        </w:rPr>
      </w:pPr>
    </w:p>
    <w:p w14:paraId="3C20BB8D" w14:textId="7D5C5D61" w:rsidR="00153AD1" w:rsidRPr="00556B9B" w:rsidRDefault="00153AD1" w:rsidP="00153AD1">
      <w:pPr>
        <w:pStyle w:val="EndnoteText"/>
        <w:widowControl w:val="0"/>
        <w:rPr>
          <w:color w:val="000000"/>
          <w:lang w:val="hu-HU"/>
        </w:rPr>
      </w:pPr>
      <w:r w:rsidRPr="006D0F5F">
        <w:rPr>
          <w:color w:val="000000"/>
          <w:lang w:val="hu-HU" w:eastAsia="hu-HU"/>
        </w:rPr>
        <w:t>Az AIT07</w:t>
      </w:r>
      <w:r w:rsidRPr="006D0F5F">
        <w:rPr>
          <w:color w:val="000000"/>
          <w:lang w:val="hu-HU"/>
        </w:rPr>
        <w:noBreakHyphen/>
      </w:r>
      <w:r w:rsidRPr="006D0F5F">
        <w:rPr>
          <w:color w:val="000000"/>
          <w:lang w:val="hu-HU" w:eastAsia="hu-HU"/>
        </w:rPr>
        <w:t>vizsgálat egy multicentrikus, nyílt elrendezésű, randomizált, II/III</w:t>
      </w:r>
      <w:r w:rsidR="00C8136B" w:rsidRPr="006D0F5F">
        <w:rPr>
          <w:color w:val="000000"/>
          <w:lang w:val="hu-HU" w:eastAsia="hu-HU"/>
        </w:rPr>
        <w:t xml:space="preserve">. fázisú </w:t>
      </w:r>
      <w:r w:rsidRPr="006D0F5F">
        <w:rPr>
          <w:color w:val="000000"/>
          <w:lang w:val="hu-HU" w:eastAsia="hu-HU"/>
        </w:rPr>
        <w:t>vizsgálat volt, amelyben 128 (1 </w:t>
      </w:r>
      <w:r w:rsidRPr="006D0F5F">
        <w:rPr>
          <w:color w:val="000000"/>
          <w:lang w:val="hu-HU"/>
        </w:rPr>
        <w:noBreakHyphen/>
      </w:r>
      <w:r w:rsidRPr="006D0F5F">
        <w:rPr>
          <w:color w:val="000000"/>
          <w:lang w:val="hu-HU" w:eastAsia="hu-HU"/>
        </w:rPr>
        <w:t> &lt; 18</w:t>
      </w:r>
      <w:r w:rsidRPr="006D0F5F">
        <w:rPr>
          <w:color w:val="000000"/>
          <w:lang w:val="hu-HU"/>
        </w:rPr>
        <w:t> év</w:t>
      </w:r>
      <w:r w:rsidRPr="006D0F5F">
        <w:rPr>
          <w:color w:val="000000"/>
          <w:lang w:val="hu-HU" w:eastAsia="hu-HU"/>
        </w:rPr>
        <w:t>es), kemoterápiával kombinációban imatinibbel kezelt beteg</w:t>
      </w:r>
      <w:r w:rsidRPr="00556B9B">
        <w:rPr>
          <w:color w:val="000000"/>
          <w:lang w:val="hu-HU" w:eastAsia="hu-HU"/>
        </w:rPr>
        <w:t xml:space="preserve"> vett részt. úgy Tűnik, hogy ennek a vizsgálatnak a biztonságossági adatai a Ph+ALL</w:t>
      </w:r>
      <w:r w:rsidRPr="00556B9B">
        <w:rPr>
          <w:color w:val="000000"/>
          <w:lang w:val="hu-HU"/>
        </w:rPr>
        <w:noBreakHyphen/>
      </w:r>
      <w:r w:rsidRPr="00556B9B">
        <w:rPr>
          <w:color w:val="000000"/>
          <w:lang w:val="hu-HU" w:eastAsia="hu-HU"/>
        </w:rPr>
        <w:t>ben szenvedő betegeknél</w:t>
      </w:r>
      <w:r w:rsidRPr="00556B9B" w:rsidDel="001C2432">
        <w:rPr>
          <w:color w:val="000000"/>
          <w:lang w:val="hu-HU" w:eastAsia="hu-HU"/>
        </w:rPr>
        <w:t xml:space="preserve"> </w:t>
      </w:r>
      <w:r w:rsidRPr="00556B9B">
        <w:rPr>
          <w:color w:val="000000"/>
          <w:lang w:val="hu-HU" w:eastAsia="hu-HU"/>
        </w:rPr>
        <w:t>összhangban vannak az imatinib biztonságossági profiljával.</w:t>
      </w:r>
    </w:p>
    <w:p w14:paraId="4EC7D681" w14:textId="77777777" w:rsidR="00153AD1" w:rsidRPr="00556B9B" w:rsidRDefault="00153AD1" w:rsidP="00153AD1">
      <w:pPr>
        <w:rPr>
          <w:lang w:val="hu-HU"/>
        </w:rPr>
      </w:pPr>
    </w:p>
    <w:p w14:paraId="637CFB3D" w14:textId="77777777" w:rsidR="00153AD1" w:rsidRPr="006D0F5F" w:rsidRDefault="00153AD1" w:rsidP="00153AD1">
      <w:pPr>
        <w:pStyle w:val="Heading1"/>
        <w:numPr>
          <w:ilvl w:val="0"/>
          <w:numId w:val="0"/>
        </w:numPr>
        <w:spacing w:before="0" w:after="0" w:line="240" w:lineRule="auto"/>
        <w:rPr>
          <w:b w:val="0"/>
          <w:caps w:val="0"/>
          <w:color w:val="000000"/>
          <w:sz w:val="22"/>
          <w:lang w:val="hu-HU"/>
        </w:rPr>
      </w:pPr>
      <w:r w:rsidRPr="00556B9B">
        <w:rPr>
          <w:b w:val="0"/>
          <w:i/>
          <w:caps w:val="0"/>
          <w:color w:val="000000"/>
          <w:sz w:val="22"/>
          <w:lang w:val="hu-HU"/>
        </w:rPr>
        <w:t xml:space="preserve">Recidiváló/refrakter Ph+ </w:t>
      </w:r>
      <w:smartTag w:uri="urn:schemas-microsoft-com:office:smarttags" w:element="stockticker">
        <w:r w:rsidRPr="00556B9B">
          <w:rPr>
            <w:b w:val="0"/>
            <w:i/>
            <w:caps w:val="0"/>
            <w:color w:val="000000"/>
            <w:sz w:val="22"/>
            <w:lang w:val="hu-HU"/>
          </w:rPr>
          <w:t>ALL</w:t>
        </w:r>
      </w:smartTag>
      <w:r w:rsidRPr="00556B9B">
        <w:rPr>
          <w:b w:val="0"/>
          <w:i/>
          <w:caps w:val="0"/>
          <w:color w:val="000000"/>
          <w:sz w:val="22"/>
          <w:lang w:val="hu-HU"/>
        </w:rPr>
        <w:t xml:space="preserve">: </w:t>
      </w:r>
      <w:r w:rsidRPr="00556B9B">
        <w:rPr>
          <w:b w:val="0"/>
          <w:caps w:val="0"/>
          <w:color w:val="000000"/>
          <w:sz w:val="22"/>
          <w:lang w:val="hu-HU"/>
        </w:rPr>
        <w:t xml:space="preserve">Imatinib monoterápiát alkalmazva recidiváló/refrakter Ph+ </w:t>
      </w:r>
      <w:smartTag w:uri="urn:schemas-microsoft-com:office:smarttags" w:element="stockticker">
        <w:r w:rsidRPr="00556B9B">
          <w:rPr>
            <w:b w:val="0"/>
            <w:caps w:val="0"/>
            <w:color w:val="000000"/>
            <w:sz w:val="22"/>
            <w:lang w:val="hu-HU"/>
          </w:rPr>
          <w:t>ALL</w:t>
        </w:r>
      </w:smartTag>
      <w:r w:rsidRPr="00556B9B">
        <w:rPr>
          <w:b w:val="0"/>
          <w:caps w:val="0"/>
          <w:color w:val="000000"/>
          <w:sz w:val="22"/>
          <w:lang w:val="hu-HU"/>
        </w:rPr>
        <w:noBreakHyphen/>
        <w:t>es betegekben, a terápiás válasz szempontjából értékelhető a 411 betegből 53 betegben 30%</w:t>
      </w:r>
      <w:r w:rsidRPr="00556B9B">
        <w:rPr>
          <w:b w:val="0"/>
          <w:caps w:val="0"/>
          <w:color w:val="000000"/>
          <w:sz w:val="22"/>
          <w:lang w:val="hu-HU"/>
        </w:rPr>
        <w:noBreakHyphen/>
        <w:t>os hematológiai válaszarányt (9% komplett) és 23%</w:t>
      </w:r>
      <w:r w:rsidRPr="00556B9B">
        <w:rPr>
          <w:b w:val="0"/>
          <w:caps w:val="0"/>
          <w:color w:val="000000"/>
          <w:sz w:val="22"/>
          <w:lang w:val="hu-HU"/>
        </w:rPr>
        <w:noBreakHyphen/>
        <w:t>os nagyfokú cytogenetikai válaszarányt értek el. (Fontos megjegyezni, hogy a 411 betegből 353</w:t>
      </w:r>
      <w:r w:rsidRPr="00556B9B">
        <w:rPr>
          <w:b w:val="0"/>
          <w:caps w:val="0"/>
          <w:color w:val="000000"/>
          <w:sz w:val="22"/>
          <w:lang w:val="hu-HU"/>
        </w:rPr>
        <w:noBreakHyphen/>
        <w:t xml:space="preserve">at egy kiterjesztett gyógyszerhozzáférési program keretében kezeltek, és esetükben nem gyűjtöttek adatokat a primer válaszról.) A progresszióig eltelt idő mediánértéke a teljes 411 fős recidiváló/refrakter Ph+ </w:t>
      </w:r>
      <w:smartTag w:uri="urn:schemas-microsoft-com:office:smarttags" w:element="stockticker">
        <w:r w:rsidRPr="00556B9B">
          <w:rPr>
            <w:b w:val="0"/>
            <w:caps w:val="0"/>
            <w:color w:val="000000"/>
            <w:sz w:val="22"/>
            <w:lang w:val="hu-HU"/>
          </w:rPr>
          <w:t>ALL</w:t>
        </w:r>
      </w:smartTag>
      <w:r w:rsidRPr="00556B9B">
        <w:rPr>
          <w:b w:val="0"/>
          <w:caps w:val="0"/>
          <w:color w:val="000000"/>
          <w:sz w:val="22"/>
          <w:lang w:val="hu-HU"/>
        </w:rPr>
        <w:noBreakHyphen/>
        <w:t>es betegmintában 2,6</w:t>
      </w:r>
      <w:r w:rsidRPr="00556B9B">
        <w:rPr>
          <w:b w:val="0"/>
          <w:caps w:val="0"/>
          <w:color w:val="000000"/>
          <w:sz w:val="22"/>
          <w:lang w:val="hu-HU"/>
        </w:rPr>
        <w:noBreakHyphen/>
        <w:t>3,1 hónap volt, a teljes túlélés mediánértéke a 401 értékelhető beteg esetében 4,9</w:t>
      </w:r>
      <w:r w:rsidRPr="00556B9B">
        <w:rPr>
          <w:b w:val="0"/>
          <w:caps w:val="0"/>
          <w:color w:val="000000"/>
          <w:sz w:val="22"/>
          <w:lang w:val="hu-HU"/>
        </w:rPr>
        <w:noBreakHyphen/>
        <w:t xml:space="preserve">9 hónap volt. Hasonló eredményeket kaptak, amikor az adatok ismételt elemzésekor csak az 55 éves és idősebb betegek adatait </w:t>
      </w:r>
      <w:r w:rsidRPr="006D0F5F">
        <w:rPr>
          <w:b w:val="0"/>
          <w:caps w:val="0"/>
          <w:color w:val="000000"/>
          <w:sz w:val="22"/>
          <w:lang w:val="hu-HU"/>
        </w:rPr>
        <w:t>vizsgálták.</w:t>
      </w:r>
    </w:p>
    <w:p w14:paraId="4CBF2DF9" w14:textId="77777777" w:rsidR="00153AD1" w:rsidRPr="006D0F5F" w:rsidRDefault="00153AD1" w:rsidP="00153AD1">
      <w:pPr>
        <w:rPr>
          <w:color w:val="000000"/>
          <w:lang w:val="hu-HU"/>
        </w:rPr>
      </w:pPr>
    </w:p>
    <w:p w14:paraId="5D5388FD" w14:textId="77777777" w:rsidR="00153AD1" w:rsidRPr="006D0F5F" w:rsidRDefault="00153AD1" w:rsidP="00F926B9">
      <w:pPr>
        <w:keepNext/>
        <w:rPr>
          <w:color w:val="000000"/>
          <w:lang w:val="hu-HU"/>
        </w:rPr>
      </w:pPr>
      <w:r w:rsidRPr="006D0F5F">
        <w:rPr>
          <w:color w:val="000000"/>
          <w:u w:val="single"/>
          <w:lang w:val="hu-HU"/>
        </w:rPr>
        <w:t xml:space="preserve">Klinikai vizsgálatok </w:t>
      </w:r>
      <w:smartTag w:uri="urn:schemas-microsoft-com:office:smarttags" w:element="stockticker">
        <w:r w:rsidRPr="006D0F5F">
          <w:rPr>
            <w:color w:val="000000"/>
            <w:u w:val="single"/>
            <w:lang w:val="hu-HU"/>
          </w:rPr>
          <w:t>MDS</w:t>
        </w:r>
      </w:smartTag>
      <w:r w:rsidRPr="006D0F5F">
        <w:rPr>
          <w:color w:val="000000"/>
          <w:u w:val="single"/>
          <w:lang w:val="hu-HU"/>
        </w:rPr>
        <w:t>/MPD</w:t>
      </w:r>
      <w:r w:rsidRPr="006D0F5F">
        <w:rPr>
          <w:color w:val="000000"/>
          <w:u w:val="single"/>
          <w:lang w:val="hu-HU"/>
        </w:rPr>
        <w:noBreakHyphen/>
        <w:t>ben</w:t>
      </w:r>
    </w:p>
    <w:p w14:paraId="68BB4273" w14:textId="5B7759A2" w:rsidR="00E21768" w:rsidRPr="00556B9B" w:rsidRDefault="00153AD1" w:rsidP="00F24317">
      <w:pPr>
        <w:spacing w:line="240" w:lineRule="auto"/>
        <w:rPr>
          <w:color w:val="000000"/>
          <w:lang w:val="hu-HU"/>
        </w:rPr>
      </w:pPr>
      <w:r w:rsidRPr="006D0F5F">
        <w:rPr>
          <w:color w:val="000000"/>
          <w:lang w:val="hu-HU"/>
        </w:rPr>
        <w:t>Ebben az indikációban a Glivec alkalmazásáról nagyon kevés tapasztalat áll rendelkezésre. Ezen tapasztalatok a hematológiai és a cytogenetikai válaszarányokon alapulnak. Nem végeztek klinikai előnyt vagy a túlélés javulását igazoló klinikai vizsgálatokat. Egy nyílt, multicentrikus, II</w:t>
      </w:r>
      <w:r w:rsidR="00C8136B" w:rsidRPr="006D0F5F">
        <w:rPr>
          <w:color w:val="000000"/>
          <w:lang w:val="hu-HU"/>
        </w:rPr>
        <w:t>. fázisú</w:t>
      </w:r>
      <w:r w:rsidRPr="006D0F5F">
        <w:rPr>
          <w:color w:val="000000"/>
          <w:lang w:val="hu-HU"/>
        </w:rPr>
        <w:t xml:space="preserve"> klinikai vizsgálatban (B2225 vizsgálat) tanulmányozták a Glivec hatásait Abl, Kit vagy PDGFR</w:t>
      </w:r>
      <w:r w:rsidRPr="00556B9B">
        <w:rPr>
          <w:color w:val="000000"/>
          <w:lang w:val="hu-HU"/>
        </w:rPr>
        <w:t xml:space="preserve"> protein tirozinkinázokkal kapcsolatban álló, életet veszélyeztető betegségekben szenvedő egyénekből álló különböző betegcsoportokban. Ebbe a vizsgálatba 7 </w:t>
      </w:r>
      <w:smartTag w:uri="urn:schemas-microsoft-com:office:smarttags" w:element="stockticker">
        <w:r w:rsidRPr="00556B9B">
          <w:rPr>
            <w:color w:val="000000"/>
            <w:lang w:val="hu-HU"/>
          </w:rPr>
          <w:t>MDS</w:t>
        </w:r>
      </w:smartTag>
      <w:r w:rsidRPr="00556B9B">
        <w:rPr>
          <w:color w:val="000000"/>
          <w:lang w:val="hu-HU"/>
        </w:rPr>
        <w:t>/MPD</w:t>
      </w:r>
      <w:r w:rsidRPr="00556B9B">
        <w:rPr>
          <w:color w:val="000000"/>
          <w:lang w:val="hu-HU"/>
        </w:rPr>
        <w:noBreakHyphen/>
        <w:t>ben szenvedő beteget vontak be, akik napi 400 mg Glivec</w:t>
      </w:r>
      <w:r w:rsidRPr="00556B9B">
        <w:rPr>
          <w:color w:val="000000"/>
          <w:lang w:val="hu-HU"/>
        </w:rPr>
        <w:noBreakHyphen/>
        <w:t>et kaptak. 3 betegnél komplett hematológiai válasz (</w:t>
      </w:r>
      <w:smartTag w:uri="urn:schemas-microsoft-com:office:smarttags" w:element="stockticker">
        <w:r w:rsidRPr="00556B9B">
          <w:rPr>
            <w:color w:val="000000"/>
            <w:lang w:val="hu-HU"/>
          </w:rPr>
          <w:t>CHR</w:t>
        </w:r>
      </w:smartTag>
      <w:r w:rsidRPr="00556B9B">
        <w:rPr>
          <w:color w:val="000000"/>
          <w:lang w:val="hu-HU"/>
        </w:rPr>
        <w:t>), egy betegnél részleges hematológiai válasz (</w:t>
      </w:r>
      <w:smartTag w:uri="urn:schemas-microsoft-com:office:smarttags" w:element="stockticker">
        <w:r w:rsidRPr="00556B9B">
          <w:rPr>
            <w:color w:val="000000"/>
            <w:lang w:val="hu-HU"/>
          </w:rPr>
          <w:t>PHR</w:t>
        </w:r>
      </w:smartTag>
      <w:r w:rsidRPr="00556B9B">
        <w:rPr>
          <w:color w:val="000000"/>
          <w:lang w:val="hu-HU"/>
        </w:rPr>
        <w:t>) jelentkezett. Az eredeti analízis idején a 4 PDGFR génátrendeződést mutató beteg közül 3</w:t>
      </w:r>
      <w:r w:rsidRPr="00556B9B">
        <w:rPr>
          <w:color w:val="000000"/>
          <w:lang w:val="hu-HU"/>
        </w:rPr>
        <w:noBreakHyphen/>
        <w:t>nál jelentkezett hematológiai válasz (2 </w:t>
      </w:r>
      <w:smartTag w:uri="urn:schemas-microsoft-com:office:smarttags" w:element="stockticker">
        <w:r w:rsidRPr="00556B9B">
          <w:rPr>
            <w:color w:val="000000"/>
            <w:lang w:val="hu-HU"/>
          </w:rPr>
          <w:t>CHR</w:t>
        </w:r>
      </w:smartTag>
      <w:r w:rsidRPr="00556B9B">
        <w:rPr>
          <w:color w:val="000000"/>
          <w:lang w:val="hu-HU"/>
        </w:rPr>
        <w:t xml:space="preserve"> és 1 </w:t>
      </w:r>
      <w:smartTag w:uri="urn:schemas-microsoft-com:office:smarttags" w:element="stockticker">
        <w:r w:rsidRPr="00556B9B">
          <w:rPr>
            <w:color w:val="000000"/>
            <w:lang w:val="hu-HU"/>
          </w:rPr>
          <w:t>PHR</w:t>
        </w:r>
      </w:smartTag>
      <w:r w:rsidRPr="00556B9B">
        <w:rPr>
          <w:color w:val="000000"/>
          <w:lang w:val="hu-HU"/>
        </w:rPr>
        <w:t>). Ezen betegek életkora 20</w:t>
      </w:r>
      <w:r w:rsidRPr="00556B9B">
        <w:rPr>
          <w:color w:val="000000"/>
          <w:lang w:val="hu-HU"/>
        </w:rPr>
        <w:noBreakHyphen/>
        <w:t>72 év között volt.</w:t>
      </w:r>
    </w:p>
    <w:p w14:paraId="72F12F3C" w14:textId="77777777" w:rsidR="00E21768" w:rsidRPr="00556B9B" w:rsidRDefault="00E21768" w:rsidP="00F24317">
      <w:pPr>
        <w:spacing w:line="240" w:lineRule="auto"/>
        <w:rPr>
          <w:color w:val="000000"/>
          <w:lang w:val="hu-HU"/>
        </w:rPr>
      </w:pPr>
    </w:p>
    <w:p w14:paraId="29ADFB7F" w14:textId="77777777" w:rsidR="00E21768" w:rsidRPr="00556B9B" w:rsidRDefault="00E21768" w:rsidP="00437E63">
      <w:pPr>
        <w:pStyle w:val="EndnoteText"/>
        <w:widowControl w:val="0"/>
        <w:spacing w:line="240" w:lineRule="auto"/>
        <w:rPr>
          <w:color w:val="000000"/>
          <w:szCs w:val="22"/>
          <w:lang w:val="hu-HU"/>
        </w:rPr>
      </w:pPr>
      <w:r w:rsidRPr="00556B9B">
        <w:rPr>
          <w:lang w:val="hu-HU"/>
        </w:rPr>
        <w:t>Azért, hogy hosszú távú biztonságossági és hatásossági adatokat gyűjtsenek a PDGFR</w:t>
      </w:r>
      <w:r w:rsidRPr="00556B9B">
        <w:rPr>
          <w:lang w:val="hu-HU"/>
        </w:rPr>
        <w:noBreakHyphen/>
      </w:r>
      <w:r w:rsidRPr="00556B9B">
        <w:t>β</w:t>
      </w:r>
      <w:r w:rsidRPr="00556B9B">
        <w:rPr>
          <w:lang w:val="hu-HU"/>
        </w:rPr>
        <w:t xml:space="preserve"> génátrendeződéssel társuló myeloproliferativ daganatokban szenvedő olyan betegektől, akiket Glivec</w:t>
      </w:r>
      <w:r w:rsidRPr="00556B9B">
        <w:rPr>
          <w:lang w:val="hu-HU"/>
        </w:rPr>
        <w:noBreakHyphen/>
        <w:t>kel kezeltek, egy obszervációs regisztert (L2401</w:t>
      </w:r>
      <w:r w:rsidRPr="00556B9B">
        <w:rPr>
          <w:lang w:val="hu-HU"/>
        </w:rPr>
        <w:noBreakHyphen/>
        <w:t xml:space="preserve">vizsgálat) hoztak létre. </w:t>
      </w:r>
      <w:r w:rsidRPr="00556B9B">
        <w:rPr>
          <w:color w:val="000000"/>
          <w:lang w:val="hu-HU"/>
        </w:rPr>
        <w:t>Az ebbe a regiszterbe bevont 23 beteg 264 mg</w:t>
      </w:r>
      <w:r w:rsidRPr="00556B9B">
        <w:rPr>
          <w:color w:val="000000"/>
          <w:lang w:val="hu-HU"/>
        </w:rPr>
        <w:noBreakHyphen/>
        <w:t>os medián napi dózisban kapott Glivec</w:t>
      </w:r>
      <w:r w:rsidRPr="00556B9B">
        <w:rPr>
          <w:color w:val="000000"/>
          <w:lang w:val="hu-HU"/>
        </w:rPr>
        <w:noBreakHyphen/>
        <w:t>et (szélső értékek: 100</w:t>
      </w:r>
      <w:r w:rsidRPr="00556B9B">
        <w:rPr>
          <w:color w:val="000000"/>
          <w:lang w:val="hu-HU"/>
        </w:rPr>
        <w:noBreakHyphen/>
        <w:t>400 mg), 7,2 éves medián időtartamban (szélső értékek: 0,1 </w:t>
      </w:r>
      <w:r w:rsidRPr="00556B9B">
        <w:rPr>
          <w:color w:val="000000"/>
          <w:lang w:val="hu-HU"/>
        </w:rPr>
        <w:noBreakHyphen/>
        <w:t xml:space="preserve"> 12,7 év). </w:t>
      </w:r>
      <w:r w:rsidRPr="00556B9B">
        <w:rPr>
          <w:lang w:val="hu-HU"/>
        </w:rPr>
        <w:t>A regiszter obszervációs jellegéből adódóan a 23 bevont betegből a hematológiai vizsgálati adatok 22 betegnél, a citogenetikai vizsgálati eredmények 9 betegnél, a molekuláris vizsgálati adatok 17 betegnél álltak rendelkezésre.</w:t>
      </w:r>
      <w:r w:rsidRPr="00556B9B">
        <w:rPr>
          <w:color w:val="000000"/>
          <w:lang w:val="hu-HU"/>
        </w:rPr>
        <w:t xml:space="preserve"> Konzervatívan feltételezve, hogy azok a betegek, akiknél az adatok hiányoztak, non</w:t>
      </w:r>
      <w:r w:rsidRPr="00556B9B">
        <w:rPr>
          <w:color w:val="000000"/>
          <w:lang w:val="hu-HU"/>
        </w:rPr>
        <w:noBreakHyphen/>
        <w:t xml:space="preserve">reszponderek voltak, komplett hematológiai választ 20/23 (87%) betegnél, komplett cytogenetikai választ 9/23 </w:t>
      </w:r>
      <w:r w:rsidRPr="00556B9B">
        <w:rPr>
          <w:color w:val="000000"/>
          <w:lang w:val="hu-HU"/>
        </w:rPr>
        <w:lastRenderedPageBreak/>
        <w:t>(39,1%) betegnél, és molekuláris választ 11/23 (47,8%) betegnél figyeltek meg. Amikor a válaszadási arányt olyan betegeknél számították, akiknél legalább egy valós vizsgálati adat volt, a CHR, CCyR és MR válaszadási arány sorrendben 20/22 (90,9%), 9/9 (100%) és 11/17 (64,7%) volt.</w:t>
      </w:r>
    </w:p>
    <w:p w14:paraId="129603CB" w14:textId="77777777" w:rsidR="00E21768" w:rsidRPr="00556B9B" w:rsidRDefault="00E21768" w:rsidP="00BF2A89">
      <w:pPr>
        <w:spacing w:line="240" w:lineRule="auto"/>
        <w:rPr>
          <w:color w:val="000000"/>
          <w:lang w:val="hu-HU"/>
        </w:rPr>
      </w:pPr>
    </w:p>
    <w:p w14:paraId="201C2F41" w14:textId="77777777" w:rsidR="00153AD1" w:rsidRPr="00556B9B" w:rsidRDefault="00153AD1" w:rsidP="00BF2A89">
      <w:pPr>
        <w:spacing w:line="240" w:lineRule="auto"/>
        <w:rPr>
          <w:color w:val="000000"/>
          <w:lang w:val="hu-HU"/>
        </w:rPr>
      </w:pPr>
      <w:r w:rsidRPr="00556B9B">
        <w:rPr>
          <w:color w:val="000000"/>
          <w:lang w:val="hu-HU"/>
        </w:rPr>
        <w:t>13 publikált esettanulmányban további 24 </w:t>
      </w:r>
      <w:smartTag w:uri="urn:schemas-microsoft-com:office:smarttags" w:element="stockticker">
        <w:r w:rsidRPr="00556B9B">
          <w:rPr>
            <w:color w:val="000000"/>
            <w:lang w:val="hu-HU"/>
          </w:rPr>
          <w:t>MDS</w:t>
        </w:r>
      </w:smartTag>
      <w:r w:rsidRPr="00556B9B">
        <w:rPr>
          <w:color w:val="000000"/>
          <w:lang w:val="hu-HU"/>
        </w:rPr>
        <w:t>/MPD</w:t>
      </w:r>
      <w:r w:rsidRPr="00556B9B">
        <w:rPr>
          <w:color w:val="000000"/>
          <w:lang w:val="hu-HU"/>
        </w:rPr>
        <w:noBreakHyphen/>
        <w:t>s betegről számoltak be. 21 beteget kezeltek napi 400 mg Glivec</w:t>
      </w:r>
      <w:r w:rsidRPr="00556B9B">
        <w:rPr>
          <w:color w:val="000000"/>
          <w:lang w:val="hu-HU"/>
        </w:rPr>
        <w:noBreakHyphen/>
        <w:t>kel, míg a másik 3 beteg kisebb adagot kapott. 11 betegben mutattak ki PDGFR génátrendeződést, akik közül 9</w:t>
      </w:r>
      <w:r w:rsidRPr="00556B9B">
        <w:rPr>
          <w:color w:val="000000"/>
          <w:lang w:val="hu-HU"/>
        </w:rPr>
        <w:noBreakHyphen/>
        <w:t xml:space="preserve">nél jelentkezett </w:t>
      </w:r>
      <w:smartTag w:uri="urn:schemas-microsoft-com:office:smarttags" w:element="stockticker">
        <w:r w:rsidRPr="00556B9B">
          <w:rPr>
            <w:color w:val="000000"/>
            <w:lang w:val="hu-HU"/>
          </w:rPr>
          <w:t>CHR</w:t>
        </w:r>
      </w:smartTag>
      <w:r w:rsidRPr="00556B9B">
        <w:rPr>
          <w:color w:val="000000"/>
          <w:lang w:val="hu-HU"/>
        </w:rPr>
        <w:t xml:space="preserve"> és egynél </w:t>
      </w:r>
      <w:smartTag w:uri="urn:schemas-microsoft-com:office:smarttags" w:element="stockticker">
        <w:r w:rsidRPr="00556B9B">
          <w:rPr>
            <w:color w:val="000000"/>
            <w:lang w:val="hu-HU"/>
          </w:rPr>
          <w:t>PHR</w:t>
        </w:r>
      </w:smartTag>
      <w:r w:rsidRPr="00556B9B">
        <w:rPr>
          <w:color w:val="000000"/>
          <w:lang w:val="hu-HU"/>
        </w:rPr>
        <w:t>. Ezen betegek életkora 2</w:t>
      </w:r>
      <w:r w:rsidRPr="00556B9B">
        <w:rPr>
          <w:color w:val="000000"/>
          <w:lang w:val="hu-HU"/>
        </w:rPr>
        <w:noBreakHyphen/>
        <w:t>79 év között volt. Egy utóbb megjelent publikáció szerint, mely ebből a 11 betegből 6</w:t>
      </w:r>
      <w:r w:rsidRPr="00556B9B">
        <w:rPr>
          <w:color w:val="000000"/>
          <w:lang w:val="hu-HU"/>
        </w:rPr>
        <w:noBreakHyphen/>
        <w:t>ról naprakész információkat közöl, ezen betegek mindegyike cytogenetikai remisszióban maradt (32</w:t>
      </w:r>
      <w:r w:rsidRPr="00556B9B">
        <w:rPr>
          <w:color w:val="000000"/>
          <w:lang w:val="hu-HU"/>
        </w:rPr>
        <w:noBreakHyphen/>
        <w:t xml:space="preserve">38 hónap). Ugyanez a publikáció hosszú távú követési adatokat közöl 12 PDGFR génátrendeződéssel társuló </w:t>
      </w:r>
      <w:smartTag w:uri="urn:schemas-microsoft-com:office:smarttags" w:element="stockticker">
        <w:r w:rsidRPr="00556B9B">
          <w:rPr>
            <w:color w:val="000000"/>
            <w:lang w:val="hu-HU"/>
          </w:rPr>
          <w:t>MDS</w:t>
        </w:r>
      </w:smartTag>
      <w:r w:rsidRPr="00556B9B">
        <w:rPr>
          <w:color w:val="000000"/>
          <w:lang w:val="hu-HU"/>
        </w:rPr>
        <w:t>/MPD</w:t>
      </w:r>
      <w:r w:rsidRPr="00556B9B">
        <w:rPr>
          <w:color w:val="000000"/>
          <w:lang w:val="hu-HU"/>
        </w:rPr>
        <w:noBreakHyphen/>
        <w:t>ben szenvedő betegről (a B2225 vizsgálatba bevont 5 beteg). Ezek a betegek átlagosan 47 hónapon keresztül (24 nap</w:t>
      </w:r>
      <w:r w:rsidRPr="00556B9B">
        <w:rPr>
          <w:color w:val="000000"/>
          <w:lang w:val="hu-HU"/>
        </w:rPr>
        <w:noBreakHyphen/>
        <w:t>60 hónap) kaptak Glivec</w:t>
      </w:r>
      <w:r w:rsidRPr="00556B9B">
        <w:rPr>
          <w:color w:val="000000"/>
          <w:lang w:val="hu-HU"/>
        </w:rPr>
        <w:noBreakHyphen/>
        <w:t xml:space="preserve">et. Ezek közül 6 beteg esetében a követési idő jelenleg meghaladja a 4 évet. 11 beteg esetében jelentkezett gyorsan kialakuló </w:t>
      </w:r>
      <w:smartTag w:uri="urn:schemas-microsoft-com:office:smarttags" w:element="stockticker">
        <w:r w:rsidRPr="00556B9B">
          <w:rPr>
            <w:color w:val="000000"/>
            <w:lang w:val="hu-HU"/>
          </w:rPr>
          <w:t>CHR</w:t>
        </w:r>
      </w:smartTag>
      <w:r w:rsidRPr="00556B9B">
        <w:rPr>
          <w:color w:val="000000"/>
          <w:lang w:val="hu-HU"/>
        </w:rPr>
        <w:t>, 10 beteg esetében szűntek meg teljesen a cytogenetikai rendellenességek és csökkent vagy nem volt kimutatható a RT</w:t>
      </w:r>
      <w:r w:rsidRPr="00556B9B">
        <w:rPr>
          <w:color w:val="000000"/>
          <w:lang w:val="hu-HU"/>
        </w:rPr>
        <w:noBreakHyphen/>
      </w:r>
      <w:smartTag w:uri="urn:schemas-microsoft-com:office:smarttags" w:element="stockticker">
        <w:r w:rsidRPr="00556B9B">
          <w:rPr>
            <w:color w:val="000000"/>
            <w:lang w:val="hu-HU"/>
          </w:rPr>
          <w:t>PCR</w:t>
        </w:r>
      </w:smartTag>
      <w:r w:rsidRPr="00556B9B">
        <w:rPr>
          <w:color w:val="000000"/>
          <w:lang w:val="hu-HU"/>
        </w:rPr>
        <w:noBreakHyphen/>
        <w:t>rel mért fúziós transzkripció. A hematológiai válasz átlagosan 49 hónapig (19</w:t>
      </w:r>
      <w:r w:rsidRPr="00556B9B">
        <w:rPr>
          <w:color w:val="000000"/>
          <w:lang w:val="hu-HU"/>
        </w:rPr>
        <w:noBreakHyphen/>
        <w:t>60 hónap), illetve a cytogenetikai válasz átlagosan 47 hónapig (16</w:t>
      </w:r>
      <w:r w:rsidRPr="00556B9B">
        <w:rPr>
          <w:color w:val="000000"/>
          <w:lang w:val="hu-HU"/>
        </w:rPr>
        <w:noBreakHyphen/>
        <w:t>59 hónap) maradt fent. A teljes túlélés a diagnózis időpontjától számítva 65 hónap (25</w:t>
      </w:r>
      <w:r w:rsidRPr="00556B9B">
        <w:rPr>
          <w:color w:val="000000"/>
          <w:lang w:val="hu-HU"/>
        </w:rPr>
        <w:noBreakHyphen/>
        <w:t>234 hónap). A Glivec alkalmazása a genetikai transzlokációt nem mutató betegek esetében rendszerint nem eredményez javulást.</w:t>
      </w:r>
    </w:p>
    <w:p w14:paraId="744DA667" w14:textId="77777777" w:rsidR="00153AD1" w:rsidRPr="00556B9B" w:rsidRDefault="00153AD1" w:rsidP="00153AD1">
      <w:pPr>
        <w:pStyle w:val="Heading1"/>
        <w:numPr>
          <w:ilvl w:val="0"/>
          <w:numId w:val="0"/>
        </w:numPr>
        <w:spacing w:before="0" w:after="0" w:line="240" w:lineRule="auto"/>
        <w:rPr>
          <w:b w:val="0"/>
          <w:caps w:val="0"/>
          <w:color w:val="000000"/>
          <w:sz w:val="22"/>
          <w:u w:val="single"/>
          <w:lang w:val="hu-HU"/>
        </w:rPr>
      </w:pPr>
    </w:p>
    <w:p w14:paraId="61F5BCCB" w14:textId="77777777" w:rsidR="00153AD1" w:rsidRPr="00556B9B" w:rsidRDefault="00153AD1" w:rsidP="00153AD1">
      <w:pPr>
        <w:pStyle w:val="EndnoteText"/>
        <w:widowControl w:val="0"/>
        <w:rPr>
          <w:lang w:val="hu-HU"/>
        </w:rPr>
      </w:pPr>
      <w:r w:rsidRPr="00556B9B">
        <w:rPr>
          <w:rStyle w:val="WW8Num1z0"/>
          <w:rFonts w:ascii="Times New Roman" w:hAnsi="Times New Roman"/>
          <w:color w:val="000000"/>
          <w:lang w:val="hu-HU" w:eastAsia="hu-HU"/>
        </w:rPr>
        <w:t>MDS/MPD</w:t>
      </w:r>
      <w:r w:rsidRPr="00556B9B">
        <w:rPr>
          <w:rStyle w:val="WW8Num1z0"/>
          <w:color w:val="000000"/>
          <w:lang w:val="hu-HU"/>
        </w:rPr>
        <w:noBreakHyphen/>
      </w:r>
      <w:r w:rsidRPr="00556B9B">
        <w:rPr>
          <w:rStyle w:val="WW8Num1z0"/>
          <w:rFonts w:ascii="Times New Roman" w:hAnsi="Times New Roman"/>
          <w:color w:val="000000"/>
          <w:lang w:val="hu-HU" w:eastAsia="hu-HU"/>
        </w:rPr>
        <w:t>ben szenvedő gyermekgyógyászati betegekkel nincsenek kontrollos vizsgálatok. Négy publikációban öt (5), PDGFR</w:t>
      </w:r>
      <w:r w:rsidRPr="00556B9B">
        <w:rPr>
          <w:rStyle w:val="WW8Num1z0"/>
          <w:color w:val="000000"/>
          <w:lang w:val="hu-HU"/>
        </w:rPr>
        <w:noBreakHyphen/>
      </w:r>
      <w:r w:rsidRPr="00556B9B">
        <w:rPr>
          <w:rStyle w:val="WW8Num1z0"/>
          <w:rFonts w:ascii="Times New Roman" w:hAnsi="Times New Roman"/>
          <w:color w:val="000000"/>
          <w:lang w:val="hu-HU" w:eastAsia="hu-HU"/>
        </w:rPr>
        <w:t>rel társult, MDS/MPD</w:t>
      </w:r>
      <w:r w:rsidRPr="00556B9B">
        <w:rPr>
          <w:rStyle w:val="WW8Num1z0"/>
          <w:color w:val="000000"/>
          <w:lang w:val="hu-HU"/>
        </w:rPr>
        <w:noBreakHyphen/>
      </w:r>
      <w:r w:rsidRPr="00556B9B">
        <w:rPr>
          <w:rStyle w:val="WW8Num1z0"/>
          <w:rFonts w:ascii="Times New Roman" w:hAnsi="Times New Roman"/>
          <w:color w:val="000000"/>
          <w:lang w:val="hu-HU" w:eastAsia="hu-HU"/>
        </w:rPr>
        <w:t xml:space="preserve">ben szenvedő betegnél génátrendeződésről számoltak be. </w:t>
      </w:r>
      <w:r w:rsidRPr="00556B9B">
        <w:rPr>
          <w:rStyle w:val="WW8Num1z0"/>
          <w:rFonts w:ascii="Times New Roman" w:hAnsi="Times New Roman"/>
          <w:lang w:val="hu-HU" w:eastAsia="hu-HU"/>
        </w:rPr>
        <w:t>Ezen betegek életkora 3</w:t>
      </w:r>
      <w:r w:rsidRPr="00556B9B">
        <w:rPr>
          <w:rStyle w:val="WW8Num1z0"/>
          <w:lang w:val="hu-HU"/>
        </w:rPr>
        <w:t> hóna</w:t>
      </w:r>
      <w:r w:rsidRPr="00556B9B">
        <w:rPr>
          <w:rStyle w:val="WW8Num1z0"/>
          <w:rFonts w:ascii="Times New Roman" w:hAnsi="Times New Roman"/>
          <w:lang w:val="hu-HU" w:eastAsia="hu-HU"/>
        </w:rPr>
        <w:t>p és 4</w:t>
      </w:r>
      <w:r w:rsidRPr="00556B9B">
        <w:rPr>
          <w:rStyle w:val="WW8Num1z0"/>
          <w:lang w:val="hu-HU"/>
        </w:rPr>
        <w:t> év</w:t>
      </w:r>
      <w:r w:rsidRPr="00556B9B">
        <w:rPr>
          <w:rStyle w:val="WW8Num1z0"/>
          <w:rFonts w:ascii="Times New Roman" w:hAnsi="Times New Roman"/>
          <w:lang w:val="hu-HU" w:eastAsia="hu-HU"/>
        </w:rPr>
        <w:t xml:space="preserve"> közé esett, és az imatinibet napi 50 mg</w:t>
      </w:r>
      <w:r w:rsidRPr="00556B9B">
        <w:rPr>
          <w:rStyle w:val="WW8Num1z0"/>
          <w:rFonts w:ascii="Times New Roman" w:hAnsi="Times New Roman"/>
          <w:lang w:val="hu-HU" w:eastAsia="hu-HU"/>
        </w:rPr>
        <w:noBreakHyphen/>
        <w:t xml:space="preserve">os dózisban vagy napi </w:t>
      </w:r>
      <w:r w:rsidRPr="00556B9B">
        <w:rPr>
          <w:rStyle w:val="WW8Num1z0"/>
          <w:rFonts w:ascii="Times New Roman" w:hAnsi="Times New Roman"/>
          <w:color w:val="000000"/>
          <w:lang w:val="hu-HU" w:eastAsia="hu-HU"/>
        </w:rPr>
        <w:t>92,5</w:t>
      </w:r>
      <w:r w:rsidRPr="00556B9B">
        <w:rPr>
          <w:rStyle w:val="WW8Num1z0"/>
          <w:color w:val="000000"/>
          <w:lang w:val="hu-HU"/>
        </w:rPr>
        <w:noBreakHyphen/>
      </w:r>
      <w:r w:rsidRPr="00556B9B">
        <w:rPr>
          <w:rStyle w:val="WW8Num1z0"/>
          <w:rFonts w:ascii="Times New Roman" w:hAnsi="Times New Roman"/>
          <w:color w:val="000000"/>
          <w:lang w:val="hu-HU" w:eastAsia="hu-HU"/>
        </w:rPr>
        <w:t>340</w:t>
      </w:r>
      <w:r w:rsidRPr="00556B9B">
        <w:rPr>
          <w:rStyle w:val="WW8Num1z0"/>
          <w:color w:val="000000"/>
          <w:lang w:val="hu-HU"/>
        </w:rPr>
        <w:t> mg</w:t>
      </w:r>
      <w:r w:rsidRPr="00556B9B">
        <w:rPr>
          <w:rStyle w:val="WW8Num1z0"/>
          <w:rFonts w:ascii="Times New Roman" w:hAnsi="Times New Roman"/>
          <w:color w:val="000000"/>
          <w:lang w:val="hu-HU" w:eastAsia="hu-HU"/>
        </w:rPr>
        <w:t>/m</w:t>
      </w:r>
      <w:r w:rsidRPr="00556B9B">
        <w:rPr>
          <w:rStyle w:val="WW8Num1z0"/>
          <w:rFonts w:ascii="Times New Roman" w:hAnsi="Times New Roman"/>
          <w:color w:val="000000"/>
          <w:vertAlign w:val="superscript"/>
          <w:lang w:val="hu-HU" w:eastAsia="hu-HU"/>
        </w:rPr>
        <w:t>2</w:t>
      </w:r>
      <w:r w:rsidRPr="00556B9B">
        <w:rPr>
          <w:rStyle w:val="WW8Num1z0"/>
          <w:rFonts w:ascii="Times New Roman" w:hAnsi="Times New Roman"/>
          <w:color w:val="000000"/>
          <w:lang w:val="hu-HU" w:eastAsia="hu-HU"/>
        </w:rPr>
        <w:t xml:space="preserve"> közötti dózisokban kapták. Minden beteg teljes hematológiai választ, cytogenetikai választ és/vagy klinikai választ ért el.</w:t>
      </w:r>
    </w:p>
    <w:p w14:paraId="2B58AFDC" w14:textId="77777777" w:rsidR="00153AD1" w:rsidRPr="00556B9B" w:rsidRDefault="00153AD1" w:rsidP="00153AD1">
      <w:pPr>
        <w:rPr>
          <w:lang w:val="hu-HU"/>
        </w:rPr>
      </w:pPr>
    </w:p>
    <w:p w14:paraId="045F44EC" w14:textId="77777777" w:rsidR="00153AD1" w:rsidRPr="00556B9B" w:rsidRDefault="00153AD1" w:rsidP="00F926B9">
      <w:pPr>
        <w:pStyle w:val="Heading1"/>
        <w:keepNext/>
        <w:numPr>
          <w:ilvl w:val="0"/>
          <w:numId w:val="0"/>
        </w:numPr>
        <w:spacing w:before="0" w:after="0" w:line="240" w:lineRule="auto"/>
        <w:rPr>
          <w:b w:val="0"/>
          <w:caps w:val="0"/>
          <w:color w:val="000000"/>
          <w:sz w:val="22"/>
          <w:u w:val="single"/>
          <w:lang w:val="hu-HU"/>
        </w:rPr>
      </w:pPr>
      <w:r w:rsidRPr="00556B9B">
        <w:rPr>
          <w:b w:val="0"/>
          <w:caps w:val="0"/>
          <w:color w:val="000000"/>
          <w:sz w:val="22"/>
          <w:u w:val="single"/>
          <w:lang w:val="hu-HU"/>
        </w:rPr>
        <w:t>Klinikai vizsgálatok HES/</w:t>
      </w:r>
      <w:smartTag w:uri="urn:schemas-microsoft-com:office:smarttags" w:element="stockticker">
        <w:r w:rsidRPr="00556B9B">
          <w:rPr>
            <w:b w:val="0"/>
            <w:caps w:val="0"/>
            <w:color w:val="000000"/>
            <w:sz w:val="22"/>
            <w:u w:val="single"/>
            <w:lang w:val="hu-HU"/>
          </w:rPr>
          <w:t>CEL</w:t>
        </w:r>
      </w:smartTag>
      <w:r w:rsidRPr="00556B9B">
        <w:rPr>
          <w:b w:val="0"/>
          <w:caps w:val="0"/>
          <w:color w:val="000000"/>
          <w:sz w:val="22"/>
          <w:u w:val="single"/>
          <w:lang w:val="hu-HU"/>
        </w:rPr>
        <w:noBreakHyphen/>
        <w:t>ben</w:t>
      </w:r>
    </w:p>
    <w:p w14:paraId="55E3B579" w14:textId="0CB67E63" w:rsidR="00153AD1" w:rsidRPr="00556B9B" w:rsidRDefault="00153AD1" w:rsidP="00153AD1">
      <w:pPr>
        <w:rPr>
          <w:color w:val="000000"/>
          <w:lang w:val="hu-HU"/>
        </w:rPr>
      </w:pPr>
      <w:r w:rsidRPr="00347A1E">
        <w:rPr>
          <w:color w:val="000000"/>
          <w:lang w:val="hu-HU"/>
        </w:rPr>
        <w:t>Egy nyílt, multicentrikus, II</w:t>
      </w:r>
      <w:r w:rsidR="00045AFC" w:rsidRPr="00347A1E">
        <w:rPr>
          <w:color w:val="000000"/>
          <w:lang w:val="hu-HU"/>
        </w:rPr>
        <w:t>. fázisú</w:t>
      </w:r>
      <w:r w:rsidRPr="00347A1E">
        <w:rPr>
          <w:color w:val="000000"/>
          <w:lang w:val="hu-HU"/>
        </w:rPr>
        <w:t xml:space="preserve"> klinikai vizsgálatban (B2225 vizsgálat) az Abl, Kit vagy PDGFR</w:t>
      </w:r>
      <w:r w:rsidRPr="00556B9B">
        <w:rPr>
          <w:color w:val="000000"/>
          <w:lang w:val="hu-HU"/>
        </w:rPr>
        <w:t xml:space="preserve"> protein tirozinkinázokkal kapcsolatban álló életveszélyes betegségekben szenvedő betegek különféle populációiban vizsgálták a Glivec</w:t>
      </w:r>
      <w:r w:rsidRPr="00556B9B">
        <w:rPr>
          <w:color w:val="000000"/>
          <w:lang w:val="hu-HU"/>
        </w:rPr>
        <w:noBreakHyphen/>
        <w:t>et. Az ezen vizsgálatba bevont 14 HES/</w:t>
      </w:r>
      <w:smartTag w:uri="urn:schemas-microsoft-com:office:smarttags" w:element="stockticker">
        <w:r w:rsidRPr="00556B9B">
          <w:rPr>
            <w:color w:val="000000"/>
            <w:lang w:val="hu-HU"/>
          </w:rPr>
          <w:t>CEL</w:t>
        </w:r>
      </w:smartTag>
      <w:r w:rsidRPr="00556B9B">
        <w:rPr>
          <w:color w:val="000000"/>
          <w:lang w:val="hu-HU"/>
        </w:rPr>
        <w:noBreakHyphen/>
        <w:t>ben szenvedő beteg naponta 100</w:t>
      </w:r>
      <w:r w:rsidRPr="00556B9B">
        <w:rPr>
          <w:color w:val="000000"/>
          <w:lang w:val="hu-HU"/>
        </w:rPr>
        <w:noBreakHyphen/>
        <w:t>1000 mg adagban kapott Glivec</w:t>
      </w:r>
      <w:r w:rsidRPr="00556B9B">
        <w:rPr>
          <w:color w:val="000000"/>
          <w:lang w:val="hu-HU"/>
        </w:rPr>
        <w:noBreakHyphen/>
        <w:t>et. 35 publikált esettanulmányban és eset</w:t>
      </w:r>
      <w:r w:rsidRPr="00556B9B">
        <w:rPr>
          <w:color w:val="000000"/>
          <w:lang w:val="hu-HU"/>
        </w:rPr>
        <w:noBreakHyphen/>
        <w:t>sorozatban további 162 HES/</w:t>
      </w:r>
      <w:smartTag w:uri="urn:schemas-microsoft-com:office:smarttags" w:element="stockticker">
        <w:r w:rsidRPr="00556B9B">
          <w:rPr>
            <w:color w:val="000000"/>
            <w:lang w:val="hu-HU"/>
          </w:rPr>
          <w:t>CEL</w:t>
        </w:r>
      </w:smartTag>
      <w:r w:rsidRPr="00556B9B">
        <w:rPr>
          <w:color w:val="000000"/>
          <w:lang w:val="hu-HU"/>
        </w:rPr>
        <w:noBreakHyphen/>
        <w:t>ben szenvedő betegről számoltak be, akik naponta 75</w:t>
      </w:r>
      <w:r w:rsidRPr="00556B9B">
        <w:rPr>
          <w:color w:val="000000"/>
          <w:lang w:val="hu-HU"/>
        </w:rPr>
        <w:noBreakHyphen/>
        <w:t>800 mg adagban kaptak Glivec</w:t>
      </w:r>
      <w:r w:rsidRPr="00556B9B">
        <w:rPr>
          <w:color w:val="000000"/>
          <w:lang w:val="hu-HU"/>
        </w:rPr>
        <w:noBreakHyphen/>
        <w:t>et. Összesen 176 betegből 117 esetében vizsgálták a citogenetikai rendellenességeket. E 117 beteg közül 61 esetében mutatták ki a FIP1L1-PDGFR</w:t>
      </w:r>
      <w:r w:rsidRPr="00556B9B">
        <w:rPr>
          <w:color w:val="000000"/>
        </w:rPr>
        <w:t>α</w:t>
      </w:r>
      <w:r w:rsidRPr="00556B9B">
        <w:rPr>
          <w:color w:val="000000"/>
          <w:lang w:val="hu-HU"/>
        </w:rPr>
        <w:t xml:space="preserve"> fúziós kinázt. 3 másik publikációban további 4 FIP1L1-PDGFR</w:t>
      </w:r>
      <w:r w:rsidRPr="00556B9B">
        <w:rPr>
          <w:color w:val="000000"/>
        </w:rPr>
        <w:t>α</w:t>
      </w:r>
      <w:r w:rsidRPr="00556B9B">
        <w:rPr>
          <w:color w:val="000000"/>
          <w:lang w:val="hu-HU"/>
        </w:rPr>
        <w:t xml:space="preserve"> fúziós kináz pozitív, HES</w:t>
      </w:r>
      <w:r w:rsidRPr="00556B9B">
        <w:rPr>
          <w:color w:val="000000"/>
          <w:lang w:val="hu-HU"/>
        </w:rPr>
        <w:noBreakHyphen/>
        <w:t>ben szenvedő betegről számoltak be. Mind a 65 FIP1L1-PDGFR</w:t>
      </w:r>
      <w:r w:rsidRPr="00556B9B">
        <w:rPr>
          <w:color w:val="000000"/>
        </w:rPr>
        <w:t>α</w:t>
      </w:r>
      <w:r w:rsidRPr="00556B9B">
        <w:rPr>
          <w:color w:val="000000"/>
          <w:lang w:val="hu-HU"/>
        </w:rPr>
        <w:t xml:space="preserve"> fúziós kináz pozitív beteg teljes hematológiai választ ért el, amely hónapokig fennmaradt (1+</w:t>
      </w:r>
      <w:r w:rsidRPr="00556B9B">
        <w:rPr>
          <w:color w:val="000000"/>
          <w:lang w:val="hu-HU"/>
        </w:rPr>
        <w:noBreakHyphen/>
        <w:t>44+ hónap, a bejelentés időpontjakor cenzorálva). Amint arról egy utóbb megjelent publikációban beszámoltak, a 65 beteg közül 21 ért el teljes molekuláris remissziót átlagosan 28 hónapos (13</w:t>
      </w:r>
      <w:r w:rsidRPr="00556B9B">
        <w:rPr>
          <w:color w:val="000000"/>
          <w:lang w:val="hu-HU"/>
        </w:rPr>
        <w:noBreakHyphen/>
        <w:t>67 hónap) követési idő mellett. Ezen betegek életkora 25</w:t>
      </w:r>
      <w:r w:rsidRPr="00556B9B">
        <w:rPr>
          <w:color w:val="000000"/>
          <w:lang w:val="hu-HU"/>
        </w:rPr>
        <w:noBreakHyphen/>
        <w:t>72 év között volt. Az esettanulmányokban ezenkívül a vizsgálatvezetők a tünetegyüttes és az egyéb szervekben fellépett működési rendellenességek javulásáról számoltak be. Javulásról számoltak be az alábbi szervrendszerek tekintetében: idegrendszer, bőr/bőr alatti szövetek, légzőrendszer/mellkas/mediastinum, vázizom/kötőszövet/érrendszer és emésztőrendszer.</w:t>
      </w:r>
    </w:p>
    <w:p w14:paraId="1BB5D573" w14:textId="77777777" w:rsidR="00153AD1" w:rsidRPr="00556B9B" w:rsidRDefault="00153AD1" w:rsidP="00153AD1">
      <w:pPr>
        <w:pStyle w:val="Heading1"/>
        <w:numPr>
          <w:ilvl w:val="0"/>
          <w:numId w:val="0"/>
        </w:numPr>
        <w:spacing w:before="0" w:after="0" w:line="240" w:lineRule="auto"/>
        <w:rPr>
          <w:b w:val="0"/>
          <w:caps w:val="0"/>
          <w:color w:val="000000"/>
          <w:sz w:val="22"/>
          <w:u w:val="single"/>
          <w:lang w:val="hu-HU"/>
        </w:rPr>
      </w:pPr>
    </w:p>
    <w:p w14:paraId="29CA653C" w14:textId="77777777" w:rsidR="00153AD1" w:rsidRPr="00556B9B" w:rsidRDefault="00153AD1" w:rsidP="00153AD1">
      <w:pPr>
        <w:pStyle w:val="Text"/>
        <w:spacing w:before="0"/>
        <w:jc w:val="left"/>
        <w:rPr>
          <w:color w:val="000000"/>
          <w:sz w:val="22"/>
          <w:szCs w:val="22"/>
          <w:lang w:val="hu-HU"/>
        </w:rPr>
      </w:pPr>
      <w:r w:rsidRPr="00556B9B">
        <w:rPr>
          <w:rStyle w:val="WW8Num3z0"/>
          <w:color w:val="000000"/>
          <w:sz w:val="22"/>
          <w:lang w:val="hu-HU"/>
        </w:rPr>
        <w:t>HES/CEL</w:t>
      </w:r>
      <w:r w:rsidRPr="00556B9B">
        <w:rPr>
          <w:rStyle w:val="WW8Num3z0"/>
          <w:color w:val="000000"/>
          <w:sz w:val="22"/>
          <w:lang w:val="hu-HU"/>
        </w:rPr>
        <w:noBreakHyphen/>
        <w:t>ben szenvedő gyermekgyógyászati betegekkel nincsenek kontrollos vizsgálatok. Három publikációban három (3), PDGFR</w:t>
      </w:r>
      <w:r w:rsidRPr="00556B9B">
        <w:rPr>
          <w:rStyle w:val="WW8Num3z0"/>
          <w:color w:val="000000"/>
          <w:sz w:val="22"/>
          <w:lang w:val="hu-HU"/>
        </w:rPr>
        <w:noBreakHyphen/>
        <w:t>rel társult, HES</w:t>
      </w:r>
      <w:r w:rsidRPr="00556B9B">
        <w:rPr>
          <w:rStyle w:val="WW8Num3z0"/>
          <w:color w:val="000000"/>
          <w:sz w:val="22"/>
          <w:lang w:val="hu-HU"/>
        </w:rPr>
        <w:noBreakHyphen/>
        <w:t>ben és CEL</w:t>
      </w:r>
      <w:r w:rsidRPr="00556B9B">
        <w:rPr>
          <w:rStyle w:val="WW8Num3z0"/>
          <w:color w:val="000000"/>
          <w:sz w:val="22"/>
          <w:lang w:val="hu-HU"/>
        </w:rPr>
        <w:noBreakHyphen/>
        <w:t>ben szenvedő betegnél génátrendeződésről számoltak be. Ezen betegek életkora 2 és 16 év közé esett, és az imatinibet napi 300 mg/m</w:t>
      </w:r>
      <w:r w:rsidRPr="00556B9B">
        <w:rPr>
          <w:rStyle w:val="WW8Num3z0"/>
          <w:color w:val="000000"/>
          <w:sz w:val="22"/>
          <w:vertAlign w:val="superscript"/>
          <w:lang w:val="hu-HU"/>
        </w:rPr>
        <w:t>2</w:t>
      </w:r>
      <w:r w:rsidRPr="00556B9B">
        <w:rPr>
          <w:rStyle w:val="WW8Num3z0"/>
          <w:color w:val="000000"/>
          <w:sz w:val="22"/>
          <w:lang w:val="hu-HU"/>
        </w:rPr>
        <w:noBreakHyphen/>
        <w:t>es dózisban vagy napi 200</w:t>
      </w:r>
      <w:r w:rsidRPr="00556B9B">
        <w:rPr>
          <w:rStyle w:val="WW8Num3z0"/>
          <w:color w:val="000000"/>
          <w:sz w:val="22"/>
          <w:lang w:val="hu-HU"/>
        </w:rPr>
        <w:noBreakHyphen/>
        <w:t>400 mg közötti dózisokban kapták. Minden beteg teljes hematológiai választ, teljes cytogenetikai választ és/vagy teljes molekuláris választ ért el.</w:t>
      </w:r>
    </w:p>
    <w:p w14:paraId="549A7B13" w14:textId="77777777" w:rsidR="00153AD1" w:rsidRPr="00556B9B" w:rsidRDefault="00153AD1" w:rsidP="00153AD1">
      <w:pPr>
        <w:rPr>
          <w:lang w:val="hu-HU"/>
        </w:rPr>
      </w:pPr>
    </w:p>
    <w:p w14:paraId="45705E4B" w14:textId="77777777" w:rsidR="00153AD1" w:rsidRPr="00556B9B" w:rsidRDefault="00153AD1" w:rsidP="00F926B9">
      <w:pPr>
        <w:pStyle w:val="Heading1"/>
        <w:keepNext/>
        <w:numPr>
          <w:ilvl w:val="0"/>
          <w:numId w:val="0"/>
        </w:numPr>
        <w:spacing w:before="0" w:after="0" w:line="240" w:lineRule="auto"/>
        <w:rPr>
          <w:b w:val="0"/>
          <w:caps w:val="0"/>
          <w:color w:val="000000"/>
          <w:sz w:val="22"/>
          <w:u w:val="single"/>
          <w:lang w:val="hu-HU"/>
        </w:rPr>
      </w:pPr>
      <w:r w:rsidRPr="00556B9B">
        <w:rPr>
          <w:b w:val="0"/>
          <w:caps w:val="0"/>
          <w:color w:val="000000"/>
          <w:sz w:val="22"/>
          <w:u w:val="single"/>
          <w:lang w:val="hu-HU"/>
        </w:rPr>
        <w:t xml:space="preserve">Klinikai vizsgálatok </w:t>
      </w:r>
      <w:r w:rsidRPr="00556B9B">
        <w:rPr>
          <w:b w:val="0"/>
          <w:caps w:val="0"/>
          <w:color w:val="000000"/>
          <w:sz w:val="22"/>
          <w:szCs w:val="22"/>
          <w:u w:val="single"/>
          <w:lang w:val="hu-HU"/>
        </w:rPr>
        <w:t>nem reszekábilis és/vagy metasztatikus</w:t>
      </w:r>
      <w:r w:rsidRPr="00556B9B">
        <w:rPr>
          <w:b w:val="0"/>
          <w:caps w:val="0"/>
          <w:color w:val="000000"/>
          <w:u w:val="single"/>
          <w:lang w:val="hu-HU"/>
        </w:rPr>
        <w:t xml:space="preserve"> </w:t>
      </w:r>
      <w:r w:rsidRPr="00556B9B">
        <w:rPr>
          <w:b w:val="0"/>
          <w:caps w:val="0"/>
          <w:color w:val="000000"/>
          <w:sz w:val="22"/>
          <w:u w:val="single"/>
          <w:lang w:val="hu-HU"/>
        </w:rPr>
        <w:t>GIST</w:t>
      </w:r>
      <w:r w:rsidRPr="00556B9B">
        <w:rPr>
          <w:b w:val="0"/>
          <w:caps w:val="0"/>
          <w:color w:val="000000"/>
          <w:sz w:val="22"/>
          <w:u w:val="single"/>
          <w:lang w:val="hu-HU"/>
        </w:rPr>
        <w:noBreakHyphen/>
        <w:t>ben</w:t>
      </w:r>
    </w:p>
    <w:p w14:paraId="02DE4DA6" w14:textId="501B49F8" w:rsidR="00153AD1" w:rsidRPr="00556B9B" w:rsidRDefault="00153AD1" w:rsidP="00153AD1">
      <w:pPr>
        <w:spacing w:line="240" w:lineRule="auto"/>
        <w:rPr>
          <w:color w:val="000000"/>
          <w:lang w:val="hu-HU"/>
        </w:rPr>
      </w:pPr>
      <w:r w:rsidRPr="00347A1E">
        <w:rPr>
          <w:color w:val="000000"/>
          <w:lang w:val="hu-HU"/>
        </w:rPr>
        <w:t xml:space="preserve">Egy nyílt, randomizált, nem kontrollos, nemzetközi II. </w:t>
      </w:r>
      <w:r w:rsidR="00045AFC" w:rsidRPr="00347A1E">
        <w:rPr>
          <w:color w:val="000000"/>
          <w:lang w:val="hu-HU"/>
        </w:rPr>
        <w:t xml:space="preserve">fázisú </w:t>
      </w:r>
      <w:r w:rsidRPr="00347A1E">
        <w:rPr>
          <w:color w:val="000000"/>
          <w:lang w:val="hu-HU"/>
        </w:rPr>
        <w:t>vizsgálat történt nem-operábilis vagy</w:t>
      </w:r>
      <w:r w:rsidRPr="00556B9B">
        <w:rPr>
          <w:color w:val="000000"/>
          <w:lang w:val="hu-HU"/>
        </w:rPr>
        <w:t xml:space="preserve"> metasztatizáló malignus gastrointestinalis stromalis tumorban (GIST</w:t>
      </w:r>
      <w:r w:rsidRPr="00556B9B">
        <w:rPr>
          <w:color w:val="000000"/>
          <w:lang w:val="hu-HU"/>
        </w:rPr>
        <w:noBreakHyphen/>
        <w:t>ben) szenvedő betegek bevonásával. 147 beteget válogattak be a vizsgálatba, és a randomizációt követően napi egyszer 400 vagy 600 mg Glivec</w:t>
      </w:r>
      <w:r w:rsidRPr="00556B9B">
        <w:rPr>
          <w:color w:val="000000"/>
          <w:lang w:val="hu-HU"/>
        </w:rPr>
        <w:noBreakHyphen/>
        <w:t xml:space="preserve">et kaptak </w:t>
      </w:r>
      <w:r w:rsidRPr="00556B9B">
        <w:rPr>
          <w:i/>
          <w:color w:val="000000"/>
          <w:lang w:val="hu-HU"/>
        </w:rPr>
        <w:t>per os</w:t>
      </w:r>
      <w:r w:rsidRPr="00556B9B">
        <w:rPr>
          <w:color w:val="000000"/>
          <w:lang w:val="hu-HU"/>
        </w:rPr>
        <w:t>, 36 hónapig. Ezen betegek életkora 18</w:t>
      </w:r>
      <w:r w:rsidRPr="00556B9B">
        <w:rPr>
          <w:color w:val="000000"/>
          <w:lang w:val="hu-HU"/>
        </w:rPr>
        <w:noBreakHyphen/>
        <w:t>tól 83 év közötti, kórszövettani diagnózisuk Kit</w:t>
      </w:r>
      <w:r w:rsidRPr="00556B9B">
        <w:rPr>
          <w:color w:val="000000"/>
          <w:lang w:val="hu-HU"/>
        </w:rPr>
        <w:noBreakHyphen/>
        <w:t>pozitív malignus GIST volt, mely inoperábilis és/vagy metasztatikus volt.</w:t>
      </w:r>
    </w:p>
    <w:p w14:paraId="25558A16" w14:textId="77777777" w:rsidR="00153AD1" w:rsidRPr="00556B9B" w:rsidRDefault="00153AD1" w:rsidP="00153AD1">
      <w:pPr>
        <w:spacing w:line="240" w:lineRule="auto"/>
        <w:rPr>
          <w:color w:val="000000"/>
          <w:lang w:val="hu-HU"/>
        </w:rPr>
      </w:pPr>
      <w:r w:rsidRPr="00556B9B">
        <w:rPr>
          <w:color w:val="000000"/>
          <w:lang w:val="hu-HU"/>
        </w:rPr>
        <w:lastRenderedPageBreak/>
        <w:t>Az immunhisztokémiai vizsgálatuk rutinszerűen Kit antitesttel történt (A</w:t>
      </w:r>
      <w:r w:rsidRPr="00556B9B">
        <w:rPr>
          <w:color w:val="000000"/>
          <w:lang w:val="hu-HU"/>
        </w:rPr>
        <w:noBreakHyphen/>
        <w:t>4502, nyúl polyclonalis antiszérum, 1:100; DAKO Corporation, Carpinteria, CA), antigen visszanyeréses avidin</w:t>
      </w:r>
      <w:r w:rsidRPr="00556B9B">
        <w:rPr>
          <w:color w:val="000000"/>
          <w:lang w:val="hu-HU"/>
        </w:rPr>
        <w:noBreakHyphen/>
        <w:t>biotin</w:t>
      </w:r>
      <w:r w:rsidRPr="00556B9B">
        <w:rPr>
          <w:color w:val="000000"/>
          <w:lang w:val="hu-HU"/>
        </w:rPr>
        <w:noBreakHyphen/>
        <w:t>peroxidáz komplex módszerrel történő vizsgálat szerint.</w:t>
      </w:r>
    </w:p>
    <w:p w14:paraId="5D9F2AFC" w14:textId="77777777" w:rsidR="00153AD1" w:rsidRPr="00556B9B" w:rsidRDefault="00153AD1" w:rsidP="00153AD1">
      <w:pPr>
        <w:spacing w:line="240" w:lineRule="auto"/>
        <w:rPr>
          <w:color w:val="000000"/>
          <w:lang w:val="hu-HU"/>
        </w:rPr>
      </w:pPr>
    </w:p>
    <w:p w14:paraId="3E40F0D8" w14:textId="77777777" w:rsidR="00153AD1" w:rsidRPr="00556B9B" w:rsidRDefault="00153AD1" w:rsidP="00153AD1">
      <w:pPr>
        <w:spacing w:line="240" w:lineRule="auto"/>
        <w:rPr>
          <w:color w:val="000000"/>
          <w:lang w:val="hu-HU"/>
        </w:rPr>
      </w:pPr>
      <w:r w:rsidRPr="00556B9B">
        <w:rPr>
          <w:color w:val="000000"/>
          <w:lang w:val="hu-HU"/>
        </w:rPr>
        <w:t xml:space="preserve">Az objektív terápiás válasz volt a hatékonyság elsődleges bizonyítéka. A daganatnak legalább egy helyen mérhetőnek kellett lennie. A terápiás válaszokat a Southwestern Oncology Group (SWOG) kritériumok alapján mérték. Az eredményeket a </w:t>
      </w:r>
      <w:r w:rsidR="00F10EA5" w:rsidRPr="00556B9B">
        <w:rPr>
          <w:color w:val="000000"/>
          <w:lang w:val="hu-HU"/>
        </w:rPr>
        <w:t>6</w:t>
      </w:r>
      <w:r w:rsidRPr="00556B9B">
        <w:rPr>
          <w:color w:val="000000"/>
          <w:lang w:val="hu-HU"/>
        </w:rPr>
        <w:t>. táblázat mutatja be.</w:t>
      </w:r>
    </w:p>
    <w:p w14:paraId="5C646C81" w14:textId="77777777" w:rsidR="00153AD1" w:rsidRPr="00556B9B" w:rsidRDefault="00153AD1" w:rsidP="00153AD1">
      <w:pPr>
        <w:spacing w:line="240" w:lineRule="auto"/>
        <w:rPr>
          <w:color w:val="000000"/>
          <w:lang w:val="hu-HU"/>
        </w:rPr>
      </w:pPr>
    </w:p>
    <w:p w14:paraId="13A36922" w14:textId="77777777" w:rsidR="00153AD1" w:rsidRPr="00556B9B" w:rsidRDefault="00F10EA5" w:rsidP="00F926B9">
      <w:pPr>
        <w:keepNext/>
        <w:tabs>
          <w:tab w:val="left" w:pos="1134"/>
        </w:tabs>
        <w:spacing w:line="240" w:lineRule="auto"/>
        <w:rPr>
          <w:b/>
          <w:color w:val="000000"/>
          <w:lang w:val="hu-HU"/>
        </w:rPr>
      </w:pPr>
      <w:r w:rsidRPr="00556B9B">
        <w:rPr>
          <w:b/>
          <w:color w:val="000000"/>
          <w:lang w:val="hu-HU"/>
        </w:rPr>
        <w:t>6</w:t>
      </w:r>
      <w:r w:rsidR="00153AD1" w:rsidRPr="00556B9B">
        <w:rPr>
          <w:b/>
          <w:color w:val="000000"/>
          <w:lang w:val="hu-HU"/>
        </w:rPr>
        <w:t>. táblázat</w:t>
      </w:r>
      <w:r w:rsidR="00153AD1" w:rsidRPr="00556B9B">
        <w:rPr>
          <w:b/>
          <w:color w:val="000000"/>
          <w:lang w:val="hu-HU"/>
        </w:rPr>
        <w:tab/>
        <w:t>A legjobb tumorválasz az STIB2222 vizsgálatban (GIST)</w:t>
      </w:r>
    </w:p>
    <w:p w14:paraId="7F04EFC6" w14:textId="77777777" w:rsidR="00153AD1" w:rsidRPr="00556B9B" w:rsidRDefault="00153AD1" w:rsidP="00F926B9">
      <w:pPr>
        <w:pStyle w:val="EndnoteText"/>
        <w:keepNext/>
        <w:widowControl w:val="0"/>
        <w:rPr>
          <w:color w:val="00000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153AD1" w:rsidRPr="00556B9B" w14:paraId="5075CC76" w14:textId="77777777" w:rsidTr="00F926B9">
        <w:trPr>
          <w:cantSplit/>
        </w:trPr>
        <w:tc>
          <w:tcPr>
            <w:tcW w:w="4643" w:type="dxa"/>
            <w:tcBorders>
              <w:left w:val="nil"/>
              <w:bottom w:val="single" w:sz="4" w:space="0" w:color="auto"/>
              <w:right w:val="nil"/>
            </w:tcBorders>
          </w:tcPr>
          <w:p w14:paraId="7B6F887F" w14:textId="77777777" w:rsidR="00153AD1" w:rsidRPr="00556B9B" w:rsidRDefault="00153AD1" w:rsidP="00F926B9">
            <w:pPr>
              <w:pStyle w:val="EndnoteText"/>
              <w:keepNext/>
              <w:widowControl w:val="0"/>
              <w:rPr>
                <w:color w:val="000000"/>
                <w:lang w:val="hu-HU"/>
              </w:rPr>
            </w:pPr>
          </w:p>
          <w:p w14:paraId="00D45CDD" w14:textId="77777777" w:rsidR="00153AD1" w:rsidRPr="00556B9B" w:rsidRDefault="00153AD1" w:rsidP="00F926B9">
            <w:pPr>
              <w:pStyle w:val="EndnoteText"/>
              <w:keepNext/>
              <w:widowControl w:val="0"/>
              <w:rPr>
                <w:color w:val="000000"/>
                <w:lang w:val="hu-HU"/>
              </w:rPr>
            </w:pPr>
          </w:p>
          <w:p w14:paraId="6DFB2CF9" w14:textId="77777777" w:rsidR="00153AD1" w:rsidRPr="00556B9B" w:rsidRDefault="00153AD1" w:rsidP="00F926B9">
            <w:pPr>
              <w:pStyle w:val="EndnoteText"/>
              <w:keepNext/>
              <w:widowControl w:val="0"/>
              <w:rPr>
                <w:color w:val="000000"/>
                <w:lang w:val="hu-HU"/>
              </w:rPr>
            </w:pPr>
          </w:p>
          <w:p w14:paraId="57F9507B" w14:textId="77777777" w:rsidR="00153AD1" w:rsidRPr="00556B9B" w:rsidRDefault="00153AD1" w:rsidP="00F926B9">
            <w:pPr>
              <w:pStyle w:val="EndnoteText"/>
              <w:keepNext/>
              <w:widowControl w:val="0"/>
              <w:rPr>
                <w:color w:val="000000"/>
                <w:lang w:val="hu-HU"/>
              </w:rPr>
            </w:pPr>
            <w:r w:rsidRPr="00556B9B">
              <w:rPr>
                <w:color w:val="000000"/>
                <w:lang w:val="hu-HU"/>
              </w:rPr>
              <w:t>A legjobb válasz</w:t>
            </w:r>
          </w:p>
        </w:tc>
        <w:tc>
          <w:tcPr>
            <w:tcW w:w="4643" w:type="dxa"/>
            <w:tcBorders>
              <w:left w:val="nil"/>
              <w:bottom w:val="single" w:sz="4" w:space="0" w:color="auto"/>
              <w:right w:val="nil"/>
            </w:tcBorders>
          </w:tcPr>
          <w:p w14:paraId="12916603" w14:textId="77777777" w:rsidR="00153AD1" w:rsidRPr="00556B9B" w:rsidRDefault="00153AD1" w:rsidP="00F926B9">
            <w:pPr>
              <w:pStyle w:val="EndnoteText"/>
              <w:keepNext/>
              <w:widowControl w:val="0"/>
              <w:jc w:val="center"/>
              <w:rPr>
                <w:color w:val="000000"/>
                <w:lang w:val="hu-HU"/>
              </w:rPr>
            </w:pPr>
            <w:r w:rsidRPr="00556B9B">
              <w:rPr>
                <w:color w:val="000000"/>
                <w:lang w:val="hu-HU"/>
              </w:rPr>
              <w:t>Minden dózis (n = 147)</w:t>
            </w:r>
          </w:p>
          <w:p w14:paraId="6F034712" w14:textId="77777777" w:rsidR="00153AD1" w:rsidRPr="00556B9B" w:rsidRDefault="00153AD1" w:rsidP="00F926B9">
            <w:pPr>
              <w:pStyle w:val="EndnoteText"/>
              <w:keepNext/>
              <w:widowControl w:val="0"/>
              <w:jc w:val="center"/>
              <w:rPr>
                <w:color w:val="000000"/>
                <w:lang w:val="hu-HU"/>
              </w:rPr>
            </w:pPr>
            <w:r w:rsidRPr="00556B9B">
              <w:rPr>
                <w:color w:val="000000"/>
                <w:lang w:val="hu-HU"/>
              </w:rPr>
              <w:t>400 mg (n = 73)</w:t>
            </w:r>
          </w:p>
          <w:p w14:paraId="6BCA7067" w14:textId="77777777" w:rsidR="00153AD1" w:rsidRPr="00556B9B" w:rsidRDefault="00153AD1" w:rsidP="00F926B9">
            <w:pPr>
              <w:pStyle w:val="EndnoteText"/>
              <w:keepNext/>
              <w:widowControl w:val="0"/>
              <w:jc w:val="center"/>
              <w:rPr>
                <w:color w:val="000000"/>
                <w:lang w:val="hu-HU"/>
              </w:rPr>
            </w:pPr>
            <w:r w:rsidRPr="00556B9B">
              <w:rPr>
                <w:color w:val="000000"/>
                <w:lang w:val="hu-HU"/>
              </w:rPr>
              <w:t>600 mg (n = 74)</w:t>
            </w:r>
          </w:p>
          <w:p w14:paraId="50470ACA" w14:textId="77777777" w:rsidR="00153AD1" w:rsidRPr="00556B9B" w:rsidRDefault="00153AD1" w:rsidP="00F926B9">
            <w:pPr>
              <w:pStyle w:val="EndnoteText"/>
              <w:keepNext/>
              <w:widowControl w:val="0"/>
              <w:jc w:val="center"/>
              <w:rPr>
                <w:color w:val="000000"/>
                <w:lang w:val="hu-HU"/>
              </w:rPr>
            </w:pPr>
            <w:r w:rsidRPr="00556B9B">
              <w:rPr>
                <w:color w:val="000000"/>
                <w:lang w:val="hu-HU"/>
              </w:rPr>
              <w:t>n (%)</w:t>
            </w:r>
          </w:p>
        </w:tc>
      </w:tr>
      <w:tr w:rsidR="00153AD1" w:rsidRPr="00556B9B" w14:paraId="44208821" w14:textId="77777777" w:rsidTr="00F926B9">
        <w:trPr>
          <w:cantSplit/>
        </w:trPr>
        <w:tc>
          <w:tcPr>
            <w:tcW w:w="4643" w:type="dxa"/>
            <w:tcBorders>
              <w:top w:val="nil"/>
              <w:left w:val="nil"/>
              <w:bottom w:val="nil"/>
              <w:right w:val="nil"/>
            </w:tcBorders>
          </w:tcPr>
          <w:p w14:paraId="5231A5FB" w14:textId="77777777" w:rsidR="00153AD1" w:rsidRPr="00556B9B" w:rsidRDefault="00153AD1" w:rsidP="00F926B9">
            <w:pPr>
              <w:pStyle w:val="EndnoteText"/>
              <w:keepNext/>
              <w:widowControl w:val="0"/>
              <w:rPr>
                <w:color w:val="000000"/>
                <w:lang w:val="hu-HU"/>
              </w:rPr>
            </w:pPr>
            <w:r w:rsidRPr="00556B9B">
              <w:rPr>
                <w:color w:val="000000"/>
                <w:lang w:val="hu-HU"/>
              </w:rPr>
              <w:t>Komplett válasz</w:t>
            </w:r>
          </w:p>
        </w:tc>
        <w:tc>
          <w:tcPr>
            <w:tcW w:w="4643" w:type="dxa"/>
            <w:tcBorders>
              <w:top w:val="nil"/>
              <w:left w:val="nil"/>
              <w:bottom w:val="nil"/>
              <w:right w:val="nil"/>
            </w:tcBorders>
          </w:tcPr>
          <w:p w14:paraId="55B9633A" w14:textId="77777777" w:rsidR="00153AD1" w:rsidRPr="00556B9B" w:rsidRDefault="00153AD1" w:rsidP="00F926B9">
            <w:pPr>
              <w:pStyle w:val="EndnoteText"/>
              <w:keepNext/>
              <w:widowControl w:val="0"/>
              <w:jc w:val="center"/>
              <w:rPr>
                <w:color w:val="000000"/>
                <w:lang w:val="hu-HU"/>
              </w:rPr>
            </w:pPr>
            <w:r w:rsidRPr="00556B9B">
              <w:rPr>
                <w:color w:val="000000"/>
                <w:lang w:val="hu-HU"/>
              </w:rPr>
              <w:t>1 (0,7)</w:t>
            </w:r>
          </w:p>
        </w:tc>
      </w:tr>
      <w:tr w:rsidR="00153AD1" w:rsidRPr="00556B9B" w14:paraId="2116CDFC" w14:textId="77777777" w:rsidTr="00F926B9">
        <w:trPr>
          <w:cantSplit/>
        </w:trPr>
        <w:tc>
          <w:tcPr>
            <w:tcW w:w="4643" w:type="dxa"/>
            <w:tcBorders>
              <w:top w:val="nil"/>
              <w:left w:val="nil"/>
              <w:bottom w:val="nil"/>
              <w:right w:val="nil"/>
            </w:tcBorders>
          </w:tcPr>
          <w:p w14:paraId="2F132E95" w14:textId="77777777" w:rsidR="00153AD1" w:rsidRPr="00556B9B" w:rsidRDefault="00153AD1" w:rsidP="00F926B9">
            <w:pPr>
              <w:pStyle w:val="EndnoteText"/>
              <w:keepNext/>
              <w:widowControl w:val="0"/>
              <w:rPr>
                <w:color w:val="000000"/>
                <w:lang w:val="hu-HU"/>
              </w:rPr>
            </w:pPr>
            <w:r w:rsidRPr="00556B9B">
              <w:rPr>
                <w:color w:val="000000"/>
                <w:lang w:val="hu-HU"/>
              </w:rPr>
              <w:t>Részleges válasz</w:t>
            </w:r>
          </w:p>
        </w:tc>
        <w:tc>
          <w:tcPr>
            <w:tcW w:w="4643" w:type="dxa"/>
            <w:tcBorders>
              <w:top w:val="nil"/>
              <w:left w:val="nil"/>
              <w:bottom w:val="nil"/>
              <w:right w:val="nil"/>
            </w:tcBorders>
          </w:tcPr>
          <w:p w14:paraId="0DEEE6BE" w14:textId="77777777" w:rsidR="00153AD1" w:rsidRPr="00556B9B" w:rsidRDefault="00153AD1" w:rsidP="00F926B9">
            <w:pPr>
              <w:pStyle w:val="EndnoteText"/>
              <w:keepNext/>
              <w:widowControl w:val="0"/>
              <w:jc w:val="center"/>
              <w:rPr>
                <w:color w:val="000000"/>
                <w:lang w:val="hu-HU"/>
              </w:rPr>
            </w:pPr>
            <w:r w:rsidRPr="00556B9B">
              <w:rPr>
                <w:color w:val="000000"/>
                <w:lang w:val="hu-HU"/>
              </w:rPr>
              <w:t>98 (66,7)</w:t>
            </w:r>
          </w:p>
        </w:tc>
      </w:tr>
      <w:tr w:rsidR="00153AD1" w:rsidRPr="00556B9B" w14:paraId="4E5454D2" w14:textId="77777777" w:rsidTr="00F926B9">
        <w:trPr>
          <w:cantSplit/>
        </w:trPr>
        <w:tc>
          <w:tcPr>
            <w:tcW w:w="4643" w:type="dxa"/>
            <w:tcBorders>
              <w:top w:val="nil"/>
              <w:left w:val="nil"/>
              <w:bottom w:val="nil"/>
              <w:right w:val="nil"/>
            </w:tcBorders>
          </w:tcPr>
          <w:p w14:paraId="02E8F08D" w14:textId="77777777" w:rsidR="00153AD1" w:rsidRPr="00556B9B" w:rsidRDefault="00153AD1" w:rsidP="00F926B9">
            <w:pPr>
              <w:pStyle w:val="EndnoteText"/>
              <w:keepNext/>
              <w:widowControl w:val="0"/>
              <w:rPr>
                <w:color w:val="000000"/>
                <w:lang w:val="hu-HU"/>
              </w:rPr>
            </w:pPr>
            <w:r w:rsidRPr="00556B9B">
              <w:rPr>
                <w:color w:val="000000"/>
                <w:lang w:val="hu-HU"/>
              </w:rPr>
              <w:t>Stabil betegség</w:t>
            </w:r>
          </w:p>
        </w:tc>
        <w:tc>
          <w:tcPr>
            <w:tcW w:w="4643" w:type="dxa"/>
            <w:tcBorders>
              <w:top w:val="nil"/>
              <w:left w:val="nil"/>
              <w:bottom w:val="nil"/>
              <w:right w:val="nil"/>
            </w:tcBorders>
          </w:tcPr>
          <w:p w14:paraId="3D6106F2" w14:textId="77777777" w:rsidR="00153AD1" w:rsidRPr="00556B9B" w:rsidRDefault="00153AD1" w:rsidP="00F926B9">
            <w:pPr>
              <w:pStyle w:val="EndnoteText"/>
              <w:keepNext/>
              <w:widowControl w:val="0"/>
              <w:jc w:val="center"/>
              <w:rPr>
                <w:color w:val="000000"/>
                <w:lang w:val="hu-HU"/>
              </w:rPr>
            </w:pPr>
            <w:r w:rsidRPr="00556B9B">
              <w:rPr>
                <w:color w:val="000000"/>
                <w:lang w:val="hu-HU"/>
              </w:rPr>
              <w:t>23 (15,6)</w:t>
            </w:r>
          </w:p>
        </w:tc>
      </w:tr>
      <w:tr w:rsidR="00153AD1" w:rsidRPr="00556B9B" w14:paraId="02976358" w14:textId="77777777" w:rsidTr="00F926B9">
        <w:trPr>
          <w:cantSplit/>
        </w:trPr>
        <w:tc>
          <w:tcPr>
            <w:tcW w:w="4643" w:type="dxa"/>
            <w:tcBorders>
              <w:top w:val="nil"/>
              <w:left w:val="nil"/>
              <w:bottom w:val="nil"/>
              <w:right w:val="nil"/>
            </w:tcBorders>
          </w:tcPr>
          <w:p w14:paraId="1446E425" w14:textId="77777777" w:rsidR="00153AD1" w:rsidRPr="00556B9B" w:rsidRDefault="00153AD1" w:rsidP="00F926B9">
            <w:pPr>
              <w:pStyle w:val="EndnoteText"/>
              <w:keepNext/>
              <w:widowControl w:val="0"/>
              <w:rPr>
                <w:color w:val="000000"/>
                <w:lang w:val="hu-HU"/>
              </w:rPr>
            </w:pPr>
            <w:r w:rsidRPr="00556B9B">
              <w:rPr>
                <w:color w:val="000000"/>
                <w:lang w:val="hu-HU"/>
              </w:rPr>
              <w:t>Progresszív betegség</w:t>
            </w:r>
          </w:p>
        </w:tc>
        <w:tc>
          <w:tcPr>
            <w:tcW w:w="4643" w:type="dxa"/>
            <w:tcBorders>
              <w:top w:val="nil"/>
              <w:left w:val="nil"/>
              <w:bottom w:val="nil"/>
              <w:right w:val="nil"/>
            </w:tcBorders>
          </w:tcPr>
          <w:p w14:paraId="7EAB0979" w14:textId="77777777" w:rsidR="00153AD1" w:rsidRPr="00556B9B" w:rsidRDefault="00153AD1" w:rsidP="00F926B9">
            <w:pPr>
              <w:pStyle w:val="EndnoteText"/>
              <w:keepNext/>
              <w:widowControl w:val="0"/>
              <w:jc w:val="center"/>
              <w:rPr>
                <w:color w:val="000000"/>
                <w:lang w:val="hu-HU"/>
              </w:rPr>
            </w:pPr>
            <w:r w:rsidRPr="00556B9B">
              <w:rPr>
                <w:color w:val="000000"/>
                <w:lang w:val="hu-HU"/>
              </w:rPr>
              <w:t>18 (12,2)</w:t>
            </w:r>
          </w:p>
        </w:tc>
      </w:tr>
      <w:tr w:rsidR="00153AD1" w:rsidRPr="00556B9B" w14:paraId="7651640D" w14:textId="77777777" w:rsidTr="00F926B9">
        <w:trPr>
          <w:cantSplit/>
        </w:trPr>
        <w:tc>
          <w:tcPr>
            <w:tcW w:w="4643" w:type="dxa"/>
            <w:tcBorders>
              <w:top w:val="nil"/>
              <w:left w:val="nil"/>
              <w:bottom w:val="nil"/>
              <w:right w:val="nil"/>
            </w:tcBorders>
          </w:tcPr>
          <w:p w14:paraId="04CAC82A" w14:textId="77777777" w:rsidR="00153AD1" w:rsidRPr="00556B9B" w:rsidRDefault="00153AD1" w:rsidP="00F926B9">
            <w:pPr>
              <w:pStyle w:val="EndnoteText"/>
              <w:keepNext/>
              <w:widowControl w:val="0"/>
              <w:rPr>
                <w:color w:val="000000"/>
                <w:lang w:val="hu-HU"/>
              </w:rPr>
            </w:pPr>
            <w:r w:rsidRPr="00556B9B">
              <w:rPr>
                <w:color w:val="000000"/>
                <w:lang w:val="hu-HU"/>
              </w:rPr>
              <w:t>Nem értékelhető</w:t>
            </w:r>
          </w:p>
        </w:tc>
        <w:tc>
          <w:tcPr>
            <w:tcW w:w="4643" w:type="dxa"/>
            <w:tcBorders>
              <w:top w:val="nil"/>
              <w:left w:val="nil"/>
              <w:bottom w:val="nil"/>
              <w:right w:val="nil"/>
            </w:tcBorders>
          </w:tcPr>
          <w:p w14:paraId="726DB8A4" w14:textId="77777777" w:rsidR="00153AD1" w:rsidRPr="00556B9B" w:rsidRDefault="00153AD1" w:rsidP="00F926B9">
            <w:pPr>
              <w:pStyle w:val="EndnoteText"/>
              <w:keepNext/>
              <w:widowControl w:val="0"/>
              <w:jc w:val="center"/>
              <w:rPr>
                <w:color w:val="000000"/>
                <w:lang w:val="hu-HU"/>
              </w:rPr>
            </w:pPr>
            <w:r w:rsidRPr="00556B9B">
              <w:rPr>
                <w:color w:val="000000"/>
                <w:lang w:val="hu-HU"/>
              </w:rPr>
              <w:t>5 (3,4)</w:t>
            </w:r>
          </w:p>
        </w:tc>
      </w:tr>
      <w:tr w:rsidR="00153AD1" w:rsidRPr="00556B9B" w14:paraId="06E8138B" w14:textId="77777777" w:rsidTr="00F926B9">
        <w:trPr>
          <w:cantSplit/>
        </w:trPr>
        <w:tc>
          <w:tcPr>
            <w:tcW w:w="4643" w:type="dxa"/>
            <w:tcBorders>
              <w:top w:val="nil"/>
              <w:left w:val="nil"/>
              <w:right w:val="nil"/>
            </w:tcBorders>
          </w:tcPr>
          <w:p w14:paraId="2B783ACA" w14:textId="77777777" w:rsidR="00153AD1" w:rsidRPr="00556B9B" w:rsidRDefault="00153AD1" w:rsidP="00DF7747">
            <w:pPr>
              <w:pStyle w:val="EndnoteText"/>
              <w:widowControl w:val="0"/>
              <w:rPr>
                <w:color w:val="000000"/>
                <w:lang w:val="hu-HU"/>
              </w:rPr>
            </w:pPr>
            <w:r w:rsidRPr="00556B9B">
              <w:rPr>
                <w:color w:val="000000"/>
                <w:lang w:val="hu-HU"/>
              </w:rPr>
              <w:t>Nem ismert</w:t>
            </w:r>
          </w:p>
        </w:tc>
        <w:tc>
          <w:tcPr>
            <w:tcW w:w="4643" w:type="dxa"/>
            <w:tcBorders>
              <w:top w:val="nil"/>
              <w:left w:val="nil"/>
              <w:right w:val="nil"/>
            </w:tcBorders>
          </w:tcPr>
          <w:p w14:paraId="3E7418CC" w14:textId="77777777" w:rsidR="00153AD1" w:rsidRPr="00556B9B" w:rsidRDefault="00153AD1" w:rsidP="00DF7747">
            <w:pPr>
              <w:pStyle w:val="EndnoteText"/>
              <w:widowControl w:val="0"/>
              <w:jc w:val="center"/>
              <w:rPr>
                <w:color w:val="000000"/>
                <w:lang w:val="hu-HU"/>
              </w:rPr>
            </w:pPr>
            <w:r w:rsidRPr="00556B9B">
              <w:rPr>
                <w:color w:val="000000"/>
                <w:lang w:val="hu-HU"/>
              </w:rPr>
              <w:t>2 (1,4)</w:t>
            </w:r>
          </w:p>
        </w:tc>
      </w:tr>
    </w:tbl>
    <w:p w14:paraId="10426F46" w14:textId="77777777" w:rsidR="00153AD1" w:rsidRPr="00556B9B" w:rsidRDefault="00153AD1" w:rsidP="00153AD1">
      <w:pPr>
        <w:spacing w:line="240" w:lineRule="auto"/>
        <w:rPr>
          <w:color w:val="000000"/>
          <w:lang w:val="hu-HU"/>
        </w:rPr>
      </w:pPr>
    </w:p>
    <w:p w14:paraId="5FB3979C" w14:textId="77777777" w:rsidR="00153AD1" w:rsidRPr="00556B9B" w:rsidRDefault="00153AD1" w:rsidP="00153AD1">
      <w:pPr>
        <w:rPr>
          <w:color w:val="000000"/>
          <w:lang w:val="hu-HU"/>
        </w:rPr>
      </w:pPr>
      <w:r w:rsidRPr="00556B9B">
        <w:rPr>
          <w:color w:val="000000"/>
          <w:lang w:val="hu-HU"/>
        </w:rPr>
        <w:t>A két dozírozású csoport között a terápiás válasz vonatkozásában nem volt különbség. Az interim analízis idején stabil állapotban levő betegek szignifikáns része részleges választ ért el a hosszabb kezelés során (a medián követési idő 31 hónap). A válasz megjelenéséig eltelt idő mediánértéke 13 hét volt (95% CI 12–23). A kezelésre reagálók között a kezelés elégtelenné válásáig eltelt idő mediánértéke 122 hét volt (95% CI 106–147), míg a teljes vizsgálati mintában ez az érték 84 hét volt (95% CI 71–109). Az általános túlélés mediánértéke még nem értékelhető. A Kaplan</w:t>
      </w:r>
      <w:r w:rsidRPr="00556B9B">
        <w:rPr>
          <w:color w:val="000000"/>
          <w:lang w:val="hu-HU"/>
        </w:rPr>
        <w:noBreakHyphen/>
        <w:t>Meier becslés szerint a 36 hónapos nyomonkövetés utáni túlélés 68% volt.</w:t>
      </w:r>
    </w:p>
    <w:p w14:paraId="07CC2AF2" w14:textId="77777777" w:rsidR="00153AD1" w:rsidRPr="00556B9B" w:rsidRDefault="00153AD1" w:rsidP="00153AD1">
      <w:pPr>
        <w:rPr>
          <w:color w:val="000000"/>
          <w:lang w:val="hu-HU"/>
        </w:rPr>
      </w:pPr>
    </w:p>
    <w:p w14:paraId="3E982F46" w14:textId="77777777" w:rsidR="00153AD1" w:rsidRPr="006D0F5F" w:rsidRDefault="00153AD1" w:rsidP="00153AD1">
      <w:pPr>
        <w:rPr>
          <w:color w:val="000000"/>
          <w:lang w:val="hu-HU"/>
        </w:rPr>
      </w:pPr>
      <w:r w:rsidRPr="00556B9B">
        <w:rPr>
          <w:color w:val="000000"/>
          <w:lang w:val="hu-HU"/>
        </w:rPr>
        <w:t>Két klinikai vizsgálatban (B2222 vizsgálat és az S0033 intergroup vizsgálat) a Glivec napi adagját 800 mg</w:t>
      </w:r>
      <w:r w:rsidRPr="00556B9B">
        <w:rPr>
          <w:color w:val="000000"/>
          <w:lang w:val="hu-HU"/>
        </w:rPr>
        <w:noBreakHyphen/>
        <w:t>ig emelték azon betegekben, akiknek a betegsége alacsonyabb, napi 400 mg vagy 600 mg adag mellett progressziót mutatott. A napi adagot összesen 103 betegben emelték 800 mg</w:t>
      </w:r>
      <w:r w:rsidRPr="00556B9B">
        <w:rPr>
          <w:color w:val="000000"/>
          <w:lang w:val="hu-HU"/>
        </w:rPr>
        <w:noBreakHyphen/>
        <w:t>ra; 6 beteg ért el részleges választ, és 21 beteg állapota stabilizálódott az adag emelését követően, ami 26%</w:t>
      </w:r>
      <w:r w:rsidRPr="00556B9B">
        <w:rPr>
          <w:color w:val="000000"/>
          <w:lang w:val="hu-HU"/>
        </w:rPr>
        <w:noBreakHyphen/>
        <w:t xml:space="preserve">os klinikai előnynek felel meg. A rendelkezésre álló biztonsági adatok arra utalnak, hogy a napi </w:t>
      </w:r>
      <w:r w:rsidRPr="006D0F5F">
        <w:rPr>
          <w:color w:val="000000"/>
          <w:lang w:val="hu-HU"/>
        </w:rPr>
        <w:t>400 mg vagy 600 mg adag mellett progressziót mutató betegekben a Glivec napi adagjának 800 mg</w:t>
      </w:r>
      <w:r w:rsidRPr="006D0F5F">
        <w:rPr>
          <w:color w:val="000000"/>
          <w:lang w:val="hu-HU"/>
        </w:rPr>
        <w:noBreakHyphen/>
        <w:t>ra való emelése nem befolyásolja a készítmény biztonságossági profilját.</w:t>
      </w:r>
    </w:p>
    <w:p w14:paraId="6F5A7475" w14:textId="77777777" w:rsidR="00153AD1" w:rsidRPr="006D0F5F" w:rsidRDefault="00153AD1" w:rsidP="00153AD1">
      <w:pPr>
        <w:spacing w:line="240" w:lineRule="auto"/>
        <w:rPr>
          <w:color w:val="000000"/>
          <w:lang w:val="hu-HU"/>
        </w:rPr>
      </w:pPr>
    </w:p>
    <w:p w14:paraId="7C329926" w14:textId="77777777" w:rsidR="00153AD1" w:rsidRPr="006D0F5F" w:rsidRDefault="00153AD1" w:rsidP="00153AD1">
      <w:pPr>
        <w:pStyle w:val="Nottoc-headings"/>
        <w:spacing w:before="0" w:after="0"/>
        <w:rPr>
          <w:rFonts w:ascii="Times New Roman" w:eastAsia="MS Mincho" w:hAnsi="Times New Roman"/>
          <w:b w:val="0"/>
          <w:color w:val="000000"/>
          <w:sz w:val="22"/>
          <w:szCs w:val="22"/>
          <w:u w:val="single"/>
          <w:lang w:val="hu-HU" w:eastAsia="ja-JP"/>
        </w:rPr>
      </w:pPr>
      <w:r w:rsidRPr="006D0F5F">
        <w:rPr>
          <w:rFonts w:ascii="Times New Roman" w:eastAsia="MS Mincho" w:hAnsi="Times New Roman"/>
          <w:b w:val="0"/>
          <w:color w:val="000000"/>
          <w:sz w:val="22"/>
          <w:szCs w:val="22"/>
          <w:u w:val="single"/>
          <w:lang w:val="hu-HU" w:eastAsia="ja-JP"/>
        </w:rPr>
        <w:t>A GIST adjuváns kezelése során folytatott klinikai vizsgálatok</w:t>
      </w:r>
    </w:p>
    <w:p w14:paraId="3C2A2F55" w14:textId="41F19D2A" w:rsidR="00153AD1" w:rsidRPr="00556B9B" w:rsidRDefault="00153AD1" w:rsidP="00153AD1">
      <w:pPr>
        <w:pStyle w:val="Text"/>
        <w:spacing w:before="0"/>
        <w:jc w:val="left"/>
        <w:rPr>
          <w:rFonts w:eastAsia="MS Mincho"/>
          <w:color w:val="000000"/>
          <w:sz w:val="22"/>
          <w:szCs w:val="22"/>
          <w:lang w:val="hu-HU" w:eastAsia="ja-JP"/>
        </w:rPr>
      </w:pPr>
      <w:r w:rsidRPr="006D0F5F">
        <w:rPr>
          <w:rFonts w:eastAsia="MS Mincho"/>
          <w:color w:val="000000"/>
          <w:sz w:val="22"/>
          <w:szCs w:val="22"/>
          <w:lang w:val="hu-HU" w:eastAsia="ja-JP"/>
        </w:rPr>
        <w:t>Adjuvánsként a Glivec</w:t>
      </w:r>
      <w:r w:rsidRPr="006D0F5F">
        <w:rPr>
          <w:rFonts w:eastAsia="MS Mincho"/>
          <w:color w:val="000000"/>
          <w:sz w:val="22"/>
          <w:szCs w:val="22"/>
          <w:lang w:val="hu-HU" w:eastAsia="ja-JP"/>
        </w:rPr>
        <w:noBreakHyphen/>
        <w:t>et egy multicentrikus, kettős</w:t>
      </w:r>
      <w:r w:rsidRPr="006D0F5F">
        <w:rPr>
          <w:rFonts w:eastAsia="MS Mincho"/>
          <w:color w:val="000000"/>
          <w:sz w:val="22"/>
          <w:szCs w:val="22"/>
          <w:lang w:val="hu-HU" w:eastAsia="ja-JP"/>
        </w:rPr>
        <w:noBreakHyphen/>
        <w:t>vak, hosszú távú</w:t>
      </w:r>
      <w:r w:rsidR="00184427" w:rsidRPr="006D0F5F">
        <w:rPr>
          <w:rFonts w:eastAsia="MS Mincho"/>
          <w:color w:val="000000"/>
          <w:sz w:val="22"/>
          <w:szCs w:val="22"/>
          <w:lang w:val="hu-HU" w:eastAsia="ja-JP"/>
        </w:rPr>
        <w:t>,</w:t>
      </w:r>
      <w:r w:rsidRPr="006D0F5F">
        <w:rPr>
          <w:rFonts w:eastAsia="MS Mincho"/>
          <w:color w:val="000000"/>
          <w:sz w:val="22"/>
          <w:szCs w:val="22"/>
          <w:lang w:val="hu-HU" w:eastAsia="ja-JP"/>
        </w:rPr>
        <w:t xml:space="preserve"> placebo</w:t>
      </w:r>
      <w:r w:rsidRPr="006D0F5F">
        <w:rPr>
          <w:rFonts w:eastAsia="MS Mincho"/>
          <w:color w:val="000000"/>
          <w:sz w:val="22"/>
          <w:szCs w:val="22"/>
          <w:lang w:val="hu-HU" w:eastAsia="ja-JP"/>
        </w:rPr>
        <w:noBreakHyphen/>
        <w:t>kontrollos</w:t>
      </w:r>
      <w:r w:rsidR="00184427" w:rsidRPr="006D0F5F">
        <w:rPr>
          <w:rFonts w:eastAsia="MS Mincho"/>
          <w:color w:val="000000"/>
          <w:sz w:val="22"/>
          <w:szCs w:val="22"/>
          <w:lang w:val="hu-HU" w:eastAsia="ja-JP"/>
        </w:rPr>
        <w:t>,</w:t>
      </w:r>
      <w:r w:rsidRPr="006D0F5F">
        <w:rPr>
          <w:rFonts w:eastAsia="MS Mincho"/>
          <w:color w:val="000000"/>
          <w:sz w:val="22"/>
          <w:szCs w:val="22"/>
          <w:lang w:val="hu-HU" w:eastAsia="ja-JP"/>
        </w:rPr>
        <w:t xml:space="preserve"> </w:t>
      </w:r>
      <w:smartTag w:uri="urn:schemas-microsoft-com:office:smarttags" w:element="stockticker">
        <w:r w:rsidRPr="006D0F5F">
          <w:rPr>
            <w:rFonts w:eastAsia="MS Mincho"/>
            <w:color w:val="000000"/>
            <w:sz w:val="22"/>
            <w:szCs w:val="22"/>
            <w:lang w:val="hu-HU" w:eastAsia="ja-JP"/>
          </w:rPr>
          <w:t>III</w:t>
        </w:r>
        <w:r w:rsidR="00045AFC" w:rsidRPr="006D0F5F">
          <w:rPr>
            <w:rFonts w:eastAsia="MS Mincho"/>
            <w:color w:val="000000"/>
            <w:sz w:val="22"/>
            <w:szCs w:val="22"/>
            <w:lang w:val="hu-HU" w:eastAsia="ja-JP"/>
          </w:rPr>
          <w:t>. fázisú</w:t>
        </w:r>
      </w:smartTag>
      <w:r w:rsidRPr="006D0F5F">
        <w:rPr>
          <w:rFonts w:eastAsia="MS Mincho"/>
          <w:color w:val="000000"/>
          <w:sz w:val="22"/>
          <w:szCs w:val="22"/>
          <w:lang w:val="hu-HU" w:eastAsia="ja-JP"/>
        </w:rPr>
        <w:t xml:space="preserve"> vizsgálatban (Z9001) értékelték, melybe 773 beteget vontak be. Ezeknek a betegeknek az életkora 18</w:t>
      </w:r>
      <w:r w:rsidRPr="00556B9B">
        <w:rPr>
          <w:rFonts w:eastAsia="MS Mincho"/>
          <w:color w:val="000000"/>
          <w:sz w:val="22"/>
          <w:szCs w:val="22"/>
          <w:lang w:val="hu-HU" w:eastAsia="ja-JP"/>
        </w:rPr>
        <w:t xml:space="preserve"> és 91 év között volt. Olyan betegeket vontak be, akiknek a szövettani diagnózisa immunhisztokémiai vizsgálattal igazolt, Kit protein expresszáló primer GIST volt, és a tumor legnagyobb átmérője ≥ 3 cm volt, és a GIST teljes, makroszkópos reszekciója a nyilvántartásba vétel előtt 14</w:t>
      </w:r>
      <w:r w:rsidRPr="00556B9B">
        <w:rPr>
          <w:rFonts w:eastAsia="MS Mincho"/>
          <w:color w:val="000000"/>
          <w:sz w:val="22"/>
          <w:szCs w:val="22"/>
          <w:lang w:val="hu-HU" w:eastAsia="ja-JP"/>
        </w:rPr>
        <w:noBreakHyphen/>
        <w:t>70 nappal történt. A primer GIST reszekcióját követően a betegeket a két kar egyikébe randomizálták: napi 400 mg Glivec vagy ennek megfelelő placebo, egy éven át.</w:t>
      </w:r>
    </w:p>
    <w:p w14:paraId="39669257" w14:textId="77777777" w:rsidR="00153AD1" w:rsidRPr="00556B9B" w:rsidRDefault="00153AD1" w:rsidP="00153AD1">
      <w:pPr>
        <w:pStyle w:val="Text"/>
        <w:spacing w:before="0"/>
        <w:jc w:val="left"/>
        <w:rPr>
          <w:rFonts w:eastAsia="MS Mincho"/>
          <w:color w:val="000000"/>
          <w:sz w:val="22"/>
          <w:szCs w:val="22"/>
          <w:lang w:val="hu-HU" w:eastAsia="ja-JP"/>
        </w:rPr>
      </w:pPr>
    </w:p>
    <w:p w14:paraId="2F08F1DE" w14:textId="77777777" w:rsidR="00153AD1" w:rsidRPr="00556B9B" w:rsidRDefault="00153AD1" w:rsidP="00153AD1">
      <w:pPr>
        <w:pStyle w:val="Text"/>
        <w:spacing w:before="0"/>
        <w:jc w:val="left"/>
        <w:rPr>
          <w:rFonts w:eastAsia="MS Mincho"/>
          <w:color w:val="000000"/>
          <w:sz w:val="22"/>
          <w:szCs w:val="22"/>
          <w:lang w:val="hu-HU" w:eastAsia="ja-JP"/>
        </w:rPr>
      </w:pPr>
      <w:r w:rsidRPr="00556B9B">
        <w:rPr>
          <w:rFonts w:eastAsia="MS Mincho"/>
          <w:color w:val="000000"/>
          <w:sz w:val="22"/>
          <w:szCs w:val="22"/>
          <w:lang w:val="hu-HU" w:eastAsia="ja-JP"/>
        </w:rPr>
        <w:t>A vizsgálat elsődleges végpontja a kiújulás</w:t>
      </w:r>
      <w:r w:rsidRPr="00556B9B">
        <w:rPr>
          <w:rFonts w:eastAsia="MS Mincho"/>
          <w:color w:val="000000"/>
          <w:sz w:val="22"/>
          <w:szCs w:val="22"/>
          <w:lang w:val="hu-HU" w:eastAsia="ja-JP"/>
        </w:rPr>
        <w:noBreakHyphen/>
        <w:t xml:space="preserve">mentes túlélés (recurrence-free survival – </w:t>
      </w:r>
      <w:smartTag w:uri="urn:schemas-microsoft-com:office:smarttags" w:element="stockticker">
        <w:r w:rsidRPr="00556B9B">
          <w:rPr>
            <w:rFonts w:eastAsia="MS Mincho"/>
            <w:color w:val="000000"/>
            <w:sz w:val="22"/>
            <w:szCs w:val="22"/>
            <w:lang w:val="hu-HU" w:eastAsia="ja-JP"/>
          </w:rPr>
          <w:t>RFS</w:t>
        </w:r>
      </w:smartTag>
      <w:r w:rsidRPr="00556B9B">
        <w:rPr>
          <w:rFonts w:eastAsia="MS Mincho"/>
          <w:color w:val="000000"/>
          <w:sz w:val="22"/>
          <w:szCs w:val="22"/>
          <w:lang w:val="hu-HU" w:eastAsia="ja-JP"/>
        </w:rPr>
        <w:t>) volt, melynek definíciója a randomizációtól a kiújulásig vagy a bármely okból bekövetkező halál időpontjáig eltelt idő.</w:t>
      </w:r>
    </w:p>
    <w:p w14:paraId="05339876" w14:textId="77777777" w:rsidR="00153AD1" w:rsidRPr="00556B9B" w:rsidRDefault="00153AD1" w:rsidP="00153AD1">
      <w:pPr>
        <w:pStyle w:val="Text"/>
        <w:spacing w:before="0"/>
        <w:jc w:val="left"/>
        <w:rPr>
          <w:rFonts w:eastAsia="MS Mincho"/>
          <w:color w:val="000000"/>
          <w:sz w:val="22"/>
          <w:szCs w:val="22"/>
          <w:lang w:val="hu-HU" w:eastAsia="ja-JP"/>
        </w:rPr>
      </w:pPr>
    </w:p>
    <w:p w14:paraId="276C8CEF" w14:textId="77777777" w:rsidR="00153AD1" w:rsidRPr="00556B9B" w:rsidRDefault="00153AD1" w:rsidP="00153AD1">
      <w:pPr>
        <w:pStyle w:val="Text"/>
        <w:spacing w:before="0"/>
        <w:jc w:val="left"/>
        <w:rPr>
          <w:rFonts w:eastAsia="MS Mincho"/>
          <w:color w:val="000000"/>
          <w:sz w:val="22"/>
          <w:szCs w:val="22"/>
          <w:lang w:val="hu-HU" w:eastAsia="ja-JP"/>
        </w:rPr>
      </w:pPr>
      <w:r w:rsidRPr="00556B9B">
        <w:rPr>
          <w:rFonts w:eastAsia="MS Mincho"/>
          <w:color w:val="000000"/>
          <w:sz w:val="22"/>
          <w:szCs w:val="22"/>
          <w:lang w:val="hu-HU" w:eastAsia="ja-JP"/>
        </w:rPr>
        <w:t>A Glivec szignifikánsan meghosszabbította a kiújulás</w:t>
      </w:r>
      <w:r w:rsidRPr="00556B9B">
        <w:rPr>
          <w:rFonts w:eastAsia="MS Mincho"/>
          <w:color w:val="000000"/>
          <w:sz w:val="22"/>
          <w:szCs w:val="22"/>
          <w:lang w:val="hu-HU" w:eastAsia="ja-JP"/>
        </w:rPr>
        <w:noBreakHyphen/>
        <w:t>mentes túlélést, a Glivec</w:t>
      </w:r>
      <w:r w:rsidRPr="00556B9B">
        <w:rPr>
          <w:rFonts w:eastAsia="MS Mincho"/>
          <w:color w:val="000000"/>
          <w:sz w:val="22"/>
          <w:szCs w:val="22"/>
          <w:lang w:val="hu-HU" w:eastAsia="ja-JP"/>
        </w:rPr>
        <w:noBreakHyphen/>
        <w:t>csoportban a betegek 75%</w:t>
      </w:r>
      <w:r w:rsidRPr="00556B9B">
        <w:rPr>
          <w:rFonts w:eastAsia="MS Mincho"/>
          <w:color w:val="000000"/>
          <w:sz w:val="22"/>
          <w:szCs w:val="22"/>
          <w:lang w:val="hu-HU" w:eastAsia="ja-JP"/>
        </w:rPr>
        <w:noBreakHyphen/>
        <w:t>a kiújulás</w:t>
      </w:r>
      <w:r w:rsidRPr="00556B9B">
        <w:rPr>
          <w:rFonts w:eastAsia="MS Mincho"/>
          <w:color w:val="000000"/>
          <w:sz w:val="22"/>
          <w:szCs w:val="22"/>
          <w:lang w:val="hu-HU" w:eastAsia="ja-JP"/>
        </w:rPr>
        <w:noBreakHyphen/>
        <w:t>mentes volt a 38. hónapban, a placebo</w:t>
      </w:r>
      <w:r w:rsidRPr="00556B9B">
        <w:rPr>
          <w:rFonts w:eastAsia="MS Mincho"/>
          <w:color w:val="000000"/>
          <w:sz w:val="22"/>
          <w:szCs w:val="22"/>
          <w:lang w:val="hu-HU" w:eastAsia="ja-JP"/>
        </w:rPr>
        <w:noBreakHyphen/>
        <w:t>csoportban észlelt 20 hónappal szemben (95%</w:t>
      </w:r>
      <w:r w:rsidRPr="00556B9B">
        <w:rPr>
          <w:rFonts w:eastAsia="MS Mincho"/>
          <w:color w:val="000000"/>
          <w:sz w:val="22"/>
          <w:szCs w:val="22"/>
          <w:lang w:val="hu-HU" w:eastAsia="ja-JP"/>
        </w:rPr>
        <w:noBreakHyphen/>
        <w:t>os CI sorrendben: [30 - nem megbecsülhető]; [14 - nem megbecsülhető); (relatív hazárd = 0,398 [0,259</w:t>
      </w:r>
      <w:r w:rsidRPr="00556B9B">
        <w:rPr>
          <w:rFonts w:eastAsia="MS Mincho"/>
          <w:color w:val="000000"/>
          <w:sz w:val="22"/>
          <w:szCs w:val="22"/>
          <w:lang w:val="hu-HU" w:eastAsia="ja-JP"/>
        </w:rPr>
        <w:noBreakHyphen/>
        <w:t>0,610], p &lt; 0,0001). Egy év után a teljes kiújulás</w:t>
      </w:r>
      <w:r w:rsidRPr="00556B9B">
        <w:rPr>
          <w:rFonts w:eastAsia="MS Mincho"/>
          <w:color w:val="000000"/>
          <w:sz w:val="22"/>
          <w:szCs w:val="22"/>
          <w:lang w:val="hu-HU" w:eastAsia="ja-JP"/>
        </w:rPr>
        <w:noBreakHyphen/>
        <w:t>mentes túlélés szignifikánsan jobb volt a Glivec (97,7%), mint a placebo esetén (82,3%), (p &lt; 0,0001). A kiújulás kockázata a placebóhoz képest így mintegy 89%</w:t>
      </w:r>
      <w:r w:rsidRPr="00556B9B">
        <w:rPr>
          <w:rFonts w:eastAsia="MS Mincho"/>
          <w:color w:val="000000"/>
          <w:sz w:val="22"/>
          <w:szCs w:val="22"/>
          <w:lang w:val="hu-HU" w:eastAsia="ja-JP"/>
        </w:rPr>
        <w:noBreakHyphen/>
        <w:t>kal csökkent (relatív hazárd = 0,113 [0,049</w:t>
      </w:r>
      <w:r w:rsidRPr="00556B9B">
        <w:rPr>
          <w:rFonts w:eastAsia="MS Mincho"/>
          <w:color w:val="000000"/>
          <w:sz w:val="22"/>
          <w:szCs w:val="22"/>
          <w:lang w:val="hu-HU" w:eastAsia="ja-JP"/>
        </w:rPr>
        <w:noBreakHyphen/>
        <w:t>0,264]).</w:t>
      </w:r>
    </w:p>
    <w:p w14:paraId="0A676ACB" w14:textId="77777777" w:rsidR="00153AD1" w:rsidRPr="00556B9B" w:rsidRDefault="00153AD1" w:rsidP="00153AD1">
      <w:pPr>
        <w:pStyle w:val="Text"/>
        <w:spacing w:before="0"/>
        <w:jc w:val="left"/>
        <w:rPr>
          <w:rFonts w:eastAsia="MS Mincho"/>
          <w:color w:val="000000"/>
          <w:sz w:val="22"/>
          <w:szCs w:val="22"/>
          <w:lang w:val="hu-HU" w:eastAsia="ja-JP"/>
        </w:rPr>
      </w:pPr>
    </w:p>
    <w:p w14:paraId="3C78A98A" w14:textId="77777777" w:rsidR="00153AD1" w:rsidRPr="00556B9B" w:rsidRDefault="00153AD1" w:rsidP="00153AD1">
      <w:pPr>
        <w:pStyle w:val="Text"/>
        <w:spacing w:before="0"/>
        <w:jc w:val="left"/>
        <w:rPr>
          <w:color w:val="000000"/>
          <w:lang w:val="hu-HU"/>
        </w:rPr>
      </w:pPr>
      <w:r w:rsidRPr="00556B9B">
        <w:rPr>
          <w:rFonts w:eastAsia="MS Mincho"/>
          <w:color w:val="000000"/>
          <w:sz w:val="22"/>
          <w:szCs w:val="22"/>
          <w:lang w:val="hu-HU" w:eastAsia="ja-JP"/>
        </w:rPr>
        <w:t>A primer GIST operációján átesett betegeknél a kiújulás kockázatát az alábbi prognosztikai faktorok alapján retrospektív módon értékelték: a daganat mérete, a mitotikus</w:t>
      </w:r>
      <w:r w:rsidRPr="00556B9B">
        <w:rPr>
          <w:rFonts w:eastAsia="MS Mincho"/>
          <w:color w:val="000000"/>
          <w:sz w:val="22"/>
          <w:szCs w:val="22"/>
          <w:lang w:val="hu-HU" w:eastAsia="ja-JP"/>
        </w:rPr>
        <w:noBreakHyphen/>
        <w:t xml:space="preserve">index, a daganat lokalizációja. A 713 fős beválogatás szerinti populációból (intention-to-treat – </w:t>
      </w:r>
      <w:smartTag w:uri="urn:schemas-microsoft-com:office:smarttags" w:element="stockticker">
        <w:r w:rsidRPr="00556B9B">
          <w:rPr>
            <w:rFonts w:eastAsia="MS Mincho"/>
            <w:color w:val="000000"/>
            <w:sz w:val="22"/>
            <w:szCs w:val="22"/>
            <w:lang w:val="hu-HU" w:eastAsia="ja-JP"/>
          </w:rPr>
          <w:t>ITT</w:t>
        </w:r>
      </w:smartTag>
      <w:r w:rsidRPr="00556B9B">
        <w:rPr>
          <w:rFonts w:eastAsia="MS Mincho"/>
          <w:color w:val="000000"/>
          <w:sz w:val="22"/>
          <w:szCs w:val="22"/>
          <w:lang w:val="hu-HU" w:eastAsia="ja-JP"/>
        </w:rPr>
        <w:t>) a mitotikus</w:t>
      </w:r>
      <w:r w:rsidRPr="00556B9B">
        <w:rPr>
          <w:rFonts w:eastAsia="MS Mincho"/>
          <w:color w:val="000000"/>
          <w:sz w:val="22"/>
          <w:szCs w:val="22"/>
          <w:lang w:val="hu-HU" w:eastAsia="ja-JP"/>
        </w:rPr>
        <w:noBreakHyphen/>
        <w:t xml:space="preserve">indexre vonatkozó adatok 556 beteg esetén álltak rendelkezésre. A United States National Institutes of Health (NIH) és az Armed Forces Institute of Pathology (AFIP) kockázat-besorolása szerint végzett alcsoport-analízis eredményeit a </w:t>
      </w:r>
      <w:r w:rsidR="00F10EA5" w:rsidRPr="00556B9B">
        <w:rPr>
          <w:rFonts w:eastAsia="MS Mincho"/>
          <w:color w:val="000000"/>
          <w:sz w:val="22"/>
          <w:szCs w:val="22"/>
          <w:lang w:val="hu-HU" w:eastAsia="ja-JP"/>
        </w:rPr>
        <w:t>7</w:t>
      </w:r>
      <w:r w:rsidRPr="00556B9B">
        <w:rPr>
          <w:rFonts w:eastAsia="MS Mincho"/>
          <w:color w:val="000000"/>
          <w:sz w:val="22"/>
          <w:szCs w:val="22"/>
          <w:lang w:val="hu-HU" w:eastAsia="ja-JP"/>
        </w:rPr>
        <w:t>. táblázat mutatja. Nem észleltek előnyt az alacsony és a nagyon alacsony kockázatú csoportokban. Nem észleltek teljes túlélési előnyt.</w:t>
      </w:r>
    </w:p>
    <w:p w14:paraId="7C0CEB05" w14:textId="77777777" w:rsidR="00153AD1" w:rsidRPr="00556B9B" w:rsidRDefault="00153AD1" w:rsidP="00153AD1">
      <w:pPr>
        <w:pStyle w:val="Text"/>
        <w:spacing w:before="0"/>
        <w:jc w:val="left"/>
        <w:rPr>
          <w:color w:val="000000"/>
          <w:lang w:val="hu-HU"/>
        </w:rPr>
      </w:pPr>
    </w:p>
    <w:p w14:paraId="16A1217F" w14:textId="77777777" w:rsidR="00153AD1" w:rsidRPr="00556B9B" w:rsidRDefault="00F10EA5" w:rsidP="00F926B9">
      <w:pPr>
        <w:pStyle w:val="Heading6"/>
        <w:keepLines/>
        <w:tabs>
          <w:tab w:val="clear" w:pos="567"/>
          <w:tab w:val="clear" w:pos="4536"/>
          <w:tab w:val="left" w:pos="1134"/>
        </w:tabs>
        <w:spacing w:line="240" w:lineRule="auto"/>
        <w:ind w:left="1134" w:hanging="1134"/>
        <w:rPr>
          <w:rFonts w:eastAsia="MS Mincho"/>
          <w:b/>
          <w:i w:val="0"/>
          <w:color w:val="000000"/>
          <w:szCs w:val="22"/>
          <w:lang w:val="hu-HU" w:eastAsia="ja-JP"/>
        </w:rPr>
      </w:pPr>
      <w:r w:rsidRPr="00556B9B">
        <w:rPr>
          <w:rFonts w:eastAsia="MS Mincho"/>
          <w:b/>
          <w:i w:val="0"/>
          <w:color w:val="000000"/>
          <w:szCs w:val="22"/>
          <w:lang w:val="hu-HU" w:eastAsia="ja-JP"/>
        </w:rPr>
        <w:t>7</w:t>
      </w:r>
      <w:r w:rsidR="00153AD1" w:rsidRPr="00556B9B">
        <w:rPr>
          <w:rFonts w:eastAsia="MS Mincho"/>
          <w:b/>
          <w:i w:val="0"/>
          <w:color w:val="000000"/>
          <w:szCs w:val="22"/>
          <w:lang w:val="hu-HU" w:eastAsia="ja-JP"/>
        </w:rPr>
        <w:t>. táblázat</w:t>
      </w:r>
      <w:r w:rsidR="00153AD1" w:rsidRPr="00556B9B">
        <w:rPr>
          <w:rFonts w:eastAsia="MS Mincho"/>
          <w:b/>
          <w:i w:val="0"/>
          <w:color w:val="000000"/>
          <w:szCs w:val="22"/>
          <w:lang w:val="hu-HU" w:eastAsia="ja-JP"/>
        </w:rPr>
        <w:tab/>
        <w:t>A Z9001</w:t>
      </w:r>
      <w:r w:rsidR="00153AD1" w:rsidRPr="00556B9B">
        <w:rPr>
          <w:rFonts w:eastAsia="MS Mincho"/>
          <w:b/>
          <w:i w:val="0"/>
          <w:color w:val="000000"/>
          <w:szCs w:val="22"/>
          <w:lang w:val="hu-HU" w:eastAsia="ja-JP"/>
        </w:rPr>
        <w:noBreakHyphen/>
        <w:t>vizsgálat NIH és AFIP kockázat-besorolása szerinti kiújulás</w:t>
      </w:r>
      <w:r w:rsidR="00153AD1" w:rsidRPr="00556B9B">
        <w:rPr>
          <w:rFonts w:eastAsia="MS Mincho"/>
          <w:b/>
          <w:i w:val="0"/>
          <w:color w:val="000000"/>
          <w:szCs w:val="22"/>
          <w:lang w:val="hu-HU" w:eastAsia="ja-JP"/>
        </w:rPr>
        <w:noBreakHyphen/>
        <w:t>mentes túlélés (</w:t>
      </w:r>
      <w:smartTag w:uri="urn:schemas-microsoft-com:office:smarttags" w:element="stockticker">
        <w:r w:rsidR="00153AD1" w:rsidRPr="00556B9B">
          <w:rPr>
            <w:rFonts w:eastAsia="MS Mincho"/>
            <w:b/>
            <w:i w:val="0"/>
            <w:color w:val="000000"/>
            <w:szCs w:val="22"/>
            <w:lang w:val="hu-HU" w:eastAsia="ja-JP"/>
          </w:rPr>
          <w:t>RFS</w:t>
        </w:r>
      </w:smartTag>
      <w:r w:rsidR="00153AD1" w:rsidRPr="00556B9B">
        <w:rPr>
          <w:rFonts w:eastAsia="MS Mincho"/>
          <w:b/>
          <w:i w:val="0"/>
          <w:color w:val="000000"/>
          <w:szCs w:val="22"/>
          <w:lang w:val="hu-HU" w:eastAsia="ja-JP"/>
        </w:rPr>
        <w:t>) analíziseinek összefoglalása</w:t>
      </w:r>
    </w:p>
    <w:p w14:paraId="3E8EB039" w14:textId="77777777" w:rsidR="00153AD1" w:rsidRPr="00556B9B" w:rsidRDefault="00153AD1" w:rsidP="00F926B9">
      <w:pPr>
        <w:keepNext/>
        <w:suppressAutoHyphens w:val="0"/>
        <w:spacing w:line="240" w:lineRule="auto"/>
        <w:rPr>
          <w:rFonts w:eastAsia="MS Mincho"/>
          <w:color w:val="000000"/>
          <w:lang w:val="hu-HU"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992"/>
        <w:gridCol w:w="1881"/>
        <w:gridCol w:w="1800"/>
        <w:gridCol w:w="1440"/>
        <w:gridCol w:w="1360"/>
      </w:tblGrid>
      <w:tr w:rsidR="00153AD1" w:rsidRPr="00556B9B" w14:paraId="17C64C26" w14:textId="77777777" w:rsidTr="00F926B9">
        <w:trPr>
          <w:cantSplit/>
        </w:trPr>
        <w:tc>
          <w:tcPr>
            <w:tcW w:w="1271" w:type="dxa"/>
            <w:vMerge w:val="restart"/>
          </w:tcPr>
          <w:p w14:paraId="030B3F32" w14:textId="77777777" w:rsidR="00153AD1" w:rsidRPr="00556B9B" w:rsidRDefault="00153AD1" w:rsidP="00F926B9">
            <w:pPr>
              <w:keepNext/>
              <w:suppressAutoHyphens w:val="0"/>
              <w:spacing w:before="120"/>
              <w:jc w:val="center"/>
              <w:rPr>
                <w:b/>
                <w:color w:val="000000"/>
                <w:szCs w:val="22"/>
              </w:rPr>
            </w:pPr>
            <w:r w:rsidRPr="00556B9B">
              <w:rPr>
                <w:rFonts w:eastAsia="MS Mincho"/>
                <w:b/>
                <w:color w:val="000000"/>
                <w:szCs w:val="22"/>
                <w:lang w:val="hu-HU" w:eastAsia="ja-JP"/>
              </w:rPr>
              <w:t>Kockázat-besorolás</w:t>
            </w:r>
          </w:p>
        </w:tc>
        <w:tc>
          <w:tcPr>
            <w:tcW w:w="1276" w:type="dxa"/>
            <w:vMerge w:val="restart"/>
            <w:tcBorders>
              <w:right w:val="single" w:sz="4" w:space="0" w:color="auto"/>
            </w:tcBorders>
          </w:tcPr>
          <w:p w14:paraId="61841563" w14:textId="77777777" w:rsidR="00153AD1" w:rsidRPr="00556B9B" w:rsidRDefault="00153AD1" w:rsidP="00F926B9">
            <w:pPr>
              <w:keepNext/>
              <w:suppressAutoHyphens w:val="0"/>
              <w:spacing w:before="120"/>
              <w:rPr>
                <w:b/>
                <w:color w:val="000000"/>
                <w:szCs w:val="22"/>
              </w:rPr>
            </w:pPr>
            <w:r w:rsidRPr="00556B9B">
              <w:rPr>
                <w:b/>
                <w:color w:val="000000"/>
                <w:szCs w:val="22"/>
                <w:lang w:val="hu-HU"/>
              </w:rPr>
              <w:t>Kockázati szint</w:t>
            </w:r>
          </w:p>
        </w:tc>
        <w:tc>
          <w:tcPr>
            <w:tcW w:w="992" w:type="dxa"/>
            <w:vMerge w:val="restart"/>
            <w:tcBorders>
              <w:left w:val="single" w:sz="4" w:space="0" w:color="auto"/>
              <w:right w:val="single" w:sz="4" w:space="0" w:color="auto"/>
            </w:tcBorders>
          </w:tcPr>
          <w:p w14:paraId="233567F6" w14:textId="77777777" w:rsidR="00153AD1" w:rsidRPr="00556B9B" w:rsidRDefault="00153AD1" w:rsidP="00F926B9">
            <w:pPr>
              <w:keepNext/>
              <w:suppressAutoHyphens w:val="0"/>
              <w:spacing w:before="120"/>
              <w:jc w:val="center"/>
              <w:rPr>
                <w:b/>
                <w:color w:val="000000"/>
                <w:szCs w:val="22"/>
              </w:rPr>
            </w:pPr>
            <w:r w:rsidRPr="00556B9B">
              <w:rPr>
                <w:b/>
                <w:color w:val="000000"/>
                <w:szCs w:val="22"/>
                <w:lang w:val="hu-HU"/>
              </w:rPr>
              <w:t>Betegek %-a</w:t>
            </w:r>
          </w:p>
        </w:tc>
        <w:tc>
          <w:tcPr>
            <w:tcW w:w="1881" w:type="dxa"/>
            <w:vMerge w:val="restart"/>
            <w:tcBorders>
              <w:left w:val="single" w:sz="4" w:space="0" w:color="auto"/>
              <w:right w:val="single" w:sz="4" w:space="0" w:color="auto"/>
            </w:tcBorders>
          </w:tcPr>
          <w:p w14:paraId="52E20F8C" w14:textId="77777777" w:rsidR="00153AD1" w:rsidRPr="00556B9B" w:rsidRDefault="00153AD1" w:rsidP="00F926B9">
            <w:pPr>
              <w:keepNext/>
              <w:suppressAutoHyphens w:val="0"/>
              <w:spacing w:before="120"/>
              <w:jc w:val="center"/>
              <w:rPr>
                <w:b/>
                <w:color w:val="000000"/>
                <w:szCs w:val="22"/>
              </w:rPr>
            </w:pPr>
            <w:r w:rsidRPr="00556B9B">
              <w:rPr>
                <w:b/>
                <w:color w:val="000000"/>
                <w:szCs w:val="22"/>
                <w:lang w:val="hu-HU"/>
              </w:rPr>
              <w:t>Események száma /</w:t>
            </w:r>
            <w:r w:rsidRPr="00556B9B">
              <w:rPr>
                <w:b/>
                <w:color w:val="000000"/>
                <w:szCs w:val="22"/>
              </w:rPr>
              <w:br/>
            </w:r>
            <w:r w:rsidRPr="00556B9B">
              <w:rPr>
                <w:b/>
                <w:color w:val="000000"/>
                <w:szCs w:val="22"/>
                <w:lang w:val="hu-HU"/>
              </w:rPr>
              <w:t>Betegek száma</w:t>
            </w:r>
          </w:p>
        </w:tc>
        <w:tc>
          <w:tcPr>
            <w:tcW w:w="1800" w:type="dxa"/>
            <w:vMerge w:val="restart"/>
            <w:tcBorders>
              <w:left w:val="single" w:sz="4" w:space="0" w:color="auto"/>
              <w:right w:val="single" w:sz="4" w:space="0" w:color="auto"/>
            </w:tcBorders>
          </w:tcPr>
          <w:p w14:paraId="457B5D21" w14:textId="77777777" w:rsidR="00153AD1" w:rsidRPr="00556B9B" w:rsidRDefault="00153AD1" w:rsidP="00F926B9">
            <w:pPr>
              <w:keepNext/>
              <w:suppressAutoHyphens w:val="0"/>
              <w:jc w:val="center"/>
              <w:rPr>
                <w:b/>
                <w:color w:val="000000"/>
                <w:szCs w:val="22"/>
                <w:lang w:val="es-ES"/>
              </w:rPr>
            </w:pPr>
            <w:r w:rsidRPr="00556B9B">
              <w:rPr>
                <w:b/>
                <w:color w:val="000000"/>
                <w:szCs w:val="22"/>
                <w:lang w:val="hu-HU"/>
              </w:rPr>
              <w:t>Összesített relatív hazárd (95%-os CI)*</w:t>
            </w:r>
          </w:p>
        </w:tc>
        <w:tc>
          <w:tcPr>
            <w:tcW w:w="2800" w:type="dxa"/>
            <w:gridSpan w:val="2"/>
            <w:tcBorders>
              <w:left w:val="single" w:sz="4" w:space="0" w:color="auto"/>
            </w:tcBorders>
          </w:tcPr>
          <w:p w14:paraId="28B08AB7" w14:textId="77777777" w:rsidR="00153AD1" w:rsidRPr="00556B9B" w:rsidRDefault="00153AD1" w:rsidP="00F926B9">
            <w:pPr>
              <w:keepNext/>
              <w:suppressAutoHyphens w:val="0"/>
              <w:jc w:val="center"/>
              <w:rPr>
                <w:b/>
                <w:color w:val="000000"/>
                <w:szCs w:val="22"/>
              </w:rPr>
            </w:pPr>
            <w:smartTag w:uri="urn:schemas-microsoft-com:office:smarttags" w:element="stockticker">
              <w:r w:rsidRPr="00556B9B">
                <w:rPr>
                  <w:b/>
                  <w:color w:val="000000"/>
                  <w:szCs w:val="22"/>
                  <w:lang w:val="hu-HU"/>
                </w:rPr>
                <w:t>RFS</w:t>
              </w:r>
            </w:smartTag>
            <w:r w:rsidRPr="00556B9B">
              <w:rPr>
                <w:b/>
                <w:color w:val="000000"/>
                <w:szCs w:val="22"/>
                <w:lang w:val="hu-HU"/>
              </w:rPr>
              <w:t>-arányok (%)</w:t>
            </w:r>
          </w:p>
        </w:tc>
      </w:tr>
      <w:tr w:rsidR="00153AD1" w:rsidRPr="00556B9B" w14:paraId="33EAEBF5" w14:textId="77777777" w:rsidTr="00F926B9">
        <w:trPr>
          <w:cantSplit/>
        </w:trPr>
        <w:tc>
          <w:tcPr>
            <w:tcW w:w="1271" w:type="dxa"/>
            <w:vMerge/>
          </w:tcPr>
          <w:p w14:paraId="2D641417" w14:textId="77777777" w:rsidR="00153AD1" w:rsidRPr="00556B9B" w:rsidRDefault="00153AD1" w:rsidP="00F926B9">
            <w:pPr>
              <w:keepNext/>
              <w:suppressAutoHyphens w:val="0"/>
              <w:rPr>
                <w:b/>
                <w:color w:val="000000"/>
                <w:szCs w:val="22"/>
              </w:rPr>
            </w:pPr>
          </w:p>
        </w:tc>
        <w:tc>
          <w:tcPr>
            <w:tcW w:w="1276" w:type="dxa"/>
            <w:vMerge/>
            <w:tcBorders>
              <w:right w:val="single" w:sz="4" w:space="0" w:color="auto"/>
            </w:tcBorders>
          </w:tcPr>
          <w:p w14:paraId="7363785D" w14:textId="77777777" w:rsidR="00153AD1" w:rsidRPr="00556B9B" w:rsidRDefault="00153AD1" w:rsidP="00F926B9">
            <w:pPr>
              <w:keepNext/>
              <w:suppressAutoHyphens w:val="0"/>
              <w:rPr>
                <w:b/>
                <w:color w:val="000000"/>
                <w:szCs w:val="22"/>
              </w:rPr>
            </w:pPr>
          </w:p>
        </w:tc>
        <w:tc>
          <w:tcPr>
            <w:tcW w:w="992" w:type="dxa"/>
            <w:vMerge/>
            <w:tcBorders>
              <w:left w:val="single" w:sz="4" w:space="0" w:color="auto"/>
              <w:right w:val="single" w:sz="4" w:space="0" w:color="auto"/>
            </w:tcBorders>
          </w:tcPr>
          <w:p w14:paraId="4A0D88F6" w14:textId="77777777" w:rsidR="00153AD1" w:rsidRPr="00556B9B" w:rsidRDefault="00153AD1" w:rsidP="00F926B9">
            <w:pPr>
              <w:keepNext/>
              <w:suppressAutoHyphens w:val="0"/>
              <w:jc w:val="center"/>
              <w:rPr>
                <w:b/>
                <w:color w:val="000000"/>
                <w:szCs w:val="22"/>
              </w:rPr>
            </w:pPr>
          </w:p>
        </w:tc>
        <w:tc>
          <w:tcPr>
            <w:tcW w:w="1881" w:type="dxa"/>
            <w:vMerge/>
            <w:tcBorders>
              <w:left w:val="single" w:sz="4" w:space="0" w:color="auto"/>
              <w:right w:val="single" w:sz="4" w:space="0" w:color="auto"/>
            </w:tcBorders>
          </w:tcPr>
          <w:p w14:paraId="044C24E8" w14:textId="77777777" w:rsidR="00153AD1" w:rsidRPr="00556B9B" w:rsidRDefault="00153AD1" w:rsidP="00F926B9">
            <w:pPr>
              <w:keepNext/>
              <w:suppressAutoHyphens w:val="0"/>
              <w:jc w:val="center"/>
              <w:rPr>
                <w:b/>
                <w:color w:val="000000"/>
                <w:szCs w:val="22"/>
              </w:rPr>
            </w:pPr>
          </w:p>
        </w:tc>
        <w:tc>
          <w:tcPr>
            <w:tcW w:w="1800" w:type="dxa"/>
            <w:vMerge/>
            <w:tcBorders>
              <w:left w:val="single" w:sz="4" w:space="0" w:color="auto"/>
              <w:right w:val="single" w:sz="4" w:space="0" w:color="auto"/>
            </w:tcBorders>
          </w:tcPr>
          <w:p w14:paraId="78307C18" w14:textId="77777777" w:rsidR="00153AD1" w:rsidRPr="00556B9B" w:rsidRDefault="00153AD1" w:rsidP="00F926B9">
            <w:pPr>
              <w:keepNext/>
              <w:suppressAutoHyphens w:val="0"/>
              <w:rPr>
                <w:b/>
                <w:color w:val="000000"/>
                <w:szCs w:val="22"/>
              </w:rPr>
            </w:pPr>
          </w:p>
        </w:tc>
        <w:tc>
          <w:tcPr>
            <w:tcW w:w="1440" w:type="dxa"/>
            <w:tcBorders>
              <w:left w:val="single" w:sz="4" w:space="0" w:color="auto"/>
              <w:right w:val="single" w:sz="4" w:space="0" w:color="auto"/>
            </w:tcBorders>
          </w:tcPr>
          <w:p w14:paraId="77159E2D" w14:textId="77777777" w:rsidR="00153AD1" w:rsidRPr="00556B9B" w:rsidRDefault="00153AD1" w:rsidP="00F926B9">
            <w:pPr>
              <w:keepNext/>
              <w:suppressAutoHyphens w:val="0"/>
              <w:jc w:val="center"/>
              <w:rPr>
                <w:b/>
                <w:color w:val="000000"/>
                <w:szCs w:val="22"/>
              </w:rPr>
            </w:pPr>
            <w:r w:rsidRPr="00556B9B">
              <w:rPr>
                <w:b/>
                <w:color w:val="000000"/>
                <w:szCs w:val="22"/>
                <w:lang w:val="hu-HU"/>
              </w:rPr>
              <w:t>12 hónap</w:t>
            </w:r>
          </w:p>
        </w:tc>
        <w:tc>
          <w:tcPr>
            <w:tcW w:w="1360" w:type="dxa"/>
            <w:tcBorders>
              <w:left w:val="single" w:sz="4" w:space="0" w:color="auto"/>
            </w:tcBorders>
          </w:tcPr>
          <w:p w14:paraId="13620F20" w14:textId="77777777" w:rsidR="00153AD1" w:rsidRPr="00556B9B" w:rsidRDefault="00153AD1" w:rsidP="00F926B9">
            <w:pPr>
              <w:keepNext/>
              <w:suppressAutoHyphens w:val="0"/>
              <w:jc w:val="center"/>
              <w:rPr>
                <w:b/>
                <w:color w:val="000000"/>
                <w:szCs w:val="22"/>
              </w:rPr>
            </w:pPr>
            <w:r w:rsidRPr="00556B9B">
              <w:rPr>
                <w:b/>
                <w:color w:val="000000"/>
                <w:szCs w:val="22"/>
                <w:lang w:val="hu-HU"/>
              </w:rPr>
              <w:t>24 hónap</w:t>
            </w:r>
          </w:p>
        </w:tc>
      </w:tr>
      <w:tr w:rsidR="00153AD1" w:rsidRPr="00556B9B" w14:paraId="545E3B39" w14:textId="77777777" w:rsidTr="00F926B9">
        <w:trPr>
          <w:cantSplit/>
        </w:trPr>
        <w:tc>
          <w:tcPr>
            <w:tcW w:w="1271" w:type="dxa"/>
            <w:vMerge/>
          </w:tcPr>
          <w:p w14:paraId="566AEBB9" w14:textId="77777777" w:rsidR="00153AD1" w:rsidRPr="00556B9B" w:rsidRDefault="00153AD1" w:rsidP="00F926B9">
            <w:pPr>
              <w:keepNext/>
              <w:suppressAutoHyphens w:val="0"/>
              <w:rPr>
                <w:b/>
                <w:color w:val="000000"/>
                <w:szCs w:val="22"/>
              </w:rPr>
            </w:pPr>
          </w:p>
        </w:tc>
        <w:tc>
          <w:tcPr>
            <w:tcW w:w="1276" w:type="dxa"/>
            <w:vMerge/>
            <w:tcBorders>
              <w:right w:val="single" w:sz="4" w:space="0" w:color="auto"/>
            </w:tcBorders>
          </w:tcPr>
          <w:p w14:paraId="5EE1EA40" w14:textId="77777777" w:rsidR="00153AD1" w:rsidRPr="00556B9B" w:rsidRDefault="00153AD1" w:rsidP="00F926B9">
            <w:pPr>
              <w:keepNext/>
              <w:suppressAutoHyphens w:val="0"/>
              <w:rPr>
                <w:b/>
                <w:color w:val="000000"/>
                <w:szCs w:val="22"/>
              </w:rPr>
            </w:pPr>
          </w:p>
        </w:tc>
        <w:tc>
          <w:tcPr>
            <w:tcW w:w="992" w:type="dxa"/>
            <w:vMerge/>
            <w:tcBorders>
              <w:left w:val="single" w:sz="4" w:space="0" w:color="auto"/>
              <w:right w:val="single" w:sz="4" w:space="0" w:color="auto"/>
            </w:tcBorders>
          </w:tcPr>
          <w:p w14:paraId="1BE4957C" w14:textId="77777777" w:rsidR="00153AD1" w:rsidRPr="00556B9B" w:rsidRDefault="00153AD1" w:rsidP="00F926B9">
            <w:pPr>
              <w:keepNext/>
              <w:suppressAutoHyphens w:val="0"/>
              <w:jc w:val="center"/>
              <w:rPr>
                <w:b/>
                <w:color w:val="000000"/>
                <w:szCs w:val="22"/>
              </w:rPr>
            </w:pPr>
          </w:p>
        </w:tc>
        <w:tc>
          <w:tcPr>
            <w:tcW w:w="1881" w:type="dxa"/>
            <w:tcBorders>
              <w:left w:val="single" w:sz="4" w:space="0" w:color="auto"/>
              <w:bottom w:val="single" w:sz="4" w:space="0" w:color="auto"/>
              <w:right w:val="single" w:sz="4" w:space="0" w:color="auto"/>
            </w:tcBorders>
          </w:tcPr>
          <w:p w14:paraId="2B476FAB" w14:textId="77777777" w:rsidR="00153AD1" w:rsidRPr="00556B9B" w:rsidRDefault="00153AD1" w:rsidP="00F926B9">
            <w:pPr>
              <w:keepNext/>
              <w:suppressAutoHyphens w:val="0"/>
              <w:jc w:val="center"/>
              <w:rPr>
                <w:b/>
                <w:color w:val="000000"/>
                <w:szCs w:val="22"/>
              </w:rPr>
            </w:pPr>
            <w:r w:rsidRPr="00556B9B">
              <w:rPr>
                <w:b/>
                <w:color w:val="000000"/>
                <w:szCs w:val="22"/>
                <w:lang w:val="hu-HU"/>
              </w:rPr>
              <w:t>Glivec vs. placebo</w:t>
            </w:r>
          </w:p>
        </w:tc>
        <w:tc>
          <w:tcPr>
            <w:tcW w:w="1800" w:type="dxa"/>
            <w:vMerge/>
            <w:tcBorders>
              <w:left w:val="single" w:sz="4" w:space="0" w:color="auto"/>
              <w:bottom w:val="single" w:sz="4" w:space="0" w:color="auto"/>
              <w:right w:val="single" w:sz="4" w:space="0" w:color="auto"/>
            </w:tcBorders>
          </w:tcPr>
          <w:p w14:paraId="6E93C0BF" w14:textId="77777777" w:rsidR="00153AD1" w:rsidRPr="00556B9B" w:rsidRDefault="00153AD1" w:rsidP="00F926B9">
            <w:pPr>
              <w:keepNext/>
              <w:suppressAutoHyphens w:val="0"/>
              <w:jc w:val="center"/>
              <w:rPr>
                <w:b/>
                <w:color w:val="000000"/>
                <w:szCs w:val="22"/>
              </w:rPr>
            </w:pPr>
          </w:p>
        </w:tc>
        <w:tc>
          <w:tcPr>
            <w:tcW w:w="1440" w:type="dxa"/>
            <w:tcBorders>
              <w:left w:val="single" w:sz="4" w:space="0" w:color="auto"/>
              <w:bottom w:val="single" w:sz="4" w:space="0" w:color="auto"/>
              <w:right w:val="single" w:sz="4" w:space="0" w:color="auto"/>
            </w:tcBorders>
          </w:tcPr>
          <w:p w14:paraId="3556401F" w14:textId="77777777" w:rsidR="00153AD1" w:rsidRPr="00556B9B" w:rsidRDefault="00153AD1" w:rsidP="00F926B9">
            <w:pPr>
              <w:keepNext/>
              <w:suppressAutoHyphens w:val="0"/>
              <w:jc w:val="center"/>
              <w:rPr>
                <w:b/>
                <w:color w:val="000000"/>
                <w:szCs w:val="22"/>
              </w:rPr>
            </w:pPr>
            <w:r w:rsidRPr="00556B9B">
              <w:rPr>
                <w:b/>
                <w:color w:val="000000"/>
                <w:szCs w:val="22"/>
                <w:lang w:val="hu-HU"/>
              </w:rPr>
              <w:t>Glivec vs. placebo</w:t>
            </w:r>
          </w:p>
        </w:tc>
        <w:tc>
          <w:tcPr>
            <w:tcW w:w="1360" w:type="dxa"/>
            <w:tcBorders>
              <w:left w:val="single" w:sz="4" w:space="0" w:color="auto"/>
            </w:tcBorders>
          </w:tcPr>
          <w:p w14:paraId="48E6ABEB" w14:textId="77777777" w:rsidR="00153AD1" w:rsidRPr="00556B9B" w:rsidRDefault="00153AD1" w:rsidP="00F926B9">
            <w:pPr>
              <w:keepNext/>
              <w:suppressAutoHyphens w:val="0"/>
              <w:jc w:val="center"/>
              <w:rPr>
                <w:b/>
                <w:color w:val="000000"/>
                <w:szCs w:val="22"/>
              </w:rPr>
            </w:pPr>
            <w:r w:rsidRPr="00556B9B">
              <w:rPr>
                <w:b/>
                <w:color w:val="000000"/>
                <w:szCs w:val="22"/>
                <w:lang w:val="hu-HU"/>
              </w:rPr>
              <w:t>Glivec vs. placebo</w:t>
            </w:r>
          </w:p>
        </w:tc>
      </w:tr>
      <w:tr w:rsidR="00153AD1" w:rsidRPr="00556B9B" w14:paraId="46B37209" w14:textId="77777777" w:rsidTr="00F926B9">
        <w:trPr>
          <w:cantSplit/>
        </w:trPr>
        <w:tc>
          <w:tcPr>
            <w:tcW w:w="1271" w:type="dxa"/>
            <w:vMerge w:val="restart"/>
            <w:shd w:val="clear" w:color="auto" w:fill="auto"/>
          </w:tcPr>
          <w:p w14:paraId="3E12E647" w14:textId="77777777" w:rsidR="00153AD1" w:rsidRPr="00556B9B" w:rsidRDefault="00153AD1" w:rsidP="00F926B9">
            <w:pPr>
              <w:keepNext/>
              <w:suppressAutoHyphens w:val="0"/>
              <w:spacing w:before="360"/>
              <w:rPr>
                <w:color w:val="000000"/>
                <w:szCs w:val="22"/>
              </w:rPr>
            </w:pPr>
            <w:r w:rsidRPr="00556B9B">
              <w:rPr>
                <w:color w:val="000000"/>
                <w:szCs w:val="22"/>
              </w:rPr>
              <w:t>NIH</w:t>
            </w:r>
          </w:p>
        </w:tc>
        <w:tc>
          <w:tcPr>
            <w:tcW w:w="1276" w:type="dxa"/>
            <w:tcBorders>
              <w:bottom w:val="nil"/>
              <w:right w:val="single" w:sz="4" w:space="0" w:color="auto"/>
            </w:tcBorders>
            <w:vAlign w:val="bottom"/>
          </w:tcPr>
          <w:p w14:paraId="76191332" w14:textId="77777777" w:rsidR="00153AD1" w:rsidRPr="00556B9B" w:rsidRDefault="00153AD1" w:rsidP="00F926B9">
            <w:pPr>
              <w:keepNext/>
              <w:suppressAutoHyphens w:val="0"/>
              <w:spacing w:before="40" w:after="20"/>
              <w:ind w:left="57" w:hanging="57"/>
              <w:rPr>
                <w:color w:val="000000"/>
                <w:szCs w:val="22"/>
              </w:rPr>
            </w:pPr>
            <w:r w:rsidRPr="00556B9B">
              <w:rPr>
                <w:color w:val="000000"/>
                <w:szCs w:val="22"/>
              </w:rPr>
              <w:t>Alacsony</w:t>
            </w:r>
          </w:p>
        </w:tc>
        <w:tc>
          <w:tcPr>
            <w:tcW w:w="992" w:type="dxa"/>
            <w:tcBorders>
              <w:left w:val="single" w:sz="4" w:space="0" w:color="auto"/>
              <w:bottom w:val="nil"/>
              <w:right w:val="single" w:sz="4" w:space="0" w:color="auto"/>
            </w:tcBorders>
            <w:vAlign w:val="bottom"/>
          </w:tcPr>
          <w:p w14:paraId="3B026A76" w14:textId="77777777" w:rsidR="00153AD1" w:rsidRPr="00556B9B" w:rsidRDefault="00153AD1" w:rsidP="00F926B9">
            <w:pPr>
              <w:keepNext/>
              <w:suppressAutoHyphens w:val="0"/>
              <w:spacing w:before="40" w:after="20"/>
              <w:ind w:left="57" w:hanging="57"/>
              <w:jc w:val="center"/>
              <w:rPr>
                <w:color w:val="000000"/>
                <w:szCs w:val="22"/>
              </w:rPr>
            </w:pPr>
            <w:r w:rsidRPr="00556B9B">
              <w:rPr>
                <w:color w:val="000000"/>
                <w:szCs w:val="22"/>
              </w:rPr>
              <w:t>29,5</w:t>
            </w:r>
          </w:p>
        </w:tc>
        <w:tc>
          <w:tcPr>
            <w:tcW w:w="1881" w:type="dxa"/>
            <w:tcBorders>
              <w:left w:val="single" w:sz="4" w:space="0" w:color="auto"/>
              <w:bottom w:val="nil"/>
              <w:right w:val="single" w:sz="4" w:space="0" w:color="auto"/>
            </w:tcBorders>
            <w:vAlign w:val="bottom"/>
          </w:tcPr>
          <w:p w14:paraId="66BB1019" w14:textId="77777777" w:rsidR="00153AD1" w:rsidRPr="00556B9B" w:rsidRDefault="00153AD1" w:rsidP="00F926B9">
            <w:pPr>
              <w:keepNext/>
              <w:suppressAutoHyphens w:val="0"/>
              <w:spacing w:before="40" w:after="20"/>
              <w:ind w:left="57" w:hanging="57"/>
              <w:rPr>
                <w:color w:val="000000"/>
                <w:szCs w:val="22"/>
              </w:rPr>
            </w:pPr>
            <w:r w:rsidRPr="00556B9B">
              <w:rPr>
                <w:color w:val="000000"/>
                <w:szCs w:val="22"/>
              </w:rPr>
              <w:t>0/86 vs. 2/90</w:t>
            </w:r>
          </w:p>
        </w:tc>
        <w:tc>
          <w:tcPr>
            <w:tcW w:w="1800" w:type="dxa"/>
            <w:tcBorders>
              <w:left w:val="single" w:sz="4" w:space="0" w:color="auto"/>
              <w:bottom w:val="nil"/>
              <w:right w:val="single" w:sz="4" w:space="0" w:color="auto"/>
            </w:tcBorders>
            <w:vAlign w:val="bottom"/>
          </w:tcPr>
          <w:p w14:paraId="31658A1E" w14:textId="77777777" w:rsidR="00153AD1" w:rsidRPr="00556B9B" w:rsidRDefault="00153AD1" w:rsidP="00F926B9">
            <w:pPr>
              <w:keepNext/>
              <w:suppressAutoHyphens w:val="0"/>
              <w:spacing w:before="40" w:after="20"/>
              <w:ind w:left="57" w:hanging="57"/>
              <w:rPr>
                <w:color w:val="000000"/>
                <w:szCs w:val="22"/>
              </w:rPr>
            </w:pPr>
            <w:r w:rsidRPr="00556B9B">
              <w:rPr>
                <w:color w:val="000000"/>
                <w:szCs w:val="22"/>
              </w:rPr>
              <w:t>N.m.</w:t>
            </w:r>
          </w:p>
        </w:tc>
        <w:tc>
          <w:tcPr>
            <w:tcW w:w="1440" w:type="dxa"/>
            <w:tcBorders>
              <w:left w:val="single" w:sz="4" w:space="0" w:color="auto"/>
              <w:bottom w:val="nil"/>
              <w:right w:val="single" w:sz="4" w:space="0" w:color="auto"/>
            </w:tcBorders>
            <w:vAlign w:val="bottom"/>
          </w:tcPr>
          <w:p w14:paraId="1F705E1E" w14:textId="77777777" w:rsidR="00153AD1" w:rsidRPr="00556B9B" w:rsidRDefault="00153AD1" w:rsidP="00F926B9">
            <w:pPr>
              <w:keepNext/>
              <w:suppressAutoHyphens w:val="0"/>
              <w:spacing w:before="40" w:after="20"/>
              <w:ind w:left="57" w:hanging="57"/>
              <w:rPr>
                <w:color w:val="000000"/>
                <w:szCs w:val="22"/>
              </w:rPr>
            </w:pPr>
            <w:r w:rsidRPr="00556B9B">
              <w:rPr>
                <w:color w:val="000000"/>
                <w:szCs w:val="22"/>
              </w:rPr>
              <w:t>100 vs. 98,7</w:t>
            </w:r>
          </w:p>
        </w:tc>
        <w:tc>
          <w:tcPr>
            <w:tcW w:w="1360" w:type="dxa"/>
            <w:tcBorders>
              <w:left w:val="single" w:sz="4" w:space="0" w:color="auto"/>
              <w:bottom w:val="nil"/>
            </w:tcBorders>
            <w:vAlign w:val="bottom"/>
          </w:tcPr>
          <w:p w14:paraId="34D767BC" w14:textId="77777777" w:rsidR="00153AD1" w:rsidRPr="00556B9B" w:rsidRDefault="00153AD1" w:rsidP="00F926B9">
            <w:pPr>
              <w:keepNext/>
              <w:suppressAutoHyphens w:val="0"/>
              <w:spacing w:before="40" w:after="20"/>
              <w:ind w:left="57" w:hanging="57"/>
              <w:rPr>
                <w:color w:val="000000"/>
                <w:szCs w:val="22"/>
              </w:rPr>
            </w:pPr>
            <w:r w:rsidRPr="00556B9B">
              <w:rPr>
                <w:color w:val="000000"/>
                <w:szCs w:val="22"/>
              </w:rPr>
              <w:t>100 vs. 95,5</w:t>
            </w:r>
          </w:p>
        </w:tc>
      </w:tr>
      <w:tr w:rsidR="00153AD1" w:rsidRPr="00556B9B" w14:paraId="4B467BEB" w14:textId="77777777" w:rsidTr="00F926B9">
        <w:trPr>
          <w:cantSplit/>
        </w:trPr>
        <w:tc>
          <w:tcPr>
            <w:tcW w:w="1271" w:type="dxa"/>
            <w:vMerge/>
            <w:shd w:val="clear" w:color="auto" w:fill="auto"/>
          </w:tcPr>
          <w:p w14:paraId="6D2A9BD5" w14:textId="77777777" w:rsidR="00153AD1" w:rsidRPr="00556B9B" w:rsidRDefault="00153AD1" w:rsidP="00F926B9">
            <w:pPr>
              <w:keepNext/>
              <w:suppressAutoHyphens w:val="0"/>
              <w:rPr>
                <w:b/>
                <w:color w:val="000000"/>
                <w:szCs w:val="22"/>
              </w:rPr>
            </w:pPr>
          </w:p>
        </w:tc>
        <w:tc>
          <w:tcPr>
            <w:tcW w:w="1276" w:type="dxa"/>
            <w:tcBorders>
              <w:top w:val="nil"/>
              <w:bottom w:val="nil"/>
              <w:right w:val="single" w:sz="4" w:space="0" w:color="auto"/>
            </w:tcBorders>
            <w:vAlign w:val="bottom"/>
          </w:tcPr>
          <w:p w14:paraId="16A92F0C" w14:textId="77777777" w:rsidR="00153AD1" w:rsidRPr="00556B9B" w:rsidRDefault="00153AD1" w:rsidP="00F926B9">
            <w:pPr>
              <w:keepNext/>
              <w:suppressAutoHyphens w:val="0"/>
              <w:rPr>
                <w:color w:val="000000"/>
                <w:szCs w:val="22"/>
              </w:rPr>
            </w:pPr>
            <w:r w:rsidRPr="00556B9B">
              <w:rPr>
                <w:color w:val="000000"/>
                <w:szCs w:val="22"/>
              </w:rPr>
              <w:t>Közepes</w:t>
            </w:r>
          </w:p>
        </w:tc>
        <w:tc>
          <w:tcPr>
            <w:tcW w:w="992" w:type="dxa"/>
            <w:tcBorders>
              <w:top w:val="nil"/>
              <w:left w:val="single" w:sz="4" w:space="0" w:color="auto"/>
              <w:bottom w:val="nil"/>
              <w:right w:val="single" w:sz="4" w:space="0" w:color="auto"/>
            </w:tcBorders>
            <w:vAlign w:val="bottom"/>
          </w:tcPr>
          <w:p w14:paraId="737E8BCA" w14:textId="77777777" w:rsidR="00153AD1" w:rsidRPr="00556B9B" w:rsidRDefault="00153AD1" w:rsidP="00F926B9">
            <w:pPr>
              <w:keepNext/>
              <w:suppressAutoHyphens w:val="0"/>
              <w:jc w:val="center"/>
              <w:rPr>
                <w:color w:val="000000"/>
                <w:szCs w:val="22"/>
              </w:rPr>
            </w:pPr>
            <w:r w:rsidRPr="00556B9B">
              <w:rPr>
                <w:color w:val="000000"/>
                <w:szCs w:val="22"/>
              </w:rPr>
              <w:t>25,7</w:t>
            </w:r>
          </w:p>
        </w:tc>
        <w:tc>
          <w:tcPr>
            <w:tcW w:w="1881" w:type="dxa"/>
            <w:tcBorders>
              <w:top w:val="nil"/>
              <w:left w:val="single" w:sz="4" w:space="0" w:color="auto"/>
              <w:bottom w:val="nil"/>
              <w:right w:val="single" w:sz="4" w:space="0" w:color="auto"/>
            </w:tcBorders>
            <w:vAlign w:val="bottom"/>
          </w:tcPr>
          <w:p w14:paraId="58C5B992" w14:textId="77777777" w:rsidR="00153AD1" w:rsidRPr="00556B9B" w:rsidRDefault="00153AD1" w:rsidP="00F926B9">
            <w:pPr>
              <w:keepNext/>
              <w:suppressAutoHyphens w:val="0"/>
              <w:rPr>
                <w:color w:val="000000"/>
                <w:szCs w:val="22"/>
              </w:rPr>
            </w:pPr>
            <w:r w:rsidRPr="00556B9B">
              <w:rPr>
                <w:color w:val="000000"/>
                <w:szCs w:val="22"/>
              </w:rPr>
              <w:t>4/75 vs. 6/78</w:t>
            </w:r>
          </w:p>
        </w:tc>
        <w:tc>
          <w:tcPr>
            <w:tcW w:w="1800" w:type="dxa"/>
            <w:tcBorders>
              <w:top w:val="nil"/>
              <w:left w:val="single" w:sz="4" w:space="0" w:color="auto"/>
              <w:bottom w:val="nil"/>
              <w:right w:val="single" w:sz="4" w:space="0" w:color="auto"/>
            </w:tcBorders>
            <w:vAlign w:val="bottom"/>
          </w:tcPr>
          <w:p w14:paraId="346CF32D" w14:textId="77777777" w:rsidR="00153AD1" w:rsidRPr="00556B9B" w:rsidRDefault="00153AD1" w:rsidP="00F926B9">
            <w:pPr>
              <w:keepNext/>
              <w:suppressAutoHyphens w:val="0"/>
              <w:rPr>
                <w:color w:val="000000"/>
                <w:szCs w:val="22"/>
              </w:rPr>
            </w:pPr>
            <w:r w:rsidRPr="00556B9B">
              <w:rPr>
                <w:color w:val="000000"/>
                <w:szCs w:val="22"/>
              </w:rPr>
              <w:t>0,59 (0,17; 2,10)</w:t>
            </w:r>
          </w:p>
        </w:tc>
        <w:tc>
          <w:tcPr>
            <w:tcW w:w="1440" w:type="dxa"/>
            <w:tcBorders>
              <w:top w:val="nil"/>
              <w:left w:val="single" w:sz="4" w:space="0" w:color="auto"/>
              <w:bottom w:val="nil"/>
              <w:right w:val="single" w:sz="4" w:space="0" w:color="auto"/>
            </w:tcBorders>
            <w:vAlign w:val="bottom"/>
          </w:tcPr>
          <w:p w14:paraId="52B9D6B8" w14:textId="77777777" w:rsidR="00153AD1" w:rsidRPr="00556B9B" w:rsidRDefault="00153AD1" w:rsidP="00F926B9">
            <w:pPr>
              <w:keepNext/>
              <w:suppressAutoHyphens w:val="0"/>
              <w:rPr>
                <w:color w:val="000000"/>
                <w:szCs w:val="22"/>
              </w:rPr>
            </w:pPr>
            <w:r w:rsidRPr="00556B9B">
              <w:rPr>
                <w:color w:val="000000"/>
                <w:szCs w:val="22"/>
              </w:rPr>
              <w:t>100 vs. 94,8</w:t>
            </w:r>
          </w:p>
        </w:tc>
        <w:tc>
          <w:tcPr>
            <w:tcW w:w="1360" w:type="dxa"/>
            <w:tcBorders>
              <w:top w:val="nil"/>
              <w:left w:val="single" w:sz="4" w:space="0" w:color="auto"/>
              <w:bottom w:val="nil"/>
            </w:tcBorders>
            <w:vAlign w:val="bottom"/>
          </w:tcPr>
          <w:p w14:paraId="3E6F34B9" w14:textId="77777777" w:rsidR="00153AD1" w:rsidRPr="00556B9B" w:rsidRDefault="00153AD1" w:rsidP="00F926B9">
            <w:pPr>
              <w:keepNext/>
              <w:suppressAutoHyphens w:val="0"/>
              <w:rPr>
                <w:color w:val="000000"/>
                <w:szCs w:val="22"/>
              </w:rPr>
            </w:pPr>
            <w:r w:rsidRPr="00556B9B">
              <w:rPr>
                <w:color w:val="000000"/>
                <w:szCs w:val="22"/>
              </w:rPr>
              <w:t>97,8 vs. 89,5</w:t>
            </w:r>
          </w:p>
        </w:tc>
      </w:tr>
      <w:tr w:rsidR="00153AD1" w:rsidRPr="00556B9B" w14:paraId="40901BE8" w14:textId="77777777" w:rsidTr="00F926B9">
        <w:trPr>
          <w:cantSplit/>
        </w:trPr>
        <w:tc>
          <w:tcPr>
            <w:tcW w:w="1271" w:type="dxa"/>
            <w:vMerge/>
            <w:shd w:val="clear" w:color="auto" w:fill="auto"/>
          </w:tcPr>
          <w:p w14:paraId="6A0CB09F" w14:textId="77777777" w:rsidR="00153AD1" w:rsidRPr="00556B9B" w:rsidRDefault="00153AD1" w:rsidP="00F926B9">
            <w:pPr>
              <w:keepNext/>
              <w:suppressAutoHyphens w:val="0"/>
              <w:rPr>
                <w:color w:val="000000"/>
                <w:szCs w:val="22"/>
              </w:rPr>
            </w:pPr>
          </w:p>
        </w:tc>
        <w:tc>
          <w:tcPr>
            <w:tcW w:w="1276" w:type="dxa"/>
            <w:tcBorders>
              <w:top w:val="nil"/>
              <w:right w:val="single" w:sz="4" w:space="0" w:color="auto"/>
            </w:tcBorders>
            <w:vAlign w:val="bottom"/>
          </w:tcPr>
          <w:p w14:paraId="03E0C431" w14:textId="77777777" w:rsidR="00153AD1" w:rsidRPr="00556B9B" w:rsidRDefault="00153AD1" w:rsidP="00F926B9">
            <w:pPr>
              <w:keepNext/>
              <w:suppressAutoHyphens w:val="0"/>
              <w:rPr>
                <w:color w:val="000000"/>
                <w:szCs w:val="22"/>
              </w:rPr>
            </w:pPr>
            <w:r w:rsidRPr="00556B9B">
              <w:rPr>
                <w:color w:val="000000"/>
                <w:szCs w:val="22"/>
              </w:rPr>
              <w:t>Magas</w:t>
            </w:r>
          </w:p>
        </w:tc>
        <w:tc>
          <w:tcPr>
            <w:tcW w:w="992" w:type="dxa"/>
            <w:tcBorders>
              <w:top w:val="nil"/>
              <w:left w:val="single" w:sz="4" w:space="0" w:color="auto"/>
              <w:right w:val="single" w:sz="4" w:space="0" w:color="auto"/>
            </w:tcBorders>
            <w:vAlign w:val="bottom"/>
          </w:tcPr>
          <w:p w14:paraId="60D34C03" w14:textId="77777777" w:rsidR="00153AD1" w:rsidRPr="00556B9B" w:rsidRDefault="00153AD1" w:rsidP="00F926B9">
            <w:pPr>
              <w:keepNext/>
              <w:suppressAutoHyphens w:val="0"/>
              <w:jc w:val="center"/>
              <w:rPr>
                <w:color w:val="000000"/>
                <w:szCs w:val="22"/>
              </w:rPr>
            </w:pPr>
            <w:r w:rsidRPr="00556B9B">
              <w:rPr>
                <w:color w:val="000000"/>
                <w:szCs w:val="22"/>
              </w:rPr>
              <w:t>44,8</w:t>
            </w:r>
          </w:p>
        </w:tc>
        <w:tc>
          <w:tcPr>
            <w:tcW w:w="1881" w:type="dxa"/>
            <w:tcBorders>
              <w:top w:val="nil"/>
              <w:left w:val="single" w:sz="4" w:space="0" w:color="auto"/>
              <w:right w:val="single" w:sz="4" w:space="0" w:color="auto"/>
            </w:tcBorders>
            <w:vAlign w:val="bottom"/>
          </w:tcPr>
          <w:p w14:paraId="2518027B" w14:textId="77777777" w:rsidR="00153AD1" w:rsidRPr="00556B9B" w:rsidRDefault="00153AD1" w:rsidP="00F926B9">
            <w:pPr>
              <w:keepNext/>
              <w:suppressAutoHyphens w:val="0"/>
              <w:rPr>
                <w:color w:val="000000"/>
                <w:szCs w:val="22"/>
              </w:rPr>
            </w:pPr>
            <w:r w:rsidRPr="00556B9B">
              <w:rPr>
                <w:color w:val="000000"/>
                <w:szCs w:val="22"/>
              </w:rPr>
              <w:t>21/140 vs. 51/127</w:t>
            </w:r>
          </w:p>
        </w:tc>
        <w:tc>
          <w:tcPr>
            <w:tcW w:w="1800" w:type="dxa"/>
            <w:tcBorders>
              <w:top w:val="nil"/>
              <w:left w:val="single" w:sz="4" w:space="0" w:color="auto"/>
              <w:right w:val="single" w:sz="4" w:space="0" w:color="auto"/>
            </w:tcBorders>
            <w:vAlign w:val="bottom"/>
          </w:tcPr>
          <w:p w14:paraId="2523F809" w14:textId="77777777" w:rsidR="00153AD1" w:rsidRPr="00556B9B" w:rsidRDefault="00153AD1" w:rsidP="00F926B9">
            <w:pPr>
              <w:keepNext/>
              <w:suppressAutoHyphens w:val="0"/>
              <w:rPr>
                <w:color w:val="000000"/>
                <w:szCs w:val="22"/>
              </w:rPr>
            </w:pPr>
            <w:r w:rsidRPr="00556B9B">
              <w:rPr>
                <w:color w:val="000000"/>
                <w:szCs w:val="22"/>
              </w:rPr>
              <w:t>0,29 (0,18; 0,49)</w:t>
            </w:r>
          </w:p>
        </w:tc>
        <w:tc>
          <w:tcPr>
            <w:tcW w:w="1440" w:type="dxa"/>
            <w:tcBorders>
              <w:top w:val="nil"/>
              <w:left w:val="single" w:sz="4" w:space="0" w:color="auto"/>
              <w:right w:val="single" w:sz="4" w:space="0" w:color="auto"/>
            </w:tcBorders>
            <w:vAlign w:val="bottom"/>
          </w:tcPr>
          <w:p w14:paraId="6FEF3274" w14:textId="77777777" w:rsidR="00153AD1" w:rsidRPr="00556B9B" w:rsidRDefault="00153AD1" w:rsidP="00F926B9">
            <w:pPr>
              <w:keepNext/>
              <w:suppressAutoHyphens w:val="0"/>
              <w:rPr>
                <w:color w:val="000000"/>
                <w:szCs w:val="22"/>
              </w:rPr>
            </w:pPr>
            <w:r w:rsidRPr="00556B9B">
              <w:rPr>
                <w:color w:val="000000"/>
                <w:szCs w:val="22"/>
              </w:rPr>
              <w:t>94,8 vs. 64,0</w:t>
            </w:r>
          </w:p>
        </w:tc>
        <w:tc>
          <w:tcPr>
            <w:tcW w:w="1360" w:type="dxa"/>
            <w:tcBorders>
              <w:top w:val="nil"/>
              <w:left w:val="single" w:sz="4" w:space="0" w:color="auto"/>
            </w:tcBorders>
            <w:vAlign w:val="bottom"/>
          </w:tcPr>
          <w:p w14:paraId="466F8D64" w14:textId="77777777" w:rsidR="00153AD1" w:rsidRPr="00556B9B" w:rsidRDefault="00153AD1" w:rsidP="00F926B9">
            <w:pPr>
              <w:keepNext/>
              <w:suppressAutoHyphens w:val="0"/>
              <w:rPr>
                <w:color w:val="000000"/>
                <w:szCs w:val="22"/>
              </w:rPr>
            </w:pPr>
            <w:r w:rsidRPr="00556B9B">
              <w:rPr>
                <w:color w:val="000000"/>
                <w:szCs w:val="22"/>
              </w:rPr>
              <w:t>80,7 vs. 46,6</w:t>
            </w:r>
          </w:p>
        </w:tc>
      </w:tr>
      <w:tr w:rsidR="00153AD1" w:rsidRPr="00556B9B" w14:paraId="067A7302" w14:textId="77777777" w:rsidTr="00F926B9">
        <w:trPr>
          <w:cantSplit/>
        </w:trPr>
        <w:tc>
          <w:tcPr>
            <w:tcW w:w="1271" w:type="dxa"/>
            <w:vMerge w:val="restart"/>
            <w:shd w:val="clear" w:color="auto" w:fill="auto"/>
          </w:tcPr>
          <w:p w14:paraId="738B604E" w14:textId="77777777" w:rsidR="00153AD1" w:rsidRPr="00556B9B" w:rsidRDefault="00153AD1" w:rsidP="00F926B9">
            <w:pPr>
              <w:keepNext/>
              <w:suppressAutoHyphens w:val="0"/>
              <w:spacing w:before="480"/>
              <w:rPr>
                <w:color w:val="000000"/>
                <w:szCs w:val="22"/>
              </w:rPr>
            </w:pPr>
            <w:r w:rsidRPr="00556B9B">
              <w:rPr>
                <w:color w:val="000000"/>
                <w:szCs w:val="22"/>
              </w:rPr>
              <w:t>AFIP</w:t>
            </w:r>
          </w:p>
        </w:tc>
        <w:tc>
          <w:tcPr>
            <w:tcW w:w="1276" w:type="dxa"/>
            <w:tcBorders>
              <w:bottom w:val="nil"/>
              <w:right w:val="single" w:sz="4" w:space="0" w:color="auto"/>
            </w:tcBorders>
            <w:vAlign w:val="bottom"/>
          </w:tcPr>
          <w:p w14:paraId="44FA860C" w14:textId="77777777" w:rsidR="00153AD1" w:rsidRPr="00556B9B" w:rsidRDefault="00153AD1" w:rsidP="00F926B9">
            <w:pPr>
              <w:keepNext/>
              <w:suppressAutoHyphens w:val="0"/>
              <w:rPr>
                <w:color w:val="000000"/>
                <w:szCs w:val="22"/>
              </w:rPr>
            </w:pPr>
            <w:r w:rsidRPr="00556B9B">
              <w:rPr>
                <w:color w:val="000000"/>
                <w:szCs w:val="22"/>
              </w:rPr>
              <w:t>Nagyon alacsony</w:t>
            </w:r>
          </w:p>
        </w:tc>
        <w:tc>
          <w:tcPr>
            <w:tcW w:w="992" w:type="dxa"/>
            <w:tcBorders>
              <w:left w:val="single" w:sz="4" w:space="0" w:color="auto"/>
              <w:bottom w:val="nil"/>
              <w:right w:val="single" w:sz="4" w:space="0" w:color="auto"/>
            </w:tcBorders>
            <w:vAlign w:val="bottom"/>
          </w:tcPr>
          <w:p w14:paraId="59F561FC" w14:textId="77777777" w:rsidR="00153AD1" w:rsidRPr="00556B9B" w:rsidRDefault="00153AD1" w:rsidP="00F926B9">
            <w:pPr>
              <w:keepNext/>
              <w:suppressAutoHyphens w:val="0"/>
              <w:jc w:val="center"/>
              <w:rPr>
                <w:color w:val="000000"/>
                <w:szCs w:val="22"/>
              </w:rPr>
            </w:pPr>
            <w:r w:rsidRPr="00556B9B">
              <w:rPr>
                <w:color w:val="000000"/>
                <w:szCs w:val="22"/>
              </w:rPr>
              <w:t>20,7</w:t>
            </w:r>
          </w:p>
        </w:tc>
        <w:tc>
          <w:tcPr>
            <w:tcW w:w="1881" w:type="dxa"/>
            <w:tcBorders>
              <w:left w:val="single" w:sz="4" w:space="0" w:color="auto"/>
              <w:bottom w:val="nil"/>
              <w:right w:val="single" w:sz="4" w:space="0" w:color="auto"/>
            </w:tcBorders>
            <w:vAlign w:val="bottom"/>
          </w:tcPr>
          <w:p w14:paraId="35BCE267" w14:textId="77777777" w:rsidR="00153AD1" w:rsidRPr="00556B9B" w:rsidRDefault="00153AD1" w:rsidP="00F926B9">
            <w:pPr>
              <w:keepNext/>
              <w:suppressAutoHyphens w:val="0"/>
              <w:rPr>
                <w:color w:val="000000"/>
                <w:szCs w:val="22"/>
              </w:rPr>
            </w:pPr>
            <w:r w:rsidRPr="00556B9B">
              <w:rPr>
                <w:color w:val="000000"/>
                <w:szCs w:val="22"/>
              </w:rPr>
              <w:t>0/52 vs. 2/63</w:t>
            </w:r>
          </w:p>
        </w:tc>
        <w:tc>
          <w:tcPr>
            <w:tcW w:w="1800" w:type="dxa"/>
            <w:tcBorders>
              <w:left w:val="single" w:sz="4" w:space="0" w:color="auto"/>
              <w:bottom w:val="nil"/>
              <w:right w:val="single" w:sz="4" w:space="0" w:color="auto"/>
            </w:tcBorders>
            <w:vAlign w:val="bottom"/>
          </w:tcPr>
          <w:p w14:paraId="2A466BCD" w14:textId="77777777" w:rsidR="00153AD1" w:rsidRPr="00556B9B" w:rsidRDefault="00153AD1" w:rsidP="00F926B9">
            <w:pPr>
              <w:keepNext/>
              <w:suppressAutoHyphens w:val="0"/>
              <w:rPr>
                <w:color w:val="000000"/>
                <w:szCs w:val="22"/>
              </w:rPr>
            </w:pPr>
            <w:r w:rsidRPr="00556B9B">
              <w:rPr>
                <w:color w:val="000000"/>
                <w:szCs w:val="22"/>
              </w:rPr>
              <w:t>N.m.</w:t>
            </w:r>
          </w:p>
        </w:tc>
        <w:tc>
          <w:tcPr>
            <w:tcW w:w="1440" w:type="dxa"/>
            <w:tcBorders>
              <w:left w:val="single" w:sz="4" w:space="0" w:color="auto"/>
              <w:bottom w:val="nil"/>
              <w:right w:val="single" w:sz="4" w:space="0" w:color="auto"/>
            </w:tcBorders>
            <w:vAlign w:val="bottom"/>
          </w:tcPr>
          <w:p w14:paraId="6AA25DE7" w14:textId="77777777" w:rsidR="00153AD1" w:rsidRPr="00556B9B" w:rsidRDefault="00153AD1" w:rsidP="00F926B9">
            <w:pPr>
              <w:keepNext/>
              <w:suppressAutoHyphens w:val="0"/>
              <w:rPr>
                <w:color w:val="000000"/>
                <w:szCs w:val="22"/>
              </w:rPr>
            </w:pPr>
            <w:r w:rsidRPr="00556B9B">
              <w:rPr>
                <w:color w:val="000000"/>
                <w:szCs w:val="22"/>
              </w:rPr>
              <w:t>100 vs. 98,1</w:t>
            </w:r>
          </w:p>
        </w:tc>
        <w:tc>
          <w:tcPr>
            <w:tcW w:w="1360" w:type="dxa"/>
            <w:tcBorders>
              <w:left w:val="single" w:sz="4" w:space="0" w:color="auto"/>
              <w:bottom w:val="nil"/>
            </w:tcBorders>
            <w:vAlign w:val="bottom"/>
          </w:tcPr>
          <w:p w14:paraId="71F95D3A" w14:textId="77777777" w:rsidR="00153AD1" w:rsidRPr="00556B9B" w:rsidRDefault="00153AD1" w:rsidP="00F926B9">
            <w:pPr>
              <w:keepNext/>
              <w:suppressAutoHyphens w:val="0"/>
              <w:rPr>
                <w:color w:val="000000"/>
                <w:szCs w:val="22"/>
              </w:rPr>
            </w:pPr>
            <w:r w:rsidRPr="00556B9B">
              <w:rPr>
                <w:color w:val="000000"/>
                <w:szCs w:val="22"/>
              </w:rPr>
              <w:t>100 vs. 93,0</w:t>
            </w:r>
          </w:p>
        </w:tc>
      </w:tr>
      <w:tr w:rsidR="00153AD1" w:rsidRPr="00556B9B" w14:paraId="2F7F01E8" w14:textId="77777777" w:rsidTr="00F926B9">
        <w:trPr>
          <w:cantSplit/>
        </w:trPr>
        <w:tc>
          <w:tcPr>
            <w:tcW w:w="1271" w:type="dxa"/>
            <w:vMerge/>
            <w:shd w:val="clear" w:color="auto" w:fill="auto"/>
          </w:tcPr>
          <w:p w14:paraId="229ACDCC" w14:textId="77777777" w:rsidR="00153AD1" w:rsidRPr="00556B9B" w:rsidRDefault="00153AD1" w:rsidP="00F926B9">
            <w:pPr>
              <w:keepNext/>
              <w:suppressAutoHyphens w:val="0"/>
              <w:rPr>
                <w:color w:val="000000"/>
                <w:szCs w:val="22"/>
              </w:rPr>
            </w:pPr>
          </w:p>
        </w:tc>
        <w:tc>
          <w:tcPr>
            <w:tcW w:w="1276" w:type="dxa"/>
            <w:tcBorders>
              <w:top w:val="nil"/>
              <w:bottom w:val="nil"/>
              <w:right w:val="single" w:sz="4" w:space="0" w:color="auto"/>
            </w:tcBorders>
            <w:vAlign w:val="bottom"/>
          </w:tcPr>
          <w:p w14:paraId="27D5DC2F" w14:textId="77777777" w:rsidR="00153AD1" w:rsidRPr="00556B9B" w:rsidRDefault="00153AD1" w:rsidP="00F926B9">
            <w:pPr>
              <w:keepNext/>
              <w:suppressAutoHyphens w:val="0"/>
              <w:rPr>
                <w:color w:val="000000"/>
                <w:szCs w:val="22"/>
              </w:rPr>
            </w:pPr>
            <w:r w:rsidRPr="00556B9B">
              <w:rPr>
                <w:color w:val="000000"/>
                <w:szCs w:val="22"/>
              </w:rPr>
              <w:t>Alacsony</w:t>
            </w:r>
          </w:p>
        </w:tc>
        <w:tc>
          <w:tcPr>
            <w:tcW w:w="992" w:type="dxa"/>
            <w:tcBorders>
              <w:top w:val="nil"/>
              <w:left w:val="single" w:sz="4" w:space="0" w:color="auto"/>
              <w:bottom w:val="nil"/>
              <w:right w:val="single" w:sz="4" w:space="0" w:color="auto"/>
            </w:tcBorders>
            <w:vAlign w:val="bottom"/>
          </w:tcPr>
          <w:p w14:paraId="526CBF14" w14:textId="77777777" w:rsidR="00153AD1" w:rsidRPr="00556B9B" w:rsidRDefault="00153AD1" w:rsidP="00F926B9">
            <w:pPr>
              <w:keepNext/>
              <w:suppressAutoHyphens w:val="0"/>
              <w:jc w:val="center"/>
              <w:rPr>
                <w:color w:val="000000"/>
                <w:szCs w:val="22"/>
              </w:rPr>
            </w:pPr>
            <w:r w:rsidRPr="00556B9B">
              <w:rPr>
                <w:color w:val="000000"/>
                <w:szCs w:val="22"/>
              </w:rPr>
              <w:t>25,0</w:t>
            </w:r>
          </w:p>
        </w:tc>
        <w:tc>
          <w:tcPr>
            <w:tcW w:w="1881" w:type="dxa"/>
            <w:tcBorders>
              <w:top w:val="nil"/>
              <w:left w:val="single" w:sz="4" w:space="0" w:color="auto"/>
              <w:bottom w:val="nil"/>
              <w:right w:val="single" w:sz="4" w:space="0" w:color="auto"/>
            </w:tcBorders>
            <w:vAlign w:val="bottom"/>
          </w:tcPr>
          <w:p w14:paraId="30EB5176" w14:textId="77777777" w:rsidR="00153AD1" w:rsidRPr="00556B9B" w:rsidRDefault="00153AD1" w:rsidP="00F926B9">
            <w:pPr>
              <w:keepNext/>
              <w:suppressAutoHyphens w:val="0"/>
              <w:rPr>
                <w:color w:val="000000"/>
                <w:szCs w:val="22"/>
              </w:rPr>
            </w:pPr>
            <w:r w:rsidRPr="00556B9B">
              <w:rPr>
                <w:color w:val="000000"/>
                <w:szCs w:val="22"/>
              </w:rPr>
              <w:t>2/70 vs. 0/69</w:t>
            </w:r>
          </w:p>
        </w:tc>
        <w:tc>
          <w:tcPr>
            <w:tcW w:w="1800" w:type="dxa"/>
            <w:tcBorders>
              <w:top w:val="nil"/>
              <w:left w:val="single" w:sz="4" w:space="0" w:color="auto"/>
              <w:bottom w:val="nil"/>
              <w:right w:val="single" w:sz="4" w:space="0" w:color="auto"/>
            </w:tcBorders>
            <w:vAlign w:val="bottom"/>
          </w:tcPr>
          <w:p w14:paraId="4EA0E49F" w14:textId="77777777" w:rsidR="00153AD1" w:rsidRPr="00556B9B" w:rsidRDefault="00153AD1" w:rsidP="00F926B9">
            <w:pPr>
              <w:keepNext/>
              <w:suppressAutoHyphens w:val="0"/>
              <w:rPr>
                <w:color w:val="000000"/>
                <w:szCs w:val="22"/>
              </w:rPr>
            </w:pPr>
            <w:r w:rsidRPr="00556B9B">
              <w:rPr>
                <w:color w:val="000000"/>
                <w:szCs w:val="22"/>
              </w:rPr>
              <w:t>N.m.</w:t>
            </w:r>
          </w:p>
        </w:tc>
        <w:tc>
          <w:tcPr>
            <w:tcW w:w="1440" w:type="dxa"/>
            <w:tcBorders>
              <w:top w:val="nil"/>
              <w:left w:val="single" w:sz="4" w:space="0" w:color="auto"/>
              <w:bottom w:val="nil"/>
              <w:right w:val="single" w:sz="4" w:space="0" w:color="auto"/>
            </w:tcBorders>
            <w:vAlign w:val="bottom"/>
          </w:tcPr>
          <w:p w14:paraId="0D6F8FEA" w14:textId="77777777" w:rsidR="00153AD1" w:rsidRPr="00556B9B" w:rsidRDefault="00153AD1" w:rsidP="00F926B9">
            <w:pPr>
              <w:keepNext/>
              <w:suppressAutoHyphens w:val="0"/>
              <w:rPr>
                <w:color w:val="000000"/>
                <w:szCs w:val="22"/>
              </w:rPr>
            </w:pPr>
            <w:r w:rsidRPr="00556B9B">
              <w:rPr>
                <w:color w:val="000000"/>
                <w:szCs w:val="22"/>
              </w:rPr>
              <w:t>100 vs. 100</w:t>
            </w:r>
          </w:p>
        </w:tc>
        <w:tc>
          <w:tcPr>
            <w:tcW w:w="1360" w:type="dxa"/>
            <w:tcBorders>
              <w:top w:val="nil"/>
              <w:left w:val="single" w:sz="4" w:space="0" w:color="auto"/>
              <w:bottom w:val="nil"/>
            </w:tcBorders>
            <w:vAlign w:val="bottom"/>
          </w:tcPr>
          <w:p w14:paraId="0BF0C9EB" w14:textId="77777777" w:rsidR="00153AD1" w:rsidRPr="00556B9B" w:rsidRDefault="00153AD1" w:rsidP="00F926B9">
            <w:pPr>
              <w:keepNext/>
              <w:suppressAutoHyphens w:val="0"/>
              <w:rPr>
                <w:color w:val="000000"/>
                <w:szCs w:val="22"/>
              </w:rPr>
            </w:pPr>
            <w:r w:rsidRPr="00556B9B">
              <w:rPr>
                <w:color w:val="000000"/>
                <w:szCs w:val="22"/>
              </w:rPr>
              <w:t>97,8 vs. 100</w:t>
            </w:r>
          </w:p>
        </w:tc>
      </w:tr>
      <w:tr w:rsidR="00153AD1" w:rsidRPr="00556B9B" w14:paraId="6E6A7310" w14:textId="77777777" w:rsidTr="00F926B9">
        <w:trPr>
          <w:cantSplit/>
        </w:trPr>
        <w:tc>
          <w:tcPr>
            <w:tcW w:w="1271" w:type="dxa"/>
            <w:vMerge/>
            <w:shd w:val="clear" w:color="auto" w:fill="auto"/>
          </w:tcPr>
          <w:p w14:paraId="3678EA56" w14:textId="77777777" w:rsidR="00153AD1" w:rsidRPr="00556B9B" w:rsidRDefault="00153AD1" w:rsidP="00F926B9">
            <w:pPr>
              <w:keepNext/>
              <w:suppressAutoHyphens w:val="0"/>
              <w:rPr>
                <w:b/>
                <w:color w:val="000000"/>
                <w:szCs w:val="22"/>
              </w:rPr>
            </w:pPr>
          </w:p>
        </w:tc>
        <w:tc>
          <w:tcPr>
            <w:tcW w:w="1276" w:type="dxa"/>
            <w:tcBorders>
              <w:top w:val="nil"/>
              <w:bottom w:val="nil"/>
              <w:right w:val="single" w:sz="4" w:space="0" w:color="auto"/>
            </w:tcBorders>
            <w:vAlign w:val="bottom"/>
          </w:tcPr>
          <w:p w14:paraId="57C2C2E7" w14:textId="77777777" w:rsidR="00153AD1" w:rsidRPr="00556B9B" w:rsidRDefault="00153AD1" w:rsidP="00F926B9">
            <w:pPr>
              <w:keepNext/>
              <w:suppressAutoHyphens w:val="0"/>
              <w:rPr>
                <w:color w:val="000000"/>
                <w:szCs w:val="22"/>
              </w:rPr>
            </w:pPr>
            <w:r w:rsidRPr="00556B9B">
              <w:rPr>
                <w:color w:val="000000"/>
                <w:szCs w:val="22"/>
              </w:rPr>
              <w:t>Közepes</w:t>
            </w:r>
          </w:p>
        </w:tc>
        <w:tc>
          <w:tcPr>
            <w:tcW w:w="992" w:type="dxa"/>
            <w:tcBorders>
              <w:top w:val="nil"/>
              <w:left w:val="single" w:sz="4" w:space="0" w:color="auto"/>
              <w:bottom w:val="nil"/>
              <w:right w:val="single" w:sz="4" w:space="0" w:color="auto"/>
            </w:tcBorders>
            <w:vAlign w:val="bottom"/>
          </w:tcPr>
          <w:p w14:paraId="65BBF3B4" w14:textId="77777777" w:rsidR="00153AD1" w:rsidRPr="00556B9B" w:rsidRDefault="00153AD1" w:rsidP="00F926B9">
            <w:pPr>
              <w:keepNext/>
              <w:suppressAutoHyphens w:val="0"/>
              <w:jc w:val="center"/>
              <w:rPr>
                <w:color w:val="000000"/>
                <w:szCs w:val="22"/>
              </w:rPr>
            </w:pPr>
            <w:r w:rsidRPr="00556B9B">
              <w:rPr>
                <w:color w:val="000000"/>
                <w:szCs w:val="22"/>
              </w:rPr>
              <w:t>24,6</w:t>
            </w:r>
          </w:p>
        </w:tc>
        <w:tc>
          <w:tcPr>
            <w:tcW w:w="1881" w:type="dxa"/>
            <w:tcBorders>
              <w:top w:val="nil"/>
              <w:left w:val="single" w:sz="4" w:space="0" w:color="auto"/>
              <w:bottom w:val="nil"/>
              <w:right w:val="single" w:sz="4" w:space="0" w:color="auto"/>
            </w:tcBorders>
            <w:vAlign w:val="bottom"/>
          </w:tcPr>
          <w:p w14:paraId="76812DC8" w14:textId="77777777" w:rsidR="00153AD1" w:rsidRPr="00556B9B" w:rsidRDefault="00153AD1" w:rsidP="00F926B9">
            <w:pPr>
              <w:keepNext/>
              <w:suppressAutoHyphens w:val="0"/>
              <w:rPr>
                <w:color w:val="000000"/>
                <w:szCs w:val="22"/>
              </w:rPr>
            </w:pPr>
            <w:r w:rsidRPr="00556B9B">
              <w:rPr>
                <w:color w:val="000000"/>
                <w:szCs w:val="22"/>
              </w:rPr>
              <w:t>2/70 vs. 11/67</w:t>
            </w:r>
          </w:p>
        </w:tc>
        <w:tc>
          <w:tcPr>
            <w:tcW w:w="1800" w:type="dxa"/>
            <w:tcBorders>
              <w:top w:val="nil"/>
              <w:left w:val="single" w:sz="4" w:space="0" w:color="auto"/>
              <w:bottom w:val="nil"/>
              <w:right w:val="single" w:sz="4" w:space="0" w:color="auto"/>
            </w:tcBorders>
            <w:vAlign w:val="bottom"/>
          </w:tcPr>
          <w:p w14:paraId="54C6595A" w14:textId="77777777" w:rsidR="00153AD1" w:rsidRPr="00556B9B" w:rsidRDefault="00153AD1" w:rsidP="00F926B9">
            <w:pPr>
              <w:keepNext/>
              <w:suppressAutoHyphens w:val="0"/>
              <w:rPr>
                <w:color w:val="000000"/>
                <w:szCs w:val="22"/>
              </w:rPr>
            </w:pPr>
            <w:r w:rsidRPr="00556B9B">
              <w:rPr>
                <w:color w:val="000000"/>
                <w:szCs w:val="22"/>
              </w:rPr>
              <w:t>0,16 (0,03; 0,70)</w:t>
            </w:r>
          </w:p>
        </w:tc>
        <w:tc>
          <w:tcPr>
            <w:tcW w:w="1440" w:type="dxa"/>
            <w:tcBorders>
              <w:top w:val="nil"/>
              <w:left w:val="single" w:sz="4" w:space="0" w:color="auto"/>
              <w:bottom w:val="nil"/>
              <w:right w:val="single" w:sz="4" w:space="0" w:color="auto"/>
            </w:tcBorders>
            <w:vAlign w:val="bottom"/>
          </w:tcPr>
          <w:p w14:paraId="585EA9BC" w14:textId="77777777" w:rsidR="00153AD1" w:rsidRPr="00556B9B" w:rsidRDefault="00153AD1" w:rsidP="00F926B9">
            <w:pPr>
              <w:keepNext/>
              <w:suppressAutoHyphens w:val="0"/>
              <w:rPr>
                <w:color w:val="000000"/>
                <w:szCs w:val="22"/>
              </w:rPr>
            </w:pPr>
            <w:r w:rsidRPr="00556B9B">
              <w:rPr>
                <w:color w:val="000000"/>
                <w:szCs w:val="22"/>
              </w:rPr>
              <w:t>97,9 vs. 90,8</w:t>
            </w:r>
          </w:p>
        </w:tc>
        <w:tc>
          <w:tcPr>
            <w:tcW w:w="1360" w:type="dxa"/>
            <w:tcBorders>
              <w:top w:val="nil"/>
              <w:left w:val="single" w:sz="4" w:space="0" w:color="auto"/>
              <w:bottom w:val="nil"/>
            </w:tcBorders>
            <w:vAlign w:val="bottom"/>
          </w:tcPr>
          <w:p w14:paraId="42A27B8C" w14:textId="77777777" w:rsidR="00153AD1" w:rsidRPr="00556B9B" w:rsidRDefault="00153AD1" w:rsidP="00F926B9">
            <w:pPr>
              <w:keepNext/>
              <w:suppressAutoHyphens w:val="0"/>
              <w:rPr>
                <w:color w:val="000000"/>
                <w:szCs w:val="22"/>
              </w:rPr>
            </w:pPr>
            <w:r w:rsidRPr="00556B9B">
              <w:rPr>
                <w:color w:val="000000"/>
                <w:szCs w:val="22"/>
              </w:rPr>
              <w:t>97,9 vs. 73,3</w:t>
            </w:r>
          </w:p>
        </w:tc>
      </w:tr>
      <w:tr w:rsidR="00153AD1" w:rsidRPr="00556B9B" w14:paraId="13D538C1" w14:textId="77777777" w:rsidTr="00F926B9">
        <w:trPr>
          <w:cantSplit/>
        </w:trPr>
        <w:tc>
          <w:tcPr>
            <w:tcW w:w="1271" w:type="dxa"/>
            <w:vMerge/>
            <w:tcBorders>
              <w:bottom w:val="single" w:sz="4" w:space="0" w:color="auto"/>
            </w:tcBorders>
            <w:shd w:val="clear" w:color="auto" w:fill="auto"/>
          </w:tcPr>
          <w:p w14:paraId="04CD186A" w14:textId="77777777" w:rsidR="00153AD1" w:rsidRPr="00556B9B" w:rsidRDefault="00153AD1" w:rsidP="00F926B9">
            <w:pPr>
              <w:keepNext/>
              <w:suppressAutoHyphens w:val="0"/>
              <w:rPr>
                <w:color w:val="000000"/>
                <w:szCs w:val="22"/>
              </w:rPr>
            </w:pPr>
          </w:p>
        </w:tc>
        <w:tc>
          <w:tcPr>
            <w:tcW w:w="1276" w:type="dxa"/>
            <w:tcBorders>
              <w:top w:val="nil"/>
              <w:bottom w:val="single" w:sz="4" w:space="0" w:color="auto"/>
              <w:right w:val="single" w:sz="4" w:space="0" w:color="auto"/>
            </w:tcBorders>
            <w:vAlign w:val="bottom"/>
          </w:tcPr>
          <w:p w14:paraId="4B2E47B0" w14:textId="77777777" w:rsidR="00153AD1" w:rsidRPr="00556B9B" w:rsidRDefault="00153AD1" w:rsidP="00F926B9">
            <w:pPr>
              <w:keepNext/>
              <w:suppressAutoHyphens w:val="0"/>
              <w:rPr>
                <w:color w:val="000000"/>
                <w:szCs w:val="22"/>
              </w:rPr>
            </w:pPr>
            <w:r w:rsidRPr="00556B9B">
              <w:rPr>
                <w:color w:val="000000"/>
                <w:szCs w:val="22"/>
              </w:rPr>
              <w:t>Magas</w:t>
            </w:r>
          </w:p>
        </w:tc>
        <w:tc>
          <w:tcPr>
            <w:tcW w:w="992" w:type="dxa"/>
            <w:tcBorders>
              <w:top w:val="nil"/>
              <w:left w:val="single" w:sz="4" w:space="0" w:color="auto"/>
              <w:bottom w:val="single" w:sz="4" w:space="0" w:color="auto"/>
              <w:right w:val="single" w:sz="4" w:space="0" w:color="auto"/>
            </w:tcBorders>
            <w:vAlign w:val="bottom"/>
          </w:tcPr>
          <w:p w14:paraId="49811915" w14:textId="77777777" w:rsidR="00153AD1" w:rsidRPr="00556B9B" w:rsidRDefault="00153AD1" w:rsidP="00F926B9">
            <w:pPr>
              <w:keepNext/>
              <w:suppressAutoHyphens w:val="0"/>
              <w:ind w:right="-3"/>
              <w:jc w:val="center"/>
              <w:rPr>
                <w:color w:val="000000"/>
                <w:szCs w:val="22"/>
              </w:rPr>
            </w:pPr>
            <w:r w:rsidRPr="00556B9B">
              <w:rPr>
                <w:color w:val="000000"/>
                <w:szCs w:val="22"/>
              </w:rPr>
              <w:t>29,7</w:t>
            </w:r>
          </w:p>
        </w:tc>
        <w:tc>
          <w:tcPr>
            <w:tcW w:w="1881" w:type="dxa"/>
            <w:tcBorders>
              <w:top w:val="nil"/>
              <w:left w:val="single" w:sz="4" w:space="0" w:color="auto"/>
              <w:bottom w:val="single" w:sz="4" w:space="0" w:color="auto"/>
              <w:right w:val="single" w:sz="4" w:space="0" w:color="auto"/>
            </w:tcBorders>
            <w:vAlign w:val="bottom"/>
          </w:tcPr>
          <w:p w14:paraId="78AC14EA" w14:textId="77777777" w:rsidR="00153AD1" w:rsidRPr="00556B9B" w:rsidRDefault="00153AD1" w:rsidP="00F926B9">
            <w:pPr>
              <w:keepNext/>
              <w:suppressAutoHyphens w:val="0"/>
              <w:rPr>
                <w:color w:val="000000"/>
                <w:szCs w:val="22"/>
              </w:rPr>
            </w:pPr>
            <w:r w:rsidRPr="00556B9B">
              <w:rPr>
                <w:color w:val="000000"/>
                <w:szCs w:val="22"/>
              </w:rPr>
              <w:t>16/84 vs. 39/81</w:t>
            </w:r>
          </w:p>
        </w:tc>
        <w:tc>
          <w:tcPr>
            <w:tcW w:w="1800" w:type="dxa"/>
            <w:tcBorders>
              <w:top w:val="nil"/>
              <w:left w:val="single" w:sz="4" w:space="0" w:color="auto"/>
              <w:bottom w:val="single" w:sz="4" w:space="0" w:color="auto"/>
              <w:right w:val="single" w:sz="4" w:space="0" w:color="auto"/>
            </w:tcBorders>
            <w:vAlign w:val="bottom"/>
          </w:tcPr>
          <w:p w14:paraId="7CAB507C" w14:textId="77777777" w:rsidR="00153AD1" w:rsidRPr="00556B9B" w:rsidRDefault="00153AD1" w:rsidP="00F926B9">
            <w:pPr>
              <w:keepNext/>
              <w:suppressAutoHyphens w:val="0"/>
              <w:rPr>
                <w:color w:val="000000"/>
                <w:szCs w:val="22"/>
              </w:rPr>
            </w:pPr>
            <w:r w:rsidRPr="00556B9B">
              <w:rPr>
                <w:color w:val="000000"/>
                <w:szCs w:val="22"/>
              </w:rPr>
              <w:t>0,27 (0,15; 0,48)</w:t>
            </w:r>
          </w:p>
        </w:tc>
        <w:tc>
          <w:tcPr>
            <w:tcW w:w="1440" w:type="dxa"/>
            <w:tcBorders>
              <w:top w:val="nil"/>
              <w:left w:val="single" w:sz="4" w:space="0" w:color="auto"/>
              <w:bottom w:val="single" w:sz="4" w:space="0" w:color="auto"/>
              <w:right w:val="single" w:sz="4" w:space="0" w:color="auto"/>
            </w:tcBorders>
            <w:vAlign w:val="bottom"/>
          </w:tcPr>
          <w:p w14:paraId="533BB270" w14:textId="77777777" w:rsidR="00153AD1" w:rsidRPr="00556B9B" w:rsidRDefault="00153AD1" w:rsidP="00F926B9">
            <w:pPr>
              <w:keepNext/>
              <w:suppressAutoHyphens w:val="0"/>
              <w:rPr>
                <w:color w:val="000000"/>
                <w:szCs w:val="22"/>
              </w:rPr>
            </w:pPr>
            <w:r w:rsidRPr="00556B9B">
              <w:rPr>
                <w:color w:val="000000"/>
                <w:szCs w:val="22"/>
              </w:rPr>
              <w:t>98,7 vs. 56,1</w:t>
            </w:r>
          </w:p>
        </w:tc>
        <w:tc>
          <w:tcPr>
            <w:tcW w:w="1360" w:type="dxa"/>
            <w:tcBorders>
              <w:top w:val="nil"/>
              <w:left w:val="single" w:sz="4" w:space="0" w:color="auto"/>
              <w:bottom w:val="single" w:sz="4" w:space="0" w:color="auto"/>
            </w:tcBorders>
            <w:vAlign w:val="bottom"/>
          </w:tcPr>
          <w:p w14:paraId="3439433D" w14:textId="77777777" w:rsidR="00153AD1" w:rsidRPr="00556B9B" w:rsidRDefault="00153AD1" w:rsidP="00F926B9">
            <w:pPr>
              <w:keepNext/>
              <w:suppressAutoHyphens w:val="0"/>
              <w:rPr>
                <w:color w:val="000000"/>
                <w:szCs w:val="22"/>
              </w:rPr>
            </w:pPr>
            <w:r w:rsidRPr="00556B9B">
              <w:rPr>
                <w:color w:val="000000"/>
                <w:szCs w:val="22"/>
              </w:rPr>
              <w:t>79,9 vs. 41,5</w:t>
            </w:r>
          </w:p>
        </w:tc>
      </w:tr>
    </w:tbl>
    <w:p w14:paraId="75EF036D" w14:textId="77777777" w:rsidR="00153AD1" w:rsidRPr="006D0F5F" w:rsidRDefault="00153AD1" w:rsidP="00F926B9">
      <w:pPr>
        <w:pStyle w:val="Text"/>
        <w:spacing w:before="0"/>
        <w:rPr>
          <w:color w:val="000000"/>
          <w:sz w:val="22"/>
          <w:szCs w:val="22"/>
          <w:lang w:val="hu-HU"/>
        </w:rPr>
      </w:pPr>
      <w:r w:rsidRPr="00556B9B">
        <w:rPr>
          <w:color w:val="000000"/>
          <w:sz w:val="22"/>
          <w:szCs w:val="22"/>
        </w:rPr>
        <w:t xml:space="preserve">* </w:t>
      </w:r>
      <w:r w:rsidRPr="00556B9B">
        <w:rPr>
          <w:color w:val="000000"/>
          <w:sz w:val="22"/>
          <w:szCs w:val="22"/>
          <w:lang w:val="hu-HU"/>
        </w:rPr>
        <w:t xml:space="preserve">Teljes követési időszak; N.m. – Nem </w:t>
      </w:r>
      <w:r w:rsidRPr="006D0F5F">
        <w:rPr>
          <w:color w:val="000000"/>
          <w:sz w:val="22"/>
          <w:szCs w:val="22"/>
          <w:lang w:val="hu-HU"/>
        </w:rPr>
        <w:t>megbecsülhető</w:t>
      </w:r>
    </w:p>
    <w:p w14:paraId="6D635917" w14:textId="77777777" w:rsidR="00153AD1" w:rsidRPr="006D0F5F" w:rsidRDefault="00153AD1" w:rsidP="00153AD1">
      <w:pPr>
        <w:pStyle w:val="Text"/>
        <w:spacing w:before="0"/>
        <w:jc w:val="left"/>
        <w:rPr>
          <w:rFonts w:eastAsia="MS Mincho"/>
          <w:color w:val="000000"/>
          <w:sz w:val="22"/>
          <w:szCs w:val="22"/>
          <w:lang w:val="hu-HU" w:eastAsia="ja-JP"/>
        </w:rPr>
      </w:pPr>
    </w:p>
    <w:p w14:paraId="175DC829" w14:textId="4705917E" w:rsidR="00153AD1" w:rsidRPr="00556B9B" w:rsidRDefault="00153AD1" w:rsidP="00153AD1">
      <w:pPr>
        <w:rPr>
          <w:rFonts w:eastAsia="MS Mincho"/>
          <w:iCs/>
          <w:szCs w:val="22"/>
          <w:lang w:val="hu-HU"/>
        </w:rPr>
      </w:pPr>
      <w:r w:rsidRPr="006D0F5F">
        <w:rPr>
          <w:lang w:val="hu-HU"/>
        </w:rPr>
        <w:t>Egy második multicentrikus, nyílt, III</w:t>
      </w:r>
      <w:r w:rsidR="00045AFC" w:rsidRPr="006D0F5F">
        <w:rPr>
          <w:lang w:val="hu-HU"/>
        </w:rPr>
        <w:t>. fázisú</w:t>
      </w:r>
      <w:r w:rsidRPr="006D0F5F">
        <w:rPr>
          <w:lang w:val="hu-HU"/>
        </w:rPr>
        <w:t xml:space="preserve"> vizsgálat (SSG XVIII/AIO) a 12 hónapig tartó, napi 400 mg Glivec</w:t>
      </w:r>
      <w:r w:rsidRPr="006D0F5F">
        <w:rPr>
          <w:lang w:val="hu-HU"/>
        </w:rPr>
        <w:noBreakHyphen/>
        <w:t>kezelést hasonlította össze a 36 hónapos kezeléssel</w:t>
      </w:r>
      <w:r w:rsidRPr="00556B9B">
        <w:rPr>
          <w:lang w:val="hu-HU"/>
        </w:rPr>
        <w:t xml:space="preserve"> olyan betegeknél, akiknél megtörtént a GIST műtéti reszekciója, és teljesült a következők egyike: a tumor átmérője &gt; 5 cm és a mitózisszám nagy nagyítású látóterenként &gt; 5/50, vagy a tumor átmérője &gt; 10 cm bármilyen mitózisszám mellett, vagy bármilyen tumorméret mellett a mitózisszám nagy nagyítású látóterenként &gt; 10/50, vagy a tumor rupturált a peritoneális űrbe. Összesen 397 beteg egyezett bele a részvételbe, és került randomizálásra a vizsgálatba (199 beteg a 12 hónapos karra és 198 beteg a 36 hónapos karra), akiknek a medián életkora 61 év volt (szélső értékek 22 és 84 év). A követés medián időtartama 54 hónap volt (a randomizáció napjától az adatok lezárásáig), és az első beteg randomizálásától az adatok lezárásáig eltelt idő összesen 83 hónap volt.</w:t>
      </w:r>
    </w:p>
    <w:p w14:paraId="03D489AA" w14:textId="77777777" w:rsidR="00153AD1" w:rsidRPr="00556B9B" w:rsidRDefault="00153AD1" w:rsidP="00153AD1">
      <w:pPr>
        <w:rPr>
          <w:rFonts w:eastAsia="MS Mincho"/>
          <w:iCs/>
          <w:szCs w:val="22"/>
          <w:lang w:val="hu-HU"/>
        </w:rPr>
      </w:pPr>
    </w:p>
    <w:p w14:paraId="0BB1FE27" w14:textId="77777777" w:rsidR="00153AD1" w:rsidRPr="00556B9B" w:rsidRDefault="00153AD1" w:rsidP="00153AD1">
      <w:pPr>
        <w:rPr>
          <w:rFonts w:eastAsia="MS Mincho"/>
          <w:szCs w:val="22"/>
          <w:lang w:val="hu-HU"/>
        </w:rPr>
      </w:pPr>
      <w:r w:rsidRPr="00556B9B">
        <w:rPr>
          <w:lang w:val="hu-HU"/>
        </w:rPr>
        <w:t>A vizsgálat elsődleges végpontja a kiújulás</w:t>
      </w:r>
      <w:r w:rsidRPr="00556B9B">
        <w:rPr>
          <w:lang w:val="hu-HU"/>
        </w:rPr>
        <w:noBreakHyphen/>
        <w:t>mentes túlélés (RFS) volt, amit a randomizációtól a recidíváig vagy a bármilyen okból bekövetkező elhalálozásig eltelt idővel definiáltak.</w:t>
      </w:r>
    </w:p>
    <w:p w14:paraId="466FC4E8" w14:textId="77777777" w:rsidR="00153AD1" w:rsidRPr="00556B9B" w:rsidRDefault="00153AD1" w:rsidP="00153AD1">
      <w:pPr>
        <w:rPr>
          <w:rFonts w:eastAsia="MS Mincho"/>
          <w:szCs w:val="22"/>
          <w:lang w:val="hu-HU"/>
        </w:rPr>
      </w:pPr>
    </w:p>
    <w:p w14:paraId="48E1CE99" w14:textId="77777777" w:rsidR="00153AD1" w:rsidRPr="00556B9B" w:rsidRDefault="00153AD1" w:rsidP="00153AD1">
      <w:pPr>
        <w:rPr>
          <w:rFonts w:eastAsia="MS Mincho"/>
          <w:iCs/>
          <w:color w:val="000000"/>
          <w:szCs w:val="22"/>
          <w:lang w:val="hu-HU"/>
        </w:rPr>
      </w:pPr>
      <w:r w:rsidRPr="00556B9B">
        <w:rPr>
          <w:lang w:val="hu-HU"/>
        </w:rPr>
        <w:t>A 36 hónapos Glivec</w:t>
      </w:r>
      <w:r w:rsidRPr="00556B9B">
        <w:rPr>
          <w:lang w:val="hu-HU"/>
        </w:rPr>
        <w:noBreakHyphen/>
        <w:t>kezelés a 12 hónapos Glivec</w:t>
      </w:r>
      <w:r w:rsidRPr="00556B9B">
        <w:rPr>
          <w:lang w:val="hu-HU"/>
        </w:rPr>
        <w:noBreakHyphen/>
        <w:t>kezeléshez képest szignifikánsan meghosszabbította a kiújulás</w:t>
      </w:r>
      <w:r w:rsidRPr="00556B9B">
        <w:rPr>
          <w:lang w:val="hu-HU"/>
        </w:rPr>
        <w:noBreakHyphen/>
        <w:t>mentes túlélést (a teljes relatív hazárd [HR] = 0,46 [0,32, 0,65], p &lt; 0,0001) (</w:t>
      </w:r>
      <w:r w:rsidR="00F10EA5" w:rsidRPr="00556B9B">
        <w:rPr>
          <w:lang w:val="hu-HU"/>
        </w:rPr>
        <w:t>8</w:t>
      </w:r>
      <w:r w:rsidRPr="00556B9B">
        <w:rPr>
          <w:lang w:val="hu-HU"/>
        </w:rPr>
        <w:t>. táblázat, 1. ábra).</w:t>
      </w:r>
    </w:p>
    <w:p w14:paraId="19BFA704" w14:textId="77777777" w:rsidR="00153AD1" w:rsidRPr="00556B9B" w:rsidRDefault="00153AD1" w:rsidP="00153AD1">
      <w:pPr>
        <w:rPr>
          <w:rFonts w:eastAsia="MS Mincho"/>
          <w:iCs/>
          <w:color w:val="000000"/>
          <w:szCs w:val="22"/>
          <w:lang w:val="hu-HU"/>
        </w:rPr>
      </w:pPr>
    </w:p>
    <w:p w14:paraId="6876F95A" w14:textId="77777777" w:rsidR="00153AD1" w:rsidRPr="00556B9B" w:rsidRDefault="00153AD1" w:rsidP="00153AD1">
      <w:pPr>
        <w:rPr>
          <w:color w:val="000000"/>
          <w:lang w:val="hu-HU"/>
        </w:rPr>
      </w:pPr>
      <w:r w:rsidRPr="00556B9B">
        <w:rPr>
          <w:color w:val="000000"/>
          <w:lang w:val="hu-HU"/>
        </w:rPr>
        <w:t>Emellett a 36 hónapos Glivec</w:t>
      </w:r>
      <w:r w:rsidRPr="00556B9B">
        <w:rPr>
          <w:color w:val="000000"/>
          <w:lang w:val="hu-HU"/>
        </w:rPr>
        <w:noBreakHyphen/>
        <w:t>kezelés a 12 hónapos Glivec</w:t>
      </w:r>
      <w:r w:rsidRPr="00556B9B">
        <w:rPr>
          <w:color w:val="000000"/>
          <w:lang w:val="hu-HU"/>
        </w:rPr>
        <w:noBreakHyphen/>
        <w:t>kezeléshez képest szignifikánsan meghosszabbította a teljes túlélést (OS) (HR = 0,45 [0,22, 0,89], p = 0,0187) (</w:t>
      </w:r>
      <w:r w:rsidR="00F10EA5" w:rsidRPr="00556B9B">
        <w:rPr>
          <w:color w:val="000000"/>
          <w:lang w:val="hu-HU"/>
        </w:rPr>
        <w:t>8</w:t>
      </w:r>
      <w:r w:rsidRPr="00556B9B">
        <w:rPr>
          <w:color w:val="000000"/>
          <w:lang w:val="hu-HU"/>
        </w:rPr>
        <w:t>. táblázat, 2. ábra).</w:t>
      </w:r>
    </w:p>
    <w:p w14:paraId="3748D4AD" w14:textId="77777777" w:rsidR="00153AD1" w:rsidRPr="00556B9B" w:rsidRDefault="00153AD1" w:rsidP="00153AD1">
      <w:pPr>
        <w:rPr>
          <w:color w:val="000000"/>
          <w:lang w:val="hu-HU"/>
        </w:rPr>
      </w:pPr>
    </w:p>
    <w:p w14:paraId="0013C8AB" w14:textId="77777777" w:rsidR="00153AD1" w:rsidRPr="00556B9B" w:rsidRDefault="00153AD1" w:rsidP="00153AD1">
      <w:pPr>
        <w:rPr>
          <w:color w:val="000000"/>
          <w:lang w:val="hu-HU"/>
        </w:rPr>
      </w:pPr>
      <w:r w:rsidRPr="00556B9B">
        <w:rPr>
          <w:color w:val="000000"/>
          <w:lang w:val="hu-HU"/>
        </w:rPr>
        <w:t>Hosszabb kezelési időtartam (</w:t>
      </w:r>
      <w:r w:rsidRPr="00556B9B">
        <w:rPr>
          <w:rFonts w:eastAsia="MS Mincho"/>
          <w:szCs w:val="22"/>
          <w:lang w:val="hu-HU" w:eastAsia="ja-JP"/>
        </w:rPr>
        <w:t>&gt; 36 hónap) késleltetheti a további kiújulásokat, bár ennek a teljes túlélésre kifejtett hatása nem ismert.</w:t>
      </w:r>
    </w:p>
    <w:p w14:paraId="1205F71B" w14:textId="77777777" w:rsidR="00153AD1" w:rsidRPr="00556B9B" w:rsidRDefault="00153AD1" w:rsidP="00153AD1">
      <w:pPr>
        <w:rPr>
          <w:color w:val="000000"/>
          <w:lang w:val="hu-HU"/>
        </w:rPr>
      </w:pPr>
    </w:p>
    <w:p w14:paraId="09E57605" w14:textId="77777777" w:rsidR="00153AD1" w:rsidRPr="00556B9B" w:rsidRDefault="00153AD1" w:rsidP="00153AD1">
      <w:pPr>
        <w:rPr>
          <w:color w:val="000000"/>
          <w:lang w:val="hu-HU"/>
        </w:rPr>
      </w:pPr>
      <w:r w:rsidRPr="00556B9B">
        <w:rPr>
          <w:color w:val="000000"/>
          <w:lang w:val="hu-HU"/>
        </w:rPr>
        <w:t>Az összes halálesetek száma 25 volt a 12 hónapos terápiás karon és 12 volt a 36 hónapos terápiás karon.</w:t>
      </w:r>
    </w:p>
    <w:p w14:paraId="42ED4938" w14:textId="77777777" w:rsidR="00153AD1" w:rsidRPr="00556B9B" w:rsidRDefault="00153AD1" w:rsidP="00153AD1">
      <w:pPr>
        <w:rPr>
          <w:color w:val="000000"/>
          <w:lang w:val="hu-HU"/>
        </w:rPr>
      </w:pPr>
    </w:p>
    <w:p w14:paraId="241EC1DB" w14:textId="77777777" w:rsidR="00153AD1" w:rsidRPr="00556B9B" w:rsidRDefault="00153AD1" w:rsidP="00153AD1">
      <w:pPr>
        <w:rPr>
          <w:rFonts w:eastAsia="MS Mincho"/>
          <w:iCs/>
          <w:color w:val="000000"/>
          <w:szCs w:val="22"/>
          <w:lang w:val="hu-HU"/>
        </w:rPr>
      </w:pPr>
      <w:r w:rsidRPr="00556B9B">
        <w:rPr>
          <w:rFonts w:eastAsia="MS Mincho"/>
          <w:iCs/>
          <w:color w:val="000000"/>
          <w:szCs w:val="22"/>
          <w:lang w:val="hu-HU"/>
        </w:rPr>
        <w:lastRenderedPageBreak/>
        <w:t>A 36 hónapos imatinib</w:t>
      </w:r>
      <w:r w:rsidRPr="00556B9B">
        <w:rPr>
          <w:rFonts w:eastAsia="MS Mincho"/>
          <w:iCs/>
          <w:color w:val="000000"/>
          <w:szCs w:val="22"/>
          <w:lang w:val="hu-HU"/>
        </w:rPr>
        <w:noBreakHyphen/>
        <w:t>kezelés jobb volt a 12 hónaposnál az ITT analízisben, azaz a teljes vizsgálati populációt tekintve. Egy tervezett mutáció</w:t>
      </w:r>
      <w:r w:rsidRPr="00556B9B">
        <w:rPr>
          <w:rFonts w:eastAsia="MS Mincho"/>
          <w:iCs/>
          <w:color w:val="000000"/>
          <w:szCs w:val="22"/>
          <w:lang w:val="hu-HU"/>
        </w:rPr>
        <w:noBreakHyphen/>
        <w:t>típus szerinti alcsoport</w:t>
      </w:r>
      <w:r w:rsidRPr="00556B9B">
        <w:rPr>
          <w:rFonts w:eastAsia="MS Mincho"/>
          <w:iCs/>
          <w:color w:val="000000"/>
          <w:szCs w:val="22"/>
          <w:lang w:val="hu-HU"/>
        </w:rPr>
        <w:noBreakHyphen/>
        <w:t xml:space="preserve">analízisben az olyan betegek 36 hónapos kezelésre vonatkozó </w:t>
      </w:r>
      <w:r w:rsidRPr="00556B9B">
        <w:rPr>
          <w:lang w:val="hu-HU"/>
        </w:rPr>
        <w:t>kiújulás</w:t>
      </w:r>
      <w:r w:rsidRPr="00556B9B">
        <w:rPr>
          <w:lang w:val="hu-HU"/>
        </w:rPr>
        <w:noBreakHyphen/>
        <w:t>mentes túlélés relatív hazárdja, akiknél a 11-es exon mutálódott, 0,35 volt</w:t>
      </w:r>
      <w:r w:rsidRPr="00556B9B">
        <w:rPr>
          <w:rFonts w:eastAsia="MS Mincho"/>
          <w:iCs/>
          <w:szCs w:val="22"/>
          <w:lang w:val="hu-HU" w:eastAsia="ja-JP"/>
        </w:rPr>
        <w:t xml:space="preserve"> [95% CI: 0,22, 0,56]</w:t>
      </w:r>
      <w:r w:rsidRPr="00556B9B">
        <w:rPr>
          <w:lang w:val="hu-HU"/>
        </w:rPr>
        <w:t>. Az alacsony észlelt esetszám miatt más, kevésbé általános mutáció alcsoportokra nem lehet következtetéseket levonni.</w:t>
      </w:r>
    </w:p>
    <w:p w14:paraId="4AFFAE06" w14:textId="77777777" w:rsidR="00153AD1" w:rsidRPr="00556B9B" w:rsidRDefault="00153AD1" w:rsidP="00153AD1">
      <w:pPr>
        <w:rPr>
          <w:rFonts w:eastAsia="MS Mincho"/>
          <w:iCs/>
          <w:szCs w:val="22"/>
          <w:lang w:val="hu-HU"/>
        </w:rPr>
      </w:pPr>
    </w:p>
    <w:p w14:paraId="4DC3F040" w14:textId="77777777" w:rsidR="00153AD1" w:rsidRPr="00556B9B" w:rsidRDefault="00F10EA5" w:rsidP="00F926B9">
      <w:pPr>
        <w:keepNext/>
        <w:ind w:left="1134" w:hanging="1134"/>
        <w:rPr>
          <w:rFonts w:eastAsia="MS Mincho"/>
          <w:b/>
          <w:szCs w:val="22"/>
          <w:lang w:val="hu-HU"/>
        </w:rPr>
      </w:pPr>
      <w:r w:rsidRPr="00556B9B">
        <w:rPr>
          <w:b/>
          <w:lang w:val="hu-HU"/>
        </w:rPr>
        <w:t>8</w:t>
      </w:r>
      <w:r w:rsidR="00153AD1" w:rsidRPr="00556B9B">
        <w:rPr>
          <w:b/>
          <w:lang w:val="hu-HU"/>
        </w:rPr>
        <w:t>. táblázat</w:t>
      </w:r>
      <w:r w:rsidR="00153AD1" w:rsidRPr="00556B9B">
        <w:rPr>
          <w:lang w:val="hu-HU"/>
        </w:rPr>
        <w:tab/>
      </w:r>
      <w:r w:rsidR="00153AD1" w:rsidRPr="00556B9B">
        <w:rPr>
          <w:b/>
          <w:lang w:val="hu-HU"/>
        </w:rPr>
        <w:t>12 hónapos és 36 hónapos Glivec</w:t>
      </w:r>
      <w:r w:rsidR="00153AD1" w:rsidRPr="00556B9B">
        <w:rPr>
          <w:b/>
          <w:lang w:val="hu-HU"/>
        </w:rPr>
        <w:noBreakHyphen/>
        <w:t>kezelés (SSGXVIII/AIO</w:t>
      </w:r>
      <w:r w:rsidR="00153AD1" w:rsidRPr="00556B9B">
        <w:rPr>
          <w:b/>
          <w:lang w:val="hu-HU"/>
        </w:rPr>
        <w:noBreakHyphen/>
        <w:t>vizsgálat)</w:t>
      </w:r>
    </w:p>
    <w:p w14:paraId="70E49972" w14:textId="77777777" w:rsidR="00153AD1" w:rsidRPr="00556B9B" w:rsidRDefault="00153AD1" w:rsidP="00F926B9">
      <w:pPr>
        <w:keepNext/>
        <w:rPr>
          <w:rFonts w:eastAsia="MS Mincho"/>
          <w:szCs w:val="22"/>
          <w:lang w:val="hu-HU"/>
        </w:rPr>
      </w:pPr>
    </w:p>
    <w:tbl>
      <w:tblPr>
        <w:tblW w:w="9299" w:type="dxa"/>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153AD1" w:rsidRPr="00556B9B" w14:paraId="7A1643FC" w14:textId="77777777" w:rsidTr="00F926B9">
        <w:trPr>
          <w:cantSplit/>
        </w:trPr>
        <w:tc>
          <w:tcPr>
            <w:tcW w:w="3099" w:type="dxa"/>
            <w:tcBorders>
              <w:top w:val="single" w:sz="4" w:space="0" w:color="auto"/>
              <w:bottom w:val="nil"/>
            </w:tcBorders>
            <w:shd w:val="clear" w:color="auto" w:fill="auto"/>
          </w:tcPr>
          <w:p w14:paraId="0CDF8E39" w14:textId="77777777" w:rsidR="00153AD1" w:rsidRPr="00556B9B" w:rsidRDefault="00153AD1" w:rsidP="00F926B9">
            <w:pPr>
              <w:keepNext/>
              <w:tabs>
                <w:tab w:val="left" w:pos="284"/>
              </w:tabs>
              <w:rPr>
                <w:rFonts w:eastAsia="MS Mincho"/>
                <w:szCs w:val="22"/>
                <w:lang w:val="hu-HU"/>
              </w:rPr>
            </w:pPr>
          </w:p>
        </w:tc>
        <w:tc>
          <w:tcPr>
            <w:tcW w:w="3100" w:type="dxa"/>
            <w:tcBorders>
              <w:top w:val="single" w:sz="4" w:space="0" w:color="auto"/>
              <w:bottom w:val="nil"/>
            </w:tcBorders>
            <w:shd w:val="clear" w:color="auto" w:fill="auto"/>
          </w:tcPr>
          <w:p w14:paraId="775FD215" w14:textId="77777777" w:rsidR="00153AD1" w:rsidRPr="00556B9B" w:rsidRDefault="00153AD1" w:rsidP="00F926B9">
            <w:pPr>
              <w:keepNext/>
              <w:tabs>
                <w:tab w:val="left" w:pos="284"/>
              </w:tabs>
              <w:rPr>
                <w:rFonts w:eastAsia="MS Mincho"/>
                <w:b/>
                <w:szCs w:val="22"/>
              </w:rPr>
            </w:pPr>
            <w:r w:rsidRPr="00556B9B">
              <w:rPr>
                <w:b/>
              </w:rPr>
              <w:t>12 hónapos terápiás kar</w:t>
            </w:r>
          </w:p>
        </w:tc>
        <w:tc>
          <w:tcPr>
            <w:tcW w:w="3100" w:type="dxa"/>
            <w:tcBorders>
              <w:top w:val="single" w:sz="4" w:space="0" w:color="auto"/>
              <w:bottom w:val="nil"/>
            </w:tcBorders>
            <w:shd w:val="clear" w:color="auto" w:fill="auto"/>
          </w:tcPr>
          <w:p w14:paraId="320B645E" w14:textId="77777777" w:rsidR="00153AD1" w:rsidRPr="00556B9B" w:rsidRDefault="00153AD1" w:rsidP="00F926B9">
            <w:pPr>
              <w:keepNext/>
              <w:tabs>
                <w:tab w:val="left" w:pos="284"/>
              </w:tabs>
              <w:rPr>
                <w:rFonts w:eastAsia="MS Mincho"/>
                <w:b/>
                <w:szCs w:val="22"/>
              </w:rPr>
            </w:pPr>
            <w:r w:rsidRPr="00556B9B">
              <w:rPr>
                <w:b/>
              </w:rPr>
              <w:t>36 hónapos terápiás kar</w:t>
            </w:r>
          </w:p>
        </w:tc>
      </w:tr>
      <w:tr w:rsidR="00153AD1" w:rsidRPr="00556B9B" w14:paraId="54896F07" w14:textId="77777777" w:rsidTr="00F926B9">
        <w:trPr>
          <w:cantSplit/>
        </w:trPr>
        <w:tc>
          <w:tcPr>
            <w:tcW w:w="3099" w:type="dxa"/>
            <w:tcBorders>
              <w:top w:val="nil"/>
            </w:tcBorders>
            <w:shd w:val="clear" w:color="auto" w:fill="auto"/>
          </w:tcPr>
          <w:p w14:paraId="433B1295" w14:textId="77777777" w:rsidR="00153AD1" w:rsidRPr="00556B9B" w:rsidRDefault="00153AD1" w:rsidP="00F926B9">
            <w:pPr>
              <w:keepNext/>
              <w:tabs>
                <w:tab w:val="left" w:pos="284"/>
              </w:tabs>
              <w:rPr>
                <w:rFonts w:eastAsia="MS Mincho"/>
                <w:b/>
                <w:szCs w:val="22"/>
              </w:rPr>
            </w:pPr>
            <w:r w:rsidRPr="00556B9B">
              <w:rPr>
                <w:b/>
              </w:rPr>
              <w:t>RFS</w:t>
            </w:r>
          </w:p>
        </w:tc>
        <w:tc>
          <w:tcPr>
            <w:tcW w:w="3100" w:type="dxa"/>
            <w:tcBorders>
              <w:top w:val="nil"/>
            </w:tcBorders>
            <w:shd w:val="clear" w:color="auto" w:fill="auto"/>
          </w:tcPr>
          <w:p w14:paraId="4C44B7AB" w14:textId="77777777" w:rsidR="00153AD1" w:rsidRPr="00556B9B" w:rsidRDefault="00153AD1" w:rsidP="00F926B9">
            <w:pPr>
              <w:keepNext/>
              <w:tabs>
                <w:tab w:val="left" w:pos="284"/>
              </w:tabs>
              <w:rPr>
                <w:rFonts w:eastAsia="MS Mincho"/>
                <w:b/>
                <w:szCs w:val="22"/>
              </w:rPr>
            </w:pPr>
            <w:r w:rsidRPr="00556B9B">
              <w:rPr>
                <w:b/>
              </w:rPr>
              <w:t>%(CI)</w:t>
            </w:r>
          </w:p>
        </w:tc>
        <w:tc>
          <w:tcPr>
            <w:tcW w:w="3100" w:type="dxa"/>
            <w:tcBorders>
              <w:top w:val="nil"/>
            </w:tcBorders>
            <w:shd w:val="clear" w:color="auto" w:fill="auto"/>
          </w:tcPr>
          <w:p w14:paraId="0346F749" w14:textId="77777777" w:rsidR="00153AD1" w:rsidRPr="00556B9B" w:rsidRDefault="00153AD1" w:rsidP="00F926B9">
            <w:pPr>
              <w:keepNext/>
              <w:tabs>
                <w:tab w:val="left" w:pos="284"/>
              </w:tabs>
              <w:rPr>
                <w:rFonts w:eastAsia="MS Mincho"/>
                <w:b/>
                <w:szCs w:val="22"/>
              </w:rPr>
            </w:pPr>
            <w:r w:rsidRPr="00556B9B">
              <w:rPr>
                <w:b/>
              </w:rPr>
              <w:t>%(CI)</w:t>
            </w:r>
          </w:p>
        </w:tc>
      </w:tr>
      <w:tr w:rsidR="00153AD1" w:rsidRPr="00556B9B" w14:paraId="79F87B47" w14:textId="77777777" w:rsidTr="00F926B9">
        <w:trPr>
          <w:cantSplit/>
        </w:trPr>
        <w:tc>
          <w:tcPr>
            <w:tcW w:w="3099" w:type="dxa"/>
            <w:shd w:val="clear" w:color="auto" w:fill="auto"/>
          </w:tcPr>
          <w:p w14:paraId="377552A3" w14:textId="77777777" w:rsidR="00153AD1" w:rsidRPr="00556B9B" w:rsidRDefault="00153AD1" w:rsidP="00F926B9">
            <w:pPr>
              <w:keepNext/>
              <w:ind w:left="284"/>
              <w:rPr>
                <w:rFonts w:eastAsia="MS Mincho"/>
                <w:szCs w:val="22"/>
              </w:rPr>
            </w:pPr>
            <w:r w:rsidRPr="00556B9B">
              <w:t>12 hónap</w:t>
            </w:r>
          </w:p>
        </w:tc>
        <w:tc>
          <w:tcPr>
            <w:tcW w:w="3100" w:type="dxa"/>
            <w:shd w:val="clear" w:color="auto" w:fill="auto"/>
          </w:tcPr>
          <w:p w14:paraId="2AF001B2" w14:textId="77777777" w:rsidR="00153AD1" w:rsidRPr="00556B9B" w:rsidRDefault="00153AD1" w:rsidP="00F926B9">
            <w:pPr>
              <w:keepNext/>
              <w:tabs>
                <w:tab w:val="left" w:pos="284"/>
              </w:tabs>
              <w:rPr>
                <w:rFonts w:eastAsia="MS Mincho"/>
                <w:szCs w:val="22"/>
              </w:rPr>
            </w:pPr>
            <w:r w:rsidRPr="00556B9B">
              <w:t>93,7 (89,2</w:t>
            </w:r>
            <w:r w:rsidRPr="00556B9B">
              <w:noBreakHyphen/>
              <w:t>96,4)</w:t>
            </w:r>
          </w:p>
        </w:tc>
        <w:tc>
          <w:tcPr>
            <w:tcW w:w="3100" w:type="dxa"/>
            <w:shd w:val="clear" w:color="auto" w:fill="auto"/>
          </w:tcPr>
          <w:p w14:paraId="547DD245" w14:textId="77777777" w:rsidR="00153AD1" w:rsidRPr="00556B9B" w:rsidRDefault="00153AD1" w:rsidP="00F926B9">
            <w:pPr>
              <w:keepNext/>
              <w:tabs>
                <w:tab w:val="left" w:pos="284"/>
              </w:tabs>
              <w:rPr>
                <w:rFonts w:eastAsia="MS Mincho"/>
                <w:szCs w:val="22"/>
              </w:rPr>
            </w:pPr>
            <w:r w:rsidRPr="00556B9B">
              <w:t>95,9 (91,9</w:t>
            </w:r>
            <w:r w:rsidRPr="00556B9B">
              <w:noBreakHyphen/>
              <w:t>97,9)</w:t>
            </w:r>
          </w:p>
        </w:tc>
      </w:tr>
      <w:tr w:rsidR="00153AD1" w:rsidRPr="00556B9B" w14:paraId="4E0E9CFD" w14:textId="77777777" w:rsidTr="00F926B9">
        <w:trPr>
          <w:cantSplit/>
        </w:trPr>
        <w:tc>
          <w:tcPr>
            <w:tcW w:w="3099" w:type="dxa"/>
            <w:shd w:val="clear" w:color="auto" w:fill="auto"/>
          </w:tcPr>
          <w:p w14:paraId="4C9E474E" w14:textId="77777777" w:rsidR="00153AD1" w:rsidRPr="00556B9B" w:rsidRDefault="00153AD1" w:rsidP="00F926B9">
            <w:pPr>
              <w:keepNext/>
              <w:ind w:left="284"/>
              <w:rPr>
                <w:rFonts w:eastAsia="MS Mincho"/>
                <w:szCs w:val="22"/>
              </w:rPr>
            </w:pPr>
            <w:r w:rsidRPr="00556B9B">
              <w:t>24 hónap</w:t>
            </w:r>
          </w:p>
        </w:tc>
        <w:tc>
          <w:tcPr>
            <w:tcW w:w="3100" w:type="dxa"/>
            <w:shd w:val="clear" w:color="auto" w:fill="auto"/>
          </w:tcPr>
          <w:p w14:paraId="6F22668E" w14:textId="77777777" w:rsidR="00153AD1" w:rsidRPr="00556B9B" w:rsidRDefault="00153AD1" w:rsidP="00F926B9">
            <w:pPr>
              <w:keepNext/>
              <w:tabs>
                <w:tab w:val="left" w:pos="284"/>
              </w:tabs>
              <w:rPr>
                <w:rFonts w:eastAsia="MS Mincho"/>
                <w:szCs w:val="22"/>
              </w:rPr>
            </w:pPr>
            <w:r w:rsidRPr="00556B9B">
              <w:t>75,4 (68,6</w:t>
            </w:r>
            <w:r w:rsidRPr="00556B9B">
              <w:noBreakHyphen/>
              <w:t>81,0)</w:t>
            </w:r>
          </w:p>
        </w:tc>
        <w:tc>
          <w:tcPr>
            <w:tcW w:w="3100" w:type="dxa"/>
            <w:shd w:val="clear" w:color="auto" w:fill="auto"/>
          </w:tcPr>
          <w:p w14:paraId="15C55305" w14:textId="77777777" w:rsidR="00153AD1" w:rsidRPr="00556B9B" w:rsidRDefault="00153AD1" w:rsidP="00F926B9">
            <w:pPr>
              <w:keepNext/>
              <w:tabs>
                <w:tab w:val="left" w:pos="284"/>
              </w:tabs>
              <w:rPr>
                <w:rFonts w:eastAsia="MS Mincho"/>
                <w:szCs w:val="22"/>
              </w:rPr>
            </w:pPr>
            <w:r w:rsidRPr="00556B9B">
              <w:t>90,7 (85,6</w:t>
            </w:r>
            <w:r w:rsidRPr="00556B9B">
              <w:noBreakHyphen/>
              <w:t>94,0)</w:t>
            </w:r>
          </w:p>
        </w:tc>
      </w:tr>
      <w:tr w:rsidR="00153AD1" w:rsidRPr="00556B9B" w14:paraId="1FD2BC37" w14:textId="77777777" w:rsidTr="00F926B9">
        <w:trPr>
          <w:cantSplit/>
        </w:trPr>
        <w:tc>
          <w:tcPr>
            <w:tcW w:w="3099" w:type="dxa"/>
            <w:shd w:val="clear" w:color="auto" w:fill="auto"/>
          </w:tcPr>
          <w:p w14:paraId="21A97C44" w14:textId="77777777" w:rsidR="00153AD1" w:rsidRPr="00556B9B" w:rsidRDefault="00153AD1" w:rsidP="00F926B9">
            <w:pPr>
              <w:keepNext/>
              <w:ind w:left="284"/>
              <w:rPr>
                <w:rFonts w:eastAsia="MS Mincho"/>
                <w:szCs w:val="22"/>
              </w:rPr>
            </w:pPr>
            <w:r w:rsidRPr="00556B9B">
              <w:t>36 hónap</w:t>
            </w:r>
          </w:p>
        </w:tc>
        <w:tc>
          <w:tcPr>
            <w:tcW w:w="3100" w:type="dxa"/>
            <w:shd w:val="clear" w:color="auto" w:fill="auto"/>
          </w:tcPr>
          <w:p w14:paraId="7E10F4D2" w14:textId="77777777" w:rsidR="00153AD1" w:rsidRPr="00556B9B" w:rsidRDefault="00153AD1" w:rsidP="00F926B9">
            <w:pPr>
              <w:keepNext/>
              <w:tabs>
                <w:tab w:val="left" w:pos="284"/>
              </w:tabs>
              <w:rPr>
                <w:rFonts w:eastAsia="MS Mincho"/>
                <w:szCs w:val="22"/>
              </w:rPr>
            </w:pPr>
            <w:r w:rsidRPr="00556B9B">
              <w:t>60,1 (52,5</w:t>
            </w:r>
            <w:r w:rsidRPr="00556B9B">
              <w:noBreakHyphen/>
              <w:t>66,9)</w:t>
            </w:r>
          </w:p>
        </w:tc>
        <w:tc>
          <w:tcPr>
            <w:tcW w:w="3100" w:type="dxa"/>
            <w:shd w:val="clear" w:color="auto" w:fill="auto"/>
          </w:tcPr>
          <w:p w14:paraId="6B8D1E5D" w14:textId="77777777" w:rsidR="00153AD1" w:rsidRPr="00556B9B" w:rsidRDefault="00153AD1" w:rsidP="00F926B9">
            <w:pPr>
              <w:keepNext/>
              <w:tabs>
                <w:tab w:val="left" w:pos="284"/>
              </w:tabs>
              <w:rPr>
                <w:rFonts w:eastAsia="MS Mincho"/>
                <w:szCs w:val="22"/>
              </w:rPr>
            </w:pPr>
            <w:r w:rsidRPr="00556B9B">
              <w:t>86,6 (80,8</w:t>
            </w:r>
            <w:r w:rsidRPr="00556B9B">
              <w:noBreakHyphen/>
              <w:t>90,8)</w:t>
            </w:r>
          </w:p>
        </w:tc>
      </w:tr>
      <w:tr w:rsidR="00153AD1" w:rsidRPr="00556B9B" w14:paraId="00DE7643" w14:textId="77777777" w:rsidTr="00F926B9">
        <w:trPr>
          <w:cantSplit/>
        </w:trPr>
        <w:tc>
          <w:tcPr>
            <w:tcW w:w="3099" w:type="dxa"/>
            <w:shd w:val="clear" w:color="auto" w:fill="auto"/>
          </w:tcPr>
          <w:p w14:paraId="728B4924" w14:textId="77777777" w:rsidR="00153AD1" w:rsidRPr="00556B9B" w:rsidRDefault="00153AD1" w:rsidP="00F926B9">
            <w:pPr>
              <w:keepNext/>
              <w:ind w:left="284"/>
              <w:rPr>
                <w:rFonts w:eastAsia="MS Mincho"/>
                <w:szCs w:val="22"/>
              </w:rPr>
            </w:pPr>
            <w:r w:rsidRPr="00556B9B">
              <w:t>48 hónap</w:t>
            </w:r>
          </w:p>
        </w:tc>
        <w:tc>
          <w:tcPr>
            <w:tcW w:w="3100" w:type="dxa"/>
            <w:shd w:val="clear" w:color="auto" w:fill="auto"/>
          </w:tcPr>
          <w:p w14:paraId="6481EF00" w14:textId="77777777" w:rsidR="00153AD1" w:rsidRPr="00556B9B" w:rsidRDefault="00153AD1" w:rsidP="00F926B9">
            <w:pPr>
              <w:keepNext/>
              <w:tabs>
                <w:tab w:val="left" w:pos="284"/>
              </w:tabs>
              <w:rPr>
                <w:rFonts w:eastAsia="MS Mincho"/>
                <w:szCs w:val="22"/>
              </w:rPr>
            </w:pPr>
            <w:r w:rsidRPr="00556B9B">
              <w:t>52,3 (44,0</w:t>
            </w:r>
            <w:r w:rsidRPr="00556B9B">
              <w:noBreakHyphen/>
              <w:t>59,8)</w:t>
            </w:r>
          </w:p>
        </w:tc>
        <w:tc>
          <w:tcPr>
            <w:tcW w:w="3100" w:type="dxa"/>
            <w:shd w:val="clear" w:color="auto" w:fill="auto"/>
          </w:tcPr>
          <w:p w14:paraId="67BAB5D4" w14:textId="77777777" w:rsidR="00153AD1" w:rsidRPr="00556B9B" w:rsidRDefault="00153AD1" w:rsidP="00F926B9">
            <w:pPr>
              <w:keepNext/>
              <w:tabs>
                <w:tab w:val="left" w:pos="284"/>
              </w:tabs>
              <w:rPr>
                <w:rFonts w:eastAsia="MS Mincho"/>
                <w:szCs w:val="22"/>
              </w:rPr>
            </w:pPr>
            <w:r w:rsidRPr="00556B9B">
              <w:t>78,3 (70,8</w:t>
            </w:r>
            <w:r w:rsidRPr="00556B9B">
              <w:noBreakHyphen/>
              <w:t>84,1)</w:t>
            </w:r>
          </w:p>
        </w:tc>
      </w:tr>
      <w:tr w:rsidR="00153AD1" w:rsidRPr="00556B9B" w14:paraId="7EE7E4E7" w14:textId="77777777" w:rsidTr="00F926B9">
        <w:trPr>
          <w:cantSplit/>
        </w:trPr>
        <w:tc>
          <w:tcPr>
            <w:tcW w:w="3099" w:type="dxa"/>
            <w:shd w:val="clear" w:color="auto" w:fill="auto"/>
          </w:tcPr>
          <w:p w14:paraId="716B9F8F" w14:textId="77777777" w:rsidR="00153AD1" w:rsidRPr="00556B9B" w:rsidRDefault="00153AD1" w:rsidP="00F926B9">
            <w:pPr>
              <w:keepNext/>
              <w:ind w:left="284"/>
              <w:rPr>
                <w:rFonts w:eastAsia="MS Mincho"/>
                <w:szCs w:val="22"/>
              </w:rPr>
            </w:pPr>
            <w:r w:rsidRPr="00556B9B">
              <w:t>60 hónap</w:t>
            </w:r>
          </w:p>
        </w:tc>
        <w:tc>
          <w:tcPr>
            <w:tcW w:w="3100" w:type="dxa"/>
            <w:shd w:val="clear" w:color="auto" w:fill="auto"/>
          </w:tcPr>
          <w:p w14:paraId="48D52C22" w14:textId="77777777" w:rsidR="00153AD1" w:rsidRPr="00556B9B" w:rsidRDefault="00153AD1" w:rsidP="00F926B9">
            <w:pPr>
              <w:keepNext/>
              <w:tabs>
                <w:tab w:val="left" w:pos="284"/>
              </w:tabs>
              <w:rPr>
                <w:rFonts w:eastAsia="MS Mincho"/>
                <w:szCs w:val="22"/>
              </w:rPr>
            </w:pPr>
            <w:r w:rsidRPr="00556B9B">
              <w:t>47,9 (39,0</w:t>
            </w:r>
            <w:r w:rsidRPr="00556B9B">
              <w:noBreakHyphen/>
              <w:t>56,3)</w:t>
            </w:r>
          </w:p>
        </w:tc>
        <w:tc>
          <w:tcPr>
            <w:tcW w:w="3100" w:type="dxa"/>
            <w:shd w:val="clear" w:color="auto" w:fill="auto"/>
          </w:tcPr>
          <w:p w14:paraId="350AEB0B" w14:textId="77777777" w:rsidR="00153AD1" w:rsidRPr="00556B9B" w:rsidRDefault="00153AD1" w:rsidP="00F926B9">
            <w:pPr>
              <w:keepNext/>
              <w:tabs>
                <w:tab w:val="left" w:pos="284"/>
              </w:tabs>
              <w:rPr>
                <w:rFonts w:eastAsia="MS Mincho"/>
                <w:szCs w:val="22"/>
              </w:rPr>
            </w:pPr>
            <w:r w:rsidRPr="00556B9B">
              <w:t>65,6 (56,1</w:t>
            </w:r>
            <w:r w:rsidRPr="00556B9B">
              <w:noBreakHyphen/>
              <w:t>73,4)</w:t>
            </w:r>
          </w:p>
        </w:tc>
      </w:tr>
      <w:tr w:rsidR="00153AD1" w:rsidRPr="00556B9B" w14:paraId="6333E456" w14:textId="77777777" w:rsidTr="00F926B9">
        <w:trPr>
          <w:cantSplit/>
        </w:trPr>
        <w:tc>
          <w:tcPr>
            <w:tcW w:w="3099" w:type="dxa"/>
            <w:shd w:val="clear" w:color="auto" w:fill="auto"/>
          </w:tcPr>
          <w:p w14:paraId="21455EF1" w14:textId="77777777" w:rsidR="00153AD1" w:rsidRPr="00556B9B" w:rsidRDefault="00153AD1" w:rsidP="00F926B9">
            <w:pPr>
              <w:keepNext/>
              <w:tabs>
                <w:tab w:val="left" w:pos="284"/>
              </w:tabs>
              <w:rPr>
                <w:rFonts w:eastAsia="MS Mincho"/>
                <w:b/>
                <w:szCs w:val="22"/>
              </w:rPr>
            </w:pPr>
            <w:r w:rsidRPr="00556B9B">
              <w:rPr>
                <w:b/>
              </w:rPr>
              <w:t>Túlélés</w:t>
            </w:r>
          </w:p>
        </w:tc>
        <w:tc>
          <w:tcPr>
            <w:tcW w:w="3100" w:type="dxa"/>
            <w:shd w:val="clear" w:color="auto" w:fill="auto"/>
          </w:tcPr>
          <w:p w14:paraId="7D58021D" w14:textId="77777777" w:rsidR="00153AD1" w:rsidRPr="00556B9B" w:rsidRDefault="00153AD1" w:rsidP="00F926B9">
            <w:pPr>
              <w:keepNext/>
              <w:tabs>
                <w:tab w:val="left" w:pos="284"/>
              </w:tabs>
              <w:rPr>
                <w:rFonts w:eastAsia="MS Mincho"/>
                <w:szCs w:val="22"/>
              </w:rPr>
            </w:pPr>
          </w:p>
        </w:tc>
        <w:tc>
          <w:tcPr>
            <w:tcW w:w="3100" w:type="dxa"/>
            <w:shd w:val="clear" w:color="auto" w:fill="auto"/>
          </w:tcPr>
          <w:p w14:paraId="34560613" w14:textId="77777777" w:rsidR="00153AD1" w:rsidRPr="00556B9B" w:rsidRDefault="00153AD1" w:rsidP="00F926B9">
            <w:pPr>
              <w:keepNext/>
              <w:tabs>
                <w:tab w:val="left" w:pos="284"/>
              </w:tabs>
              <w:rPr>
                <w:rFonts w:eastAsia="MS Mincho"/>
                <w:szCs w:val="22"/>
              </w:rPr>
            </w:pPr>
          </w:p>
        </w:tc>
      </w:tr>
      <w:tr w:rsidR="00153AD1" w:rsidRPr="00556B9B" w14:paraId="02039D88" w14:textId="77777777" w:rsidTr="00F926B9">
        <w:trPr>
          <w:cantSplit/>
        </w:trPr>
        <w:tc>
          <w:tcPr>
            <w:tcW w:w="3099" w:type="dxa"/>
            <w:shd w:val="clear" w:color="auto" w:fill="auto"/>
          </w:tcPr>
          <w:p w14:paraId="58CBA47D" w14:textId="77777777" w:rsidR="00153AD1" w:rsidRPr="00556B9B" w:rsidRDefault="00153AD1" w:rsidP="00F926B9">
            <w:pPr>
              <w:keepNext/>
              <w:ind w:left="284"/>
              <w:rPr>
                <w:rFonts w:eastAsia="MS Mincho"/>
                <w:szCs w:val="22"/>
              </w:rPr>
            </w:pPr>
            <w:r w:rsidRPr="00556B9B">
              <w:t>36 hónap</w:t>
            </w:r>
          </w:p>
        </w:tc>
        <w:tc>
          <w:tcPr>
            <w:tcW w:w="3100" w:type="dxa"/>
            <w:shd w:val="clear" w:color="auto" w:fill="auto"/>
          </w:tcPr>
          <w:p w14:paraId="177222CF" w14:textId="77777777" w:rsidR="00153AD1" w:rsidRPr="00556B9B" w:rsidRDefault="00153AD1" w:rsidP="00F926B9">
            <w:pPr>
              <w:keepNext/>
              <w:tabs>
                <w:tab w:val="left" w:pos="284"/>
              </w:tabs>
              <w:rPr>
                <w:rFonts w:eastAsia="MS Mincho"/>
                <w:szCs w:val="22"/>
              </w:rPr>
            </w:pPr>
            <w:r w:rsidRPr="00556B9B">
              <w:t>94,0 (89,5</w:t>
            </w:r>
            <w:r w:rsidRPr="00556B9B">
              <w:noBreakHyphen/>
              <w:t>96,7)</w:t>
            </w:r>
          </w:p>
        </w:tc>
        <w:tc>
          <w:tcPr>
            <w:tcW w:w="3100" w:type="dxa"/>
            <w:shd w:val="clear" w:color="auto" w:fill="auto"/>
          </w:tcPr>
          <w:p w14:paraId="10AE190C" w14:textId="77777777" w:rsidR="00153AD1" w:rsidRPr="00556B9B" w:rsidRDefault="00153AD1" w:rsidP="00F926B9">
            <w:pPr>
              <w:keepNext/>
              <w:tabs>
                <w:tab w:val="left" w:pos="284"/>
              </w:tabs>
              <w:rPr>
                <w:rFonts w:eastAsia="MS Mincho"/>
                <w:szCs w:val="22"/>
              </w:rPr>
            </w:pPr>
            <w:r w:rsidRPr="00556B9B">
              <w:t>96,3 (92,4</w:t>
            </w:r>
            <w:r w:rsidRPr="00556B9B">
              <w:noBreakHyphen/>
              <w:t>98,2)</w:t>
            </w:r>
          </w:p>
        </w:tc>
      </w:tr>
      <w:tr w:rsidR="00153AD1" w:rsidRPr="00556B9B" w14:paraId="5036FA82" w14:textId="77777777" w:rsidTr="00F926B9">
        <w:trPr>
          <w:cantSplit/>
        </w:trPr>
        <w:tc>
          <w:tcPr>
            <w:tcW w:w="3099" w:type="dxa"/>
            <w:shd w:val="clear" w:color="auto" w:fill="auto"/>
          </w:tcPr>
          <w:p w14:paraId="5FBF1869" w14:textId="77777777" w:rsidR="00153AD1" w:rsidRPr="00556B9B" w:rsidRDefault="00153AD1" w:rsidP="00F926B9">
            <w:pPr>
              <w:keepNext/>
              <w:ind w:left="284"/>
              <w:rPr>
                <w:rFonts w:eastAsia="MS Mincho"/>
                <w:szCs w:val="22"/>
              </w:rPr>
            </w:pPr>
            <w:r w:rsidRPr="00556B9B">
              <w:t>48 hónap</w:t>
            </w:r>
          </w:p>
        </w:tc>
        <w:tc>
          <w:tcPr>
            <w:tcW w:w="3100" w:type="dxa"/>
            <w:shd w:val="clear" w:color="auto" w:fill="auto"/>
          </w:tcPr>
          <w:p w14:paraId="41186237" w14:textId="77777777" w:rsidR="00153AD1" w:rsidRPr="00556B9B" w:rsidRDefault="00153AD1" w:rsidP="00F926B9">
            <w:pPr>
              <w:keepNext/>
              <w:tabs>
                <w:tab w:val="left" w:pos="284"/>
              </w:tabs>
              <w:rPr>
                <w:rFonts w:eastAsia="MS Mincho"/>
                <w:szCs w:val="22"/>
              </w:rPr>
            </w:pPr>
            <w:r w:rsidRPr="00556B9B">
              <w:t>87,9 (81,1</w:t>
            </w:r>
            <w:r w:rsidRPr="00556B9B">
              <w:noBreakHyphen/>
              <w:t>92,3)</w:t>
            </w:r>
          </w:p>
        </w:tc>
        <w:tc>
          <w:tcPr>
            <w:tcW w:w="3100" w:type="dxa"/>
            <w:shd w:val="clear" w:color="auto" w:fill="auto"/>
          </w:tcPr>
          <w:p w14:paraId="5F7CC24D" w14:textId="77777777" w:rsidR="00153AD1" w:rsidRPr="00556B9B" w:rsidRDefault="00153AD1" w:rsidP="00F926B9">
            <w:pPr>
              <w:keepNext/>
              <w:tabs>
                <w:tab w:val="left" w:pos="284"/>
              </w:tabs>
              <w:rPr>
                <w:rFonts w:eastAsia="MS Mincho"/>
                <w:szCs w:val="22"/>
              </w:rPr>
            </w:pPr>
            <w:r w:rsidRPr="00556B9B">
              <w:t>95,6 (91,2</w:t>
            </w:r>
            <w:r w:rsidRPr="00556B9B">
              <w:noBreakHyphen/>
              <w:t>97,8)</w:t>
            </w:r>
          </w:p>
        </w:tc>
      </w:tr>
      <w:tr w:rsidR="00153AD1" w:rsidRPr="00556B9B" w14:paraId="3D004BD6" w14:textId="77777777" w:rsidTr="00F926B9">
        <w:trPr>
          <w:cantSplit/>
        </w:trPr>
        <w:tc>
          <w:tcPr>
            <w:tcW w:w="3099" w:type="dxa"/>
            <w:shd w:val="clear" w:color="auto" w:fill="auto"/>
          </w:tcPr>
          <w:p w14:paraId="683534B3" w14:textId="77777777" w:rsidR="00153AD1" w:rsidRPr="00556B9B" w:rsidRDefault="00153AD1" w:rsidP="00F926B9">
            <w:pPr>
              <w:ind w:left="284"/>
              <w:rPr>
                <w:rFonts w:eastAsia="MS Mincho"/>
                <w:szCs w:val="22"/>
              </w:rPr>
            </w:pPr>
            <w:r w:rsidRPr="00556B9B">
              <w:t>60 hónap</w:t>
            </w:r>
          </w:p>
        </w:tc>
        <w:tc>
          <w:tcPr>
            <w:tcW w:w="3100" w:type="dxa"/>
            <w:shd w:val="clear" w:color="auto" w:fill="auto"/>
          </w:tcPr>
          <w:p w14:paraId="5C33B14F" w14:textId="77777777" w:rsidR="00153AD1" w:rsidRPr="00556B9B" w:rsidRDefault="00153AD1" w:rsidP="00F926B9">
            <w:pPr>
              <w:tabs>
                <w:tab w:val="left" w:pos="284"/>
              </w:tabs>
              <w:rPr>
                <w:rFonts w:eastAsia="MS Mincho"/>
                <w:szCs w:val="22"/>
              </w:rPr>
            </w:pPr>
            <w:r w:rsidRPr="00556B9B">
              <w:t>81,7 (73,0</w:t>
            </w:r>
            <w:r w:rsidRPr="00556B9B">
              <w:noBreakHyphen/>
              <w:t>87,8)</w:t>
            </w:r>
          </w:p>
        </w:tc>
        <w:tc>
          <w:tcPr>
            <w:tcW w:w="3100" w:type="dxa"/>
            <w:shd w:val="clear" w:color="auto" w:fill="auto"/>
          </w:tcPr>
          <w:p w14:paraId="46260E52" w14:textId="77777777" w:rsidR="00153AD1" w:rsidRPr="00556B9B" w:rsidRDefault="00153AD1" w:rsidP="00F926B9">
            <w:pPr>
              <w:tabs>
                <w:tab w:val="left" w:pos="284"/>
              </w:tabs>
              <w:rPr>
                <w:rFonts w:eastAsia="MS Mincho"/>
                <w:szCs w:val="22"/>
              </w:rPr>
            </w:pPr>
            <w:r w:rsidRPr="00556B9B">
              <w:t>92,0 (85,3</w:t>
            </w:r>
            <w:r w:rsidRPr="00556B9B">
              <w:noBreakHyphen/>
              <w:t>95,7)</w:t>
            </w:r>
          </w:p>
        </w:tc>
      </w:tr>
    </w:tbl>
    <w:p w14:paraId="4F6A27BC" w14:textId="77777777" w:rsidR="00392199" w:rsidRPr="00654EF1" w:rsidRDefault="00392199" w:rsidP="00392199">
      <w:pPr>
        <w:widowControl w:val="0"/>
        <w:spacing w:line="240" w:lineRule="auto"/>
        <w:rPr>
          <w:rFonts w:eastAsia="MS Mincho"/>
          <w:szCs w:val="22"/>
          <w:lang w:val="en-US"/>
        </w:rPr>
      </w:pPr>
    </w:p>
    <w:p w14:paraId="36832CB7" w14:textId="77777777" w:rsidR="00392199" w:rsidRPr="00556B9B" w:rsidRDefault="00392199" w:rsidP="00392199">
      <w:pPr>
        <w:keepNext/>
        <w:widowControl w:val="0"/>
        <w:ind w:left="1134" w:hanging="1134"/>
        <w:rPr>
          <w:rFonts w:eastAsia="MS Mincho"/>
          <w:szCs w:val="22"/>
        </w:rPr>
      </w:pPr>
      <w:r w:rsidRPr="00556B9B">
        <w:rPr>
          <w:rFonts w:cs="Times New Roman"/>
          <w:b/>
          <w:szCs w:val="22"/>
          <w:lang w:val="hu-HU" w:eastAsia="en-US" w:bidi="ar-SA"/>
        </w:rPr>
        <w:t>1. ábra</w:t>
      </w:r>
      <w:r w:rsidRPr="00556B9B">
        <w:rPr>
          <w:rFonts w:cs="Times New Roman"/>
          <w:b/>
          <w:szCs w:val="22"/>
          <w:lang w:val="hu-HU" w:eastAsia="en-US" w:bidi="ar-SA"/>
        </w:rPr>
        <w:tab/>
        <w:t>A primer kiújulás-mentes túlélés végpont Kaplan-Meier—féle becslése (ITT populáció)</w:t>
      </w:r>
    </w:p>
    <w:p w14:paraId="61574504" w14:textId="77777777" w:rsidR="00392199" w:rsidRPr="00654EF1" w:rsidRDefault="00392199" w:rsidP="00392199">
      <w:pPr>
        <w:keepNext/>
        <w:widowControl w:val="0"/>
        <w:tabs>
          <w:tab w:val="left" w:pos="1134"/>
        </w:tabs>
        <w:spacing w:line="240" w:lineRule="auto"/>
        <w:ind w:left="1134" w:hanging="1134"/>
        <w:outlineLvl w:val="6"/>
        <w:rPr>
          <w:rFonts w:eastAsia="MS Mincho"/>
          <w:szCs w:val="22"/>
          <w:lang w:val="en-US"/>
        </w:rPr>
      </w:pPr>
      <w:r w:rsidRPr="00654EF1">
        <w:rPr>
          <w:noProof/>
          <w:lang w:val="en-US" w:eastAsia="en-US" w:bidi="ar-SA"/>
        </w:rPr>
        <mc:AlternateContent>
          <mc:Choice Requires="wps">
            <w:drawing>
              <wp:anchor distT="0" distB="0" distL="114300" distR="114300" simplePos="0" relativeHeight="251675648" behindDoc="0" locked="0" layoutInCell="1" allowOverlap="1" wp14:anchorId="4B6F161D" wp14:editId="7FB021E9">
                <wp:simplePos x="0" y="0"/>
                <wp:positionH relativeFrom="column">
                  <wp:posOffset>-200715</wp:posOffset>
                </wp:positionH>
                <wp:positionV relativeFrom="paragraph">
                  <wp:posOffset>108088</wp:posOffset>
                </wp:positionV>
                <wp:extent cx="335915" cy="2485721"/>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48572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66FFCE" w14:textId="77777777" w:rsidR="009E303A" w:rsidRPr="00A33DBA" w:rsidRDefault="009E303A" w:rsidP="00392199">
                            <w:pPr>
                              <w:rPr>
                                <w:rFonts w:ascii="Arial" w:hAnsi="Arial" w:cs="Arial"/>
                                <w:sz w:val="20"/>
                              </w:rPr>
                            </w:pPr>
                            <w:r>
                              <w:rPr>
                                <w:rFonts w:ascii="Arial" w:hAnsi="Arial"/>
                                <w:sz w:val="20"/>
                              </w:rPr>
                              <w:t>A kiújulás-mentes túlélés valószínűsége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6F161D" id="Text Box 67" o:spid="_x0000_s1032" type="#_x0000_t202" style="position:absolute;left:0;text-align:left;margin-left:-15.8pt;margin-top:8.5pt;width:26.45pt;height:19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" stroked="f">
                <v:fill opacity="0"/>
                <v:textbox style="layout-flow:vertical;mso-layout-flow-alt:bottom-to-top">
                  <w:txbxContent>
                    <w:p w14:paraId="0066FFCE" w14:textId="77777777" w:rsidR="009E303A" w:rsidRPr="00A33DBA" w:rsidRDefault="009E303A" w:rsidP="00392199">
                      <w:pPr>
                        <w:rPr>
                          <w:rFonts w:ascii="Arial" w:hAnsi="Arial" w:cs="Arial"/>
                          <w:sz w:val="20"/>
                        </w:rPr>
                      </w:pPr>
                      <w:r>
                        <w:rPr>
                          <w:rFonts w:ascii="Arial" w:hAnsi="Arial"/>
                          <w:sz w:val="20"/>
                        </w:rPr>
                        <w:t>A kiújulás-mentes túlélés valószínűsége</w:t>
                      </w:r>
                    </w:p>
                  </w:txbxContent>
                </v:textbox>
              </v:shape>
            </w:pict>
          </mc:Fallback>
        </mc:AlternateContent>
      </w:r>
    </w:p>
    <w:p w14:paraId="6BFF90CE" w14:textId="77777777" w:rsidR="00392199" w:rsidRPr="00654EF1" w:rsidRDefault="00392199" w:rsidP="00392199">
      <w:pPr>
        <w:widowControl w:val="0"/>
        <w:tabs>
          <w:tab w:val="left" w:pos="1134"/>
        </w:tabs>
        <w:spacing w:line="240" w:lineRule="auto"/>
        <w:ind w:left="1134" w:hanging="1134"/>
        <w:outlineLvl w:val="6"/>
        <w:rPr>
          <w:rFonts w:eastAsia="MS Mincho"/>
          <w:szCs w:val="22"/>
          <w:lang w:val="en-US"/>
        </w:rPr>
      </w:pPr>
      <w:r w:rsidRPr="00556B9B">
        <w:rPr>
          <w:rFonts w:eastAsia="MS Mincho"/>
          <w:noProof/>
          <w:szCs w:val="22"/>
          <w:lang w:val="en-US" w:eastAsia="en-US" w:bidi="ar-SA"/>
        </w:rPr>
        <mc:AlternateContent>
          <mc:Choice Requires="wps">
            <w:drawing>
              <wp:anchor distT="0" distB="0" distL="114300" distR="114300" simplePos="0" relativeHeight="251677696" behindDoc="0" locked="0" layoutInCell="1" allowOverlap="1" wp14:anchorId="2311DD82" wp14:editId="7F6B936C">
                <wp:simplePos x="0" y="0"/>
                <wp:positionH relativeFrom="column">
                  <wp:posOffset>389614</wp:posOffset>
                </wp:positionH>
                <wp:positionV relativeFrom="paragraph">
                  <wp:posOffset>1141978</wp:posOffset>
                </wp:positionV>
                <wp:extent cx="4585335" cy="1295400"/>
                <wp:effectExtent l="0" t="0" r="0" b="0"/>
                <wp:wrapNone/>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83"/>
                              <w:gridCol w:w="850"/>
                            </w:tblGrid>
                            <w:tr w:rsidR="009E303A" w:rsidRPr="00462020" w14:paraId="58BD504F" w14:textId="77777777" w:rsidTr="00A841F1">
                              <w:trPr>
                                <w:gridAfter w:val="4"/>
                                <w:wAfter w:w="2855" w:type="dxa"/>
                              </w:trPr>
                              <w:tc>
                                <w:tcPr>
                                  <w:tcW w:w="3281" w:type="dxa"/>
                                  <w:gridSpan w:val="2"/>
                                  <w:shd w:val="clear" w:color="auto" w:fill="auto"/>
                                </w:tcPr>
                                <w:p w14:paraId="0E6967DA" w14:textId="77777777" w:rsidR="009E303A" w:rsidRPr="00AA1F7F" w:rsidRDefault="009E303A" w:rsidP="00A841F1">
                                  <w:pPr>
                                    <w:rPr>
                                      <w:rFonts w:ascii="Arial" w:hAnsi="Arial" w:cs="Arial"/>
                                      <w:sz w:val="20"/>
                                      <w:lang w:val="es-ES"/>
                                    </w:rPr>
                                  </w:pPr>
                                  <w:r w:rsidRPr="00AA1F7F">
                                    <w:rPr>
                                      <w:rFonts w:ascii="Arial" w:hAnsi="Arial" w:cs="Arial"/>
                                      <w:sz w:val="20"/>
                                      <w:lang w:val="es-ES"/>
                                    </w:rPr>
                                    <w:t>P</w:t>
                                  </w:r>
                                  <w:r>
                                    <w:rPr>
                                      <w:rFonts w:ascii="Arial" w:hAnsi="Arial" w:cs="Arial"/>
                                      <w:sz w:val="20"/>
                                      <w:lang w:val="es-ES"/>
                                    </w:rPr>
                                    <w:t> </w:t>
                                  </w:r>
                                  <w:r w:rsidRPr="00AA1F7F">
                                    <w:rPr>
                                      <w:rFonts w:ascii="Arial" w:hAnsi="Arial" w:cs="Arial"/>
                                      <w:sz w:val="20"/>
                                      <w:lang w:val="es-ES"/>
                                    </w:rPr>
                                    <w:t>&lt;</w:t>
                                  </w:r>
                                  <w:r>
                                    <w:rPr>
                                      <w:rFonts w:ascii="Arial" w:hAnsi="Arial" w:cs="Arial"/>
                                      <w:sz w:val="20"/>
                                      <w:lang w:val="es-ES"/>
                                    </w:rPr>
                                    <w:t> </w:t>
                                  </w:r>
                                  <w:r w:rsidRPr="00AA1F7F">
                                    <w:rPr>
                                      <w:rFonts w:ascii="Arial" w:hAnsi="Arial" w:cs="Arial"/>
                                      <w:sz w:val="20"/>
                                      <w:lang w:val="es-ES"/>
                                    </w:rPr>
                                    <w:t>0,0001</w:t>
                                  </w:r>
                                </w:p>
                                <w:p w14:paraId="7CC1C264" w14:textId="77777777" w:rsidR="009E303A" w:rsidRPr="00AA1F7F" w:rsidRDefault="009E303A" w:rsidP="00A841F1">
                                  <w:pPr>
                                    <w:rPr>
                                      <w:rFonts w:ascii="Arial" w:hAnsi="Arial" w:cs="Arial"/>
                                      <w:sz w:val="20"/>
                                      <w:lang w:val="es-ES"/>
                                    </w:rPr>
                                  </w:pPr>
                                  <w:r w:rsidRPr="00574FBC">
                                    <w:rPr>
                                      <w:rFonts w:ascii="Arial" w:hAnsi="Arial"/>
                                      <w:sz w:val="20"/>
                                      <w:lang w:val="pt-PT"/>
                                    </w:rPr>
                                    <w:t xml:space="preserve">relatív hazárd = </w:t>
                                  </w:r>
                                  <w:r w:rsidRPr="00AA1F7F">
                                    <w:rPr>
                                      <w:rFonts w:ascii="Arial" w:hAnsi="Arial" w:cs="Arial"/>
                                      <w:sz w:val="20"/>
                                      <w:lang w:val="es-ES"/>
                                    </w:rPr>
                                    <w:t>0,46</w:t>
                                  </w:r>
                                </w:p>
                                <w:p w14:paraId="304B6DBA" w14:textId="77777777" w:rsidR="009E303A" w:rsidRPr="00AA1F7F" w:rsidRDefault="009E303A" w:rsidP="00A841F1">
                                  <w:pPr>
                                    <w:rPr>
                                      <w:rFonts w:ascii="Arial" w:hAnsi="Arial" w:cs="Arial"/>
                                      <w:sz w:val="20"/>
                                      <w:lang w:val="es-ES"/>
                                    </w:rPr>
                                  </w:pPr>
                                  <w:r w:rsidRPr="00574FBC">
                                    <w:rPr>
                                      <w:rFonts w:ascii="Arial" w:hAnsi="Arial"/>
                                      <w:sz w:val="20"/>
                                      <w:lang w:val="pt-PT"/>
                                    </w:rPr>
                                    <w:t>(95%-os Cl</w:t>
                                  </w:r>
                                  <w:r>
                                    <w:rPr>
                                      <w:rFonts w:ascii="Arial" w:hAnsi="Arial"/>
                                      <w:sz w:val="20"/>
                                      <w:lang w:val="pt-PT"/>
                                    </w:rPr>
                                    <w:t>,</w:t>
                                  </w:r>
                                  <w:r w:rsidRPr="00AA1F7F">
                                    <w:rPr>
                                      <w:rFonts w:ascii="Arial" w:hAnsi="Arial" w:cs="Arial"/>
                                      <w:sz w:val="20"/>
                                      <w:lang w:val="es-ES"/>
                                    </w:rPr>
                                    <w:t xml:space="preserve"> 0,32</w:t>
                                  </w:r>
                                  <w:r w:rsidRPr="00AA1F7F">
                                    <w:rPr>
                                      <w:rFonts w:ascii="Arial" w:hAnsi="Arial" w:cs="Arial"/>
                                      <w:sz w:val="20"/>
                                      <w:lang w:val="es-ES"/>
                                    </w:rPr>
                                    <w:noBreakHyphen/>
                                    <w:t>0,65)</w:t>
                                  </w:r>
                                </w:p>
                              </w:tc>
                            </w:tr>
                            <w:tr w:rsidR="009E303A" w:rsidRPr="0055776F" w14:paraId="32D9B061" w14:textId="77777777" w:rsidTr="00660EA0">
                              <w:tc>
                                <w:tcPr>
                                  <w:tcW w:w="817" w:type="dxa"/>
                                  <w:shd w:val="clear" w:color="auto" w:fill="auto"/>
                                </w:tcPr>
                                <w:p w14:paraId="71BEDB6F" w14:textId="77777777" w:rsidR="009E303A" w:rsidRPr="00AA1F7F" w:rsidRDefault="009E303A" w:rsidP="001A0ED7">
                                  <w:pPr>
                                    <w:rPr>
                                      <w:rFonts w:ascii="Arial" w:hAnsi="Arial" w:cs="Arial"/>
                                      <w:sz w:val="20"/>
                                      <w:lang w:val="es-ES"/>
                                    </w:rPr>
                                  </w:pPr>
                                </w:p>
                              </w:tc>
                              <w:tc>
                                <w:tcPr>
                                  <w:tcW w:w="2835" w:type="dxa"/>
                                  <w:gridSpan w:val="2"/>
                                  <w:shd w:val="clear" w:color="auto" w:fill="auto"/>
                                </w:tcPr>
                                <w:p w14:paraId="41F53160" w14:textId="77777777" w:rsidR="009E303A" w:rsidRPr="00AA1F7F" w:rsidRDefault="009E303A" w:rsidP="001A0ED7">
                                  <w:pPr>
                                    <w:rPr>
                                      <w:rFonts w:ascii="Arial" w:hAnsi="Arial" w:cs="Arial"/>
                                      <w:sz w:val="20"/>
                                      <w:lang w:val="es-ES"/>
                                    </w:rPr>
                                  </w:pPr>
                                </w:p>
                              </w:tc>
                              <w:tc>
                                <w:tcPr>
                                  <w:tcW w:w="851" w:type="dxa"/>
                                  <w:tcBorders>
                                    <w:bottom w:val="single" w:sz="4" w:space="0" w:color="auto"/>
                                  </w:tcBorders>
                                  <w:shd w:val="clear" w:color="auto" w:fill="auto"/>
                                </w:tcPr>
                                <w:p w14:paraId="76741A0C" w14:textId="77777777" w:rsidR="009E303A" w:rsidRPr="00660EA0" w:rsidRDefault="009E303A" w:rsidP="001A0ED7">
                                  <w:pPr>
                                    <w:rPr>
                                      <w:rFonts w:ascii="Arial" w:hAnsi="Arial" w:cs="Arial"/>
                                      <w:sz w:val="20"/>
                                    </w:rPr>
                                  </w:pPr>
                                  <w:r w:rsidRPr="00660EA0">
                                    <w:rPr>
                                      <w:rFonts w:ascii="Arial" w:hAnsi="Arial" w:cs="Arial"/>
                                      <w:sz w:val="20"/>
                                      <w:lang w:val="de-DE"/>
                                    </w:rPr>
                                    <w:t>N</w:t>
                                  </w:r>
                                </w:p>
                              </w:tc>
                              <w:tc>
                                <w:tcPr>
                                  <w:tcW w:w="783" w:type="dxa"/>
                                  <w:tcBorders>
                                    <w:bottom w:val="single" w:sz="4" w:space="0" w:color="auto"/>
                                  </w:tcBorders>
                                  <w:shd w:val="clear" w:color="auto" w:fill="auto"/>
                                </w:tcPr>
                                <w:p w14:paraId="5F1826F5" w14:textId="77777777" w:rsidR="009E303A" w:rsidRPr="00660EA0" w:rsidRDefault="009E303A" w:rsidP="001A0ED7">
                                  <w:pPr>
                                    <w:rPr>
                                      <w:rFonts w:ascii="Arial" w:hAnsi="Arial" w:cs="Arial"/>
                                      <w:sz w:val="20"/>
                                    </w:rPr>
                                  </w:pPr>
                                  <w:r w:rsidRPr="00660EA0">
                                    <w:rPr>
                                      <w:rFonts w:ascii="Arial" w:hAnsi="Arial"/>
                                      <w:sz w:val="20"/>
                                      <w:lang w:val="de-CH"/>
                                    </w:rPr>
                                    <w:t>Esem.</w:t>
                                  </w:r>
                                </w:p>
                              </w:tc>
                              <w:tc>
                                <w:tcPr>
                                  <w:tcW w:w="850" w:type="dxa"/>
                                  <w:tcBorders>
                                    <w:bottom w:val="single" w:sz="4" w:space="0" w:color="auto"/>
                                  </w:tcBorders>
                                  <w:shd w:val="clear" w:color="auto" w:fill="auto"/>
                                </w:tcPr>
                                <w:p w14:paraId="3C9B74B9" w14:textId="77777777" w:rsidR="009E303A" w:rsidRPr="00660EA0" w:rsidRDefault="009E303A" w:rsidP="001A0ED7">
                                  <w:pPr>
                                    <w:rPr>
                                      <w:rFonts w:ascii="Arial" w:hAnsi="Arial" w:cs="Arial"/>
                                      <w:sz w:val="20"/>
                                    </w:rPr>
                                  </w:pPr>
                                  <w:r w:rsidRPr="00660EA0">
                                    <w:rPr>
                                      <w:rFonts w:ascii="Arial" w:hAnsi="Arial"/>
                                      <w:sz w:val="20"/>
                                      <w:lang w:val="de-CH"/>
                                    </w:rPr>
                                    <w:t>Cenz.</w:t>
                                  </w:r>
                                </w:p>
                              </w:tc>
                            </w:tr>
                            <w:tr w:rsidR="009E303A" w:rsidRPr="0055776F" w14:paraId="551B44B6" w14:textId="77777777" w:rsidTr="00660EA0">
                              <w:tc>
                                <w:tcPr>
                                  <w:tcW w:w="817" w:type="dxa"/>
                                  <w:shd w:val="clear" w:color="auto" w:fill="auto"/>
                                </w:tcPr>
                                <w:p w14:paraId="6450448A" w14:textId="77777777" w:rsidR="009E303A" w:rsidRPr="0055776F" w:rsidRDefault="009E303A" w:rsidP="001A0ED7">
                                  <w:pPr>
                                    <w:rPr>
                                      <w:rFonts w:ascii="Arial" w:hAnsi="Arial" w:cs="Arial"/>
                                      <w:sz w:val="20"/>
                                    </w:rPr>
                                  </w:pPr>
                                  <w:r w:rsidRPr="0055776F">
                                    <w:rPr>
                                      <w:rFonts w:ascii="Arial" w:hAnsi="Arial" w:cs="Arial"/>
                                      <w:b/>
                                      <w:sz w:val="20"/>
                                    </w:rPr>
                                    <w:t>——</w:t>
                                  </w:r>
                                </w:p>
                              </w:tc>
                              <w:tc>
                                <w:tcPr>
                                  <w:tcW w:w="2835" w:type="dxa"/>
                                  <w:gridSpan w:val="2"/>
                                  <w:shd w:val="clear" w:color="auto" w:fill="auto"/>
                                </w:tcPr>
                                <w:p w14:paraId="76625106" w14:textId="77777777" w:rsidR="009E303A" w:rsidRPr="0055776F" w:rsidRDefault="009E303A" w:rsidP="001A0ED7">
                                  <w:pPr>
                                    <w:rPr>
                                      <w:rFonts w:ascii="Arial" w:hAnsi="Arial" w:cs="Arial"/>
                                      <w:sz w:val="20"/>
                                    </w:rPr>
                                  </w:pPr>
                                  <w:r>
                                    <w:rPr>
                                      <w:rFonts w:ascii="Arial" w:hAnsi="Arial"/>
                                      <w:sz w:val="20"/>
                                      <w:lang w:val="pt-PT"/>
                                    </w:rPr>
                                    <w:t>(1) Imatinib 12 </w:t>
                                  </w:r>
                                  <w:r w:rsidRPr="00574FBC">
                                    <w:rPr>
                                      <w:rFonts w:ascii="Arial" w:hAnsi="Arial"/>
                                      <w:sz w:val="20"/>
                                      <w:lang w:val="pt-PT"/>
                                    </w:rPr>
                                    <w:t>HÓ:</w:t>
                                  </w:r>
                                </w:p>
                              </w:tc>
                              <w:tc>
                                <w:tcPr>
                                  <w:tcW w:w="851" w:type="dxa"/>
                                  <w:tcBorders>
                                    <w:top w:val="single" w:sz="4" w:space="0" w:color="auto"/>
                                  </w:tcBorders>
                                  <w:shd w:val="clear" w:color="auto" w:fill="auto"/>
                                </w:tcPr>
                                <w:p w14:paraId="34CB4CCA" w14:textId="77777777" w:rsidR="009E303A" w:rsidRPr="0055776F" w:rsidRDefault="009E303A" w:rsidP="001A0ED7">
                                  <w:pPr>
                                    <w:rPr>
                                      <w:rFonts w:ascii="Arial" w:hAnsi="Arial" w:cs="Arial"/>
                                      <w:sz w:val="20"/>
                                    </w:rPr>
                                  </w:pPr>
                                  <w:r w:rsidRPr="0055776F">
                                    <w:rPr>
                                      <w:rFonts w:ascii="Arial" w:hAnsi="Arial" w:cs="Arial"/>
                                      <w:sz w:val="20"/>
                                    </w:rPr>
                                    <w:t>199</w:t>
                                  </w:r>
                                </w:p>
                              </w:tc>
                              <w:tc>
                                <w:tcPr>
                                  <w:tcW w:w="783" w:type="dxa"/>
                                  <w:tcBorders>
                                    <w:top w:val="single" w:sz="4" w:space="0" w:color="auto"/>
                                  </w:tcBorders>
                                  <w:shd w:val="clear" w:color="auto" w:fill="auto"/>
                                </w:tcPr>
                                <w:p w14:paraId="764DB3BA" w14:textId="77777777" w:rsidR="009E303A" w:rsidRPr="0055776F" w:rsidRDefault="009E303A" w:rsidP="001A0ED7">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1DF4D850" w14:textId="77777777" w:rsidR="009E303A" w:rsidRPr="0055776F" w:rsidRDefault="009E303A" w:rsidP="001A0ED7">
                                  <w:pPr>
                                    <w:rPr>
                                      <w:rFonts w:ascii="Arial" w:hAnsi="Arial" w:cs="Arial"/>
                                      <w:sz w:val="20"/>
                                    </w:rPr>
                                  </w:pPr>
                                  <w:r w:rsidRPr="0055776F">
                                    <w:rPr>
                                      <w:rFonts w:ascii="Arial" w:hAnsi="Arial" w:cs="Arial"/>
                                      <w:sz w:val="20"/>
                                    </w:rPr>
                                    <w:t>115</w:t>
                                  </w:r>
                                </w:p>
                              </w:tc>
                            </w:tr>
                            <w:tr w:rsidR="009E303A" w:rsidRPr="0055776F" w14:paraId="5A9937AB" w14:textId="77777777" w:rsidTr="00660EA0">
                              <w:tc>
                                <w:tcPr>
                                  <w:tcW w:w="817" w:type="dxa"/>
                                  <w:shd w:val="clear" w:color="auto" w:fill="auto"/>
                                </w:tcPr>
                                <w:p w14:paraId="1227D72E" w14:textId="77777777" w:rsidR="009E303A" w:rsidRPr="0055776F" w:rsidRDefault="009E303A" w:rsidP="001A0ED7">
                                  <w:pPr>
                                    <w:rPr>
                                      <w:rFonts w:ascii="Arial" w:hAnsi="Arial" w:cs="Arial"/>
                                      <w:sz w:val="20"/>
                                    </w:rPr>
                                  </w:pPr>
                                  <w:r w:rsidRPr="0055776F">
                                    <w:rPr>
                                      <w:rFonts w:ascii="Arial" w:hAnsi="Arial" w:cs="Arial"/>
                                      <w:sz w:val="20"/>
                                    </w:rPr>
                                    <w:t>-----</w:t>
                                  </w:r>
                                </w:p>
                              </w:tc>
                              <w:tc>
                                <w:tcPr>
                                  <w:tcW w:w="2835" w:type="dxa"/>
                                  <w:gridSpan w:val="2"/>
                                  <w:shd w:val="clear" w:color="auto" w:fill="auto"/>
                                </w:tcPr>
                                <w:p w14:paraId="1D76CA1E" w14:textId="77777777" w:rsidR="009E303A" w:rsidRPr="0055776F" w:rsidRDefault="009E303A" w:rsidP="001A0ED7">
                                  <w:pPr>
                                    <w:rPr>
                                      <w:rFonts w:ascii="Arial" w:hAnsi="Arial" w:cs="Arial"/>
                                      <w:sz w:val="20"/>
                                    </w:rPr>
                                  </w:pPr>
                                  <w:r>
                                    <w:rPr>
                                      <w:rFonts w:ascii="Arial" w:hAnsi="Arial"/>
                                      <w:sz w:val="20"/>
                                    </w:rPr>
                                    <w:t>(2) Imatinib 36 HÓ:</w:t>
                                  </w:r>
                                </w:p>
                              </w:tc>
                              <w:tc>
                                <w:tcPr>
                                  <w:tcW w:w="851" w:type="dxa"/>
                                  <w:tcBorders>
                                    <w:bottom w:val="single" w:sz="4" w:space="0" w:color="auto"/>
                                  </w:tcBorders>
                                  <w:shd w:val="clear" w:color="auto" w:fill="auto"/>
                                </w:tcPr>
                                <w:p w14:paraId="7134A288" w14:textId="77777777" w:rsidR="009E303A" w:rsidRPr="0055776F" w:rsidRDefault="009E303A" w:rsidP="001A0ED7">
                                  <w:pPr>
                                    <w:rPr>
                                      <w:rFonts w:ascii="Arial" w:hAnsi="Arial" w:cs="Arial"/>
                                      <w:sz w:val="20"/>
                                    </w:rPr>
                                  </w:pPr>
                                  <w:r w:rsidRPr="0055776F">
                                    <w:rPr>
                                      <w:rFonts w:ascii="Arial" w:hAnsi="Arial" w:cs="Arial"/>
                                      <w:sz w:val="20"/>
                                    </w:rPr>
                                    <w:t>198</w:t>
                                  </w:r>
                                </w:p>
                              </w:tc>
                              <w:tc>
                                <w:tcPr>
                                  <w:tcW w:w="783" w:type="dxa"/>
                                  <w:tcBorders>
                                    <w:bottom w:val="single" w:sz="4" w:space="0" w:color="auto"/>
                                  </w:tcBorders>
                                  <w:shd w:val="clear" w:color="auto" w:fill="auto"/>
                                </w:tcPr>
                                <w:p w14:paraId="0B4C401C" w14:textId="77777777" w:rsidR="009E303A" w:rsidRPr="0055776F" w:rsidRDefault="009E303A" w:rsidP="001A0ED7">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074419AA" w14:textId="77777777" w:rsidR="009E303A" w:rsidRPr="0055776F" w:rsidRDefault="009E303A" w:rsidP="001A0ED7">
                                  <w:pPr>
                                    <w:rPr>
                                      <w:rFonts w:ascii="Arial" w:hAnsi="Arial" w:cs="Arial"/>
                                      <w:sz w:val="20"/>
                                    </w:rPr>
                                  </w:pPr>
                                  <w:r w:rsidRPr="0055776F">
                                    <w:rPr>
                                      <w:rFonts w:ascii="Arial" w:hAnsi="Arial" w:cs="Arial"/>
                                      <w:sz w:val="20"/>
                                    </w:rPr>
                                    <w:t>148</w:t>
                                  </w:r>
                                </w:p>
                              </w:tc>
                            </w:tr>
                            <w:tr w:rsidR="009E303A" w:rsidRPr="0055776F" w14:paraId="67A2B416" w14:textId="77777777" w:rsidTr="00660EA0">
                              <w:tc>
                                <w:tcPr>
                                  <w:tcW w:w="817" w:type="dxa"/>
                                  <w:shd w:val="clear" w:color="auto" w:fill="auto"/>
                                </w:tcPr>
                                <w:p w14:paraId="42F97BB4" w14:textId="77777777" w:rsidR="009E303A" w:rsidRPr="0055776F" w:rsidRDefault="009E303A" w:rsidP="001A0ED7">
                                  <w:pPr>
                                    <w:rPr>
                                      <w:rFonts w:ascii="Arial" w:hAnsi="Arial" w:cs="Arial"/>
                                      <w:sz w:val="20"/>
                                    </w:rPr>
                                  </w:pPr>
                                  <w:r w:rsidRPr="0055776F">
                                    <w:rPr>
                                      <w:rFonts w:ascii="Arial" w:hAnsi="Arial" w:cs="Arial"/>
                                      <w:sz w:val="20"/>
                                    </w:rPr>
                                    <w:t>│││</w:t>
                                  </w:r>
                                </w:p>
                              </w:tc>
                              <w:tc>
                                <w:tcPr>
                                  <w:tcW w:w="2835" w:type="dxa"/>
                                  <w:gridSpan w:val="2"/>
                                  <w:shd w:val="clear" w:color="auto" w:fill="auto"/>
                                </w:tcPr>
                                <w:p w14:paraId="780B8766" w14:textId="77777777" w:rsidR="009E303A" w:rsidRPr="0055776F" w:rsidRDefault="009E303A" w:rsidP="001A0ED7">
                                  <w:pPr>
                                    <w:rPr>
                                      <w:rFonts w:ascii="Arial" w:hAnsi="Arial" w:cs="Arial"/>
                                      <w:sz w:val="20"/>
                                    </w:rPr>
                                  </w:pPr>
                                  <w:r>
                                    <w:rPr>
                                      <w:rFonts w:ascii="Arial" w:hAnsi="Arial"/>
                                      <w:sz w:val="20"/>
                                    </w:rPr>
                                    <w:t>Cenzúrázott megfigyelések</w:t>
                                  </w:r>
                                </w:p>
                              </w:tc>
                              <w:tc>
                                <w:tcPr>
                                  <w:tcW w:w="851" w:type="dxa"/>
                                  <w:tcBorders>
                                    <w:top w:val="single" w:sz="4" w:space="0" w:color="auto"/>
                                  </w:tcBorders>
                                  <w:shd w:val="clear" w:color="auto" w:fill="auto"/>
                                </w:tcPr>
                                <w:p w14:paraId="6D563A2E" w14:textId="77777777" w:rsidR="009E303A" w:rsidRPr="0055776F" w:rsidRDefault="009E303A" w:rsidP="001A0ED7">
                                  <w:pPr>
                                    <w:rPr>
                                      <w:rFonts w:ascii="Arial" w:hAnsi="Arial" w:cs="Arial"/>
                                      <w:sz w:val="20"/>
                                    </w:rPr>
                                  </w:pPr>
                                </w:p>
                              </w:tc>
                              <w:tc>
                                <w:tcPr>
                                  <w:tcW w:w="783" w:type="dxa"/>
                                  <w:tcBorders>
                                    <w:top w:val="single" w:sz="4" w:space="0" w:color="auto"/>
                                  </w:tcBorders>
                                  <w:shd w:val="clear" w:color="auto" w:fill="auto"/>
                                </w:tcPr>
                                <w:p w14:paraId="2002E6BB" w14:textId="77777777" w:rsidR="009E303A" w:rsidRPr="0055776F" w:rsidRDefault="009E303A" w:rsidP="001A0ED7">
                                  <w:pPr>
                                    <w:rPr>
                                      <w:rFonts w:ascii="Arial" w:hAnsi="Arial" w:cs="Arial"/>
                                      <w:sz w:val="20"/>
                                    </w:rPr>
                                  </w:pPr>
                                </w:p>
                              </w:tc>
                              <w:tc>
                                <w:tcPr>
                                  <w:tcW w:w="850" w:type="dxa"/>
                                  <w:tcBorders>
                                    <w:top w:val="single" w:sz="4" w:space="0" w:color="auto"/>
                                  </w:tcBorders>
                                  <w:shd w:val="clear" w:color="auto" w:fill="auto"/>
                                </w:tcPr>
                                <w:p w14:paraId="2A5A5CB1" w14:textId="77777777" w:rsidR="009E303A" w:rsidRPr="0055776F" w:rsidRDefault="009E303A" w:rsidP="001A0ED7">
                                  <w:pPr>
                                    <w:rPr>
                                      <w:rFonts w:ascii="Arial" w:hAnsi="Arial" w:cs="Arial"/>
                                      <w:sz w:val="20"/>
                                    </w:rPr>
                                  </w:pPr>
                                </w:p>
                              </w:tc>
                            </w:tr>
                          </w:tbl>
                          <w:p w14:paraId="67E39C43" w14:textId="77777777" w:rsidR="009E303A" w:rsidRPr="00A33DBA" w:rsidRDefault="009E303A" w:rsidP="00392199">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11DD82" id="_x0000_s1033" type="#_x0000_t202" style="position:absolute;left:0;text-align:left;margin-left:30.7pt;margin-top:89.9pt;width:361.05pt;height:1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" filled="f" stroked="f">
                <v:textbox>
                  <w:txbxContent>
                    <w:tbl>
                      <w:tblPr>
                        <w:tblW w:w="0" w:type="auto"/>
                        <w:tblLook w:val="04A0" w:firstRow="1" w:lastRow="0" w:firstColumn="1" w:lastColumn="0" w:noHBand="0" w:noVBand="1"/>
                      </w:tblPr>
                      <w:tblGrid>
                        <w:gridCol w:w="817"/>
                        <w:gridCol w:w="2464"/>
                        <w:gridCol w:w="371"/>
                        <w:gridCol w:w="851"/>
                        <w:gridCol w:w="783"/>
                        <w:gridCol w:w="850"/>
                      </w:tblGrid>
                      <w:tr w:rsidR="009E303A" w:rsidRPr="00462020" w14:paraId="58BD504F" w14:textId="77777777" w:rsidTr="00A841F1">
                        <w:trPr>
                          <w:gridAfter w:val="4"/>
                          <w:wAfter w:w="2855" w:type="dxa"/>
                        </w:trPr>
                        <w:tc>
                          <w:tcPr>
                            <w:tcW w:w="3281" w:type="dxa"/>
                            <w:gridSpan w:val="2"/>
                            <w:shd w:val="clear" w:color="auto" w:fill="auto"/>
                          </w:tcPr>
                          <w:p w14:paraId="0E6967DA" w14:textId="77777777" w:rsidR="009E303A" w:rsidRPr="00AA1F7F" w:rsidRDefault="009E303A" w:rsidP="00A841F1">
                            <w:pPr>
                              <w:rPr>
                                <w:rFonts w:ascii="Arial" w:hAnsi="Arial" w:cs="Arial"/>
                                <w:sz w:val="20"/>
                                <w:lang w:val="es-ES"/>
                              </w:rPr>
                            </w:pPr>
                            <w:r w:rsidRPr="00AA1F7F">
                              <w:rPr>
                                <w:rFonts w:ascii="Arial" w:hAnsi="Arial" w:cs="Arial"/>
                                <w:sz w:val="20"/>
                                <w:lang w:val="es-ES"/>
                              </w:rPr>
                              <w:t>P</w:t>
                            </w:r>
                            <w:r>
                              <w:rPr>
                                <w:rFonts w:ascii="Arial" w:hAnsi="Arial" w:cs="Arial"/>
                                <w:sz w:val="20"/>
                                <w:lang w:val="es-ES"/>
                              </w:rPr>
                              <w:t> </w:t>
                            </w:r>
                            <w:r w:rsidRPr="00AA1F7F">
                              <w:rPr>
                                <w:rFonts w:ascii="Arial" w:hAnsi="Arial" w:cs="Arial"/>
                                <w:sz w:val="20"/>
                                <w:lang w:val="es-ES"/>
                              </w:rPr>
                              <w:t>&lt;</w:t>
                            </w:r>
                            <w:r>
                              <w:rPr>
                                <w:rFonts w:ascii="Arial" w:hAnsi="Arial" w:cs="Arial"/>
                                <w:sz w:val="20"/>
                                <w:lang w:val="es-ES"/>
                              </w:rPr>
                              <w:t> </w:t>
                            </w:r>
                            <w:r w:rsidRPr="00AA1F7F">
                              <w:rPr>
                                <w:rFonts w:ascii="Arial" w:hAnsi="Arial" w:cs="Arial"/>
                                <w:sz w:val="20"/>
                                <w:lang w:val="es-ES"/>
                              </w:rPr>
                              <w:t>0,0001</w:t>
                            </w:r>
                          </w:p>
                          <w:p w14:paraId="7CC1C264" w14:textId="77777777" w:rsidR="009E303A" w:rsidRPr="00AA1F7F" w:rsidRDefault="009E303A" w:rsidP="00A841F1">
                            <w:pPr>
                              <w:rPr>
                                <w:rFonts w:ascii="Arial" w:hAnsi="Arial" w:cs="Arial"/>
                                <w:sz w:val="20"/>
                                <w:lang w:val="es-ES"/>
                              </w:rPr>
                            </w:pPr>
                            <w:r w:rsidRPr="00574FBC">
                              <w:rPr>
                                <w:rFonts w:ascii="Arial" w:hAnsi="Arial"/>
                                <w:sz w:val="20"/>
                                <w:lang w:val="pt-PT"/>
                              </w:rPr>
                              <w:t xml:space="preserve">relatív hazárd = </w:t>
                            </w:r>
                            <w:r w:rsidRPr="00AA1F7F">
                              <w:rPr>
                                <w:rFonts w:ascii="Arial" w:hAnsi="Arial" w:cs="Arial"/>
                                <w:sz w:val="20"/>
                                <w:lang w:val="es-ES"/>
                              </w:rPr>
                              <w:t>0,46</w:t>
                            </w:r>
                          </w:p>
                          <w:p w14:paraId="304B6DBA" w14:textId="77777777" w:rsidR="009E303A" w:rsidRPr="00AA1F7F" w:rsidRDefault="009E303A" w:rsidP="00A841F1">
                            <w:pPr>
                              <w:rPr>
                                <w:rFonts w:ascii="Arial" w:hAnsi="Arial" w:cs="Arial"/>
                                <w:sz w:val="20"/>
                                <w:lang w:val="es-ES"/>
                              </w:rPr>
                            </w:pPr>
                            <w:r w:rsidRPr="00574FBC">
                              <w:rPr>
                                <w:rFonts w:ascii="Arial" w:hAnsi="Arial"/>
                                <w:sz w:val="20"/>
                                <w:lang w:val="pt-PT"/>
                              </w:rPr>
                              <w:t>(95%-os Cl</w:t>
                            </w:r>
                            <w:r>
                              <w:rPr>
                                <w:rFonts w:ascii="Arial" w:hAnsi="Arial"/>
                                <w:sz w:val="20"/>
                                <w:lang w:val="pt-PT"/>
                              </w:rPr>
                              <w:t>,</w:t>
                            </w:r>
                            <w:r w:rsidRPr="00AA1F7F">
                              <w:rPr>
                                <w:rFonts w:ascii="Arial" w:hAnsi="Arial" w:cs="Arial"/>
                                <w:sz w:val="20"/>
                                <w:lang w:val="es-ES"/>
                              </w:rPr>
                              <w:t xml:space="preserve"> 0,32</w:t>
                            </w:r>
                            <w:r w:rsidRPr="00AA1F7F">
                              <w:rPr>
                                <w:rFonts w:ascii="Arial" w:hAnsi="Arial" w:cs="Arial"/>
                                <w:sz w:val="20"/>
                                <w:lang w:val="es-ES"/>
                              </w:rPr>
                              <w:noBreakHyphen/>
                              <w:t>0,65)</w:t>
                            </w:r>
                          </w:p>
                        </w:tc>
                      </w:tr>
                      <w:tr w:rsidR="009E303A" w:rsidRPr="0055776F" w14:paraId="32D9B061" w14:textId="77777777" w:rsidTr="00660EA0">
                        <w:tc>
                          <w:tcPr>
                            <w:tcW w:w="817" w:type="dxa"/>
                            <w:shd w:val="clear" w:color="auto" w:fill="auto"/>
                          </w:tcPr>
                          <w:p w14:paraId="71BEDB6F" w14:textId="77777777" w:rsidR="009E303A" w:rsidRPr="00AA1F7F" w:rsidRDefault="009E303A" w:rsidP="001A0ED7">
                            <w:pPr>
                              <w:rPr>
                                <w:rFonts w:ascii="Arial" w:hAnsi="Arial" w:cs="Arial"/>
                                <w:sz w:val="20"/>
                                <w:lang w:val="es-ES"/>
                              </w:rPr>
                            </w:pPr>
                          </w:p>
                        </w:tc>
                        <w:tc>
                          <w:tcPr>
                            <w:tcW w:w="2835" w:type="dxa"/>
                            <w:gridSpan w:val="2"/>
                            <w:shd w:val="clear" w:color="auto" w:fill="auto"/>
                          </w:tcPr>
                          <w:p w14:paraId="41F53160" w14:textId="77777777" w:rsidR="009E303A" w:rsidRPr="00AA1F7F" w:rsidRDefault="009E303A" w:rsidP="001A0ED7">
                            <w:pPr>
                              <w:rPr>
                                <w:rFonts w:ascii="Arial" w:hAnsi="Arial" w:cs="Arial"/>
                                <w:sz w:val="20"/>
                                <w:lang w:val="es-ES"/>
                              </w:rPr>
                            </w:pPr>
                          </w:p>
                        </w:tc>
                        <w:tc>
                          <w:tcPr>
                            <w:tcW w:w="851" w:type="dxa"/>
                            <w:tcBorders>
                              <w:bottom w:val="single" w:sz="4" w:space="0" w:color="auto"/>
                            </w:tcBorders>
                            <w:shd w:val="clear" w:color="auto" w:fill="auto"/>
                          </w:tcPr>
                          <w:p w14:paraId="76741A0C" w14:textId="77777777" w:rsidR="009E303A" w:rsidRPr="00660EA0" w:rsidRDefault="009E303A" w:rsidP="001A0ED7">
                            <w:pPr>
                              <w:rPr>
                                <w:rFonts w:ascii="Arial" w:hAnsi="Arial" w:cs="Arial"/>
                                <w:sz w:val="20"/>
                              </w:rPr>
                            </w:pPr>
                            <w:r w:rsidRPr="00660EA0">
                              <w:rPr>
                                <w:rFonts w:ascii="Arial" w:hAnsi="Arial" w:cs="Arial"/>
                                <w:sz w:val="20"/>
                                <w:lang w:val="de-DE"/>
                              </w:rPr>
                              <w:t>N</w:t>
                            </w:r>
                          </w:p>
                        </w:tc>
                        <w:tc>
                          <w:tcPr>
                            <w:tcW w:w="783" w:type="dxa"/>
                            <w:tcBorders>
                              <w:bottom w:val="single" w:sz="4" w:space="0" w:color="auto"/>
                            </w:tcBorders>
                            <w:shd w:val="clear" w:color="auto" w:fill="auto"/>
                          </w:tcPr>
                          <w:p w14:paraId="5F1826F5" w14:textId="77777777" w:rsidR="009E303A" w:rsidRPr="00660EA0" w:rsidRDefault="009E303A" w:rsidP="001A0ED7">
                            <w:pPr>
                              <w:rPr>
                                <w:rFonts w:ascii="Arial" w:hAnsi="Arial" w:cs="Arial"/>
                                <w:sz w:val="20"/>
                              </w:rPr>
                            </w:pPr>
                            <w:r w:rsidRPr="00660EA0">
                              <w:rPr>
                                <w:rFonts w:ascii="Arial" w:hAnsi="Arial"/>
                                <w:sz w:val="20"/>
                                <w:lang w:val="de-CH"/>
                              </w:rPr>
                              <w:t>Esem.</w:t>
                            </w:r>
                          </w:p>
                        </w:tc>
                        <w:tc>
                          <w:tcPr>
                            <w:tcW w:w="850" w:type="dxa"/>
                            <w:tcBorders>
                              <w:bottom w:val="single" w:sz="4" w:space="0" w:color="auto"/>
                            </w:tcBorders>
                            <w:shd w:val="clear" w:color="auto" w:fill="auto"/>
                          </w:tcPr>
                          <w:p w14:paraId="3C9B74B9" w14:textId="77777777" w:rsidR="009E303A" w:rsidRPr="00660EA0" w:rsidRDefault="009E303A" w:rsidP="001A0ED7">
                            <w:pPr>
                              <w:rPr>
                                <w:rFonts w:ascii="Arial" w:hAnsi="Arial" w:cs="Arial"/>
                                <w:sz w:val="20"/>
                              </w:rPr>
                            </w:pPr>
                            <w:r w:rsidRPr="00660EA0">
                              <w:rPr>
                                <w:rFonts w:ascii="Arial" w:hAnsi="Arial"/>
                                <w:sz w:val="20"/>
                                <w:lang w:val="de-CH"/>
                              </w:rPr>
                              <w:t>Cenz.</w:t>
                            </w:r>
                          </w:p>
                        </w:tc>
                      </w:tr>
                      <w:tr w:rsidR="009E303A" w:rsidRPr="0055776F" w14:paraId="551B44B6" w14:textId="77777777" w:rsidTr="00660EA0">
                        <w:tc>
                          <w:tcPr>
                            <w:tcW w:w="817" w:type="dxa"/>
                            <w:shd w:val="clear" w:color="auto" w:fill="auto"/>
                          </w:tcPr>
                          <w:p w14:paraId="6450448A" w14:textId="77777777" w:rsidR="009E303A" w:rsidRPr="0055776F" w:rsidRDefault="009E303A" w:rsidP="001A0ED7">
                            <w:pPr>
                              <w:rPr>
                                <w:rFonts w:ascii="Arial" w:hAnsi="Arial" w:cs="Arial"/>
                                <w:sz w:val="20"/>
                              </w:rPr>
                            </w:pPr>
                            <w:r w:rsidRPr="0055776F">
                              <w:rPr>
                                <w:rFonts w:ascii="Arial" w:hAnsi="Arial" w:cs="Arial"/>
                                <w:b/>
                                <w:sz w:val="20"/>
                              </w:rPr>
                              <w:t>——</w:t>
                            </w:r>
                          </w:p>
                        </w:tc>
                        <w:tc>
                          <w:tcPr>
                            <w:tcW w:w="2835" w:type="dxa"/>
                            <w:gridSpan w:val="2"/>
                            <w:shd w:val="clear" w:color="auto" w:fill="auto"/>
                          </w:tcPr>
                          <w:p w14:paraId="76625106" w14:textId="77777777" w:rsidR="009E303A" w:rsidRPr="0055776F" w:rsidRDefault="009E303A" w:rsidP="001A0ED7">
                            <w:pPr>
                              <w:rPr>
                                <w:rFonts w:ascii="Arial" w:hAnsi="Arial" w:cs="Arial"/>
                                <w:sz w:val="20"/>
                              </w:rPr>
                            </w:pPr>
                            <w:r>
                              <w:rPr>
                                <w:rFonts w:ascii="Arial" w:hAnsi="Arial"/>
                                <w:sz w:val="20"/>
                                <w:lang w:val="pt-PT"/>
                              </w:rPr>
                              <w:t>(1) Imatinib 12 </w:t>
                            </w:r>
                            <w:r w:rsidRPr="00574FBC">
                              <w:rPr>
                                <w:rFonts w:ascii="Arial" w:hAnsi="Arial"/>
                                <w:sz w:val="20"/>
                                <w:lang w:val="pt-PT"/>
                              </w:rPr>
                              <w:t>HÓ:</w:t>
                            </w:r>
                          </w:p>
                        </w:tc>
                        <w:tc>
                          <w:tcPr>
                            <w:tcW w:w="851" w:type="dxa"/>
                            <w:tcBorders>
                              <w:top w:val="single" w:sz="4" w:space="0" w:color="auto"/>
                            </w:tcBorders>
                            <w:shd w:val="clear" w:color="auto" w:fill="auto"/>
                          </w:tcPr>
                          <w:p w14:paraId="34CB4CCA" w14:textId="77777777" w:rsidR="009E303A" w:rsidRPr="0055776F" w:rsidRDefault="009E303A" w:rsidP="001A0ED7">
                            <w:pPr>
                              <w:rPr>
                                <w:rFonts w:ascii="Arial" w:hAnsi="Arial" w:cs="Arial"/>
                                <w:sz w:val="20"/>
                              </w:rPr>
                            </w:pPr>
                            <w:r w:rsidRPr="0055776F">
                              <w:rPr>
                                <w:rFonts w:ascii="Arial" w:hAnsi="Arial" w:cs="Arial"/>
                                <w:sz w:val="20"/>
                              </w:rPr>
                              <w:t>199</w:t>
                            </w:r>
                          </w:p>
                        </w:tc>
                        <w:tc>
                          <w:tcPr>
                            <w:tcW w:w="783" w:type="dxa"/>
                            <w:tcBorders>
                              <w:top w:val="single" w:sz="4" w:space="0" w:color="auto"/>
                            </w:tcBorders>
                            <w:shd w:val="clear" w:color="auto" w:fill="auto"/>
                          </w:tcPr>
                          <w:p w14:paraId="764DB3BA" w14:textId="77777777" w:rsidR="009E303A" w:rsidRPr="0055776F" w:rsidRDefault="009E303A" w:rsidP="001A0ED7">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1DF4D850" w14:textId="77777777" w:rsidR="009E303A" w:rsidRPr="0055776F" w:rsidRDefault="009E303A" w:rsidP="001A0ED7">
                            <w:pPr>
                              <w:rPr>
                                <w:rFonts w:ascii="Arial" w:hAnsi="Arial" w:cs="Arial"/>
                                <w:sz w:val="20"/>
                              </w:rPr>
                            </w:pPr>
                            <w:r w:rsidRPr="0055776F">
                              <w:rPr>
                                <w:rFonts w:ascii="Arial" w:hAnsi="Arial" w:cs="Arial"/>
                                <w:sz w:val="20"/>
                              </w:rPr>
                              <w:t>115</w:t>
                            </w:r>
                          </w:p>
                        </w:tc>
                      </w:tr>
                      <w:tr w:rsidR="009E303A" w:rsidRPr="0055776F" w14:paraId="5A9937AB" w14:textId="77777777" w:rsidTr="00660EA0">
                        <w:tc>
                          <w:tcPr>
                            <w:tcW w:w="817" w:type="dxa"/>
                            <w:shd w:val="clear" w:color="auto" w:fill="auto"/>
                          </w:tcPr>
                          <w:p w14:paraId="1227D72E" w14:textId="77777777" w:rsidR="009E303A" w:rsidRPr="0055776F" w:rsidRDefault="009E303A" w:rsidP="001A0ED7">
                            <w:pPr>
                              <w:rPr>
                                <w:rFonts w:ascii="Arial" w:hAnsi="Arial" w:cs="Arial"/>
                                <w:sz w:val="20"/>
                              </w:rPr>
                            </w:pPr>
                            <w:r w:rsidRPr="0055776F">
                              <w:rPr>
                                <w:rFonts w:ascii="Arial" w:hAnsi="Arial" w:cs="Arial"/>
                                <w:sz w:val="20"/>
                              </w:rPr>
                              <w:t>-----</w:t>
                            </w:r>
                          </w:p>
                        </w:tc>
                        <w:tc>
                          <w:tcPr>
                            <w:tcW w:w="2835" w:type="dxa"/>
                            <w:gridSpan w:val="2"/>
                            <w:shd w:val="clear" w:color="auto" w:fill="auto"/>
                          </w:tcPr>
                          <w:p w14:paraId="1D76CA1E" w14:textId="77777777" w:rsidR="009E303A" w:rsidRPr="0055776F" w:rsidRDefault="009E303A" w:rsidP="001A0ED7">
                            <w:pPr>
                              <w:rPr>
                                <w:rFonts w:ascii="Arial" w:hAnsi="Arial" w:cs="Arial"/>
                                <w:sz w:val="20"/>
                              </w:rPr>
                            </w:pPr>
                            <w:r>
                              <w:rPr>
                                <w:rFonts w:ascii="Arial" w:hAnsi="Arial"/>
                                <w:sz w:val="20"/>
                              </w:rPr>
                              <w:t>(2) Imatinib 36 HÓ:</w:t>
                            </w:r>
                          </w:p>
                        </w:tc>
                        <w:tc>
                          <w:tcPr>
                            <w:tcW w:w="851" w:type="dxa"/>
                            <w:tcBorders>
                              <w:bottom w:val="single" w:sz="4" w:space="0" w:color="auto"/>
                            </w:tcBorders>
                            <w:shd w:val="clear" w:color="auto" w:fill="auto"/>
                          </w:tcPr>
                          <w:p w14:paraId="7134A288" w14:textId="77777777" w:rsidR="009E303A" w:rsidRPr="0055776F" w:rsidRDefault="009E303A" w:rsidP="001A0ED7">
                            <w:pPr>
                              <w:rPr>
                                <w:rFonts w:ascii="Arial" w:hAnsi="Arial" w:cs="Arial"/>
                                <w:sz w:val="20"/>
                              </w:rPr>
                            </w:pPr>
                            <w:r w:rsidRPr="0055776F">
                              <w:rPr>
                                <w:rFonts w:ascii="Arial" w:hAnsi="Arial" w:cs="Arial"/>
                                <w:sz w:val="20"/>
                              </w:rPr>
                              <w:t>198</w:t>
                            </w:r>
                          </w:p>
                        </w:tc>
                        <w:tc>
                          <w:tcPr>
                            <w:tcW w:w="783" w:type="dxa"/>
                            <w:tcBorders>
                              <w:bottom w:val="single" w:sz="4" w:space="0" w:color="auto"/>
                            </w:tcBorders>
                            <w:shd w:val="clear" w:color="auto" w:fill="auto"/>
                          </w:tcPr>
                          <w:p w14:paraId="0B4C401C" w14:textId="77777777" w:rsidR="009E303A" w:rsidRPr="0055776F" w:rsidRDefault="009E303A" w:rsidP="001A0ED7">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074419AA" w14:textId="77777777" w:rsidR="009E303A" w:rsidRPr="0055776F" w:rsidRDefault="009E303A" w:rsidP="001A0ED7">
                            <w:pPr>
                              <w:rPr>
                                <w:rFonts w:ascii="Arial" w:hAnsi="Arial" w:cs="Arial"/>
                                <w:sz w:val="20"/>
                              </w:rPr>
                            </w:pPr>
                            <w:r w:rsidRPr="0055776F">
                              <w:rPr>
                                <w:rFonts w:ascii="Arial" w:hAnsi="Arial" w:cs="Arial"/>
                                <w:sz w:val="20"/>
                              </w:rPr>
                              <w:t>148</w:t>
                            </w:r>
                          </w:p>
                        </w:tc>
                      </w:tr>
                      <w:tr w:rsidR="009E303A" w:rsidRPr="0055776F" w14:paraId="67A2B416" w14:textId="77777777" w:rsidTr="00660EA0">
                        <w:tc>
                          <w:tcPr>
                            <w:tcW w:w="817" w:type="dxa"/>
                            <w:shd w:val="clear" w:color="auto" w:fill="auto"/>
                          </w:tcPr>
                          <w:p w14:paraId="42F97BB4" w14:textId="77777777" w:rsidR="009E303A" w:rsidRPr="0055776F" w:rsidRDefault="009E303A" w:rsidP="001A0ED7">
                            <w:pPr>
                              <w:rPr>
                                <w:rFonts w:ascii="Arial" w:hAnsi="Arial" w:cs="Arial"/>
                                <w:sz w:val="20"/>
                              </w:rPr>
                            </w:pPr>
                            <w:r w:rsidRPr="0055776F">
                              <w:rPr>
                                <w:rFonts w:ascii="Arial" w:hAnsi="Arial" w:cs="Arial"/>
                                <w:sz w:val="20"/>
                              </w:rPr>
                              <w:t>│││</w:t>
                            </w:r>
                          </w:p>
                        </w:tc>
                        <w:tc>
                          <w:tcPr>
                            <w:tcW w:w="2835" w:type="dxa"/>
                            <w:gridSpan w:val="2"/>
                            <w:shd w:val="clear" w:color="auto" w:fill="auto"/>
                          </w:tcPr>
                          <w:p w14:paraId="780B8766" w14:textId="77777777" w:rsidR="009E303A" w:rsidRPr="0055776F" w:rsidRDefault="009E303A" w:rsidP="001A0ED7">
                            <w:pPr>
                              <w:rPr>
                                <w:rFonts w:ascii="Arial" w:hAnsi="Arial" w:cs="Arial"/>
                                <w:sz w:val="20"/>
                              </w:rPr>
                            </w:pPr>
                            <w:r>
                              <w:rPr>
                                <w:rFonts w:ascii="Arial" w:hAnsi="Arial"/>
                                <w:sz w:val="20"/>
                              </w:rPr>
                              <w:t>Cenzúrázott megfigyelések</w:t>
                            </w:r>
                          </w:p>
                        </w:tc>
                        <w:tc>
                          <w:tcPr>
                            <w:tcW w:w="851" w:type="dxa"/>
                            <w:tcBorders>
                              <w:top w:val="single" w:sz="4" w:space="0" w:color="auto"/>
                            </w:tcBorders>
                            <w:shd w:val="clear" w:color="auto" w:fill="auto"/>
                          </w:tcPr>
                          <w:p w14:paraId="6D563A2E" w14:textId="77777777" w:rsidR="009E303A" w:rsidRPr="0055776F" w:rsidRDefault="009E303A" w:rsidP="001A0ED7">
                            <w:pPr>
                              <w:rPr>
                                <w:rFonts w:ascii="Arial" w:hAnsi="Arial" w:cs="Arial"/>
                                <w:sz w:val="20"/>
                              </w:rPr>
                            </w:pPr>
                          </w:p>
                        </w:tc>
                        <w:tc>
                          <w:tcPr>
                            <w:tcW w:w="783" w:type="dxa"/>
                            <w:tcBorders>
                              <w:top w:val="single" w:sz="4" w:space="0" w:color="auto"/>
                            </w:tcBorders>
                            <w:shd w:val="clear" w:color="auto" w:fill="auto"/>
                          </w:tcPr>
                          <w:p w14:paraId="2002E6BB" w14:textId="77777777" w:rsidR="009E303A" w:rsidRPr="0055776F" w:rsidRDefault="009E303A" w:rsidP="001A0ED7">
                            <w:pPr>
                              <w:rPr>
                                <w:rFonts w:ascii="Arial" w:hAnsi="Arial" w:cs="Arial"/>
                                <w:sz w:val="20"/>
                              </w:rPr>
                            </w:pPr>
                          </w:p>
                        </w:tc>
                        <w:tc>
                          <w:tcPr>
                            <w:tcW w:w="850" w:type="dxa"/>
                            <w:tcBorders>
                              <w:top w:val="single" w:sz="4" w:space="0" w:color="auto"/>
                            </w:tcBorders>
                            <w:shd w:val="clear" w:color="auto" w:fill="auto"/>
                          </w:tcPr>
                          <w:p w14:paraId="2A5A5CB1" w14:textId="77777777" w:rsidR="009E303A" w:rsidRPr="0055776F" w:rsidRDefault="009E303A" w:rsidP="001A0ED7">
                            <w:pPr>
                              <w:rPr>
                                <w:rFonts w:ascii="Arial" w:hAnsi="Arial" w:cs="Arial"/>
                                <w:sz w:val="20"/>
                              </w:rPr>
                            </w:pPr>
                          </w:p>
                        </w:tc>
                      </w:tr>
                    </w:tbl>
                    <w:p w14:paraId="67E39C43" w14:textId="77777777" w:rsidR="009E303A" w:rsidRPr="00A33DBA" w:rsidRDefault="009E303A" w:rsidP="00392199">
                      <w:pPr>
                        <w:rPr>
                          <w:rFonts w:ascii="Arial" w:hAnsi="Arial" w:cs="Arial"/>
                          <w:sz w:val="20"/>
                        </w:rPr>
                      </w:pPr>
                    </w:p>
                  </w:txbxContent>
                </v:textbox>
              </v:shape>
            </w:pict>
          </mc:Fallback>
        </mc:AlternateContent>
      </w:r>
      <w:r w:rsidRPr="00654EF1">
        <w:rPr>
          <w:noProof/>
          <w:lang w:val="en-US" w:eastAsia="en-US" w:bidi="ar-SA"/>
        </w:rPr>
        <w:drawing>
          <wp:inline distT="0" distB="0" distL="0" distR="0" wp14:anchorId="5D039636" wp14:editId="6DA678BF">
            <wp:extent cx="5939790" cy="2679700"/>
            <wp:effectExtent l="0" t="0" r="381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46630D52" w14:textId="77777777" w:rsidR="00392199" w:rsidRPr="00654EF1" w:rsidRDefault="00392199" w:rsidP="00392199">
      <w:pPr>
        <w:widowControl w:val="0"/>
        <w:tabs>
          <w:tab w:val="left" w:pos="1134"/>
        </w:tabs>
        <w:spacing w:line="240" w:lineRule="auto"/>
        <w:ind w:left="1134" w:hanging="1134"/>
        <w:outlineLvl w:val="6"/>
        <w:rPr>
          <w:rFonts w:eastAsia="MS Mincho"/>
          <w:szCs w:val="22"/>
          <w:lang w:val="en-US"/>
        </w:rPr>
      </w:pPr>
      <w:r w:rsidRPr="00654EF1">
        <w:rPr>
          <w:rFonts w:eastAsia="MS Mincho"/>
          <w:noProof/>
          <w:szCs w:val="22"/>
          <w:lang w:val="en-US" w:eastAsia="en-US" w:bidi="ar-SA"/>
        </w:rPr>
        <mc:AlternateContent>
          <mc:Choice Requires="wps">
            <w:drawing>
              <wp:anchor distT="0" distB="0" distL="114300" distR="114300" simplePos="0" relativeHeight="251676672" behindDoc="0" locked="0" layoutInCell="1" allowOverlap="1" wp14:anchorId="26731D24" wp14:editId="2931BB55">
                <wp:simplePos x="0" y="0"/>
                <wp:positionH relativeFrom="column">
                  <wp:posOffset>2327800</wp:posOffset>
                </wp:positionH>
                <wp:positionV relativeFrom="paragraph">
                  <wp:posOffset>12534</wp:posOffset>
                </wp:positionV>
                <wp:extent cx="1661822" cy="295275"/>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822"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2C737" w14:textId="77777777" w:rsidR="009E303A" w:rsidRPr="00A33DBA" w:rsidRDefault="009E303A" w:rsidP="00392199">
                            <w:pPr>
                              <w:rPr>
                                <w:rFonts w:ascii="Arial" w:hAnsi="Arial" w:cs="Arial"/>
                                <w:sz w:val="20"/>
                              </w:rPr>
                            </w:pPr>
                            <w:r>
                              <w:rPr>
                                <w:rFonts w:ascii="Arial" w:hAnsi="Arial"/>
                                <w:sz w:val="20"/>
                              </w:rPr>
                              <w:t>Túlélési idő hónapokban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731D24" id="Text Box 69" o:spid="_x0000_s1034" type="#_x0000_t202" style="position:absolute;left:0;text-align:left;margin-left:183.3pt;margin-top:1pt;width:130.8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" stroked="f">
                <v:fill opacity="0"/>
                <v:textbox>
                  <w:txbxContent>
                    <w:p w14:paraId="5AD2C737" w14:textId="77777777" w:rsidR="009E303A" w:rsidRPr="00A33DBA" w:rsidRDefault="009E303A" w:rsidP="00392199">
                      <w:pPr>
                        <w:rPr>
                          <w:rFonts w:ascii="Arial" w:hAnsi="Arial" w:cs="Arial"/>
                          <w:sz w:val="20"/>
                        </w:rPr>
                      </w:pPr>
                      <w:r>
                        <w:rPr>
                          <w:rFonts w:ascii="Arial" w:hAnsi="Arial"/>
                          <w:sz w:val="20"/>
                        </w:rPr>
                        <w:t>Túlélési idő hónapokban</w:t>
                      </w:r>
                    </w:p>
                  </w:txbxContent>
                </v:textbox>
              </v:shape>
            </w:pict>
          </mc:Fallback>
        </mc:AlternateContent>
      </w:r>
    </w:p>
    <w:p w14:paraId="6102DE93" w14:textId="77777777" w:rsidR="00392199" w:rsidRPr="00654EF1" w:rsidRDefault="00392199" w:rsidP="00392199">
      <w:pPr>
        <w:widowControl w:val="0"/>
        <w:spacing w:line="240" w:lineRule="auto"/>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392199" w:rsidRPr="00556B9B" w14:paraId="123C6572" w14:textId="77777777" w:rsidTr="00F926B9">
        <w:tc>
          <w:tcPr>
            <w:tcW w:w="10599" w:type="dxa"/>
            <w:gridSpan w:val="16"/>
            <w:shd w:val="clear" w:color="auto" w:fill="auto"/>
          </w:tcPr>
          <w:p w14:paraId="46219ACC" w14:textId="77777777" w:rsidR="00392199" w:rsidRPr="00556B9B" w:rsidRDefault="00392199" w:rsidP="00F926B9">
            <w:pPr>
              <w:keepNext/>
              <w:widowControl w:val="0"/>
              <w:ind w:left="-27"/>
              <w:rPr>
                <w:rFonts w:ascii="Arial" w:hAnsi="Arial" w:cs="Arial"/>
                <w:sz w:val="16"/>
                <w:szCs w:val="16"/>
              </w:rPr>
            </w:pPr>
            <w:r w:rsidRPr="00556B9B">
              <w:rPr>
                <w:rFonts w:ascii="Arial" w:hAnsi="Arial" w:cs="Arial"/>
                <w:sz w:val="20"/>
              </w:rPr>
              <w:t>Veszélyeztetettek: Események</w:t>
            </w:r>
          </w:p>
        </w:tc>
      </w:tr>
      <w:tr w:rsidR="00392199" w:rsidRPr="00556B9B" w14:paraId="76DFBB24" w14:textId="77777777" w:rsidTr="00F926B9">
        <w:tc>
          <w:tcPr>
            <w:tcW w:w="450" w:type="dxa"/>
            <w:shd w:val="clear" w:color="auto" w:fill="auto"/>
          </w:tcPr>
          <w:p w14:paraId="320C7805" w14:textId="77777777" w:rsidR="00392199" w:rsidRPr="00556B9B" w:rsidRDefault="00392199" w:rsidP="00F926B9">
            <w:pPr>
              <w:keepNext/>
              <w:widowControl w:val="0"/>
              <w:rPr>
                <w:sz w:val="20"/>
              </w:rPr>
            </w:pPr>
            <w:r w:rsidRPr="00556B9B">
              <w:rPr>
                <w:sz w:val="20"/>
              </w:rPr>
              <w:t>(1)</w:t>
            </w:r>
          </w:p>
        </w:tc>
        <w:tc>
          <w:tcPr>
            <w:tcW w:w="646" w:type="dxa"/>
            <w:shd w:val="clear" w:color="auto" w:fill="auto"/>
          </w:tcPr>
          <w:p w14:paraId="236514BC" w14:textId="77777777" w:rsidR="00392199" w:rsidRPr="00556B9B" w:rsidRDefault="00392199" w:rsidP="00F926B9">
            <w:pPr>
              <w:keepNext/>
              <w:widowControl w:val="0"/>
              <w:ind w:left="-27"/>
              <w:rPr>
                <w:sz w:val="20"/>
              </w:rPr>
            </w:pPr>
            <w:r w:rsidRPr="00556B9B">
              <w:rPr>
                <w:sz w:val="20"/>
              </w:rPr>
              <w:t>199:0</w:t>
            </w:r>
          </w:p>
        </w:tc>
        <w:tc>
          <w:tcPr>
            <w:tcW w:w="645" w:type="dxa"/>
            <w:shd w:val="clear" w:color="auto" w:fill="auto"/>
          </w:tcPr>
          <w:p w14:paraId="77D93D9F" w14:textId="77777777" w:rsidR="00392199" w:rsidRPr="00556B9B" w:rsidRDefault="00392199" w:rsidP="00F926B9">
            <w:pPr>
              <w:keepNext/>
              <w:widowControl w:val="0"/>
              <w:ind w:left="-27"/>
              <w:rPr>
                <w:sz w:val="20"/>
              </w:rPr>
            </w:pPr>
            <w:r w:rsidRPr="00556B9B">
              <w:rPr>
                <w:sz w:val="20"/>
              </w:rPr>
              <w:t>182:8</w:t>
            </w:r>
          </w:p>
        </w:tc>
        <w:tc>
          <w:tcPr>
            <w:tcW w:w="745" w:type="dxa"/>
            <w:shd w:val="clear" w:color="auto" w:fill="auto"/>
          </w:tcPr>
          <w:p w14:paraId="641DE7FB" w14:textId="77777777" w:rsidR="00392199" w:rsidRPr="00556B9B" w:rsidRDefault="00392199" w:rsidP="00F926B9">
            <w:pPr>
              <w:keepNext/>
              <w:widowControl w:val="0"/>
              <w:ind w:left="-27"/>
              <w:rPr>
                <w:sz w:val="20"/>
              </w:rPr>
            </w:pPr>
            <w:r w:rsidRPr="00556B9B">
              <w:rPr>
                <w:sz w:val="20"/>
              </w:rPr>
              <w:t>177:12</w:t>
            </w:r>
          </w:p>
        </w:tc>
        <w:tc>
          <w:tcPr>
            <w:tcW w:w="745" w:type="dxa"/>
            <w:shd w:val="clear" w:color="auto" w:fill="auto"/>
          </w:tcPr>
          <w:p w14:paraId="6A5985B0" w14:textId="77777777" w:rsidR="00392199" w:rsidRPr="00556B9B" w:rsidRDefault="00392199" w:rsidP="00F926B9">
            <w:pPr>
              <w:keepNext/>
              <w:widowControl w:val="0"/>
              <w:ind w:left="-27"/>
              <w:rPr>
                <w:sz w:val="20"/>
              </w:rPr>
            </w:pPr>
            <w:r w:rsidRPr="00556B9B">
              <w:rPr>
                <w:sz w:val="20"/>
              </w:rPr>
              <w:t>163:25</w:t>
            </w:r>
          </w:p>
        </w:tc>
        <w:tc>
          <w:tcPr>
            <w:tcW w:w="745" w:type="dxa"/>
            <w:shd w:val="clear" w:color="auto" w:fill="auto"/>
          </w:tcPr>
          <w:p w14:paraId="076A944C" w14:textId="77777777" w:rsidR="00392199" w:rsidRPr="00556B9B" w:rsidRDefault="00392199" w:rsidP="00F926B9">
            <w:pPr>
              <w:keepNext/>
              <w:widowControl w:val="0"/>
              <w:ind w:left="-27"/>
              <w:rPr>
                <w:sz w:val="20"/>
              </w:rPr>
            </w:pPr>
            <w:r w:rsidRPr="00556B9B">
              <w:rPr>
                <w:sz w:val="20"/>
              </w:rPr>
              <w:t>137:46</w:t>
            </w:r>
          </w:p>
        </w:tc>
        <w:tc>
          <w:tcPr>
            <w:tcW w:w="752" w:type="dxa"/>
            <w:shd w:val="clear" w:color="auto" w:fill="auto"/>
          </w:tcPr>
          <w:p w14:paraId="1EC7D58B" w14:textId="77777777" w:rsidR="00392199" w:rsidRPr="00556B9B" w:rsidRDefault="00392199" w:rsidP="00F926B9">
            <w:pPr>
              <w:keepNext/>
              <w:widowControl w:val="0"/>
              <w:ind w:left="-27"/>
              <w:rPr>
                <w:sz w:val="20"/>
              </w:rPr>
            </w:pPr>
            <w:r w:rsidRPr="00556B9B">
              <w:rPr>
                <w:sz w:val="20"/>
              </w:rPr>
              <w:t>105:65</w:t>
            </w:r>
          </w:p>
        </w:tc>
        <w:tc>
          <w:tcPr>
            <w:tcW w:w="745" w:type="dxa"/>
            <w:shd w:val="clear" w:color="auto" w:fill="auto"/>
          </w:tcPr>
          <w:p w14:paraId="7357F63B" w14:textId="77777777" w:rsidR="00392199" w:rsidRPr="00556B9B" w:rsidRDefault="00392199" w:rsidP="00F926B9">
            <w:pPr>
              <w:keepNext/>
              <w:widowControl w:val="0"/>
              <w:ind w:left="-27"/>
              <w:rPr>
                <w:sz w:val="20"/>
              </w:rPr>
            </w:pPr>
            <w:r w:rsidRPr="00556B9B">
              <w:rPr>
                <w:sz w:val="20"/>
              </w:rPr>
              <w:t>88:72</w:t>
            </w:r>
          </w:p>
        </w:tc>
        <w:tc>
          <w:tcPr>
            <w:tcW w:w="745" w:type="dxa"/>
            <w:shd w:val="clear" w:color="auto" w:fill="auto"/>
          </w:tcPr>
          <w:p w14:paraId="108E333E" w14:textId="77777777" w:rsidR="00392199" w:rsidRPr="00556B9B" w:rsidRDefault="00392199" w:rsidP="00F926B9">
            <w:pPr>
              <w:keepNext/>
              <w:widowControl w:val="0"/>
              <w:ind w:left="-27"/>
              <w:rPr>
                <w:sz w:val="20"/>
              </w:rPr>
            </w:pPr>
            <w:r w:rsidRPr="00556B9B">
              <w:rPr>
                <w:sz w:val="20"/>
              </w:rPr>
              <w:t>61:77</w:t>
            </w:r>
          </w:p>
        </w:tc>
        <w:tc>
          <w:tcPr>
            <w:tcW w:w="652" w:type="dxa"/>
            <w:shd w:val="clear" w:color="auto" w:fill="auto"/>
          </w:tcPr>
          <w:p w14:paraId="3A50841A" w14:textId="77777777" w:rsidR="00392199" w:rsidRPr="00556B9B" w:rsidRDefault="00392199" w:rsidP="00F926B9">
            <w:pPr>
              <w:keepNext/>
              <w:widowControl w:val="0"/>
              <w:ind w:left="-27"/>
              <w:rPr>
                <w:sz w:val="20"/>
              </w:rPr>
            </w:pPr>
            <w:r w:rsidRPr="00556B9B">
              <w:rPr>
                <w:sz w:val="20"/>
              </w:rPr>
              <w:t>49:81</w:t>
            </w:r>
          </w:p>
        </w:tc>
        <w:tc>
          <w:tcPr>
            <w:tcW w:w="652" w:type="dxa"/>
            <w:shd w:val="clear" w:color="auto" w:fill="auto"/>
          </w:tcPr>
          <w:p w14:paraId="3DE8A439" w14:textId="77777777" w:rsidR="00392199" w:rsidRPr="00556B9B" w:rsidRDefault="00392199" w:rsidP="00F926B9">
            <w:pPr>
              <w:keepNext/>
              <w:widowControl w:val="0"/>
              <w:ind w:left="-27"/>
              <w:rPr>
                <w:sz w:val="20"/>
              </w:rPr>
            </w:pPr>
            <w:r w:rsidRPr="00556B9B">
              <w:rPr>
                <w:sz w:val="20"/>
              </w:rPr>
              <w:t>36:83</w:t>
            </w:r>
          </w:p>
        </w:tc>
        <w:tc>
          <w:tcPr>
            <w:tcW w:w="649" w:type="dxa"/>
            <w:shd w:val="clear" w:color="auto" w:fill="auto"/>
          </w:tcPr>
          <w:p w14:paraId="20F10330" w14:textId="77777777" w:rsidR="00392199" w:rsidRPr="00556B9B" w:rsidRDefault="00392199" w:rsidP="00F926B9">
            <w:pPr>
              <w:keepNext/>
              <w:widowControl w:val="0"/>
              <w:ind w:left="-27"/>
              <w:rPr>
                <w:sz w:val="20"/>
              </w:rPr>
            </w:pPr>
            <w:r w:rsidRPr="00556B9B">
              <w:rPr>
                <w:sz w:val="20"/>
              </w:rPr>
              <w:t>27:84</w:t>
            </w:r>
          </w:p>
        </w:tc>
        <w:tc>
          <w:tcPr>
            <w:tcW w:w="660" w:type="dxa"/>
            <w:shd w:val="clear" w:color="auto" w:fill="auto"/>
          </w:tcPr>
          <w:p w14:paraId="5914122A" w14:textId="77777777" w:rsidR="00392199" w:rsidRPr="00556B9B" w:rsidRDefault="00392199" w:rsidP="00F926B9">
            <w:pPr>
              <w:keepNext/>
              <w:widowControl w:val="0"/>
              <w:ind w:left="-27"/>
              <w:rPr>
                <w:sz w:val="20"/>
              </w:rPr>
            </w:pPr>
            <w:r w:rsidRPr="00556B9B">
              <w:rPr>
                <w:sz w:val="20"/>
              </w:rPr>
              <w:t>14:84</w:t>
            </w:r>
          </w:p>
        </w:tc>
        <w:tc>
          <w:tcPr>
            <w:tcW w:w="649" w:type="dxa"/>
            <w:shd w:val="clear" w:color="auto" w:fill="auto"/>
          </w:tcPr>
          <w:p w14:paraId="7209CB44" w14:textId="77777777" w:rsidR="00392199" w:rsidRPr="00556B9B" w:rsidRDefault="00392199" w:rsidP="00F926B9">
            <w:pPr>
              <w:keepNext/>
              <w:widowControl w:val="0"/>
              <w:ind w:left="-27"/>
              <w:rPr>
                <w:sz w:val="20"/>
              </w:rPr>
            </w:pPr>
            <w:r w:rsidRPr="00556B9B">
              <w:rPr>
                <w:sz w:val="20"/>
              </w:rPr>
              <w:t>10:84</w:t>
            </w:r>
          </w:p>
        </w:tc>
        <w:tc>
          <w:tcPr>
            <w:tcW w:w="564" w:type="dxa"/>
            <w:shd w:val="clear" w:color="auto" w:fill="auto"/>
          </w:tcPr>
          <w:p w14:paraId="7CC7F320" w14:textId="77777777" w:rsidR="00392199" w:rsidRPr="00556B9B" w:rsidRDefault="00392199" w:rsidP="00F926B9">
            <w:pPr>
              <w:keepNext/>
              <w:widowControl w:val="0"/>
              <w:ind w:left="-27"/>
              <w:rPr>
                <w:sz w:val="20"/>
              </w:rPr>
            </w:pPr>
            <w:r w:rsidRPr="00556B9B">
              <w:rPr>
                <w:sz w:val="20"/>
              </w:rPr>
              <w:t>2:84</w:t>
            </w:r>
          </w:p>
        </w:tc>
        <w:tc>
          <w:tcPr>
            <w:tcW w:w="555" w:type="dxa"/>
            <w:shd w:val="clear" w:color="auto" w:fill="auto"/>
          </w:tcPr>
          <w:p w14:paraId="1DC7038B" w14:textId="77777777" w:rsidR="00392199" w:rsidRPr="00556B9B" w:rsidRDefault="00392199" w:rsidP="00F926B9">
            <w:pPr>
              <w:keepNext/>
              <w:widowControl w:val="0"/>
              <w:ind w:left="-27"/>
              <w:rPr>
                <w:sz w:val="20"/>
              </w:rPr>
            </w:pPr>
            <w:r w:rsidRPr="00556B9B">
              <w:rPr>
                <w:sz w:val="20"/>
              </w:rPr>
              <w:t>0:84</w:t>
            </w:r>
          </w:p>
        </w:tc>
      </w:tr>
      <w:tr w:rsidR="00392199" w:rsidRPr="00556B9B" w14:paraId="66A430B4" w14:textId="77777777" w:rsidTr="00F926B9">
        <w:tc>
          <w:tcPr>
            <w:tcW w:w="450" w:type="dxa"/>
            <w:shd w:val="clear" w:color="auto" w:fill="auto"/>
          </w:tcPr>
          <w:p w14:paraId="001B5782" w14:textId="77777777" w:rsidR="00392199" w:rsidRPr="00556B9B" w:rsidRDefault="00392199" w:rsidP="00F926B9">
            <w:pPr>
              <w:rPr>
                <w:sz w:val="20"/>
              </w:rPr>
            </w:pPr>
            <w:r w:rsidRPr="00556B9B">
              <w:rPr>
                <w:sz w:val="20"/>
              </w:rPr>
              <w:t>(2)</w:t>
            </w:r>
          </w:p>
        </w:tc>
        <w:tc>
          <w:tcPr>
            <w:tcW w:w="646" w:type="dxa"/>
            <w:shd w:val="clear" w:color="auto" w:fill="auto"/>
          </w:tcPr>
          <w:p w14:paraId="33F8BA6B" w14:textId="77777777" w:rsidR="00392199" w:rsidRPr="00556B9B" w:rsidRDefault="00392199" w:rsidP="00F926B9">
            <w:pPr>
              <w:ind w:left="-27"/>
              <w:rPr>
                <w:sz w:val="20"/>
              </w:rPr>
            </w:pPr>
            <w:r w:rsidRPr="00556B9B">
              <w:rPr>
                <w:sz w:val="20"/>
              </w:rPr>
              <w:t>198:0</w:t>
            </w:r>
          </w:p>
        </w:tc>
        <w:tc>
          <w:tcPr>
            <w:tcW w:w="645" w:type="dxa"/>
            <w:shd w:val="clear" w:color="auto" w:fill="auto"/>
          </w:tcPr>
          <w:p w14:paraId="68146A72" w14:textId="77777777" w:rsidR="00392199" w:rsidRPr="00556B9B" w:rsidRDefault="00392199" w:rsidP="00F926B9">
            <w:pPr>
              <w:ind w:left="-27"/>
              <w:rPr>
                <w:sz w:val="20"/>
              </w:rPr>
            </w:pPr>
            <w:r w:rsidRPr="00556B9B">
              <w:rPr>
                <w:sz w:val="20"/>
              </w:rPr>
              <w:t>189:5</w:t>
            </w:r>
          </w:p>
        </w:tc>
        <w:tc>
          <w:tcPr>
            <w:tcW w:w="745" w:type="dxa"/>
            <w:shd w:val="clear" w:color="auto" w:fill="auto"/>
          </w:tcPr>
          <w:p w14:paraId="72447BE4" w14:textId="77777777" w:rsidR="00392199" w:rsidRPr="00556B9B" w:rsidRDefault="00392199" w:rsidP="00F926B9">
            <w:pPr>
              <w:ind w:left="-27"/>
              <w:rPr>
                <w:sz w:val="20"/>
              </w:rPr>
            </w:pPr>
            <w:r w:rsidRPr="00556B9B">
              <w:rPr>
                <w:sz w:val="20"/>
              </w:rPr>
              <w:t>184:8</w:t>
            </w:r>
          </w:p>
        </w:tc>
        <w:tc>
          <w:tcPr>
            <w:tcW w:w="745" w:type="dxa"/>
            <w:shd w:val="clear" w:color="auto" w:fill="auto"/>
          </w:tcPr>
          <w:p w14:paraId="4851C9EC" w14:textId="77777777" w:rsidR="00392199" w:rsidRPr="00556B9B" w:rsidRDefault="00392199" w:rsidP="00F926B9">
            <w:pPr>
              <w:ind w:left="-27"/>
              <w:rPr>
                <w:sz w:val="20"/>
              </w:rPr>
            </w:pPr>
            <w:r w:rsidRPr="00556B9B">
              <w:rPr>
                <w:sz w:val="20"/>
              </w:rPr>
              <w:t>181:11</w:t>
            </w:r>
          </w:p>
        </w:tc>
        <w:tc>
          <w:tcPr>
            <w:tcW w:w="745" w:type="dxa"/>
            <w:shd w:val="clear" w:color="auto" w:fill="auto"/>
          </w:tcPr>
          <w:p w14:paraId="04BC3263" w14:textId="77777777" w:rsidR="00392199" w:rsidRPr="00556B9B" w:rsidRDefault="00392199" w:rsidP="00F926B9">
            <w:pPr>
              <w:ind w:left="-27"/>
              <w:rPr>
                <w:sz w:val="20"/>
              </w:rPr>
            </w:pPr>
            <w:r w:rsidRPr="00556B9B">
              <w:rPr>
                <w:sz w:val="20"/>
              </w:rPr>
              <w:t>173:18</w:t>
            </w:r>
          </w:p>
        </w:tc>
        <w:tc>
          <w:tcPr>
            <w:tcW w:w="752" w:type="dxa"/>
            <w:shd w:val="clear" w:color="auto" w:fill="auto"/>
          </w:tcPr>
          <w:p w14:paraId="42E5B6AA" w14:textId="77777777" w:rsidR="00392199" w:rsidRPr="00556B9B" w:rsidRDefault="00392199" w:rsidP="00F926B9">
            <w:pPr>
              <w:ind w:left="-27"/>
              <w:rPr>
                <w:sz w:val="20"/>
              </w:rPr>
            </w:pPr>
            <w:r w:rsidRPr="00556B9B">
              <w:rPr>
                <w:sz w:val="20"/>
              </w:rPr>
              <w:t>152:22</w:t>
            </w:r>
          </w:p>
        </w:tc>
        <w:tc>
          <w:tcPr>
            <w:tcW w:w="745" w:type="dxa"/>
            <w:shd w:val="clear" w:color="auto" w:fill="auto"/>
          </w:tcPr>
          <w:p w14:paraId="019D622A" w14:textId="77777777" w:rsidR="00392199" w:rsidRPr="00556B9B" w:rsidRDefault="00392199" w:rsidP="00F926B9">
            <w:pPr>
              <w:ind w:left="-27"/>
              <w:rPr>
                <w:sz w:val="20"/>
              </w:rPr>
            </w:pPr>
            <w:r w:rsidRPr="00556B9B">
              <w:rPr>
                <w:sz w:val="20"/>
              </w:rPr>
              <w:t>133:25</w:t>
            </w:r>
          </w:p>
        </w:tc>
        <w:tc>
          <w:tcPr>
            <w:tcW w:w="745" w:type="dxa"/>
            <w:shd w:val="clear" w:color="auto" w:fill="auto"/>
          </w:tcPr>
          <w:p w14:paraId="0DCBA6E6" w14:textId="77777777" w:rsidR="00392199" w:rsidRPr="00556B9B" w:rsidRDefault="00392199" w:rsidP="00F926B9">
            <w:pPr>
              <w:ind w:left="-27"/>
              <w:rPr>
                <w:sz w:val="20"/>
              </w:rPr>
            </w:pPr>
            <w:r w:rsidRPr="00556B9B">
              <w:rPr>
                <w:sz w:val="20"/>
              </w:rPr>
              <w:t>102:29</w:t>
            </w:r>
          </w:p>
        </w:tc>
        <w:tc>
          <w:tcPr>
            <w:tcW w:w="652" w:type="dxa"/>
            <w:shd w:val="clear" w:color="auto" w:fill="auto"/>
          </w:tcPr>
          <w:p w14:paraId="58CE7D87" w14:textId="77777777" w:rsidR="00392199" w:rsidRPr="00556B9B" w:rsidRDefault="00392199" w:rsidP="00F926B9">
            <w:pPr>
              <w:ind w:left="-27"/>
              <w:rPr>
                <w:sz w:val="20"/>
              </w:rPr>
            </w:pPr>
            <w:r w:rsidRPr="00556B9B">
              <w:rPr>
                <w:sz w:val="20"/>
              </w:rPr>
              <w:t>82:35</w:t>
            </w:r>
          </w:p>
        </w:tc>
        <w:tc>
          <w:tcPr>
            <w:tcW w:w="652" w:type="dxa"/>
            <w:shd w:val="clear" w:color="auto" w:fill="auto"/>
          </w:tcPr>
          <w:p w14:paraId="04B27D53" w14:textId="77777777" w:rsidR="00392199" w:rsidRPr="00556B9B" w:rsidRDefault="00392199" w:rsidP="00F926B9">
            <w:pPr>
              <w:ind w:left="-27"/>
              <w:rPr>
                <w:sz w:val="20"/>
              </w:rPr>
            </w:pPr>
            <w:r w:rsidRPr="00556B9B">
              <w:rPr>
                <w:sz w:val="20"/>
              </w:rPr>
              <w:t>54:46</w:t>
            </w:r>
          </w:p>
        </w:tc>
        <w:tc>
          <w:tcPr>
            <w:tcW w:w="649" w:type="dxa"/>
            <w:shd w:val="clear" w:color="auto" w:fill="auto"/>
          </w:tcPr>
          <w:p w14:paraId="4E7E89B5" w14:textId="77777777" w:rsidR="00392199" w:rsidRPr="00556B9B" w:rsidRDefault="00392199" w:rsidP="00F926B9">
            <w:pPr>
              <w:ind w:left="-27"/>
              <w:rPr>
                <w:sz w:val="20"/>
              </w:rPr>
            </w:pPr>
            <w:r w:rsidRPr="00556B9B">
              <w:rPr>
                <w:sz w:val="20"/>
              </w:rPr>
              <w:t>39:47</w:t>
            </w:r>
          </w:p>
        </w:tc>
        <w:tc>
          <w:tcPr>
            <w:tcW w:w="660" w:type="dxa"/>
            <w:shd w:val="clear" w:color="auto" w:fill="auto"/>
          </w:tcPr>
          <w:p w14:paraId="6775B334" w14:textId="77777777" w:rsidR="00392199" w:rsidRPr="00556B9B" w:rsidRDefault="00392199" w:rsidP="00F926B9">
            <w:pPr>
              <w:ind w:left="-27"/>
              <w:rPr>
                <w:sz w:val="20"/>
              </w:rPr>
            </w:pPr>
            <w:r w:rsidRPr="00556B9B">
              <w:rPr>
                <w:sz w:val="20"/>
              </w:rPr>
              <w:t>21:49</w:t>
            </w:r>
          </w:p>
        </w:tc>
        <w:tc>
          <w:tcPr>
            <w:tcW w:w="649" w:type="dxa"/>
            <w:shd w:val="clear" w:color="auto" w:fill="auto"/>
          </w:tcPr>
          <w:p w14:paraId="2968B28D" w14:textId="77777777" w:rsidR="00392199" w:rsidRPr="00556B9B" w:rsidRDefault="00392199" w:rsidP="00F926B9">
            <w:pPr>
              <w:ind w:left="-27"/>
              <w:rPr>
                <w:sz w:val="20"/>
              </w:rPr>
            </w:pPr>
            <w:r w:rsidRPr="00556B9B">
              <w:rPr>
                <w:sz w:val="20"/>
              </w:rPr>
              <w:t>8:50</w:t>
            </w:r>
          </w:p>
        </w:tc>
        <w:tc>
          <w:tcPr>
            <w:tcW w:w="564" w:type="dxa"/>
            <w:shd w:val="clear" w:color="auto" w:fill="auto"/>
          </w:tcPr>
          <w:p w14:paraId="30968AD7" w14:textId="77777777" w:rsidR="00392199" w:rsidRPr="00556B9B" w:rsidRDefault="00392199" w:rsidP="00F926B9">
            <w:pPr>
              <w:ind w:left="-27"/>
              <w:rPr>
                <w:sz w:val="20"/>
              </w:rPr>
            </w:pPr>
            <w:r w:rsidRPr="00556B9B">
              <w:rPr>
                <w:sz w:val="20"/>
              </w:rPr>
              <w:t>0:50</w:t>
            </w:r>
          </w:p>
        </w:tc>
        <w:tc>
          <w:tcPr>
            <w:tcW w:w="555" w:type="dxa"/>
            <w:shd w:val="clear" w:color="auto" w:fill="auto"/>
          </w:tcPr>
          <w:p w14:paraId="1A5915C0" w14:textId="77777777" w:rsidR="00392199" w:rsidRPr="00556B9B" w:rsidRDefault="00392199" w:rsidP="00F926B9">
            <w:pPr>
              <w:ind w:left="-27"/>
              <w:rPr>
                <w:sz w:val="20"/>
              </w:rPr>
            </w:pPr>
          </w:p>
        </w:tc>
      </w:tr>
    </w:tbl>
    <w:p w14:paraId="43ED4DF2" w14:textId="77777777" w:rsidR="00392199" w:rsidRPr="00654EF1" w:rsidRDefault="00392199" w:rsidP="00392199">
      <w:pPr>
        <w:widowControl w:val="0"/>
        <w:spacing w:line="240" w:lineRule="auto"/>
        <w:rPr>
          <w:rFonts w:eastAsia="MS Mincho"/>
          <w:szCs w:val="22"/>
          <w:lang w:val="en-US"/>
        </w:rPr>
      </w:pPr>
    </w:p>
    <w:p w14:paraId="01D40D9E" w14:textId="77777777" w:rsidR="00392199" w:rsidRPr="00654EF1" w:rsidRDefault="00392199" w:rsidP="00392199">
      <w:pPr>
        <w:keepNext/>
        <w:widowControl w:val="0"/>
        <w:spacing w:line="240" w:lineRule="auto"/>
        <w:ind w:left="1134" w:hanging="1134"/>
        <w:outlineLvl w:val="6"/>
        <w:rPr>
          <w:rFonts w:eastAsia="MS Mincho"/>
          <w:b/>
          <w:szCs w:val="22"/>
          <w:lang w:val="en-US"/>
        </w:rPr>
      </w:pPr>
      <w:r w:rsidRPr="00556B9B">
        <w:rPr>
          <w:rFonts w:cs="Times New Roman"/>
          <w:b/>
          <w:szCs w:val="22"/>
          <w:lang w:val="hu-HU" w:eastAsia="en-US" w:bidi="ar-SA"/>
        </w:rPr>
        <w:lastRenderedPageBreak/>
        <w:t>2. ábra</w:t>
      </w:r>
      <w:r w:rsidRPr="00556B9B">
        <w:rPr>
          <w:rFonts w:cs="Times New Roman"/>
          <w:b/>
          <w:szCs w:val="22"/>
          <w:lang w:val="hu-HU" w:eastAsia="en-US" w:bidi="ar-SA"/>
        </w:rPr>
        <w:tab/>
        <w:t>A teljes túlélés Kaplan-Meier—féle becslése (ITT populáció)</w:t>
      </w:r>
    </w:p>
    <w:p w14:paraId="3F1B0B90" w14:textId="77777777" w:rsidR="00392199" w:rsidRPr="00654EF1" w:rsidRDefault="00392199" w:rsidP="00392199">
      <w:pPr>
        <w:keepNext/>
        <w:widowControl w:val="0"/>
        <w:spacing w:line="240" w:lineRule="auto"/>
        <w:ind w:left="1134" w:hanging="1134"/>
        <w:outlineLvl w:val="6"/>
        <w:rPr>
          <w:rFonts w:eastAsia="MS Mincho"/>
          <w:szCs w:val="22"/>
          <w:lang w:val="en-US"/>
        </w:rPr>
      </w:pPr>
    </w:p>
    <w:p w14:paraId="0B9770C1" w14:textId="77777777" w:rsidR="00392199" w:rsidRPr="00654EF1" w:rsidRDefault="00392199" w:rsidP="00392199">
      <w:pPr>
        <w:keepNext/>
        <w:widowControl w:val="0"/>
        <w:spacing w:line="240" w:lineRule="auto"/>
        <w:ind w:left="1134" w:hanging="1134"/>
        <w:outlineLvl w:val="6"/>
        <w:rPr>
          <w:rFonts w:eastAsia="MS Mincho"/>
          <w:szCs w:val="22"/>
          <w:lang w:val="en-US"/>
        </w:rPr>
      </w:pPr>
      <w:r w:rsidRPr="00556B9B">
        <w:rPr>
          <w:rFonts w:eastAsia="MS Mincho"/>
          <w:noProof/>
          <w:szCs w:val="22"/>
          <w:lang w:val="en-US" w:eastAsia="en-US" w:bidi="ar-SA"/>
        </w:rPr>
        <mc:AlternateContent>
          <mc:Choice Requires="wps">
            <w:drawing>
              <wp:anchor distT="0" distB="0" distL="114300" distR="114300" simplePos="0" relativeHeight="251680768" behindDoc="0" locked="0" layoutInCell="1" allowOverlap="1" wp14:anchorId="73EC69C4" wp14:editId="4FA285C1">
                <wp:simplePos x="0" y="0"/>
                <wp:positionH relativeFrom="column">
                  <wp:posOffset>310101</wp:posOffset>
                </wp:positionH>
                <wp:positionV relativeFrom="paragraph">
                  <wp:posOffset>897863</wp:posOffset>
                </wp:positionV>
                <wp:extent cx="4585335" cy="1428750"/>
                <wp:effectExtent l="0" t="0" r="0" b="0"/>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B7D5D" w14:textId="77777777" w:rsidR="009E303A" w:rsidRDefault="009E303A" w:rsidP="00392199">
                            <w:pPr>
                              <w:rPr>
                                <w:rFonts w:ascii="Arial" w:hAnsi="Arial" w:cs="Arial"/>
                                <w:sz w:val="20"/>
                              </w:rPr>
                            </w:pPr>
                          </w:p>
                          <w:tbl>
                            <w:tblPr>
                              <w:tblW w:w="0" w:type="auto"/>
                              <w:tblLook w:val="04A0" w:firstRow="1" w:lastRow="0" w:firstColumn="1" w:lastColumn="0" w:noHBand="0" w:noVBand="1"/>
                            </w:tblPr>
                            <w:tblGrid>
                              <w:gridCol w:w="817"/>
                              <w:gridCol w:w="2464"/>
                              <w:gridCol w:w="851"/>
                              <w:gridCol w:w="783"/>
                              <w:gridCol w:w="850"/>
                            </w:tblGrid>
                            <w:tr w:rsidR="009E303A" w:rsidRPr="00462020" w14:paraId="5FC4DD84" w14:textId="77777777" w:rsidTr="001A0ED7">
                              <w:tc>
                                <w:tcPr>
                                  <w:tcW w:w="5691" w:type="dxa"/>
                                  <w:gridSpan w:val="5"/>
                                  <w:shd w:val="clear" w:color="auto" w:fill="auto"/>
                                </w:tcPr>
                                <w:p w14:paraId="7A45462D" w14:textId="77777777" w:rsidR="009E303A" w:rsidRPr="00574FBC" w:rsidRDefault="009E303A" w:rsidP="00660EA0">
                                  <w:pPr>
                                    <w:rPr>
                                      <w:rFonts w:ascii="Arial" w:hAnsi="Arial" w:cs="Arial"/>
                                      <w:sz w:val="20"/>
                                      <w:lang w:val="pt-PT"/>
                                    </w:rPr>
                                  </w:pPr>
                                  <w:r>
                                    <w:rPr>
                                      <w:rFonts w:ascii="Arial" w:hAnsi="Arial"/>
                                      <w:sz w:val="20"/>
                                      <w:lang w:val="pt-PT"/>
                                    </w:rPr>
                                    <w:t>P = </w:t>
                                  </w:r>
                                  <w:r w:rsidRPr="00574FBC">
                                    <w:rPr>
                                      <w:rFonts w:ascii="Arial" w:hAnsi="Arial"/>
                                      <w:sz w:val="20"/>
                                      <w:lang w:val="pt-PT"/>
                                    </w:rPr>
                                    <w:t>0,</w:t>
                                  </w:r>
                                  <w:r>
                                    <w:rPr>
                                      <w:rFonts w:ascii="Arial" w:hAnsi="Arial"/>
                                      <w:sz w:val="20"/>
                                      <w:lang w:val="pt-PT"/>
                                    </w:rPr>
                                    <w:t>0</w:t>
                                  </w:r>
                                  <w:r w:rsidRPr="00574FBC">
                                    <w:rPr>
                                      <w:rFonts w:ascii="Arial" w:hAnsi="Arial"/>
                                      <w:sz w:val="20"/>
                                      <w:lang w:val="pt-PT"/>
                                    </w:rPr>
                                    <w:t>19</w:t>
                                  </w:r>
                                </w:p>
                                <w:p w14:paraId="4EA2340B" w14:textId="77777777" w:rsidR="009E303A" w:rsidRPr="00574FBC" w:rsidRDefault="009E303A" w:rsidP="00660EA0">
                                  <w:pPr>
                                    <w:rPr>
                                      <w:rFonts w:ascii="Arial" w:hAnsi="Arial" w:cs="Arial"/>
                                      <w:sz w:val="20"/>
                                      <w:lang w:val="pt-PT"/>
                                    </w:rPr>
                                  </w:pPr>
                                  <w:r w:rsidRPr="00574FBC">
                                    <w:rPr>
                                      <w:rFonts w:ascii="Arial" w:hAnsi="Arial"/>
                                      <w:sz w:val="20"/>
                                      <w:lang w:val="pt-PT"/>
                                    </w:rPr>
                                    <w:t>relatív hazárd = 0,45</w:t>
                                  </w:r>
                                </w:p>
                                <w:p w14:paraId="3FB3620A" w14:textId="77777777" w:rsidR="009E303A" w:rsidRPr="00AA1F7F" w:rsidRDefault="009E303A" w:rsidP="00660EA0">
                                  <w:pPr>
                                    <w:rPr>
                                      <w:rFonts w:ascii="Arial" w:hAnsi="Arial" w:cs="Arial"/>
                                      <w:sz w:val="20"/>
                                      <w:lang w:val="es-ES"/>
                                    </w:rPr>
                                  </w:pPr>
                                  <w:r>
                                    <w:rPr>
                                      <w:rFonts w:ascii="Arial" w:hAnsi="Arial"/>
                                      <w:sz w:val="20"/>
                                      <w:lang w:val="pt-PT"/>
                                    </w:rPr>
                                    <w:t>(95%-os Cl, 0,22</w:t>
                                  </w:r>
                                  <w:r>
                                    <w:rPr>
                                      <w:rFonts w:ascii="Arial" w:hAnsi="Arial"/>
                                      <w:sz w:val="20"/>
                                      <w:lang w:val="pt-PT"/>
                                    </w:rPr>
                                    <w:noBreakHyphen/>
                                  </w:r>
                                  <w:r w:rsidRPr="00574FBC">
                                    <w:rPr>
                                      <w:rFonts w:ascii="Arial" w:hAnsi="Arial"/>
                                      <w:sz w:val="20"/>
                                      <w:lang w:val="pt-PT"/>
                                    </w:rPr>
                                    <w:t>0,89)</w:t>
                                  </w:r>
                                </w:p>
                              </w:tc>
                            </w:tr>
                            <w:tr w:rsidR="009E303A" w:rsidRPr="0055776F" w14:paraId="16FE31E2" w14:textId="77777777" w:rsidTr="001A0ED7">
                              <w:tc>
                                <w:tcPr>
                                  <w:tcW w:w="817" w:type="dxa"/>
                                  <w:shd w:val="clear" w:color="auto" w:fill="auto"/>
                                </w:tcPr>
                                <w:p w14:paraId="1E730086" w14:textId="77777777" w:rsidR="009E303A" w:rsidRPr="00AA1F7F" w:rsidRDefault="009E303A" w:rsidP="001A0ED7">
                                  <w:pPr>
                                    <w:rPr>
                                      <w:rFonts w:ascii="Arial" w:hAnsi="Arial" w:cs="Arial"/>
                                      <w:sz w:val="20"/>
                                      <w:lang w:val="es-ES"/>
                                    </w:rPr>
                                  </w:pPr>
                                </w:p>
                              </w:tc>
                              <w:tc>
                                <w:tcPr>
                                  <w:tcW w:w="2464" w:type="dxa"/>
                                  <w:shd w:val="clear" w:color="auto" w:fill="auto"/>
                                </w:tcPr>
                                <w:p w14:paraId="3CE7D9EA" w14:textId="77777777" w:rsidR="009E303A" w:rsidRPr="00AA1F7F" w:rsidRDefault="009E303A" w:rsidP="001A0ED7">
                                  <w:pPr>
                                    <w:rPr>
                                      <w:rFonts w:ascii="Arial" w:hAnsi="Arial" w:cs="Arial"/>
                                      <w:sz w:val="20"/>
                                      <w:lang w:val="es-ES"/>
                                    </w:rPr>
                                  </w:pPr>
                                </w:p>
                              </w:tc>
                              <w:tc>
                                <w:tcPr>
                                  <w:tcW w:w="851" w:type="dxa"/>
                                  <w:tcBorders>
                                    <w:bottom w:val="single" w:sz="4" w:space="0" w:color="auto"/>
                                  </w:tcBorders>
                                  <w:shd w:val="clear" w:color="auto" w:fill="auto"/>
                                </w:tcPr>
                                <w:p w14:paraId="259FB98E" w14:textId="77777777" w:rsidR="009E303A" w:rsidRPr="0055776F" w:rsidRDefault="009E303A" w:rsidP="001A0ED7">
                                  <w:pPr>
                                    <w:rPr>
                                      <w:rFonts w:ascii="Arial" w:hAnsi="Arial" w:cs="Arial"/>
                                      <w:sz w:val="20"/>
                                    </w:rPr>
                                  </w:pPr>
                                  <w:r w:rsidRPr="00660EA0">
                                    <w:rPr>
                                      <w:rFonts w:ascii="Arial" w:hAnsi="Arial" w:cs="Arial"/>
                                      <w:sz w:val="20"/>
                                      <w:lang w:val="de-DE"/>
                                    </w:rPr>
                                    <w:t>N</w:t>
                                  </w:r>
                                </w:p>
                              </w:tc>
                              <w:tc>
                                <w:tcPr>
                                  <w:tcW w:w="709" w:type="dxa"/>
                                  <w:tcBorders>
                                    <w:bottom w:val="single" w:sz="4" w:space="0" w:color="auto"/>
                                  </w:tcBorders>
                                  <w:shd w:val="clear" w:color="auto" w:fill="auto"/>
                                </w:tcPr>
                                <w:p w14:paraId="7B9E445D" w14:textId="77777777" w:rsidR="009E303A" w:rsidRPr="0055776F" w:rsidRDefault="009E303A" w:rsidP="001A0ED7">
                                  <w:pPr>
                                    <w:rPr>
                                      <w:rFonts w:ascii="Arial" w:hAnsi="Arial" w:cs="Arial"/>
                                      <w:sz w:val="20"/>
                                    </w:rPr>
                                  </w:pPr>
                                  <w:r w:rsidRPr="00660EA0">
                                    <w:rPr>
                                      <w:rFonts w:ascii="Arial" w:hAnsi="Arial"/>
                                      <w:sz w:val="20"/>
                                      <w:lang w:val="de-CH"/>
                                    </w:rPr>
                                    <w:t>Esem.</w:t>
                                  </w:r>
                                </w:p>
                              </w:tc>
                              <w:tc>
                                <w:tcPr>
                                  <w:tcW w:w="850" w:type="dxa"/>
                                  <w:tcBorders>
                                    <w:bottom w:val="single" w:sz="4" w:space="0" w:color="auto"/>
                                  </w:tcBorders>
                                  <w:shd w:val="clear" w:color="auto" w:fill="auto"/>
                                </w:tcPr>
                                <w:p w14:paraId="01B1A471" w14:textId="77777777" w:rsidR="009E303A" w:rsidRPr="0055776F" w:rsidRDefault="009E303A" w:rsidP="001A0ED7">
                                  <w:pPr>
                                    <w:rPr>
                                      <w:rFonts w:ascii="Arial" w:hAnsi="Arial" w:cs="Arial"/>
                                      <w:sz w:val="20"/>
                                    </w:rPr>
                                  </w:pPr>
                                  <w:r w:rsidRPr="00660EA0">
                                    <w:rPr>
                                      <w:rFonts w:ascii="Arial" w:hAnsi="Arial"/>
                                      <w:sz w:val="20"/>
                                      <w:lang w:val="de-CH"/>
                                    </w:rPr>
                                    <w:t>Cenz.</w:t>
                                  </w:r>
                                </w:p>
                              </w:tc>
                            </w:tr>
                            <w:tr w:rsidR="009E303A" w:rsidRPr="0055776F" w14:paraId="02F2C823" w14:textId="77777777" w:rsidTr="001A0ED7">
                              <w:tc>
                                <w:tcPr>
                                  <w:tcW w:w="817" w:type="dxa"/>
                                  <w:shd w:val="clear" w:color="auto" w:fill="auto"/>
                                </w:tcPr>
                                <w:p w14:paraId="30CC72BD" w14:textId="77777777" w:rsidR="009E303A" w:rsidRPr="0055776F" w:rsidRDefault="009E303A" w:rsidP="001A0ED7">
                                  <w:pPr>
                                    <w:rPr>
                                      <w:rFonts w:ascii="Arial" w:hAnsi="Arial" w:cs="Arial"/>
                                      <w:sz w:val="20"/>
                                    </w:rPr>
                                  </w:pPr>
                                  <w:r w:rsidRPr="0055776F">
                                    <w:rPr>
                                      <w:rFonts w:ascii="Arial" w:hAnsi="Arial" w:cs="Arial"/>
                                      <w:b/>
                                      <w:sz w:val="20"/>
                                    </w:rPr>
                                    <w:t>——</w:t>
                                  </w:r>
                                </w:p>
                              </w:tc>
                              <w:tc>
                                <w:tcPr>
                                  <w:tcW w:w="2464" w:type="dxa"/>
                                  <w:shd w:val="clear" w:color="auto" w:fill="auto"/>
                                </w:tcPr>
                                <w:p w14:paraId="2E5A79A7" w14:textId="77777777" w:rsidR="009E303A" w:rsidRPr="0055776F" w:rsidRDefault="009E303A" w:rsidP="001A0ED7">
                                  <w:pPr>
                                    <w:rPr>
                                      <w:rFonts w:ascii="Arial" w:hAnsi="Arial" w:cs="Arial"/>
                                      <w:sz w:val="20"/>
                                    </w:rPr>
                                  </w:pPr>
                                  <w:r>
                                    <w:rPr>
                                      <w:rFonts w:ascii="Arial" w:hAnsi="Arial"/>
                                      <w:sz w:val="20"/>
                                      <w:lang w:val="pt-PT"/>
                                    </w:rPr>
                                    <w:t>(1) Imatinib 12 </w:t>
                                  </w:r>
                                  <w:r w:rsidRPr="00574FBC">
                                    <w:rPr>
                                      <w:rFonts w:ascii="Arial" w:hAnsi="Arial"/>
                                      <w:sz w:val="20"/>
                                      <w:lang w:val="pt-PT"/>
                                    </w:rPr>
                                    <w:t>HÓ:</w:t>
                                  </w:r>
                                </w:p>
                              </w:tc>
                              <w:tc>
                                <w:tcPr>
                                  <w:tcW w:w="851" w:type="dxa"/>
                                  <w:tcBorders>
                                    <w:top w:val="single" w:sz="4" w:space="0" w:color="auto"/>
                                  </w:tcBorders>
                                  <w:shd w:val="clear" w:color="auto" w:fill="auto"/>
                                </w:tcPr>
                                <w:p w14:paraId="5FF9CFF6" w14:textId="77777777" w:rsidR="009E303A" w:rsidRPr="0055776F" w:rsidRDefault="009E303A" w:rsidP="001A0ED7">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DABF779" w14:textId="77777777" w:rsidR="009E303A" w:rsidRPr="0055776F" w:rsidRDefault="009E303A" w:rsidP="001A0ED7">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9418E0A" w14:textId="77777777" w:rsidR="009E303A" w:rsidRPr="0055776F" w:rsidRDefault="009E303A" w:rsidP="001A0ED7">
                                  <w:pPr>
                                    <w:rPr>
                                      <w:rFonts w:ascii="Arial" w:hAnsi="Arial" w:cs="Arial"/>
                                      <w:sz w:val="20"/>
                                    </w:rPr>
                                  </w:pPr>
                                  <w:r w:rsidRPr="0055776F">
                                    <w:rPr>
                                      <w:rFonts w:ascii="Arial" w:hAnsi="Arial" w:cs="Arial"/>
                                      <w:sz w:val="20"/>
                                    </w:rPr>
                                    <w:t>174</w:t>
                                  </w:r>
                                </w:p>
                              </w:tc>
                            </w:tr>
                            <w:tr w:rsidR="009E303A" w:rsidRPr="0055776F" w14:paraId="38F4B818" w14:textId="77777777" w:rsidTr="001A0ED7">
                              <w:tc>
                                <w:tcPr>
                                  <w:tcW w:w="817" w:type="dxa"/>
                                  <w:shd w:val="clear" w:color="auto" w:fill="auto"/>
                                </w:tcPr>
                                <w:p w14:paraId="36F4AA87" w14:textId="77777777" w:rsidR="009E303A" w:rsidRPr="0055776F" w:rsidRDefault="009E303A" w:rsidP="001A0ED7">
                                  <w:pPr>
                                    <w:rPr>
                                      <w:rFonts w:ascii="Arial" w:hAnsi="Arial" w:cs="Arial"/>
                                      <w:sz w:val="20"/>
                                    </w:rPr>
                                  </w:pPr>
                                  <w:r w:rsidRPr="0055776F">
                                    <w:rPr>
                                      <w:rFonts w:ascii="Arial" w:hAnsi="Arial" w:cs="Arial"/>
                                      <w:sz w:val="20"/>
                                    </w:rPr>
                                    <w:t>-----</w:t>
                                  </w:r>
                                </w:p>
                              </w:tc>
                              <w:tc>
                                <w:tcPr>
                                  <w:tcW w:w="2464" w:type="dxa"/>
                                  <w:shd w:val="clear" w:color="auto" w:fill="auto"/>
                                </w:tcPr>
                                <w:p w14:paraId="633EBF48" w14:textId="77777777" w:rsidR="009E303A" w:rsidRPr="0055776F" w:rsidRDefault="009E303A" w:rsidP="001A0ED7">
                                  <w:pPr>
                                    <w:rPr>
                                      <w:rFonts w:ascii="Arial" w:hAnsi="Arial" w:cs="Arial"/>
                                      <w:sz w:val="20"/>
                                    </w:rPr>
                                  </w:pPr>
                                  <w:r>
                                    <w:rPr>
                                      <w:rFonts w:ascii="Arial" w:hAnsi="Arial"/>
                                      <w:sz w:val="20"/>
                                    </w:rPr>
                                    <w:t>(2) Imatinib 36 HÓ:</w:t>
                                  </w:r>
                                </w:p>
                              </w:tc>
                              <w:tc>
                                <w:tcPr>
                                  <w:tcW w:w="851" w:type="dxa"/>
                                  <w:tcBorders>
                                    <w:bottom w:val="single" w:sz="4" w:space="0" w:color="auto"/>
                                  </w:tcBorders>
                                  <w:shd w:val="clear" w:color="auto" w:fill="auto"/>
                                </w:tcPr>
                                <w:p w14:paraId="793D0D83" w14:textId="77777777" w:rsidR="009E303A" w:rsidRPr="0055776F" w:rsidRDefault="009E303A" w:rsidP="001A0ED7">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63C4B0F" w14:textId="77777777" w:rsidR="009E303A" w:rsidRPr="0055776F" w:rsidRDefault="009E303A" w:rsidP="001A0ED7">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42184AA7" w14:textId="77777777" w:rsidR="009E303A" w:rsidRPr="0055776F" w:rsidRDefault="009E303A" w:rsidP="001A0ED7">
                                  <w:pPr>
                                    <w:rPr>
                                      <w:rFonts w:ascii="Arial" w:hAnsi="Arial" w:cs="Arial"/>
                                      <w:sz w:val="20"/>
                                    </w:rPr>
                                  </w:pPr>
                                  <w:r w:rsidRPr="0055776F">
                                    <w:rPr>
                                      <w:rFonts w:ascii="Arial" w:hAnsi="Arial" w:cs="Arial"/>
                                      <w:sz w:val="20"/>
                                    </w:rPr>
                                    <w:t>186</w:t>
                                  </w:r>
                                </w:p>
                              </w:tc>
                            </w:tr>
                            <w:tr w:rsidR="009E303A" w:rsidRPr="0055776F" w14:paraId="6B095178" w14:textId="77777777" w:rsidTr="001A0ED7">
                              <w:tc>
                                <w:tcPr>
                                  <w:tcW w:w="817" w:type="dxa"/>
                                  <w:shd w:val="clear" w:color="auto" w:fill="auto"/>
                                </w:tcPr>
                                <w:p w14:paraId="1F4738E1" w14:textId="77777777" w:rsidR="009E303A" w:rsidRPr="0055776F" w:rsidRDefault="009E303A" w:rsidP="001A0ED7">
                                  <w:pPr>
                                    <w:rPr>
                                      <w:rFonts w:ascii="Arial" w:hAnsi="Arial" w:cs="Arial"/>
                                      <w:sz w:val="20"/>
                                    </w:rPr>
                                  </w:pPr>
                                  <w:r w:rsidRPr="0055776F">
                                    <w:rPr>
                                      <w:rFonts w:ascii="Arial" w:hAnsi="Arial" w:cs="Arial"/>
                                      <w:sz w:val="20"/>
                                    </w:rPr>
                                    <w:t>│││</w:t>
                                  </w:r>
                                </w:p>
                              </w:tc>
                              <w:tc>
                                <w:tcPr>
                                  <w:tcW w:w="2464" w:type="dxa"/>
                                  <w:shd w:val="clear" w:color="auto" w:fill="auto"/>
                                </w:tcPr>
                                <w:p w14:paraId="0A5DC025" w14:textId="77777777" w:rsidR="009E303A" w:rsidRPr="0055776F" w:rsidRDefault="009E303A" w:rsidP="001A0ED7">
                                  <w:pPr>
                                    <w:rPr>
                                      <w:rFonts w:ascii="Arial" w:hAnsi="Arial" w:cs="Arial"/>
                                      <w:sz w:val="20"/>
                                    </w:rPr>
                                  </w:pPr>
                                  <w:r>
                                    <w:rPr>
                                      <w:rFonts w:ascii="Arial" w:hAnsi="Arial"/>
                                      <w:sz w:val="20"/>
                                    </w:rPr>
                                    <w:t>Cenzúrázott megfigyelések</w:t>
                                  </w:r>
                                </w:p>
                              </w:tc>
                              <w:tc>
                                <w:tcPr>
                                  <w:tcW w:w="851" w:type="dxa"/>
                                  <w:tcBorders>
                                    <w:top w:val="single" w:sz="4" w:space="0" w:color="auto"/>
                                  </w:tcBorders>
                                  <w:shd w:val="clear" w:color="auto" w:fill="auto"/>
                                </w:tcPr>
                                <w:p w14:paraId="49A10BF4" w14:textId="77777777" w:rsidR="009E303A" w:rsidRPr="0055776F" w:rsidRDefault="009E303A" w:rsidP="001A0ED7">
                                  <w:pPr>
                                    <w:rPr>
                                      <w:rFonts w:ascii="Arial" w:hAnsi="Arial" w:cs="Arial"/>
                                      <w:sz w:val="20"/>
                                    </w:rPr>
                                  </w:pPr>
                                </w:p>
                              </w:tc>
                              <w:tc>
                                <w:tcPr>
                                  <w:tcW w:w="709" w:type="dxa"/>
                                  <w:tcBorders>
                                    <w:top w:val="single" w:sz="4" w:space="0" w:color="auto"/>
                                  </w:tcBorders>
                                  <w:shd w:val="clear" w:color="auto" w:fill="auto"/>
                                </w:tcPr>
                                <w:p w14:paraId="4254788A" w14:textId="77777777" w:rsidR="009E303A" w:rsidRPr="0055776F" w:rsidRDefault="009E303A" w:rsidP="001A0ED7">
                                  <w:pPr>
                                    <w:rPr>
                                      <w:rFonts w:ascii="Arial" w:hAnsi="Arial" w:cs="Arial"/>
                                      <w:sz w:val="20"/>
                                    </w:rPr>
                                  </w:pPr>
                                </w:p>
                              </w:tc>
                              <w:tc>
                                <w:tcPr>
                                  <w:tcW w:w="850" w:type="dxa"/>
                                  <w:tcBorders>
                                    <w:top w:val="single" w:sz="4" w:space="0" w:color="auto"/>
                                  </w:tcBorders>
                                  <w:shd w:val="clear" w:color="auto" w:fill="auto"/>
                                </w:tcPr>
                                <w:p w14:paraId="3DA12B5D" w14:textId="77777777" w:rsidR="009E303A" w:rsidRPr="0055776F" w:rsidRDefault="009E303A" w:rsidP="001A0ED7">
                                  <w:pPr>
                                    <w:rPr>
                                      <w:rFonts w:ascii="Arial" w:hAnsi="Arial" w:cs="Arial"/>
                                      <w:sz w:val="20"/>
                                    </w:rPr>
                                  </w:pPr>
                                </w:p>
                              </w:tc>
                            </w:tr>
                          </w:tbl>
                          <w:p w14:paraId="5F875BC2" w14:textId="77777777" w:rsidR="009E303A" w:rsidRPr="00A33DBA" w:rsidRDefault="009E303A" w:rsidP="00392199">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EC69C4" id="_x0000_s1035" type="#_x0000_t202" style="position:absolute;left:0;text-align:left;margin-left:24.4pt;margin-top:70.7pt;width:361.05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" filled="f" stroked="f">
                <v:textbox>
                  <w:txbxContent>
                    <w:p w14:paraId="793B7D5D" w14:textId="77777777" w:rsidR="009E303A" w:rsidRDefault="009E303A" w:rsidP="00392199">
                      <w:pPr>
                        <w:rPr>
                          <w:rFonts w:ascii="Arial" w:hAnsi="Arial" w:cs="Arial"/>
                          <w:sz w:val="20"/>
                        </w:rPr>
                      </w:pPr>
                    </w:p>
                    <w:tbl>
                      <w:tblPr>
                        <w:tblW w:w="0" w:type="auto"/>
                        <w:tblLook w:val="04A0" w:firstRow="1" w:lastRow="0" w:firstColumn="1" w:lastColumn="0" w:noHBand="0" w:noVBand="1"/>
                      </w:tblPr>
                      <w:tblGrid>
                        <w:gridCol w:w="817"/>
                        <w:gridCol w:w="2464"/>
                        <w:gridCol w:w="851"/>
                        <w:gridCol w:w="783"/>
                        <w:gridCol w:w="850"/>
                      </w:tblGrid>
                      <w:tr w:rsidR="009E303A" w:rsidRPr="00462020" w14:paraId="5FC4DD84" w14:textId="77777777" w:rsidTr="001A0ED7">
                        <w:tc>
                          <w:tcPr>
                            <w:tcW w:w="5691" w:type="dxa"/>
                            <w:gridSpan w:val="5"/>
                            <w:shd w:val="clear" w:color="auto" w:fill="auto"/>
                          </w:tcPr>
                          <w:p w14:paraId="7A45462D" w14:textId="77777777" w:rsidR="009E303A" w:rsidRPr="00574FBC" w:rsidRDefault="009E303A" w:rsidP="00660EA0">
                            <w:pPr>
                              <w:rPr>
                                <w:rFonts w:ascii="Arial" w:hAnsi="Arial" w:cs="Arial"/>
                                <w:sz w:val="20"/>
                                <w:lang w:val="pt-PT"/>
                              </w:rPr>
                            </w:pPr>
                            <w:r>
                              <w:rPr>
                                <w:rFonts w:ascii="Arial" w:hAnsi="Arial"/>
                                <w:sz w:val="20"/>
                                <w:lang w:val="pt-PT"/>
                              </w:rPr>
                              <w:t>P = </w:t>
                            </w:r>
                            <w:r w:rsidRPr="00574FBC">
                              <w:rPr>
                                <w:rFonts w:ascii="Arial" w:hAnsi="Arial"/>
                                <w:sz w:val="20"/>
                                <w:lang w:val="pt-PT"/>
                              </w:rPr>
                              <w:t>0,</w:t>
                            </w:r>
                            <w:r>
                              <w:rPr>
                                <w:rFonts w:ascii="Arial" w:hAnsi="Arial"/>
                                <w:sz w:val="20"/>
                                <w:lang w:val="pt-PT"/>
                              </w:rPr>
                              <w:t>0</w:t>
                            </w:r>
                            <w:r w:rsidRPr="00574FBC">
                              <w:rPr>
                                <w:rFonts w:ascii="Arial" w:hAnsi="Arial"/>
                                <w:sz w:val="20"/>
                                <w:lang w:val="pt-PT"/>
                              </w:rPr>
                              <w:t>19</w:t>
                            </w:r>
                          </w:p>
                          <w:p w14:paraId="4EA2340B" w14:textId="77777777" w:rsidR="009E303A" w:rsidRPr="00574FBC" w:rsidRDefault="009E303A" w:rsidP="00660EA0">
                            <w:pPr>
                              <w:rPr>
                                <w:rFonts w:ascii="Arial" w:hAnsi="Arial" w:cs="Arial"/>
                                <w:sz w:val="20"/>
                                <w:lang w:val="pt-PT"/>
                              </w:rPr>
                            </w:pPr>
                            <w:r w:rsidRPr="00574FBC">
                              <w:rPr>
                                <w:rFonts w:ascii="Arial" w:hAnsi="Arial"/>
                                <w:sz w:val="20"/>
                                <w:lang w:val="pt-PT"/>
                              </w:rPr>
                              <w:t>relatív hazárd = 0,45</w:t>
                            </w:r>
                          </w:p>
                          <w:p w14:paraId="3FB3620A" w14:textId="77777777" w:rsidR="009E303A" w:rsidRPr="00AA1F7F" w:rsidRDefault="009E303A" w:rsidP="00660EA0">
                            <w:pPr>
                              <w:rPr>
                                <w:rFonts w:ascii="Arial" w:hAnsi="Arial" w:cs="Arial"/>
                                <w:sz w:val="20"/>
                                <w:lang w:val="es-ES"/>
                              </w:rPr>
                            </w:pPr>
                            <w:r>
                              <w:rPr>
                                <w:rFonts w:ascii="Arial" w:hAnsi="Arial"/>
                                <w:sz w:val="20"/>
                                <w:lang w:val="pt-PT"/>
                              </w:rPr>
                              <w:t>(95%-os Cl, 0,22</w:t>
                            </w:r>
                            <w:r>
                              <w:rPr>
                                <w:rFonts w:ascii="Arial" w:hAnsi="Arial"/>
                                <w:sz w:val="20"/>
                                <w:lang w:val="pt-PT"/>
                              </w:rPr>
                              <w:noBreakHyphen/>
                            </w:r>
                            <w:r w:rsidRPr="00574FBC">
                              <w:rPr>
                                <w:rFonts w:ascii="Arial" w:hAnsi="Arial"/>
                                <w:sz w:val="20"/>
                                <w:lang w:val="pt-PT"/>
                              </w:rPr>
                              <w:t>0,89)</w:t>
                            </w:r>
                          </w:p>
                        </w:tc>
                      </w:tr>
                      <w:tr w:rsidR="009E303A" w:rsidRPr="0055776F" w14:paraId="16FE31E2" w14:textId="77777777" w:rsidTr="001A0ED7">
                        <w:tc>
                          <w:tcPr>
                            <w:tcW w:w="817" w:type="dxa"/>
                            <w:shd w:val="clear" w:color="auto" w:fill="auto"/>
                          </w:tcPr>
                          <w:p w14:paraId="1E730086" w14:textId="77777777" w:rsidR="009E303A" w:rsidRPr="00AA1F7F" w:rsidRDefault="009E303A" w:rsidP="001A0ED7">
                            <w:pPr>
                              <w:rPr>
                                <w:rFonts w:ascii="Arial" w:hAnsi="Arial" w:cs="Arial"/>
                                <w:sz w:val="20"/>
                                <w:lang w:val="es-ES"/>
                              </w:rPr>
                            </w:pPr>
                          </w:p>
                        </w:tc>
                        <w:tc>
                          <w:tcPr>
                            <w:tcW w:w="2464" w:type="dxa"/>
                            <w:shd w:val="clear" w:color="auto" w:fill="auto"/>
                          </w:tcPr>
                          <w:p w14:paraId="3CE7D9EA" w14:textId="77777777" w:rsidR="009E303A" w:rsidRPr="00AA1F7F" w:rsidRDefault="009E303A" w:rsidP="001A0ED7">
                            <w:pPr>
                              <w:rPr>
                                <w:rFonts w:ascii="Arial" w:hAnsi="Arial" w:cs="Arial"/>
                                <w:sz w:val="20"/>
                                <w:lang w:val="es-ES"/>
                              </w:rPr>
                            </w:pPr>
                          </w:p>
                        </w:tc>
                        <w:tc>
                          <w:tcPr>
                            <w:tcW w:w="851" w:type="dxa"/>
                            <w:tcBorders>
                              <w:bottom w:val="single" w:sz="4" w:space="0" w:color="auto"/>
                            </w:tcBorders>
                            <w:shd w:val="clear" w:color="auto" w:fill="auto"/>
                          </w:tcPr>
                          <w:p w14:paraId="259FB98E" w14:textId="77777777" w:rsidR="009E303A" w:rsidRPr="0055776F" w:rsidRDefault="009E303A" w:rsidP="001A0ED7">
                            <w:pPr>
                              <w:rPr>
                                <w:rFonts w:ascii="Arial" w:hAnsi="Arial" w:cs="Arial"/>
                                <w:sz w:val="20"/>
                              </w:rPr>
                            </w:pPr>
                            <w:r w:rsidRPr="00660EA0">
                              <w:rPr>
                                <w:rFonts w:ascii="Arial" w:hAnsi="Arial" w:cs="Arial"/>
                                <w:sz w:val="20"/>
                                <w:lang w:val="de-DE"/>
                              </w:rPr>
                              <w:t>N</w:t>
                            </w:r>
                          </w:p>
                        </w:tc>
                        <w:tc>
                          <w:tcPr>
                            <w:tcW w:w="709" w:type="dxa"/>
                            <w:tcBorders>
                              <w:bottom w:val="single" w:sz="4" w:space="0" w:color="auto"/>
                            </w:tcBorders>
                            <w:shd w:val="clear" w:color="auto" w:fill="auto"/>
                          </w:tcPr>
                          <w:p w14:paraId="7B9E445D" w14:textId="77777777" w:rsidR="009E303A" w:rsidRPr="0055776F" w:rsidRDefault="009E303A" w:rsidP="001A0ED7">
                            <w:pPr>
                              <w:rPr>
                                <w:rFonts w:ascii="Arial" w:hAnsi="Arial" w:cs="Arial"/>
                                <w:sz w:val="20"/>
                              </w:rPr>
                            </w:pPr>
                            <w:r w:rsidRPr="00660EA0">
                              <w:rPr>
                                <w:rFonts w:ascii="Arial" w:hAnsi="Arial"/>
                                <w:sz w:val="20"/>
                                <w:lang w:val="de-CH"/>
                              </w:rPr>
                              <w:t>Esem.</w:t>
                            </w:r>
                          </w:p>
                        </w:tc>
                        <w:tc>
                          <w:tcPr>
                            <w:tcW w:w="850" w:type="dxa"/>
                            <w:tcBorders>
                              <w:bottom w:val="single" w:sz="4" w:space="0" w:color="auto"/>
                            </w:tcBorders>
                            <w:shd w:val="clear" w:color="auto" w:fill="auto"/>
                          </w:tcPr>
                          <w:p w14:paraId="01B1A471" w14:textId="77777777" w:rsidR="009E303A" w:rsidRPr="0055776F" w:rsidRDefault="009E303A" w:rsidP="001A0ED7">
                            <w:pPr>
                              <w:rPr>
                                <w:rFonts w:ascii="Arial" w:hAnsi="Arial" w:cs="Arial"/>
                                <w:sz w:val="20"/>
                              </w:rPr>
                            </w:pPr>
                            <w:r w:rsidRPr="00660EA0">
                              <w:rPr>
                                <w:rFonts w:ascii="Arial" w:hAnsi="Arial"/>
                                <w:sz w:val="20"/>
                                <w:lang w:val="de-CH"/>
                              </w:rPr>
                              <w:t>Cenz.</w:t>
                            </w:r>
                          </w:p>
                        </w:tc>
                      </w:tr>
                      <w:tr w:rsidR="009E303A" w:rsidRPr="0055776F" w14:paraId="02F2C823" w14:textId="77777777" w:rsidTr="001A0ED7">
                        <w:tc>
                          <w:tcPr>
                            <w:tcW w:w="817" w:type="dxa"/>
                            <w:shd w:val="clear" w:color="auto" w:fill="auto"/>
                          </w:tcPr>
                          <w:p w14:paraId="30CC72BD" w14:textId="77777777" w:rsidR="009E303A" w:rsidRPr="0055776F" w:rsidRDefault="009E303A" w:rsidP="001A0ED7">
                            <w:pPr>
                              <w:rPr>
                                <w:rFonts w:ascii="Arial" w:hAnsi="Arial" w:cs="Arial"/>
                                <w:sz w:val="20"/>
                              </w:rPr>
                            </w:pPr>
                            <w:r w:rsidRPr="0055776F">
                              <w:rPr>
                                <w:rFonts w:ascii="Arial" w:hAnsi="Arial" w:cs="Arial"/>
                                <w:b/>
                                <w:sz w:val="20"/>
                              </w:rPr>
                              <w:t>——</w:t>
                            </w:r>
                          </w:p>
                        </w:tc>
                        <w:tc>
                          <w:tcPr>
                            <w:tcW w:w="2464" w:type="dxa"/>
                            <w:shd w:val="clear" w:color="auto" w:fill="auto"/>
                          </w:tcPr>
                          <w:p w14:paraId="2E5A79A7" w14:textId="77777777" w:rsidR="009E303A" w:rsidRPr="0055776F" w:rsidRDefault="009E303A" w:rsidP="001A0ED7">
                            <w:pPr>
                              <w:rPr>
                                <w:rFonts w:ascii="Arial" w:hAnsi="Arial" w:cs="Arial"/>
                                <w:sz w:val="20"/>
                              </w:rPr>
                            </w:pPr>
                            <w:r>
                              <w:rPr>
                                <w:rFonts w:ascii="Arial" w:hAnsi="Arial"/>
                                <w:sz w:val="20"/>
                                <w:lang w:val="pt-PT"/>
                              </w:rPr>
                              <w:t>(1) Imatinib 12 </w:t>
                            </w:r>
                            <w:r w:rsidRPr="00574FBC">
                              <w:rPr>
                                <w:rFonts w:ascii="Arial" w:hAnsi="Arial"/>
                                <w:sz w:val="20"/>
                                <w:lang w:val="pt-PT"/>
                              </w:rPr>
                              <w:t>HÓ:</w:t>
                            </w:r>
                          </w:p>
                        </w:tc>
                        <w:tc>
                          <w:tcPr>
                            <w:tcW w:w="851" w:type="dxa"/>
                            <w:tcBorders>
                              <w:top w:val="single" w:sz="4" w:space="0" w:color="auto"/>
                            </w:tcBorders>
                            <w:shd w:val="clear" w:color="auto" w:fill="auto"/>
                          </w:tcPr>
                          <w:p w14:paraId="5FF9CFF6" w14:textId="77777777" w:rsidR="009E303A" w:rsidRPr="0055776F" w:rsidRDefault="009E303A" w:rsidP="001A0ED7">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DABF779" w14:textId="77777777" w:rsidR="009E303A" w:rsidRPr="0055776F" w:rsidRDefault="009E303A" w:rsidP="001A0ED7">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9418E0A" w14:textId="77777777" w:rsidR="009E303A" w:rsidRPr="0055776F" w:rsidRDefault="009E303A" w:rsidP="001A0ED7">
                            <w:pPr>
                              <w:rPr>
                                <w:rFonts w:ascii="Arial" w:hAnsi="Arial" w:cs="Arial"/>
                                <w:sz w:val="20"/>
                              </w:rPr>
                            </w:pPr>
                            <w:r w:rsidRPr="0055776F">
                              <w:rPr>
                                <w:rFonts w:ascii="Arial" w:hAnsi="Arial" w:cs="Arial"/>
                                <w:sz w:val="20"/>
                              </w:rPr>
                              <w:t>174</w:t>
                            </w:r>
                          </w:p>
                        </w:tc>
                      </w:tr>
                      <w:tr w:rsidR="009E303A" w:rsidRPr="0055776F" w14:paraId="38F4B818" w14:textId="77777777" w:rsidTr="001A0ED7">
                        <w:tc>
                          <w:tcPr>
                            <w:tcW w:w="817" w:type="dxa"/>
                            <w:shd w:val="clear" w:color="auto" w:fill="auto"/>
                          </w:tcPr>
                          <w:p w14:paraId="36F4AA87" w14:textId="77777777" w:rsidR="009E303A" w:rsidRPr="0055776F" w:rsidRDefault="009E303A" w:rsidP="001A0ED7">
                            <w:pPr>
                              <w:rPr>
                                <w:rFonts w:ascii="Arial" w:hAnsi="Arial" w:cs="Arial"/>
                                <w:sz w:val="20"/>
                              </w:rPr>
                            </w:pPr>
                            <w:r w:rsidRPr="0055776F">
                              <w:rPr>
                                <w:rFonts w:ascii="Arial" w:hAnsi="Arial" w:cs="Arial"/>
                                <w:sz w:val="20"/>
                              </w:rPr>
                              <w:t>-----</w:t>
                            </w:r>
                          </w:p>
                        </w:tc>
                        <w:tc>
                          <w:tcPr>
                            <w:tcW w:w="2464" w:type="dxa"/>
                            <w:shd w:val="clear" w:color="auto" w:fill="auto"/>
                          </w:tcPr>
                          <w:p w14:paraId="633EBF48" w14:textId="77777777" w:rsidR="009E303A" w:rsidRPr="0055776F" w:rsidRDefault="009E303A" w:rsidP="001A0ED7">
                            <w:pPr>
                              <w:rPr>
                                <w:rFonts w:ascii="Arial" w:hAnsi="Arial" w:cs="Arial"/>
                                <w:sz w:val="20"/>
                              </w:rPr>
                            </w:pPr>
                            <w:r>
                              <w:rPr>
                                <w:rFonts w:ascii="Arial" w:hAnsi="Arial"/>
                                <w:sz w:val="20"/>
                              </w:rPr>
                              <w:t>(2) Imatinib 36 HÓ:</w:t>
                            </w:r>
                          </w:p>
                        </w:tc>
                        <w:tc>
                          <w:tcPr>
                            <w:tcW w:w="851" w:type="dxa"/>
                            <w:tcBorders>
                              <w:bottom w:val="single" w:sz="4" w:space="0" w:color="auto"/>
                            </w:tcBorders>
                            <w:shd w:val="clear" w:color="auto" w:fill="auto"/>
                          </w:tcPr>
                          <w:p w14:paraId="793D0D83" w14:textId="77777777" w:rsidR="009E303A" w:rsidRPr="0055776F" w:rsidRDefault="009E303A" w:rsidP="001A0ED7">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63C4B0F" w14:textId="77777777" w:rsidR="009E303A" w:rsidRPr="0055776F" w:rsidRDefault="009E303A" w:rsidP="001A0ED7">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42184AA7" w14:textId="77777777" w:rsidR="009E303A" w:rsidRPr="0055776F" w:rsidRDefault="009E303A" w:rsidP="001A0ED7">
                            <w:pPr>
                              <w:rPr>
                                <w:rFonts w:ascii="Arial" w:hAnsi="Arial" w:cs="Arial"/>
                                <w:sz w:val="20"/>
                              </w:rPr>
                            </w:pPr>
                            <w:r w:rsidRPr="0055776F">
                              <w:rPr>
                                <w:rFonts w:ascii="Arial" w:hAnsi="Arial" w:cs="Arial"/>
                                <w:sz w:val="20"/>
                              </w:rPr>
                              <w:t>186</w:t>
                            </w:r>
                          </w:p>
                        </w:tc>
                      </w:tr>
                      <w:tr w:rsidR="009E303A" w:rsidRPr="0055776F" w14:paraId="6B095178" w14:textId="77777777" w:rsidTr="001A0ED7">
                        <w:tc>
                          <w:tcPr>
                            <w:tcW w:w="817" w:type="dxa"/>
                            <w:shd w:val="clear" w:color="auto" w:fill="auto"/>
                          </w:tcPr>
                          <w:p w14:paraId="1F4738E1" w14:textId="77777777" w:rsidR="009E303A" w:rsidRPr="0055776F" w:rsidRDefault="009E303A" w:rsidP="001A0ED7">
                            <w:pPr>
                              <w:rPr>
                                <w:rFonts w:ascii="Arial" w:hAnsi="Arial" w:cs="Arial"/>
                                <w:sz w:val="20"/>
                              </w:rPr>
                            </w:pPr>
                            <w:r w:rsidRPr="0055776F">
                              <w:rPr>
                                <w:rFonts w:ascii="Arial" w:hAnsi="Arial" w:cs="Arial"/>
                                <w:sz w:val="20"/>
                              </w:rPr>
                              <w:t>│││</w:t>
                            </w:r>
                          </w:p>
                        </w:tc>
                        <w:tc>
                          <w:tcPr>
                            <w:tcW w:w="2464" w:type="dxa"/>
                            <w:shd w:val="clear" w:color="auto" w:fill="auto"/>
                          </w:tcPr>
                          <w:p w14:paraId="0A5DC025" w14:textId="77777777" w:rsidR="009E303A" w:rsidRPr="0055776F" w:rsidRDefault="009E303A" w:rsidP="001A0ED7">
                            <w:pPr>
                              <w:rPr>
                                <w:rFonts w:ascii="Arial" w:hAnsi="Arial" w:cs="Arial"/>
                                <w:sz w:val="20"/>
                              </w:rPr>
                            </w:pPr>
                            <w:r>
                              <w:rPr>
                                <w:rFonts w:ascii="Arial" w:hAnsi="Arial"/>
                                <w:sz w:val="20"/>
                              </w:rPr>
                              <w:t>Cenzúrázott megfigyelések</w:t>
                            </w:r>
                          </w:p>
                        </w:tc>
                        <w:tc>
                          <w:tcPr>
                            <w:tcW w:w="851" w:type="dxa"/>
                            <w:tcBorders>
                              <w:top w:val="single" w:sz="4" w:space="0" w:color="auto"/>
                            </w:tcBorders>
                            <w:shd w:val="clear" w:color="auto" w:fill="auto"/>
                          </w:tcPr>
                          <w:p w14:paraId="49A10BF4" w14:textId="77777777" w:rsidR="009E303A" w:rsidRPr="0055776F" w:rsidRDefault="009E303A" w:rsidP="001A0ED7">
                            <w:pPr>
                              <w:rPr>
                                <w:rFonts w:ascii="Arial" w:hAnsi="Arial" w:cs="Arial"/>
                                <w:sz w:val="20"/>
                              </w:rPr>
                            </w:pPr>
                          </w:p>
                        </w:tc>
                        <w:tc>
                          <w:tcPr>
                            <w:tcW w:w="709" w:type="dxa"/>
                            <w:tcBorders>
                              <w:top w:val="single" w:sz="4" w:space="0" w:color="auto"/>
                            </w:tcBorders>
                            <w:shd w:val="clear" w:color="auto" w:fill="auto"/>
                          </w:tcPr>
                          <w:p w14:paraId="4254788A" w14:textId="77777777" w:rsidR="009E303A" w:rsidRPr="0055776F" w:rsidRDefault="009E303A" w:rsidP="001A0ED7">
                            <w:pPr>
                              <w:rPr>
                                <w:rFonts w:ascii="Arial" w:hAnsi="Arial" w:cs="Arial"/>
                                <w:sz w:val="20"/>
                              </w:rPr>
                            </w:pPr>
                          </w:p>
                        </w:tc>
                        <w:tc>
                          <w:tcPr>
                            <w:tcW w:w="850" w:type="dxa"/>
                            <w:tcBorders>
                              <w:top w:val="single" w:sz="4" w:space="0" w:color="auto"/>
                            </w:tcBorders>
                            <w:shd w:val="clear" w:color="auto" w:fill="auto"/>
                          </w:tcPr>
                          <w:p w14:paraId="3DA12B5D" w14:textId="77777777" w:rsidR="009E303A" w:rsidRPr="0055776F" w:rsidRDefault="009E303A" w:rsidP="001A0ED7">
                            <w:pPr>
                              <w:rPr>
                                <w:rFonts w:ascii="Arial" w:hAnsi="Arial" w:cs="Arial"/>
                                <w:sz w:val="20"/>
                              </w:rPr>
                            </w:pPr>
                          </w:p>
                        </w:tc>
                      </w:tr>
                    </w:tbl>
                    <w:p w14:paraId="5F875BC2" w14:textId="77777777" w:rsidR="009E303A" w:rsidRPr="00A33DBA" w:rsidRDefault="009E303A" w:rsidP="00392199">
                      <w:pPr>
                        <w:rPr>
                          <w:rFonts w:ascii="Arial" w:hAnsi="Arial" w:cs="Arial"/>
                          <w:sz w:val="20"/>
                        </w:rPr>
                      </w:pPr>
                    </w:p>
                  </w:txbxContent>
                </v:textbox>
              </v:shape>
            </w:pict>
          </mc:Fallback>
        </mc:AlternateContent>
      </w:r>
      <w:r w:rsidRPr="00654EF1">
        <w:rPr>
          <w:noProof/>
          <w:lang w:val="en-US" w:eastAsia="en-US" w:bidi="ar-SA"/>
        </w:rPr>
        <mc:AlternateContent>
          <mc:Choice Requires="wps">
            <w:drawing>
              <wp:anchor distT="0" distB="0" distL="114300" distR="114300" simplePos="0" relativeHeight="251678720" behindDoc="0" locked="0" layoutInCell="1" allowOverlap="1" wp14:anchorId="28F21934" wp14:editId="6ABD9C6E">
                <wp:simplePos x="0" y="0"/>
                <wp:positionH relativeFrom="column">
                  <wp:posOffset>-217170</wp:posOffset>
                </wp:positionH>
                <wp:positionV relativeFrom="paragraph">
                  <wp:posOffset>227330</wp:posOffset>
                </wp:positionV>
                <wp:extent cx="335915" cy="1813560"/>
                <wp:effectExtent l="6985" t="5715"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813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F57F2" w14:textId="77777777" w:rsidR="009E303A" w:rsidRPr="00A33DBA" w:rsidRDefault="009E303A" w:rsidP="00392199">
                            <w:pPr>
                              <w:rPr>
                                <w:rFonts w:ascii="Arial" w:hAnsi="Arial" w:cs="Arial"/>
                                <w:sz w:val="20"/>
                              </w:rPr>
                            </w:pPr>
                            <w:r>
                              <w:rPr>
                                <w:rFonts w:ascii="Arial" w:hAnsi="Arial"/>
                                <w:sz w:val="20"/>
                              </w:rPr>
                              <w:t>A teljes túlélés valószínűsége</w:t>
                            </w:r>
                          </w:p>
                          <w:p w14:paraId="1E3D8E32" w14:textId="77777777" w:rsidR="009E303A" w:rsidRPr="00A33DBA" w:rsidRDefault="009E303A" w:rsidP="00392199">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F21934" id="Text Box 71" o:spid="_x0000_s1036" type="#_x0000_t202" style="position:absolute;left:0;text-align:left;margin-left:-17.1pt;margin-top:17.9pt;width:26.45pt;height:14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" stroked="f">
                <v:fill opacity="0"/>
                <v:textbox style="layout-flow:vertical;mso-layout-flow-alt:bottom-to-top">
                  <w:txbxContent>
                    <w:p w14:paraId="07DF57F2" w14:textId="77777777" w:rsidR="009E303A" w:rsidRPr="00A33DBA" w:rsidRDefault="009E303A" w:rsidP="00392199">
                      <w:pPr>
                        <w:rPr>
                          <w:rFonts w:ascii="Arial" w:hAnsi="Arial" w:cs="Arial"/>
                          <w:sz w:val="20"/>
                        </w:rPr>
                      </w:pPr>
                      <w:r>
                        <w:rPr>
                          <w:rFonts w:ascii="Arial" w:hAnsi="Arial"/>
                          <w:sz w:val="20"/>
                        </w:rPr>
                        <w:t>A teljes túlélés valószínűsége</w:t>
                      </w:r>
                    </w:p>
                    <w:p w14:paraId="1E3D8E32" w14:textId="77777777" w:rsidR="009E303A" w:rsidRPr="00A33DBA" w:rsidRDefault="009E303A" w:rsidP="00392199">
                      <w:pPr>
                        <w:rPr>
                          <w:rFonts w:ascii="Arial" w:hAnsi="Arial" w:cs="Arial"/>
                          <w:sz w:val="20"/>
                        </w:rPr>
                      </w:pPr>
                    </w:p>
                  </w:txbxContent>
                </v:textbox>
              </v:shape>
            </w:pict>
          </mc:Fallback>
        </mc:AlternateContent>
      </w:r>
      <w:r w:rsidRPr="00654EF1">
        <w:rPr>
          <w:noProof/>
          <w:lang w:val="en-US" w:eastAsia="en-US" w:bidi="ar-SA"/>
        </w:rPr>
        <w:drawing>
          <wp:inline distT="0" distB="0" distL="0" distR="0" wp14:anchorId="07271F2D" wp14:editId="02E3B474">
            <wp:extent cx="5947410" cy="26320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4BCD53A2" w14:textId="77777777" w:rsidR="00392199" w:rsidRPr="00654EF1" w:rsidRDefault="00392199" w:rsidP="00392199">
      <w:pPr>
        <w:keepNext/>
        <w:widowControl w:val="0"/>
        <w:spacing w:line="240" w:lineRule="auto"/>
        <w:ind w:left="1134" w:hanging="1134"/>
        <w:outlineLvl w:val="6"/>
        <w:rPr>
          <w:rFonts w:eastAsia="MS Mincho"/>
          <w:szCs w:val="22"/>
          <w:lang w:val="en-US"/>
        </w:rPr>
      </w:pPr>
      <w:r w:rsidRPr="00654EF1">
        <w:rPr>
          <w:rFonts w:eastAsia="MS Mincho"/>
          <w:noProof/>
          <w:szCs w:val="22"/>
          <w:lang w:val="en-US" w:eastAsia="en-US" w:bidi="ar-SA"/>
        </w:rPr>
        <mc:AlternateContent>
          <mc:Choice Requires="wps">
            <w:drawing>
              <wp:anchor distT="0" distB="0" distL="114300" distR="114300" simplePos="0" relativeHeight="251679744" behindDoc="0" locked="0" layoutInCell="1" allowOverlap="1" wp14:anchorId="748E74F8" wp14:editId="182A3C18">
                <wp:simplePos x="0" y="0"/>
                <wp:positionH relativeFrom="column">
                  <wp:posOffset>2329815</wp:posOffset>
                </wp:positionH>
                <wp:positionV relativeFrom="paragraph">
                  <wp:posOffset>73660</wp:posOffset>
                </wp:positionV>
                <wp:extent cx="1619250" cy="303530"/>
                <wp:effectExtent l="1270" t="1270" r="8255"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03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52784" w14:textId="77777777" w:rsidR="009E303A" w:rsidRPr="00A33DBA" w:rsidRDefault="009E303A" w:rsidP="00392199">
                            <w:pPr>
                              <w:rPr>
                                <w:rFonts w:ascii="Arial" w:hAnsi="Arial" w:cs="Arial"/>
                                <w:sz w:val="20"/>
                              </w:rPr>
                            </w:pPr>
                            <w:r>
                              <w:rPr>
                                <w:rFonts w:ascii="Arial" w:hAnsi="Arial"/>
                                <w:sz w:val="20"/>
                              </w:rPr>
                              <w:t>Túlélési idő hónapokban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8E74F8" id="Text Box 72" o:spid="_x0000_s1037" type="#_x0000_t202" style="position:absolute;left:0;text-align:left;margin-left:183.45pt;margin-top:5.8pt;width:127.5pt;height:2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" stroked="f">
                <v:fill opacity="0"/>
                <v:textbox>
                  <w:txbxContent>
                    <w:p w14:paraId="16752784" w14:textId="77777777" w:rsidR="009E303A" w:rsidRPr="00A33DBA" w:rsidRDefault="009E303A" w:rsidP="00392199">
                      <w:pPr>
                        <w:rPr>
                          <w:rFonts w:ascii="Arial" w:hAnsi="Arial" w:cs="Arial"/>
                          <w:sz w:val="20"/>
                        </w:rPr>
                      </w:pPr>
                      <w:r>
                        <w:rPr>
                          <w:rFonts w:ascii="Arial" w:hAnsi="Arial"/>
                          <w:sz w:val="20"/>
                        </w:rPr>
                        <w:t>Túlélési idő hónapokban</w:t>
                      </w:r>
                    </w:p>
                  </w:txbxContent>
                </v:textbox>
              </v:shape>
            </w:pict>
          </mc:Fallback>
        </mc:AlternateContent>
      </w:r>
    </w:p>
    <w:p w14:paraId="1F0E5E8C" w14:textId="77777777" w:rsidR="00392199" w:rsidRPr="00654EF1" w:rsidRDefault="00392199" w:rsidP="00392199">
      <w:pPr>
        <w:keepNext/>
        <w:widowControl w:val="0"/>
        <w:spacing w:line="240" w:lineRule="auto"/>
        <w:ind w:left="1134" w:hanging="1134"/>
        <w:outlineLvl w:val="6"/>
        <w:rPr>
          <w:rFonts w:eastAsia="MS Mincho"/>
          <w:szCs w:val="22"/>
          <w:lang w:val="en-US"/>
        </w:rPr>
      </w:pPr>
    </w:p>
    <w:p w14:paraId="054DDB88" w14:textId="77777777" w:rsidR="00392199" w:rsidRPr="00654EF1" w:rsidRDefault="00392199" w:rsidP="00392199">
      <w:pPr>
        <w:keepNext/>
        <w:widowControl w:val="0"/>
        <w:spacing w:line="240" w:lineRule="auto"/>
        <w:ind w:left="1134" w:hanging="1134"/>
        <w:outlineLvl w:val="6"/>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392199" w:rsidRPr="00556B9B" w14:paraId="6A4577E6" w14:textId="77777777" w:rsidTr="00F926B9">
        <w:tc>
          <w:tcPr>
            <w:tcW w:w="10632" w:type="dxa"/>
            <w:gridSpan w:val="16"/>
            <w:shd w:val="clear" w:color="auto" w:fill="auto"/>
          </w:tcPr>
          <w:p w14:paraId="16EBAC80" w14:textId="77777777" w:rsidR="00392199" w:rsidRPr="00556B9B" w:rsidRDefault="00392199" w:rsidP="00F926B9">
            <w:pPr>
              <w:keepNext/>
              <w:ind w:left="-27"/>
              <w:rPr>
                <w:rFonts w:ascii="Arial" w:hAnsi="Arial" w:cs="Arial"/>
                <w:sz w:val="16"/>
                <w:szCs w:val="16"/>
              </w:rPr>
            </w:pPr>
            <w:r w:rsidRPr="00556B9B">
              <w:rPr>
                <w:rFonts w:ascii="Arial" w:hAnsi="Arial" w:cs="Arial"/>
                <w:sz w:val="20"/>
              </w:rPr>
              <w:t>Veszélyeztetettek: Események</w:t>
            </w:r>
          </w:p>
        </w:tc>
      </w:tr>
      <w:tr w:rsidR="00392199" w:rsidRPr="00556B9B" w14:paraId="66FFEAE4" w14:textId="77777777" w:rsidTr="00F926B9">
        <w:tc>
          <w:tcPr>
            <w:tcW w:w="450" w:type="dxa"/>
            <w:shd w:val="clear" w:color="auto" w:fill="auto"/>
          </w:tcPr>
          <w:p w14:paraId="0615A4C0" w14:textId="77777777" w:rsidR="00392199" w:rsidRPr="00556B9B" w:rsidRDefault="00392199" w:rsidP="00F926B9">
            <w:pPr>
              <w:keepNext/>
              <w:rPr>
                <w:sz w:val="20"/>
              </w:rPr>
            </w:pPr>
            <w:r w:rsidRPr="00556B9B">
              <w:rPr>
                <w:sz w:val="20"/>
              </w:rPr>
              <w:t>(1)</w:t>
            </w:r>
          </w:p>
        </w:tc>
        <w:tc>
          <w:tcPr>
            <w:tcW w:w="691" w:type="dxa"/>
            <w:shd w:val="clear" w:color="auto" w:fill="auto"/>
          </w:tcPr>
          <w:p w14:paraId="075E0656" w14:textId="77777777" w:rsidR="00392199" w:rsidRPr="00556B9B" w:rsidRDefault="00392199" w:rsidP="00F926B9">
            <w:pPr>
              <w:keepNext/>
              <w:ind w:left="-45"/>
              <w:rPr>
                <w:sz w:val="20"/>
              </w:rPr>
            </w:pPr>
            <w:r w:rsidRPr="00556B9B">
              <w:rPr>
                <w:sz w:val="20"/>
              </w:rPr>
              <w:t>199:0</w:t>
            </w:r>
          </w:p>
        </w:tc>
        <w:tc>
          <w:tcPr>
            <w:tcW w:w="672" w:type="dxa"/>
            <w:shd w:val="clear" w:color="auto" w:fill="auto"/>
          </w:tcPr>
          <w:p w14:paraId="3D25C7A4" w14:textId="77777777" w:rsidR="00392199" w:rsidRPr="00556B9B" w:rsidRDefault="00392199" w:rsidP="00F926B9">
            <w:pPr>
              <w:keepNext/>
              <w:ind w:left="-45"/>
              <w:rPr>
                <w:sz w:val="20"/>
              </w:rPr>
            </w:pPr>
            <w:r w:rsidRPr="00556B9B">
              <w:rPr>
                <w:sz w:val="20"/>
              </w:rPr>
              <w:t>190:2</w:t>
            </w:r>
          </w:p>
        </w:tc>
        <w:tc>
          <w:tcPr>
            <w:tcW w:w="714" w:type="dxa"/>
            <w:shd w:val="clear" w:color="auto" w:fill="auto"/>
          </w:tcPr>
          <w:p w14:paraId="6D68B378" w14:textId="77777777" w:rsidR="00392199" w:rsidRPr="00556B9B" w:rsidRDefault="00392199" w:rsidP="00F926B9">
            <w:pPr>
              <w:keepNext/>
              <w:ind w:left="-45"/>
              <w:rPr>
                <w:sz w:val="20"/>
              </w:rPr>
            </w:pPr>
            <w:r w:rsidRPr="00556B9B">
              <w:rPr>
                <w:sz w:val="20"/>
              </w:rPr>
              <w:t>188:2</w:t>
            </w:r>
          </w:p>
        </w:tc>
        <w:tc>
          <w:tcPr>
            <w:tcW w:w="722" w:type="dxa"/>
            <w:shd w:val="clear" w:color="auto" w:fill="auto"/>
          </w:tcPr>
          <w:p w14:paraId="64B9FB14" w14:textId="77777777" w:rsidR="00392199" w:rsidRPr="00556B9B" w:rsidRDefault="00392199" w:rsidP="00F926B9">
            <w:pPr>
              <w:keepNext/>
              <w:ind w:left="-45"/>
              <w:rPr>
                <w:sz w:val="20"/>
              </w:rPr>
            </w:pPr>
            <w:r w:rsidRPr="00556B9B">
              <w:rPr>
                <w:sz w:val="20"/>
              </w:rPr>
              <w:t>183:6</w:t>
            </w:r>
          </w:p>
        </w:tc>
        <w:tc>
          <w:tcPr>
            <w:tcW w:w="694" w:type="dxa"/>
            <w:shd w:val="clear" w:color="auto" w:fill="auto"/>
          </w:tcPr>
          <w:p w14:paraId="4DE20B1A" w14:textId="77777777" w:rsidR="00392199" w:rsidRPr="00556B9B" w:rsidRDefault="00392199" w:rsidP="00F926B9">
            <w:pPr>
              <w:keepNext/>
              <w:ind w:left="-45"/>
              <w:rPr>
                <w:sz w:val="20"/>
              </w:rPr>
            </w:pPr>
            <w:r w:rsidRPr="00556B9B">
              <w:rPr>
                <w:sz w:val="20"/>
              </w:rPr>
              <w:t>176:8</w:t>
            </w:r>
          </w:p>
        </w:tc>
        <w:tc>
          <w:tcPr>
            <w:tcW w:w="772" w:type="dxa"/>
            <w:shd w:val="clear" w:color="auto" w:fill="auto"/>
          </w:tcPr>
          <w:p w14:paraId="73D0C04E" w14:textId="77777777" w:rsidR="00392199" w:rsidRPr="00556B9B" w:rsidRDefault="00392199" w:rsidP="00F926B9">
            <w:pPr>
              <w:keepNext/>
              <w:ind w:left="-45"/>
              <w:rPr>
                <w:sz w:val="20"/>
              </w:rPr>
            </w:pPr>
            <w:r w:rsidRPr="00556B9B">
              <w:rPr>
                <w:sz w:val="20"/>
              </w:rPr>
              <w:t>156:10</w:t>
            </w:r>
          </w:p>
        </w:tc>
        <w:tc>
          <w:tcPr>
            <w:tcW w:w="782" w:type="dxa"/>
            <w:shd w:val="clear" w:color="auto" w:fill="auto"/>
          </w:tcPr>
          <w:p w14:paraId="2A6E64B4" w14:textId="77777777" w:rsidR="00392199" w:rsidRPr="00556B9B" w:rsidRDefault="00392199" w:rsidP="00F926B9">
            <w:pPr>
              <w:keepNext/>
              <w:ind w:left="-45"/>
              <w:rPr>
                <w:sz w:val="20"/>
              </w:rPr>
            </w:pPr>
            <w:r w:rsidRPr="00556B9B">
              <w:rPr>
                <w:sz w:val="20"/>
              </w:rPr>
              <w:t>140:11</w:t>
            </w:r>
          </w:p>
        </w:tc>
        <w:tc>
          <w:tcPr>
            <w:tcW w:w="798" w:type="dxa"/>
            <w:shd w:val="clear" w:color="auto" w:fill="auto"/>
          </w:tcPr>
          <w:p w14:paraId="681A0450" w14:textId="77777777" w:rsidR="00392199" w:rsidRPr="00556B9B" w:rsidRDefault="00392199" w:rsidP="00F926B9">
            <w:pPr>
              <w:keepNext/>
              <w:ind w:left="-45"/>
              <w:rPr>
                <w:sz w:val="20"/>
              </w:rPr>
            </w:pPr>
            <w:r w:rsidRPr="00556B9B">
              <w:rPr>
                <w:sz w:val="20"/>
              </w:rPr>
              <w:t>105:14</w:t>
            </w:r>
          </w:p>
        </w:tc>
        <w:tc>
          <w:tcPr>
            <w:tcW w:w="654" w:type="dxa"/>
            <w:shd w:val="clear" w:color="auto" w:fill="auto"/>
          </w:tcPr>
          <w:p w14:paraId="4924505F" w14:textId="77777777" w:rsidR="00392199" w:rsidRPr="00556B9B" w:rsidRDefault="00392199" w:rsidP="00F926B9">
            <w:pPr>
              <w:keepNext/>
              <w:ind w:left="-45"/>
              <w:rPr>
                <w:sz w:val="20"/>
              </w:rPr>
            </w:pPr>
            <w:r w:rsidRPr="00556B9B">
              <w:rPr>
                <w:sz w:val="20"/>
              </w:rPr>
              <w:t>87:18</w:t>
            </w:r>
          </w:p>
        </w:tc>
        <w:tc>
          <w:tcPr>
            <w:tcW w:w="630" w:type="dxa"/>
            <w:shd w:val="clear" w:color="auto" w:fill="auto"/>
          </w:tcPr>
          <w:p w14:paraId="112C2827" w14:textId="77777777" w:rsidR="00392199" w:rsidRPr="00556B9B" w:rsidRDefault="00392199" w:rsidP="00F926B9">
            <w:pPr>
              <w:keepNext/>
              <w:ind w:left="-45"/>
              <w:rPr>
                <w:sz w:val="20"/>
              </w:rPr>
            </w:pPr>
            <w:r w:rsidRPr="00556B9B">
              <w:rPr>
                <w:sz w:val="20"/>
              </w:rPr>
              <w:t>64:22</w:t>
            </w:r>
          </w:p>
        </w:tc>
        <w:tc>
          <w:tcPr>
            <w:tcW w:w="644" w:type="dxa"/>
            <w:shd w:val="clear" w:color="auto" w:fill="auto"/>
          </w:tcPr>
          <w:p w14:paraId="660D1943" w14:textId="77777777" w:rsidR="00392199" w:rsidRPr="00556B9B" w:rsidRDefault="00392199" w:rsidP="00F926B9">
            <w:pPr>
              <w:keepNext/>
              <w:ind w:left="-45"/>
              <w:rPr>
                <w:sz w:val="20"/>
              </w:rPr>
            </w:pPr>
            <w:r w:rsidRPr="00556B9B">
              <w:rPr>
                <w:sz w:val="20"/>
              </w:rPr>
              <w:t>46:23</w:t>
            </w:r>
          </w:p>
        </w:tc>
        <w:tc>
          <w:tcPr>
            <w:tcW w:w="672" w:type="dxa"/>
            <w:shd w:val="clear" w:color="auto" w:fill="auto"/>
          </w:tcPr>
          <w:p w14:paraId="1F8F08EB" w14:textId="77777777" w:rsidR="00392199" w:rsidRPr="00556B9B" w:rsidRDefault="00392199" w:rsidP="00F926B9">
            <w:pPr>
              <w:keepNext/>
              <w:ind w:left="-45"/>
              <w:rPr>
                <w:sz w:val="20"/>
              </w:rPr>
            </w:pPr>
            <w:r w:rsidRPr="00556B9B">
              <w:rPr>
                <w:sz w:val="20"/>
              </w:rPr>
              <w:t>27:25</w:t>
            </w:r>
          </w:p>
        </w:tc>
        <w:tc>
          <w:tcPr>
            <w:tcW w:w="686" w:type="dxa"/>
            <w:shd w:val="clear" w:color="auto" w:fill="auto"/>
          </w:tcPr>
          <w:p w14:paraId="4D55D039" w14:textId="77777777" w:rsidR="00392199" w:rsidRPr="00556B9B" w:rsidRDefault="00392199" w:rsidP="00F926B9">
            <w:pPr>
              <w:keepNext/>
              <w:ind w:left="-45"/>
              <w:rPr>
                <w:sz w:val="20"/>
              </w:rPr>
            </w:pPr>
            <w:r w:rsidRPr="00556B9B">
              <w:rPr>
                <w:sz w:val="20"/>
              </w:rPr>
              <w:t>20:25</w:t>
            </w:r>
          </w:p>
        </w:tc>
        <w:tc>
          <w:tcPr>
            <w:tcW w:w="560" w:type="dxa"/>
            <w:shd w:val="clear" w:color="auto" w:fill="auto"/>
          </w:tcPr>
          <w:p w14:paraId="70220507" w14:textId="77777777" w:rsidR="00392199" w:rsidRPr="00556B9B" w:rsidRDefault="00392199" w:rsidP="00F926B9">
            <w:pPr>
              <w:keepNext/>
              <w:ind w:left="-45"/>
              <w:rPr>
                <w:sz w:val="20"/>
              </w:rPr>
            </w:pPr>
            <w:r w:rsidRPr="00556B9B">
              <w:rPr>
                <w:sz w:val="20"/>
              </w:rPr>
              <w:t>2:25</w:t>
            </w:r>
          </w:p>
        </w:tc>
        <w:tc>
          <w:tcPr>
            <w:tcW w:w="491" w:type="dxa"/>
            <w:shd w:val="clear" w:color="auto" w:fill="auto"/>
          </w:tcPr>
          <w:p w14:paraId="6427D414" w14:textId="77777777" w:rsidR="00392199" w:rsidRPr="00556B9B" w:rsidRDefault="00392199" w:rsidP="00F926B9">
            <w:pPr>
              <w:keepNext/>
              <w:ind w:left="-45"/>
              <w:rPr>
                <w:sz w:val="20"/>
              </w:rPr>
            </w:pPr>
            <w:r w:rsidRPr="00556B9B">
              <w:rPr>
                <w:sz w:val="20"/>
              </w:rPr>
              <w:t>0:25</w:t>
            </w:r>
          </w:p>
        </w:tc>
      </w:tr>
      <w:tr w:rsidR="00392199" w:rsidRPr="00556B9B" w14:paraId="38EDA178" w14:textId="77777777" w:rsidTr="00F926B9">
        <w:tc>
          <w:tcPr>
            <w:tcW w:w="450" w:type="dxa"/>
            <w:shd w:val="clear" w:color="auto" w:fill="auto"/>
          </w:tcPr>
          <w:p w14:paraId="02E30EB0" w14:textId="77777777" w:rsidR="00392199" w:rsidRPr="00556B9B" w:rsidRDefault="00392199" w:rsidP="00F926B9">
            <w:pPr>
              <w:keepNext/>
              <w:rPr>
                <w:sz w:val="20"/>
              </w:rPr>
            </w:pPr>
            <w:r w:rsidRPr="00556B9B">
              <w:rPr>
                <w:sz w:val="20"/>
              </w:rPr>
              <w:t>(2)</w:t>
            </w:r>
          </w:p>
        </w:tc>
        <w:tc>
          <w:tcPr>
            <w:tcW w:w="691" w:type="dxa"/>
            <w:shd w:val="clear" w:color="auto" w:fill="auto"/>
          </w:tcPr>
          <w:p w14:paraId="5BB731F4" w14:textId="77777777" w:rsidR="00392199" w:rsidRPr="00556B9B" w:rsidRDefault="00392199" w:rsidP="00F926B9">
            <w:pPr>
              <w:keepNext/>
              <w:ind w:left="-45"/>
              <w:rPr>
                <w:sz w:val="20"/>
              </w:rPr>
            </w:pPr>
            <w:r w:rsidRPr="00556B9B">
              <w:rPr>
                <w:sz w:val="20"/>
              </w:rPr>
              <w:t>198:0</w:t>
            </w:r>
          </w:p>
        </w:tc>
        <w:tc>
          <w:tcPr>
            <w:tcW w:w="672" w:type="dxa"/>
            <w:shd w:val="clear" w:color="auto" w:fill="auto"/>
          </w:tcPr>
          <w:p w14:paraId="1E044A71" w14:textId="77777777" w:rsidR="00392199" w:rsidRPr="00556B9B" w:rsidRDefault="00392199" w:rsidP="00F926B9">
            <w:pPr>
              <w:keepNext/>
              <w:ind w:left="-45"/>
              <w:rPr>
                <w:sz w:val="20"/>
              </w:rPr>
            </w:pPr>
            <w:r w:rsidRPr="00556B9B">
              <w:rPr>
                <w:sz w:val="20"/>
              </w:rPr>
              <w:t>196:0</w:t>
            </w:r>
          </w:p>
        </w:tc>
        <w:tc>
          <w:tcPr>
            <w:tcW w:w="714" w:type="dxa"/>
            <w:shd w:val="clear" w:color="auto" w:fill="auto"/>
          </w:tcPr>
          <w:p w14:paraId="25A891A4" w14:textId="77777777" w:rsidR="00392199" w:rsidRPr="00556B9B" w:rsidRDefault="00392199" w:rsidP="00F926B9">
            <w:pPr>
              <w:keepNext/>
              <w:ind w:left="-45"/>
              <w:rPr>
                <w:sz w:val="20"/>
              </w:rPr>
            </w:pPr>
            <w:r w:rsidRPr="00556B9B">
              <w:rPr>
                <w:sz w:val="20"/>
              </w:rPr>
              <w:t>192:0</w:t>
            </w:r>
          </w:p>
        </w:tc>
        <w:tc>
          <w:tcPr>
            <w:tcW w:w="722" w:type="dxa"/>
            <w:shd w:val="clear" w:color="auto" w:fill="auto"/>
          </w:tcPr>
          <w:p w14:paraId="4EE80A15" w14:textId="77777777" w:rsidR="00392199" w:rsidRPr="00556B9B" w:rsidRDefault="00392199" w:rsidP="00F926B9">
            <w:pPr>
              <w:keepNext/>
              <w:ind w:left="-45"/>
              <w:rPr>
                <w:sz w:val="20"/>
              </w:rPr>
            </w:pPr>
            <w:r w:rsidRPr="00556B9B">
              <w:rPr>
                <w:sz w:val="20"/>
              </w:rPr>
              <w:t>187:4</w:t>
            </w:r>
          </w:p>
        </w:tc>
        <w:tc>
          <w:tcPr>
            <w:tcW w:w="694" w:type="dxa"/>
            <w:shd w:val="clear" w:color="auto" w:fill="auto"/>
          </w:tcPr>
          <w:p w14:paraId="36D7A8BD" w14:textId="77777777" w:rsidR="00392199" w:rsidRPr="00556B9B" w:rsidRDefault="00392199" w:rsidP="00F926B9">
            <w:pPr>
              <w:keepNext/>
              <w:ind w:left="-45"/>
              <w:rPr>
                <w:sz w:val="20"/>
              </w:rPr>
            </w:pPr>
            <w:r w:rsidRPr="00556B9B">
              <w:rPr>
                <w:sz w:val="20"/>
              </w:rPr>
              <w:t>184:5</w:t>
            </w:r>
          </w:p>
        </w:tc>
        <w:tc>
          <w:tcPr>
            <w:tcW w:w="772" w:type="dxa"/>
            <w:shd w:val="clear" w:color="auto" w:fill="auto"/>
          </w:tcPr>
          <w:p w14:paraId="0A711DB9" w14:textId="77777777" w:rsidR="00392199" w:rsidRPr="00556B9B" w:rsidRDefault="00392199" w:rsidP="00F926B9">
            <w:pPr>
              <w:keepNext/>
              <w:ind w:left="-45"/>
              <w:rPr>
                <w:sz w:val="20"/>
              </w:rPr>
            </w:pPr>
            <w:r w:rsidRPr="00556B9B">
              <w:rPr>
                <w:sz w:val="20"/>
              </w:rPr>
              <w:t>164:7</w:t>
            </w:r>
          </w:p>
        </w:tc>
        <w:tc>
          <w:tcPr>
            <w:tcW w:w="782" w:type="dxa"/>
            <w:shd w:val="clear" w:color="auto" w:fill="auto"/>
          </w:tcPr>
          <w:p w14:paraId="308E0B7D" w14:textId="77777777" w:rsidR="00392199" w:rsidRPr="00556B9B" w:rsidRDefault="00392199" w:rsidP="00F926B9">
            <w:pPr>
              <w:keepNext/>
              <w:ind w:left="-45"/>
              <w:rPr>
                <w:sz w:val="20"/>
              </w:rPr>
            </w:pPr>
            <w:r w:rsidRPr="00556B9B">
              <w:rPr>
                <w:sz w:val="20"/>
              </w:rPr>
              <w:t>152:7</w:t>
            </w:r>
          </w:p>
        </w:tc>
        <w:tc>
          <w:tcPr>
            <w:tcW w:w="798" w:type="dxa"/>
            <w:shd w:val="clear" w:color="auto" w:fill="auto"/>
          </w:tcPr>
          <w:p w14:paraId="545B869C" w14:textId="77777777" w:rsidR="00392199" w:rsidRPr="00556B9B" w:rsidRDefault="00392199" w:rsidP="00F926B9">
            <w:pPr>
              <w:keepNext/>
              <w:ind w:left="-45"/>
              <w:rPr>
                <w:sz w:val="20"/>
              </w:rPr>
            </w:pPr>
            <w:r w:rsidRPr="00556B9B">
              <w:rPr>
                <w:sz w:val="20"/>
              </w:rPr>
              <w:t>119:8</w:t>
            </w:r>
          </w:p>
        </w:tc>
        <w:tc>
          <w:tcPr>
            <w:tcW w:w="654" w:type="dxa"/>
            <w:shd w:val="clear" w:color="auto" w:fill="auto"/>
          </w:tcPr>
          <w:p w14:paraId="56480475" w14:textId="77777777" w:rsidR="00392199" w:rsidRPr="00556B9B" w:rsidRDefault="00392199" w:rsidP="00F926B9">
            <w:pPr>
              <w:keepNext/>
              <w:ind w:left="-45"/>
              <w:rPr>
                <w:sz w:val="20"/>
              </w:rPr>
            </w:pPr>
            <w:r w:rsidRPr="00556B9B">
              <w:rPr>
                <w:sz w:val="20"/>
              </w:rPr>
              <w:t>100:8</w:t>
            </w:r>
          </w:p>
        </w:tc>
        <w:tc>
          <w:tcPr>
            <w:tcW w:w="630" w:type="dxa"/>
            <w:shd w:val="clear" w:color="auto" w:fill="auto"/>
          </w:tcPr>
          <w:p w14:paraId="23DFEB06" w14:textId="77777777" w:rsidR="00392199" w:rsidRPr="00556B9B" w:rsidRDefault="00392199" w:rsidP="00F926B9">
            <w:pPr>
              <w:keepNext/>
              <w:ind w:left="-45"/>
              <w:rPr>
                <w:sz w:val="20"/>
              </w:rPr>
            </w:pPr>
            <w:r w:rsidRPr="00556B9B">
              <w:rPr>
                <w:sz w:val="20"/>
              </w:rPr>
              <w:t>76:10</w:t>
            </w:r>
          </w:p>
        </w:tc>
        <w:tc>
          <w:tcPr>
            <w:tcW w:w="644" w:type="dxa"/>
            <w:shd w:val="clear" w:color="auto" w:fill="auto"/>
          </w:tcPr>
          <w:p w14:paraId="60481BF2" w14:textId="77777777" w:rsidR="00392199" w:rsidRPr="00556B9B" w:rsidRDefault="00392199" w:rsidP="00F926B9">
            <w:pPr>
              <w:keepNext/>
              <w:ind w:left="-45"/>
              <w:rPr>
                <w:sz w:val="20"/>
              </w:rPr>
            </w:pPr>
            <w:r w:rsidRPr="00556B9B">
              <w:rPr>
                <w:sz w:val="20"/>
              </w:rPr>
              <w:t>56:11</w:t>
            </w:r>
          </w:p>
        </w:tc>
        <w:tc>
          <w:tcPr>
            <w:tcW w:w="672" w:type="dxa"/>
            <w:shd w:val="clear" w:color="auto" w:fill="auto"/>
          </w:tcPr>
          <w:p w14:paraId="4964F9CA" w14:textId="77777777" w:rsidR="00392199" w:rsidRPr="00556B9B" w:rsidRDefault="00392199" w:rsidP="00F926B9">
            <w:pPr>
              <w:keepNext/>
              <w:ind w:left="-45"/>
              <w:rPr>
                <w:sz w:val="20"/>
              </w:rPr>
            </w:pPr>
            <w:r w:rsidRPr="00556B9B">
              <w:rPr>
                <w:sz w:val="20"/>
              </w:rPr>
              <w:t>31:11</w:t>
            </w:r>
          </w:p>
        </w:tc>
        <w:tc>
          <w:tcPr>
            <w:tcW w:w="686" w:type="dxa"/>
            <w:shd w:val="clear" w:color="auto" w:fill="auto"/>
          </w:tcPr>
          <w:p w14:paraId="41CFA348" w14:textId="77777777" w:rsidR="00392199" w:rsidRPr="00556B9B" w:rsidRDefault="00392199" w:rsidP="00F926B9">
            <w:pPr>
              <w:keepNext/>
              <w:ind w:left="-45"/>
              <w:rPr>
                <w:sz w:val="20"/>
              </w:rPr>
            </w:pPr>
            <w:r w:rsidRPr="00556B9B">
              <w:rPr>
                <w:sz w:val="20"/>
              </w:rPr>
              <w:t>13:12</w:t>
            </w:r>
          </w:p>
        </w:tc>
        <w:tc>
          <w:tcPr>
            <w:tcW w:w="560" w:type="dxa"/>
            <w:shd w:val="clear" w:color="auto" w:fill="auto"/>
          </w:tcPr>
          <w:p w14:paraId="55B7E662" w14:textId="77777777" w:rsidR="00392199" w:rsidRPr="00556B9B" w:rsidRDefault="00392199" w:rsidP="00F926B9">
            <w:pPr>
              <w:keepNext/>
              <w:ind w:left="-45"/>
              <w:rPr>
                <w:sz w:val="20"/>
              </w:rPr>
            </w:pPr>
            <w:r w:rsidRPr="00556B9B">
              <w:rPr>
                <w:sz w:val="20"/>
              </w:rPr>
              <w:t>0:12</w:t>
            </w:r>
          </w:p>
        </w:tc>
        <w:tc>
          <w:tcPr>
            <w:tcW w:w="491" w:type="dxa"/>
            <w:shd w:val="clear" w:color="auto" w:fill="auto"/>
          </w:tcPr>
          <w:p w14:paraId="0B0E26A8" w14:textId="77777777" w:rsidR="00392199" w:rsidRPr="00556B9B" w:rsidRDefault="00392199" w:rsidP="00F926B9">
            <w:pPr>
              <w:keepNext/>
              <w:ind w:left="-45"/>
              <w:rPr>
                <w:sz w:val="20"/>
              </w:rPr>
            </w:pPr>
          </w:p>
        </w:tc>
      </w:tr>
    </w:tbl>
    <w:p w14:paraId="0F585968" w14:textId="77777777" w:rsidR="00392199" w:rsidRPr="00654EF1" w:rsidRDefault="00392199" w:rsidP="00392199">
      <w:pPr>
        <w:pStyle w:val="Text"/>
        <w:widowControl w:val="0"/>
        <w:spacing w:before="0"/>
        <w:jc w:val="left"/>
        <w:rPr>
          <w:rFonts w:eastAsia="MS Mincho"/>
          <w:color w:val="000000"/>
          <w:sz w:val="22"/>
          <w:szCs w:val="22"/>
          <w:lang w:eastAsia="ja-JP"/>
        </w:rPr>
      </w:pPr>
    </w:p>
    <w:p w14:paraId="4B6A91F8" w14:textId="77777777" w:rsidR="00153AD1" w:rsidRPr="006D0F5F" w:rsidRDefault="00153AD1" w:rsidP="00153AD1">
      <w:pPr>
        <w:pStyle w:val="Text"/>
        <w:spacing w:before="0"/>
        <w:jc w:val="left"/>
        <w:rPr>
          <w:rStyle w:val="CommentReference"/>
          <w:sz w:val="22"/>
          <w:szCs w:val="22"/>
          <w:lang w:val="hu-HU"/>
        </w:rPr>
      </w:pPr>
      <w:r w:rsidRPr="00556B9B">
        <w:rPr>
          <w:rStyle w:val="WW8Num3z0"/>
          <w:sz w:val="22"/>
          <w:lang w:val="hu-HU"/>
        </w:rPr>
        <w:t>A c</w:t>
      </w:r>
      <w:r w:rsidRPr="00556B9B">
        <w:rPr>
          <w:rStyle w:val="WW8Num3z0"/>
          <w:sz w:val="22"/>
          <w:lang w:val="hu-HU"/>
        </w:rPr>
        <w:noBreakHyphen/>
        <w:t>Kit pozitív GIST</w:t>
      </w:r>
      <w:r w:rsidRPr="00556B9B">
        <w:rPr>
          <w:rStyle w:val="WW8Num3z0"/>
          <w:sz w:val="22"/>
          <w:lang w:val="hu-HU"/>
        </w:rPr>
        <w:noBreakHyphen/>
        <w:t xml:space="preserve">ben szenvedő gyermekgyógyászati betegekkel nincsenek kontrollos vizsgálatok. Hét publikációban </w:t>
      </w:r>
      <w:r w:rsidRPr="006D0F5F">
        <w:rPr>
          <w:rStyle w:val="WW8Num3z0"/>
          <w:sz w:val="22"/>
          <w:lang w:val="hu-HU"/>
        </w:rPr>
        <w:t>tizenhét (17), GIST</w:t>
      </w:r>
      <w:r w:rsidRPr="006D0F5F">
        <w:rPr>
          <w:rStyle w:val="WW8Num3z0"/>
          <w:sz w:val="22"/>
          <w:lang w:val="hu-HU"/>
        </w:rPr>
        <w:noBreakHyphen/>
        <w:t>ben (Kit</w:t>
      </w:r>
      <w:r w:rsidRPr="006D0F5F">
        <w:rPr>
          <w:rStyle w:val="WW8Num3z0"/>
          <w:sz w:val="22"/>
          <w:lang w:val="hu-HU"/>
        </w:rPr>
        <w:noBreakHyphen/>
        <w:t>tel és PDGFR mutációkkal vagy azok nélkül) szenvedő betegről számoltak be. Ezen betegek életkora 8 és 18 év közé esett, és az imatinibet mind adjuváns kezelésként, mind metasztatizáló betegség esetén napi 300</w:t>
      </w:r>
      <w:r w:rsidRPr="006D0F5F">
        <w:rPr>
          <w:rStyle w:val="WW8Num3z0"/>
          <w:sz w:val="22"/>
          <w:lang w:val="hu-HU"/>
        </w:rPr>
        <w:noBreakHyphen/>
        <w:t>800 mg közötti dózisban kapták. A GIST miatt kezelt gyermekgyógyászati betegek többségénél nem voltak a c</w:t>
      </w:r>
      <w:r w:rsidRPr="006D0F5F">
        <w:rPr>
          <w:rStyle w:val="WW8Num3z0"/>
          <w:sz w:val="22"/>
          <w:lang w:val="hu-HU"/>
        </w:rPr>
        <w:noBreakHyphen/>
        <w:t>kit vagy PDGFR mutációkat megerősítő adatok, ami kevert klinikai kimenetelhez vezethetett.</w:t>
      </w:r>
    </w:p>
    <w:p w14:paraId="526EB0DB" w14:textId="77777777" w:rsidR="00153AD1" w:rsidRPr="006D0F5F" w:rsidRDefault="00153AD1" w:rsidP="00153AD1">
      <w:pPr>
        <w:pStyle w:val="Text"/>
        <w:spacing w:before="0"/>
        <w:jc w:val="left"/>
        <w:rPr>
          <w:rFonts w:eastAsia="MS Mincho"/>
          <w:color w:val="000000"/>
          <w:sz w:val="22"/>
          <w:szCs w:val="22"/>
          <w:lang w:val="hu-HU" w:eastAsia="ja-JP"/>
        </w:rPr>
      </w:pPr>
    </w:p>
    <w:p w14:paraId="7B83B29F" w14:textId="77777777" w:rsidR="00153AD1" w:rsidRPr="006D0F5F" w:rsidRDefault="00153AD1" w:rsidP="00F926B9">
      <w:pPr>
        <w:keepNext/>
        <w:spacing w:line="240" w:lineRule="auto"/>
        <w:rPr>
          <w:color w:val="000000"/>
          <w:lang w:val="hu-HU"/>
        </w:rPr>
      </w:pPr>
      <w:r w:rsidRPr="006D0F5F">
        <w:rPr>
          <w:color w:val="000000"/>
          <w:u w:val="single"/>
          <w:lang w:val="hu-HU"/>
        </w:rPr>
        <w:t>Klinikai vizsgálatok DFSP</w:t>
      </w:r>
      <w:r w:rsidRPr="006D0F5F">
        <w:rPr>
          <w:color w:val="000000"/>
          <w:u w:val="single"/>
          <w:lang w:val="hu-HU"/>
        </w:rPr>
        <w:noBreakHyphen/>
        <w:t>ben</w:t>
      </w:r>
    </w:p>
    <w:p w14:paraId="066881A4" w14:textId="3BAB629E" w:rsidR="00153AD1" w:rsidRPr="00556B9B" w:rsidRDefault="00153AD1" w:rsidP="00153AD1">
      <w:pPr>
        <w:spacing w:line="240" w:lineRule="auto"/>
        <w:rPr>
          <w:color w:val="000000"/>
          <w:lang w:val="hu-HU"/>
        </w:rPr>
      </w:pPr>
      <w:r w:rsidRPr="006D0F5F">
        <w:rPr>
          <w:color w:val="000000"/>
          <w:lang w:val="hu-HU"/>
        </w:rPr>
        <w:t xml:space="preserve">Egy nyílt, II. </w:t>
      </w:r>
      <w:r w:rsidR="00045AFC" w:rsidRPr="006D0F5F">
        <w:rPr>
          <w:color w:val="000000"/>
          <w:lang w:val="hu-HU"/>
        </w:rPr>
        <w:t xml:space="preserve">fázisú </w:t>
      </w:r>
      <w:r w:rsidRPr="006D0F5F">
        <w:rPr>
          <w:color w:val="000000"/>
          <w:lang w:val="hu-HU"/>
        </w:rPr>
        <w:t>multicentrikus</w:t>
      </w:r>
      <w:r w:rsidRPr="00556B9B">
        <w:rPr>
          <w:color w:val="000000"/>
          <w:lang w:val="hu-HU"/>
        </w:rPr>
        <w:t xml:space="preserve"> klinikai vizsgálatban (B2225 vizsgálat) többek között 12 DFSP</w:t>
      </w:r>
      <w:r w:rsidRPr="00556B9B">
        <w:rPr>
          <w:color w:val="000000"/>
          <w:lang w:val="hu-HU"/>
        </w:rPr>
        <w:noBreakHyphen/>
        <w:t>ben szenvedő beteget kezeltek napi 800 mg Glivec</w:t>
      </w:r>
      <w:r w:rsidRPr="00556B9B">
        <w:rPr>
          <w:color w:val="000000"/>
          <w:lang w:val="hu-HU"/>
        </w:rPr>
        <w:noBreakHyphen/>
        <w:t>kel. A DFSP</w:t>
      </w:r>
      <w:r w:rsidRPr="00556B9B">
        <w:rPr>
          <w:color w:val="000000"/>
          <w:lang w:val="hu-HU"/>
        </w:rPr>
        <w:noBreakHyphen/>
        <w:t>s betegek életkora 23 és 75 év között volt; a DFSP metasztatikus, az induláskor reszekciós műtétet követően lokálisan recidiváló volt, és a vizsgálatba történő bevonáskor további reszekciós műtétre nem tekintették őket alkalmasnak. A 12 bevont betegből 9 adott választ: 1 beteg teljes választ, 8 beteg részleges választ. A részleges választ adók közül 3 beteg a későbbiekben műtéti beavatkozást követően vált betegségmentessé. A B2225 vizsgálatban a kezelés időtartamának mediánértéke 6,2 hónap volt (a maximum időtartam 24,3 hónap volt). További 6, Glivec</w:t>
      </w:r>
      <w:r w:rsidRPr="00556B9B">
        <w:rPr>
          <w:color w:val="000000"/>
          <w:lang w:val="hu-HU"/>
        </w:rPr>
        <w:noBreakHyphen/>
        <w:t>kel kezelt DFSP</w:t>
      </w:r>
      <w:r w:rsidRPr="00556B9B">
        <w:rPr>
          <w:color w:val="000000"/>
          <w:lang w:val="hu-HU"/>
        </w:rPr>
        <w:noBreakHyphen/>
        <w:t>s betegről (életkor: 18 hónap</w:t>
      </w:r>
      <w:r w:rsidRPr="00556B9B">
        <w:rPr>
          <w:color w:val="000000"/>
          <w:lang w:val="hu-HU"/>
        </w:rPr>
        <w:noBreakHyphen/>
        <w:t>49 év) számoltak be 5 publikált esettanulmányban. A szakirodalomban szereplő felnőtt betegek Glivec adagja napi 400 mg (4 eset) vagy 800 mg (1 eset) volt. Az 5 reagáló betegből 3 teljes választ, 2 részleges választ adott. A szakirodalomban közölt esetekben a kezelés időtartamának mediánértéke 4 hét és több mint 20 hónap között volt. A t</w:t>
      </w:r>
      <w:r w:rsidRPr="00556B9B">
        <w:rPr>
          <w:color w:val="000000"/>
          <w:szCs w:val="22"/>
          <w:lang w:val="hu-HU" w:eastAsia="ja-JP"/>
        </w:rPr>
        <w:t>(17:22)[(q22:q13)] transzlokáció vagy ennek génproduktuma kimutatható volt a Glivec</w:t>
      </w:r>
      <w:r w:rsidRPr="00556B9B">
        <w:rPr>
          <w:color w:val="000000"/>
          <w:szCs w:val="22"/>
          <w:lang w:val="hu-HU" w:eastAsia="ja-JP"/>
        </w:rPr>
        <w:noBreakHyphen/>
        <w:t>kezelésre reagáló összes betegben.</w:t>
      </w:r>
    </w:p>
    <w:p w14:paraId="72421810" w14:textId="77777777" w:rsidR="00153AD1" w:rsidRPr="00556B9B" w:rsidRDefault="00153AD1" w:rsidP="00153AD1">
      <w:pPr>
        <w:spacing w:line="240" w:lineRule="auto"/>
        <w:rPr>
          <w:color w:val="000000"/>
          <w:lang w:val="hu-HU"/>
        </w:rPr>
      </w:pPr>
    </w:p>
    <w:p w14:paraId="6CA21373" w14:textId="77777777" w:rsidR="00153AD1" w:rsidRPr="00556B9B" w:rsidRDefault="00153AD1" w:rsidP="00153AD1">
      <w:pPr>
        <w:pStyle w:val="Text"/>
        <w:spacing w:before="0"/>
        <w:jc w:val="left"/>
        <w:rPr>
          <w:color w:val="000000"/>
          <w:sz w:val="22"/>
          <w:szCs w:val="22"/>
          <w:lang w:val="hu-HU"/>
        </w:rPr>
      </w:pPr>
      <w:r w:rsidRPr="00556B9B">
        <w:rPr>
          <w:rStyle w:val="WW8Num3z0"/>
          <w:color w:val="000000"/>
          <w:sz w:val="22"/>
          <w:lang w:val="hu-HU"/>
        </w:rPr>
        <w:t>DFSP</w:t>
      </w:r>
      <w:r w:rsidRPr="00556B9B">
        <w:rPr>
          <w:rStyle w:val="WW8Num3z0"/>
          <w:color w:val="000000"/>
          <w:sz w:val="22"/>
          <w:lang w:val="hu-HU"/>
        </w:rPr>
        <w:noBreakHyphen/>
        <w:t>ben szenvedő gyermekgyógyászati betegekkel nincsenek kontrollos vizsgálatok. Három publikációban öt (5), DFSP</w:t>
      </w:r>
      <w:r w:rsidRPr="00556B9B">
        <w:rPr>
          <w:rStyle w:val="WW8Num3z0"/>
          <w:color w:val="000000"/>
          <w:sz w:val="22"/>
          <w:lang w:val="hu-HU"/>
        </w:rPr>
        <w:noBreakHyphen/>
        <w:t>ben és PDGFR</w:t>
      </w:r>
      <w:r w:rsidRPr="00556B9B">
        <w:rPr>
          <w:rStyle w:val="WW8Num3z0"/>
          <w:color w:val="000000"/>
          <w:sz w:val="22"/>
          <w:lang w:val="hu-HU"/>
        </w:rPr>
        <w:noBreakHyphen/>
        <w:t>ben szenvedő betegnél génátrendeződésről számoltak be. Ezen betegek életkora újszülött kor és 14 év közé esett, és az imatinibet napi 50 mg</w:t>
      </w:r>
      <w:r w:rsidRPr="00556B9B">
        <w:rPr>
          <w:rStyle w:val="WW8Num3z0"/>
          <w:color w:val="000000"/>
          <w:sz w:val="22"/>
          <w:lang w:val="hu-HU"/>
        </w:rPr>
        <w:noBreakHyphen/>
        <w:t>os dózisban vagy napi 400</w:t>
      </w:r>
      <w:r w:rsidRPr="00556B9B">
        <w:rPr>
          <w:rStyle w:val="WW8Num3z0"/>
          <w:color w:val="000000"/>
          <w:sz w:val="22"/>
          <w:lang w:val="hu-HU"/>
        </w:rPr>
        <w:noBreakHyphen/>
        <w:t>520 mg/m</w:t>
      </w:r>
      <w:r w:rsidRPr="00556B9B">
        <w:rPr>
          <w:rStyle w:val="WW8Num3z0"/>
          <w:color w:val="000000"/>
          <w:sz w:val="22"/>
          <w:vertAlign w:val="superscript"/>
          <w:lang w:val="hu-HU"/>
        </w:rPr>
        <w:t>2</w:t>
      </w:r>
      <w:r w:rsidRPr="00556B9B">
        <w:rPr>
          <w:rStyle w:val="WW8Num3z0"/>
          <w:color w:val="000000"/>
          <w:sz w:val="22"/>
          <w:lang w:val="hu-HU"/>
        </w:rPr>
        <w:t xml:space="preserve"> közötti dózisokban kapták. Minden betegek parciális és/vagy teljes remissziót ért el.</w:t>
      </w:r>
    </w:p>
    <w:p w14:paraId="20D10383" w14:textId="77777777" w:rsidR="00153AD1" w:rsidRPr="00556B9B" w:rsidRDefault="00153AD1" w:rsidP="00153AD1">
      <w:pPr>
        <w:spacing w:line="240" w:lineRule="auto"/>
        <w:rPr>
          <w:color w:val="000000"/>
          <w:lang w:val="hu-HU"/>
        </w:rPr>
      </w:pPr>
    </w:p>
    <w:p w14:paraId="0D807F40" w14:textId="77777777" w:rsidR="0000287A" w:rsidRPr="00556B9B" w:rsidRDefault="0000287A" w:rsidP="00F926B9">
      <w:pPr>
        <w:keepNext/>
        <w:spacing w:line="240" w:lineRule="auto"/>
        <w:ind w:left="567" w:hanging="567"/>
        <w:rPr>
          <w:b/>
          <w:color w:val="000000"/>
          <w:lang w:val="hu-HU"/>
        </w:rPr>
      </w:pPr>
      <w:r w:rsidRPr="00556B9B">
        <w:rPr>
          <w:b/>
          <w:color w:val="000000"/>
          <w:lang w:val="hu-HU"/>
        </w:rPr>
        <w:lastRenderedPageBreak/>
        <w:t>5.2</w:t>
      </w:r>
      <w:r w:rsidRPr="00556B9B">
        <w:rPr>
          <w:b/>
          <w:color w:val="000000"/>
          <w:lang w:val="hu-HU"/>
        </w:rPr>
        <w:tab/>
        <w:t>Farmakokinetikai tulajdonságok</w:t>
      </w:r>
    </w:p>
    <w:p w14:paraId="159E78BE" w14:textId="77777777" w:rsidR="0000287A" w:rsidRPr="00556B9B" w:rsidRDefault="0000287A" w:rsidP="00F926B9">
      <w:pPr>
        <w:keepNext/>
        <w:spacing w:line="240" w:lineRule="auto"/>
        <w:rPr>
          <w:color w:val="000000"/>
          <w:u w:val="single"/>
          <w:lang w:val="hu-HU"/>
        </w:rPr>
      </w:pPr>
    </w:p>
    <w:p w14:paraId="7B8AD73A" w14:textId="77777777" w:rsidR="0000287A" w:rsidRPr="00556B9B" w:rsidRDefault="0000287A" w:rsidP="00F926B9">
      <w:pPr>
        <w:keepNext/>
        <w:spacing w:line="240" w:lineRule="auto"/>
        <w:rPr>
          <w:color w:val="000000"/>
          <w:u w:val="single"/>
          <w:lang w:val="hu-HU"/>
        </w:rPr>
      </w:pPr>
      <w:r w:rsidRPr="00556B9B">
        <w:rPr>
          <w:color w:val="000000"/>
          <w:u w:val="single"/>
          <w:lang w:val="hu-HU"/>
        </w:rPr>
        <w:t>A Glivec farmakokinetikai tulajdonságai</w:t>
      </w:r>
    </w:p>
    <w:p w14:paraId="186FD3D8" w14:textId="77777777" w:rsidR="0000287A" w:rsidRPr="00556B9B" w:rsidRDefault="0000287A" w:rsidP="0000287A">
      <w:pPr>
        <w:spacing w:line="240" w:lineRule="auto"/>
        <w:rPr>
          <w:color w:val="000000"/>
          <w:lang w:val="hu-HU"/>
        </w:rPr>
      </w:pPr>
      <w:r w:rsidRPr="00556B9B">
        <w:rPr>
          <w:color w:val="000000"/>
          <w:lang w:val="hu-HU"/>
        </w:rPr>
        <w:t>A Glivec farmakokinetikáját 25 mg – 1000 mg közötti dózistartományban vizsgálták. A plazma farmakokinetikai profilját az 1. és a 7. vagy 28. napon vizsgálták, amikor a plazmakoncentráció steady state állapotba került.</w:t>
      </w:r>
    </w:p>
    <w:p w14:paraId="151EBE0B" w14:textId="77777777" w:rsidR="0000287A" w:rsidRPr="00556B9B" w:rsidRDefault="0000287A" w:rsidP="0000287A">
      <w:pPr>
        <w:spacing w:line="240" w:lineRule="auto"/>
        <w:rPr>
          <w:color w:val="000000"/>
          <w:lang w:val="hu-HU"/>
        </w:rPr>
      </w:pPr>
    </w:p>
    <w:p w14:paraId="576D64CA" w14:textId="77777777" w:rsidR="00910FC8" w:rsidRPr="00556B9B" w:rsidRDefault="00910FC8">
      <w:pPr>
        <w:spacing w:line="240" w:lineRule="auto"/>
        <w:rPr>
          <w:color w:val="000000"/>
          <w:lang w:val="hu-HU"/>
        </w:rPr>
      </w:pPr>
      <w:r w:rsidRPr="00556B9B">
        <w:rPr>
          <w:color w:val="000000"/>
          <w:u w:val="single"/>
          <w:lang w:val="hu-HU"/>
        </w:rPr>
        <w:t>Felszívódás</w:t>
      </w:r>
    </w:p>
    <w:p w14:paraId="1AC08D73" w14:textId="77777777" w:rsidR="00910FC8" w:rsidRPr="00556B9B" w:rsidRDefault="00910FC8">
      <w:pPr>
        <w:spacing w:line="240" w:lineRule="auto"/>
        <w:rPr>
          <w:color w:val="000000"/>
          <w:lang w:val="hu-HU"/>
        </w:rPr>
      </w:pPr>
      <w:r w:rsidRPr="00556B9B">
        <w:rPr>
          <w:color w:val="000000"/>
          <w:lang w:val="hu-HU"/>
        </w:rPr>
        <w:t>Az imatinib átlagos abszolút biológiai hasznosulása 98%. Orális dózis alkalmazása után a plazma imatinib AUC szintje nagy egyéni variabilitást mutatott. Erősen zsíros étkezéssel együtt bevéve az imatinib felszívódása minimálisan csökkent (a C</w:t>
      </w:r>
      <w:r w:rsidRPr="00556B9B">
        <w:rPr>
          <w:color w:val="000000"/>
          <w:vertAlign w:val="subscript"/>
          <w:lang w:val="hu-HU"/>
        </w:rPr>
        <w:t>max </w:t>
      </w:r>
      <w:r w:rsidRPr="00556B9B">
        <w:rPr>
          <w:color w:val="000000"/>
          <w:lang w:val="hu-HU"/>
        </w:rPr>
        <w:t>11%</w:t>
      </w:r>
      <w:r w:rsidRPr="00556B9B">
        <w:rPr>
          <w:color w:val="000000"/>
          <w:lang w:val="hu-HU"/>
        </w:rPr>
        <w:noBreakHyphen/>
        <w:t>kal csökkent, a t</w:t>
      </w:r>
      <w:r w:rsidRPr="00556B9B">
        <w:rPr>
          <w:color w:val="000000"/>
          <w:vertAlign w:val="subscript"/>
          <w:lang w:val="hu-HU"/>
        </w:rPr>
        <w:t>max </w:t>
      </w:r>
      <w:r w:rsidRPr="00556B9B">
        <w:rPr>
          <w:color w:val="000000"/>
          <w:lang w:val="hu-HU"/>
        </w:rPr>
        <w:t>1,5 órával nyúlt meg) és az AUC kissé csökkent (7,4%) az éhgyomri értékekhez képest. Az előzetes gastrointestinalis sebészi beavatkozás hatását a gyógyszer felszívódására nem vizsgálták.</w:t>
      </w:r>
    </w:p>
    <w:p w14:paraId="67FF361D" w14:textId="77777777" w:rsidR="00910FC8" w:rsidRPr="00556B9B" w:rsidRDefault="00910FC8">
      <w:pPr>
        <w:spacing w:line="240" w:lineRule="auto"/>
        <w:rPr>
          <w:color w:val="000000"/>
          <w:lang w:val="hu-HU"/>
        </w:rPr>
      </w:pPr>
    </w:p>
    <w:p w14:paraId="44CBDF5C" w14:textId="77777777" w:rsidR="00793411" w:rsidRPr="00556B9B" w:rsidRDefault="00793411" w:rsidP="00F926B9">
      <w:pPr>
        <w:keepNext/>
        <w:spacing w:line="240" w:lineRule="auto"/>
        <w:rPr>
          <w:color w:val="000000"/>
          <w:lang w:val="hu-HU"/>
        </w:rPr>
      </w:pPr>
      <w:r w:rsidRPr="00556B9B">
        <w:rPr>
          <w:color w:val="000000"/>
          <w:u w:val="single"/>
          <w:lang w:val="hu-HU"/>
        </w:rPr>
        <w:t>Eloszlás</w:t>
      </w:r>
    </w:p>
    <w:p w14:paraId="5C44AAAE" w14:textId="77777777" w:rsidR="0000287A" w:rsidRPr="00556B9B" w:rsidRDefault="0000287A" w:rsidP="0000287A">
      <w:pPr>
        <w:spacing w:line="240" w:lineRule="auto"/>
        <w:rPr>
          <w:color w:val="000000"/>
          <w:lang w:val="hu-HU"/>
        </w:rPr>
      </w:pPr>
      <w:r w:rsidRPr="00556B9B">
        <w:rPr>
          <w:i/>
          <w:color w:val="000000"/>
          <w:lang w:val="hu-HU"/>
        </w:rPr>
        <w:t>In vitro</w:t>
      </w:r>
      <w:r w:rsidRPr="00556B9B">
        <w:rPr>
          <w:color w:val="000000"/>
          <w:lang w:val="hu-HU"/>
        </w:rPr>
        <w:t xml:space="preserve"> kísérletekre alapozva, klinikailag használatos koncentrációiban az imatinib plazmafehérjékhez való kötődése 95%</w:t>
      </w:r>
      <w:r w:rsidRPr="00556B9B">
        <w:rPr>
          <w:color w:val="000000"/>
          <w:lang w:val="hu-HU"/>
        </w:rPr>
        <w:noBreakHyphen/>
        <w:t>os, elsősorban albuminhoz és alfa</w:t>
      </w:r>
      <w:r w:rsidRPr="00556B9B">
        <w:rPr>
          <w:color w:val="000000"/>
          <w:lang w:val="hu-HU"/>
        </w:rPr>
        <w:noBreakHyphen/>
        <w:t>glikoproteinsavhoz, kevésbé a lipoproteinhez.</w:t>
      </w:r>
    </w:p>
    <w:p w14:paraId="5154C261" w14:textId="77777777" w:rsidR="0000287A" w:rsidRPr="00556B9B" w:rsidRDefault="0000287A" w:rsidP="0000287A">
      <w:pPr>
        <w:spacing w:line="240" w:lineRule="auto"/>
        <w:rPr>
          <w:color w:val="000000"/>
          <w:lang w:val="hu-HU"/>
        </w:rPr>
      </w:pPr>
    </w:p>
    <w:p w14:paraId="3BB1F607" w14:textId="77777777" w:rsidR="00793411" w:rsidRPr="00556B9B" w:rsidRDefault="00793411" w:rsidP="00F926B9">
      <w:pPr>
        <w:keepNext/>
        <w:spacing w:line="240" w:lineRule="auto"/>
        <w:rPr>
          <w:color w:val="000000"/>
          <w:lang w:val="hu-HU"/>
        </w:rPr>
      </w:pPr>
      <w:r w:rsidRPr="00556B9B">
        <w:rPr>
          <w:color w:val="000000"/>
          <w:u w:val="single"/>
          <w:lang w:val="hu-HU"/>
        </w:rPr>
        <w:t>Biotranszformáció</w:t>
      </w:r>
    </w:p>
    <w:p w14:paraId="35384EDF" w14:textId="77777777" w:rsidR="0000287A" w:rsidRPr="00556B9B" w:rsidRDefault="0000287A" w:rsidP="0000287A">
      <w:pPr>
        <w:spacing w:line="240" w:lineRule="auto"/>
        <w:rPr>
          <w:color w:val="000000"/>
          <w:lang w:val="hu-HU"/>
        </w:rPr>
      </w:pPr>
      <w:r w:rsidRPr="00556B9B">
        <w:rPr>
          <w:color w:val="000000"/>
          <w:lang w:val="hu-HU"/>
        </w:rPr>
        <w:t>A fő keringő metabolitja emberben az N</w:t>
      </w:r>
      <w:r w:rsidRPr="00556B9B">
        <w:rPr>
          <w:color w:val="000000"/>
          <w:lang w:val="hu-HU"/>
        </w:rPr>
        <w:noBreakHyphen/>
        <w:t xml:space="preserve">demetilált piperazin származék, ami az anyavegyületéhez hasonló </w:t>
      </w:r>
      <w:r w:rsidRPr="00556B9B">
        <w:rPr>
          <w:i/>
          <w:color w:val="000000"/>
          <w:lang w:val="hu-HU"/>
        </w:rPr>
        <w:t>in vitro</w:t>
      </w:r>
      <w:r w:rsidRPr="00556B9B">
        <w:rPr>
          <w:color w:val="000000"/>
          <w:lang w:val="hu-HU"/>
        </w:rPr>
        <w:t xml:space="preserve"> hatékonyságot mutat. E metabolit plazma AUC-értéke az imatinibénak mindössze 16%</w:t>
      </w:r>
      <w:r w:rsidRPr="00556B9B">
        <w:rPr>
          <w:color w:val="000000"/>
          <w:lang w:val="hu-HU"/>
        </w:rPr>
        <w:noBreakHyphen/>
        <w:t>aként detektálható. Az N</w:t>
      </w:r>
      <w:r w:rsidRPr="00556B9B">
        <w:rPr>
          <w:color w:val="000000"/>
          <w:lang w:val="hu-HU"/>
        </w:rPr>
        <w:noBreakHyphen/>
        <w:t>demetilált metabolit plazmafehérje</w:t>
      </w:r>
      <w:r w:rsidRPr="00556B9B">
        <w:rPr>
          <w:color w:val="000000"/>
          <w:lang w:val="hu-HU"/>
        </w:rPr>
        <w:noBreakHyphen/>
        <w:t>kötődése hasonló az anyavegyületéhez.</w:t>
      </w:r>
    </w:p>
    <w:p w14:paraId="4C36A32B" w14:textId="77777777" w:rsidR="0000287A" w:rsidRPr="00556B9B" w:rsidRDefault="0000287A" w:rsidP="0000287A">
      <w:pPr>
        <w:spacing w:line="240" w:lineRule="auto"/>
        <w:rPr>
          <w:color w:val="000000"/>
          <w:lang w:val="hu-HU"/>
        </w:rPr>
      </w:pPr>
    </w:p>
    <w:p w14:paraId="671E8083" w14:textId="77777777" w:rsidR="0000287A" w:rsidRPr="00556B9B" w:rsidRDefault="0000287A" w:rsidP="0000287A">
      <w:pPr>
        <w:spacing w:line="240" w:lineRule="auto"/>
        <w:rPr>
          <w:color w:val="000000"/>
          <w:lang w:val="hu-HU"/>
        </w:rPr>
      </w:pPr>
      <w:r w:rsidRPr="00556B9B">
        <w:rPr>
          <w:color w:val="000000"/>
          <w:lang w:val="hu-HU"/>
        </w:rPr>
        <w:t>Az imatinib és az N</w:t>
      </w:r>
      <w:r w:rsidRPr="00556B9B">
        <w:rPr>
          <w:color w:val="000000"/>
          <w:lang w:val="hu-HU"/>
        </w:rPr>
        <w:noBreakHyphen/>
        <w:t>demetil metabolit együttesen képezi a keringő radioaktivitás (AUC</w:t>
      </w:r>
      <w:r w:rsidRPr="00556B9B">
        <w:rPr>
          <w:color w:val="000000"/>
          <w:vertAlign w:val="subscript"/>
          <w:lang w:val="hu-HU"/>
        </w:rPr>
        <w:t>0-48h</w:t>
      </w:r>
      <w:r w:rsidRPr="00556B9B">
        <w:rPr>
          <w:color w:val="000000"/>
          <w:lang w:val="hu-HU"/>
        </w:rPr>
        <w:t>) körülbelül 65%</w:t>
      </w:r>
      <w:r w:rsidRPr="00556B9B">
        <w:rPr>
          <w:color w:val="000000"/>
          <w:lang w:val="hu-HU"/>
        </w:rPr>
        <w:noBreakHyphen/>
        <w:t>át. A többi kis számú metabolit tette ki a további keringő radioaktivitást.</w:t>
      </w:r>
    </w:p>
    <w:p w14:paraId="1834FDE7" w14:textId="77777777" w:rsidR="0000287A" w:rsidRPr="00556B9B" w:rsidRDefault="0000287A" w:rsidP="0000287A">
      <w:pPr>
        <w:spacing w:line="240" w:lineRule="auto"/>
        <w:rPr>
          <w:color w:val="000000"/>
          <w:lang w:val="hu-HU"/>
        </w:rPr>
      </w:pPr>
    </w:p>
    <w:p w14:paraId="43FD585D" w14:textId="77777777" w:rsidR="0000287A" w:rsidRPr="00556B9B" w:rsidRDefault="0000287A" w:rsidP="0000287A">
      <w:pPr>
        <w:spacing w:line="240" w:lineRule="auto"/>
        <w:rPr>
          <w:color w:val="000000"/>
          <w:lang w:val="hu-HU"/>
        </w:rPr>
      </w:pPr>
      <w:r w:rsidRPr="00556B9B">
        <w:rPr>
          <w:i/>
          <w:color w:val="000000"/>
          <w:lang w:val="hu-HU"/>
        </w:rPr>
        <w:t>In vitro</w:t>
      </w:r>
      <w:r w:rsidRPr="00556B9B">
        <w:rPr>
          <w:color w:val="000000"/>
          <w:lang w:val="hu-HU"/>
        </w:rPr>
        <w:t xml:space="preserve"> vizsgálatok szerint a CYP3A4 volt a legfontosabb humán P450 enzim, ami az imatinib biotranszformációját katalizálja. A lehetséges gyógyszerinterakciók közül (acetaminofen, aciklovir, allopurinol, amfotericin, citarabin, eritromicin, flukonazol, hidroxikarbamid, norfloxacin, penicillin V) csak az eritromicin (IC</w:t>
      </w:r>
      <w:r w:rsidRPr="00556B9B">
        <w:rPr>
          <w:color w:val="000000"/>
          <w:vertAlign w:val="subscript"/>
          <w:lang w:val="hu-HU"/>
        </w:rPr>
        <w:t>50 </w:t>
      </w:r>
      <w:r w:rsidRPr="00556B9B">
        <w:rPr>
          <w:color w:val="000000"/>
          <w:lang w:val="hu-HU"/>
        </w:rPr>
        <w:t>50 µM) és a flukonazol (IC</w:t>
      </w:r>
      <w:r w:rsidRPr="00556B9B">
        <w:rPr>
          <w:color w:val="000000"/>
          <w:vertAlign w:val="subscript"/>
          <w:lang w:val="hu-HU"/>
        </w:rPr>
        <w:t>50 </w:t>
      </w:r>
      <w:r w:rsidRPr="00556B9B">
        <w:rPr>
          <w:color w:val="000000"/>
          <w:lang w:val="hu-HU"/>
        </w:rPr>
        <w:t>118 µM) gyakorolt az imatinib metabolizmusra gátlóhatást, ami klinikai jelentőséggel bírhat.</w:t>
      </w:r>
    </w:p>
    <w:p w14:paraId="6933D2A1" w14:textId="77777777" w:rsidR="0000287A" w:rsidRPr="00556B9B" w:rsidRDefault="0000287A" w:rsidP="0000287A">
      <w:pPr>
        <w:spacing w:line="240" w:lineRule="auto"/>
        <w:rPr>
          <w:color w:val="000000"/>
          <w:lang w:val="hu-HU"/>
        </w:rPr>
      </w:pPr>
    </w:p>
    <w:p w14:paraId="04246B72" w14:textId="77777777" w:rsidR="0000287A" w:rsidRPr="00556B9B" w:rsidRDefault="0000287A" w:rsidP="0000287A">
      <w:pPr>
        <w:spacing w:line="240" w:lineRule="auto"/>
        <w:rPr>
          <w:color w:val="000000"/>
          <w:lang w:val="hu-HU"/>
        </w:rPr>
      </w:pPr>
      <w:r w:rsidRPr="00556B9B">
        <w:rPr>
          <w:i/>
          <w:color w:val="000000"/>
          <w:lang w:val="hu-HU"/>
        </w:rPr>
        <w:t>In vitro</w:t>
      </w:r>
      <w:r w:rsidRPr="00556B9B">
        <w:rPr>
          <w:color w:val="000000"/>
          <w:lang w:val="hu-HU"/>
        </w:rPr>
        <w:t xml:space="preserve"> az imatinib a CYP2C9, CYP2D6 és CYP3A4/5 marker szubsztrátjainak kompetitív inhibitora. A K</w:t>
      </w:r>
      <w:r w:rsidRPr="00556B9B">
        <w:rPr>
          <w:color w:val="000000"/>
          <w:vertAlign w:val="subscript"/>
          <w:lang w:val="hu-HU"/>
        </w:rPr>
        <w:t>i</w:t>
      </w:r>
      <w:r w:rsidRPr="00556B9B">
        <w:rPr>
          <w:color w:val="000000"/>
          <w:lang w:val="hu-HU"/>
        </w:rPr>
        <w:t xml:space="preserve"> humán máj microsomákban a fenti sorrendben 27, 7,5 és 7,9 µmol/l értéket ért el. Betegekben az imatinib maximális plazmakoncentráció 2–4 µmol/l volt, következésképp az egyidejűleg adott, CYP2D6 és/vagy CYP3A4/5 </w:t>
      </w:r>
      <w:r w:rsidRPr="00556B9B">
        <w:rPr>
          <w:color w:val="000000"/>
          <w:lang w:val="hu-HU"/>
        </w:rPr>
        <w:noBreakHyphen/>
        <w:t> mediált metabolizmusú gyógyszerek gátlása valószínűsíthető. Az imatinib nem interferál az 5</w:t>
      </w:r>
      <w:r w:rsidRPr="00556B9B">
        <w:rPr>
          <w:color w:val="000000"/>
          <w:lang w:val="hu-HU"/>
        </w:rPr>
        <w:noBreakHyphen/>
        <w:t>fluorouracil biotranszformációjával, de a CYP2C8 (K</w:t>
      </w:r>
      <w:r w:rsidRPr="00556B9B">
        <w:rPr>
          <w:color w:val="000000"/>
          <w:vertAlign w:val="subscript"/>
          <w:lang w:val="hu-HU"/>
        </w:rPr>
        <w:t>i</w:t>
      </w:r>
      <w:r w:rsidRPr="00556B9B">
        <w:rPr>
          <w:color w:val="000000"/>
          <w:lang w:val="hu-HU"/>
        </w:rPr>
        <w:t xml:space="preserve"> = 34,7 µM) kompetitív gátlásának eredményeképpen gátolja a paklitaxel metabolizmusát. Ez a K</w:t>
      </w:r>
      <w:r w:rsidRPr="00556B9B">
        <w:rPr>
          <w:color w:val="000000"/>
          <w:vertAlign w:val="subscript"/>
          <w:lang w:val="hu-HU"/>
        </w:rPr>
        <w:t>i</w:t>
      </w:r>
      <w:r w:rsidRPr="00556B9B">
        <w:rPr>
          <w:color w:val="000000"/>
          <w:lang w:val="hu-HU"/>
        </w:rPr>
        <w:t xml:space="preserve"> érték lényegesen magasabb, mint a betegekben várt imatinib plazmaszint, tehát valószínű, hogy nem várható interakció sem az imatinibbel együtt adott 5</w:t>
      </w:r>
      <w:r w:rsidRPr="00556B9B">
        <w:rPr>
          <w:color w:val="000000"/>
          <w:lang w:val="hu-HU"/>
        </w:rPr>
        <w:noBreakHyphen/>
        <w:t>fluorouracillal, sem a paklitaxellel.</w:t>
      </w:r>
    </w:p>
    <w:p w14:paraId="043A98AF" w14:textId="77777777" w:rsidR="0000287A" w:rsidRPr="00556B9B" w:rsidRDefault="0000287A" w:rsidP="0000287A">
      <w:pPr>
        <w:spacing w:line="240" w:lineRule="auto"/>
        <w:rPr>
          <w:color w:val="000000"/>
          <w:lang w:val="hu-HU"/>
        </w:rPr>
      </w:pPr>
    </w:p>
    <w:p w14:paraId="570021C1" w14:textId="77777777" w:rsidR="00793411" w:rsidRPr="00556B9B" w:rsidRDefault="00793411" w:rsidP="00F926B9">
      <w:pPr>
        <w:keepNext/>
        <w:spacing w:line="240" w:lineRule="auto"/>
        <w:rPr>
          <w:color w:val="000000"/>
          <w:lang w:val="hu-HU"/>
        </w:rPr>
      </w:pPr>
      <w:r w:rsidRPr="00556B9B">
        <w:rPr>
          <w:color w:val="000000"/>
          <w:u w:val="single"/>
          <w:lang w:val="hu-HU"/>
        </w:rPr>
        <w:t>Elimináció</w:t>
      </w:r>
    </w:p>
    <w:p w14:paraId="3B1BBB16" w14:textId="77777777" w:rsidR="0000287A" w:rsidRPr="00556B9B" w:rsidRDefault="0000287A" w:rsidP="0000287A">
      <w:pPr>
        <w:spacing w:line="240" w:lineRule="auto"/>
        <w:rPr>
          <w:color w:val="000000"/>
          <w:lang w:val="hu-HU"/>
        </w:rPr>
      </w:pPr>
      <w:r w:rsidRPr="00556B9B">
        <w:rPr>
          <w:color w:val="000000"/>
          <w:lang w:val="hu-HU"/>
        </w:rPr>
        <w:t xml:space="preserve">A bevitt vegyület visszamérésével a </w:t>
      </w:r>
      <w:r w:rsidRPr="00556B9B">
        <w:rPr>
          <w:color w:val="000000"/>
          <w:vertAlign w:val="superscript"/>
          <w:lang w:val="hu-HU"/>
        </w:rPr>
        <w:t>14</w:t>
      </w:r>
      <w:r w:rsidRPr="00556B9B">
        <w:rPr>
          <w:color w:val="000000"/>
          <w:lang w:val="hu-HU"/>
        </w:rPr>
        <w:t>C</w:t>
      </w:r>
      <w:r w:rsidRPr="00556B9B">
        <w:rPr>
          <w:color w:val="000000"/>
          <w:lang w:val="hu-HU"/>
        </w:rPr>
        <w:noBreakHyphen/>
        <w:t>gyel jelzett imatinib egyszeri orális bevételét követően annak hozzávetőlegesen 81%</w:t>
      </w:r>
      <w:r w:rsidRPr="00556B9B">
        <w:rPr>
          <w:color w:val="000000"/>
          <w:lang w:val="hu-HU"/>
        </w:rPr>
        <w:noBreakHyphen/>
        <w:t>a 7 napon belül a széklettel (az adag 68%</w:t>
      </w:r>
      <w:r w:rsidRPr="00556B9B">
        <w:rPr>
          <w:color w:val="000000"/>
          <w:lang w:val="hu-HU"/>
        </w:rPr>
        <w:noBreakHyphen/>
        <w:t>a), ill. a vizelettel (az adag 13%</w:t>
      </w:r>
      <w:r w:rsidRPr="00556B9B">
        <w:rPr>
          <w:color w:val="000000"/>
          <w:lang w:val="hu-HU"/>
        </w:rPr>
        <w:noBreakHyphen/>
        <w:t>a) távozott. A változatlan imatinib a dózis 25%</w:t>
      </w:r>
      <w:r w:rsidRPr="00556B9B">
        <w:rPr>
          <w:color w:val="000000"/>
          <w:lang w:val="hu-HU"/>
        </w:rPr>
        <w:noBreakHyphen/>
        <w:t>át (5%</w:t>
      </w:r>
      <w:r w:rsidRPr="00556B9B">
        <w:rPr>
          <w:color w:val="000000"/>
          <w:lang w:val="hu-HU"/>
        </w:rPr>
        <w:noBreakHyphen/>
        <w:t>a a vizeletben, 20%</w:t>
      </w:r>
      <w:r w:rsidRPr="00556B9B">
        <w:rPr>
          <w:color w:val="000000"/>
          <w:lang w:val="hu-HU"/>
        </w:rPr>
        <w:noBreakHyphen/>
        <w:t>a a székletben) tette ki, a többi metabolitként ürült.</w:t>
      </w:r>
    </w:p>
    <w:p w14:paraId="31E509E5" w14:textId="77777777" w:rsidR="0000287A" w:rsidRPr="00556B9B" w:rsidRDefault="0000287A" w:rsidP="0000287A">
      <w:pPr>
        <w:spacing w:line="240" w:lineRule="auto"/>
        <w:rPr>
          <w:color w:val="000000"/>
          <w:lang w:val="hu-HU"/>
        </w:rPr>
      </w:pPr>
    </w:p>
    <w:p w14:paraId="3AB953EF" w14:textId="77777777" w:rsidR="0000287A" w:rsidRPr="00556B9B" w:rsidRDefault="0000287A" w:rsidP="00F926B9">
      <w:pPr>
        <w:keepNext/>
        <w:spacing w:line="240" w:lineRule="auto"/>
        <w:rPr>
          <w:color w:val="000000"/>
          <w:u w:val="single"/>
          <w:lang w:val="hu-HU"/>
        </w:rPr>
      </w:pPr>
      <w:r w:rsidRPr="00556B9B">
        <w:rPr>
          <w:color w:val="000000"/>
          <w:u w:val="single"/>
          <w:lang w:val="hu-HU"/>
        </w:rPr>
        <w:t>Plazma farmakokinetika</w:t>
      </w:r>
    </w:p>
    <w:p w14:paraId="72D5C513" w14:textId="77777777" w:rsidR="0000287A" w:rsidRPr="00556B9B" w:rsidRDefault="0000287A" w:rsidP="0000287A">
      <w:pPr>
        <w:spacing w:line="240" w:lineRule="auto"/>
        <w:rPr>
          <w:color w:val="000000"/>
          <w:lang w:val="hu-HU"/>
        </w:rPr>
      </w:pPr>
      <w:r w:rsidRPr="00556B9B">
        <w:rPr>
          <w:color w:val="000000"/>
          <w:lang w:val="hu-HU"/>
        </w:rPr>
        <w:t>Egészséges önkéntesek orális kezelése során a t</w:t>
      </w:r>
      <w:r w:rsidRPr="00556B9B">
        <w:rPr>
          <w:color w:val="000000"/>
          <w:vertAlign w:val="subscript"/>
          <w:lang w:val="hu-HU"/>
        </w:rPr>
        <w:t>1/2</w:t>
      </w:r>
      <w:r w:rsidRPr="00556B9B">
        <w:rPr>
          <w:color w:val="000000"/>
          <w:lang w:val="hu-HU"/>
        </w:rPr>
        <w:t xml:space="preserve"> körülbelül 18 óra volt, ami a napi egyszeri adagolást támasztja alá. 25 mg – 1000 mg közötti imatinib adagok orális adását követően az adag emelésével az AUC is lineárisan, dózisarányosan növekedett. Az ismételt adagolás az imatinib farmakokinetikáját nem változtatta meg, steady state állapotban, napi egyszeri adagolás mellett az akkumuláció 1,5–2,5</w:t>
      </w:r>
      <w:r w:rsidRPr="00556B9B">
        <w:rPr>
          <w:color w:val="000000"/>
          <w:lang w:val="hu-HU"/>
        </w:rPr>
        <w:noBreakHyphen/>
        <w:t>szeres volt.</w:t>
      </w:r>
    </w:p>
    <w:p w14:paraId="0DF64E29" w14:textId="77777777" w:rsidR="0000287A" w:rsidRPr="00556B9B" w:rsidRDefault="0000287A" w:rsidP="0000287A">
      <w:pPr>
        <w:spacing w:line="240" w:lineRule="auto"/>
        <w:rPr>
          <w:color w:val="000000"/>
          <w:lang w:val="hu-HU"/>
        </w:rPr>
      </w:pPr>
    </w:p>
    <w:p w14:paraId="3D212FDF" w14:textId="77777777" w:rsidR="0000287A" w:rsidRPr="00556B9B" w:rsidRDefault="0000287A" w:rsidP="00F926B9">
      <w:pPr>
        <w:keepNext/>
        <w:spacing w:line="240" w:lineRule="auto"/>
        <w:rPr>
          <w:color w:val="000000"/>
          <w:u w:val="single"/>
          <w:lang w:val="hu-HU"/>
        </w:rPr>
      </w:pPr>
      <w:r w:rsidRPr="00556B9B">
        <w:rPr>
          <w:color w:val="000000"/>
          <w:u w:val="single"/>
          <w:lang w:val="hu-HU"/>
        </w:rPr>
        <w:lastRenderedPageBreak/>
        <w:t>Farmakokinetika GIST betegekben</w:t>
      </w:r>
    </w:p>
    <w:p w14:paraId="3D364199" w14:textId="77777777" w:rsidR="0000287A" w:rsidRPr="00556B9B" w:rsidRDefault="0000287A" w:rsidP="0000287A">
      <w:pPr>
        <w:spacing w:line="240" w:lineRule="auto"/>
        <w:rPr>
          <w:color w:val="000000"/>
          <w:lang w:val="hu-HU"/>
        </w:rPr>
      </w:pPr>
      <w:r w:rsidRPr="00556B9B">
        <w:rPr>
          <w:color w:val="000000"/>
          <w:lang w:val="hu-HU"/>
        </w:rPr>
        <w:t>Ugyanazon napi (400 mg</w:t>
      </w:r>
      <w:r w:rsidRPr="00556B9B">
        <w:rPr>
          <w:color w:val="000000"/>
          <w:lang w:val="hu-HU"/>
        </w:rPr>
        <w:noBreakHyphen/>
        <w:t>os) dózis mellett a GIST betegekben a steady state expozíció 1,5</w:t>
      </w:r>
      <w:r w:rsidRPr="00556B9B">
        <w:rPr>
          <w:color w:val="000000"/>
          <w:lang w:val="hu-HU"/>
        </w:rPr>
        <w:noBreakHyphen/>
        <w:t>szerese volt a CML</w:t>
      </w:r>
      <w:r w:rsidRPr="00556B9B">
        <w:rPr>
          <w:color w:val="000000"/>
          <w:lang w:val="hu-HU"/>
        </w:rPr>
        <w:noBreakHyphen/>
        <w:t>ben megfigyeltnek. Az előzetes populációs farmakokinetikai adatok alapján a GIST betegekben három változót (albumin- és bilirubinszint, fehérvérsejtszám) találtak, melynek szignifikás kapcsolata volt az imatinib farmakokinetikájával. Az albuminszint csökkenése a clearance (CL/f) csökkenését vonta maga után; a magasabb fehérvérsejtszám pedig a CL/f csökkenéséhez vezetett. Ezek az összefüggések azonban nem eléggé kifejezettek ahhoz, hogy dózismódosítást tegyenek indokolttá. Ebben a betegcsoportban a májmetasztázis potenciálisan májelégtelenséghez és csökkent metabolizmushoz vezethet.</w:t>
      </w:r>
    </w:p>
    <w:p w14:paraId="657F5E46" w14:textId="77777777" w:rsidR="0000287A" w:rsidRPr="00556B9B" w:rsidRDefault="0000287A" w:rsidP="0000287A">
      <w:pPr>
        <w:spacing w:line="240" w:lineRule="auto"/>
        <w:rPr>
          <w:color w:val="000000"/>
          <w:u w:val="single"/>
          <w:lang w:val="hu-HU"/>
        </w:rPr>
      </w:pPr>
    </w:p>
    <w:p w14:paraId="62509F82" w14:textId="77777777" w:rsidR="0000287A" w:rsidRPr="00556B9B" w:rsidRDefault="0000287A" w:rsidP="00F926B9">
      <w:pPr>
        <w:keepNext/>
        <w:spacing w:line="240" w:lineRule="auto"/>
        <w:rPr>
          <w:color w:val="000000"/>
          <w:u w:val="single"/>
          <w:lang w:val="hu-HU"/>
        </w:rPr>
      </w:pPr>
      <w:r w:rsidRPr="00556B9B">
        <w:rPr>
          <w:color w:val="000000"/>
          <w:u w:val="single"/>
          <w:lang w:val="hu-HU"/>
        </w:rPr>
        <w:t>Populációs farmakokinetika</w:t>
      </w:r>
    </w:p>
    <w:p w14:paraId="4A0436A3" w14:textId="77777777" w:rsidR="0000287A" w:rsidRPr="006D0F5F" w:rsidRDefault="0000287A" w:rsidP="0000287A">
      <w:pPr>
        <w:spacing w:line="240" w:lineRule="auto"/>
        <w:rPr>
          <w:color w:val="000000"/>
          <w:lang w:val="hu-HU"/>
        </w:rPr>
      </w:pPr>
      <w:r w:rsidRPr="00556B9B">
        <w:rPr>
          <w:color w:val="000000"/>
          <w:lang w:val="hu-HU"/>
        </w:rPr>
        <w:t>CML</w:t>
      </w:r>
      <w:r w:rsidRPr="00556B9B">
        <w:rPr>
          <w:color w:val="000000"/>
          <w:lang w:val="hu-HU"/>
        </w:rPr>
        <w:noBreakHyphen/>
        <w:t>es betegek körében végzett populációs farmakokinetikai vizsgálatok szerint a volumen megoszlást az életkor valamelyest befolyásolja (12% növekedés &gt; 65 évesek körében). Ezt a különbséget nem tartják klinikailag szignifikánsnak. A testtömegnek az imatinib clearance</w:t>
      </w:r>
      <w:r w:rsidRPr="00556B9B">
        <w:rPr>
          <w:color w:val="000000"/>
          <w:lang w:val="hu-HU"/>
        </w:rPr>
        <w:noBreakHyphen/>
        <w:t>ére hatása van, pl. egy 50 kg</w:t>
      </w:r>
      <w:r w:rsidRPr="00556B9B">
        <w:rPr>
          <w:color w:val="000000"/>
          <w:lang w:val="hu-HU"/>
        </w:rPr>
        <w:noBreakHyphen/>
        <w:t>os egyén esetén az átlagos clearance várhatóan 8,5 l/óra, míg egy 100 kg</w:t>
      </w:r>
      <w:r w:rsidRPr="00556B9B">
        <w:rPr>
          <w:color w:val="000000"/>
          <w:lang w:val="hu-HU"/>
        </w:rPr>
        <w:noBreakHyphen/>
        <w:t xml:space="preserve">os esetén 11,8 l/óra értékre növekszik. Ezek a változások </w:t>
      </w:r>
      <w:r w:rsidRPr="006D0F5F">
        <w:rPr>
          <w:color w:val="000000"/>
          <w:lang w:val="hu-HU"/>
        </w:rPr>
        <w:t>azonban nem indokolják, hogy a dózist a testtömeg függvényében módosítani kelljen. A nemnek nincs hatása az imatinib kinetikájára.</w:t>
      </w:r>
    </w:p>
    <w:p w14:paraId="1EB0E116" w14:textId="77777777" w:rsidR="0000287A" w:rsidRPr="006D0F5F" w:rsidRDefault="0000287A" w:rsidP="0000287A">
      <w:pPr>
        <w:spacing w:line="240" w:lineRule="auto"/>
        <w:rPr>
          <w:color w:val="000000"/>
          <w:lang w:val="hu-HU"/>
        </w:rPr>
      </w:pPr>
    </w:p>
    <w:p w14:paraId="02B7C29E" w14:textId="77777777" w:rsidR="0000287A" w:rsidRPr="006D0F5F" w:rsidRDefault="0000287A" w:rsidP="00F926B9">
      <w:pPr>
        <w:keepNext/>
        <w:spacing w:line="240" w:lineRule="auto"/>
        <w:rPr>
          <w:color w:val="000000"/>
          <w:u w:val="single"/>
          <w:lang w:val="hu-HU"/>
        </w:rPr>
      </w:pPr>
      <w:r w:rsidRPr="006D0F5F">
        <w:rPr>
          <w:color w:val="000000"/>
          <w:u w:val="single"/>
          <w:lang w:val="hu-HU"/>
        </w:rPr>
        <w:t>Farmakokinetika gyermekekben</w:t>
      </w:r>
    </w:p>
    <w:p w14:paraId="5EB1CEA9" w14:textId="63C781E3" w:rsidR="0000287A" w:rsidRPr="00556B9B" w:rsidRDefault="0000287A" w:rsidP="0000287A">
      <w:pPr>
        <w:pStyle w:val="BodyText"/>
        <w:spacing w:line="240" w:lineRule="auto"/>
        <w:rPr>
          <w:b w:val="0"/>
          <w:i w:val="0"/>
          <w:color w:val="000000"/>
          <w:lang w:val="hu-HU"/>
        </w:rPr>
      </w:pPr>
      <w:r w:rsidRPr="006D0F5F">
        <w:rPr>
          <w:b w:val="0"/>
          <w:i w:val="0"/>
          <w:color w:val="000000"/>
          <w:lang w:val="hu-HU"/>
        </w:rPr>
        <w:t xml:space="preserve">I. </w:t>
      </w:r>
      <w:r w:rsidR="00045AFC" w:rsidRPr="006D0F5F">
        <w:rPr>
          <w:b w:val="0"/>
          <w:i w:val="0"/>
          <w:color w:val="000000"/>
          <w:lang w:val="hu-HU"/>
        </w:rPr>
        <w:t xml:space="preserve">fázisú </w:t>
      </w:r>
      <w:r w:rsidRPr="006D0F5F">
        <w:rPr>
          <w:b w:val="0"/>
          <w:i w:val="0"/>
          <w:color w:val="000000"/>
          <w:lang w:val="hu-HU"/>
        </w:rPr>
        <w:t>és II</w:t>
      </w:r>
      <w:r w:rsidR="00045AFC" w:rsidRPr="006D0F5F">
        <w:rPr>
          <w:b w:val="0"/>
          <w:i w:val="0"/>
          <w:color w:val="000000"/>
          <w:lang w:val="hu-HU"/>
        </w:rPr>
        <w:t>. fázisú</w:t>
      </w:r>
      <w:r w:rsidRPr="006D0F5F">
        <w:rPr>
          <w:b w:val="0"/>
          <w:i w:val="0"/>
          <w:color w:val="000000"/>
          <w:lang w:val="hu-HU"/>
        </w:rPr>
        <w:t xml:space="preserve"> vizsgálatokban, gyermekeknek </w:t>
      </w:r>
      <w:r w:rsidR="00184427" w:rsidRPr="006D0F5F">
        <w:rPr>
          <w:b w:val="0"/>
          <w:i w:val="0"/>
          <w:color w:val="000000"/>
          <w:lang w:val="hu-HU"/>
        </w:rPr>
        <w:t xml:space="preserve">és serdülőknek </w:t>
      </w:r>
      <w:r w:rsidRPr="006D0F5F">
        <w:rPr>
          <w:b w:val="0"/>
          <w:i w:val="0"/>
          <w:color w:val="000000"/>
          <w:lang w:val="hu-HU"/>
        </w:rPr>
        <w:t xml:space="preserve">az imatinibet orálisan adva az </w:t>
      </w:r>
      <w:r w:rsidRPr="006D0F5F">
        <w:rPr>
          <w:b w:val="0"/>
          <w:i w:val="0"/>
          <w:color w:val="000000"/>
          <w:lang w:val="hu-HU"/>
        </w:rPr>
        <w:noBreakHyphen/>
        <w:t> a felnőttekhez hasonlóan </w:t>
      </w:r>
      <w:r w:rsidRPr="006D0F5F">
        <w:rPr>
          <w:b w:val="0"/>
          <w:i w:val="0"/>
          <w:color w:val="000000"/>
          <w:lang w:val="hu-HU"/>
        </w:rPr>
        <w:noBreakHyphen/>
        <w:t xml:space="preserve"> gyorsan felszívódott. Gyermekekben a 260, ill. 340 mg/m</w:t>
      </w:r>
      <w:r w:rsidRPr="006D0F5F">
        <w:rPr>
          <w:b w:val="0"/>
          <w:i w:val="0"/>
          <w:color w:val="000000"/>
          <w:vertAlign w:val="superscript"/>
          <w:lang w:val="hu-HU"/>
        </w:rPr>
        <w:t>2</w:t>
      </w:r>
      <w:r w:rsidRPr="006D0F5F">
        <w:rPr>
          <w:b w:val="0"/>
          <w:i w:val="0"/>
          <w:color w:val="000000"/>
          <w:lang w:val="hu-HU"/>
        </w:rPr>
        <w:t>/nap adagolás ugyanazt az expozíciót adta, mint a felnőttek 400</w:t>
      </w:r>
      <w:r w:rsidRPr="00556B9B">
        <w:rPr>
          <w:b w:val="0"/>
          <w:i w:val="0"/>
          <w:color w:val="000000"/>
          <w:lang w:val="hu-HU"/>
        </w:rPr>
        <w:t> mg</w:t>
      </w:r>
      <w:r w:rsidRPr="00556B9B">
        <w:rPr>
          <w:b w:val="0"/>
          <w:i w:val="0"/>
          <w:color w:val="000000"/>
          <w:lang w:val="hu-HU"/>
        </w:rPr>
        <w:noBreakHyphen/>
        <w:t>os, ill. 600 mg</w:t>
      </w:r>
      <w:r w:rsidRPr="00556B9B">
        <w:rPr>
          <w:b w:val="0"/>
          <w:i w:val="0"/>
          <w:color w:val="000000"/>
          <w:lang w:val="hu-HU"/>
        </w:rPr>
        <w:noBreakHyphen/>
        <w:t>os adagja. Az AUC</w:t>
      </w:r>
      <w:r w:rsidRPr="00556B9B">
        <w:rPr>
          <w:b w:val="0"/>
          <w:i w:val="0"/>
          <w:color w:val="000000"/>
          <w:vertAlign w:val="subscript"/>
          <w:lang w:val="hu-HU"/>
        </w:rPr>
        <w:t>(0-24)</w:t>
      </w:r>
      <w:r w:rsidRPr="00556B9B">
        <w:rPr>
          <w:b w:val="0"/>
          <w:i w:val="0"/>
          <w:color w:val="000000"/>
          <w:lang w:val="hu-HU"/>
        </w:rPr>
        <w:t>-értékeket</w:t>
      </w:r>
      <w:r w:rsidRPr="00556B9B">
        <w:rPr>
          <w:b w:val="0"/>
          <w:i w:val="0"/>
          <w:color w:val="000000"/>
          <w:vertAlign w:val="subscript"/>
          <w:lang w:val="hu-HU"/>
        </w:rPr>
        <w:t xml:space="preserve"> </w:t>
      </w:r>
      <w:r w:rsidRPr="00556B9B">
        <w:rPr>
          <w:b w:val="0"/>
          <w:i w:val="0"/>
          <w:color w:val="000000"/>
          <w:lang w:val="hu-HU"/>
        </w:rPr>
        <w:t>az 1. és a 8. napon összehasonlítva, 340 mg/m</w:t>
      </w:r>
      <w:r w:rsidRPr="00556B9B">
        <w:rPr>
          <w:b w:val="0"/>
          <w:i w:val="0"/>
          <w:color w:val="000000"/>
          <w:vertAlign w:val="superscript"/>
          <w:lang w:val="hu-HU"/>
        </w:rPr>
        <w:t>2</w:t>
      </w:r>
      <w:r w:rsidRPr="00556B9B">
        <w:rPr>
          <w:b w:val="0"/>
          <w:i w:val="0"/>
          <w:color w:val="000000"/>
          <w:lang w:val="hu-HU"/>
        </w:rPr>
        <w:t>/nap dózisú ismételt, napi egyszeri adagolás esetén 1,7</w:t>
      </w:r>
      <w:r w:rsidRPr="00556B9B">
        <w:rPr>
          <w:b w:val="0"/>
          <w:i w:val="0"/>
          <w:color w:val="000000"/>
          <w:lang w:val="hu-HU"/>
        </w:rPr>
        <w:noBreakHyphen/>
        <w:t>szeres akkumulációt találtak.</w:t>
      </w:r>
    </w:p>
    <w:p w14:paraId="66520A21" w14:textId="77777777" w:rsidR="0000287A" w:rsidRPr="00556B9B" w:rsidRDefault="0000287A" w:rsidP="0000287A">
      <w:pPr>
        <w:spacing w:line="240" w:lineRule="auto"/>
        <w:rPr>
          <w:color w:val="000000"/>
          <w:lang w:val="hu-HU"/>
        </w:rPr>
      </w:pPr>
    </w:p>
    <w:p w14:paraId="745B7192" w14:textId="77CEDE71" w:rsidR="00261250" w:rsidRPr="006D0F5F" w:rsidRDefault="00261250" w:rsidP="00261250">
      <w:pPr>
        <w:widowControl w:val="0"/>
        <w:spacing w:line="260" w:lineRule="atLeast"/>
        <w:rPr>
          <w:color w:val="000000"/>
          <w:szCs w:val="22"/>
          <w:lang w:val="hu-HU"/>
        </w:rPr>
      </w:pPr>
      <w:r w:rsidRPr="00556B9B">
        <w:rPr>
          <w:rFonts w:cs="Times New Roman"/>
          <w:color w:val="000000"/>
          <w:lang w:val="hu-HU" w:eastAsia="hu-HU"/>
        </w:rPr>
        <w:t>A hematologiai betegségekben (CML, Ph+ALL vagy más, imatinibbel kezelt hematologiai kórképek) szenvedő gyermek</w:t>
      </w:r>
      <w:r w:rsidR="00184427">
        <w:rPr>
          <w:rFonts w:cs="Times New Roman"/>
          <w:color w:val="000000"/>
          <w:lang w:val="hu-HU" w:eastAsia="hu-HU"/>
        </w:rPr>
        <w:t>ek és serdülők</w:t>
      </w:r>
      <w:r w:rsidRPr="00556B9B">
        <w:rPr>
          <w:rFonts w:cs="Times New Roman"/>
          <w:color w:val="000000"/>
          <w:lang w:val="hu-HU" w:eastAsia="hu-HU"/>
        </w:rPr>
        <w:t xml:space="preserve"> összesített </w:t>
      </w:r>
      <w:r w:rsidRPr="006D0F5F">
        <w:rPr>
          <w:rFonts w:cs="Times New Roman"/>
          <w:color w:val="000000"/>
          <w:lang w:val="hu-HU" w:eastAsia="hu-HU"/>
        </w:rPr>
        <w:t>populációs farmakokinetikai analízise alapján az imatinib clearance</w:t>
      </w:r>
      <w:r w:rsidRPr="006D0F5F">
        <w:rPr>
          <w:rFonts w:ascii="Thorndale" w:hAnsi="Thorndale" w:cs="Times New Roman"/>
          <w:color w:val="000000"/>
          <w:lang w:val="hu-HU"/>
        </w:rPr>
        <w:noBreakHyphen/>
      </w:r>
      <w:r w:rsidRPr="006D0F5F">
        <w:rPr>
          <w:rFonts w:cs="Times New Roman"/>
          <w:color w:val="000000"/>
          <w:lang w:val="hu-HU" w:eastAsia="hu-HU"/>
        </w:rPr>
        <w:t>e a testfelszínnel együtt nő. A testfelszín hatásának korrekciója után más demográfiai jellemzők, mint például az életkor, a testtömeg és a testtömeg</w:t>
      </w:r>
      <w:r w:rsidRPr="006D0F5F">
        <w:rPr>
          <w:rFonts w:ascii="Thorndale" w:hAnsi="Thorndale" w:cs="Times New Roman"/>
          <w:color w:val="000000"/>
          <w:lang w:val="hu-HU"/>
        </w:rPr>
        <w:noBreakHyphen/>
      </w:r>
      <w:r w:rsidRPr="006D0F5F">
        <w:rPr>
          <w:rFonts w:cs="Times New Roman"/>
          <w:color w:val="000000"/>
          <w:lang w:val="hu-HU" w:eastAsia="hu-HU"/>
        </w:rPr>
        <w:t xml:space="preserve">index nem voltak klinikailag jelentős hatással az imatinib expozíciójára. </w:t>
      </w:r>
      <w:r w:rsidRPr="006D0F5F">
        <w:rPr>
          <w:rFonts w:cs="Times New Roman"/>
          <w:lang w:val="hu-HU" w:eastAsia="hu-HU"/>
        </w:rPr>
        <w:t>Az analízis megerősítette, hogy a</w:t>
      </w:r>
      <w:r w:rsidRPr="006D0F5F">
        <w:rPr>
          <w:rFonts w:ascii="Thorndale" w:hAnsi="Thorndale" w:cs="Times New Roman"/>
          <w:lang w:val="hu-HU"/>
        </w:rPr>
        <w:t xml:space="preserve"> </w:t>
      </w:r>
      <w:r w:rsidR="009A6A4F" w:rsidRPr="006D0F5F">
        <w:rPr>
          <w:rFonts w:ascii="Thorndale" w:hAnsi="Thorndale" w:cs="Times New Roman"/>
          <w:lang w:val="hu-HU"/>
        </w:rPr>
        <w:t xml:space="preserve">gyermekeknek és serdülőknek </w:t>
      </w:r>
      <w:r w:rsidRPr="006D0F5F">
        <w:rPr>
          <w:rFonts w:ascii="Thorndale" w:hAnsi="Thorndale" w:cs="Times New Roman"/>
          <w:lang w:val="hu-HU"/>
        </w:rPr>
        <w:t>nap</w:t>
      </w:r>
      <w:r w:rsidRPr="006D0F5F">
        <w:rPr>
          <w:rFonts w:cs="Times New Roman"/>
          <w:lang w:val="hu-HU" w:eastAsia="hu-HU"/>
        </w:rPr>
        <w:t>onta egyszer</w:t>
      </w:r>
      <w:r w:rsidRPr="006D0F5F">
        <w:rPr>
          <w:rFonts w:cs="Times New Roman"/>
          <w:color w:val="000000"/>
          <w:lang w:val="hu-HU" w:eastAsia="hu-HU"/>
        </w:rPr>
        <w:t xml:space="preserve"> </w:t>
      </w:r>
      <w:r w:rsidR="009A6A4F" w:rsidRPr="006D0F5F">
        <w:rPr>
          <w:rFonts w:cs="Times New Roman"/>
          <w:color w:val="000000"/>
          <w:lang w:val="hu-HU" w:eastAsia="hu-HU"/>
        </w:rPr>
        <w:t xml:space="preserve">adott </w:t>
      </w:r>
      <w:r w:rsidRPr="006D0F5F">
        <w:rPr>
          <w:rFonts w:cs="Times New Roman"/>
          <w:color w:val="000000"/>
          <w:lang w:val="hu-HU" w:eastAsia="hu-HU"/>
        </w:rPr>
        <w:t>260</w:t>
      </w:r>
      <w:r w:rsidRPr="006D0F5F">
        <w:rPr>
          <w:rFonts w:ascii="Thorndale" w:hAnsi="Thorndale" w:cs="Times New Roman"/>
          <w:color w:val="000000"/>
          <w:lang w:val="hu-HU"/>
        </w:rPr>
        <w:t> mg</w:t>
      </w:r>
      <w:r w:rsidRPr="006D0F5F">
        <w:rPr>
          <w:rFonts w:cs="Times New Roman"/>
          <w:color w:val="000000"/>
          <w:lang w:val="hu-HU" w:eastAsia="hu-HU"/>
        </w:rPr>
        <w:t>/m</w:t>
      </w:r>
      <w:r w:rsidRPr="006D0F5F">
        <w:rPr>
          <w:rFonts w:cs="Times New Roman"/>
          <w:color w:val="000000"/>
          <w:vertAlign w:val="superscript"/>
          <w:lang w:val="hu-HU" w:eastAsia="hu-HU"/>
        </w:rPr>
        <w:t>2</w:t>
      </w:r>
      <w:r w:rsidRPr="006D0F5F">
        <w:rPr>
          <w:rFonts w:ascii="Thorndale" w:hAnsi="Thorndale" w:cs="Times New Roman"/>
          <w:color w:val="000000"/>
          <w:lang w:val="hu-HU"/>
        </w:rPr>
        <w:noBreakHyphen/>
      </w:r>
      <w:r w:rsidRPr="006D0F5F">
        <w:rPr>
          <w:rFonts w:cs="Times New Roman"/>
          <w:color w:val="000000"/>
          <w:lang w:val="hu-HU" w:eastAsia="hu-HU"/>
        </w:rPr>
        <w:t>es (a</w:t>
      </w:r>
      <w:r w:rsidRPr="006D0F5F">
        <w:rPr>
          <w:rFonts w:ascii="Thorndale" w:hAnsi="Thorndale" w:cs="Times New Roman"/>
          <w:color w:val="000000"/>
          <w:lang w:val="hu-HU"/>
        </w:rPr>
        <w:t xml:space="preserve"> nap</w:t>
      </w:r>
      <w:r w:rsidRPr="006D0F5F">
        <w:rPr>
          <w:rFonts w:cs="Times New Roman"/>
          <w:color w:val="000000"/>
          <w:lang w:val="hu-HU" w:eastAsia="hu-HU"/>
        </w:rPr>
        <w:t>i egyszeri 400</w:t>
      </w:r>
      <w:r w:rsidRPr="006D0F5F">
        <w:rPr>
          <w:rFonts w:ascii="Thorndale" w:hAnsi="Thorndale" w:cs="Times New Roman"/>
          <w:color w:val="000000"/>
          <w:lang w:val="hu-HU"/>
        </w:rPr>
        <w:t> mg</w:t>
      </w:r>
      <w:r w:rsidRPr="006D0F5F">
        <w:rPr>
          <w:rFonts w:ascii="Thorndale" w:hAnsi="Thorndale" w:cs="Times New Roman"/>
          <w:color w:val="000000"/>
          <w:lang w:val="hu-HU"/>
        </w:rPr>
        <w:noBreakHyphen/>
      </w:r>
      <w:r w:rsidRPr="006D0F5F">
        <w:rPr>
          <w:rFonts w:cs="Times New Roman"/>
          <w:color w:val="000000"/>
          <w:lang w:val="hu-HU" w:eastAsia="hu-HU"/>
        </w:rPr>
        <w:t>ot nem meghaladó) vagy a</w:t>
      </w:r>
      <w:r w:rsidRPr="006D0F5F">
        <w:rPr>
          <w:rFonts w:ascii="Thorndale" w:hAnsi="Thorndale" w:cs="Times New Roman"/>
          <w:color w:val="000000"/>
          <w:lang w:val="hu-HU"/>
        </w:rPr>
        <w:t xml:space="preserve"> nap</w:t>
      </w:r>
      <w:r w:rsidRPr="006D0F5F">
        <w:rPr>
          <w:rFonts w:cs="Times New Roman"/>
          <w:color w:val="000000"/>
          <w:lang w:val="hu-HU" w:eastAsia="hu-HU"/>
        </w:rPr>
        <w:t>onta egyszer</w:t>
      </w:r>
      <w:r w:rsidR="009A6A4F" w:rsidRPr="006D0F5F">
        <w:rPr>
          <w:rFonts w:cs="Times New Roman"/>
          <w:color w:val="000000"/>
          <w:lang w:val="hu-HU" w:eastAsia="hu-HU"/>
        </w:rPr>
        <w:t xml:space="preserve"> adott</w:t>
      </w:r>
      <w:r w:rsidRPr="006D0F5F">
        <w:rPr>
          <w:rFonts w:cs="Times New Roman"/>
          <w:color w:val="000000"/>
          <w:lang w:val="hu-HU" w:eastAsia="hu-HU"/>
        </w:rPr>
        <w:t xml:space="preserve"> 340</w:t>
      </w:r>
      <w:r w:rsidRPr="006D0F5F">
        <w:rPr>
          <w:rFonts w:ascii="Thorndale" w:hAnsi="Thorndale" w:cs="Times New Roman"/>
          <w:color w:val="000000"/>
          <w:lang w:val="hu-HU"/>
        </w:rPr>
        <w:t> mg</w:t>
      </w:r>
      <w:r w:rsidRPr="006D0F5F">
        <w:rPr>
          <w:rFonts w:cs="Times New Roman"/>
          <w:color w:val="000000"/>
          <w:lang w:val="hu-HU" w:eastAsia="hu-HU"/>
        </w:rPr>
        <w:t>/m</w:t>
      </w:r>
      <w:r w:rsidRPr="006D0F5F">
        <w:rPr>
          <w:rFonts w:cs="Times New Roman"/>
          <w:color w:val="000000"/>
          <w:vertAlign w:val="superscript"/>
          <w:lang w:val="hu-HU" w:eastAsia="hu-HU"/>
        </w:rPr>
        <w:t>2</w:t>
      </w:r>
      <w:r w:rsidRPr="006D0F5F">
        <w:rPr>
          <w:rFonts w:ascii="Thorndale" w:hAnsi="Thorndale" w:cs="Times New Roman"/>
          <w:color w:val="000000"/>
          <w:lang w:val="hu-HU"/>
        </w:rPr>
        <w:noBreakHyphen/>
      </w:r>
      <w:r w:rsidRPr="006D0F5F">
        <w:rPr>
          <w:rFonts w:cs="Times New Roman"/>
          <w:color w:val="000000"/>
          <w:lang w:val="hu-HU" w:eastAsia="hu-HU"/>
        </w:rPr>
        <w:t>es (a</w:t>
      </w:r>
      <w:r w:rsidRPr="006D0F5F">
        <w:rPr>
          <w:rFonts w:ascii="Thorndale" w:hAnsi="Thorndale" w:cs="Times New Roman"/>
          <w:color w:val="000000"/>
          <w:lang w:val="hu-HU"/>
        </w:rPr>
        <w:t xml:space="preserve"> nap</w:t>
      </w:r>
      <w:r w:rsidRPr="006D0F5F">
        <w:rPr>
          <w:rFonts w:cs="Times New Roman"/>
          <w:color w:val="000000"/>
          <w:lang w:val="hu-HU" w:eastAsia="hu-HU"/>
        </w:rPr>
        <w:t>i egyszeri 600</w:t>
      </w:r>
      <w:r w:rsidRPr="006D0F5F">
        <w:rPr>
          <w:rFonts w:ascii="Thorndale" w:hAnsi="Thorndale" w:cs="Times New Roman"/>
          <w:color w:val="000000"/>
          <w:lang w:val="hu-HU"/>
        </w:rPr>
        <w:t> mg</w:t>
      </w:r>
      <w:r w:rsidRPr="006D0F5F">
        <w:rPr>
          <w:rFonts w:ascii="Thorndale" w:hAnsi="Thorndale" w:cs="Times New Roman"/>
          <w:color w:val="000000"/>
          <w:lang w:val="hu-HU"/>
        </w:rPr>
        <w:noBreakHyphen/>
      </w:r>
      <w:r w:rsidRPr="006D0F5F">
        <w:rPr>
          <w:rFonts w:cs="Times New Roman"/>
          <w:color w:val="000000"/>
          <w:lang w:val="hu-HU" w:eastAsia="hu-HU"/>
        </w:rPr>
        <w:t xml:space="preserve">ot nem meghaladó) </w:t>
      </w:r>
      <w:r w:rsidR="009A6A4F" w:rsidRPr="006D0F5F">
        <w:rPr>
          <w:rFonts w:cs="Times New Roman"/>
          <w:color w:val="000000"/>
          <w:lang w:val="hu-HU" w:eastAsia="hu-HU"/>
        </w:rPr>
        <w:t xml:space="preserve">dózis esetén a náluk mért </w:t>
      </w:r>
      <w:r w:rsidRPr="006D0F5F">
        <w:rPr>
          <w:rFonts w:cs="Times New Roman"/>
          <w:color w:val="000000"/>
          <w:lang w:val="hu-HU" w:eastAsia="hu-HU"/>
        </w:rPr>
        <w:t>imatinib</w:t>
      </w:r>
      <w:r w:rsidRPr="006D0F5F">
        <w:rPr>
          <w:rFonts w:ascii="Thorndale" w:hAnsi="Thorndale" w:cs="Times New Roman"/>
          <w:color w:val="000000"/>
          <w:lang w:val="hu-HU"/>
        </w:rPr>
        <w:noBreakHyphen/>
      </w:r>
      <w:r w:rsidRPr="006D0F5F">
        <w:rPr>
          <w:rFonts w:cs="Times New Roman"/>
          <w:color w:val="000000"/>
          <w:lang w:val="hu-HU" w:eastAsia="hu-HU"/>
        </w:rPr>
        <w:t>expozíció azokéhoz a felnőtt betegekéhez volt hasonló, akik</w:t>
      </w:r>
      <w:r w:rsidRPr="006D0F5F">
        <w:rPr>
          <w:rFonts w:ascii="Thorndale" w:hAnsi="Thorndale" w:cs="Times New Roman"/>
          <w:color w:val="000000"/>
          <w:lang w:val="hu-HU"/>
        </w:rPr>
        <w:t xml:space="preserve"> nap</w:t>
      </w:r>
      <w:r w:rsidRPr="006D0F5F">
        <w:rPr>
          <w:rFonts w:cs="Times New Roman"/>
          <w:color w:val="000000"/>
          <w:lang w:val="hu-HU" w:eastAsia="hu-HU"/>
        </w:rPr>
        <w:t>onta egyszer 400</w:t>
      </w:r>
      <w:r w:rsidRPr="006D0F5F">
        <w:rPr>
          <w:rFonts w:ascii="Thorndale" w:hAnsi="Thorndale" w:cs="Times New Roman"/>
          <w:color w:val="000000"/>
          <w:lang w:val="hu-HU"/>
        </w:rPr>
        <w:t> mg</w:t>
      </w:r>
      <w:r w:rsidRPr="006D0F5F">
        <w:rPr>
          <w:rFonts w:cs="Times New Roman"/>
          <w:color w:val="000000"/>
          <w:lang w:val="hu-HU" w:eastAsia="hu-HU"/>
        </w:rPr>
        <w:t xml:space="preserve"> vagy 600</w:t>
      </w:r>
      <w:r w:rsidRPr="006D0F5F">
        <w:rPr>
          <w:rFonts w:ascii="Thorndale" w:hAnsi="Thorndale" w:cs="Times New Roman"/>
          <w:color w:val="000000"/>
          <w:lang w:val="hu-HU"/>
        </w:rPr>
        <w:t> mg</w:t>
      </w:r>
      <w:r w:rsidRPr="006D0F5F">
        <w:rPr>
          <w:rFonts w:cs="Times New Roman"/>
          <w:color w:val="000000"/>
          <w:lang w:val="hu-HU" w:eastAsia="hu-HU"/>
        </w:rPr>
        <w:t xml:space="preserve"> imatinibet kaptak.</w:t>
      </w:r>
    </w:p>
    <w:p w14:paraId="509FFADC" w14:textId="77777777" w:rsidR="004E6698" w:rsidRPr="006D0F5F" w:rsidRDefault="004E6698" w:rsidP="0000287A">
      <w:pPr>
        <w:spacing w:line="240" w:lineRule="auto"/>
        <w:rPr>
          <w:color w:val="000000"/>
          <w:lang w:val="hu-HU"/>
        </w:rPr>
      </w:pPr>
    </w:p>
    <w:p w14:paraId="2467AAF5" w14:textId="43A7A318" w:rsidR="0000287A" w:rsidRPr="006D0F5F" w:rsidRDefault="000F142E" w:rsidP="00F926B9">
      <w:pPr>
        <w:keepNext/>
        <w:spacing w:line="240" w:lineRule="auto"/>
        <w:rPr>
          <w:color w:val="000000"/>
          <w:u w:val="single"/>
          <w:lang w:val="hu-HU"/>
        </w:rPr>
      </w:pPr>
      <w:r w:rsidRPr="006D0F5F">
        <w:rPr>
          <w:color w:val="000000"/>
          <w:u w:val="single"/>
          <w:lang w:val="hu-HU"/>
        </w:rPr>
        <w:t>Károsodott</w:t>
      </w:r>
      <w:r w:rsidR="0000287A" w:rsidRPr="006D0F5F">
        <w:rPr>
          <w:color w:val="000000"/>
          <w:u w:val="single"/>
          <w:lang w:val="hu-HU"/>
        </w:rPr>
        <w:t xml:space="preserve"> szervműködés</w:t>
      </w:r>
    </w:p>
    <w:p w14:paraId="38163519" w14:textId="6AD0ACA5" w:rsidR="0000287A" w:rsidRPr="00556B9B" w:rsidRDefault="0000287A" w:rsidP="0000287A">
      <w:pPr>
        <w:spacing w:line="240" w:lineRule="auto"/>
        <w:rPr>
          <w:color w:val="000000"/>
          <w:lang w:val="hu-HU"/>
        </w:rPr>
      </w:pPr>
      <w:r w:rsidRPr="006D0F5F">
        <w:rPr>
          <w:color w:val="000000"/>
          <w:lang w:val="hu-HU"/>
        </w:rPr>
        <w:t>Az imatinib és metabolitjai nem ürülnek jelentős mértékben a vesén át. A</w:t>
      </w:r>
      <w:r w:rsidR="00184427" w:rsidRPr="006D0F5F">
        <w:rPr>
          <w:color w:val="000000"/>
          <w:lang w:val="hu-HU"/>
        </w:rPr>
        <w:t>z</w:t>
      </w:r>
      <w:r w:rsidRPr="006D0F5F">
        <w:rPr>
          <w:color w:val="000000"/>
          <w:lang w:val="hu-HU"/>
        </w:rPr>
        <w:t xml:space="preserve"> enyh</w:t>
      </w:r>
      <w:r w:rsidR="000F142E" w:rsidRPr="006D0F5F">
        <w:rPr>
          <w:color w:val="000000"/>
          <w:lang w:val="hu-HU"/>
        </w:rPr>
        <w:t>e</w:t>
      </w:r>
      <w:r w:rsidRPr="006D0F5F">
        <w:rPr>
          <w:color w:val="000000"/>
          <w:lang w:val="hu-HU"/>
        </w:rPr>
        <w:t xml:space="preserve"> vagy közepes</w:t>
      </w:r>
      <w:r w:rsidR="000F142E" w:rsidRPr="006D0F5F">
        <w:rPr>
          <w:color w:val="000000"/>
          <w:lang w:val="hu-HU"/>
        </w:rPr>
        <w:t xml:space="preserve"> mértékű vesekárosodásban szenvedő</w:t>
      </w:r>
      <w:r w:rsidRPr="006D0F5F">
        <w:rPr>
          <w:color w:val="000000"/>
          <w:lang w:val="hu-HU"/>
        </w:rPr>
        <w:t xml:space="preserve"> betegekben magasabbnak tűnik a plazma expozíció mértéke, mint az egészséges vesefunkciójú betegekben. A növekedés körülbelül 1,5</w:t>
      </w:r>
      <w:r w:rsidRPr="006D0F5F">
        <w:rPr>
          <w:color w:val="000000"/>
          <w:szCs w:val="22"/>
          <w:lang w:val="hu-HU"/>
        </w:rPr>
        <w:t>–</w:t>
      </w:r>
      <w:r w:rsidRPr="006D0F5F">
        <w:rPr>
          <w:color w:val="000000"/>
          <w:lang w:val="hu-HU"/>
        </w:rPr>
        <w:t>2</w:t>
      </w:r>
      <w:r w:rsidRPr="006D0F5F">
        <w:rPr>
          <w:color w:val="000000"/>
          <w:lang w:val="hu-HU"/>
        </w:rPr>
        <w:noBreakHyphen/>
        <w:t>szeres, ami a plazma AGP</w:t>
      </w:r>
      <w:r w:rsidRPr="006D0F5F">
        <w:rPr>
          <w:color w:val="000000"/>
          <w:lang w:val="hu-HU"/>
        </w:rPr>
        <w:noBreakHyphen/>
        <w:t>szint 1,5</w:t>
      </w:r>
      <w:r w:rsidRPr="006D0F5F">
        <w:rPr>
          <w:color w:val="000000"/>
          <w:lang w:val="hu-HU"/>
        </w:rPr>
        <w:noBreakHyphen/>
        <w:t>szeres emelkedésének felel meg (az imatinib erősen kötődik az AGP</w:t>
      </w:r>
      <w:r w:rsidRPr="006D0F5F">
        <w:rPr>
          <w:color w:val="000000"/>
          <w:lang w:val="hu-HU"/>
        </w:rPr>
        <w:noBreakHyphen/>
        <w:t>hez). Az imatinib szabad gyógyszer clearance</w:t>
      </w:r>
      <w:r w:rsidRPr="006D0F5F">
        <w:rPr>
          <w:color w:val="000000"/>
          <w:lang w:val="hu-HU"/>
        </w:rPr>
        <w:noBreakHyphen/>
        <w:t xml:space="preserve">e valószínűleg hasonló a </w:t>
      </w:r>
      <w:r w:rsidR="000F142E" w:rsidRPr="006D0F5F">
        <w:rPr>
          <w:color w:val="000000"/>
          <w:lang w:val="hu-HU"/>
        </w:rPr>
        <w:t>károsodott</w:t>
      </w:r>
      <w:r w:rsidRPr="006D0F5F">
        <w:rPr>
          <w:color w:val="000000"/>
          <w:lang w:val="hu-HU"/>
        </w:rPr>
        <w:t xml:space="preserve"> és az egészséges</w:t>
      </w:r>
      <w:r w:rsidRPr="00556B9B">
        <w:rPr>
          <w:color w:val="000000"/>
          <w:lang w:val="hu-HU"/>
        </w:rPr>
        <w:t xml:space="preserve"> vesefunkciójú betegek esetében, mivel a renális kiválasztás csak kismértékben játszik szerepet az imatinib eliminációjában (lásd 4.2 és 4.4 pont).</w:t>
      </w:r>
    </w:p>
    <w:p w14:paraId="46FFCD7C" w14:textId="77777777" w:rsidR="0000287A" w:rsidRPr="00556B9B" w:rsidRDefault="0000287A" w:rsidP="0000287A">
      <w:pPr>
        <w:spacing w:line="240" w:lineRule="auto"/>
        <w:rPr>
          <w:color w:val="000000"/>
          <w:lang w:val="hu-HU"/>
        </w:rPr>
      </w:pPr>
    </w:p>
    <w:p w14:paraId="5E7AD9DF" w14:textId="77777777" w:rsidR="0000287A" w:rsidRPr="00556B9B" w:rsidRDefault="0000287A" w:rsidP="0000287A">
      <w:pPr>
        <w:spacing w:line="240" w:lineRule="auto"/>
        <w:rPr>
          <w:color w:val="000000"/>
          <w:lang w:val="hu-HU"/>
        </w:rPr>
      </w:pPr>
      <w:r w:rsidRPr="00556B9B">
        <w:rPr>
          <w:color w:val="000000"/>
          <w:lang w:val="hu-HU"/>
        </w:rPr>
        <w:t>Bár a farmakokinetikai elemzések eredményei azt mutatták, hogy számottevő az egyének közötti variáció, az átlagos imatinib expozíció a normális májműködésű betegekhez viszonyítva nem fokozódott a különböző mértékben beszűkült májfunkciójú betegek esetében (lásd 4.2, 4.4, és 4.8 pontok).</w:t>
      </w:r>
    </w:p>
    <w:p w14:paraId="2A053953" w14:textId="77777777" w:rsidR="0000287A" w:rsidRPr="00556B9B" w:rsidRDefault="0000287A" w:rsidP="0000287A">
      <w:pPr>
        <w:spacing w:line="240" w:lineRule="auto"/>
        <w:rPr>
          <w:color w:val="000000"/>
          <w:lang w:val="hu-HU"/>
        </w:rPr>
      </w:pPr>
    </w:p>
    <w:p w14:paraId="2574DB8D" w14:textId="77777777" w:rsidR="0000287A" w:rsidRPr="00556B9B" w:rsidRDefault="0000287A" w:rsidP="00F926B9">
      <w:pPr>
        <w:keepNext/>
        <w:spacing w:line="240" w:lineRule="auto"/>
        <w:ind w:left="567" w:hanging="567"/>
        <w:rPr>
          <w:b/>
          <w:color w:val="000000"/>
          <w:lang w:val="hu-HU"/>
        </w:rPr>
      </w:pPr>
      <w:r w:rsidRPr="00556B9B">
        <w:rPr>
          <w:b/>
          <w:color w:val="000000"/>
          <w:lang w:val="hu-HU"/>
        </w:rPr>
        <w:t>5.3</w:t>
      </w:r>
      <w:r w:rsidRPr="00556B9B">
        <w:rPr>
          <w:b/>
          <w:color w:val="000000"/>
          <w:lang w:val="hu-HU"/>
        </w:rPr>
        <w:tab/>
        <w:t>A preklinikai biztonságossági vizsgálatok eredményei</w:t>
      </w:r>
    </w:p>
    <w:p w14:paraId="0F17851F" w14:textId="77777777" w:rsidR="0000287A" w:rsidRPr="00556B9B" w:rsidRDefault="0000287A" w:rsidP="00F926B9">
      <w:pPr>
        <w:keepNext/>
        <w:spacing w:line="240" w:lineRule="auto"/>
        <w:rPr>
          <w:color w:val="000000"/>
          <w:lang w:val="hu-HU"/>
        </w:rPr>
      </w:pPr>
    </w:p>
    <w:p w14:paraId="145AA206" w14:textId="77777777" w:rsidR="0000287A" w:rsidRPr="00556B9B" w:rsidRDefault="0000287A" w:rsidP="0000287A">
      <w:pPr>
        <w:spacing w:line="240" w:lineRule="auto"/>
        <w:rPr>
          <w:color w:val="000000"/>
          <w:lang w:val="hu-HU"/>
        </w:rPr>
      </w:pPr>
      <w:r w:rsidRPr="00556B9B">
        <w:rPr>
          <w:color w:val="000000"/>
          <w:lang w:val="hu-HU"/>
        </w:rPr>
        <w:t>Az imatinib preklinikai biztonságossági profilját patkányokban, kutyákban, majmokban és nyulakban vizsgálták.</w:t>
      </w:r>
    </w:p>
    <w:p w14:paraId="740676A6" w14:textId="77777777" w:rsidR="0000287A" w:rsidRPr="00556B9B" w:rsidRDefault="0000287A" w:rsidP="0000287A">
      <w:pPr>
        <w:spacing w:line="240" w:lineRule="auto"/>
        <w:rPr>
          <w:color w:val="000000"/>
          <w:lang w:val="hu-HU"/>
        </w:rPr>
      </w:pPr>
    </w:p>
    <w:p w14:paraId="3702C088" w14:textId="77777777" w:rsidR="0000287A" w:rsidRPr="00556B9B" w:rsidRDefault="0000287A" w:rsidP="0000287A">
      <w:pPr>
        <w:spacing w:line="240" w:lineRule="auto"/>
        <w:rPr>
          <w:color w:val="000000"/>
          <w:lang w:val="hu-HU"/>
        </w:rPr>
      </w:pPr>
      <w:r w:rsidRPr="00556B9B">
        <w:rPr>
          <w:color w:val="000000"/>
          <w:lang w:val="hu-HU"/>
        </w:rPr>
        <w:t>Ismételt dózisú toxicitási vizsgálatok enyhe</w:t>
      </w:r>
      <w:r w:rsidRPr="00556B9B">
        <w:rPr>
          <w:color w:val="000000"/>
          <w:lang w:val="hu-HU"/>
        </w:rPr>
        <w:noBreakHyphen/>
        <w:t>mérsékelt fokú hematológiai elváltozást mutattak patkányokban, kutyákban és majmokban, amit csontvelőeltérés kísért patkányokban és kutyákban.</w:t>
      </w:r>
    </w:p>
    <w:p w14:paraId="7FA0EF8E" w14:textId="77777777" w:rsidR="0000287A" w:rsidRPr="00556B9B" w:rsidRDefault="0000287A" w:rsidP="0000287A">
      <w:pPr>
        <w:rPr>
          <w:color w:val="000000"/>
          <w:lang w:val="hu-HU"/>
        </w:rPr>
      </w:pPr>
    </w:p>
    <w:p w14:paraId="5C1305BB" w14:textId="77777777" w:rsidR="0000287A" w:rsidRPr="00556B9B" w:rsidRDefault="0000287A" w:rsidP="0000287A">
      <w:pPr>
        <w:spacing w:line="240" w:lineRule="auto"/>
        <w:rPr>
          <w:color w:val="000000"/>
          <w:lang w:val="hu-HU"/>
        </w:rPr>
      </w:pPr>
      <w:r w:rsidRPr="00556B9B">
        <w:rPr>
          <w:color w:val="000000"/>
          <w:lang w:val="hu-HU"/>
        </w:rPr>
        <w:lastRenderedPageBreak/>
        <w:t>Patkányokban és kutyákban a célszerv a máj volt. Mindkét fajban enyhe</w:t>
      </w:r>
      <w:r w:rsidRPr="00556B9B">
        <w:rPr>
          <w:color w:val="000000"/>
          <w:lang w:val="hu-HU"/>
        </w:rPr>
        <w:noBreakHyphen/>
        <w:t>mérsékelt transzaminázszint</w:t>
      </w:r>
      <w:r w:rsidRPr="00556B9B">
        <w:rPr>
          <w:color w:val="000000"/>
          <w:lang w:val="hu-HU"/>
        </w:rPr>
        <w:noBreakHyphen/>
        <w:t>emelkedést és csekély mértékű koleszterin</w:t>
      </w:r>
      <w:r w:rsidRPr="00556B9B">
        <w:rPr>
          <w:color w:val="000000"/>
          <w:lang w:val="hu-HU"/>
        </w:rPr>
        <w:noBreakHyphen/>
        <w:t>, triglicerid</w:t>
      </w:r>
      <w:r w:rsidRPr="00556B9B">
        <w:rPr>
          <w:color w:val="000000"/>
          <w:lang w:val="hu-HU"/>
        </w:rPr>
        <w:noBreakHyphen/>
        <w:t>, teljes fehérje</w:t>
      </w:r>
      <w:r w:rsidRPr="00556B9B">
        <w:rPr>
          <w:color w:val="000000"/>
          <w:lang w:val="hu-HU"/>
        </w:rPr>
        <w:noBreakHyphen/>
        <w:t xml:space="preserve"> és albuminszint</w:t>
      </w:r>
      <w:r w:rsidRPr="00556B9B">
        <w:rPr>
          <w:color w:val="000000"/>
          <w:lang w:val="hu-HU"/>
        </w:rPr>
        <w:noBreakHyphen/>
        <w:t>csökkenést figyeltek meg. Patkányok májában hisztopatológiai eltérést nem észleltek. Két hétig kezelt kutyákban súlyos májtoxicitást észleltek, emelkedett májenzimszint értékekkel, hepatocellularis necrosissal, epeút necrosissal és epeút hyperplasiával.</w:t>
      </w:r>
    </w:p>
    <w:p w14:paraId="60CFCD8B" w14:textId="77777777" w:rsidR="0000287A" w:rsidRPr="00556B9B" w:rsidRDefault="0000287A" w:rsidP="0000287A">
      <w:pPr>
        <w:spacing w:line="240" w:lineRule="auto"/>
        <w:rPr>
          <w:color w:val="000000"/>
          <w:lang w:val="hu-HU"/>
        </w:rPr>
      </w:pPr>
    </w:p>
    <w:p w14:paraId="1F0D3BF1" w14:textId="77777777" w:rsidR="0000287A" w:rsidRPr="00556B9B" w:rsidRDefault="0000287A" w:rsidP="0000287A">
      <w:pPr>
        <w:spacing w:line="240" w:lineRule="auto"/>
        <w:rPr>
          <w:color w:val="000000"/>
          <w:lang w:val="hu-HU"/>
        </w:rPr>
      </w:pPr>
      <w:r w:rsidRPr="00556B9B">
        <w:rPr>
          <w:color w:val="000000"/>
          <w:lang w:val="hu-HU"/>
        </w:rPr>
        <w:t>Két hétig kezelt majmokban vesetoxicitást észleltek, a vesetubulusok focalis mineralisatiójával és dilatatiójával, valamint tubularis nephrosissal. Ezek közül több majomban megnövekedett karbamid</w:t>
      </w:r>
      <w:r w:rsidRPr="00556B9B">
        <w:rPr>
          <w:color w:val="000000"/>
          <w:lang w:val="hu-HU"/>
        </w:rPr>
        <w:noBreakHyphen/>
        <w:t xml:space="preserve">nitrogén (BUN) és kreatininszint volt észlelhető. Patkányokban, 13 hetes vizsgálatban, </w:t>
      </w:r>
      <w:r w:rsidRPr="00556B9B">
        <w:rPr>
          <w:color w:val="000000"/>
          <w:lang w:val="hu-HU"/>
        </w:rPr>
        <w:sym w:font="Symbol" w:char="F0B3"/>
      </w:r>
      <w:r w:rsidRPr="00556B9B">
        <w:rPr>
          <w:color w:val="000000"/>
          <w:lang w:val="hu-HU"/>
        </w:rPr>
        <w:t> 6 mg/ttkg dózisok alkalmazása mellett a vesepapilla és a húgyhólyag transitionalis epitheliumának hyperplasiáját észlelték szérum</w:t>
      </w:r>
      <w:r w:rsidRPr="00556B9B">
        <w:rPr>
          <w:color w:val="000000"/>
          <w:lang w:val="hu-HU"/>
        </w:rPr>
        <w:noBreakHyphen/>
        <w:t>, ill. vizeleteltérés nélkül. Krónikus imatinib</w:t>
      </w:r>
      <w:r w:rsidRPr="00556B9B">
        <w:rPr>
          <w:color w:val="000000"/>
          <w:lang w:val="hu-HU"/>
        </w:rPr>
        <w:noBreakHyphen/>
        <w:t>kezeléskor az opportunista fertőzések gyakoribb előfordulását észlelték.</w:t>
      </w:r>
    </w:p>
    <w:p w14:paraId="59C15C59" w14:textId="77777777" w:rsidR="0000287A" w:rsidRPr="00556B9B" w:rsidRDefault="0000287A" w:rsidP="0000287A">
      <w:pPr>
        <w:spacing w:line="240" w:lineRule="auto"/>
        <w:rPr>
          <w:color w:val="000000"/>
          <w:lang w:val="hu-HU"/>
        </w:rPr>
      </w:pPr>
    </w:p>
    <w:p w14:paraId="6A00AD54" w14:textId="77777777" w:rsidR="0000287A" w:rsidRPr="00556B9B" w:rsidRDefault="0000287A" w:rsidP="0000287A">
      <w:pPr>
        <w:spacing w:line="240" w:lineRule="auto"/>
        <w:rPr>
          <w:color w:val="000000"/>
          <w:lang w:val="hu-HU"/>
        </w:rPr>
      </w:pPr>
      <w:r w:rsidRPr="00556B9B">
        <w:rPr>
          <w:color w:val="000000"/>
          <w:lang w:val="hu-HU"/>
        </w:rPr>
        <w:t>Egy 39 hetes, majmokban végzett vizsgálatban, a legalacsonyabb 15 mg/ttkg dózis – körülbelül egyharmada a testfelületre számított maximális, 800 mg</w:t>
      </w:r>
      <w:r w:rsidRPr="00556B9B">
        <w:rPr>
          <w:color w:val="000000"/>
          <w:lang w:val="hu-HU"/>
        </w:rPr>
        <w:noBreakHyphen/>
        <w:t>os humán dózisnak – alkalmazása mellett nem állapították meg a „nem észlelhető kedvezőtlen hatás szintet” (NOAEL – no observed adverse effect level). Ezekben az állatokban a kezelés a normálisan szuppresszált malariás infectio rosszabbodását eredményezte.</w:t>
      </w:r>
    </w:p>
    <w:p w14:paraId="3706580B" w14:textId="77777777" w:rsidR="0000287A" w:rsidRPr="00556B9B" w:rsidRDefault="0000287A" w:rsidP="0000287A">
      <w:pPr>
        <w:spacing w:line="240" w:lineRule="auto"/>
        <w:rPr>
          <w:color w:val="000000"/>
          <w:lang w:val="hu-HU"/>
        </w:rPr>
      </w:pPr>
    </w:p>
    <w:p w14:paraId="096C6063" w14:textId="77777777" w:rsidR="0000287A" w:rsidRPr="00556B9B" w:rsidRDefault="0000287A" w:rsidP="0000287A">
      <w:pPr>
        <w:spacing w:line="240" w:lineRule="auto"/>
        <w:rPr>
          <w:color w:val="000000"/>
          <w:lang w:val="hu-HU"/>
        </w:rPr>
      </w:pPr>
      <w:r w:rsidRPr="00556B9B">
        <w:rPr>
          <w:color w:val="000000"/>
          <w:lang w:val="hu-HU"/>
        </w:rPr>
        <w:t xml:space="preserve">Az imatinib nem bizonyult genotoxikusnak </w:t>
      </w:r>
      <w:r w:rsidRPr="00556B9B">
        <w:rPr>
          <w:i/>
          <w:color w:val="000000"/>
          <w:lang w:val="hu-HU"/>
        </w:rPr>
        <w:t>in vitro</w:t>
      </w:r>
      <w:r w:rsidRPr="00556B9B">
        <w:rPr>
          <w:color w:val="000000"/>
          <w:lang w:val="hu-HU"/>
        </w:rPr>
        <w:t xml:space="preserve"> baktériumsejt assay</w:t>
      </w:r>
      <w:r w:rsidRPr="00556B9B">
        <w:rPr>
          <w:color w:val="000000"/>
          <w:lang w:val="hu-HU"/>
        </w:rPr>
        <w:noBreakHyphen/>
        <w:t xml:space="preserve">ben (Ames teszt), </w:t>
      </w:r>
      <w:r w:rsidRPr="00556B9B">
        <w:rPr>
          <w:i/>
          <w:color w:val="000000"/>
          <w:lang w:val="hu-HU"/>
        </w:rPr>
        <w:t>in vitro</w:t>
      </w:r>
      <w:r w:rsidRPr="00556B9B">
        <w:rPr>
          <w:color w:val="000000"/>
          <w:lang w:val="hu-HU"/>
        </w:rPr>
        <w:t xml:space="preserve"> emlőssejt tesztben (egér lymphoma) és </w:t>
      </w:r>
      <w:r w:rsidRPr="00556B9B">
        <w:rPr>
          <w:i/>
          <w:color w:val="000000"/>
          <w:lang w:val="hu-HU"/>
        </w:rPr>
        <w:t>in vivo</w:t>
      </w:r>
      <w:r w:rsidRPr="00556B9B">
        <w:rPr>
          <w:color w:val="000000"/>
          <w:lang w:val="hu-HU"/>
        </w:rPr>
        <w:t xml:space="preserve"> patkány micronucleus tesztben. Pozitív genotoxikus hatást figyeltek meg egy </w:t>
      </w:r>
      <w:r w:rsidRPr="00556B9B">
        <w:rPr>
          <w:i/>
          <w:color w:val="000000"/>
          <w:lang w:val="hu-HU"/>
        </w:rPr>
        <w:t>in vitro</w:t>
      </w:r>
      <w:r w:rsidRPr="00556B9B">
        <w:rPr>
          <w:color w:val="000000"/>
          <w:lang w:val="hu-HU"/>
        </w:rPr>
        <w:t xml:space="preserve"> emlőssejt assay</w:t>
      </w:r>
      <w:r w:rsidRPr="00556B9B">
        <w:rPr>
          <w:color w:val="000000"/>
          <w:lang w:val="hu-HU"/>
        </w:rPr>
        <w:noBreakHyphen/>
        <w:t xml:space="preserve">ben (kínai hörcsög ovarium) clastogenicitást tekintve (chromosoma aberratio) metabolikus aktiváció fennállásakor. Ames tesztben a gyártási folyamat két közbenső vegyülete </w:t>
      </w:r>
      <w:r w:rsidRPr="00556B9B">
        <w:rPr>
          <w:color w:val="000000"/>
          <w:lang w:val="hu-HU"/>
        </w:rPr>
        <w:noBreakHyphen/>
        <w:t> ami a végtermékben is jelen van </w:t>
      </w:r>
      <w:r w:rsidRPr="00556B9B">
        <w:rPr>
          <w:color w:val="000000"/>
          <w:lang w:val="hu-HU"/>
        </w:rPr>
        <w:noBreakHyphen/>
        <w:t xml:space="preserve"> pozitív mutagén hatásúnak bizonyult. A közbenső vegyületek egyike egér lymphoma tesztben is pozitív hatásúnak bizonyult.</w:t>
      </w:r>
    </w:p>
    <w:p w14:paraId="1DBA66E5" w14:textId="77777777" w:rsidR="0000287A" w:rsidRPr="00556B9B" w:rsidRDefault="0000287A" w:rsidP="0000287A">
      <w:pPr>
        <w:spacing w:line="240" w:lineRule="auto"/>
        <w:rPr>
          <w:color w:val="000000"/>
          <w:lang w:val="hu-HU"/>
        </w:rPr>
      </w:pPr>
    </w:p>
    <w:p w14:paraId="130A2A1F" w14:textId="77777777" w:rsidR="0000287A" w:rsidRPr="00556B9B" w:rsidRDefault="0000287A" w:rsidP="0000287A">
      <w:pPr>
        <w:spacing w:line="240" w:lineRule="auto"/>
        <w:rPr>
          <w:color w:val="000000"/>
          <w:lang w:val="hu-HU"/>
        </w:rPr>
      </w:pPr>
      <w:r w:rsidRPr="00556B9B">
        <w:rPr>
          <w:color w:val="000000"/>
          <w:lang w:val="hu-HU"/>
        </w:rPr>
        <w:t xml:space="preserve">Fertilitási vizsgálatban hímpatkányokban a párosodást megelőző 70 napban alkalmazott 60 mg/ttkg dózis alkalmazásakor, ami körülbelül megfelel a testfelületre számított 800 mg/nap maximális klinikai dózisnak, a testicularis és epididymalis tömeg, valamint a mozgó spermiumok arányának csökkenését észlelték. Mindez ≤ 20 mg/ttkg alkalmazott dózisban nem volt megfigyelhető. Kutyákban, ha az orális dózis </w:t>
      </w:r>
      <w:r w:rsidRPr="00556B9B">
        <w:rPr>
          <w:color w:val="000000"/>
          <w:lang w:val="hu-HU"/>
        </w:rPr>
        <w:sym w:font="Symbol" w:char="F0B3"/>
      </w:r>
      <w:r w:rsidRPr="00556B9B">
        <w:rPr>
          <w:color w:val="000000"/>
          <w:lang w:val="hu-HU"/>
        </w:rPr>
        <w:t> 30 mg/ttkg, a spermatogenesis csekélytől mérsékelt fokig terjedő csökkenését figyelték meg. Amikor nőstény patkányokat kezeltek a párosodást megelőző 14 napban és a 6. gestatios napig, az adott kezelés nem volt hatással a párosodásra, és a vemhessé vált patkányok számára. Nőstény patkányokban 60 mg/ttkg dózis szignifikáns mértékben fokozta a postimplantatiós spontán abortus előfordulását, és csökkentette az élő foetusok számát, mely ≤ 20 mg/ttkg esetén nem észlelhető.</w:t>
      </w:r>
    </w:p>
    <w:p w14:paraId="07FEB351" w14:textId="77777777" w:rsidR="0000287A" w:rsidRPr="00556B9B" w:rsidRDefault="0000287A" w:rsidP="0000287A">
      <w:pPr>
        <w:pStyle w:val="BodyText"/>
        <w:spacing w:line="240" w:lineRule="auto"/>
        <w:rPr>
          <w:b w:val="0"/>
          <w:i w:val="0"/>
          <w:color w:val="000000"/>
          <w:lang w:val="hu-HU"/>
        </w:rPr>
      </w:pPr>
    </w:p>
    <w:p w14:paraId="5131EBEA" w14:textId="77777777" w:rsidR="0000287A" w:rsidRPr="00556B9B" w:rsidRDefault="0000287A" w:rsidP="0000287A">
      <w:pPr>
        <w:pStyle w:val="BodyText"/>
        <w:spacing w:line="240" w:lineRule="auto"/>
        <w:rPr>
          <w:b w:val="0"/>
          <w:i w:val="0"/>
          <w:color w:val="000000"/>
          <w:lang w:val="hu-HU"/>
        </w:rPr>
      </w:pPr>
      <w:r w:rsidRPr="00556B9B">
        <w:rPr>
          <w:b w:val="0"/>
          <w:i w:val="0"/>
          <w:color w:val="000000"/>
          <w:lang w:val="hu-HU"/>
        </w:rPr>
        <w:t>Egy, a patkányokban végzett orális pre</w:t>
      </w:r>
      <w:r w:rsidRPr="00556B9B">
        <w:rPr>
          <w:b w:val="0"/>
          <w:i w:val="0"/>
          <w:color w:val="000000"/>
          <w:lang w:val="hu-HU"/>
        </w:rPr>
        <w:noBreakHyphen/>
        <w:t>, ill. postnatalis fejlődési vizsgálatban vörös hüvelyi folyás mutatkozott a 14. vagy a 15. gestatiós napon a 45 mg/ttkg/nap adagot kapó csoportban. Ugyanezen adagon a halvaszületési arány és az első négy napban bekövetkező magzati halálozási arány megnövekedett. Az F</w:t>
      </w:r>
      <w:r w:rsidRPr="00556B9B">
        <w:rPr>
          <w:b w:val="0"/>
          <w:i w:val="0"/>
          <w:color w:val="000000"/>
          <w:vertAlign w:val="subscript"/>
          <w:lang w:val="hu-HU"/>
        </w:rPr>
        <w:t>1</w:t>
      </w:r>
      <w:r w:rsidRPr="00556B9B">
        <w:rPr>
          <w:b w:val="0"/>
          <w:i w:val="0"/>
          <w:color w:val="000000"/>
          <w:lang w:val="hu-HU"/>
        </w:rPr>
        <w:t xml:space="preserve"> utódok esetében – ugyanezen adag mellett – kisebb volt az átlagos testtömeg a születéstől elhullásukig, és a praeputialis elkülönítést szükségessé tevő alomszám némileg csökkent. Bár az F</w:t>
      </w:r>
      <w:r w:rsidRPr="00556B9B">
        <w:rPr>
          <w:b w:val="0"/>
          <w:i w:val="0"/>
          <w:color w:val="000000"/>
          <w:vertAlign w:val="subscript"/>
          <w:lang w:val="hu-HU"/>
        </w:rPr>
        <w:t>1</w:t>
      </w:r>
      <w:r w:rsidRPr="00556B9B">
        <w:rPr>
          <w:b w:val="0"/>
          <w:i w:val="0"/>
          <w:color w:val="000000"/>
          <w:lang w:val="hu-HU"/>
        </w:rPr>
        <w:t xml:space="preserve"> utódok fertilitása nem csökkent, a 45 mg/kg nap adag mellett nagyobb számú volt az intrauterin felszívódás, és kisebb számú az életképes foetusok száma. Az anyaállatra és az F</w:t>
      </w:r>
      <w:r w:rsidRPr="00556B9B">
        <w:rPr>
          <w:b w:val="0"/>
          <w:i w:val="0"/>
          <w:color w:val="000000"/>
          <w:vertAlign w:val="subscript"/>
          <w:lang w:val="hu-HU"/>
        </w:rPr>
        <w:t>1</w:t>
      </w:r>
      <w:r w:rsidRPr="00556B9B">
        <w:rPr>
          <w:b w:val="0"/>
          <w:i w:val="0"/>
          <w:color w:val="000000"/>
          <w:lang w:val="hu-HU"/>
        </w:rPr>
        <w:t xml:space="preserve"> generációra a „nem észlelhető hatás szint” (NOEL </w:t>
      </w:r>
      <w:r w:rsidRPr="00556B9B">
        <w:rPr>
          <w:b w:val="0"/>
          <w:i w:val="0"/>
          <w:color w:val="000000"/>
          <w:lang w:val="hu-HU"/>
        </w:rPr>
        <w:noBreakHyphen/>
        <w:t> no observed effect level) értéke 15 mg/ttkg/nap volt, ami a 800 mg maximális humán adag negyedének felel meg.</w:t>
      </w:r>
    </w:p>
    <w:p w14:paraId="03344069" w14:textId="77777777" w:rsidR="0000287A" w:rsidRPr="00556B9B" w:rsidRDefault="0000287A" w:rsidP="0000287A">
      <w:pPr>
        <w:spacing w:line="240" w:lineRule="auto"/>
        <w:rPr>
          <w:color w:val="000000"/>
          <w:lang w:val="hu-HU"/>
        </w:rPr>
      </w:pPr>
    </w:p>
    <w:p w14:paraId="0697ABCE" w14:textId="77777777" w:rsidR="0000287A" w:rsidRPr="00556B9B" w:rsidRDefault="0000287A" w:rsidP="0000287A">
      <w:pPr>
        <w:spacing w:line="240" w:lineRule="auto"/>
        <w:rPr>
          <w:color w:val="000000"/>
          <w:lang w:val="hu-HU"/>
        </w:rPr>
      </w:pPr>
      <w:r w:rsidRPr="00556B9B">
        <w:rPr>
          <w:color w:val="000000"/>
          <w:lang w:val="hu-HU"/>
        </w:rPr>
        <w:t xml:space="preserve">Patkányokban az organogenezis ideje alatt alkalmazott </w:t>
      </w:r>
      <w:r w:rsidRPr="00556B9B">
        <w:rPr>
          <w:color w:val="000000"/>
          <w:lang w:val="hu-HU"/>
        </w:rPr>
        <w:sym w:font="Symbol" w:char="F0B3"/>
      </w:r>
      <w:r w:rsidRPr="00556B9B">
        <w:rPr>
          <w:color w:val="000000"/>
          <w:lang w:val="hu-HU"/>
        </w:rPr>
        <w:t> 100 mg/ttkg (ami körülbelül megfelel a testfelületre számított 800 mg/nap maximális humán klinikai dózisnak) imatinib adag teratogénnek bizonyult. A teratogén hatások közé tartozott az exencephalia vagy encephalocele, a frontalis csontok hiánya/hiányos kifejlődése és a partietalis csontok hiánya. Ezek a hatások nem voltak észlelhetők ≤ 30 mg/ttkg adagokban.</w:t>
      </w:r>
    </w:p>
    <w:p w14:paraId="03A69F09" w14:textId="77777777" w:rsidR="0000287A" w:rsidRPr="00556B9B" w:rsidRDefault="0000287A" w:rsidP="0000287A">
      <w:pPr>
        <w:spacing w:line="240" w:lineRule="auto"/>
        <w:rPr>
          <w:color w:val="000000"/>
          <w:lang w:val="hu-HU"/>
        </w:rPr>
      </w:pPr>
    </w:p>
    <w:p w14:paraId="2A2FD249" w14:textId="77777777" w:rsidR="008E1DEC" w:rsidRPr="00556B9B" w:rsidRDefault="008E1DEC" w:rsidP="008E1DEC">
      <w:pPr>
        <w:spacing w:line="240" w:lineRule="auto"/>
        <w:rPr>
          <w:color w:val="000000"/>
          <w:lang w:val="hu-HU"/>
        </w:rPr>
      </w:pPr>
      <w:r w:rsidRPr="00556B9B">
        <w:rPr>
          <w:color w:val="000000"/>
          <w:lang w:val="hu-HU"/>
        </w:rPr>
        <w:t>Fiatal patkányokon végzett fejlődés toxikológiai vizsgálatban (az ellés utáni 10. és 70. napon) a felnőtt patkányokban már ismert célszervekhez képest nem azonosítottak új célszerveket. A juvenilis toxikológiai vizsgálatban a legnagyobb ajánlott 340 mg/m</w:t>
      </w:r>
      <w:r w:rsidRPr="00556B9B">
        <w:rPr>
          <w:color w:val="000000"/>
          <w:vertAlign w:val="superscript"/>
          <w:lang w:val="hu-HU"/>
        </w:rPr>
        <w:t xml:space="preserve">2 </w:t>
      </w:r>
      <w:r w:rsidRPr="00556B9B">
        <w:rPr>
          <w:color w:val="000000"/>
          <w:lang w:val="hu-HU"/>
        </w:rPr>
        <w:noBreakHyphen/>
        <w:t xml:space="preserve">es dózis mellett, amely az átlagos gyermekgyógyászati expozíció 0,3-2-szerese, a növekedésre gyakorolt hatásokat, a vagina késői megnyílását és a fityma késői elválását észlelték. Ezen kívűl fiatal állatoknál a legnagyobb ajánlott </w:t>
      </w:r>
      <w:r w:rsidRPr="00556B9B">
        <w:rPr>
          <w:color w:val="000000"/>
          <w:lang w:val="hu-HU"/>
        </w:rPr>
        <w:lastRenderedPageBreak/>
        <w:t>340 mg/m</w:t>
      </w:r>
      <w:r w:rsidRPr="00556B9B">
        <w:rPr>
          <w:color w:val="000000"/>
          <w:vertAlign w:val="superscript"/>
          <w:lang w:val="hu-HU"/>
        </w:rPr>
        <w:t xml:space="preserve">2 </w:t>
      </w:r>
      <w:r w:rsidRPr="00556B9B">
        <w:rPr>
          <w:color w:val="000000"/>
          <w:lang w:val="hu-HU"/>
        </w:rPr>
        <w:noBreakHyphen/>
        <w:t>es dózis mellett, amely az átlagos gyermekgyógyászati expozíció 2-szerese, mortalitást is megfigyeltek (az elválasztás ideje körül).</w:t>
      </w:r>
    </w:p>
    <w:p w14:paraId="07A303AE" w14:textId="77777777" w:rsidR="008E1DEC" w:rsidRPr="00556B9B" w:rsidRDefault="008E1DEC" w:rsidP="0000287A">
      <w:pPr>
        <w:spacing w:line="240" w:lineRule="auto"/>
        <w:rPr>
          <w:color w:val="000000"/>
          <w:lang w:val="hu-HU"/>
        </w:rPr>
      </w:pPr>
    </w:p>
    <w:p w14:paraId="13D0EFE6" w14:textId="77777777" w:rsidR="0000287A" w:rsidRPr="00556B9B" w:rsidRDefault="0000287A" w:rsidP="0000287A">
      <w:pPr>
        <w:spacing w:line="240" w:lineRule="auto"/>
        <w:rPr>
          <w:color w:val="000000"/>
          <w:lang w:val="hu-HU"/>
        </w:rPr>
      </w:pPr>
      <w:r w:rsidRPr="00556B9B">
        <w:rPr>
          <w:color w:val="000000"/>
          <w:lang w:val="hu-HU"/>
        </w:rPr>
        <w:t xml:space="preserve">A patkányokon végzett 2 éves karcinogenitási vizsgálatban 15, 30 és 60 mg/kg/nap imatinib adása az élettartam statisztikailag szignifikáns csökkenését eredményezte: hímek esetében 60 mg/kg/nap, nőstények esetében </w:t>
      </w:r>
      <w:r w:rsidRPr="00556B9B">
        <w:rPr>
          <w:color w:val="000000"/>
          <w:lang w:val="hu-HU"/>
        </w:rPr>
        <w:sym w:font="Symbol" w:char="F0B3"/>
      </w:r>
      <w:r w:rsidRPr="00556B9B">
        <w:rPr>
          <w:color w:val="000000"/>
          <w:lang w:val="hu-HU"/>
        </w:rPr>
        <w:t> 30 mg/kg/nap adag mellett. Az elpusztult egyedek hisztopatológiai vizsgálata során kimutatták, hogy a halál és az el nem pusztult egyedek feláldozásának oka elsősorban a cardiomyopathia (mindkét nem esetében), a krónikus progresszív nephropathia (nőstények esetében) és a praeputium-mirigy papilloma volt. A daganatos elváltozások a vesét, a húgyhólyagot, a húgycsövet, a praeputium- és clitoris-mirigyeket, a vékonybelet, a mellékpajzsmirigyet, a mellékvesét és a nem mirigyes gyomrot érintették.</w:t>
      </w:r>
    </w:p>
    <w:p w14:paraId="518FFB2F" w14:textId="77777777" w:rsidR="0000287A" w:rsidRPr="00556B9B" w:rsidRDefault="0000287A" w:rsidP="0000287A">
      <w:pPr>
        <w:spacing w:line="240" w:lineRule="auto"/>
        <w:rPr>
          <w:color w:val="000000"/>
          <w:lang w:val="hu-HU"/>
        </w:rPr>
      </w:pPr>
    </w:p>
    <w:p w14:paraId="1BA40F7F" w14:textId="77777777" w:rsidR="0000287A" w:rsidRPr="00556B9B" w:rsidRDefault="0000287A" w:rsidP="0000287A">
      <w:pPr>
        <w:spacing w:line="240" w:lineRule="auto"/>
        <w:rPr>
          <w:color w:val="000000"/>
          <w:lang w:val="hu-HU"/>
        </w:rPr>
      </w:pPr>
      <w:r w:rsidRPr="00556B9B">
        <w:rPr>
          <w:color w:val="000000"/>
          <w:lang w:val="hu-HU"/>
        </w:rPr>
        <w:t>Praeputium- és clitoris-mirigy papillomák/carcinomák kialakulását 30 mg/kg/nap dózistól kezdődően észlelték, amely megfelel a 400 mg/nap humán expozíció (AUC</w:t>
      </w:r>
      <w:r w:rsidRPr="00556B9B">
        <w:rPr>
          <w:color w:val="000000"/>
          <w:lang w:val="hu-HU"/>
        </w:rPr>
        <w:noBreakHyphen/>
        <w:t>n alapuló) körülbelül 0,5</w:t>
      </w:r>
      <w:r w:rsidRPr="00556B9B">
        <w:rPr>
          <w:color w:val="000000"/>
          <w:lang w:val="hu-HU"/>
        </w:rPr>
        <w:noBreakHyphen/>
        <w:t>szörösének, vagy a 800 mg/nap humán expozíció (AUC</w:t>
      </w:r>
      <w:r w:rsidRPr="00556B9B">
        <w:rPr>
          <w:color w:val="000000"/>
          <w:lang w:val="hu-HU"/>
        </w:rPr>
        <w:noBreakHyphen/>
        <w:t>n alapuló) körülbelül 0,3</w:t>
      </w:r>
      <w:r w:rsidRPr="00556B9B">
        <w:rPr>
          <w:color w:val="000000"/>
          <w:lang w:val="hu-HU"/>
        </w:rPr>
        <w:noBreakHyphen/>
        <w:t>szorosának, illetve gyermekekben a 340 mg/m</w:t>
      </w:r>
      <w:r w:rsidRPr="00556B9B">
        <w:rPr>
          <w:color w:val="000000"/>
          <w:vertAlign w:val="superscript"/>
          <w:lang w:val="hu-HU"/>
        </w:rPr>
        <w:t>2</w:t>
      </w:r>
      <w:r w:rsidRPr="00556B9B">
        <w:rPr>
          <w:color w:val="000000"/>
          <w:lang w:val="hu-HU"/>
        </w:rPr>
        <w:t>/nap expozíció (AUC</w:t>
      </w:r>
      <w:r w:rsidRPr="00556B9B">
        <w:rPr>
          <w:color w:val="000000"/>
          <w:lang w:val="hu-HU"/>
        </w:rPr>
        <w:noBreakHyphen/>
        <w:t>n alapuló) 0,4–szeresének. A nem észlelhető hatásszint (NOEL) 15 mg/kg/nap volt. Vese adenomát/carcinomát, húgyhólyag- és húgycső papillomát, vékonybél adenocarcinomát, mellékpajzsmirigy adenomát, jó- és rosszindulatú medulláris mellékvese adenomát, valamint nem mirigyes gyomor papillomát/carcinomát 60 mg/kg/nap dózisnál figyeltek meg, amely megfelel a 400 vagy 800 mg/nap humán expozíció (AUC</w:t>
      </w:r>
      <w:r w:rsidRPr="00556B9B">
        <w:rPr>
          <w:color w:val="000000"/>
          <w:lang w:val="hu-HU"/>
        </w:rPr>
        <w:noBreakHyphen/>
        <w:t>n alapuló) körülbelül 1,7</w:t>
      </w:r>
      <w:r w:rsidRPr="00556B9B">
        <w:rPr>
          <w:color w:val="000000"/>
          <w:lang w:val="hu-HU"/>
        </w:rPr>
        <w:noBreakHyphen/>
        <w:t xml:space="preserve"> vagy 1</w:t>
      </w:r>
      <w:r w:rsidRPr="00556B9B">
        <w:rPr>
          <w:color w:val="000000"/>
          <w:lang w:val="hu-HU"/>
        </w:rPr>
        <w:noBreakHyphen/>
        <w:t>szeresének, illetve gyermekekben a 340 mg/m</w:t>
      </w:r>
      <w:r w:rsidRPr="00556B9B">
        <w:rPr>
          <w:color w:val="000000"/>
          <w:vertAlign w:val="superscript"/>
          <w:lang w:val="hu-HU"/>
        </w:rPr>
        <w:t>2</w:t>
      </w:r>
      <w:r w:rsidRPr="00556B9B">
        <w:rPr>
          <w:color w:val="000000"/>
          <w:lang w:val="hu-HU"/>
        </w:rPr>
        <w:t>/nap expozíció (AUC</w:t>
      </w:r>
      <w:r w:rsidRPr="00556B9B">
        <w:rPr>
          <w:color w:val="000000"/>
          <w:lang w:val="hu-HU"/>
        </w:rPr>
        <w:noBreakHyphen/>
        <w:t>n alapuló) 1,2</w:t>
      </w:r>
      <w:r w:rsidRPr="00556B9B">
        <w:rPr>
          <w:color w:val="000000"/>
          <w:lang w:val="hu-HU"/>
        </w:rPr>
        <w:noBreakHyphen/>
        <w:t>szeresének. A nem észlelhető hatásszint (NOEL) 30 mg/kg/nap volt.</w:t>
      </w:r>
    </w:p>
    <w:p w14:paraId="7FF3314E" w14:textId="77777777" w:rsidR="0000287A" w:rsidRPr="00556B9B" w:rsidRDefault="0000287A" w:rsidP="0000287A">
      <w:pPr>
        <w:spacing w:line="240" w:lineRule="auto"/>
        <w:rPr>
          <w:color w:val="000000"/>
          <w:lang w:val="hu-HU"/>
        </w:rPr>
      </w:pPr>
    </w:p>
    <w:p w14:paraId="2FB78A0D" w14:textId="77777777" w:rsidR="0000287A" w:rsidRPr="00556B9B" w:rsidRDefault="0000287A" w:rsidP="0000287A">
      <w:pPr>
        <w:spacing w:line="240" w:lineRule="auto"/>
        <w:rPr>
          <w:color w:val="000000"/>
          <w:lang w:val="hu-HU"/>
        </w:rPr>
      </w:pPr>
      <w:r w:rsidRPr="00556B9B">
        <w:rPr>
          <w:color w:val="000000"/>
          <w:lang w:val="hu-HU"/>
        </w:rPr>
        <w:t>Még nem tisztázott, hogy a patkány karcinogenitási vizsgálat megállapításainak jelentősége, illetve ezek mechanizmusa vonatkoztatható-e emberre.</w:t>
      </w:r>
    </w:p>
    <w:p w14:paraId="2F37F35C" w14:textId="77777777" w:rsidR="0000287A" w:rsidRPr="00556B9B" w:rsidRDefault="0000287A" w:rsidP="0000287A">
      <w:pPr>
        <w:spacing w:line="240" w:lineRule="auto"/>
        <w:rPr>
          <w:color w:val="000000"/>
          <w:lang w:val="hu-HU"/>
        </w:rPr>
      </w:pPr>
    </w:p>
    <w:p w14:paraId="107FD3B6" w14:textId="77777777" w:rsidR="0000287A" w:rsidRPr="006D0F5F" w:rsidRDefault="0000287A" w:rsidP="0000287A">
      <w:pPr>
        <w:spacing w:line="240" w:lineRule="auto"/>
        <w:rPr>
          <w:color w:val="000000"/>
          <w:lang w:val="hu-HU"/>
        </w:rPr>
      </w:pPr>
      <w:r w:rsidRPr="00556B9B">
        <w:rPr>
          <w:color w:val="000000"/>
          <w:lang w:val="hu-HU"/>
        </w:rPr>
        <w:t xml:space="preserve">A nem daganatos károsodások – melyeket a korábbi preklinikai vizsgálatok során nem ismertek fel – a cardiovascularis rendszert, a hasnyálmirigyet, az endokrin szerveket és a </w:t>
      </w:r>
      <w:r w:rsidRPr="006D0F5F">
        <w:rPr>
          <w:color w:val="000000"/>
          <w:lang w:val="hu-HU"/>
        </w:rPr>
        <w:t>fogakat érintették. A legfontosabb elváltozások között volt a cardialis hypertrophia és dilatatio, melyek néhány állatban a szívelégtelenség jeleinek kialakulásához vezettek.</w:t>
      </w:r>
    </w:p>
    <w:p w14:paraId="12E9A4F1" w14:textId="77777777" w:rsidR="0000287A" w:rsidRPr="006D0F5F" w:rsidRDefault="0000287A" w:rsidP="0000287A">
      <w:pPr>
        <w:spacing w:line="240" w:lineRule="auto"/>
        <w:rPr>
          <w:color w:val="000000"/>
          <w:lang w:val="hu-HU"/>
        </w:rPr>
      </w:pPr>
    </w:p>
    <w:p w14:paraId="28697164" w14:textId="627C1FD0" w:rsidR="004E6698" w:rsidRPr="006D0F5F" w:rsidRDefault="004E6698" w:rsidP="0000287A">
      <w:pPr>
        <w:spacing w:line="240" w:lineRule="auto"/>
        <w:rPr>
          <w:color w:val="000000"/>
          <w:lang w:val="hu-HU"/>
        </w:rPr>
      </w:pPr>
      <w:r w:rsidRPr="006D0F5F">
        <w:rPr>
          <w:color w:val="000000"/>
          <w:lang w:val="hu-HU"/>
        </w:rPr>
        <w:t>Az imatinib hatóanyag környezeti kockázatot jelent az üledék</w:t>
      </w:r>
      <w:r w:rsidR="0055119D" w:rsidRPr="006D0F5F">
        <w:rPr>
          <w:color w:val="000000"/>
          <w:lang w:val="hu-HU"/>
        </w:rPr>
        <w:t>lakó organizmusokra</w:t>
      </w:r>
      <w:r w:rsidRPr="006D0F5F">
        <w:rPr>
          <w:color w:val="000000"/>
          <w:lang w:val="hu-HU"/>
        </w:rPr>
        <w:t>.</w:t>
      </w:r>
    </w:p>
    <w:p w14:paraId="702FD9E0" w14:textId="77777777" w:rsidR="004E6698" w:rsidRPr="006D0F5F" w:rsidRDefault="004E6698" w:rsidP="0000287A">
      <w:pPr>
        <w:spacing w:line="240" w:lineRule="auto"/>
        <w:rPr>
          <w:color w:val="000000"/>
          <w:lang w:val="hu-HU"/>
        </w:rPr>
      </w:pPr>
    </w:p>
    <w:p w14:paraId="76C64A54" w14:textId="77777777" w:rsidR="0000287A" w:rsidRPr="006D0F5F" w:rsidRDefault="0000287A" w:rsidP="0000287A">
      <w:pPr>
        <w:pStyle w:val="Trgymutat"/>
        <w:suppressLineNumbers w:val="0"/>
        <w:spacing w:line="240" w:lineRule="auto"/>
        <w:rPr>
          <w:color w:val="000000"/>
          <w:lang w:val="hu-HU"/>
        </w:rPr>
      </w:pPr>
    </w:p>
    <w:p w14:paraId="301E5E58" w14:textId="77777777" w:rsidR="00910FC8" w:rsidRPr="006D0F5F" w:rsidRDefault="00910FC8" w:rsidP="00F926B9">
      <w:pPr>
        <w:keepNext/>
        <w:spacing w:line="240" w:lineRule="auto"/>
        <w:ind w:left="567" w:hanging="567"/>
        <w:rPr>
          <w:b/>
          <w:color w:val="000000"/>
          <w:lang w:val="hu-HU"/>
        </w:rPr>
      </w:pPr>
      <w:r w:rsidRPr="006D0F5F">
        <w:rPr>
          <w:b/>
          <w:color w:val="000000"/>
          <w:lang w:val="hu-HU"/>
        </w:rPr>
        <w:t>6.</w:t>
      </w:r>
      <w:r w:rsidRPr="006D0F5F">
        <w:rPr>
          <w:b/>
          <w:color w:val="000000"/>
          <w:lang w:val="hu-HU"/>
        </w:rPr>
        <w:tab/>
        <w:t>GYÓGYSZERÉSZETI JELLEMZŐK</w:t>
      </w:r>
    </w:p>
    <w:p w14:paraId="18162A1E" w14:textId="77777777" w:rsidR="00910FC8" w:rsidRPr="006D0F5F" w:rsidRDefault="00910FC8" w:rsidP="00F926B9">
      <w:pPr>
        <w:keepNext/>
        <w:spacing w:line="240" w:lineRule="auto"/>
        <w:rPr>
          <w:color w:val="000000"/>
          <w:lang w:val="hu-HU"/>
        </w:rPr>
      </w:pPr>
    </w:p>
    <w:p w14:paraId="255A73B4" w14:textId="77777777" w:rsidR="00910FC8" w:rsidRPr="006D0F5F" w:rsidRDefault="00910FC8" w:rsidP="00F926B9">
      <w:pPr>
        <w:keepNext/>
        <w:spacing w:line="240" w:lineRule="auto"/>
        <w:ind w:left="567" w:hanging="567"/>
        <w:rPr>
          <w:b/>
          <w:color w:val="000000"/>
          <w:lang w:val="hu-HU"/>
        </w:rPr>
      </w:pPr>
      <w:r w:rsidRPr="006D0F5F">
        <w:rPr>
          <w:b/>
          <w:color w:val="000000"/>
          <w:lang w:val="hu-HU"/>
        </w:rPr>
        <w:t>6.1</w:t>
      </w:r>
      <w:r w:rsidRPr="006D0F5F">
        <w:rPr>
          <w:b/>
          <w:color w:val="000000"/>
          <w:lang w:val="hu-HU"/>
        </w:rPr>
        <w:tab/>
        <w:t>Segédanyagok felsorolása</w:t>
      </w:r>
    </w:p>
    <w:p w14:paraId="1A1579B7" w14:textId="77777777" w:rsidR="00910FC8" w:rsidRPr="006D0F5F" w:rsidRDefault="00910FC8" w:rsidP="00F926B9">
      <w:pPr>
        <w:keepNext/>
        <w:spacing w:line="260" w:lineRule="atLeast"/>
        <w:rPr>
          <w:color w:val="000000"/>
          <w:lang w:val="hu-HU"/>
        </w:rPr>
      </w:pPr>
    </w:p>
    <w:p w14:paraId="44EB133C" w14:textId="77777777" w:rsidR="00910FC8" w:rsidRPr="006D0F5F" w:rsidRDefault="00910FC8" w:rsidP="00F926B9">
      <w:pPr>
        <w:keepNext/>
        <w:tabs>
          <w:tab w:val="left" w:pos="1985"/>
        </w:tabs>
        <w:spacing w:line="240" w:lineRule="auto"/>
        <w:rPr>
          <w:color w:val="000000"/>
          <w:lang w:val="hu-HU"/>
        </w:rPr>
      </w:pPr>
      <w:r w:rsidRPr="006D0F5F">
        <w:rPr>
          <w:color w:val="000000"/>
          <w:lang w:val="hu-HU"/>
        </w:rPr>
        <w:t>Tabletta mag:</w:t>
      </w:r>
    </w:p>
    <w:p w14:paraId="094DAFA7" w14:textId="77777777" w:rsidR="00910FC8" w:rsidRPr="006D0F5F" w:rsidRDefault="00910FC8" w:rsidP="00F926B9">
      <w:pPr>
        <w:keepNext/>
        <w:tabs>
          <w:tab w:val="left" w:pos="1985"/>
        </w:tabs>
        <w:spacing w:line="240" w:lineRule="auto"/>
        <w:rPr>
          <w:color w:val="000000"/>
          <w:lang w:val="hu-HU"/>
        </w:rPr>
      </w:pPr>
      <w:r w:rsidRPr="006D0F5F">
        <w:rPr>
          <w:color w:val="000000"/>
          <w:lang w:val="hu-HU"/>
        </w:rPr>
        <w:t>mikrokristályos cellulóz,</w:t>
      </w:r>
    </w:p>
    <w:p w14:paraId="04585EC1" w14:textId="77777777" w:rsidR="00910FC8" w:rsidRPr="00556B9B" w:rsidRDefault="00910FC8" w:rsidP="00F926B9">
      <w:pPr>
        <w:keepNext/>
        <w:spacing w:line="240" w:lineRule="auto"/>
        <w:rPr>
          <w:color w:val="000000"/>
          <w:lang w:val="hu-HU"/>
        </w:rPr>
      </w:pPr>
      <w:r w:rsidRPr="006D0F5F">
        <w:rPr>
          <w:color w:val="000000"/>
          <w:lang w:val="hu-HU"/>
        </w:rPr>
        <w:t>kroszpovidon,</w:t>
      </w:r>
    </w:p>
    <w:p w14:paraId="4D37D7B9" w14:textId="77777777" w:rsidR="00910FC8" w:rsidRPr="00556B9B" w:rsidRDefault="00910FC8" w:rsidP="00F926B9">
      <w:pPr>
        <w:keepNext/>
        <w:spacing w:line="240" w:lineRule="auto"/>
        <w:rPr>
          <w:color w:val="000000"/>
          <w:lang w:val="hu-HU"/>
        </w:rPr>
      </w:pPr>
      <w:r w:rsidRPr="00556B9B">
        <w:rPr>
          <w:color w:val="000000"/>
          <w:lang w:val="hu-HU"/>
        </w:rPr>
        <w:t>hipromellóz,</w:t>
      </w:r>
    </w:p>
    <w:p w14:paraId="725BA43A" w14:textId="77777777" w:rsidR="00910FC8" w:rsidRPr="00556B9B" w:rsidRDefault="00910FC8" w:rsidP="00F926B9">
      <w:pPr>
        <w:keepNext/>
        <w:spacing w:line="240" w:lineRule="auto"/>
        <w:rPr>
          <w:color w:val="000000"/>
          <w:lang w:val="hu-HU"/>
        </w:rPr>
      </w:pPr>
      <w:r w:rsidRPr="00556B9B">
        <w:rPr>
          <w:color w:val="000000"/>
          <w:lang w:val="hu-HU"/>
        </w:rPr>
        <w:t>magnézium</w:t>
      </w:r>
      <w:r w:rsidRPr="00556B9B">
        <w:rPr>
          <w:color w:val="000000"/>
          <w:lang w:val="hu-HU"/>
        </w:rPr>
        <w:noBreakHyphen/>
        <w:t>sztearát,</w:t>
      </w:r>
    </w:p>
    <w:p w14:paraId="40B844F9" w14:textId="77777777" w:rsidR="00910FC8" w:rsidRPr="00556B9B" w:rsidRDefault="00910FC8">
      <w:pPr>
        <w:spacing w:line="240" w:lineRule="auto"/>
        <w:rPr>
          <w:color w:val="000000"/>
          <w:lang w:val="hu-HU"/>
        </w:rPr>
      </w:pPr>
      <w:r w:rsidRPr="00556B9B">
        <w:rPr>
          <w:color w:val="000000"/>
          <w:lang w:val="hu-HU"/>
        </w:rPr>
        <w:t>vízmentes kolloid szilícium</w:t>
      </w:r>
      <w:r w:rsidRPr="00556B9B">
        <w:rPr>
          <w:color w:val="000000"/>
          <w:lang w:val="hu-HU"/>
        </w:rPr>
        <w:noBreakHyphen/>
        <w:t>dioxid.</w:t>
      </w:r>
    </w:p>
    <w:p w14:paraId="783AE0B1" w14:textId="77777777" w:rsidR="00910FC8" w:rsidRPr="00556B9B" w:rsidRDefault="00910FC8">
      <w:pPr>
        <w:spacing w:line="240" w:lineRule="auto"/>
        <w:rPr>
          <w:color w:val="000000"/>
          <w:lang w:val="hu-HU"/>
        </w:rPr>
      </w:pPr>
    </w:p>
    <w:p w14:paraId="05CAD726" w14:textId="77777777" w:rsidR="00910FC8" w:rsidRPr="00556B9B" w:rsidRDefault="00910FC8" w:rsidP="00F926B9">
      <w:pPr>
        <w:keepNext/>
        <w:tabs>
          <w:tab w:val="left" w:pos="1985"/>
        </w:tabs>
        <w:spacing w:line="240" w:lineRule="auto"/>
        <w:rPr>
          <w:color w:val="000000"/>
          <w:lang w:val="hu-HU"/>
        </w:rPr>
      </w:pPr>
      <w:r w:rsidRPr="00556B9B">
        <w:rPr>
          <w:color w:val="000000"/>
          <w:lang w:val="hu-HU"/>
        </w:rPr>
        <w:t>Tabletta bevonat:</w:t>
      </w:r>
    </w:p>
    <w:p w14:paraId="51AC6F32" w14:textId="77777777" w:rsidR="00910FC8" w:rsidRPr="00556B9B" w:rsidRDefault="00910FC8" w:rsidP="00F926B9">
      <w:pPr>
        <w:keepNext/>
        <w:tabs>
          <w:tab w:val="left" w:pos="1985"/>
        </w:tabs>
        <w:spacing w:line="240" w:lineRule="auto"/>
        <w:rPr>
          <w:color w:val="000000"/>
          <w:lang w:val="hu-HU"/>
        </w:rPr>
      </w:pPr>
      <w:r w:rsidRPr="00556B9B">
        <w:rPr>
          <w:color w:val="000000"/>
          <w:lang w:val="hu-HU"/>
        </w:rPr>
        <w:t>vörös vas</w:t>
      </w:r>
      <w:r w:rsidRPr="00556B9B">
        <w:rPr>
          <w:color w:val="000000"/>
          <w:lang w:val="hu-HU"/>
        </w:rPr>
        <w:noBreakHyphen/>
        <w:t>oxid (E172),</w:t>
      </w:r>
    </w:p>
    <w:p w14:paraId="5F32B950" w14:textId="77777777" w:rsidR="00910FC8" w:rsidRPr="00556B9B" w:rsidRDefault="00910FC8" w:rsidP="00F926B9">
      <w:pPr>
        <w:keepNext/>
        <w:tabs>
          <w:tab w:val="left" w:pos="1985"/>
        </w:tabs>
        <w:spacing w:line="240" w:lineRule="auto"/>
        <w:rPr>
          <w:color w:val="000000"/>
          <w:lang w:val="hu-HU"/>
        </w:rPr>
      </w:pPr>
      <w:r w:rsidRPr="00556B9B">
        <w:rPr>
          <w:color w:val="000000"/>
          <w:lang w:val="hu-HU"/>
        </w:rPr>
        <w:t>sárga vas</w:t>
      </w:r>
      <w:r w:rsidRPr="00556B9B">
        <w:rPr>
          <w:color w:val="000000"/>
          <w:lang w:val="hu-HU"/>
        </w:rPr>
        <w:noBreakHyphen/>
        <w:t>oxid (E172),</w:t>
      </w:r>
    </w:p>
    <w:p w14:paraId="37FC1E56" w14:textId="77777777" w:rsidR="00910FC8" w:rsidRPr="00556B9B" w:rsidRDefault="00910FC8" w:rsidP="00F926B9">
      <w:pPr>
        <w:keepNext/>
        <w:spacing w:line="240" w:lineRule="auto"/>
        <w:rPr>
          <w:color w:val="000000"/>
          <w:lang w:val="hu-HU"/>
        </w:rPr>
      </w:pPr>
      <w:r w:rsidRPr="00556B9B">
        <w:rPr>
          <w:color w:val="000000"/>
          <w:lang w:val="hu-HU"/>
        </w:rPr>
        <w:t>makrogol,</w:t>
      </w:r>
    </w:p>
    <w:p w14:paraId="5E248EC6" w14:textId="77777777" w:rsidR="00910FC8" w:rsidRPr="00556B9B" w:rsidRDefault="00910FC8" w:rsidP="00F926B9">
      <w:pPr>
        <w:keepNext/>
        <w:spacing w:line="240" w:lineRule="auto"/>
        <w:rPr>
          <w:color w:val="000000"/>
          <w:lang w:val="hu-HU"/>
        </w:rPr>
      </w:pPr>
      <w:r w:rsidRPr="00556B9B">
        <w:rPr>
          <w:color w:val="000000"/>
          <w:lang w:val="hu-HU"/>
        </w:rPr>
        <w:t>talkum,</w:t>
      </w:r>
    </w:p>
    <w:p w14:paraId="3B863159" w14:textId="77777777" w:rsidR="00910FC8" w:rsidRPr="00556B9B" w:rsidRDefault="00910FC8">
      <w:pPr>
        <w:spacing w:line="240" w:lineRule="auto"/>
        <w:rPr>
          <w:color w:val="000000"/>
          <w:lang w:val="hu-HU"/>
        </w:rPr>
      </w:pPr>
      <w:r w:rsidRPr="00556B9B">
        <w:rPr>
          <w:color w:val="000000"/>
          <w:lang w:val="hu-HU"/>
        </w:rPr>
        <w:t>hipromellóz.</w:t>
      </w:r>
    </w:p>
    <w:p w14:paraId="262000FF" w14:textId="77777777" w:rsidR="00910FC8" w:rsidRPr="00556B9B" w:rsidRDefault="00910FC8">
      <w:pPr>
        <w:spacing w:line="240" w:lineRule="auto"/>
        <w:rPr>
          <w:color w:val="000000"/>
          <w:lang w:val="hu-HU"/>
        </w:rPr>
      </w:pPr>
    </w:p>
    <w:p w14:paraId="34D2EC10" w14:textId="77777777" w:rsidR="00910FC8" w:rsidRPr="00556B9B" w:rsidRDefault="00910FC8" w:rsidP="00F926B9">
      <w:pPr>
        <w:keepNext/>
        <w:spacing w:line="240" w:lineRule="auto"/>
        <w:ind w:left="567" w:hanging="567"/>
        <w:rPr>
          <w:b/>
          <w:color w:val="000000"/>
          <w:lang w:val="hu-HU"/>
        </w:rPr>
      </w:pPr>
      <w:r w:rsidRPr="00556B9B">
        <w:rPr>
          <w:b/>
          <w:color w:val="000000"/>
          <w:lang w:val="hu-HU"/>
        </w:rPr>
        <w:t>6.2</w:t>
      </w:r>
      <w:r w:rsidRPr="00556B9B">
        <w:rPr>
          <w:b/>
          <w:color w:val="000000"/>
          <w:lang w:val="hu-HU"/>
        </w:rPr>
        <w:tab/>
        <w:t>Inkompatibilitások</w:t>
      </w:r>
    </w:p>
    <w:p w14:paraId="1AB6E8D9" w14:textId="77777777" w:rsidR="00910FC8" w:rsidRPr="00556B9B" w:rsidRDefault="00910FC8" w:rsidP="00F926B9">
      <w:pPr>
        <w:keepNext/>
        <w:spacing w:line="240" w:lineRule="auto"/>
        <w:rPr>
          <w:color w:val="000000"/>
          <w:lang w:val="hu-HU"/>
        </w:rPr>
      </w:pPr>
    </w:p>
    <w:p w14:paraId="760F87CC" w14:textId="77777777" w:rsidR="00910FC8" w:rsidRPr="00556B9B" w:rsidRDefault="00910FC8">
      <w:pPr>
        <w:spacing w:line="240" w:lineRule="auto"/>
        <w:rPr>
          <w:color w:val="000000"/>
          <w:lang w:val="hu-HU"/>
        </w:rPr>
      </w:pPr>
      <w:r w:rsidRPr="00556B9B">
        <w:rPr>
          <w:color w:val="000000"/>
          <w:lang w:val="hu-HU"/>
        </w:rPr>
        <w:t>Nem értelmezhető.</w:t>
      </w:r>
    </w:p>
    <w:p w14:paraId="4CD99B70" w14:textId="77777777" w:rsidR="00910FC8" w:rsidRPr="00556B9B" w:rsidRDefault="00910FC8">
      <w:pPr>
        <w:spacing w:line="240" w:lineRule="auto"/>
        <w:rPr>
          <w:color w:val="000000"/>
          <w:lang w:val="hu-HU"/>
        </w:rPr>
      </w:pPr>
    </w:p>
    <w:p w14:paraId="532CFB1E" w14:textId="77777777" w:rsidR="00910FC8" w:rsidRPr="00556B9B" w:rsidRDefault="00910FC8" w:rsidP="00F926B9">
      <w:pPr>
        <w:keepNext/>
        <w:spacing w:line="240" w:lineRule="auto"/>
        <w:ind w:left="567" w:hanging="567"/>
        <w:rPr>
          <w:b/>
          <w:color w:val="000000"/>
          <w:lang w:val="hu-HU"/>
        </w:rPr>
      </w:pPr>
      <w:r w:rsidRPr="00556B9B">
        <w:rPr>
          <w:b/>
          <w:color w:val="000000"/>
          <w:lang w:val="hu-HU"/>
        </w:rPr>
        <w:lastRenderedPageBreak/>
        <w:t>6.3</w:t>
      </w:r>
      <w:r w:rsidRPr="00556B9B">
        <w:rPr>
          <w:b/>
          <w:color w:val="000000"/>
          <w:lang w:val="hu-HU"/>
        </w:rPr>
        <w:tab/>
        <w:t>Felhasználhatósági időtartam</w:t>
      </w:r>
    </w:p>
    <w:p w14:paraId="7FAA8928" w14:textId="77777777" w:rsidR="00910FC8" w:rsidRPr="00556B9B" w:rsidRDefault="00910FC8" w:rsidP="00F926B9">
      <w:pPr>
        <w:keepNext/>
        <w:spacing w:line="240" w:lineRule="auto"/>
        <w:rPr>
          <w:color w:val="000000"/>
          <w:lang w:val="hu-HU"/>
        </w:rPr>
      </w:pPr>
    </w:p>
    <w:p w14:paraId="4C5CCCE0" w14:textId="77777777" w:rsidR="00910FC8" w:rsidRPr="00556B9B" w:rsidRDefault="00910FC8">
      <w:pPr>
        <w:spacing w:line="240" w:lineRule="auto"/>
        <w:rPr>
          <w:color w:val="000000"/>
          <w:lang w:val="hu-HU"/>
        </w:rPr>
      </w:pPr>
      <w:r w:rsidRPr="00556B9B">
        <w:rPr>
          <w:color w:val="000000"/>
          <w:lang w:val="hu-HU"/>
        </w:rPr>
        <w:t>3 év</w:t>
      </w:r>
    </w:p>
    <w:p w14:paraId="1F2C8545" w14:textId="77777777" w:rsidR="00910FC8" w:rsidRPr="00556B9B" w:rsidRDefault="00910FC8">
      <w:pPr>
        <w:spacing w:line="240" w:lineRule="auto"/>
        <w:rPr>
          <w:color w:val="000000"/>
          <w:lang w:val="hu-HU"/>
        </w:rPr>
      </w:pPr>
    </w:p>
    <w:p w14:paraId="0A015E05" w14:textId="77777777" w:rsidR="00910FC8" w:rsidRPr="00556B9B" w:rsidRDefault="00910FC8" w:rsidP="00F926B9">
      <w:pPr>
        <w:keepNext/>
        <w:spacing w:line="240" w:lineRule="auto"/>
        <w:ind w:left="567" w:hanging="567"/>
        <w:rPr>
          <w:b/>
          <w:color w:val="000000"/>
          <w:lang w:val="hu-HU"/>
        </w:rPr>
      </w:pPr>
      <w:r w:rsidRPr="00556B9B">
        <w:rPr>
          <w:b/>
          <w:color w:val="000000"/>
          <w:lang w:val="hu-HU"/>
        </w:rPr>
        <w:t>6.4</w:t>
      </w:r>
      <w:r w:rsidRPr="00556B9B">
        <w:rPr>
          <w:b/>
          <w:color w:val="000000"/>
          <w:lang w:val="hu-HU"/>
        </w:rPr>
        <w:tab/>
        <w:t>Különleges tárolási előírások</w:t>
      </w:r>
    </w:p>
    <w:p w14:paraId="718090E6" w14:textId="77777777" w:rsidR="00910FC8" w:rsidRPr="00556B9B" w:rsidRDefault="00910FC8" w:rsidP="00F926B9">
      <w:pPr>
        <w:keepNext/>
        <w:spacing w:line="240" w:lineRule="auto"/>
        <w:rPr>
          <w:color w:val="000000"/>
          <w:lang w:val="hu-HU"/>
        </w:rPr>
      </w:pPr>
    </w:p>
    <w:p w14:paraId="6C43B266" w14:textId="77777777" w:rsidR="00910FC8" w:rsidRPr="00556B9B" w:rsidRDefault="00910FC8">
      <w:pPr>
        <w:spacing w:line="240" w:lineRule="auto"/>
        <w:rPr>
          <w:color w:val="000000"/>
          <w:lang w:val="hu-HU"/>
        </w:rPr>
      </w:pPr>
      <w:r w:rsidRPr="00556B9B">
        <w:rPr>
          <w:color w:val="000000"/>
          <w:lang w:val="hu-HU"/>
        </w:rPr>
        <w:t>Legfeljebb 30</w:t>
      </w:r>
      <w:r w:rsidRPr="00556B9B">
        <w:rPr>
          <w:color w:val="000000"/>
          <w:lang w:val="hu-HU"/>
        </w:rPr>
        <w:sym w:font="Symbol" w:char="F0B0"/>
      </w:r>
      <w:r w:rsidRPr="00556B9B">
        <w:rPr>
          <w:color w:val="000000"/>
          <w:lang w:val="hu-HU"/>
        </w:rPr>
        <w:t>C</w:t>
      </w:r>
      <w:r w:rsidRPr="00556B9B">
        <w:rPr>
          <w:color w:val="000000"/>
          <w:lang w:val="hu-HU"/>
        </w:rPr>
        <w:noBreakHyphen/>
        <w:t>on tárolandó.</w:t>
      </w:r>
    </w:p>
    <w:p w14:paraId="7C1FF427" w14:textId="77777777" w:rsidR="00910FC8" w:rsidRPr="00556B9B" w:rsidRDefault="00910FC8">
      <w:pPr>
        <w:spacing w:line="240" w:lineRule="auto"/>
        <w:rPr>
          <w:color w:val="000000"/>
          <w:lang w:val="hu-HU"/>
        </w:rPr>
      </w:pPr>
    </w:p>
    <w:p w14:paraId="70E67B2B" w14:textId="77777777" w:rsidR="00BD3608" w:rsidRPr="00556B9B" w:rsidRDefault="00BD3608" w:rsidP="00BD3608">
      <w:pPr>
        <w:spacing w:line="240" w:lineRule="auto"/>
        <w:rPr>
          <w:color w:val="000000"/>
          <w:lang w:val="hu-HU"/>
        </w:rPr>
      </w:pPr>
      <w:r w:rsidRPr="00556B9B">
        <w:rPr>
          <w:color w:val="000000"/>
          <w:lang w:val="hu-HU"/>
        </w:rPr>
        <w:t>A nedvességtől való védelem érdekében az eredeti csomagolásban tárolandó.</w:t>
      </w:r>
    </w:p>
    <w:p w14:paraId="55101C54" w14:textId="77777777" w:rsidR="00910FC8" w:rsidRPr="00556B9B" w:rsidRDefault="00910FC8">
      <w:pPr>
        <w:spacing w:line="240" w:lineRule="auto"/>
        <w:rPr>
          <w:color w:val="000000"/>
          <w:lang w:val="hu-HU"/>
        </w:rPr>
      </w:pPr>
    </w:p>
    <w:p w14:paraId="661B9828"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6.5</w:t>
      </w:r>
      <w:r w:rsidRPr="00556B9B">
        <w:rPr>
          <w:b/>
          <w:color w:val="000000"/>
          <w:lang w:val="hu-HU"/>
        </w:rPr>
        <w:tab/>
        <w:t>Csomagolás típusa és kiszerelése</w:t>
      </w:r>
    </w:p>
    <w:p w14:paraId="4BA927F9" w14:textId="77777777" w:rsidR="00910FC8" w:rsidRPr="00556B9B" w:rsidRDefault="00910FC8" w:rsidP="006B29EF">
      <w:pPr>
        <w:keepNext/>
        <w:spacing w:line="240" w:lineRule="auto"/>
        <w:rPr>
          <w:color w:val="000000"/>
          <w:lang w:val="hu-HU"/>
        </w:rPr>
      </w:pPr>
    </w:p>
    <w:p w14:paraId="336F5572" w14:textId="77777777" w:rsidR="00CE0733" w:rsidRPr="00556B9B" w:rsidRDefault="00CE0733" w:rsidP="006B29EF">
      <w:pPr>
        <w:keepNext/>
        <w:spacing w:line="240" w:lineRule="auto"/>
        <w:rPr>
          <w:color w:val="000000"/>
          <w:u w:val="single"/>
          <w:lang w:val="hu-HU"/>
        </w:rPr>
      </w:pPr>
      <w:r w:rsidRPr="00556B9B">
        <w:rPr>
          <w:color w:val="000000"/>
          <w:u w:val="single"/>
          <w:lang w:val="hu-HU"/>
        </w:rPr>
        <w:t>Glivec 100 mg filmtabletta</w:t>
      </w:r>
    </w:p>
    <w:p w14:paraId="512DD606" w14:textId="77777777" w:rsidR="00910FC8" w:rsidRPr="00556B9B" w:rsidRDefault="00910FC8">
      <w:pPr>
        <w:spacing w:line="240" w:lineRule="auto"/>
        <w:rPr>
          <w:color w:val="000000"/>
          <w:lang w:val="hu-HU"/>
        </w:rPr>
      </w:pPr>
      <w:r w:rsidRPr="00556B9B">
        <w:rPr>
          <w:color w:val="000000"/>
          <w:lang w:val="hu-HU"/>
        </w:rPr>
        <w:t>PVC/alumínium buborékcsomagolás.</w:t>
      </w:r>
    </w:p>
    <w:p w14:paraId="66787553" w14:textId="77777777" w:rsidR="00910FC8" w:rsidRPr="00556B9B" w:rsidRDefault="00910FC8">
      <w:pPr>
        <w:spacing w:line="240" w:lineRule="auto"/>
        <w:rPr>
          <w:color w:val="000000"/>
          <w:lang w:val="hu-HU"/>
        </w:rPr>
      </w:pPr>
      <w:r w:rsidRPr="00556B9B">
        <w:rPr>
          <w:color w:val="000000"/>
          <w:lang w:val="hu-HU"/>
        </w:rPr>
        <w:t>Csomagolási egységek: 20, ill. 60, ill. 120 vagy 180 db filmtabletta.</w:t>
      </w:r>
    </w:p>
    <w:p w14:paraId="3639E67E" w14:textId="77777777" w:rsidR="0048423F" w:rsidRDefault="0048423F" w:rsidP="0048423F">
      <w:pPr>
        <w:spacing w:line="240" w:lineRule="auto"/>
        <w:rPr>
          <w:color w:val="000000"/>
          <w:lang w:val="hu-HU"/>
        </w:rPr>
      </w:pPr>
    </w:p>
    <w:p w14:paraId="664C347B" w14:textId="77777777" w:rsidR="0048423F" w:rsidRPr="00694BDD" w:rsidRDefault="0048423F" w:rsidP="0048423F">
      <w:pPr>
        <w:spacing w:line="240" w:lineRule="auto"/>
        <w:rPr>
          <w:color w:val="000000"/>
          <w:lang w:val="hu-HU"/>
        </w:rPr>
      </w:pPr>
      <w:r w:rsidRPr="00694BDD">
        <w:rPr>
          <w:color w:val="000000"/>
          <w:lang w:val="hu-HU"/>
        </w:rPr>
        <w:t>PVDC/alumínium buborékcsomagolás.</w:t>
      </w:r>
    </w:p>
    <w:p w14:paraId="1486422E" w14:textId="77777777" w:rsidR="0048423F" w:rsidRPr="00694BDD" w:rsidRDefault="001C5E72" w:rsidP="0048423F">
      <w:pPr>
        <w:spacing w:line="240" w:lineRule="auto"/>
        <w:rPr>
          <w:color w:val="000000"/>
          <w:lang w:val="hu-HU"/>
        </w:rPr>
      </w:pPr>
      <w:r>
        <w:rPr>
          <w:color w:val="000000"/>
          <w:lang w:val="hu-HU"/>
        </w:rPr>
        <w:t>Csomagolási egységek: 6</w:t>
      </w:r>
      <w:r w:rsidR="0048423F" w:rsidRPr="00694BDD">
        <w:rPr>
          <w:color w:val="000000"/>
          <w:lang w:val="hu-HU"/>
        </w:rPr>
        <w:t xml:space="preserve">0, ill. </w:t>
      </w:r>
      <w:r w:rsidR="0048423F">
        <w:rPr>
          <w:color w:val="000000"/>
          <w:lang w:val="hu-HU"/>
        </w:rPr>
        <w:t>120</w:t>
      </w:r>
      <w:r w:rsidR="0048423F" w:rsidRPr="00694BDD">
        <w:rPr>
          <w:color w:val="000000"/>
          <w:lang w:val="hu-HU"/>
        </w:rPr>
        <w:t xml:space="preserve"> vagy </w:t>
      </w:r>
      <w:r w:rsidR="0048423F">
        <w:rPr>
          <w:color w:val="000000"/>
          <w:lang w:val="hu-HU"/>
        </w:rPr>
        <w:t>180</w:t>
      </w:r>
      <w:r w:rsidR="0048423F" w:rsidRPr="00694BDD">
        <w:rPr>
          <w:color w:val="000000"/>
          <w:lang w:val="hu-HU"/>
        </w:rPr>
        <w:t> db filmtabletta.</w:t>
      </w:r>
    </w:p>
    <w:p w14:paraId="7DA59CF9" w14:textId="77777777" w:rsidR="00910FC8" w:rsidRPr="00556B9B" w:rsidRDefault="00910FC8">
      <w:pPr>
        <w:spacing w:line="240" w:lineRule="auto"/>
        <w:rPr>
          <w:color w:val="000000"/>
          <w:lang w:val="hu-HU"/>
        </w:rPr>
      </w:pPr>
    </w:p>
    <w:p w14:paraId="5583FA7C" w14:textId="77777777" w:rsidR="00CE0733" w:rsidRPr="00556B9B" w:rsidRDefault="00CE0733" w:rsidP="006B29EF">
      <w:pPr>
        <w:keepNext/>
        <w:spacing w:line="240" w:lineRule="auto"/>
        <w:rPr>
          <w:color w:val="000000"/>
          <w:u w:val="single"/>
          <w:lang w:val="hu-HU"/>
        </w:rPr>
      </w:pPr>
      <w:r w:rsidRPr="00556B9B">
        <w:rPr>
          <w:color w:val="000000"/>
          <w:u w:val="single"/>
          <w:lang w:val="hu-HU"/>
        </w:rPr>
        <w:t>Glivec 400 mg filmtabletta</w:t>
      </w:r>
    </w:p>
    <w:p w14:paraId="432D54F8" w14:textId="77777777" w:rsidR="00CE0733" w:rsidRPr="00556B9B" w:rsidRDefault="00CE0733" w:rsidP="00CE0733">
      <w:pPr>
        <w:spacing w:line="240" w:lineRule="auto"/>
        <w:rPr>
          <w:color w:val="000000"/>
          <w:lang w:val="hu-HU"/>
        </w:rPr>
      </w:pPr>
      <w:r w:rsidRPr="00556B9B">
        <w:rPr>
          <w:color w:val="000000"/>
          <w:lang w:val="hu-HU"/>
        </w:rPr>
        <w:t>PVDC/alumínium buborékcsomagolás.</w:t>
      </w:r>
    </w:p>
    <w:p w14:paraId="3D21737A" w14:textId="77777777" w:rsidR="00CE0733" w:rsidRPr="00556B9B" w:rsidRDefault="00CE0733" w:rsidP="00CE0733">
      <w:pPr>
        <w:spacing w:line="240" w:lineRule="auto"/>
        <w:rPr>
          <w:color w:val="000000"/>
          <w:lang w:val="hu-HU"/>
        </w:rPr>
      </w:pPr>
      <w:r w:rsidRPr="00556B9B">
        <w:rPr>
          <w:color w:val="000000"/>
          <w:lang w:val="hu-HU"/>
        </w:rPr>
        <w:t>Csomagolási egységek: 10, ill. 30 vagy 90 db filmtabletta.</w:t>
      </w:r>
    </w:p>
    <w:p w14:paraId="4757F0CD" w14:textId="77777777" w:rsidR="00CE0733" w:rsidRPr="00556B9B" w:rsidRDefault="00CE0733">
      <w:pPr>
        <w:spacing w:line="240" w:lineRule="auto"/>
        <w:rPr>
          <w:color w:val="000000"/>
          <w:lang w:val="hu-HU"/>
        </w:rPr>
      </w:pPr>
    </w:p>
    <w:p w14:paraId="13BDCE61" w14:textId="77777777" w:rsidR="00910FC8" w:rsidRPr="00556B9B" w:rsidRDefault="00910FC8">
      <w:pPr>
        <w:spacing w:line="240" w:lineRule="auto"/>
        <w:rPr>
          <w:color w:val="000000"/>
          <w:lang w:val="hu-HU"/>
        </w:rPr>
      </w:pPr>
      <w:r w:rsidRPr="00556B9B">
        <w:rPr>
          <w:color w:val="000000"/>
          <w:lang w:val="hu-HU"/>
        </w:rPr>
        <w:t>Nem feltétlenül mindegyik kiszerelés kerül kereskedelmi forgalomba.</w:t>
      </w:r>
    </w:p>
    <w:p w14:paraId="73A313E9" w14:textId="77777777" w:rsidR="00910FC8" w:rsidRPr="00556B9B" w:rsidRDefault="00910FC8">
      <w:pPr>
        <w:spacing w:line="240" w:lineRule="auto"/>
        <w:rPr>
          <w:color w:val="000000"/>
          <w:lang w:val="hu-HU"/>
        </w:rPr>
      </w:pPr>
    </w:p>
    <w:p w14:paraId="523FC615" w14:textId="77777777" w:rsidR="00910FC8" w:rsidRPr="00556B9B" w:rsidRDefault="00910FC8" w:rsidP="00F926B9">
      <w:pPr>
        <w:keepNext/>
        <w:spacing w:line="240" w:lineRule="auto"/>
        <w:ind w:left="567" w:hanging="567"/>
        <w:rPr>
          <w:b/>
          <w:color w:val="000000"/>
          <w:lang w:val="hu-HU"/>
        </w:rPr>
      </w:pPr>
      <w:r w:rsidRPr="00556B9B">
        <w:rPr>
          <w:b/>
          <w:color w:val="000000"/>
          <w:lang w:val="hu-HU"/>
        </w:rPr>
        <w:t>6.6</w:t>
      </w:r>
      <w:r w:rsidRPr="00556B9B">
        <w:rPr>
          <w:b/>
          <w:color w:val="000000"/>
          <w:lang w:val="hu-HU"/>
        </w:rPr>
        <w:tab/>
        <w:t>A megsemmisítésre vonatkozó különleges óvintézkedések</w:t>
      </w:r>
    </w:p>
    <w:p w14:paraId="739EF7F4" w14:textId="77777777" w:rsidR="00F926B9" w:rsidRDefault="00F926B9" w:rsidP="00F926B9">
      <w:pPr>
        <w:keepNext/>
        <w:spacing w:line="240" w:lineRule="auto"/>
        <w:rPr>
          <w:noProof/>
          <w:szCs w:val="24"/>
          <w:lang w:val="hu-HU"/>
        </w:rPr>
      </w:pPr>
    </w:p>
    <w:p w14:paraId="349B5429" w14:textId="77777777" w:rsidR="004E6698" w:rsidRPr="00556B9B" w:rsidRDefault="004E6698" w:rsidP="004E6698">
      <w:pPr>
        <w:spacing w:line="240" w:lineRule="auto"/>
        <w:rPr>
          <w:noProof/>
          <w:szCs w:val="24"/>
          <w:lang w:val="hu-HU"/>
        </w:rPr>
      </w:pPr>
      <w:r w:rsidRPr="00556B9B">
        <w:rPr>
          <w:noProof/>
          <w:szCs w:val="24"/>
          <w:lang w:val="hu-HU"/>
        </w:rPr>
        <w:t xml:space="preserve">Bármilyen fel nem használt gyógyszer, illetve hulladékanyag megsemmisítését </w:t>
      </w:r>
      <w:r w:rsidRPr="00556B9B">
        <w:rPr>
          <w:lang w:val="hu-HU"/>
        </w:rPr>
        <w:t xml:space="preserve">a gyógyszerekre vonatkozó </w:t>
      </w:r>
      <w:r w:rsidRPr="00556B9B">
        <w:rPr>
          <w:noProof/>
          <w:szCs w:val="24"/>
          <w:lang w:val="hu-HU"/>
        </w:rPr>
        <w:t>előírások szerint kell végrehajtani.</w:t>
      </w:r>
    </w:p>
    <w:p w14:paraId="45F880EF" w14:textId="77777777" w:rsidR="004E6698" w:rsidRPr="00556B9B" w:rsidRDefault="004E6698">
      <w:pPr>
        <w:spacing w:line="240" w:lineRule="auto"/>
        <w:rPr>
          <w:color w:val="000000"/>
          <w:lang w:val="hu-HU"/>
        </w:rPr>
      </w:pPr>
    </w:p>
    <w:p w14:paraId="69773B12" w14:textId="77777777" w:rsidR="00910FC8" w:rsidRPr="00556B9B" w:rsidRDefault="00910FC8">
      <w:pPr>
        <w:spacing w:line="240" w:lineRule="auto"/>
        <w:rPr>
          <w:color w:val="000000"/>
          <w:lang w:val="hu-HU"/>
        </w:rPr>
      </w:pPr>
    </w:p>
    <w:p w14:paraId="1E22111C"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7.</w:t>
      </w:r>
      <w:r w:rsidRPr="00556B9B">
        <w:rPr>
          <w:b/>
          <w:color w:val="000000"/>
          <w:lang w:val="hu-HU"/>
        </w:rPr>
        <w:tab/>
        <w:t>A FORGALOMBA HOZATALI ENGEDÉLY JOGOSULTJA</w:t>
      </w:r>
    </w:p>
    <w:p w14:paraId="1BF72468" w14:textId="77777777" w:rsidR="00910FC8" w:rsidRPr="00556B9B" w:rsidRDefault="00910FC8" w:rsidP="006B29EF">
      <w:pPr>
        <w:keepNext/>
        <w:spacing w:line="240" w:lineRule="auto"/>
        <w:rPr>
          <w:color w:val="000000"/>
          <w:lang w:val="hu-HU"/>
        </w:rPr>
      </w:pPr>
    </w:p>
    <w:p w14:paraId="733C7D53" w14:textId="77777777" w:rsidR="00910FC8" w:rsidRPr="00556B9B" w:rsidRDefault="00910FC8" w:rsidP="006B29EF">
      <w:pPr>
        <w:keepNext/>
        <w:spacing w:line="240" w:lineRule="auto"/>
        <w:rPr>
          <w:color w:val="000000"/>
          <w:lang w:val="hu-HU"/>
        </w:rPr>
      </w:pPr>
      <w:r w:rsidRPr="00556B9B">
        <w:rPr>
          <w:color w:val="000000"/>
          <w:lang w:val="hu-HU"/>
        </w:rPr>
        <w:t>Novartis Europharm Limited</w:t>
      </w:r>
    </w:p>
    <w:p w14:paraId="72A0C74B" w14:textId="77777777" w:rsidR="002000AC" w:rsidRPr="00556B9B" w:rsidRDefault="002000AC" w:rsidP="002000AC">
      <w:pPr>
        <w:keepNext/>
        <w:widowControl w:val="0"/>
        <w:spacing w:line="240" w:lineRule="auto"/>
        <w:rPr>
          <w:color w:val="000000"/>
        </w:rPr>
      </w:pPr>
      <w:r w:rsidRPr="00556B9B">
        <w:rPr>
          <w:color w:val="000000"/>
        </w:rPr>
        <w:t>Vista Building</w:t>
      </w:r>
    </w:p>
    <w:p w14:paraId="1D0A890D" w14:textId="77777777" w:rsidR="002000AC" w:rsidRPr="00556B9B" w:rsidRDefault="002000AC" w:rsidP="002000AC">
      <w:pPr>
        <w:keepNext/>
        <w:widowControl w:val="0"/>
        <w:spacing w:line="240" w:lineRule="auto"/>
        <w:rPr>
          <w:color w:val="000000"/>
        </w:rPr>
      </w:pPr>
      <w:r w:rsidRPr="00556B9B">
        <w:rPr>
          <w:color w:val="000000"/>
        </w:rPr>
        <w:t>Elm Park, Merrion Road</w:t>
      </w:r>
    </w:p>
    <w:p w14:paraId="3838747E" w14:textId="77777777" w:rsidR="002000AC" w:rsidRPr="00556B9B" w:rsidRDefault="002000AC" w:rsidP="002000AC">
      <w:pPr>
        <w:keepNext/>
        <w:widowControl w:val="0"/>
        <w:spacing w:line="240" w:lineRule="auto"/>
        <w:rPr>
          <w:color w:val="000000"/>
        </w:rPr>
      </w:pPr>
      <w:r w:rsidRPr="00556B9B">
        <w:rPr>
          <w:color w:val="000000"/>
        </w:rPr>
        <w:t>Dublin 4</w:t>
      </w:r>
    </w:p>
    <w:p w14:paraId="68D9C529" w14:textId="77777777" w:rsidR="00910FC8" w:rsidRPr="00556B9B" w:rsidRDefault="002000AC">
      <w:pPr>
        <w:spacing w:line="240" w:lineRule="auto"/>
        <w:rPr>
          <w:color w:val="000000"/>
          <w:lang w:val="hu-HU"/>
        </w:rPr>
      </w:pPr>
      <w:r w:rsidRPr="00556B9B">
        <w:rPr>
          <w:color w:val="000000"/>
        </w:rPr>
        <w:t>Írország</w:t>
      </w:r>
    </w:p>
    <w:p w14:paraId="056DA95D" w14:textId="77777777" w:rsidR="00910FC8" w:rsidRPr="00556B9B" w:rsidRDefault="00910FC8">
      <w:pPr>
        <w:spacing w:line="260" w:lineRule="atLeast"/>
        <w:rPr>
          <w:color w:val="000000"/>
          <w:lang w:val="hu-HU"/>
        </w:rPr>
      </w:pPr>
    </w:p>
    <w:p w14:paraId="5B0704BD" w14:textId="77777777" w:rsidR="00910FC8" w:rsidRPr="00556B9B" w:rsidRDefault="00910FC8">
      <w:pPr>
        <w:spacing w:line="260" w:lineRule="atLeast"/>
        <w:rPr>
          <w:color w:val="000000"/>
          <w:lang w:val="hu-HU"/>
        </w:rPr>
      </w:pPr>
    </w:p>
    <w:p w14:paraId="374DAA17" w14:textId="77777777" w:rsidR="00910FC8" w:rsidRPr="00556B9B" w:rsidRDefault="00910FC8" w:rsidP="006B29EF">
      <w:pPr>
        <w:keepNext/>
        <w:spacing w:line="240" w:lineRule="auto"/>
        <w:ind w:left="567" w:hanging="567"/>
        <w:rPr>
          <w:b/>
          <w:color w:val="000000"/>
          <w:lang w:val="hu-HU"/>
        </w:rPr>
      </w:pPr>
      <w:r w:rsidRPr="00556B9B">
        <w:rPr>
          <w:b/>
          <w:color w:val="000000"/>
          <w:lang w:val="hu-HU"/>
        </w:rPr>
        <w:t>8.</w:t>
      </w:r>
      <w:r w:rsidRPr="00556B9B">
        <w:rPr>
          <w:b/>
          <w:color w:val="000000"/>
          <w:lang w:val="hu-HU"/>
        </w:rPr>
        <w:tab/>
        <w:t>A FORGALOMBA HOZATALI ENGEDÉLY SZÁMA(I)</w:t>
      </w:r>
    </w:p>
    <w:p w14:paraId="39830F9E" w14:textId="77777777" w:rsidR="00910FC8" w:rsidRPr="00556B9B" w:rsidRDefault="00910FC8" w:rsidP="006B29EF">
      <w:pPr>
        <w:keepNext/>
        <w:spacing w:line="240" w:lineRule="auto"/>
        <w:rPr>
          <w:color w:val="000000"/>
          <w:lang w:val="hu-HU"/>
        </w:rPr>
      </w:pPr>
    </w:p>
    <w:p w14:paraId="73FB0360" w14:textId="77777777" w:rsidR="00CE0733" w:rsidRPr="00556B9B" w:rsidRDefault="00CE0733" w:rsidP="006B29EF">
      <w:pPr>
        <w:keepNext/>
        <w:spacing w:line="240" w:lineRule="auto"/>
        <w:rPr>
          <w:color w:val="000000"/>
          <w:u w:val="single"/>
          <w:lang w:val="hu-HU"/>
        </w:rPr>
      </w:pPr>
      <w:bookmarkStart w:id="0" w:name="OLE_LINK1"/>
      <w:r w:rsidRPr="00556B9B">
        <w:rPr>
          <w:color w:val="000000"/>
          <w:u w:val="single"/>
          <w:lang w:val="hu-HU"/>
        </w:rPr>
        <w:t>Glivec 100 mg filmtabletta</w:t>
      </w:r>
    </w:p>
    <w:p w14:paraId="7FBD780D" w14:textId="77777777" w:rsidR="00910FC8" w:rsidRPr="00556B9B" w:rsidRDefault="00910FC8" w:rsidP="0048423F">
      <w:pPr>
        <w:pStyle w:val="EndnoteText"/>
        <w:keepNext/>
        <w:widowControl w:val="0"/>
        <w:rPr>
          <w:color w:val="000000"/>
          <w:lang w:val="hu-HU"/>
        </w:rPr>
      </w:pPr>
      <w:r w:rsidRPr="00556B9B">
        <w:rPr>
          <w:color w:val="000000"/>
          <w:lang w:val="hu-HU"/>
        </w:rPr>
        <w:t>EU/1/01/198/007</w:t>
      </w:r>
    </w:p>
    <w:p w14:paraId="22B3866E" w14:textId="77777777" w:rsidR="00910FC8" w:rsidRPr="00556B9B" w:rsidRDefault="00910FC8" w:rsidP="0048423F">
      <w:pPr>
        <w:pStyle w:val="EndnoteText"/>
        <w:keepNext/>
        <w:widowControl w:val="0"/>
        <w:rPr>
          <w:color w:val="000000"/>
          <w:lang w:val="hu-HU"/>
        </w:rPr>
      </w:pPr>
      <w:r w:rsidRPr="00556B9B">
        <w:rPr>
          <w:color w:val="000000"/>
          <w:lang w:val="hu-HU"/>
        </w:rPr>
        <w:t>EU/1/01/198/008</w:t>
      </w:r>
    </w:p>
    <w:p w14:paraId="5C38FF9A" w14:textId="77777777" w:rsidR="00910FC8" w:rsidRPr="00556B9B" w:rsidRDefault="00910FC8" w:rsidP="0048423F">
      <w:pPr>
        <w:pStyle w:val="EndnoteText"/>
        <w:keepNext/>
        <w:widowControl w:val="0"/>
        <w:rPr>
          <w:color w:val="000000"/>
          <w:lang w:val="hu-HU"/>
        </w:rPr>
      </w:pPr>
      <w:r w:rsidRPr="00556B9B">
        <w:rPr>
          <w:color w:val="000000"/>
          <w:lang w:val="hu-HU"/>
        </w:rPr>
        <w:t>EU/1/01/198/011</w:t>
      </w:r>
    </w:p>
    <w:bookmarkEnd w:id="0"/>
    <w:p w14:paraId="11B2A864" w14:textId="77777777" w:rsidR="00910FC8" w:rsidRPr="00556B9B" w:rsidRDefault="00910FC8" w:rsidP="0048423F">
      <w:pPr>
        <w:pStyle w:val="EndnoteText"/>
        <w:keepNext/>
        <w:widowControl w:val="0"/>
        <w:rPr>
          <w:color w:val="000000"/>
          <w:lang w:val="hu-HU"/>
        </w:rPr>
      </w:pPr>
      <w:r w:rsidRPr="00556B9B">
        <w:rPr>
          <w:color w:val="000000"/>
          <w:lang w:val="hu-HU"/>
        </w:rPr>
        <w:t>EU/1/01/198/012</w:t>
      </w:r>
    </w:p>
    <w:p w14:paraId="0DF2B7F5" w14:textId="77777777" w:rsidR="0048423F" w:rsidRPr="00FE57F2" w:rsidRDefault="0048423F" w:rsidP="0048423F">
      <w:pPr>
        <w:pStyle w:val="EndnoteText"/>
        <w:keepNext/>
        <w:widowControl w:val="0"/>
        <w:rPr>
          <w:color w:val="000000"/>
          <w:szCs w:val="22"/>
          <w:lang w:val="fr-CH"/>
        </w:rPr>
      </w:pPr>
      <w:r w:rsidRPr="00FE57F2">
        <w:rPr>
          <w:color w:val="000000"/>
          <w:szCs w:val="22"/>
          <w:lang w:val="fr-CH"/>
        </w:rPr>
        <w:t>EU/1/01/198/01</w:t>
      </w:r>
      <w:r w:rsidR="004B3E01" w:rsidRPr="00FE57F2">
        <w:rPr>
          <w:color w:val="000000"/>
          <w:szCs w:val="22"/>
          <w:lang w:val="fr-CH"/>
        </w:rPr>
        <w:t>4</w:t>
      </w:r>
    </w:p>
    <w:p w14:paraId="3387EB40" w14:textId="77777777" w:rsidR="0048423F" w:rsidRPr="00FE57F2" w:rsidRDefault="0048423F" w:rsidP="001C5E72">
      <w:pPr>
        <w:pStyle w:val="EndnoteText"/>
        <w:keepNext/>
        <w:widowControl w:val="0"/>
        <w:rPr>
          <w:color w:val="000000"/>
          <w:szCs w:val="22"/>
          <w:lang w:val="fr-CH"/>
        </w:rPr>
      </w:pPr>
      <w:r w:rsidRPr="00FE57F2">
        <w:rPr>
          <w:color w:val="000000"/>
          <w:szCs w:val="22"/>
          <w:lang w:val="fr-CH"/>
        </w:rPr>
        <w:t>EU/1/01/198/01</w:t>
      </w:r>
      <w:r w:rsidR="004B3E01" w:rsidRPr="00FE57F2">
        <w:rPr>
          <w:color w:val="000000"/>
          <w:szCs w:val="22"/>
          <w:lang w:val="fr-CH"/>
        </w:rPr>
        <w:t>5</w:t>
      </w:r>
    </w:p>
    <w:p w14:paraId="0058C767" w14:textId="77777777" w:rsidR="001C5E72" w:rsidRPr="00FE57F2" w:rsidRDefault="001C5E72" w:rsidP="001C5E72">
      <w:pPr>
        <w:pStyle w:val="EndnoteText"/>
        <w:widowControl w:val="0"/>
        <w:rPr>
          <w:color w:val="000000"/>
          <w:szCs w:val="22"/>
          <w:lang w:val="fr-CH"/>
        </w:rPr>
      </w:pPr>
      <w:r w:rsidRPr="00FE57F2">
        <w:rPr>
          <w:color w:val="000000"/>
          <w:szCs w:val="22"/>
          <w:lang w:val="fr-CH"/>
        </w:rPr>
        <w:t>EU/1/01/198/01</w:t>
      </w:r>
      <w:r w:rsidR="004B3E01" w:rsidRPr="00FE57F2">
        <w:rPr>
          <w:color w:val="000000"/>
          <w:szCs w:val="22"/>
          <w:lang w:val="fr-CH"/>
        </w:rPr>
        <w:t>6</w:t>
      </w:r>
    </w:p>
    <w:p w14:paraId="68E66307" w14:textId="77777777" w:rsidR="00910FC8" w:rsidRPr="00556B9B" w:rsidRDefault="00910FC8">
      <w:pPr>
        <w:widowControl w:val="0"/>
        <w:spacing w:line="240" w:lineRule="auto"/>
        <w:rPr>
          <w:color w:val="000000"/>
          <w:lang w:val="hu-HU"/>
        </w:rPr>
      </w:pPr>
    </w:p>
    <w:p w14:paraId="6971EE9D" w14:textId="77777777" w:rsidR="00CE0733" w:rsidRPr="00556B9B" w:rsidRDefault="00CE0733" w:rsidP="006B29EF">
      <w:pPr>
        <w:keepNext/>
        <w:spacing w:line="240" w:lineRule="auto"/>
        <w:rPr>
          <w:color w:val="000000"/>
          <w:u w:val="single"/>
          <w:lang w:val="hu-HU"/>
        </w:rPr>
      </w:pPr>
      <w:r w:rsidRPr="00556B9B">
        <w:rPr>
          <w:color w:val="000000"/>
          <w:u w:val="single"/>
          <w:lang w:val="hu-HU"/>
        </w:rPr>
        <w:t>Glivec 400 mg filmtabletta</w:t>
      </w:r>
    </w:p>
    <w:p w14:paraId="52DBFAEA" w14:textId="77777777" w:rsidR="00CE0733" w:rsidRPr="00556B9B" w:rsidRDefault="00CE0733" w:rsidP="00F926B9">
      <w:pPr>
        <w:pStyle w:val="EndnoteText"/>
        <w:keepNext/>
        <w:widowControl w:val="0"/>
        <w:rPr>
          <w:color w:val="000000"/>
          <w:lang w:val="hu-HU"/>
        </w:rPr>
      </w:pPr>
      <w:r w:rsidRPr="00556B9B">
        <w:rPr>
          <w:color w:val="000000"/>
          <w:lang w:val="hu-HU"/>
        </w:rPr>
        <w:t>EU/1/01/198/009</w:t>
      </w:r>
    </w:p>
    <w:p w14:paraId="5C35C2D7" w14:textId="77777777" w:rsidR="00CE0733" w:rsidRPr="00556B9B" w:rsidRDefault="00CE0733" w:rsidP="00F926B9">
      <w:pPr>
        <w:pStyle w:val="EndnoteText"/>
        <w:keepNext/>
        <w:widowControl w:val="0"/>
        <w:rPr>
          <w:color w:val="000000"/>
          <w:lang w:val="hu-HU"/>
        </w:rPr>
      </w:pPr>
      <w:r w:rsidRPr="00556B9B">
        <w:rPr>
          <w:color w:val="000000"/>
          <w:lang w:val="hu-HU"/>
        </w:rPr>
        <w:t>EU/1/01/198/010</w:t>
      </w:r>
    </w:p>
    <w:p w14:paraId="15809829" w14:textId="77777777" w:rsidR="00CE0733" w:rsidRPr="00556B9B" w:rsidRDefault="00CE0733" w:rsidP="00CE0733">
      <w:pPr>
        <w:pStyle w:val="EndnoteText"/>
        <w:widowControl w:val="0"/>
        <w:rPr>
          <w:color w:val="000000"/>
          <w:lang w:val="hu-HU"/>
        </w:rPr>
      </w:pPr>
      <w:r w:rsidRPr="00556B9B">
        <w:rPr>
          <w:color w:val="000000"/>
          <w:lang w:val="hu-HU"/>
        </w:rPr>
        <w:t>EU/1/01/198/013</w:t>
      </w:r>
    </w:p>
    <w:p w14:paraId="015A1F83" w14:textId="77777777" w:rsidR="00CE0733" w:rsidRPr="00556B9B" w:rsidRDefault="00CE0733">
      <w:pPr>
        <w:widowControl w:val="0"/>
        <w:spacing w:line="240" w:lineRule="auto"/>
        <w:rPr>
          <w:color w:val="000000"/>
          <w:lang w:val="hu-HU"/>
        </w:rPr>
      </w:pPr>
    </w:p>
    <w:p w14:paraId="7977840E" w14:textId="77777777" w:rsidR="00910FC8" w:rsidRPr="00556B9B" w:rsidRDefault="00910FC8">
      <w:pPr>
        <w:spacing w:line="240" w:lineRule="auto"/>
        <w:rPr>
          <w:color w:val="000000"/>
          <w:lang w:val="hu-HU"/>
        </w:rPr>
      </w:pPr>
    </w:p>
    <w:p w14:paraId="79121860" w14:textId="77777777" w:rsidR="00910FC8" w:rsidRPr="00556B9B" w:rsidRDefault="00910FC8" w:rsidP="00F926B9">
      <w:pPr>
        <w:keepNext/>
        <w:spacing w:line="240" w:lineRule="auto"/>
        <w:ind w:left="567" w:hanging="567"/>
        <w:rPr>
          <w:b/>
          <w:color w:val="000000"/>
          <w:lang w:val="hu-HU"/>
        </w:rPr>
      </w:pPr>
      <w:r w:rsidRPr="00556B9B">
        <w:rPr>
          <w:b/>
          <w:color w:val="000000"/>
          <w:lang w:val="hu-HU"/>
        </w:rPr>
        <w:lastRenderedPageBreak/>
        <w:t>9.</w:t>
      </w:r>
      <w:r w:rsidRPr="00556B9B">
        <w:rPr>
          <w:b/>
          <w:color w:val="000000"/>
          <w:lang w:val="hu-HU"/>
        </w:rPr>
        <w:tab/>
        <w:t>A FORGALOMBA HOZATALI ENGEDÉLY ELSŐ KIADÁSÁNAK/ MEGÚJÍTÁSÁNAK DÁTUMA</w:t>
      </w:r>
    </w:p>
    <w:p w14:paraId="463E1A07" w14:textId="77777777" w:rsidR="00910FC8" w:rsidRPr="00556B9B" w:rsidRDefault="00910FC8" w:rsidP="00F926B9">
      <w:pPr>
        <w:keepNext/>
        <w:spacing w:line="240" w:lineRule="auto"/>
        <w:rPr>
          <w:color w:val="000000"/>
          <w:lang w:val="hu-HU"/>
        </w:rPr>
      </w:pPr>
    </w:p>
    <w:p w14:paraId="577961D2" w14:textId="77777777" w:rsidR="00910FC8" w:rsidRPr="00556B9B" w:rsidRDefault="00910FC8" w:rsidP="00F926B9">
      <w:pPr>
        <w:keepNext/>
        <w:spacing w:line="240" w:lineRule="auto"/>
        <w:rPr>
          <w:color w:val="000000"/>
          <w:lang w:val="hu-HU"/>
        </w:rPr>
      </w:pPr>
      <w:r w:rsidRPr="00556B9B">
        <w:rPr>
          <w:color w:val="000000"/>
          <w:lang w:val="hu-HU"/>
        </w:rPr>
        <w:t>A forgalomba hozatali engedély első kiadásának dátuma: 200</w:t>
      </w:r>
      <w:r w:rsidR="00793411" w:rsidRPr="00556B9B">
        <w:rPr>
          <w:color w:val="000000"/>
          <w:lang w:val="hu-HU"/>
        </w:rPr>
        <w:t>1</w:t>
      </w:r>
      <w:r w:rsidRPr="00556B9B">
        <w:rPr>
          <w:color w:val="000000"/>
          <w:lang w:val="hu-HU"/>
        </w:rPr>
        <w:t>.</w:t>
      </w:r>
      <w:r w:rsidR="00A11415" w:rsidRPr="00556B9B">
        <w:rPr>
          <w:color w:val="000000"/>
          <w:lang w:val="hu-HU"/>
        </w:rPr>
        <w:t xml:space="preserve"> november </w:t>
      </w:r>
      <w:r w:rsidR="00793411" w:rsidRPr="00556B9B">
        <w:rPr>
          <w:color w:val="000000"/>
          <w:lang w:val="hu-HU"/>
        </w:rPr>
        <w:t>07</w:t>
      </w:r>
      <w:r w:rsidRPr="00556B9B">
        <w:rPr>
          <w:color w:val="000000"/>
          <w:lang w:val="hu-HU"/>
        </w:rPr>
        <w:t>.</w:t>
      </w:r>
    </w:p>
    <w:p w14:paraId="66AAA8FA" w14:textId="77777777" w:rsidR="00910FC8" w:rsidRPr="00556B9B" w:rsidRDefault="00A11415">
      <w:pPr>
        <w:spacing w:line="240" w:lineRule="auto"/>
        <w:rPr>
          <w:color w:val="000000"/>
          <w:lang w:val="hu-HU"/>
        </w:rPr>
      </w:pPr>
      <w:r w:rsidRPr="00556B9B">
        <w:rPr>
          <w:noProof/>
          <w:szCs w:val="22"/>
          <w:lang w:val="hu-HU" w:eastAsia="en-US"/>
        </w:rPr>
        <w:t>A forgalomba hozatali engedély legutóbbi megújításának dátuma</w:t>
      </w:r>
      <w:r w:rsidR="00910FC8" w:rsidRPr="00556B9B">
        <w:rPr>
          <w:color w:val="000000"/>
          <w:lang w:val="hu-HU"/>
        </w:rPr>
        <w:t>: 2006.</w:t>
      </w:r>
      <w:r w:rsidRPr="00556B9B">
        <w:rPr>
          <w:color w:val="000000"/>
          <w:lang w:val="hu-HU"/>
        </w:rPr>
        <w:t xml:space="preserve"> november </w:t>
      </w:r>
      <w:r w:rsidR="00910FC8" w:rsidRPr="00556B9B">
        <w:rPr>
          <w:color w:val="000000"/>
          <w:lang w:val="hu-HU"/>
        </w:rPr>
        <w:t>07.</w:t>
      </w:r>
    </w:p>
    <w:p w14:paraId="3C216A0B" w14:textId="77777777" w:rsidR="00910FC8" w:rsidRPr="00556B9B" w:rsidRDefault="00910FC8">
      <w:pPr>
        <w:spacing w:line="240" w:lineRule="auto"/>
        <w:rPr>
          <w:color w:val="000000"/>
          <w:lang w:val="hu-HU"/>
        </w:rPr>
      </w:pPr>
    </w:p>
    <w:p w14:paraId="68EDFF10" w14:textId="77777777" w:rsidR="00910FC8" w:rsidRPr="00556B9B" w:rsidRDefault="00910FC8">
      <w:pPr>
        <w:spacing w:line="240" w:lineRule="auto"/>
        <w:rPr>
          <w:color w:val="000000"/>
          <w:lang w:val="hu-HU"/>
        </w:rPr>
      </w:pPr>
    </w:p>
    <w:p w14:paraId="0D5EE534" w14:textId="77777777" w:rsidR="00910FC8" w:rsidRPr="00556B9B" w:rsidRDefault="00910FC8">
      <w:pPr>
        <w:spacing w:line="240" w:lineRule="auto"/>
        <w:ind w:left="567" w:hanging="567"/>
        <w:rPr>
          <w:b/>
          <w:color w:val="000000"/>
          <w:lang w:val="hu-HU"/>
        </w:rPr>
      </w:pPr>
      <w:r w:rsidRPr="00556B9B">
        <w:rPr>
          <w:b/>
          <w:color w:val="000000"/>
          <w:lang w:val="hu-HU"/>
        </w:rPr>
        <w:t>10.</w:t>
      </w:r>
      <w:r w:rsidRPr="00556B9B">
        <w:rPr>
          <w:b/>
          <w:color w:val="000000"/>
          <w:lang w:val="hu-HU"/>
        </w:rPr>
        <w:tab/>
        <w:t>A SZÖVEG ELLENŐRZÉSÉNEK DÁTUMA</w:t>
      </w:r>
    </w:p>
    <w:p w14:paraId="0C8BADF2" w14:textId="77777777" w:rsidR="005051B9" w:rsidRPr="00556B9B" w:rsidRDefault="005051B9" w:rsidP="005051B9">
      <w:pPr>
        <w:spacing w:line="240" w:lineRule="auto"/>
        <w:ind w:left="567" w:hanging="567"/>
        <w:rPr>
          <w:color w:val="000000"/>
          <w:lang w:val="hu-HU"/>
        </w:rPr>
      </w:pPr>
    </w:p>
    <w:p w14:paraId="659CDD47" w14:textId="77777777" w:rsidR="005051B9" w:rsidRPr="00556B9B" w:rsidRDefault="005051B9" w:rsidP="005051B9">
      <w:pPr>
        <w:spacing w:line="240" w:lineRule="auto"/>
        <w:ind w:left="567" w:hanging="567"/>
        <w:rPr>
          <w:color w:val="000000"/>
          <w:lang w:val="hu-HU"/>
        </w:rPr>
      </w:pPr>
    </w:p>
    <w:p w14:paraId="4DE1C7C1" w14:textId="77777777" w:rsidR="005051B9" w:rsidRPr="00556B9B" w:rsidRDefault="005051B9" w:rsidP="005051B9">
      <w:pPr>
        <w:spacing w:line="240" w:lineRule="auto"/>
        <w:rPr>
          <w:iCs/>
          <w:noProof/>
          <w:color w:val="000000"/>
          <w:lang w:val="hu-HU"/>
        </w:rPr>
      </w:pPr>
      <w:r w:rsidRPr="00556B9B">
        <w:rPr>
          <w:noProof/>
          <w:color w:val="000000"/>
          <w:lang w:val="hu-HU"/>
        </w:rPr>
        <w:t>A gyógyszerről részletes információ az Európai Gyógyszerügynökség internetes honlapján (http://www.ema.europa.eu</w:t>
      </w:r>
      <w:r w:rsidRPr="00556B9B">
        <w:rPr>
          <w:iCs/>
          <w:noProof/>
          <w:color w:val="000000"/>
          <w:lang w:val="hu-HU"/>
        </w:rPr>
        <w:t>) található.</w:t>
      </w:r>
    </w:p>
    <w:p w14:paraId="69B92495" w14:textId="77777777" w:rsidR="00910FC8" w:rsidRPr="00556B9B" w:rsidRDefault="00A72ECC" w:rsidP="006B29EF">
      <w:pPr>
        <w:widowControl w:val="0"/>
        <w:spacing w:line="240" w:lineRule="auto"/>
        <w:rPr>
          <w:color w:val="000000"/>
          <w:lang w:val="hu-HU"/>
        </w:rPr>
      </w:pPr>
      <w:r w:rsidRPr="00556B9B">
        <w:rPr>
          <w:iCs/>
          <w:noProof/>
          <w:color w:val="000000"/>
          <w:lang w:val="hu-HU"/>
        </w:rPr>
        <w:br w:type="page"/>
      </w:r>
    </w:p>
    <w:p w14:paraId="7EBD506D" w14:textId="77777777" w:rsidR="00910FC8" w:rsidRPr="00556B9B" w:rsidRDefault="00910FC8">
      <w:pPr>
        <w:rPr>
          <w:color w:val="000000"/>
          <w:lang w:val="hu-HU"/>
        </w:rPr>
      </w:pPr>
    </w:p>
    <w:p w14:paraId="3FC35FCE" w14:textId="77777777" w:rsidR="00910FC8" w:rsidRPr="00556B9B" w:rsidRDefault="00910FC8">
      <w:pPr>
        <w:rPr>
          <w:color w:val="000000"/>
          <w:lang w:val="hu-HU"/>
        </w:rPr>
      </w:pPr>
    </w:p>
    <w:p w14:paraId="453F4591" w14:textId="77777777" w:rsidR="00910FC8" w:rsidRPr="00556B9B" w:rsidRDefault="00910FC8">
      <w:pPr>
        <w:rPr>
          <w:color w:val="000000"/>
          <w:lang w:val="hu-HU"/>
        </w:rPr>
      </w:pPr>
    </w:p>
    <w:p w14:paraId="275C9C73" w14:textId="77777777" w:rsidR="00910FC8" w:rsidRPr="00556B9B" w:rsidRDefault="00910FC8">
      <w:pPr>
        <w:rPr>
          <w:color w:val="000000"/>
          <w:lang w:val="hu-HU"/>
        </w:rPr>
      </w:pPr>
    </w:p>
    <w:p w14:paraId="26EABA46" w14:textId="77777777" w:rsidR="00910FC8" w:rsidRPr="00556B9B" w:rsidRDefault="00910FC8">
      <w:pPr>
        <w:rPr>
          <w:color w:val="000000"/>
          <w:lang w:val="hu-HU"/>
        </w:rPr>
      </w:pPr>
    </w:p>
    <w:p w14:paraId="15F8E8BF" w14:textId="77777777" w:rsidR="00910FC8" w:rsidRPr="00556B9B" w:rsidRDefault="00910FC8">
      <w:pPr>
        <w:rPr>
          <w:color w:val="000000"/>
          <w:lang w:val="hu-HU"/>
        </w:rPr>
      </w:pPr>
    </w:p>
    <w:p w14:paraId="0905AEA6" w14:textId="77777777" w:rsidR="00910FC8" w:rsidRPr="00556B9B" w:rsidRDefault="00910FC8">
      <w:pPr>
        <w:rPr>
          <w:color w:val="000000"/>
          <w:lang w:val="hu-HU"/>
        </w:rPr>
      </w:pPr>
    </w:p>
    <w:p w14:paraId="3A09BFD1" w14:textId="77777777" w:rsidR="00910FC8" w:rsidRPr="00556B9B" w:rsidRDefault="00910FC8">
      <w:pPr>
        <w:rPr>
          <w:color w:val="000000"/>
          <w:lang w:val="hu-HU"/>
        </w:rPr>
      </w:pPr>
    </w:p>
    <w:p w14:paraId="23108088" w14:textId="77777777" w:rsidR="00910FC8" w:rsidRPr="00556B9B" w:rsidRDefault="00910FC8">
      <w:pPr>
        <w:rPr>
          <w:color w:val="000000"/>
          <w:lang w:val="hu-HU"/>
        </w:rPr>
      </w:pPr>
    </w:p>
    <w:p w14:paraId="4B1F9F72" w14:textId="77777777" w:rsidR="00910FC8" w:rsidRPr="00556B9B" w:rsidRDefault="00910FC8">
      <w:pPr>
        <w:rPr>
          <w:color w:val="000000"/>
          <w:lang w:val="hu-HU"/>
        </w:rPr>
      </w:pPr>
    </w:p>
    <w:p w14:paraId="1734C18B" w14:textId="77777777" w:rsidR="00910FC8" w:rsidRPr="00556B9B" w:rsidRDefault="00910FC8">
      <w:pPr>
        <w:rPr>
          <w:color w:val="000000"/>
          <w:lang w:val="hu-HU"/>
        </w:rPr>
      </w:pPr>
    </w:p>
    <w:p w14:paraId="5DF19EE7" w14:textId="77777777" w:rsidR="00910FC8" w:rsidRPr="00556B9B" w:rsidRDefault="00910FC8">
      <w:pPr>
        <w:rPr>
          <w:color w:val="000000"/>
          <w:lang w:val="hu-HU"/>
        </w:rPr>
      </w:pPr>
    </w:p>
    <w:p w14:paraId="1969E09B" w14:textId="77777777" w:rsidR="00910FC8" w:rsidRPr="00556B9B" w:rsidRDefault="00910FC8">
      <w:pPr>
        <w:rPr>
          <w:color w:val="000000"/>
          <w:lang w:val="hu-HU"/>
        </w:rPr>
      </w:pPr>
    </w:p>
    <w:p w14:paraId="0DDA683D" w14:textId="77777777" w:rsidR="00910FC8" w:rsidRPr="00556B9B" w:rsidRDefault="00910FC8">
      <w:pPr>
        <w:rPr>
          <w:color w:val="000000"/>
          <w:lang w:val="hu-HU"/>
        </w:rPr>
      </w:pPr>
    </w:p>
    <w:p w14:paraId="0EDD9C0B" w14:textId="77777777" w:rsidR="00910FC8" w:rsidRPr="00556B9B" w:rsidRDefault="00910FC8">
      <w:pPr>
        <w:rPr>
          <w:color w:val="000000"/>
          <w:lang w:val="hu-HU"/>
        </w:rPr>
      </w:pPr>
    </w:p>
    <w:p w14:paraId="66B80818" w14:textId="77777777" w:rsidR="00910FC8" w:rsidRPr="00556B9B" w:rsidRDefault="00910FC8">
      <w:pPr>
        <w:rPr>
          <w:color w:val="000000"/>
          <w:lang w:val="hu-HU"/>
        </w:rPr>
      </w:pPr>
    </w:p>
    <w:p w14:paraId="3D1B601A" w14:textId="77777777" w:rsidR="00910FC8" w:rsidRPr="00556B9B" w:rsidRDefault="00910FC8">
      <w:pPr>
        <w:rPr>
          <w:color w:val="000000"/>
          <w:lang w:val="hu-HU"/>
        </w:rPr>
      </w:pPr>
    </w:p>
    <w:p w14:paraId="5E42A80D" w14:textId="77777777" w:rsidR="00910FC8" w:rsidRPr="00556B9B" w:rsidRDefault="00910FC8">
      <w:pPr>
        <w:rPr>
          <w:color w:val="000000"/>
          <w:lang w:val="hu-HU"/>
        </w:rPr>
      </w:pPr>
    </w:p>
    <w:p w14:paraId="3E35D610" w14:textId="77777777" w:rsidR="00910FC8" w:rsidRPr="00556B9B" w:rsidRDefault="00910FC8">
      <w:pPr>
        <w:rPr>
          <w:color w:val="000000"/>
          <w:lang w:val="hu-HU"/>
        </w:rPr>
      </w:pPr>
    </w:p>
    <w:p w14:paraId="3261E766" w14:textId="77777777" w:rsidR="00910FC8" w:rsidRPr="00556B9B" w:rsidRDefault="00910FC8">
      <w:pPr>
        <w:rPr>
          <w:color w:val="000000"/>
          <w:lang w:val="hu-HU"/>
        </w:rPr>
      </w:pPr>
    </w:p>
    <w:p w14:paraId="70F707BF" w14:textId="77777777" w:rsidR="00910FC8" w:rsidRDefault="00910FC8">
      <w:pPr>
        <w:rPr>
          <w:color w:val="000000"/>
          <w:lang w:val="hu-HU"/>
        </w:rPr>
      </w:pPr>
    </w:p>
    <w:p w14:paraId="4FF12678" w14:textId="77777777" w:rsidR="00F926B9" w:rsidRDefault="00F926B9">
      <w:pPr>
        <w:rPr>
          <w:color w:val="000000"/>
          <w:lang w:val="hu-HU"/>
        </w:rPr>
      </w:pPr>
    </w:p>
    <w:p w14:paraId="715D9BA3" w14:textId="77777777" w:rsidR="00951752" w:rsidRPr="00556B9B" w:rsidRDefault="00951752">
      <w:pPr>
        <w:rPr>
          <w:color w:val="000000"/>
          <w:lang w:val="hu-HU"/>
        </w:rPr>
      </w:pPr>
    </w:p>
    <w:p w14:paraId="2F28B873" w14:textId="77777777" w:rsidR="005A78EA" w:rsidRPr="00556B9B" w:rsidRDefault="005A78EA" w:rsidP="005A78EA">
      <w:pPr>
        <w:jc w:val="center"/>
        <w:rPr>
          <w:b/>
          <w:color w:val="000000"/>
          <w:lang w:val="hu-HU"/>
        </w:rPr>
      </w:pPr>
      <w:r w:rsidRPr="00556B9B">
        <w:rPr>
          <w:b/>
          <w:color w:val="000000"/>
          <w:lang w:val="hu-HU"/>
        </w:rPr>
        <w:t>II. MELLÉKLET</w:t>
      </w:r>
    </w:p>
    <w:p w14:paraId="4838CD8C" w14:textId="77777777" w:rsidR="005A78EA" w:rsidRPr="00556B9B" w:rsidRDefault="005A78EA" w:rsidP="00290408">
      <w:pPr>
        <w:ind w:right="1416"/>
        <w:rPr>
          <w:color w:val="000000"/>
          <w:lang w:val="hu-HU"/>
        </w:rPr>
      </w:pPr>
    </w:p>
    <w:p w14:paraId="46324F6C" w14:textId="77777777" w:rsidR="005A78EA" w:rsidRPr="00556B9B" w:rsidRDefault="005A78EA" w:rsidP="005A78EA">
      <w:pPr>
        <w:tabs>
          <w:tab w:val="left" w:pos="1701"/>
        </w:tabs>
        <w:ind w:left="1701" w:right="1416" w:hanging="567"/>
        <w:rPr>
          <w:b/>
          <w:color w:val="000000"/>
          <w:lang w:val="hu-HU"/>
        </w:rPr>
      </w:pPr>
      <w:r w:rsidRPr="00556B9B">
        <w:rPr>
          <w:b/>
          <w:color w:val="000000"/>
          <w:lang w:val="hu-HU"/>
        </w:rPr>
        <w:t>A.</w:t>
      </w:r>
      <w:r w:rsidRPr="00556B9B">
        <w:rPr>
          <w:b/>
          <w:color w:val="000000"/>
          <w:lang w:val="hu-HU"/>
        </w:rPr>
        <w:tab/>
        <w:t>A GYÁRTÁSI TÉTELEK VÉGFELSZABADÍTÁSÁÉRT FELELŐS GYÁRTÓ</w:t>
      </w:r>
    </w:p>
    <w:p w14:paraId="131DBABA" w14:textId="77777777" w:rsidR="005A78EA" w:rsidRPr="00556B9B" w:rsidRDefault="005A78EA" w:rsidP="00290408">
      <w:pPr>
        <w:ind w:right="1416"/>
        <w:rPr>
          <w:color w:val="000000"/>
          <w:lang w:val="hu-HU"/>
        </w:rPr>
      </w:pPr>
    </w:p>
    <w:p w14:paraId="769138E6" w14:textId="77777777" w:rsidR="005A78EA" w:rsidRPr="00556B9B" w:rsidRDefault="005A78EA" w:rsidP="005A78EA">
      <w:pPr>
        <w:tabs>
          <w:tab w:val="left" w:pos="-720"/>
        </w:tabs>
        <w:ind w:left="1701" w:right="1410" w:hanging="567"/>
        <w:rPr>
          <w:b/>
          <w:color w:val="000000"/>
          <w:szCs w:val="22"/>
          <w:lang w:val="hu-HU"/>
        </w:rPr>
      </w:pPr>
      <w:r w:rsidRPr="00556B9B">
        <w:rPr>
          <w:b/>
          <w:color w:val="000000"/>
          <w:lang w:val="hu-HU"/>
        </w:rPr>
        <w:t>B.</w:t>
      </w:r>
      <w:r w:rsidRPr="00556B9B">
        <w:rPr>
          <w:b/>
          <w:color w:val="000000"/>
          <w:lang w:val="hu-HU"/>
        </w:rPr>
        <w:tab/>
        <w:t>FELTÉTELEK VAGY KORLÁTOZÁSOK AZ ELLÁTÁS ÉS HASZNÁLAT KAPCSÁN</w:t>
      </w:r>
    </w:p>
    <w:p w14:paraId="3C40CCC3" w14:textId="77777777" w:rsidR="005A78EA" w:rsidRPr="00556B9B" w:rsidRDefault="005A78EA" w:rsidP="00290408">
      <w:pPr>
        <w:tabs>
          <w:tab w:val="left" w:pos="-720"/>
        </w:tabs>
        <w:ind w:right="1410"/>
        <w:rPr>
          <w:color w:val="000000"/>
          <w:szCs w:val="22"/>
          <w:lang w:val="hu-HU"/>
        </w:rPr>
      </w:pPr>
    </w:p>
    <w:p w14:paraId="1CFC1C66" w14:textId="77777777" w:rsidR="005A78EA" w:rsidRPr="00556B9B" w:rsidRDefault="005A78EA" w:rsidP="005A78EA">
      <w:pPr>
        <w:tabs>
          <w:tab w:val="left" w:pos="-720"/>
        </w:tabs>
        <w:ind w:left="1701" w:right="1410" w:hanging="567"/>
        <w:rPr>
          <w:b/>
          <w:color w:val="000000"/>
          <w:lang w:val="hu-HU"/>
        </w:rPr>
      </w:pPr>
      <w:r w:rsidRPr="00556B9B">
        <w:rPr>
          <w:b/>
          <w:color w:val="000000"/>
          <w:lang w:val="hu-HU"/>
        </w:rPr>
        <w:t>C.</w:t>
      </w:r>
      <w:r w:rsidRPr="00556B9B">
        <w:rPr>
          <w:b/>
          <w:color w:val="000000"/>
          <w:lang w:val="hu-HU"/>
        </w:rPr>
        <w:tab/>
        <w:t>A FORGALOMBA HOZATALI ENGEDÉLY EGYÉB FELTÉTELEI ÉS KÖVETELMÉNYEI</w:t>
      </w:r>
    </w:p>
    <w:p w14:paraId="0EDA3A71" w14:textId="77777777" w:rsidR="008D4936" w:rsidRPr="00556B9B" w:rsidRDefault="008D4936" w:rsidP="00290408">
      <w:pPr>
        <w:ind w:right="1410"/>
        <w:rPr>
          <w:color w:val="000000"/>
          <w:szCs w:val="22"/>
          <w:lang w:val="pt-PT"/>
        </w:rPr>
      </w:pPr>
    </w:p>
    <w:p w14:paraId="6500BC2B" w14:textId="77777777" w:rsidR="008D4936" w:rsidRPr="00556B9B" w:rsidRDefault="008D4936" w:rsidP="005A78EA">
      <w:pPr>
        <w:tabs>
          <w:tab w:val="left" w:pos="-720"/>
        </w:tabs>
        <w:ind w:left="1701" w:right="1410" w:hanging="567"/>
        <w:rPr>
          <w:b/>
          <w:color w:val="000000"/>
          <w:szCs w:val="22"/>
          <w:lang w:val="pt-PT"/>
        </w:rPr>
      </w:pPr>
      <w:r w:rsidRPr="00556B9B">
        <w:rPr>
          <w:b/>
          <w:noProof/>
          <w:szCs w:val="24"/>
          <w:lang w:val="pt-PT"/>
        </w:rPr>
        <w:t>D.</w:t>
      </w:r>
      <w:r w:rsidRPr="00556B9B">
        <w:rPr>
          <w:b/>
          <w:noProof/>
          <w:szCs w:val="24"/>
          <w:lang w:val="pt-PT"/>
        </w:rPr>
        <w:tab/>
        <w:t>FELTÉTELEK VAGY KORLÁTOZÁSOK A GYÓGYSZER BIZTONSÁGOS ÉS HATÉKONY ALKALMAZÁSÁRA VONATKOZÓAN</w:t>
      </w:r>
    </w:p>
    <w:p w14:paraId="683FA385" w14:textId="77777777" w:rsidR="005A78EA" w:rsidRPr="00556B9B" w:rsidRDefault="005A78EA" w:rsidP="005A78EA">
      <w:pPr>
        <w:ind w:left="567" w:hanging="567"/>
        <w:rPr>
          <w:color w:val="000000"/>
          <w:lang w:val="hu-HU"/>
        </w:rPr>
      </w:pPr>
      <w:r w:rsidRPr="00556B9B">
        <w:rPr>
          <w:color w:val="000000"/>
          <w:lang w:val="hu-HU"/>
        </w:rPr>
        <w:br w:type="page"/>
      </w:r>
      <w:r w:rsidRPr="00556B9B">
        <w:rPr>
          <w:b/>
          <w:color w:val="000000"/>
          <w:lang w:val="hu-HU"/>
        </w:rPr>
        <w:lastRenderedPageBreak/>
        <w:t>A.</w:t>
      </w:r>
      <w:r w:rsidRPr="00556B9B">
        <w:rPr>
          <w:b/>
          <w:color w:val="000000"/>
          <w:lang w:val="hu-HU"/>
        </w:rPr>
        <w:tab/>
        <w:t>A GYÁRTÁSI TÉTELEK VÉGFELSZABADÍTÁSÁÉRT FELELŐS GYÁRTÓ</w:t>
      </w:r>
    </w:p>
    <w:p w14:paraId="6C7126B7" w14:textId="77777777" w:rsidR="005A78EA" w:rsidRPr="00556B9B" w:rsidRDefault="005A78EA" w:rsidP="005A78EA">
      <w:pPr>
        <w:ind w:right="1416"/>
        <w:rPr>
          <w:color w:val="000000"/>
          <w:lang w:val="hu-HU"/>
        </w:rPr>
      </w:pPr>
    </w:p>
    <w:p w14:paraId="4BE72EEB" w14:textId="77777777" w:rsidR="005A78EA" w:rsidRPr="00556B9B" w:rsidRDefault="005A78EA" w:rsidP="005A78EA">
      <w:pPr>
        <w:jc w:val="both"/>
        <w:rPr>
          <w:color w:val="000000"/>
          <w:lang w:val="hu-HU"/>
        </w:rPr>
      </w:pPr>
      <w:r w:rsidRPr="00556B9B">
        <w:rPr>
          <w:color w:val="000000"/>
          <w:u w:val="single"/>
          <w:lang w:val="hu-HU"/>
        </w:rPr>
        <w:t>A gyártási tételek végfelszabadításáért felelős gyártó neve és címe</w:t>
      </w:r>
    </w:p>
    <w:p w14:paraId="7EFFD1B2" w14:textId="77777777" w:rsidR="005A78EA" w:rsidRPr="00556B9B" w:rsidRDefault="005A78EA" w:rsidP="005A78EA">
      <w:pPr>
        <w:rPr>
          <w:color w:val="000000"/>
          <w:lang w:val="hu-HU"/>
        </w:rPr>
      </w:pPr>
    </w:p>
    <w:p w14:paraId="371CA22F" w14:textId="77777777" w:rsidR="006E577C" w:rsidRPr="00C30B97" w:rsidRDefault="006E577C" w:rsidP="006E577C">
      <w:pPr>
        <w:widowControl w:val="0"/>
        <w:tabs>
          <w:tab w:val="left" w:pos="7513"/>
        </w:tabs>
        <w:spacing w:line="240" w:lineRule="auto"/>
        <w:rPr>
          <w:szCs w:val="22"/>
          <w:lang w:val="fr-CH"/>
        </w:rPr>
      </w:pPr>
      <w:r w:rsidRPr="00C30B97">
        <w:rPr>
          <w:szCs w:val="22"/>
          <w:lang w:val="fr-CH"/>
        </w:rPr>
        <w:t>Lek d.d, PE PROIZVODNJA LENDAVA</w:t>
      </w:r>
    </w:p>
    <w:p w14:paraId="6086BD1D" w14:textId="77777777" w:rsidR="006E577C" w:rsidRPr="00D1632D" w:rsidRDefault="006E577C" w:rsidP="006E577C">
      <w:pPr>
        <w:widowControl w:val="0"/>
        <w:tabs>
          <w:tab w:val="left" w:pos="7513"/>
        </w:tabs>
        <w:spacing w:line="240" w:lineRule="auto"/>
        <w:rPr>
          <w:szCs w:val="22"/>
          <w:lang w:val="fr-CH"/>
        </w:rPr>
      </w:pPr>
      <w:r w:rsidRPr="00D1632D">
        <w:rPr>
          <w:szCs w:val="22"/>
          <w:lang w:val="fr-CH"/>
        </w:rPr>
        <w:t>Trimlini 2D</w:t>
      </w:r>
    </w:p>
    <w:p w14:paraId="2C11EBC9" w14:textId="77777777" w:rsidR="006E577C" w:rsidRPr="00D1632D" w:rsidRDefault="006E577C" w:rsidP="006E577C">
      <w:pPr>
        <w:widowControl w:val="0"/>
        <w:tabs>
          <w:tab w:val="left" w:pos="7513"/>
        </w:tabs>
        <w:spacing w:line="240" w:lineRule="auto"/>
        <w:rPr>
          <w:szCs w:val="22"/>
          <w:lang w:val="fr-CH"/>
        </w:rPr>
      </w:pPr>
      <w:r w:rsidRPr="00D1632D">
        <w:rPr>
          <w:szCs w:val="22"/>
          <w:lang w:val="fr-CH"/>
        </w:rPr>
        <w:t>Lendava, 9220</w:t>
      </w:r>
    </w:p>
    <w:p w14:paraId="468F4739" w14:textId="77777777" w:rsidR="006E577C" w:rsidRPr="00D1632D" w:rsidRDefault="006E577C" w:rsidP="006E577C">
      <w:pPr>
        <w:widowControl w:val="0"/>
        <w:tabs>
          <w:tab w:val="left" w:pos="7513"/>
        </w:tabs>
        <w:spacing w:line="240" w:lineRule="auto"/>
        <w:rPr>
          <w:szCs w:val="22"/>
          <w:lang w:val="pt-BR"/>
        </w:rPr>
      </w:pPr>
      <w:r w:rsidRPr="00C30B97">
        <w:rPr>
          <w:szCs w:val="22"/>
          <w:lang w:val="fr-CH"/>
        </w:rPr>
        <w:t>Szlovénia</w:t>
      </w:r>
    </w:p>
    <w:p w14:paraId="01AC414F" w14:textId="77777777" w:rsidR="006E577C" w:rsidRPr="00D1632D" w:rsidRDefault="006E577C" w:rsidP="006E577C">
      <w:pPr>
        <w:widowControl w:val="0"/>
        <w:tabs>
          <w:tab w:val="left" w:pos="7513"/>
        </w:tabs>
        <w:spacing w:line="240" w:lineRule="auto"/>
        <w:rPr>
          <w:szCs w:val="22"/>
          <w:lang w:val="pt-BR"/>
        </w:rPr>
      </w:pPr>
    </w:p>
    <w:p w14:paraId="485220E1" w14:textId="77777777" w:rsidR="005A78EA" w:rsidRPr="00556B9B" w:rsidRDefault="005A78EA" w:rsidP="005A78EA">
      <w:pPr>
        <w:tabs>
          <w:tab w:val="left" w:pos="7513"/>
        </w:tabs>
        <w:rPr>
          <w:color w:val="000000"/>
          <w:lang w:val="hu-HU"/>
        </w:rPr>
      </w:pPr>
      <w:r w:rsidRPr="00556B9B">
        <w:rPr>
          <w:color w:val="000000"/>
          <w:lang w:val="hu-HU"/>
        </w:rPr>
        <w:t>Novartis Pharma GmbH</w:t>
      </w:r>
    </w:p>
    <w:p w14:paraId="11C445E3" w14:textId="77777777" w:rsidR="005A78EA" w:rsidRPr="00556B9B" w:rsidRDefault="005A78EA" w:rsidP="005A78EA">
      <w:pPr>
        <w:tabs>
          <w:tab w:val="left" w:pos="7513"/>
        </w:tabs>
        <w:rPr>
          <w:color w:val="000000"/>
          <w:lang w:val="hu-HU"/>
        </w:rPr>
      </w:pPr>
      <w:r w:rsidRPr="00556B9B">
        <w:rPr>
          <w:color w:val="000000"/>
          <w:lang w:val="hu-HU"/>
        </w:rPr>
        <w:t>Roonstra</w:t>
      </w:r>
      <w:r w:rsidRPr="00556B9B">
        <w:rPr>
          <w:snapToGrid w:val="0"/>
          <w:color w:val="000000"/>
          <w:lang w:val="hu-HU"/>
        </w:rPr>
        <w:t>ss</w:t>
      </w:r>
      <w:r w:rsidRPr="00556B9B">
        <w:rPr>
          <w:color w:val="000000"/>
          <w:lang w:val="hu-HU"/>
        </w:rPr>
        <w:t>e 25</w:t>
      </w:r>
    </w:p>
    <w:p w14:paraId="31B9E065" w14:textId="77777777" w:rsidR="005A78EA" w:rsidRPr="00556B9B" w:rsidRDefault="005A78EA" w:rsidP="005A78EA">
      <w:pPr>
        <w:spacing w:line="240" w:lineRule="auto"/>
        <w:ind w:right="-2"/>
        <w:rPr>
          <w:color w:val="000000"/>
          <w:lang w:val="hu-HU"/>
        </w:rPr>
      </w:pPr>
      <w:r w:rsidRPr="00556B9B">
        <w:rPr>
          <w:color w:val="000000"/>
          <w:lang w:val="hu-HU"/>
        </w:rPr>
        <w:t>D-90429 Nürnberg</w:t>
      </w:r>
    </w:p>
    <w:p w14:paraId="42E24EBE" w14:textId="77777777" w:rsidR="005A78EA" w:rsidRPr="00556B9B" w:rsidRDefault="005A78EA" w:rsidP="005A78EA">
      <w:pPr>
        <w:spacing w:line="240" w:lineRule="auto"/>
        <w:ind w:right="-2"/>
        <w:rPr>
          <w:color w:val="000000"/>
          <w:lang w:val="hu-HU"/>
        </w:rPr>
      </w:pPr>
      <w:r w:rsidRPr="00556B9B">
        <w:rPr>
          <w:color w:val="000000"/>
          <w:lang w:val="hu-HU"/>
        </w:rPr>
        <w:t>Németország</w:t>
      </w:r>
    </w:p>
    <w:p w14:paraId="7EF3B6DF" w14:textId="7951BDF1" w:rsidR="005A78EA" w:rsidRDefault="005A78EA" w:rsidP="005A78EA">
      <w:pPr>
        <w:rPr>
          <w:color w:val="000000"/>
          <w:lang w:val="hu-HU"/>
        </w:rPr>
      </w:pPr>
    </w:p>
    <w:p w14:paraId="4B90CDC2" w14:textId="77777777" w:rsidR="009E10F3" w:rsidRPr="009E10F3" w:rsidRDefault="009E10F3" w:rsidP="009E10F3">
      <w:pPr>
        <w:rPr>
          <w:color w:val="000000"/>
          <w:lang w:val="hu-HU"/>
        </w:rPr>
      </w:pPr>
      <w:r w:rsidRPr="009E10F3">
        <w:rPr>
          <w:color w:val="000000"/>
          <w:lang w:val="hu-HU"/>
        </w:rPr>
        <w:t>Sandoz S.R.L.</w:t>
      </w:r>
    </w:p>
    <w:p w14:paraId="0D327893" w14:textId="77777777" w:rsidR="009E10F3" w:rsidRPr="009E10F3" w:rsidRDefault="009E10F3" w:rsidP="009E10F3">
      <w:pPr>
        <w:rPr>
          <w:color w:val="000000"/>
          <w:lang w:val="hu-HU"/>
        </w:rPr>
      </w:pPr>
      <w:r w:rsidRPr="009E10F3">
        <w:rPr>
          <w:color w:val="000000"/>
          <w:lang w:val="hu-HU"/>
        </w:rPr>
        <w:t>Str. Livezeni nr. 7A</w:t>
      </w:r>
    </w:p>
    <w:p w14:paraId="644864DC" w14:textId="77777777" w:rsidR="009E10F3" w:rsidRPr="009E10F3" w:rsidRDefault="009E10F3" w:rsidP="009E10F3">
      <w:pPr>
        <w:rPr>
          <w:color w:val="000000"/>
          <w:lang w:val="hu-HU"/>
        </w:rPr>
      </w:pPr>
      <w:r w:rsidRPr="009E10F3">
        <w:rPr>
          <w:color w:val="000000"/>
          <w:lang w:val="hu-HU"/>
        </w:rPr>
        <w:t>540472, Targu Mures</w:t>
      </w:r>
    </w:p>
    <w:p w14:paraId="4FF0AEA0" w14:textId="2A76F29D" w:rsidR="009E10F3" w:rsidRDefault="009E10F3" w:rsidP="009E10F3">
      <w:pPr>
        <w:rPr>
          <w:color w:val="000000"/>
          <w:lang w:val="hu-HU"/>
        </w:rPr>
      </w:pPr>
      <w:r w:rsidRPr="009E10F3">
        <w:rPr>
          <w:color w:val="000000"/>
          <w:lang w:val="hu-HU"/>
        </w:rPr>
        <w:t>Románia</w:t>
      </w:r>
    </w:p>
    <w:p w14:paraId="3046324D" w14:textId="77777777" w:rsidR="009E10F3" w:rsidRDefault="009E10F3" w:rsidP="009E10F3">
      <w:pPr>
        <w:rPr>
          <w:color w:val="000000"/>
          <w:lang w:val="hu-HU"/>
        </w:rPr>
      </w:pPr>
    </w:p>
    <w:p w14:paraId="66BB7FC5" w14:textId="77777777" w:rsidR="006E577C" w:rsidRDefault="006E577C" w:rsidP="005A78EA">
      <w:pPr>
        <w:rPr>
          <w:color w:val="000000"/>
          <w:lang w:val="hu-HU"/>
        </w:rPr>
      </w:pPr>
      <w:r w:rsidRPr="00130037">
        <w:rPr>
          <w:lang w:val="hu-HU"/>
        </w:rPr>
        <w:t>Az érintett gyártási tétel végfelszabadításáért felelős gyártó nevét és címét a gyógyszer betegtájékoztatójának tartalmaznia kell.</w:t>
      </w:r>
    </w:p>
    <w:p w14:paraId="4221A506" w14:textId="77777777" w:rsidR="006E577C" w:rsidRPr="00556B9B" w:rsidRDefault="006E577C" w:rsidP="005A78EA">
      <w:pPr>
        <w:rPr>
          <w:color w:val="000000"/>
          <w:lang w:val="hu-HU"/>
        </w:rPr>
      </w:pPr>
    </w:p>
    <w:p w14:paraId="1FC4A5B5" w14:textId="77777777" w:rsidR="005A78EA" w:rsidRPr="00556B9B" w:rsidRDefault="005A78EA" w:rsidP="005A78EA">
      <w:pPr>
        <w:rPr>
          <w:color w:val="000000"/>
          <w:lang w:val="hu-HU"/>
        </w:rPr>
      </w:pPr>
    </w:p>
    <w:p w14:paraId="5615D204" w14:textId="77777777" w:rsidR="005A78EA" w:rsidRPr="00556B9B" w:rsidRDefault="005A78EA" w:rsidP="005A78EA">
      <w:pPr>
        <w:numPr>
          <w:ilvl w:val="12"/>
          <w:numId w:val="0"/>
        </w:numPr>
        <w:ind w:left="567" w:hanging="567"/>
        <w:rPr>
          <w:color w:val="000000"/>
          <w:szCs w:val="22"/>
          <w:lang w:val="hu-HU"/>
        </w:rPr>
      </w:pPr>
      <w:r w:rsidRPr="00556B9B">
        <w:rPr>
          <w:b/>
          <w:color w:val="000000"/>
          <w:lang w:val="hu-HU"/>
        </w:rPr>
        <w:t>B.</w:t>
      </w:r>
      <w:r w:rsidRPr="00556B9B">
        <w:rPr>
          <w:b/>
          <w:color w:val="000000"/>
          <w:lang w:val="hu-HU"/>
        </w:rPr>
        <w:tab/>
        <w:t>FELTÉTELEK VAGY KORLÁTOZÁSOK AZ ELLÁTÁS ÉS HASZNÁLAT KAPCSÁN</w:t>
      </w:r>
    </w:p>
    <w:p w14:paraId="1E26C550" w14:textId="77777777" w:rsidR="005A78EA" w:rsidRPr="00556B9B" w:rsidRDefault="005A78EA" w:rsidP="005A78EA">
      <w:pPr>
        <w:rPr>
          <w:color w:val="000000"/>
          <w:lang w:val="hu-HU"/>
        </w:rPr>
      </w:pPr>
    </w:p>
    <w:p w14:paraId="506C4A14" w14:textId="77777777" w:rsidR="005A78EA" w:rsidRPr="00556B9B" w:rsidRDefault="005A78EA" w:rsidP="005A78EA">
      <w:pPr>
        <w:numPr>
          <w:ilvl w:val="12"/>
          <w:numId w:val="0"/>
        </w:numPr>
        <w:rPr>
          <w:color w:val="000000"/>
          <w:lang w:val="hu-HU"/>
        </w:rPr>
      </w:pPr>
      <w:r w:rsidRPr="00556B9B">
        <w:rPr>
          <w:color w:val="000000"/>
          <w:lang w:val="hu-HU"/>
        </w:rPr>
        <w:t>Korlátozott érvényű orvosi rendelvényhez kötött gyógyszer (lásd I. Melléklet: Alkalmazási előírás, 4.2</w:t>
      </w:r>
      <w:r w:rsidR="00AA3F48" w:rsidRPr="00556B9B">
        <w:rPr>
          <w:color w:val="000000"/>
          <w:lang w:val="hu-HU"/>
        </w:rPr>
        <w:t> </w:t>
      </w:r>
      <w:r w:rsidRPr="00556B9B">
        <w:rPr>
          <w:color w:val="000000"/>
          <w:lang w:val="hu-HU"/>
        </w:rPr>
        <w:t>pont).</w:t>
      </w:r>
    </w:p>
    <w:p w14:paraId="6562CE0F" w14:textId="77777777" w:rsidR="005A78EA" w:rsidRPr="00556B9B" w:rsidRDefault="005A78EA" w:rsidP="005A78EA">
      <w:pPr>
        <w:numPr>
          <w:ilvl w:val="12"/>
          <w:numId w:val="0"/>
        </w:numPr>
        <w:rPr>
          <w:color w:val="000000"/>
          <w:lang w:val="hu-HU"/>
        </w:rPr>
      </w:pPr>
    </w:p>
    <w:p w14:paraId="1A880BC3" w14:textId="77777777" w:rsidR="005A78EA" w:rsidRPr="00556B9B" w:rsidRDefault="005A78EA" w:rsidP="005A78EA">
      <w:pPr>
        <w:ind w:right="-1"/>
        <w:rPr>
          <w:color w:val="000000"/>
          <w:lang w:val="hu-HU"/>
        </w:rPr>
      </w:pPr>
    </w:p>
    <w:p w14:paraId="70380A69" w14:textId="77777777" w:rsidR="005A78EA" w:rsidRPr="00556B9B" w:rsidRDefault="005A78EA" w:rsidP="00951752">
      <w:pPr>
        <w:keepNext/>
        <w:tabs>
          <w:tab w:val="left" w:pos="-720"/>
        </w:tabs>
        <w:ind w:left="567" w:right="1410" w:hanging="567"/>
        <w:rPr>
          <w:b/>
          <w:color w:val="000000"/>
          <w:szCs w:val="22"/>
          <w:lang w:val="pt-PT"/>
        </w:rPr>
      </w:pPr>
      <w:r w:rsidRPr="00556B9B">
        <w:rPr>
          <w:b/>
          <w:color w:val="000000"/>
          <w:lang w:val="hu-HU"/>
        </w:rPr>
        <w:t>C.</w:t>
      </w:r>
      <w:r w:rsidRPr="00556B9B">
        <w:rPr>
          <w:b/>
          <w:color w:val="000000"/>
          <w:lang w:val="hu-HU"/>
        </w:rPr>
        <w:tab/>
        <w:t>A FORGALOMBA HOZATALI ENGEDÉLY EGYÉB FELTÉTELEI ÉS KÖVETELMÉNYEI</w:t>
      </w:r>
    </w:p>
    <w:p w14:paraId="30F43E6E" w14:textId="77777777" w:rsidR="005A78EA" w:rsidRPr="00556B9B" w:rsidRDefault="005A78EA" w:rsidP="00951752">
      <w:pPr>
        <w:keepNext/>
        <w:ind w:right="-1"/>
        <w:rPr>
          <w:color w:val="000000"/>
          <w:lang w:val="pt-PT"/>
        </w:rPr>
      </w:pPr>
    </w:p>
    <w:p w14:paraId="250BC52C" w14:textId="77777777" w:rsidR="008D4936" w:rsidRPr="00556B9B" w:rsidRDefault="008D4936" w:rsidP="00951752">
      <w:pPr>
        <w:keepNext/>
        <w:numPr>
          <w:ilvl w:val="0"/>
          <w:numId w:val="36"/>
        </w:numPr>
        <w:tabs>
          <w:tab w:val="left" w:pos="567"/>
        </w:tabs>
        <w:suppressAutoHyphens w:val="0"/>
        <w:ind w:left="360"/>
        <w:rPr>
          <w:b/>
          <w:noProof/>
          <w:szCs w:val="24"/>
          <w:lang w:val="en-US"/>
        </w:rPr>
      </w:pPr>
      <w:r w:rsidRPr="00556B9B">
        <w:rPr>
          <w:b/>
          <w:noProof/>
          <w:szCs w:val="24"/>
          <w:lang w:val="en-US"/>
        </w:rPr>
        <w:t>Időszakos gyógyszerbiztonsági jelentések</w:t>
      </w:r>
    </w:p>
    <w:p w14:paraId="4F980033" w14:textId="77777777" w:rsidR="008D4936" w:rsidRPr="00556B9B" w:rsidRDefault="00331B30" w:rsidP="00951752">
      <w:pPr>
        <w:rPr>
          <w:noProof/>
          <w:szCs w:val="24"/>
          <w:lang w:val="en-US"/>
        </w:rPr>
      </w:pPr>
      <w:r w:rsidRPr="00556B9B">
        <w:rPr>
          <w:noProof/>
          <w:szCs w:val="24"/>
          <w:lang w:val="en-US"/>
        </w:rPr>
        <w:t xml:space="preserve">Erre a készítményre az </w:t>
      </w:r>
      <w:r w:rsidR="008D4936" w:rsidRPr="00556B9B">
        <w:rPr>
          <w:noProof/>
          <w:szCs w:val="24"/>
          <w:lang w:val="en-US"/>
        </w:rPr>
        <w:t>időszakos gyógyszerbiztonsági jelentéseket a 2001/83/EK irányelv 107c. cikkének (7) bekezdésében megállapított és az európai internetes gyógyszerportálon nyilvánosságra hozott uniós referencia</w:t>
      </w:r>
      <w:r w:rsidR="00274BF6" w:rsidRPr="00556B9B">
        <w:rPr>
          <w:noProof/>
          <w:szCs w:val="24"/>
          <w:lang w:val="en-US"/>
        </w:rPr>
        <w:noBreakHyphen/>
      </w:r>
      <w:r w:rsidR="008D4936" w:rsidRPr="00556B9B">
        <w:rPr>
          <w:noProof/>
          <w:szCs w:val="24"/>
          <w:lang w:val="en-US"/>
        </w:rPr>
        <w:t>időpontok listája (EURD lista)</w:t>
      </w:r>
      <w:r w:rsidRPr="00556B9B">
        <w:rPr>
          <w:noProof/>
          <w:szCs w:val="24"/>
          <w:lang w:val="en-US"/>
        </w:rPr>
        <w:t>, illetve annak bármely későbbi frissített változata</w:t>
      </w:r>
      <w:r w:rsidR="008D4936" w:rsidRPr="00556B9B">
        <w:rPr>
          <w:noProof/>
          <w:szCs w:val="24"/>
          <w:lang w:val="en-US"/>
        </w:rPr>
        <w:t xml:space="preserve"> szerinti követelményeknek megfelelően </w:t>
      </w:r>
      <w:r w:rsidRPr="00556B9B">
        <w:rPr>
          <w:noProof/>
          <w:szCs w:val="24"/>
          <w:lang w:val="en-US"/>
        </w:rPr>
        <w:t xml:space="preserve">kell </w:t>
      </w:r>
      <w:r w:rsidR="008D4936" w:rsidRPr="00556B9B">
        <w:rPr>
          <w:noProof/>
          <w:szCs w:val="24"/>
          <w:lang w:val="en-US"/>
        </w:rPr>
        <w:t>benyújtani.</w:t>
      </w:r>
    </w:p>
    <w:p w14:paraId="154C8EDB" w14:textId="77777777" w:rsidR="008D4936" w:rsidRPr="00556B9B" w:rsidRDefault="008D4936" w:rsidP="00951752">
      <w:pPr>
        <w:ind w:right="-1"/>
        <w:rPr>
          <w:color w:val="000000"/>
          <w:lang w:val="en-US"/>
        </w:rPr>
      </w:pPr>
    </w:p>
    <w:p w14:paraId="3511115F" w14:textId="77777777" w:rsidR="005A78EA" w:rsidRPr="00556B9B" w:rsidRDefault="005A78EA" w:rsidP="00951752">
      <w:pPr>
        <w:ind w:right="-1"/>
        <w:rPr>
          <w:color w:val="000000"/>
          <w:lang w:val="hu-HU"/>
        </w:rPr>
      </w:pPr>
    </w:p>
    <w:p w14:paraId="6AD42A9F" w14:textId="77777777" w:rsidR="005A78EA" w:rsidRPr="00556B9B" w:rsidRDefault="008D4936" w:rsidP="00951752">
      <w:pPr>
        <w:keepNext/>
        <w:suppressAutoHyphens w:val="0"/>
        <w:spacing w:line="240" w:lineRule="auto"/>
        <w:ind w:left="567" w:right="-1" w:hanging="567"/>
        <w:rPr>
          <w:b/>
          <w:noProof/>
          <w:szCs w:val="22"/>
          <w:lang w:val="hu-HU" w:eastAsia="en-US"/>
        </w:rPr>
      </w:pPr>
      <w:r w:rsidRPr="00556B9B">
        <w:rPr>
          <w:b/>
          <w:noProof/>
          <w:szCs w:val="22"/>
          <w:lang w:val="hu-HU" w:eastAsia="en-US"/>
        </w:rPr>
        <w:t>D.</w:t>
      </w:r>
      <w:r w:rsidRPr="00556B9B">
        <w:rPr>
          <w:b/>
          <w:noProof/>
          <w:szCs w:val="22"/>
          <w:lang w:val="hu-HU" w:eastAsia="en-US"/>
        </w:rPr>
        <w:tab/>
      </w:r>
      <w:r w:rsidR="005A78EA" w:rsidRPr="00556B9B">
        <w:rPr>
          <w:b/>
          <w:noProof/>
          <w:szCs w:val="22"/>
          <w:lang w:val="hu-HU" w:eastAsia="en-US"/>
        </w:rPr>
        <w:t xml:space="preserve">FELTÉTELEK VAGY KORLÁTOZÁSOK A GYÓGYSZER BIZTONSÁGOS ÉS HATÉKONY </w:t>
      </w:r>
      <w:r w:rsidR="00C01D2D" w:rsidRPr="00556B9B">
        <w:rPr>
          <w:b/>
          <w:noProof/>
          <w:szCs w:val="22"/>
          <w:lang w:val="hu-HU" w:eastAsia="en-US"/>
        </w:rPr>
        <w:t>ALKALMAZÁSÁRA</w:t>
      </w:r>
      <w:r w:rsidR="005A78EA" w:rsidRPr="00556B9B">
        <w:rPr>
          <w:b/>
          <w:noProof/>
          <w:szCs w:val="22"/>
          <w:lang w:val="hu-HU" w:eastAsia="en-US"/>
        </w:rPr>
        <w:t xml:space="preserve"> VONATKOZÓAN</w:t>
      </w:r>
    </w:p>
    <w:p w14:paraId="6874100B" w14:textId="77777777" w:rsidR="005A78EA" w:rsidRPr="00556B9B" w:rsidRDefault="005A78EA" w:rsidP="00951752">
      <w:pPr>
        <w:keepNext/>
        <w:ind w:right="567"/>
        <w:rPr>
          <w:color w:val="000000"/>
          <w:lang w:val="hu-HU"/>
        </w:rPr>
      </w:pPr>
    </w:p>
    <w:p w14:paraId="4798609E" w14:textId="77777777" w:rsidR="008D4936" w:rsidRPr="00556B9B" w:rsidRDefault="008D4936" w:rsidP="00951752">
      <w:pPr>
        <w:keepNext/>
        <w:numPr>
          <w:ilvl w:val="0"/>
          <w:numId w:val="36"/>
        </w:numPr>
        <w:tabs>
          <w:tab w:val="left" w:pos="567"/>
        </w:tabs>
        <w:suppressAutoHyphens w:val="0"/>
        <w:ind w:left="360"/>
        <w:rPr>
          <w:b/>
          <w:noProof/>
          <w:szCs w:val="24"/>
          <w:lang w:val="en-US"/>
        </w:rPr>
      </w:pPr>
      <w:r w:rsidRPr="00556B9B">
        <w:rPr>
          <w:b/>
          <w:noProof/>
          <w:szCs w:val="24"/>
          <w:lang w:val="en-US"/>
        </w:rPr>
        <w:t>Kockázatkezelési terv</w:t>
      </w:r>
    </w:p>
    <w:p w14:paraId="3BBF7972" w14:textId="77777777" w:rsidR="008D4936" w:rsidRPr="00556B9B" w:rsidRDefault="008D4936" w:rsidP="00951752">
      <w:pPr>
        <w:numPr>
          <w:ilvl w:val="12"/>
          <w:numId w:val="0"/>
        </w:numPr>
        <w:rPr>
          <w:noProof/>
          <w:szCs w:val="24"/>
          <w:lang w:val="en-US"/>
        </w:rPr>
      </w:pPr>
      <w:r w:rsidRPr="00556B9B">
        <w:rPr>
          <w:noProof/>
          <w:szCs w:val="24"/>
          <w:lang w:val="en-US"/>
        </w:rPr>
        <w:t>A forgalomba hozatali engedély jogosultja kötelezi magát, hogy a forgalomba hozatali engedély 1.8.2</w:t>
      </w:r>
      <w:r w:rsidR="00274BF6" w:rsidRPr="00556B9B">
        <w:rPr>
          <w:noProof/>
          <w:szCs w:val="24"/>
          <w:lang w:val="en-US"/>
        </w:rPr>
        <w:t> </w:t>
      </w:r>
      <w:r w:rsidRPr="00556B9B">
        <w:rPr>
          <w:noProof/>
          <w:szCs w:val="24"/>
          <w:lang w:val="en-US"/>
        </w:rPr>
        <w:t>moduljában leírt, jóváhagyott kockázatkezelési tervben, illetve annak jóváhagyott frissített verzióiban részletezett, kötelező farmakovigilanciai tevékenységeket és beavatkozásokat elvégzi.</w:t>
      </w:r>
    </w:p>
    <w:p w14:paraId="3BA2E168" w14:textId="77777777" w:rsidR="008D4936" w:rsidRPr="00556B9B" w:rsidRDefault="008D4936" w:rsidP="00951752">
      <w:pPr>
        <w:numPr>
          <w:ilvl w:val="12"/>
          <w:numId w:val="0"/>
        </w:numPr>
        <w:rPr>
          <w:noProof/>
          <w:szCs w:val="24"/>
          <w:lang w:val="en-US"/>
        </w:rPr>
      </w:pPr>
    </w:p>
    <w:p w14:paraId="72AE2832" w14:textId="77777777" w:rsidR="008D4936" w:rsidRPr="00556B9B" w:rsidRDefault="008D4936" w:rsidP="00951752">
      <w:pPr>
        <w:keepNext/>
        <w:numPr>
          <w:ilvl w:val="12"/>
          <w:numId w:val="0"/>
        </w:numPr>
        <w:rPr>
          <w:noProof/>
          <w:szCs w:val="24"/>
          <w:lang w:val="en-US"/>
        </w:rPr>
      </w:pPr>
      <w:r w:rsidRPr="00556B9B">
        <w:rPr>
          <w:noProof/>
          <w:szCs w:val="24"/>
          <w:lang w:val="en-US"/>
        </w:rPr>
        <w:t>A frissített kockázatkezelési terv benyújtandó a következő esetekben:</w:t>
      </w:r>
    </w:p>
    <w:p w14:paraId="1E490911" w14:textId="77777777" w:rsidR="008D4936" w:rsidRPr="00556B9B" w:rsidRDefault="008D4936" w:rsidP="00951752">
      <w:pPr>
        <w:keepNext/>
        <w:numPr>
          <w:ilvl w:val="0"/>
          <w:numId w:val="37"/>
        </w:numPr>
        <w:tabs>
          <w:tab w:val="clear" w:pos="720"/>
        </w:tabs>
        <w:suppressAutoHyphens w:val="0"/>
        <w:snapToGrid w:val="0"/>
        <w:ind w:left="567" w:right="-1" w:hanging="567"/>
        <w:rPr>
          <w:noProof/>
          <w:szCs w:val="24"/>
          <w:lang w:val="en-US"/>
        </w:rPr>
      </w:pPr>
      <w:r w:rsidRPr="00556B9B">
        <w:rPr>
          <w:noProof/>
          <w:szCs w:val="24"/>
          <w:lang w:val="en-US"/>
        </w:rPr>
        <w:t>ha az Európai Gyógyszerügynökség ezt indítványozza;</w:t>
      </w:r>
    </w:p>
    <w:p w14:paraId="72ED913D" w14:textId="77777777" w:rsidR="008D4936" w:rsidRPr="00556B9B" w:rsidRDefault="008D4936" w:rsidP="00951752">
      <w:pPr>
        <w:numPr>
          <w:ilvl w:val="0"/>
          <w:numId w:val="37"/>
        </w:numPr>
        <w:tabs>
          <w:tab w:val="clear" w:pos="720"/>
        </w:tabs>
        <w:suppressAutoHyphens w:val="0"/>
        <w:snapToGrid w:val="0"/>
        <w:ind w:left="567" w:right="-1" w:hanging="567"/>
        <w:rPr>
          <w:noProof/>
          <w:szCs w:val="24"/>
          <w:lang w:val="en-US"/>
        </w:rPr>
      </w:pPr>
      <w:r w:rsidRPr="00556B9B">
        <w:rPr>
          <w:noProof/>
          <w:szCs w:val="24"/>
          <w:lang w:val="en-US"/>
        </w:rPr>
        <w:t>ha a kockázatkezelési rendszerben változás történik, főként azt követően, hogy olyan új információ érkezik, amely az előny/kockázat profil jelentős változásához vezethet, illetve (a biztonságos gyógyszeralkalmazásra vagy kockázat-minimalizálásra irányuló) újabb, meghatározó eredmények születnek.</w:t>
      </w:r>
    </w:p>
    <w:p w14:paraId="1EE9B69E" w14:textId="77777777" w:rsidR="008D4936" w:rsidRPr="00556B9B" w:rsidRDefault="008D4936" w:rsidP="00951752">
      <w:pPr>
        <w:numPr>
          <w:ilvl w:val="12"/>
          <w:numId w:val="0"/>
        </w:numPr>
        <w:rPr>
          <w:noProof/>
          <w:szCs w:val="24"/>
          <w:lang w:val="en-US"/>
        </w:rPr>
      </w:pPr>
    </w:p>
    <w:p w14:paraId="070F7CC8" w14:textId="77777777" w:rsidR="00B03625" w:rsidRPr="00556B9B" w:rsidRDefault="00B03625" w:rsidP="00951752">
      <w:pPr>
        <w:keepNext/>
        <w:numPr>
          <w:ilvl w:val="0"/>
          <w:numId w:val="38"/>
        </w:numPr>
        <w:tabs>
          <w:tab w:val="clear" w:pos="720"/>
        </w:tabs>
        <w:suppressAutoHyphens w:val="0"/>
        <w:ind w:left="567" w:hanging="567"/>
        <w:rPr>
          <w:b/>
          <w:bCs/>
        </w:rPr>
      </w:pPr>
      <w:r w:rsidRPr="00556B9B">
        <w:rPr>
          <w:b/>
          <w:noProof/>
          <w:szCs w:val="24"/>
          <w:lang w:val="en-US"/>
        </w:rPr>
        <w:lastRenderedPageBreak/>
        <w:t>Forgalomba hozatalt követő intézkedések teljesítésére vonatkozó speciális kötelezettség</w:t>
      </w:r>
    </w:p>
    <w:p w14:paraId="7832ACAA" w14:textId="77777777" w:rsidR="00B03625" w:rsidRPr="00556B9B" w:rsidRDefault="00B03625" w:rsidP="00951752">
      <w:pPr>
        <w:pStyle w:val="NormalAgency"/>
        <w:keepNext/>
        <w:rPr>
          <w:rFonts w:ascii="Times New Roman" w:hAnsi="Times New Roman"/>
          <w:bCs/>
          <w:iCs/>
          <w:sz w:val="22"/>
          <w:szCs w:val="22"/>
          <w:lang w:val="en-GB"/>
        </w:rPr>
      </w:pPr>
    </w:p>
    <w:p w14:paraId="4B16F5CF" w14:textId="77777777" w:rsidR="00B03625" w:rsidRPr="00556B9B" w:rsidRDefault="00B03625" w:rsidP="00951752">
      <w:pPr>
        <w:keepNext/>
      </w:pPr>
      <w:r w:rsidRPr="00556B9B">
        <w:rPr>
          <w:noProof/>
          <w:szCs w:val="24"/>
          <w:lang w:val="hu-HU"/>
        </w:rPr>
        <w:t>A forgalomba hozatali engedély jogosultjának a megadott határidőn belül meg kell tennie az alábbi intézkedéseket:</w:t>
      </w:r>
    </w:p>
    <w:p w14:paraId="4AE0F05F" w14:textId="77777777" w:rsidR="00B03625" w:rsidRPr="00556B9B" w:rsidRDefault="00B03625" w:rsidP="00951752">
      <w:pPr>
        <w:keepNext/>
      </w:pPr>
    </w:p>
    <w:tbl>
      <w:tblPr>
        <w:tblW w:w="4900" w:type="pct"/>
        <w:tblCellMar>
          <w:left w:w="0" w:type="dxa"/>
          <w:right w:w="0" w:type="dxa"/>
        </w:tblCellMar>
        <w:tblLook w:val="04A0" w:firstRow="1" w:lastRow="0" w:firstColumn="1" w:lastColumn="0" w:noHBand="0" w:noVBand="1"/>
      </w:tblPr>
      <w:tblGrid>
        <w:gridCol w:w="7424"/>
        <w:gridCol w:w="1454"/>
      </w:tblGrid>
      <w:tr w:rsidR="00B03625" w:rsidRPr="00556B9B" w14:paraId="6AD3B7FF" w14:textId="77777777" w:rsidTr="00951752">
        <w:trPr>
          <w:cantSplit/>
        </w:trPr>
        <w:tc>
          <w:tcPr>
            <w:tcW w:w="4181" w:type="pct"/>
            <w:tcBorders>
              <w:top w:val="single" w:sz="4" w:space="0" w:color="auto"/>
              <w:left w:val="single" w:sz="4" w:space="0" w:color="auto"/>
              <w:bottom w:val="single" w:sz="4" w:space="0" w:color="auto"/>
            </w:tcBorders>
            <w:tcMar>
              <w:top w:w="0" w:type="dxa"/>
              <w:left w:w="108" w:type="dxa"/>
              <w:bottom w:w="0" w:type="dxa"/>
              <w:right w:w="108" w:type="dxa"/>
            </w:tcMar>
            <w:hideMark/>
          </w:tcPr>
          <w:p w14:paraId="3272551D" w14:textId="77777777" w:rsidR="00B03625" w:rsidRPr="00556B9B" w:rsidRDefault="00B03625" w:rsidP="00951752">
            <w:pPr>
              <w:keepNext/>
              <w:ind w:right="-1"/>
              <w:rPr>
                <w:rFonts w:eastAsia="Calibri"/>
                <w:b/>
                <w:bCs/>
                <w:szCs w:val="22"/>
              </w:rPr>
            </w:pPr>
            <w:r w:rsidRPr="00556B9B">
              <w:rPr>
                <w:b/>
                <w:bCs/>
              </w:rPr>
              <w:t>Leírás</w:t>
            </w:r>
          </w:p>
        </w:tc>
        <w:tc>
          <w:tcPr>
            <w:tcW w:w="819" w:type="pct"/>
            <w:tcBorders>
              <w:top w:val="single" w:sz="4" w:space="0" w:color="auto"/>
              <w:bottom w:val="single" w:sz="4" w:space="0" w:color="auto"/>
              <w:right w:val="single" w:sz="4" w:space="0" w:color="auto"/>
            </w:tcBorders>
            <w:tcMar>
              <w:top w:w="0" w:type="dxa"/>
              <w:left w:w="108" w:type="dxa"/>
              <w:bottom w:w="0" w:type="dxa"/>
              <w:right w:w="108" w:type="dxa"/>
            </w:tcMar>
            <w:hideMark/>
          </w:tcPr>
          <w:p w14:paraId="673802E3" w14:textId="77777777" w:rsidR="00B03625" w:rsidRPr="00556B9B" w:rsidRDefault="00B03625" w:rsidP="00951752">
            <w:pPr>
              <w:keepNext/>
              <w:ind w:right="-1"/>
              <w:rPr>
                <w:rFonts w:eastAsia="Calibri"/>
                <w:b/>
                <w:bCs/>
                <w:szCs w:val="22"/>
              </w:rPr>
            </w:pPr>
            <w:r w:rsidRPr="00556B9B">
              <w:rPr>
                <w:b/>
                <w:bCs/>
              </w:rPr>
              <w:t>Lejárat napja</w:t>
            </w:r>
          </w:p>
        </w:tc>
      </w:tr>
      <w:tr w:rsidR="00B03625" w:rsidRPr="00556B9B" w14:paraId="5EB18AC3" w14:textId="77777777" w:rsidTr="00951752">
        <w:trPr>
          <w:cantSplit/>
        </w:trPr>
        <w:tc>
          <w:tcPr>
            <w:tcW w:w="4181"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46A34D" w14:textId="77777777" w:rsidR="00B03625" w:rsidRPr="00556B9B" w:rsidRDefault="00B03625" w:rsidP="000E49A9">
            <w:pPr>
              <w:ind w:right="-1"/>
              <w:rPr>
                <w:rFonts w:eastAsia="Calibri"/>
                <w:szCs w:val="22"/>
              </w:rPr>
            </w:pPr>
            <w:r w:rsidRPr="00556B9B">
              <w:t xml:space="preserve">Egy obszervációs adatbázis készítése, mely </w:t>
            </w:r>
            <w:r w:rsidR="00AC3985" w:rsidRPr="00556B9B">
              <w:t>a kemoterápia</w:t>
            </w:r>
            <w:r w:rsidR="00386936" w:rsidRPr="00556B9B">
              <w:t xml:space="preserve"> </w:t>
            </w:r>
            <w:r w:rsidR="00AC3985" w:rsidRPr="00556B9B">
              <w:t>+</w:t>
            </w:r>
            <w:r w:rsidR="00386936" w:rsidRPr="00556B9B">
              <w:t xml:space="preserve"> </w:t>
            </w:r>
            <w:r w:rsidR="00AC3985" w:rsidRPr="00556B9B">
              <w:t>imatinib</w:t>
            </w:r>
            <w:r w:rsidR="00386936" w:rsidRPr="00556B9B">
              <w:t xml:space="preserve"> </w:t>
            </w:r>
            <w:r w:rsidR="00AC3985" w:rsidRPr="00556B9B">
              <w:rPr>
                <w:rFonts w:cs="Times New Roman"/>
              </w:rPr>
              <w:t>±</w:t>
            </w:r>
            <w:r w:rsidR="00386936" w:rsidRPr="00556B9B">
              <w:rPr>
                <w:rFonts w:cs="Times New Roman"/>
              </w:rPr>
              <w:t xml:space="preserve"> </w:t>
            </w:r>
            <w:r w:rsidR="00AC3985" w:rsidRPr="00556B9B">
              <w:t>HSCT-vel kezelt, újonnan diagnosztizált</w:t>
            </w:r>
            <w:r w:rsidR="00A53E6F" w:rsidRPr="00556B9B">
              <w:t>,</w:t>
            </w:r>
            <w:r w:rsidR="00AC3985" w:rsidRPr="00556B9B">
              <w:t xml:space="preserve"> Ph+ </w:t>
            </w:r>
            <w:r w:rsidR="00A53E6F" w:rsidRPr="00556B9B">
              <w:rPr>
                <w:color w:val="000000"/>
                <w:lang w:val="hu-HU"/>
              </w:rPr>
              <w:t>akut lymphoblastos leukaemiában</w:t>
            </w:r>
            <w:r w:rsidR="00A53E6F" w:rsidRPr="00556B9B" w:rsidDel="00A53E6F">
              <w:t xml:space="preserve"> </w:t>
            </w:r>
            <w:r w:rsidR="00AC3985" w:rsidRPr="00556B9B">
              <w:t>(ALL) szenvedő</w:t>
            </w:r>
            <w:r w:rsidR="00A53E6F" w:rsidRPr="00556B9B">
              <w:t>, gyermekgyógyászati</w:t>
            </w:r>
            <w:r w:rsidR="00AC3985" w:rsidRPr="00556B9B">
              <w:t xml:space="preserve"> betegek hatásossági és biztonságossági adatait gyűjti össze. A végső vizsgálati jelentés benyújtása.</w:t>
            </w:r>
          </w:p>
        </w:tc>
        <w:tc>
          <w:tcPr>
            <w:tcW w:w="819"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BF3AFF1" w14:textId="037539FD" w:rsidR="00B03625" w:rsidRPr="00556B9B" w:rsidRDefault="00B25983" w:rsidP="00350EE8">
            <w:pPr>
              <w:ind w:right="-1"/>
              <w:rPr>
                <w:rFonts w:eastAsia="Calibri"/>
                <w:szCs w:val="22"/>
              </w:rPr>
            </w:pPr>
            <w:r w:rsidRPr="00556B9B">
              <w:t>202</w:t>
            </w:r>
            <w:r w:rsidR="00D35D0D">
              <w:t>3</w:t>
            </w:r>
            <w:r w:rsidRPr="00556B9B">
              <w:t xml:space="preserve">. június </w:t>
            </w:r>
            <w:r w:rsidR="00350EE8">
              <w:t>2</w:t>
            </w:r>
            <w:r w:rsidRPr="00556B9B">
              <w:t>3.</w:t>
            </w:r>
          </w:p>
        </w:tc>
      </w:tr>
    </w:tbl>
    <w:p w14:paraId="5C254F5A" w14:textId="77777777" w:rsidR="008D4936" w:rsidRPr="00556B9B" w:rsidRDefault="008D4936" w:rsidP="00951752">
      <w:pPr>
        <w:numPr>
          <w:ilvl w:val="12"/>
          <w:numId w:val="0"/>
        </w:numPr>
        <w:rPr>
          <w:noProof/>
          <w:szCs w:val="24"/>
          <w:lang w:val="en-US"/>
        </w:rPr>
      </w:pPr>
    </w:p>
    <w:p w14:paraId="1E621AD8" w14:textId="77777777" w:rsidR="005A78EA" w:rsidRPr="00556B9B" w:rsidRDefault="005A78EA" w:rsidP="005A78EA">
      <w:pPr>
        <w:ind w:right="-1"/>
        <w:rPr>
          <w:color w:val="000000"/>
          <w:lang w:val="hu-HU"/>
        </w:rPr>
      </w:pPr>
      <w:r w:rsidRPr="00556B9B">
        <w:rPr>
          <w:color w:val="000000"/>
          <w:lang w:val="hu-HU"/>
        </w:rPr>
        <w:br w:type="page"/>
      </w:r>
    </w:p>
    <w:p w14:paraId="34ACA091" w14:textId="77777777" w:rsidR="005A78EA" w:rsidRPr="00556B9B" w:rsidRDefault="005A78EA" w:rsidP="005A78EA">
      <w:pPr>
        <w:spacing w:line="240" w:lineRule="auto"/>
        <w:rPr>
          <w:color w:val="000000"/>
          <w:lang w:val="hu-HU"/>
        </w:rPr>
      </w:pPr>
    </w:p>
    <w:p w14:paraId="5D98BB2F" w14:textId="77777777" w:rsidR="005A78EA" w:rsidRPr="00556B9B" w:rsidRDefault="005A78EA" w:rsidP="005A78EA">
      <w:pPr>
        <w:spacing w:line="240" w:lineRule="auto"/>
        <w:rPr>
          <w:color w:val="000000"/>
          <w:lang w:val="hu-HU"/>
        </w:rPr>
      </w:pPr>
    </w:p>
    <w:p w14:paraId="4751D21D" w14:textId="77777777" w:rsidR="005A78EA" w:rsidRPr="00556B9B" w:rsidRDefault="005A78EA" w:rsidP="005A78EA">
      <w:pPr>
        <w:spacing w:line="240" w:lineRule="auto"/>
        <w:rPr>
          <w:color w:val="000000"/>
          <w:lang w:val="hu-HU"/>
        </w:rPr>
      </w:pPr>
    </w:p>
    <w:p w14:paraId="28F68CC9" w14:textId="77777777" w:rsidR="005A78EA" w:rsidRPr="00556B9B" w:rsidRDefault="005A78EA" w:rsidP="005A78EA">
      <w:pPr>
        <w:spacing w:line="240" w:lineRule="auto"/>
        <w:rPr>
          <w:color w:val="000000"/>
          <w:lang w:val="hu-HU"/>
        </w:rPr>
      </w:pPr>
    </w:p>
    <w:p w14:paraId="1583C43A" w14:textId="77777777" w:rsidR="005A78EA" w:rsidRPr="00556B9B" w:rsidRDefault="005A78EA" w:rsidP="005A78EA">
      <w:pPr>
        <w:spacing w:line="240" w:lineRule="auto"/>
        <w:rPr>
          <w:color w:val="000000"/>
          <w:lang w:val="hu-HU"/>
        </w:rPr>
      </w:pPr>
    </w:p>
    <w:p w14:paraId="7B0BAA4D" w14:textId="77777777" w:rsidR="005A78EA" w:rsidRPr="00556B9B" w:rsidRDefault="005A78EA" w:rsidP="005A78EA">
      <w:pPr>
        <w:spacing w:line="240" w:lineRule="auto"/>
        <w:rPr>
          <w:color w:val="000000"/>
          <w:lang w:val="hu-HU"/>
        </w:rPr>
      </w:pPr>
    </w:p>
    <w:p w14:paraId="099145E2" w14:textId="77777777" w:rsidR="005A78EA" w:rsidRPr="00556B9B" w:rsidRDefault="005A78EA" w:rsidP="005A78EA">
      <w:pPr>
        <w:spacing w:line="240" w:lineRule="auto"/>
        <w:rPr>
          <w:color w:val="000000"/>
          <w:lang w:val="hu-HU"/>
        </w:rPr>
      </w:pPr>
    </w:p>
    <w:p w14:paraId="2532B6F6" w14:textId="77777777" w:rsidR="005A78EA" w:rsidRPr="00556B9B" w:rsidRDefault="005A78EA" w:rsidP="005A78EA">
      <w:pPr>
        <w:spacing w:line="240" w:lineRule="auto"/>
        <w:rPr>
          <w:color w:val="000000"/>
          <w:lang w:val="hu-HU"/>
        </w:rPr>
      </w:pPr>
    </w:p>
    <w:p w14:paraId="25A1B643" w14:textId="77777777" w:rsidR="005A78EA" w:rsidRPr="00556B9B" w:rsidRDefault="005A78EA" w:rsidP="005A78EA">
      <w:pPr>
        <w:spacing w:line="240" w:lineRule="auto"/>
        <w:rPr>
          <w:color w:val="000000"/>
          <w:lang w:val="hu-HU"/>
        </w:rPr>
      </w:pPr>
    </w:p>
    <w:p w14:paraId="47D9F956" w14:textId="77777777" w:rsidR="005A78EA" w:rsidRPr="00556B9B" w:rsidRDefault="005A78EA" w:rsidP="005A78EA">
      <w:pPr>
        <w:spacing w:line="240" w:lineRule="auto"/>
        <w:rPr>
          <w:color w:val="000000"/>
          <w:lang w:val="hu-HU"/>
        </w:rPr>
      </w:pPr>
    </w:p>
    <w:p w14:paraId="103F3FA5" w14:textId="77777777" w:rsidR="005A78EA" w:rsidRPr="00556B9B" w:rsidRDefault="005A78EA" w:rsidP="005A78EA">
      <w:pPr>
        <w:spacing w:line="240" w:lineRule="auto"/>
        <w:rPr>
          <w:color w:val="000000"/>
          <w:lang w:val="hu-HU"/>
        </w:rPr>
      </w:pPr>
    </w:p>
    <w:p w14:paraId="657969E4" w14:textId="77777777" w:rsidR="005A78EA" w:rsidRPr="00556B9B" w:rsidRDefault="005A78EA" w:rsidP="005A78EA">
      <w:pPr>
        <w:spacing w:line="240" w:lineRule="auto"/>
        <w:rPr>
          <w:color w:val="000000"/>
          <w:lang w:val="hu-HU"/>
        </w:rPr>
      </w:pPr>
    </w:p>
    <w:p w14:paraId="7DE03E92" w14:textId="77777777" w:rsidR="005A78EA" w:rsidRPr="00556B9B" w:rsidRDefault="005A78EA" w:rsidP="005A78EA">
      <w:pPr>
        <w:spacing w:line="240" w:lineRule="auto"/>
        <w:rPr>
          <w:color w:val="000000"/>
          <w:lang w:val="hu-HU"/>
        </w:rPr>
      </w:pPr>
    </w:p>
    <w:p w14:paraId="1ECD52B7" w14:textId="77777777" w:rsidR="005A78EA" w:rsidRPr="00556B9B" w:rsidRDefault="005A78EA" w:rsidP="005A78EA">
      <w:pPr>
        <w:spacing w:line="240" w:lineRule="auto"/>
        <w:rPr>
          <w:color w:val="000000"/>
          <w:lang w:val="hu-HU"/>
        </w:rPr>
      </w:pPr>
    </w:p>
    <w:p w14:paraId="45EAEAB5" w14:textId="77777777" w:rsidR="005A78EA" w:rsidRPr="00556B9B" w:rsidRDefault="005A78EA" w:rsidP="005A78EA">
      <w:pPr>
        <w:spacing w:line="240" w:lineRule="auto"/>
        <w:rPr>
          <w:color w:val="000000"/>
          <w:lang w:val="hu-HU"/>
        </w:rPr>
      </w:pPr>
    </w:p>
    <w:p w14:paraId="603AEC61" w14:textId="77777777" w:rsidR="005A78EA" w:rsidRPr="00556B9B" w:rsidRDefault="005A78EA" w:rsidP="005A78EA">
      <w:pPr>
        <w:spacing w:line="240" w:lineRule="auto"/>
        <w:rPr>
          <w:color w:val="000000"/>
          <w:lang w:val="hu-HU"/>
        </w:rPr>
      </w:pPr>
    </w:p>
    <w:p w14:paraId="4F8B4225" w14:textId="77777777" w:rsidR="005A78EA" w:rsidRPr="00556B9B" w:rsidRDefault="005A78EA" w:rsidP="005A78EA">
      <w:pPr>
        <w:spacing w:line="240" w:lineRule="auto"/>
        <w:rPr>
          <w:color w:val="000000"/>
          <w:lang w:val="hu-HU"/>
        </w:rPr>
      </w:pPr>
    </w:p>
    <w:p w14:paraId="2C75576A" w14:textId="77777777" w:rsidR="005A78EA" w:rsidRPr="00556B9B" w:rsidRDefault="005A78EA" w:rsidP="005A78EA">
      <w:pPr>
        <w:spacing w:line="240" w:lineRule="auto"/>
        <w:rPr>
          <w:color w:val="000000"/>
          <w:lang w:val="hu-HU"/>
        </w:rPr>
      </w:pPr>
    </w:p>
    <w:p w14:paraId="2CA74C69" w14:textId="77777777" w:rsidR="005A78EA" w:rsidRPr="00556B9B" w:rsidRDefault="005A78EA" w:rsidP="005A78EA">
      <w:pPr>
        <w:spacing w:line="240" w:lineRule="auto"/>
        <w:rPr>
          <w:color w:val="000000"/>
          <w:lang w:val="hu-HU"/>
        </w:rPr>
      </w:pPr>
    </w:p>
    <w:p w14:paraId="292B15E3" w14:textId="77777777" w:rsidR="005A78EA" w:rsidRPr="00556B9B" w:rsidRDefault="005A78EA" w:rsidP="005A78EA">
      <w:pPr>
        <w:spacing w:line="240" w:lineRule="auto"/>
        <w:rPr>
          <w:color w:val="000000"/>
          <w:lang w:val="hu-HU"/>
        </w:rPr>
      </w:pPr>
    </w:p>
    <w:p w14:paraId="74F372B7" w14:textId="77777777" w:rsidR="005A78EA" w:rsidRPr="00556B9B" w:rsidRDefault="005A78EA" w:rsidP="005A78EA">
      <w:pPr>
        <w:spacing w:line="240" w:lineRule="auto"/>
        <w:rPr>
          <w:color w:val="000000"/>
          <w:lang w:val="hu-HU"/>
        </w:rPr>
      </w:pPr>
    </w:p>
    <w:p w14:paraId="3A84BABC" w14:textId="77777777" w:rsidR="005A78EA" w:rsidRDefault="005A78EA" w:rsidP="005A78EA">
      <w:pPr>
        <w:spacing w:line="240" w:lineRule="auto"/>
        <w:rPr>
          <w:color w:val="000000"/>
          <w:lang w:val="hu-HU"/>
        </w:rPr>
      </w:pPr>
    </w:p>
    <w:p w14:paraId="10FC99A3" w14:textId="77777777" w:rsidR="00951752" w:rsidRDefault="00951752" w:rsidP="005A78EA">
      <w:pPr>
        <w:spacing w:line="240" w:lineRule="auto"/>
        <w:rPr>
          <w:color w:val="000000"/>
          <w:lang w:val="hu-HU"/>
        </w:rPr>
      </w:pPr>
    </w:p>
    <w:p w14:paraId="459EC5CD" w14:textId="77777777" w:rsidR="005A78EA" w:rsidRPr="00556B9B" w:rsidRDefault="005A78EA" w:rsidP="005A78EA">
      <w:pPr>
        <w:spacing w:line="240" w:lineRule="auto"/>
        <w:jc w:val="center"/>
        <w:rPr>
          <w:b/>
          <w:color w:val="000000"/>
          <w:lang w:val="hu-HU"/>
        </w:rPr>
      </w:pPr>
      <w:r w:rsidRPr="00556B9B">
        <w:rPr>
          <w:b/>
          <w:color w:val="000000"/>
          <w:lang w:val="hu-HU"/>
        </w:rPr>
        <w:t>III. MELLÉKLET</w:t>
      </w:r>
    </w:p>
    <w:p w14:paraId="77171D2A" w14:textId="77777777" w:rsidR="005A78EA" w:rsidRPr="00556B9B" w:rsidRDefault="005A78EA" w:rsidP="005A78EA">
      <w:pPr>
        <w:spacing w:line="240" w:lineRule="auto"/>
        <w:jc w:val="center"/>
        <w:rPr>
          <w:color w:val="000000"/>
          <w:lang w:val="hu-HU"/>
        </w:rPr>
      </w:pPr>
    </w:p>
    <w:p w14:paraId="4CC6D057" w14:textId="77777777" w:rsidR="005A78EA" w:rsidRPr="00556B9B" w:rsidRDefault="005A78EA" w:rsidP="005A78EA">
      <w:pPr>
        <w:spacing w:line="240" w:lineRule="auto"/>
        <w:jc w:val="center"/>
        <w:rPr>
          <w:b/>
          <w:color w:val="000000"/>
          <w:lang w:val="hu-HU"/>
        </w:rPr>
      </w:pPr>
      <w:r w:rsidRPr="00556B9B">
        <w:rPr>
          <w:b/>
          <w:color w:val="000000"/>
          <w:lang w:val="hu-HU"/>
        </w:rPr>
        <w:t>CÍMKESZÖVEG ÉS BETEGTÁJÉKOZTATÓ</w:t>
      </w:r>
    </w:p>
    <w:p w14:paraId="02336BA8" w14:textId="77777777" w:rsidR="005A78EA" w:rsidRPr="00556B9B" w:rsidRDefault="00102042" w:rsidP="005A78EA">
      <w:pPr>
        <w:spacing w:line="240" w:lineRule="auto"/>
        <w:rPr>
          <w:color w:val="000000"/>
          <w:lang w:val="hu-HU"/>
        </w:rPr>
      </w:pPr>
      <w:r w:rsidRPr="00556B9B">
        <w:rPr>
          <w:color w:val="000000"/>
          <w:lang w:val="hu-HU"/>
        </w:rPr>
        <w:br w:type="page"/>
      </w:r>
    </w:p>
    <w:p w14:paraId="09B5BB8A" w14:textId="77777777" w:rsidR="00102042" w:rsidRPr="00556B9B" w:rsidRDefault="00102042" w:rsidP="005A78EA">
      <w:pPr>
        <w:spacing w:line="240" w:lineRule="auto"/>
        <w:rPr>
          <w:color w:val="000000"/>
          <w:lang w:val="hu-HU"/>
        </w:rPr>
      </w:pPr>
    </w:p>
    <w:p w14:paraId="1BE856C2" w14:textId="77777777" w:rsidR="005A78EA" w:rsidRPr="00556B9B" w:rsidRDefault="005A78EA" w:rsidP="005A78EA">
      <w:pPr>
        <w:spacing w:line="240" w:lineRule="auto"/>
        <w:rPr>
          <w:color w:val="000000"/>
          <w:lang w:val="hu-HU"/>
        </w:rPr>
      </w:pPr>
    </w:p>
    <w:p w14:paraId="3B550EBC" w14:textId="77777777" w:rsidR="005A78EA" w:rsidRPr="00556B9B" w:rsidRDefault="005A78EA" w:rsidP="005A78EA">
      <w:pPr>
        <w:spacing w:line="240" w:lineRule="auto"/>
        <w:rPr>
          <w:color w:val="000000"/>
          <w:lang w:val="hu-HU"/>
        </w:rPr>
      </w:pPr>
    </w:p>
    <w:p w14:paraId="49230AB7" w14:textId="77777777" w:rsidR="005A78EA" w:rsidRPr="00556B9B" w:rsidRDefault="005A78EA" w:rsidP="005A78EA">
      <w:pPr>
        <w:spacing w:line="240" w:lineRule="auto"/>
        <w:rPr>
          <w:color w:val="000000"/>
          <w:lang w:val="hu-HU"/>
        </w:rPr>
      </w:pPr>
    </w:p>
    <w:p w14:paraId="605EEA7E" w14:textId="77777777" w:rsidR="005A78EA" w:rsidRPr="00556B9B" w:rsidRDefault="005A78EA" w:rsidP="005A78EA">
      <w:pPr>
        <w:spacing w:line="240" w:lineRule="auto"/>
        <w:rPr>
          <w:color w:val="000000"/>
          <w:lang w:val="hu-HU"/>
        </w:rPr>
      </w:pPr>
    </w:p>
    <w:p w14:paraId="3456BFB6" w14:textId="77777777" w:rsidR="005A78EA" w:rsidRPr="00556B9B" w:rsidRDefault="005A78EA" w:rsidP="005A78EA">
      <w:pPr>
        <w:spacing w:line="240" w:lineRule="auto"/>
        <w:rPr>
          <w:color w:val="000000"/>
          <w:lang w:val="hu-HU"/>
        </w:rPr>
      </w:pPr>
    </w:p>
    <w:p w14:paraId="7F057E15" w14:textId="77777777" w:rsidR="005A78EA" w:rsidRPr="00556B9B" w:rsidRDefault="005A78EA" w:rsidP="005A78EA">
      <w:pPr>
        <w:spacing w:line="240" w:lineRule="auto"/>
        <w:rPr>
          <w:color w:val="000000"/>
          <w:lang w:val="hu-HU"/>
        </w:rPr>
      </w:pPr>
    </w:p>
    <w:p w14:paraId="10C2EB16" w14:textId="77777777" w:rsidR="005A78EA" w:rsidRPr="00556B9B" w:rsidRDefault="005A78EA" w:rsidP="005A78EA">
      <w:pPr>
        <w:spacing w:line="240" w:lineRule="auto"/>
        <w:rPr>
          <w:color w:val="000000"/>
          <w:lang w:val="hu-HU"/>
        </w:rPr>
      </w:pPr>
    </w:p>
    <w:p w14:paraId="20C15D6C" w14:textId="77777777" w:rsidR="005A78EA" w:rsidRPr="00556B9B" w:rsidRDefault="005A78EA" w:rsidP="005A78EA">
      <w:pPr>
        <w:spacing w:line="240" w:lineRule="auto"/>
        <w:rPr>
          <w:color w:val="000000"/>
          <w:lang w:val="hu-HU"/>
        </w:rPr>
      </w:pPr>
    </w:p>
    <w:p w14:paraId="3529B514" w14:textId="77777777" w:rsidR="005A78EA" w:rsidRPr="00556B9B" w:rsidRDefault="005A78EA" w:rsidP="005A78EA">
      <w:pPr>
        <w:spacing w:line="240" w:lineRule="auto"/>
        <w:rPr>
          <w:color w:val="000000"/>
          <w:lang w:val="hu-HU"/>
        </w:rPr>
      </w:pPr>
    </w:p>
    <w:p w14:paraId="1C1486A0" w14:textId="77777777" w:rsidR="005A78EA" w:rsidRPr="00556B9B" w:rsidRDefault="005A78EA" w:rsidP="005A78EA">
      <w:pPr>
        <w:spacing w:line="240" w:lineRule="auto"/>
        <w:rPr>
          <w:color w:val="000000"/>
          <w:lang w:val="hu-HU"/>
        </w:rPr>
      </w:pPr>
    </w:p>
    <w:p w14:paraId="5A7D711B" w14:textId="77777777" w:rsidR="005A78EA" w:rsidRPr="00556B9B" w:rsidRDefault="005A78EA" w:rsidP="005A78EA">
      <w:pPr>
        <w:spacing w:line="240" w:lineRule="auto"/>
        <w:rPr>
          <w:color w:val="000000"/>
          <w:lang w:val="hu-HU"/>
        </w:rPr>
      </w:pPr>
    </w:p>
    <w:p w14:paraId="1968EF81" w14:textId="77777777" w:rsidR="005A78EA" w:rsidRPr="00556B9B" w:rsidRDefault="005A78EA" w:rsidP="005A78EA">
      <w:pPr>
        <w:spacing w:line="240" w:lineRule="auto"/>
        <w:rPr>
          <w:color w:val="000000"/>
          <w:lang w:val="hu-HU"/>
        </w:rPr>
      </w:pPr>
    </w:p>
    <w:p w14:paraId="69B8E168" w14:textId="77777777" w:rsidR="005A78EA" w:rsidRPr="00556B9B" w:rsidRDefault="005A78EA" w:rsidP="005A78EA">
      <w:pPr>
        <w:spacing w:line="240" w:lineRule="auto"/>
        <w:rPr>
          <w:color w:val="000000"/>
          <w:lang w:val="hu-HU"/>
        </w:rPr>
      </w:pPr>
    </w:p>
    <w:p w14:paraId="74AC3FCD" w14:textId="77777777" w:rsidR="005A78EA" w:rsidRPr="00556B9B" w:rsidRDefault="005A78EA" w:rsidP="005A78EA">
      <w:pPr>
        <w:spacing w:line="240" w:lineRule="auto"/>
        <w:rPr>
          <w:color w:val="000000"/>
          <w:lang w:val="hu-HU"/>
        </w:rPr>
      </w:pPr>
    </w:p>
    <w:p w14:paraId="0F188054" w14:textId="77777777" w:rsidR="005A78EA" w:rsidRPr="00556B9B" w:rsidRDefault="005A78EA" w:rsidP="005A78EA">
      <w:pPr>
        <w:spacing w:line="240" w:lineRule="auto"/>
        <w:rPr>
          <w:color w:val="000000"/>
          <w:lang w:val="hu-HU"/>
        </w:rPr>
      </w:pPr>
    </w:p>
    <w:p w14:paraId="39FFDCE0" w14:textId="77777777" w:rsidR="005A78EA" w:rsidRPr="00556B9B" w:rsidRDefault="005A78EA" w:rsidP="005A78EA">
      <w:pPr>
        <w:spacing w:line="240" w:lineRule="auto"/>
        <w:rPr>
          <w:color w:val="000000"/>
          <w:lang w:val="hu-HU"/>
        </w:rPr>
      </w:pPr>
    </w:p>
    <w:p w14:paraId="27C9465B" w14:textId="77777777" w:rsidR="005A78EA" w:rsidRPr="00556B9B" w:rsidRDefault="005A78EA" w:rsidP="005A78EA">
      <w:pPr>
        <w:spacing w:line="240" w:lineRule="auto"/>
        <w:rPr>
          <w:color w:val="000000"/>
          <w:lang w:val="hu-HU"/>
        </w:rPr>
      </w:pPr>
    </w:p>
    <w:p w14:paraId="6F9CE7C0" w14:textId="77777777" w:rsidR="005A78EA" w:rsidRPr="00556B9B" w:rsidRDefault="005A78EA" w:rsidP="005A78EA">
      <w:pPr>
        <w:spacing w:line="240" w:lineRule="auto"/>
        <w:rPr>
          <w:color w:val="000000"/>
          <w:lang w:val="hu-HU"/>
        </w:rPr>
      </w:pPr>
    </w:p>
    <w:p w14:paraId="717390A8" w14:textId="77777777" w:rsidR="005A78EA" w:rsidRPr="00556B9B" w:rsidRDefault="005A78EA" w:rsidP="005A78EA">
      <w:pPr>
        <w:spacing w:line="240" w:lineRule="auto"/>
        <w:rPr>
          <w:color w:val="000000"/>
          <w:lang w:val="hu-HU"/>
        </w:rPr>
      </w:pPr>
    </w:p>
    <w:p w14:paraId="79816A0C" w14:textId="77777777" w:rsidR="005A78EA" w:rsidRPr="00556B9B" w:rsidRDefault="005A78EA" w:rsidP="005A78EA">
      <w:pPr>
        <w:spacing w:line="240" w:lineRule="auto"/>
        <w:rPr>
          <w:color w:val="000000"/>
          <w:lang w:val="hu-HU"/>
        </w:rPr>
      </w:pPr>
    </w:p>
    <w:p w14:paraId="74CE59A6" w14:textId="77777777" w:rsidR="005A78EA" w:rsidRDefault="005A78EA" w:rsidP="005A78EA">
      <w:pPr>
        <w:spacing w:line="240" w:lineRule="auto"/>
        <w:rPr>
          <w:color w:val="000000"/>
          <w:lang w:val="hu-HU"/>
        </w:rPr>
      </w:pPr>
    </w:p>
    <w:p w14:paraId="2B5228EC" w14:textId="77777777" w:rsidR="00951752" w:rsidRPr="00556B9B" w:rsidRDefault="00951752" w:rsidP="005A78EA">
      <w:pPr>
        <w:spacing w:line="240" w:lineRule="auto"/>
        <w:rPr>
          <w:color w:val="000000"/>
          <w:lang w:val="hu-HU"/>
        </w:rPr>
      </w:pPr>
    </w:p>
    <w:p w14:paraId="09F8A3B4" w14:textId="77777777" w:rsidR="005A78EA" w:rsidRPr="00556B9B" w:rsidRDefault="005A78EA" w:rsidP="005A78EA">
      <w:pPr>
        <w:spacing w:line="240" w:lineRule="auto"/>
        <w:jc w:val="center"/>
        <w:rPr>
          <w:b/>
          <w:color w:val="000000"/>
          <w:lang w:val="hu-HU"/>
        </w:rPr>
      </w:pPr>
      <w:r w:rsidRPr="00556B9B">
        <w:rPr>
          <w:b/>
          <w:color w:val="000000"/>
          <w:lang w:val="hu-HU"/>
        </w:rPr>
        <w:t>A. CÍMKESZÖVEG</w:t>
      </w:r>
    </w:p>
    <w:p w14:paraId="22ACEC2F" w14:textId="77777777" w:rsidR="005A78EA" w:rsidRPr="00556B9B" w:rsidRDefault="00102042" w:rsidP="005A78EA">
      <w:pPr>
        <w:spacing w:line="240" w:lineRule="auto"/>
        <w:rPr>
          <w:color w:val="000000"/>
          <w:lang w:val="hu-HU"/>
        </w:rPr>
      </w:pPr>
      <w:r w:rsidRPr="00556B9B">
        <w:rPr>
          <w:color w:val="000000"/>
          <w:lang w:val="hu-HU"/>
        </w:rPr>
        <w:br w:type="page"/>
      </w:r>
    </w:p>
    <w:p w14:paraId="273A9FA8" w14:textId="77777777" w:rsidR="00951752" w:rsidRPr="00951752" w:rsidRDefault="00951752" w:rsidP="00951752">
      <w:pPr>
        <w:spacing w:line="240" w:lineRule="auto"/>
        <w:rPr>
          <w:color w:val="000000"/>
          <w:lang w:val="hu-HU"/>
        </w:rPr>
      </w:pPr>
    </w:p>
    <w:p w14:paraId="0F0BAA07"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A KÜLSŐ CSOMAGOLÁSON FELTÜNTETENDŐ ADATOK</w:t>
      </w:r>
    </w:p>
    <w:p w14:paraId="4D8698A6"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color w:val="000000"/>
          <w:lang w:val="hu-HU"/>
        </w:rPr>
      </w:pPr>
    </w:p>
    <w:p w14:paraId="3F9AE46F"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KARTONDOBOZ</w:t>
      </w:r>
    </w:p>
    <w:p w14:paraId="343A3EC8" w14:textId="77777777" w:rsidR="005A78EA" w:rsidRPr="00556B9B" w:rsidRDefault="005A78EA" w:rsidP="005A78EA">
      <w:pPr>
        <w:spacing w:line="240" w:lineRule="auto"/>
        <w:rPr>
          <w:color w:val="000000"/>
          <w:lang w:val="hu-HU"/>
        </w:rPr>
      </w:pPr>
    </w:p>
    <w:p w14:paraId="39874AEF" w14:textId="77777777" w:rsidR="005A78EA" w:rsidRPr="00556B9B" w:rsidRDefault="005A78EA" w:rsidP="005A78EA">
      <w:pPr>
        <w:spacing w:line="240" w:lineRule="auto"/>
        <w:rPr>
          <w:color w:val="000000"/>
          <w:lang w:val="hu-HU"/>
        </w:rPr>
      </w:pPr>
    </w:p>
    <w:p w14:paraId="16528938" w14:textId="77777777" w:rsidR="005A78EA" w:rsidRPr="00556B9B" w:rsidRDefault="005A78EA" w:rsidP="005B325E">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w:t>
      </w:r>
      <w:r w:rsidRPr="00556B9B">
        <w:rPr>
          <w:b/>
          <w:color w:val="000000"/>
          <w:lang w:val="hu-HU"/>
        </w:rPr>
        <w:tab/>
        <w:t>A GYÓGYSZER NEVE</w:t>
      </w:r>
    </w:p>
    <w:p w14:paraId="7766ED60" w14:textId="77777777" w:rsidR="005A78EA" w:rsidRPr="00556B9B" w:rsidRDefault="005A78EA" w:rsidP="005A78EA">
      <w:pPr>
        <w:spacing w:line="240" w:lineRule="auto"/>
        <w:rPr>
          <w:color w:val="000000"/>
          <w:lang w:val="hu-HU"/>
        </w:rPr>
      </w:pPr>
    </w:p>
    <w:p w14:paraId="42AD7961" w14:textId="77777777" w:rsidR="005A78EA" w:rsidRPr="00556B9B" w:rsidRDefault="005A78EA" w:rsidP="005A78EA">
      <w:pPr>
        <w:spacing w:line="240" w:lineRule="auto"/>
        <w:rPr>
          <w:color w:val="000000"/>
          <w:lang w:val="hu-HU"/>
        </w:rPr>
      </w:pPr>
      <w:r w:rsidRPr="00556B9B">
        <w:rPr>
          <w:color w:val="000000"/>
          <w:lang w:val="hu-HU"/>
        </w:rPr>
        <w:t>Glivec 100 mg kemény kapszula</w:t>
      </w:r>
    </w:p>
    <w:p w14:paraId="141661AC" w14:textId="77777777" w:rsidR="005A78EA" w:rsidRPr="00556B9B" w:rsidRDefault="00140E42" w:rsidP="005A78EA">
      <w:pPr>
        <w:spacing w:line="240" w:lineRule="auto"/>
        <w:rPr>
          <w:color w:val="000000"/>
          <w:lang w:val="hu-HU"/>
        </w:rPr>
      </w:pPr>
      <w:r w:rsidRPr="00556B9B">
        <w:rPr>
          <w:color w:val="000000"/>
          <w:lang w:val="hu-HU"/>
        </w:rPr>
        <w:t>i</w:t>
      </w:r>
      <w:r w:rsidR="005A78EA" w:rsidRPr="00556B9B">
        <w:rPr>
          <w:color w:val="000000"/>
          <w:lang w:val="hu-HU"/>
        </w:rPr>
        <w:t>matinib</w:t>
      </w:r>
    </w:p>
    <w:p w14:paraId="39ADB862" w14:textId="77777777" w:rsidR="005A78EA" w:rsidRPr="00556B9B" w:rsidRDefault="005A78EA" w:rsidP="005A78EA">
      <w:pPr>
        <w:spacing w:line="240" w:lineRule="auto"/>
        <w:rPr>
          <w:color w:val="000000"/>
          <w:lang w:val="hu-HU"/>
        </w:rPr>
      </w:pPr>
    </w:p>
    <w:p w14:paraId="58876A95" w14:textId="77777777" w:rsidR="005A78EA" w:rsidRPr="00556B9B" w:rsidRDefault="005A78EA" w:rsidP="005A78EA">
      <w:pPr>
        <w:spacing w:line="240" w:lineRule="auto"/>
        <w:rPr>
          <w:color w:val="000000"/>
          <w:lang w:val="hu-HU"/>
        </w:rPr>
      </w:pPr>
    </w:p>
    <w:p w14:paraId="5E10ADF1"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2.</w:t>
      </w:r>
      <w:r w:rsidRPr="00556B9B">
        <w:rPr>
          <w:b/>
          <w:color w:val="000000"/>
          <w:lang w:val="hu-HU"/>
        </w:rPr>
        <w:tab/>
        <w:t>HATÓANYAG(OK) MEGNEVEZÉSE</w:t>
      </w:r>
    </w:p>
    <w:p w14:paraId="40EDF242" w14:textId="77777777" w:rsidR="005A78EA" w:rsidRPr="00556B9B" w:rsidRDefault="005A78EA" w:rsidP="005A78EA">
      <w:pPr>
        <w:spacing w:line="240" w:lineRule="auto"/>
        <w:rPr>
          <w:color w:val="000000"/>
          <w:lang w:val="hu-HU"/>
        </w:rPr>
      </w:pPr>
    </w:p>
    <w:p w14:paraId="0373A38C" w14:textId="77777777" w:rsidR="005A78EA" w:rsidRPr="00556B9B" w:rsidRDefault="005A78EA" w:rsidP="005A78EA">
      <w:pPr>
        <w:spacing w:line="240" w:lineRule="auto"/>
        <w:rPr>
          <w:color w:val="000000"/>
          <w:lang w:val="hu-HU"/>
        </w:rPr>
      </w:pPr>
      <w:r w:rsidRPr="00556B9B">
        <w:rPr>
          <w:color w:val="000000"/>
          <w:lang w:val="hu-HU"/>
        </w:rPr>
        <w:t>100 mg imatinib (imatinib</w:t>
      </w:r>
      <w:r w:rsidRPr="00556B9B">
        <w:rPr>
          <w:color w:val="000000"/>
          <w:lang w:val="hu-HU"/>
        </w:rPr>
        <w:noBreakHyphen/>
        <w:t>mezilát formájában) kapszulánként.</w:t>
      </w:r>
    </w:p>
    <w:p w14:paraId="0655F5F9" w14:textId="77777777" w:rsidR="005A78EA" w:rsidRPr="00556B9B" w:rsidRDefault="005A78EA" w:rsidP="005A78EA">
      <w:pPr>
        <w:spacing w:line="240" w:lineRule="auto"/>
        <w:rPr>
          <w:color w:val="000000"/>
          <w:lang w:val="hu-HU"/>
        </w:rPr>
      </w:pPr>
    </w:p>
    <w:p w14:paraId="2ACA0935" w14:textId="77777777" w:rsidR="005A78EA" w:rsidRPr="00556B9B" w:rsidRDefault="005A78EA" w:rsidP="005A78EA">
      <w:pPr>
        <w:spacing w:line="240" w:lineRule="auto"/>
        <w:rPr>
          <w:color w:val="000000"/>
          <w:lang w:val="hu-HU"/>
        </w:rPr>
      </w:pPr>
    </w:p>
    <w:p w14:paraId="23CFEF20"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3.</w:t>
      </w:r>
      <w:r w:rsidRPr="00556B9B">
        <w:rPr>
          <w:b/>
          <w:color w:val="000000"/>
          <w:lang w:val="hu-HU"/>
        </w:rPr>
        <w:tab/>
        <w:t>SEGÉDANYAGOK FELSOROLÁSA</w:t>
      </w:r>
    </w:p>
    <w:p w14:paraId="7B15734A" w14:textId="77777777" w:rsidR="005A78EA" w:rsidRPr="00556B9B" w:rsidRDefault="005A78EA" w:rsidP="005A78EA">
      <w:pPr>
        <w:spacing w:line="240" w:lineRule="auto"/>
        <w:rPr>
          <w:color w:val="000000"/>
          <w:lang w:val="hu-HU"/>
        </w:rPr>
      </w:pPr>
    </w:p>
    <w:p w14:paraId="00F4E7D4" w14:textId="77777777" w:rsidR="005A78EA" w:rsidRPr="00556B9B" w:rsidRDefault="005A78EA" w:rsidP="005A78EA">
      <w:pPr>
        <w:spacing w:line="240" w:lineRule="auto"/>
        <w:rPr>
          <w:color w:val="000000"/>
          <w:lang w:val="hu-HU"/>
        </w:rPr>
      </w:pPr>
    </w:p>
    <w:p w14:paraId="4E6E72ED"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4.</w:t>
      </w:r>
      <w:r w:rsidRPr="00556B9B">
        <w:rPr>
          <w:b/>
          <w:color w:val="000000"/>
          <w:lang w:val="hu-HU"/>
        </w:rPr>
        <w:tab/>
        <w:t>GYÓGYSZERFORMA ÉS TARTALOM</w:t>
      </w:r>
    </w:p>
    <w:p w14:paraId="7E3BCFCD" w14:textId="77777777" w:rsidR="005A78EA" w:rsidRPr="00556B9B" w:rsidRDefault="005A78EA" w:rsidP="005A78EA">
      <w:pPr>
        <w:spacing w:line="240" w:lineRule="auto"/>
        <w:rPr>
          <w:color w:val="000000"/>
          <w:lang w:val="hu-HU"/>
        </w:rPr>
      </w:pPr>
    </w:p>
    <w:p w14:paraId="579FF1BE" w14:textId="77777777" w:rsidR="005A78EA" w:rsidRPr="00556B9B" w:rsidRDefault="005A78EA" w:rsidP="005A78EA">
      <w:pPr>
        <w:spacing w:line="240" w:lineRule="auto"/>
        <w:rPr>
          <w:color w:val="000000"/>
          <w:lang w:val="hu-HU"/>
        </w:rPr>
      </w:pPr>
      <w:r w:rsidRPr="00556B9B">
        <w:rPr>
          <w:color w:val="000000"/>
          <w:lang w:val="hu-HU"/>
        </w:rPr>
        <w:t>24 db kemény kapszula</w:t>
      </w:r>
    </w:p>
    <w:p w14:paraId="2E09F30C"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48 db kemény kapszula</w:t>
      </w:r>
    </w:p>
    <w:p w14:paraId="4EBDD1D9"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96 db kemény kapszula</w:t>
      </w:r>
    </w:p>
    <w:p w14:paraId="63285E67"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120 db kemény kapszula</w:t>
      </w:r>
    </w:p>
    <w:p w14:paraId="1EBA76D4"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180 db kemény kapszula</w:t>
      </w:r>
    </w:p>
    <w:p w14:paraId="726D5B95" w14:textId="77777777" w:rsidR="005A78EA" w:rsidRPr="00556B9B" w:rsidRDefault="005A78EA" w:rsidP="005A78EA">
      <w:pPr>
        <w:spacing w:line="240" w:lineRule="auto"/>
        <w:rPr>
          <w:color w:val="000000"/>
          <w:lang w:val="hu-HU"/>
        </w:rPr>
      </w:pPr>
    </w:p>
    <w:p w14:paraId="685F68A6" w14:textId="77777777" w:rsidR="005A78EA" w:rsidRPr="00556B9B" w:rsidRDefault="005A78EA" w:rsidP="005A78EA">
      <w:pPr>
        <w:spacing w:line="240" w:lineRule="auto"/>
        <w:rPr>
          <w:color w:val="000000"/>
          <w:lang w:val="hu-HU"/>
        </w:rPr>
      </w:pPr>
    </w:p>
    <w:p w14:paraId="2F3E9C85"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5.</w:t>
      </w:r>
      <w:r w:rsidRPr="00556B9B">
        <w:rPr>
          <w:b/>
          <w:color w:val="000000"/>
          <w:lang w:val="hu-HU"/>
        </w:rPr>
        <w:tab/>
        <w:t>AZ ALKALMAZÁSSAL KAPCSOLATOS TUDNIVALÓK ÉS AZ ALKALMAZÁS MÓDJA(I)</w:t>
      </w:r>
    </w:p>
    <w:p w14:paraId="10076998" w14:textId="77777777" w:rsidR="005A78EA" w:rsidRPr="00556B9B" w:rsidRDefault="005A78EA" w:rsidP="005A78EA">
      <w:pPr>
        <w:spacing w:line="240" w:lineRule="auto"/>
        <w:rPr>
          <w:color w:val="000000"/>
          <w:lang w:val="hu-HU"/>
        </w:rPr>
      </w:pPr>
    </w:p>
    <w:p w14:paraId="076AA671" w14:textId="77777777" w:rsidR="005A78EA" w:rsidRPr="00556B9B" w:rsidRDefault="00431596" w:rsidP="005A78EA">
      <w:pPr>
        <w:rPr>
          <w:color w:val="000000"/>
          <w:lang w:val="hu-HU"/>
        </w:rPr>
      </w:pPr>
      <w:r w:rsidRPr="00556B9B">
        <w:rPr>
          <w:color w:val="000000"/>
          <w:lang w:val="hu-HU"/>
        </w:rPr>
        <w:t xml:space="preserve">Szájon át történő </w:t>
      </w:r>
      <w:r w:rsidR="005A78EA" w:rsidRPr="00556B9B">
        <w:rPr>
          <w:color w:val="000000"/>
          <w:lang w:val="hu-HU"/>
        </w:rPr>
        <w:t>alkalmazás</w:t>
      </w:r>
      <w:r w:rsidRPr="00556B9B">
        <w:rPr>
          <w:color w:val="000000"/>
          <w:lang w:val="hu-HU"/>
        </w:rPr>
        <w:t>ra</w:t>
      </w:r>
      <w:r w:rsidR="005A78EA" w:rsidRPr="00556B9B">
        <w:rPr>
          <w:color w:val="000000"/>
          <w:lang w:val="hu-HU"/>
        </w:rPr>
        <w:t>. Használat előtt olvassa el a mellékelt betegtájékoztatót!</w:t>
      </w:r>
    </w:p>
    <w:p w14:paraId="217FF5B3" w14:textId="77777777" w:rsidR="005A78EA" w:rsidRPr="00556B9B" w:rsidRDefault="005A78EA" w:rsidP="005A78EA">
      <w:pPr>
        <w:spacing w:line="240" w:lineRule="auto"/>
        <w:rPr>
          <w:color w:val="000000"/>
          <w:lang w:val="hu-HU"/>
        </w:rPr>
      </w:pPr>
    </w:p>
    <w:p w14:paraId="450193CB" w14:textId="77777777" w:rsidR="005A78EA" w:rsidRPr="00556B9B" w:rsidRDefault="005A78EA" w:rsidP="005A78EA">
      <w:pPr>
        <w:spacing w:line="240" w:lineRule="auto"/>
        <w:rPr>
          <w:color w:val="000000"/>
          <w:lang w:val="hu-HU"/>
        </w:rPr>
      </w:pPr>
    </w:p>
    <w:p w14:paraId="688F9C53"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6.</w:t>
      </w:r>
      <w:r w:rsidRPr="00556B9B">
        <w:rPr>
          <w:b/>
          <w:color w:val="000000"/>
          <w:lang w:val="hu-HU"/>
        </w:rPr>
        <w:tab/>
        <w:t xml:space="preserve">KÜLÖN FIGYELMEZTETÉS, MELY SZERINT A GYÓGYSZERT GYERMEKEKTŐL ELZÁRVA </w:t>
      </w:r>
      <w:smartTag w:uri="urn:schemas-microsoft-com:office:smarttags" w:element="stockticker">
        <w:r w:rsidRPr="00556B9B">
          <w:rPr>
            <w:b/>
            <w:color w:val="000000"/>
            <w:lang w:val="hu-HU"/>
          </w:rPr>
          <w:t>KELL</w:t>
        </w:r>
      </w:smartTag>
      <w:r w:rsidRPr="00556B9B">
        <w:rPr>
          <w:b/>
          <w:color w:val="000000"/>
          <w:lang w:val="hu-HU"/>
        </w:rPr>
        <w:t xml:space="preserve"> TARTANI</w:t>
      </w:r>
    </w:p>
    <w:p w14:paraId="686D043A" w14:textId="77777777" w:rsidR="005A78EA" w:rsidRPr="00556B9B" w:rsidRDefault="005A78EA" w:rsidP="005A78EA">
      <w:pPr>
        <w:spacing w:line="240" w:lineRule="auto"/>
        <w:rPr>
          <w:color w:val="000000"/>
          <w:lang w:val="hu-HU"/>
        </w:rPr>
      </w:pPr>
    </w:p>
    <w:p w14:paraId="39480A60" w14:textId="77777777" w:rsidR="005A78EA" w:rsidRPr="00556B9B" w:rsidRDefault="005A78EA" w:rsidP="005A78EA">
      <w:pPr>
        <w:spacing w:line="240" w:lineRule="auto"/>
        <w:rPr>
          <w:color w:val="000000"/>
          <w:lang w:val="hu-HU"/>
        </w:rPr>
      </w:pPr>
      <w:r w:rsidRPr="00556B9B">
        <w:rPr>
          <w:color w:val="000000"/>
          <w:lang w:val="hu-HU"/>
        </w:rPr>
        <w:t>A gyógyszer gyermekektől elzárva tartandó!</w:t>
      </w:r>
    </w:p>
    <w:p w14:paraId="1BC2CE88" w14:textId="77777777" w:rsidR="005A78EA" w:rsidRPr="00556B9B" w:rsidRDefault="005A78EA" w:rsidP="005A78EA">
      <w:pPr>
        <w:spacing w:line="240" w:lineRule="auto"/>
        <w:rPr>
          <w:color w:val="000000"/>
          <w:lang w:val="hu-HU"/>
        </w:rPr>
      </w:pPr>
    </w:p>
    <w:p w14:paraId="1B7A0017" w14:textId="77777777" w:rsidR="005A78EA" w:rsidRPr="00556B9B" w:rsidRDefault="005A78EA" w:rsidP="005A78EA">
      <w:pPr>
        <w:spacing w:line="240" w:lineRule="auto"/>
        <w:rPr>
          <w:color w:val="000000"/>
          <w:lang w:val="hu-HU"/>
        </w:rPr>
      </w:pPr>
    </w:p>
    <w:p w14:paraId="32622D2D"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7.</w:t>
      </w:r>
      <w:r w:rsidRPr="00556B9B">
        <w:rPr>
          <w:b/>
          <w:color w:val="000000"/>
          <w:lang w:val="hu-HU"/>
        </w:rPr>
        <w:tab/>
        <w:t>TOVÁBBI FIGYELMEZTETÉS(EK), AMENNYIBEN SZÜKSÉGES</w:t>
      </w:r>
    </w:p>
    <w:p w14:paraId="7B6BE160" w14:textId="77777777" w:rsidR="005A78EA" w:rsidRPr="00556B9B" w:rsidRDefault="005A78EA" w:rsidP="005A78EA">
      <w:pPr>
        <w:spacing w:line="240" w:lineRule="auto"/>
        <w:rPr>
          <w:color w:val="000000"/>
          <w:lang w:val="hu-HU"/>
        </w:rPr>
      </w:pPr>
    </w:p>
    <w:p w14:paraId="74B20B65" w14:textId="77777777" w:rsidR="005A78EA" w:rsidRPr="00556B9B" w:rsidRDefault="005A78EA" w:rsidP="005A78EA">
      <w:pPr>
        <w:spacing w:line="240" w:lineRule="auto"/>
        <w:rPr>
          <w:color w:val="000000"/>
          <w:lang w:val="hu-HU"/>
        </w:rPr>
      </w:pPr>
      <w:r w:rsidRPr="00556B9B">
        <w:rPr>
          <w:color w:val="000000"/>
          <w:lang w:val="hu-HU"/>
        </w:rPr>
        <w:t>Adagolása kizárólag az orvos utasításai szerint.</w:t>
      </w:r>
    </w:p>
    <w:p w14:paraId="6D6C14B4" w14:textId="77777777" w:rsidR="005A78EA" w:rsidRPr="00556B9B" w:rsidRDefault="005A78EA" w:rsidP="005A78EA">
      <w:pPr>
        <w:spacing w:line="240" w:lineRule="auto"/>
        <w:rPr>
          <w:color w:val="000000"/>
          <w:lang w:val="hu-HU"/>
        </w:rPr>
      </w:pPr>
    </w:p>
    <w:p w14:paraId="666336B3" w14:textId="77777777" w:rsidR="005A78EA" w:rsidRPr="00556B9B" w:rsidRDefault="005A78EA" w:rsidP="005A78EA">
      <w:pPr>
        <w:spacing w:line="240" w:lineRule="auto"/>
        <w:rPr>
          <w:color w:val="000000"/>
          <w:lang w:val="hu-HU"/>
        </w:rPr>
      </w:pPr>
    </w:p>
    <w:p w14:paraId="07364DDE"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8.</w:t>
      </w:r>
      <w:r w:rsidRPr="00556B9B">
        <w:rPr>
          <w:b/>
          <w:color w:val="000000"/>
          <w:lang w:val="hu-HU"/>
        </w:rPr>
        <w:tab/>
        <w:t>LEJÁRATI IDŐ</w:t>
      </w:r>
    </w:p>
    <w:p w14:paraId="4955F326" w14:textId="77777777" w:rsidR="005A78EA" w:rsidRPr="00556B9B" w:rsidRDefault="005A78EA" w:rsidP="005A78EA">
      <w:pPr>
        <w:spacing w:line="240" w:lineRule="auto"/>
        <w:rPr>
          <w:color w:val="000000"/>
          <w:lang w:val="hu-HU"/>
        </w:rPr>
      </w:pPr>
    </w:p>
    <w:p w14:paraId="015DC6CF" w14:textId="77777777" w:rsidR="005A78EA" w:rsidRPr="00556B9B" w:rsidRDefault="005A78EA" w:rsidP="005A78EA">
      <w:pPr>
        <w:spacing w:line="240" w:lineRule="auto"/>
        <w:rPr>
          <w:color w:val="000000"/>
          <w:lang w:val="hu-HU"/>
        </w:rPr>
      </w:pPr>
      <w:r w:rsidRPr="00556B9B">
        <w:rPr>
          <w:color w:val="000000"/>
          <w:lang w:val="hu-HU"/>
        </w:rPr>
        <w:t>Felhasználható:</w:t>
      </w:r>
    </w:p>
    <w:p w14:paraId="05A0AA0D" w14:textId="77777777" w:rsidR="005A78EA" w:rsidRPr="00556B9B" w:rsidRDefault="005A78EA" w:rsidP="005A78EA">
      <w:pPr>
        <w:spacing w:line="240" w:lineRule="auto"/>
        <w:rPr>
          <w:color w:val="000000"/>
          <w:lang w:val="hu-HU"/>
        </w:rPr>
      </w:pPr>
    </w:p>
    <w:p w14:paraId="7FA866B3" w14:textId="77777777" w:rsidR="005A78EA" w:rsidRPr="00556B9B" w:rsidRDefault="005A78EA" w:rsidP="005A78EA">
      <w:pPr>
        <w:spacing w:line="240" w:lineRule="auto"/>
        <w:rPr>
          <w:color w:val="000000"/>
          <w:lang w:val="hu-HU"/>
        </w:rPr>
      </w:pPr>
    </w:p>
    <w:p w14:paraId="7A78CC47" w14:textId="77777777" w:rsidR="005A78EA" w:rsidRPr="00556B9B" w:rsidRDefault="005A78EA" w:rsidP="00951752">
      <w:pPr>
        <w:keepNext/>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lastRenderedPageBreak/>
        <w:t>9.</w:t>
      </w:r>
      <w:r w:rsidRPr="00556B9B">
        <w:rPr>
          <w:b/>
          <w:color w:val="000000"/>
          <w:lang w:val="hu-HU"/>
        </w:rPr>
        <w:tab/>
        <w:t>KÜLÖNLEGES TÁROLÁSI ELŐÍRÁSOK</w:t>
      </w:r>
    </w:p>
    <w:p w14:paraId="0741CC4A" w14:textId="77777777" w:rsidR="005A78EA" w:rsidRPr="00556B9B" w:rsidRDefault="005A78EA" w:rsidP="00951752">
      <w:pPr>
        <w:keepNext/>
        <w:spacing w:line="240" w:lineRule="auto"/>
        <w:rPr>
          <w:color w:val="000000"/>
          <w:lang w:val="hu-HU"/>
        </w:rPr>
      </w:pPr>
    </w:p>
    <w:p w14:paraId="0246D62E" w14:textId="77777777" w:rsidR="005A78EA" w:rsidRPr="00556B9B" w:rsidRDefault="005A78EA" w:rsidP="00951752">
      <w:pPr>
        <w:keepNext/>
        <w:spacing w:line="240" w:lineRule="auto"/>
        <w:rPr>
          <w:color w:val="000000"/>
          <w:lang w:val="hu-HU"/>
        </w:rPr>
      </w:pPr>
      <w:r w:rsidRPr="00556B9B">
        <w:rPr>
          <w:color w:val="000000"/>
          <w:lang w:val="hu-HU"/>
        </w:rPr>
        <w:t>Legfeljebb 30</w:t>
      </w:r>
      <w:r w:rsidRPr="00556B9B">
        <w:rPr>
          <w:color w:val="000000"/>
          <w:lang w:val="hu-HU"/>
        </w:rPr>
        <w:sym w:font="Symbol" w:char="F0B0"/>
      </w:r>
      <w:r w:rsidRPr="00556B9B">
        <w:rPr>
          <w:color w:val="000000"/>
          <w:lang w:val="hu-HU"/>
        </w:rPr>
        <w:t>C</w:t>
      </w:r>
      <w:r w:rsidRPr="00556B9B">
        <w:rPr>
          <w:color w:val="000000"/>
          <w:lang w:val="hu-HU"/>
        </w:rPr>
        <w:noBreakHyphen/>
        <w:t>on tárolandó. A nedvességtől való védelem érdekében az eredeti csomagolásban tárolandó.</w:t>
      </w:r>
    </w:p>
    <w:p w14:paraId="72934506" w14:textId="77777777" w:rsidR="005A78EA" w:rsidRPr="00556B9B" w:rsidRDefault="005A78EA" w:rsidP="00951752">
      <w:pPr>
        <w:keepNext/>
        <w:spacing w:line="240" w:lineRule="auto"/>
        <w:rPr>
          <w:color w:val="000000"/>
          <w:lang w:val="hu-HU"/>
        </w:rPr>
      </w:pPr>
    </w:p>
    <w:p w14:paraId="16CBFEBB" w14:textId="77777777" w:rsidR="005A78EA" w:rsidRPr="00556B9B" w:rsidRDefault="005A78EA" w:rsidP="005A78EA">
      <w:pPr>
        <w:spacing w:line="240" w:lineRule="auto"/>
        <w:rPr>
          <w:color w:val="000000"/>
          <w:lang w:val="hu-HU"/>
        </w:rPr>
      </w:pPr>
    </w:p>
    <w:p w14:paraId="2AF8069B"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10.</w:t>
      </w:r>
      <w:r w:rsidRPr="00556B9B">
        <w:rPr>
          <w:b/>
          <w:color w:val="000000"/>
          <w:lang w:val="hu-HU"/>
        </w:rPr>
        <w:tab/>
        <w:t xml:space="preserve">KÜLÖNLEGES ÓVINTÉZKEDÉSEK A FEL </w:t>
      </w:r>
      <w:smartTag w:uri="urn:schemas-microsoft-com:office:smarttags" w:element="stockticker">
        <w:r w:rsidRPr="00556B9B">
          <w:rPr>
            <w:b/>
            <w:color w:val="000000"/>
            <w:lang w:val="hu-HU"/>
          </w:rPr>
          <w:t>NEM</w:t>
        </w:r>
      </w:smartTag>
      <w:r w:rsidRPr="00556B9B">
        <w:rPr>
          <w:b/>
          <w:color w:val="000000"/>
          <w:lang w:val="hu-HU"/>
        </w:rPr>
        <w:t xml:space="preserve"> HASZNÁLT GYÓGYSZEREK VAGY AZ ILYEN TERMÉKEKBŐL KELETKEZETT HULLADÉKANYAGOK ÁRTALMATLANNÁ TÉTELÉRE, HA ILYENEKRE SZÜKSÉG VAN</w:t>
      </w:r>
    </w:p>
    <w:p w14:paraId="08222468" w14:textId="77777777" w:rsidR="005A78EA" w:rsidRPr="00556B9B" w:rsidRDefault="005A78EA" w:rsidP="005A78EA">
      <w:pPr>
        <w:spacing w:line="240" w:lineRule="auto"/>
        <w:rPr>
          <w:color w:val="000000"/>
          <w:lang w:val="hu-HU"/>
        </w:rPr>
      </w:pPr>
    </w:p>
    <w:p w14:paraId="20DB50D2" w14:textId="77777777" w:rsidR="005A78EA" w:rsidRPr="00556B9B" w:rsidRDefault="005A78EA" w:rsidP="005A78EA">
      <w:pPr>
        <w:spacing w:line="240" w:lineRule="auto"/>
        <w:rPr>
          <w:color w:val="000000"/>
          <w:lang w:val="hu-HU"/>
        </w:rPr>
      </w:pPr>
    </w:p>
    <w:p w14:paraId="18B8541F"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11.</w:t>
      </w:r>
      <w:r w:rsidRPr="00556B9B">
        <w:rPr>
          <w:b/>
          <w:color w:val="000000"/>
          <w:lang w:val="hu-HU"/>
        </w:rPr>
        <w:tab/>
        <w:t>A FORGALOMBA HOZATALI ENGEDÉLY JOGOSULTJÁNAK NEVE ÉS CÍME</w:t>
      </w:r>
    </w:p>
    <w:p w14:paraId="727FD5D7" w14:textId="77777777" w:rsidR="005A78EA" w:rsidRPr="00556B9B" w:rsidRDefault="005A78EA" w:rsidP="005A78EA">
      <w:pPr>
        <w:spacing w:line="240" w:lineRule="auto"/>
        <w:rPr>
          <w:color w:val="000000"/>
          <w:lang w:val="hu-HU"/>
        </w:rPr>
      </w:pPr>
    </w:p>
    <w:p w14:paraId="2D3B9C3B" w14:textId="77777777" w:rsidR="005A78EA" w:rsidRPr="00556B9B" w:rsidRDefault="005A78EA" w:rsidP="005A78EA">
      <w:pPr>
        <w:spacing w:line="240" w:lineRule="auto"/>
        <w:rPr>
          <w:color w:val="000000"/>
          <w:lang w:val="hu-HU"/>
        </w:rPr>
      </w:pPr>
      <w:r w:rsidRPr="00556B9B">
        <w:rPr>
          <w:color w:val="000000"/>
          <w:lang w:val="hu-HU"/>
        </w:rPr>
        <w:t>Novartis Europharm Limited</w:t>
      </w:r>
    </w:p>
    <w:p w14:paraId="62E5587A" w14:textId="77777777" w:rsidR="002000AC" w:rsidRPr="00556B9B" w:rsidRDefault="002000AC" w:rsidP="002000AC">
      <w:pPr>
        <w:keepNext/>
        <w:widowControl w:val="0"/>
        <w:spacing w:line="240" w:lineRule="auto"/>
        <w:rPr>
          <w:color w:val="000000"/>
        </w:rPr>
      </w:pPr>
      <w:r w:rsidRPr="00556B9B">
        <w:rPr>
          <w:color w:val="000000"/>
        </w:rPr>
        <w:t>Vista Building</w:t>
      </w:r>
    </w:p>
    <w:p w14:paraId="13802062" w14:textId="77777777" w:rsidR="002000AC" w:rsidRPr="00556B9B" w:rsidRDefault="002000AC" w:rsidP="002000AC">
      <w:pPr>
        <w:keepNext/>
        <w:widowControl w:val="0"/>
        <w:spacing w:line="240" w:lineRule="auto"/>
        <w:rPr>
          <w:color w:val="000000"/>
        </w:rPr>
      </w:pPr>
      <w:r w:rsidRPr="00556B9B">
        <w:rPr>
          <w:color w:val="000000"/>
        </w:rPr>
        <w:t>Elm Park, Merrion Road</w:t>
      </w:r>
    </w:p>
    <w:p w14:paraId="3566FDD5" w14:textId="77777777" w:rsidR="002000AC" w:rsidRPr="00556B9B" w:rsidRDefault="002000AC" w:rsidP="002000AC">
      <w:pPr>
        <w:keepNext/>
        <w:widowControl w:val="0"/>
        <w:spacing w:line="240" w:lineRule="auto"/>
        <w:rPr>
          <w:color w:val="000000"/>
        </w:rPr>
      </w:pPr>
      <w:r w:rsidRPr="00556B9B">
        <w:rPr>
          <w:color w:val="000000"/>
        </w:rPr>
        <w:t>Dublin 4</w:t>
      </w:r>
    </w:p>
    <w:p w14:paraId="4B24B0FD" w14:textId="77777777" w:rsidR="005A78EA" w:rsidRPr="00556B9B" w:rsidRDefault="002000AC" w:rsidP="005A78EA">
      <w:pPr>
        <w:spacing w:line="240" w:lineRule="auto"/>
        <w:rPr>
          <w:color w:val="000000"/>
          <w:lang w:val="hu-HU"/>
        </w:rPr>
      </w:pPr>
      <w:r w:rsidRPr="00556B9B">
        <w:rPr>
          <w:color w:val="000000"/>
        </w:rPr>
        <w:t>Írország</w:t>
      </w:r>
    </w:p>
    <w:p w14:paraId="59A6C73B" w14:textId="77777777" w:rsidR="005A78EA" w:rsidRPr="00556B9B" w:rsidRDefault="005A78EA" w:rsidP="005A78EA">
      <w:pPr>
        <w:spacing w:line="240" w:lineRule="auto"/>
        <w:rPr>
          <w:color w:val="000000"/>
          <w:lang w:val="hu-HU"/>
        </w:rPr>
      </w:pPr>
    </w:p>
    <w:p w14:paraId="6E35FCCB" w14:textId="77777777" w:rsidR="005A78EA" w:rsidRPr="00556B9B" w:rsidRDefault="005A78EA" w:rsidP="005A78EA">
      <w:pPr>
        <w:spacing w:line="240" w:lineRule="auto"/>
        <w:rPr>
          <w:color w:val="000000"/>
          <w:lang w:val="hu-HU"/>
        </w:rPr>
      </w:pPr>
    </w:p>
    <w:p w14:paraId="282FFA33"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12.</w:t>
      </w:r>
      <w:r w:rsidRPr="00556B9B">
        <w:rPr>
          <w:b/>
          <w:color w:val="000000"/>
          <w:lang w:val="hu-HU"/>
        </w:rPr>
        <w:tab/>
        <w:t>A FORGALOMBA HOZATALI ENGEDÉLY SZÁMA(I)</w:t>
      </w:r>
    </w:p>
    <w:p w14:paraId="539E3325" w14:textId="77777777" w:rsidR="005A78EA" w:rsidRPr="00556B9B" w:rsidRDefault="005A78EA" w:rsidP="005A78EA">
      <w:pPr>
        <w:spacing w:line="240" w:lineRule="auto"/>
        <w:rPr>
          <w:color w:val="000000"/>
          <w:lang w:val="hu-HU"/>
        </w:rPr>
      </w:pPr>
    </w:p>
    <w:p w14:paraId="771CEA41"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lang w:val="hu-HU"/>
        </w:rPr>
        <w:t>EU/1/01/198/002</w:t>
      </w:r>
      <w:r w:rsidRPr="00556B9B">
        <w:rPr>
          <w:color w:val="000000"/>
          <w:lang w:val="hu-HU"/>
        </w:rPr>
        <w:tab/>
      </w:r>
      <w:r w:rsidRPr="00556B9B">
        <w:rPr>
          <w:color w:val="000000"/>
          <w:shd w:val="clear" w:color="auto" w:fill="D9D9D9"/>
          <w:lang w:val="hu-HU"/>
        </w:rPr>
        <w:t>24 kapszula</w:t>
      </w:r>
    </w:p>
    <w:p w14:paraId="2B53BB52"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EU/1/01/198/003</w:t>
      </w:r>
      <w:r w:rsidRPr="00556B9B">
        <w:rPr>
          <w:color w:val="000000"/>
          <w:shd w:val="clear" w:color="auto" w:fill="D9D9D9"/>
          <w:lang w:val="hu-HU"/>
        </w:rPr>
        <w:tab/>
        <w:t>48 kapszula</w:t>
      </w:r>
    </w:p>
    <w:p w14:paraId="46460E6F"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EU/1/01/198/004</w:t>
      </w:r>
      <w:r w:rsidRPr="00556B9B">
        <w:rPr>
          <w:color w:val="000000"/>
          <w:shd w:val="clear" w:color="auto" w:fill="D9D9D9"/>
          <w:lang w:val="hu-HU"/>
        </w:rPr>
        <w:tab/>
        <w:t>96 kapszula</w:t>
      </w:r>
    </w:p>
    <w:p w14:paraId="08A48368"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EU/1/01/198/005</w:t>
      </w:r>
      <w:r w:rsidRPr="00556B9B">
        <w:rPr>
          <w:color w:val="000000"/>
          <w:shd w:val="clear" w:color="auto" w:fill="D9D9D9"/>
          <w:lang w:val="hu-HU"/>
        </w:rPr>
        <w:tab/>
        <w:t>120 kapszula</w:t>
      </w:r>
    </w:p>
    <w:p w14:paraId="2A51E069"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EU/1/01/198/006</w:t>
      </w:r>
      <w:r w:rsidRPr="00556B9B">
        <w:rPr>
          <w:color w:val="000000"/>
          <w:shd w:val="clear" w:color="auto" w:fill="D9D9D9"/>
          <w:lang w:val="hu-HU"/>
        </w:rPr>
        <w:tab/>
        <w:t>180 kapszula</w:t>
      </w:r>
    </w:p>
    <w:p w14:paraId="221AD564" w14:textId="77777777" w:rsidR="005A78EA" w:rsidRPr="00556B9B" w:rsidRDefault="005A78EA" w:rsidP="005A78EA">
      <w:pPr>
        <w:spacing w:line="240" w:lineRule="auto"/>
        <w:rPr>
          <w:color w:val="000000"/>
          <w:lang w:val="hu-HU"/>
        </w:rPr>
      </w:pPr>
    </w:p>
    <w:p w14:paraId="7A792E79" w14:textId="77777777" w:rsidR="005A78EA" w:rsidRPr="00556B9B" w:rsidRDefault="005A78EA" w:rsidP="005A78EA">
      <w:pPr>
        <w:spacing w:line="240" w:lineRule="auto"/>
        <w:rPr>
          <w:color w:val="000000"/>
          <w:lang w:val="hu-HU"/>
        </w:rPr>
      </w:pPr>
    </w:p>
    <w:p w14:paraId="15F8CD4C"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13.</w:t>
      </w:r>
      <w:r w:rsidRPr="00556B9B">
        <w:rPr>
          <w:b/>
          <w:color w:val="000000"/>
          <w:lang w:val="hu-HU"/>
        </w:rPr>
        <w:tab/>
        <w:t>A GYÁRTÁSI TÉTEL SZÁMA</w:t>
      </w:r>
    </w:p>
    <w:p w14:paraId="04E8A179" w14:textId="77777777" w:rsidR="005A78EA" w:rsidRPr="00556B9B" w:rsidRDefault="005A78EA" w:rsidP="005A78EA">
      <w:pPr>
        <w:spacing w:line="240" w:lineRule="auto"/>
        <w:rPr>
          <w:color w:val="000000"/>
          <w:lang w:val="hu-HU"/>
        </w:rPr>
      </w:pPr>
    </w:p>
    <w:p w14:paraId="6B874FA8" w14:textId="77777777" w:rsidR="005A78EA" w:rsidRPr="00556B9B" w:rsidRDefault="005A78EA" w:rsidP="005A78EA">
      <w:pPr>
        <w:spacing w:line="240" w:lineRule="auto"/>
        <w:rPr>
          <w:color w:val="000000"/>
          <w:lang w:val="hu-HU"/>
        </w:rPr>
      </w:pPr>
      <w:r w:rsidRPr="00556B9B">
        <w:rPr>
          <w:color w:val="000000"/>
          <w:lang w:val="hu-HU"/>
        </w:rPr>
        <w:t>Gy. sz.:</w:t>
      </w:r>
    </w:p>
    <w:p w14:paraId="4107E2C8" w14:textId="77777777" w:rsidR="005A78EA" w:rsidRPr="00556B9B" w:rsidRDefault="005A78EA" w:rsidP="005A78EA">
      <w:pPr>
        <w:spacing w:line="240" w:lineRule="auto"/>
        <w:rPr>
          <w:color w:val="000000"/>
          <w:lang w:val="hu-HU"/>
        </w:rPr>
      </w:pPr>
    </w:p>
    <w:p w14:paraId="6693EB25" w14:textId="77777777" w:rsidR="005A78EA" w:rsidRPr="00556B9B" w:rsidRDefault="005A78EA" w:rsidP="005A78EA">
      <w:pPr>
        <w:spacing w:line="240" w:lineRule="auto"/>
        <w:rPr>
          <w:color w:val="000000"/>
          <w:lang w:val="hu-HU"/>
        </w:rPr>
      </w:pPr>
    </w:p>
    <w:p w14:paraId="53B0D823"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14.</w:t>
      </w:r>
      <w:r w:rsidRPr="00556B9B">
        <w:rPr>
          <w:b/>
          <w:color w:val="000000"/>
          <w:lang w:val="hu-HU"/>
        </w:rPr>
        <w:tab/>
        <w:t>A GYÓGYSZER RENDELHETŐSÉG</w:t>
      </w:r>
      <w:r w:rsidR="00DF09F3" w:rsidRPr="00556B9B">
        <w:rPr>
          <w:b/>
          <w:color w:val="000000"/>
          <w:lang w:val="hu-HU"/>
        </w:rPr>
        <w:t>E</w:t>
      </w:r>
    </w:p>
    <w:p w14:paraId="42608D8F" w14:textId="77777777" w:rsidR="005A78EA" w:rsidRPr="00556B9B" w:rsidRDefault="005A78EA" w:rsidP="005A78EA">
      <w:pPr>
        <w:spacing w:line="240" w:lineRule="auto"/>
        <w:rPr>
          <w:color w:val="000000"/>
          <w:lang w:val="hu-HU"/>
        </w:rPr>
      </w:pPr>
    </w:p>
    <w:p w14:paraId="0D236E6F" w14:textId="77777777" w:rsidR="005A78EA" w:rsidRPr="00556B9B" w:rsidRDefault="005A78EA" w:rsidP="005A78EA">
      <w:pPr>
        <w:spacing w:line="240" w:lineRule="auto"/>
        <w:rPr>
          <w:color w:val="000000"/>
          <w:lang w:val="hu-HU"/>
        </w:rPr>
      </w:pPr>
    </w:p>
    <w:p w14:paraId="235056BE"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15.</w:t>
      </w:r>
      <w:r w:rsidRPr="00556B9B">
        <w:rPr>
          <w:b/>
          <w:color w:val="000000"/>
          <w:lang w:val="hu-HU"/>
        </w:rPr>
        <w:tab/>
        <w:t>AZ ALKALMAZÁSRA VONATKOZÓ UTASÍTÁSOK</w:t>
      </w:r>
    </w:p>
    <w:p w14:paraId="5C1C7643" w14:textId="77777777" w:rsidR="005A78EA" w:rsidRPr="00556B9B" w:rsidRDefault="005A78EA" w:rsidP="005A78EA">
      <w:pPr>
        <w:spacing w:line="240" w:lineRule="auto"/>
        <w:rPr>
          <w:color w:val="000000"/>
          <w:lang w:val="hu-HU"/>
        </w:rPr>
      </w:pPr>
    </w:p>
    <w:p w14:paraId="4AF1CDDE" w14:textId="77777777" w:rsidR="005A78EA" w:rsidRPr="00556B9B" w:rsidRDefault="005A78EA" w:rsidP="005A78EA">
      <w:pPr>
        <w:spacing w:line="240" w:lineRule="auto"/>
        <w:rPr>
          <w:color w:val="000000"/>
          <w:szCs w:val="22"/>
          <w:lang w:val="hu-HU"/>
        </w:rPr>
      </w:pPr>
    </w:p>
    <w:p w14:paraId="39739C35"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hu-HU"/>
        </w:rPr>
      </w:pPr>
      <w:r w:rsidRPr="00556B9B">
        <w:rPr>
          <w:b/>
          <w:color w:val="000000"/>
          <w:szCs w:val="22"/>
          <w:lang w:val="hu-HU"/>
        </w:rPr>
        <w:t>16.</w:t>
      </w:r>
      <w:r w:rsidRPr="00556B9B">
        <w:rPr>
          <w:b/>
          <w:color w:val="000000"/>
          <w:szCs w:val="22"/>
          <w:lang w:val="hu-HU"/>
        </w:rPr>
        <w:tab/>
        <w:t>BRAILLE ÍRÁSSAL FELTÜNTETETT INFORMÁCIÓK</w:t>
      </w:r>
    </w:p>
    <w:p w14:paraId="233C7FF0" w14:textId="77777777" w:rsidR="005A78EA" w:rsidRPr="00556B9B" w:rsidRDefault="005A78EA" w:rsidP="005A78EA">
      <w:pPr>
        <w:spacing w:line="240" w:lineRule="auto"/>
        <w:rPr>
          <w:color w:val="000000"/>
          <w:szCs w:val="22"/>
          <w:lang w:val="hu-HU"/>
        </w:rPr>
      </w:pPr>
    </w:p>
    <w:p w14:paraId="6304D621" w14:textId="77777777" w:rsidR="005A78EA" w:rsidRPr="00556B9B" w:rsidRDefault="005A78EA" w:rsidP="005A78EA">
      <w:pPr>
        <w:spacing w:line="240" w:lineRule="auto"/>
        <w:rPr>
          <w:color w:val="000000"/>
          <w:szCs w:val="22"/>
          <w:lang w:val="hu-HU"/>
        </w:rPr>
      </w:pPr>
      <w:r w:rsidRPr="00556B9B">
        <w:rPr>
          <w:color w:val="000000"/>
          <w:szCs w:val="22"/>
          <w:lang w:val="hu-HU"/>
        </w:rPr>
        <w:t>Glivec 100 mg</w:t>
      </w:r>
    </w:p>
    <w:p w14:paraId="4B9795D1" w14:textId="77777777" w:rsidR="005A78EA" w:rsidRPr="00556B9B" w:rsidRDefault="005A78EA" w:rsidP="005A78EA">
      <w:pPr>
        <w:spacing w:line="240" w:lineRule="auto"/>
        <w:rPr>
          <w:color w:val="000000"/>
          <w:szCs w:val="22"/>
          <w:lang w:val="hu-HU"/>
        </w:rPr>
      </w:pPr>
    </w:p>
    <w:p w14:paraId="115B4700" w14:textId="77777777" w:rsidR="002C655D" w:rsidRPr="00556B9B" w:rsidRDefault="002C655D" w:rsidP="005A78EA">
      <w:pPr>
        <w:spacing w:line="240" w:lineRule="auto"/>
        <w:rPr>
          <w:color w:val="000000"/>
          <w:szCs w:val="22"/>
          <w:lang w:val="hu-HU"/>
        </w:rPr>
      </w:pPr>
    </w:p>
    <w:p w14:paraId="75BF76D5" w14:textId="77777777" w:rsidR="002C655D" w:rsidRPr="00556B9B" w:rsidRDefault="002C655D" w:rsidP="002C655D">
      <w:pPr>
        <w:widowControl w:val="0"/>
        <w:pBdr>
          <w:top w:val="single" w:sz="4" w:space="1" w:color="auto"/>
          <w:left w:val="single" w:sz="4" w:space="4" w:color="auto"/>
          <w:bottom w:val="single" w:sz="4" w:space="1" w:color="auto"/>
          <w:right w:val="single" w:sz="4" w:space="4" w:color="auto"/>
        </w:pBdr>
        <w:suppressAutoHyphens w:val="0"/>
        <w:spacing w:line="240" w:lineRule="auto"/>
        <w:outlineLvl w:val="0"/>
        <w:rPr>
          <w:rFonts w:cs="Times New Roman"/>
          <w:i/>
          <w:noProof/>
          <w:szCs w:val="22"/>
          <w:lang w:val="hu-HU" w:eastAsia="en-US" w:bidi="ar-SA"/>
        </w:rPr>
      </w:pPr>
      <w:r w:rsidRPr="00556B9B">
        <w:rPr>
          <w:rFonts w:cs="Times New Roman"/>
          <w:b/>
          <w:noProof/>
          <w:szCs w:val="22"/>
          <w:lang w:val="hu-HU" w:eastAsia="en-US" w:bidi="ar-SA"/>
        </w:rPr>
        <w:t>17.</w:t>
      </w:r>
      <w:r w:rsidRPr="00556B9B">
        <w:rPr>
          <w:rFonts w:cs="Times New Roman"/>
          <w:b/>
          <w:noProof/>
          <w:szCs w:val="22"/>
          <w:lang w:val="hu-HU" w:eastAsia="en-US" w:bidi="ar-SA"/>
        </w:rPr>
        <w:tab/>
        <w:t>EGYEDI AZONOSÍTÓ – 2D VONALKÓD</w:t>
      </w:r>
    </w:p>
    <w:p w14:paraId="4D3EAD2F" w14:textId="77777777" w:rsidR="002C655D" w:rsidRPr="00556B9B" w:rsidRDefault="002C655D" w:rsidP="002C655D">
      <w:pPr>
        <w:widowControl w:val="0"/>
        <w:suppressAutoHyphens w:val="0"/>
        <w:spacing w:line="240" w:lineRule="auto"/>
        <w:rPr>
          <w:rFonts w:cs="Times New Roman"/>
          <w:noProof/>
          <w:szCs w:val="22"/>
          <w:lang w:val="hu-HU" w:eastAsia="en-US" w:bidi="ar-SA"/>
        </w:rPr>
      </w:pPr>
    </w:p>
    <w:p w14:paraId="7886BBD0" w14:textId="77777777" w:rsidR="002C655D" w:rsidRPr="00556B9B" w:rsidRDefault="002C655D" w:rsidP="002C655D">
      <w:pPr>
        <w:widowControl w:val="0"/>
        <w:shd w:val="clear" w:color="auto" w:fill="FFFFFF"/>
        <w:suppressAutoHyphens w:val="0"/>
        <w:spacing w:line="240" w:lineRule="auto"/>
        <w:rPr>
          <w:rFonts w:cs="Times New Roman"/>
          <w:szCs w:val="22"/>
          <w:shd w:val="pct15" w:color="auto" w:fill="auto"/>
          <w:lang w:val="hu-HU" w:eastAsia="en-US" w:bidi="ar-SA"/>
        </w:rPr>
      </w:pPr>
      <w:r w:rsidRPr="00556B9B">
        <w:rPr>
          <w:rFonts w:cs="Times New Roman"/>
          <w:szCs w:val="22"/>
          <w:shd w:val="pct15" w:color="auto" w:fill="auto"/>
          <w:lang w:val="hu-HU" w:eastAsia="en-US" w:bidi="ar-SA"/>
        </w:rPr>
        <w:t>Egyedi azonosítójú 2D vonalkóddal ellátva.</w:t>
      </w:r>
    </w:p>
    <w:p w14:paraId="63E00F4D" w14:textId="77777777" w:rsidR="002C655D" w:rsidRPr="009403F1" w:rsidRDefault="002C655D" w:rsidP="002C655D">
      <w:pPr>
        <w:widowControl w:val="0"/>
        <w:suppressAutoHyphens w:val="0"/>
        <w:spacing w:line="240" w:lineRule="auto"/>
        <w:rPr>
          <w:rFonts w:cs="Times New Roman"/>
          <w:noProof/>
          <w:szCs w:val="22"/>
          <w:lang w:val="hu-HU" w:eastAsia="en-US" w:bidi="ar-SA"/>
        </w:rPr>
      </w:pPr>
    </w:p>
    <w:p w14:paraId="25B7D6D0" w14:textId="77777777" w:rsidR="002C655D" w:rsidRPr="009403F1" w:rsidRDefault="002C655D" w:rsidP="002C655D">
      <w:pPr>
        <w:widowControl w:val="0"/>
        <w:suppressAutoHyphens w:val="0"/>
        <w:spacing w:line="240" w:lineRule="auto"/>
        <w:rPr>
          <w:rFonts w:cs="Times New Roman"/>
          <w:noProof/>
          <w:szCs w:val="22"/>
          <w:lang w:val="hu-HU" w:eastAsia="en-US" w:bidi="ar-SA"/>
        </w:rPr>
      </w:pPr>
    </w:p>
    <w:p w14:paraId="18B8BB3D" w14:textId="77777777" w:rsidR="002C655D" w:rsidRPr="00556B9B" w:rsidRDefault="002C655D" w:rsidP="002C655D">
      <w:pPr>
        <w:widowControl w:val="0"/>
        <w:pBdr>
          <w:top w:val="single" w:sz="4" w:space="1" w:color="auto"/>
          <w:left w:val="single" w:sz="4" w:space="4" w:color="auto"/>
          <w:bottom w:val="single" w:sz="4" w:space="0" w:color="auto"/>
          <w:right w:val="single" w:sz="4" w:space="4" w:color="auto"/>
        </w:pBdr>
        <w:suppressAutoHyphens w:val="0"/>
        <w:spacing w:line="240" w:lineRule="auto"/>
        <w:ind w:left="-3"/>
        <w:outlineLvl w:val="0"/>
        <w:rPr>
          <w:rFonts w:cs="Times New Roman"/>
          <w:i/>
          <w:noProof/>
          <w:szCs w:val="22"/>
          <w:lang w:val="hu-HU" w:eastAsia="en-US" w:bidi="ar-SA"/>
        </w:rPr>
      </w:pPr>
      <w:r w:rsidRPr="00556B9B">
        <w:rPr>
          <w:rFonts w:cs="Times New Roman"/>
          <w:b/>
          <w:noProof/>
          <w:szCs w:val="22"/>
          <w:lang w:val="hu-HU" w:eastAsia="en-US" w:bidi="ar-SA"/>
        </w:rPr>
        <w:t>18.</w:t>
      </w:r>
      <w:r w:rsidRPr="00556B9B">
        <w:rPr>
          <w:rFonts w:cs="Times New Roman"/>
          <w:b/>
          <w:noProof/>
          <w:szCs w:val="22"/>
          <w:lang w:val="hu-HU" w:eastAsia="en-US" w:bidi="ar-SA"/>
        </w:rPr>
        <w:tab/>
        <w:t>EGYEDI AZONOSÍTÓ OLVASHATÓ FORMÁTUMA</w:t>
      </w:r>
    </w:p>
    <w:p w14:paraId="01F3C631" w14:textId="77777777" w:rsidR="002C655D" w:rsidRPr="00556B9B" w:rsidRDefault="002C655D" w:rsidP="002C655D">
      <w:pPr>
        <w:spacing w:line="240" w:lineRule="auto"/>
        <w:rPr>
          <w:color w:val="000000"/>
          <w:szCs w:val="22"/>
          <w:lang w:val="hu-HU"/>
        </w:rPr>
      </w:pPr>
    </w:p>
    <w:p w14:paraId="0006EDAB" w14:textId="77777777" w:rsidR="002C655D" w:rsidRPr="00556B9B" w:rsidRDefault="002C655D" w:rsidP="002C655D">
      <w:pPr>
        <w:widowControl w:val="0"/>
        <w:shd w:val="clear" w:color="auto" w:fill="FFFFFF"/>
        <w:suppressAutoHyphens w:val="0"/>
        <w:rPr>
          <w:rFonts w:cs="Times New Roman"/>
          <w:szCs w:val="22"/>
          <w:lang w:val="hu-HU" w:eastAsia="en-US" w:bidi="ar-SA"/>
        </w:rPr>
      </w:pPr>
      <w:r w:rsidRPr="00556B9B">
        <w:rPr>
          <w:rFonts w:cs="Times New Roman"/>
          <w:szCs w:val="22"/>
          <w:lang w:val="hu-HU" w:eastAsia="en-US" w:bidi="ar-SA"/>
        </w:rPr>
        <w:t>PC:</w:t>
      </w:r>
    </w:p>
    <w:p w14:paraId="24D85E84" w14:textId="77777777" w:rsidR="002C655D" w:rsidRPr="00556B9B" w:rsidRDefault="002C655D" w:rsidP="002C655D">
      <w:pPr>
        <w:widowControl w:val="0"/>
        <w:shd w:val="clear" w:color="auto" w:fill="FFFFFF"/>
        <w:suppressAutoHyphens w:val="0"/>
        <w:rPr>
          <w:rFonts w:cs="Times New Roman"/>
          <w:szCs w:val="22"/>
          <w:lang w:val="hu-HU" w:eastAsia="en-US" w:bidi="ar-SA"/>
        </w:rPr>
      </w:pPr>
      <w:r w:rsidRPr="00556B9B">
        <w:rPr>
          <w:rFonts w:cs="Times New Roman"/>
          <w:szCs w:val="22"/>
          <w:lang w:val="hu-HU" w:eastAsia="en-US" w:bidi="ar-SA"/>
        </w:rPr>
        <w:t>SN:</w:t>
      </w:r>
    </w:p>
    <w:p w14:paraId="1BAEAA91" w14:textId="77777777" w:rsidR="005A78EA" w:rsidRPr="00556B9B" w:rsidRDefault="002C655D" w:rsidP="00951752">
      <w:pPr>
        <w:shd w:val="clear" w:color="auto" w:fill="FFFFFF"/>
        <w:spacing w:line="240" w:lineRule="auto"/>
        <w:rPr>
          <w:color w:val="000000"/>
          <w:u w:val="single"/>
          <w:lang w:val="hu-HU"/>
        </w:rPr>
      </w:pPr>
      <w:r w:rsidRPr="00556B9B">
        <w:rPr>
          <w:rFonts w:cs="Times New Roman"/>
          <w:szCs w:val="22"/>
          <w:lang w:val="hu-HU" w:eastAsia="en-US" w:bidi="ar-SA"/>
        </w:rPr>
        <w:t>NN</w:t>
      </w:r>
      <w:r w:rsidR="00A72ECC" w:rsidRPr="00556B9B">
        <w:rPr>
          <w:color w:val="000000"/>
          <w:u w:val="single"/>
          <w:lang w:val="hu-HU"/>
        </w:rPr>
        <w:br w:type="page"/>
      </w:r>
    </w:p>
    <w:p w14:paraId="16D24386" w14:textId="77777777" w:rsidR="00951752" w:rsidRPr="00951752" w:rsidRDefault="00951752" w:rsidP="00951752">
      <w:pPr>
        <w:spacing w:line="240" w:lineRule="auto"/>
        <w:rPr>
          <w:color w:val="000000"/>
          <w:lang w:val="hu-HU"/>
        </w:rPr>
      </w:pPr>
    </w:p>
    <w:p w14:paraId="1B752869"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A BUBORÉK</w:t>
      </w:r>
      <w:r w:rsidR="00793411" w:rsidRPr="00556B9B">
        <w:rPr>
          <w:b/>
          <w:color w:val="000000"/>
          <w:lang w:val="hu-HU"/>
        </w:rPr>
        <w:t>CSOMAGOLÁSON</w:t>
      </w:r>
      <w:r w:rsidRPr="00556B9B">
        <w:rPr>
          <w:b/>
          <w:color w:val="000000"/>
          <w:lang w:val="hu-HU"/>
        </w:rPr>
        <w:t xml:space="preserve"> VAGY A </w:t>
      </w:r>
      <w:r w:rsidR="00793411" w:rsidRPr="00556B9B">
        <w:rPr>
          <w:b/>
          <w:color w:val="000000"/>
          <w:lang w:val="hu-HU"/>
        </w:rPr>
        <w:t xml:space="preserve">FÓLIACSÍKON </w:t>
      </w:r>
      <w:r w:rsidRPr="00556B9B">
        <w:rPr>
          <w:b/>
          <w:noProof/>
          <w:color w:val="000000"/>
          <w:lang w:val="hu-HU"/>
        </w:rPr>
        <w:t>MINIMÁLISAN</w:t>
      </w:r>
      <w:r w:rsidRPr="00556B9B">
        <w:rPr>
          <w:b/>
          <w:color w:val="000000"/>
          <w:lang w:val="hu-HU"/>
        </w:rPr>
        <w:t xml:space="preserve"> FELTÜNTETENDŐ ADATOK</w:t>
      </w:r>
    </w:p>
    <w:p w14:paraId="789C133A"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69AA0C8"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BUBORÉK</w:t>
      </w:r>
      <w:r w:rsidR="00793411" w:rsidRPr="00556B9B">
        <w:rPr>
          <w:b/>
          <w:color w:val="000000"/>
          <w:lang w:val="hu-HU"/>
        </w:rPr>
        <w:t>CSOMAGOLÁS</w:t>
      </w:r>
    </w:p>
    <w:p w14:paraId="4516C889" w14:textId="77777777" w:rsidR="005A78EA" w:rsidRPr="00556B9B" w:rsidRDefault="005A78EA" w:rsidP="005A78EA">
      <w:pPr>
        <w:spacing w:line="240" w:lineRule="auto"/>
        <w:rPr>
          <w:color w:val="000000"/>
          <w:lang w:val="hu-HU"/>
        </w:rPr>
      </w:pPr>
    </w:p>
    <w:p w14:paraId="16180C3C" w14:textId="77777777" w:rsidR="005A78EA" w:rsidRPr="00556B9B" w:rsidRDefault="005A78EA" w:rsidP="005A78EA">
      <w:pPr>
        <w:spacing w:line="240" w:lineRule="auto"/>
        <w:rPr>
          <w:color w:val="000000"/>
          <w:lang w:val="hu-HU"/>
        </w:rPr>
      </w:pPr>
    </w:p>
    <w:p w14:paraId="339A12D2"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w:t>
      </w:r>
      <w:r w:rsidRPr="00556B9B">
        <w:rPr>
          <w:b/>
          <w:color w:val="000000"/>
          <w:lang w:val="hu-HU"/>
        </w:rPr>
        <w:tab/>
        <w:t>A GYÓGYSZER</w:t>
      </w:r>
      <w:r w:rsidR="00DF09F3" w:rsidRPr="00556B9B">
        <w:rPr>
          <w:b/>
          <w:color w:val="000000"/>
          <w:lang w:val="hu-HU"/>
        </w:rPr>
        <w:t xml:space="preserve"> </w:t>
      </w:r>
      <w:r w:rsidRPr="00556B9B">
        <w:rPr>
          <w:b/>
          <w:color w:val="000000"/>
          <w:lang w:val="hu-HU"/>
        </w:rPr>
        <w:t>NEVE</w:t>
      </w:r>
    </w:p>
    <w:p w14:paraId="38D0BE88" w14:textId="77777777" w:rsidR="005A78EA" w:rsidRPr="00556B9B" w:rsidRDefault="005A78EA" w:rsidP="005A78EA">
      <w:pPr>
        <w:spacing w:line="240" w:lineRule="auto"/>
        <w:ind w:left="567" w:hanging="567"/>
        <w:rPr>
          <w:color w:val="000000"/>
          <w:lang w:val="hu-HU"/>
        </w:rPr>
      </w:pPr>
    </w:p>
    <w:p w14:paraId="3B2A42BF" w14:textId="77777777" w:rsidR="005A78EA" w:rsidRPr="00556B9B" w:rsidRDefault="005A78EA" w:rsidP="005A78EA">
      <w:pPr>
        <w:spacing w:line="240" w:lineRule="auto"/>
        <w:rPr>
          <w:color w:val="000000"/>
          <w:lang w:val="hu-HU"/>
        </w:rPr>
      </w:pPr>
      <w:r w:rsidRPr="00556B9B">
        <w:rPr>
          <w:color w:val="000000"/>
          <w:lang w:val="hu-HU"/>
        </w:rPr>
        <w:t>Glivec 100 mg kapszula</w:t>
      </w:r>
    </w:p>
    <w:p w14:paraId="5F4F5CF8" w14:textId="77777777" w:rsidR="005A78EA" w:rsidRPr="00556B9B" w:rsidRDefault="00140E42" w:rsidP="005A78EA">
      <w:pPr>
        <w:spacing w:line="240" w:lineRule="auto"/>
        <w:rPr>
          <w:color w:val="000000"/>
          <w:lang w:val="hu-HU"/>
        </w:rPr>
      </w:pPr>
      <w:r w:rsidRPr="00556B9B">
        <w:rPr>
          <w:color w:val="000000"/>
          <w:lang w:val="hu-HU"/>
        </w:rPr>
        <w:t>i</w:t>
      </w:r>
      <w:r w:rsidR="005A78EA" w:rsidRPr="00556B9B">
        <w:rPr>
          <w:color w:val="000000"/>
          <w:lang w:val="hu-HU"/>
        </w:rPr>
        <w:t>matinib</w:t>
      </w:r>
    </w:p>
    <w:p w14:paraId="02AE9028" w14:textId="77777777" w:rsidR="005A78EA" w:rsidRPr="00556B9B" w:rsidRDefault="005A78EA" w:rsidP="005A78EA">
      <w:pPr>
        <w:spacing w:line="240" w:lineRule="auto"/>
        <w:rPr>
          <w:color w:val="000000"/>
          <w:lang w:val="hu-HU"/>
        </w:rPr>
      </w:pPr>
    </w:p>
    <w:p w14:paraId="7DDCFDE2" w14:textId="77777777" w:rsidR="005A78EA" w:rsidRPr="00556B9B" w:rsidRDefault="005A78EA" w:rsidP="005A78EA">
      <w:pPr>
        <w:spacing w:line="240" w:lineRule="auto"/>
        <w:rPr>
          <w:color w:val="000000"/>
          <w:lang w:val="hu-HU"/>
        </w:rPr>
      </w:pPr>
    </w:p>
    <w:p w14:paraId="2204BF84"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2.</w:t>
      </w:r>
      <w:r w:rsidRPr="00556B9B">
        <w:rPr>
          <w:b/>
          <w:color w:val="000000"/>
          <w:lang w:val="hu-HU"/>
        </w:rPr>
        <w:tab/>
        <w:t>A FORGALOMBA HOZATALI ENGEDÉLY JOGOSULTJÁNAK NEVE</w:t>
      </w:r>
    </w:p>
    <w:p w14:paraId="2B33F176" w14:textId="77777777" w:rsidR="005A78EA" w:rsidRPr="00556B9B" w:rsidRDefault="005A78EA" w:rsidP="005A78EA">
      <w:pPr>
        <w:spacing w:line="240" w:lineRule="auto"/>
        <w:rPr>
          <w:color w:val="000000"/>
          <w:lang w:val="hu-HU"/>
        </w:rPr>
      </w:pPr>
    </w:p>
    <w:p w14:paraId="02C312CA" w14:textId="77777777" w:rsidR="005A78EA" w:rsidRPr="00556B9B" w:rsidRDefault="005A78EA" w:rsidP="005A78EA">
      <w:pPr>
        <w:spacing w:line="240" w:lineRule="auto"/>
        <w:rPr>
          <w:color w:val="000000"/>
          <w:lang w:val="hu-HU"/>
        </w:rPr>
      </w:pPr>
      <w:r w:rsidRPr="00556B9B">
        <w:rPr>
          <w:color w:val="000000"/>
          <w:lang w:val="hu-HU"/>
        </w:rPr>
        <w:t>Novartis Europharm Limited</w:t>
      </w:r>
    </w:p>
    <w:p w14:paraId="10B47779" w14:textId="77777777" w:rsidR="005A78EA" w:rsidRPr="00556B9B" w:rsidRDefault="005A78EA" w:rsidP="005A78EA">
      <w:pPr>
        <w:spacing w:line="240" w:lineRule="auto"/>
        <w:rPr>
          <w:color w:val="000000"/>
          <w:lang w:val="hu-HU"/>
        </w:rPr>
      </w:pPr>
    </w:p>
    <w:p w14:paraId="76581740" w14:textId="77777777" w:rsidR="005A78EA" w:rsidRPr="00556B9B" w:rsidRDefault="005A78EA" w:rsidP="005A78EA">
      <w:pPr>
        <w:spacing w:line="240" w:lineRule="auto"/>
        <w:rPr>
          <w:color w:val="000000"/>
          <w:lang w:val="hu-HU"/>
        </w:rPr>
      </w:pPr>
    </w:p>
    <w:p w14:paraId="2C80EF3B"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3.</w:t>
      </w:r>
      <w:r w:rsidRPr="00556B9B">
        <w:rPr>
          <w:b/>
          <w:color w:val="000000"/>
          <w:lang w:val="hu-HU"/>
        </w:rPr>
        <w:tab/>
        <w:t>LEJÁRATI IDŐ</w:t>
      </w:r>
    </w:p>
    <w:p w14:paraId="6966835F" w14:textId="77777777" w:rsidR="005A78EA" w:rsidRPr="00556B9B" w:rsidRDefault="005A78EA" w:rsidP="005A78EA">
      <w:pPr>
        <w:spacing w:line="240" w:lineRule="auto"/>
        <w:rPr>
          <w:color w:val="000000"/>
          <w:lang w:val="hu-HU"/>
        </w:rPr>
      </w:pPr>
    </w:p>
    <w:p w14:paraId="1CCAC4A8" w14:textId="77777777" w:rsidR="005A78EA" w:rsidRPr="00556B9B" w:rsidRDefault="005A78EA" w:rsidP="005A78EA">
      <w:pPr>
        <w:pStyle w:val="EndnoteText"/>
        <w:spacing w:line="240" w:lineRule="auto"/>
        <w:rPr>
          <w:color w:val="000000"/>
          <w:lang w:val="hu-HU"/>
        </w:rPr>
      </w:pPr>
      <w:r w:rsidRPr="00556B9B">
        <w:rPr>
          <w:color w:val="000000"/>
          <w:lang w:val="hu-HU"/>
        </w:rPr>
        <w:t>EXP</w:t>
      </w:r>
    </w:p>
    <w:p w14:paraId="29E71F26" w14:textId="77777777" w:rsidR="005A78EA" w:rsidRPr="00556B9B" w:rsidRDefault="005A78EA" w:rsidP="005A78EA">
      <w:pPr>
        <w:spacing w:line="240" w:lineRule="auto"/>
        <w:rPr>
          <w:color w:val="000000"/>
          <w:lang w:val="hu-HU"/>
        </w:rPr>
      </w:pPr>
    </w:p>
    <w:p w14:paraId="22A2BE89" w14:textId="77777777" w:rsidR="005A78EA" w:rsidRPr="00556B9B" w:rsidRDefault="005A78EA" w:rsidP="005A78EA">
      <w:pPr>
        <w:spacing w:line="240" w:lineRule="auto"/>
        <w:rPr>
          <w:color w:val="000000"/>
          <w:lang w:val="hu-HU"/>
        </w:rPr>
      </w:pPr>
    </w:p>
    <w:p w14:paraId="58745D6B"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4.</w:t>
      </w:r>
      <w:r w:rsidRPr="00556B9B">
        <w:rPr>
          <w:b/>
          <w:color w:val="000000"/>
          <w:lang w:val="hu-HU"/>
        </w:rPr>
        <w:tab/>
        <w:t>A GYÁRTÁSI TÉTEL SZÁMA</w:t>
      </w:r>
    </w:p>
    <w:p w14:paraId="0330AEF0" w14:textId="77777777" w:rsidR="005A78EA" w:rsidRPr="00556B9B" w:rsidRDefault="005A78EA" w:rsidP="005A78EA">
      <w:pPr>
        <w:spacing w:line="240" w:lineRule="auto"/>
        <w:rPr>
          <w:color w:val="000000"/>
          <w:lang w:val="hu-HU"/>
        </w:rPr>
      </w:pPr>
    </w:p>
    <w:p w14:paraId="7DB3D139" w14:textId="77777777" w:rsidR="005A78EA" w:rsidRPr="00556B9B" w:rsidRDefault="005A78EA" w:rsidP="005A78EA">
      <w:pPr>
        <w:spacing w:line="240" w:lineRule="auto"/>
        <w:rPr>
          <w:color w:val="000000"/>
          <w:lang w:val="hu-HU"/>
        </w:rPr>
      </w:pPr>
      <w:r w:rsidRPr="00556B9B">
        <w:rPr>
          <w:color w:val="000000"/>
          <w:lang w:val="hu-HU"/>
        </w:rPr>
        <w:t>Lot</w:t>
      </w:r>
    </w:p>
    <w:p w14:paraId="766E8612" w14:textId="77777777" w:rsidR="005A78EA" w:rsidRPr="00556B9B" w:rsidRDefault="005A78EA" w:rsidP="005A78EA">
      <w:pPr>
        <w:widowControl w:val="0"/>
        <w:spacing w:line="240" w:lineRule="auto"/>
        <w:rPr>
          <w:color w:val="000000"/>
          <w:szCs w:val="22"/>
          <w:lang w:val="hu-HU"/>
        </w:rPr>
      </w:pPr>
    </w:p>
    <w:p w14:paraId="091A55F5" w14:textId="77777777" w:rsidR="005A78EA" w:rsidRPr="00556B9B" w:rsidRDefault="005A78EA" w:rsidP="005A78EA">
      <w:pPr>
        <w:widowControl w:val="0"/>
        <w:spacing w:line="240" w:lineRule="auto"/>
        <w:rPr>
          <w:color w:val="000000"/>
          <w:szCs w:val="22"/>
          <w:lang w:val="hu-HU"/>
        </w:rPr>
      </w:pPr>
    </w:p>
    <w:p w14:paraId="52603D64"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noProof/>
          <w:color w:val="000000"/>
          <w:lang w:val="hu-HU"/>
        </w:rPr>
      </w:pPr>
      <w:r w:rsidRPr="00556B9B">
        <w:rPr>
          <w:b/>
          <w:noProof/>
          <w:color w:val="000000"/>
          <w:lang w:val="hu-HU"/>
        </w:rPr>
        <w:t>5.</w:t>
      </w:r>
      <w:r w:rsidRPr="00556B9B">
        <w:rPr>
          <w:b/>
          <w:noProof/>
          <w:color w:val="000000"/>
          <w:lang w:val="hu-HU"/>
        </w:rPr>
        <w:tab/>
        <w:t>EGYÉB INFORMÁCIÓK</w:t>
      </w:r>
    </w:p>
    <w:p w14:paraId="512017AB" w14:textId="77777777" w:rsidR="005A78EA" w:rsidRPr="00556B9B" w:rsidRDefault="005A78EA" w:rsidP="005A78EA">
      <w:pPr>
        <w:spacing w:line="240" w:lineRule="auto"/>
        <w:rPr>
          <w:color w:val="000000"/>
          <w:lang w:val="hu-HU"/>
        </w:rPr>
      </w:pPr>
    </w:p>
    <w:p w14:paraId="5738DC01" w14:textId="77777777" w:rsidR="005A78EA" w:rsidRPr="00556B9B" w:rsidRDefault="005A78EA" w:rsidP="005A78EA">
      <w:pPr>
        <w:spacing w:line="240" w:lineRule="auto"/>
        <w:rPr>
          <w:color w:val="000000"/>
          <w:lang w:val="hu-HU"/>
        </w:rPr>
      </w:pPr>
      <w:r w:rsidRPr="00556B9B">
        <w:rPr>
          <w:color w:val="000000"/>
          <w:lang w:val="hu-HU"/>
        </w:rPr>
        <w:br w:type="page"/>
      </w:r>
    </w:p>
    <w:p w14:paraId="3B5CE6E2" w14:textId="77777777" w:rsidR="00951752" w:rsidRPr="00951752" w:rsidRDefault="00951752" w:rsidP="00951752">
      <w:pPr>
        <w:spacing w:line="240" w:lineRule="auto"/>
        <w:rPr>
          <w:color w:val="000000"/>
          <w:lang w:val="hu-HU"/>
        </w:rPr>
      </w:pPr>
    </w:p>
    <w:p w14:paraId="761241BE"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A KÜLSŐ CSOMAGOLÁSON FELTÜNTETENDŐ ADATOK</w:t>
      </w:r>
    </w:p>
    <w:p w14:paraId="35710777"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color w:val="000000"/>
          <w:lang w:val="hu-HU"/>
        </w:rPr>
      </w:pPr>
    </w:p>
    <w:p w14:paraId="4C383A5E"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KARTONDOBOZ</w:t>
      </w:r>
    </w:p>
    <w:p w14:paraId="242415B2" w14:textId="77777777" w:rsidR="005A78EA" w:rsidRPr="00556B9B" w:rsidRDefault="005A78EA" w:rsidP="005A78EA">
      <w:pPr>
        <w:spacing w:line="240" w:lineRule="auto"/>
        <w:rPr>
          <w:color w:val="000000"/>
          <w:lang w:val="hu-HU"/>
        </w:rPr>
      </w:pPr>
    </w:p>
    <w:p w14:paraId="17611692" w14:textId="77777777" w:rsidR="005A78EA" w:rsidRPr="00556B9B" w:rsidRDefault="005A78EA" w:rsidP="005A78EA">
      <w:pPr>
        <w:spacing w:line="240" w:lineRule="auto"/>
        <w:rPr>
          <w:color w:val="000000"/>
          <w:lang w:val="hu-HU"/>
        </w:rPr>
      </w:pPr>
    </w:p>
    <w:p w14:paraId="02ABAEC4"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w:t>
      </w:r>
      <w:r w:rsidRPr="00556B9B">
        <w:rPr>
          <w:b/>
          <w:color w:val="000000"/>
          <w:lang w:val="hu-HU"/>
        </w:rPr>
        <w:tab/>
        <w:t>A GYÓGYSZER NEVE</w:t>
      </w:r>
    </w:p>
    <w:p w14:paraId="0F5C52DF" w14:textId="77777777" w:rsidR="005A78EA" w:rsidRPr="00556B9B" w:rsidRDefault="005A78EA" w:rsidP="005A78EA">
      <w:pPr>
        <w:spacing w:line="240" w:lineRule="auto"/>
        <w:rPr>
          <w:color w:val="000000"/>
          <w:lang w:val="hu-HU"/>
        </w:rPr>
      </w:pPr>
    </w:p>
    <w:p w14:paraId="63E3FB4C" w14:textId="77777777" w:rsidR="005A78EA" w:rsidRPr="00556B9B" w:rsidRDefault="005A78EA" w:rsidP="005A78EA">
      <w:pPr>
        <w:spacing w:line="240" w:lineRule="auto"/>
        <w:rPr>
          <w:color w:val="000000"/>
          <w:lang w:val="hu-HU"/>
        </w:rPr>
      </w:pPr>
      <w:r w:rsidRPr="00556B9B">
        <w:rPr>
          <w:color w:val="000000"/>
          <w:lang w:val="hu-HU"/>
        </w:rPr>
        <w:t>Glivec 100 mg filmtabletta</w:t>
      </w:r>
    </w:p>
    <w:p w14:paraId="3C2C6BA0" w14:textId="77777777" w:rsidR="005A78EA" w:rsidRPr="00556B9B" w:rsidRDefault="00140E42" w:rsidP="005A78EA">
      <w:pPr>
        <w:spacing w:line="240" w:lineRule="auto"/>
        <w:rPr>
          <w:color w:val="000000"/>
          <w:lang w:val="hu-HU"/>
        </w:rPr>
      </w:pPr>
      <w:r w:rsidRPr="00556B9B">
        <w:rPr>
          <w:color w:val="000000"/>
          <w:lang w:val="hu-HU"/>
        </w:rPr>
        <w:t>i</w:t>
      </w:r>
      <w:r w:rsidR="005A78EA" w:rsidRPr="00556B9B">
        <w:rPr>
          <w:color w:val="000000"/>
          <w:lang w:val="hu-HU"/>
        </w:rPr>
        <w:t>matinib</w:t>
      </w:r>
    </w:p>
    <w:p w14:paraId="0F29AAE0" w14:textId="77777777" w:rsidR="005A78EA" w:rsidRPr="00556B9B" w:rsidRDefault="005A78EA" w:rsidP="005A78EA">
      <w:pPr>
        <w:spacing w:line="240" w:lineRule="auto"/>
        <w:rPr>
          <w:color w:val="000000"/>
          <w:lang w:val="hu-HU"/>
        </w:rPr>
      </w:pPr>
    </w:p>
    <w:p w14:paraId="4C8D0D5E" w14:textId="77777777" w:rsidR="005A78EA" w:rsidRPr="00556B9B" w:rsidRDefault="005A78EA" w:rsidP="005A78EA">
      <w:pPr>
        <w:spacing w:line="240" w:lineRule="auto"/>
        <w:rPr>
          <w:color w:val="000000"/>
          <w:lang w:val="hu-HU"/>
        </w:rPr>
      </w:pPr>
    </w:p>
    <w:p w14:paraId="5A46BF9D"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2.</w:t>
      </w:r>
      <w:r w:rsidRPr="00556B9B">
        <w:rPr>
          <w:b/>
          <w:color w:val="000000"/>
          <w:lang w:val="hu-HU"/>
        </w:rPr>
        <w:tab/>
        <w:t>HATÓANYAG(OK) MEGNEVEZÉSE</w:t>
      </w:r>
    </w:p>
    <w:p w14:paraId="6731DC86" w14:textId="77777777" w:rsidR="005A78EA" w:rsidRPr="00556B9B" w:rsidRDefault="005A78EA" w:rsidP="005A78EA">
      <w:pPr>
        <w:spacing w:line="240" w:lineRule="auto"/>
        <w:rPr>
          <w:color w:val="000000"/>
          <w:lang w:val="hu-HU"/>
        </w:rPr>
      </w:pPr>
    </w:p>
    <w:p w14:paraId="7EE5EF7F" w14:textId="77777777" w:rsidR="005A78EA" w:rsidRPr="00556B9B" w:rsidRDefault="005A78EA" w:rsidP="005A78EA">
      <w:pPr>
        <w:spacing w:line="240" w:lineRule="auto"/>
        <w:rPr>
          <w:color w:val="000000"/>
          <w:lang w:val="hu-HU"/>
        </w:rPr>
      </w:pPr>
      <w:r w:rsidRPr="00556B9B">
        <w:rPr>
          <w:color w:val="000000"/>
          <w:lang w:val="hu-HU"/>
        </w:rPr>
        <w:t>100 mg imatinib (imatinib</w:t>
      </w:r>
      <w:r w:rsidRPr="00556B9B">
        <w:rPr>
          <w:color w:val="000000"/>
          <w:lang w:val="hu-HU"/>
        </w:rPr>
        <w:noBreakHyphen/>
        <w:t>mezilát formájában) filmtablettánként.</w:t>
      </w:r>
    </w:p>
    <w:p w14:paraId="5621CDC7" w14:textId="77777777" w:rsidR="005A78EA" w:rsidRPr="00556B9B" w:rsidRDefault="005A78EA" w:rsidP="005A78EA">
      <w:pPr>
        <w:spacing w:line="240" w:lineRule="auto"/>
        <w:rPr>
          <w:color w:val="000000"/>
          <w:lang w:val="hu-HU"/>
        </w:rPr>
      </w:pPr>
    </w:p>
    <w:p w14:paraId="69E021D5" w14:textId="77777777" w:rsidR="005A78EA" w:rsidRPr="00556B9B" w:rsidRDefault="005A78EA" w:rsidP="005A78EA">
      <w:pPr>
        <w:spacing w:line="240" w:lineRule="auto"/>
        <w:rPr>
          <w:color w:val="000000"/>
          <w:lang w:val="hu-HU"/>
        </w:rPr>
      </w:pPr>
    </w:p>
    <w:p w14:paraId="567EE0B6"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3.</w:t>
      </w:r>
      <w:r w:rsidRPr="00556B9B">
        <w:rPr>
          <w:b/>
          <w:color w:val="000000"/>
          <w:lang w:val="hu-HU"/>
        </w:rPr>
        <w:tab/>
        <w:t>SEGÉDANYAGOK FELSOROLÁSA</w:t>
      </w:r>
    </w:p>
    <w:p w14:paraId="5C7F9B61" w14:textId="77777777" w:rsidR="005A78EA" w:rsidRPr="00556B9B" w:rsidRDefault="005A78EA" w:rsidP="005A78EA">
      <w:pPr>
        <w:spacing w:line="240" w:lineRule="auto"/>
        <w:rPr>
          <w:color w:val="000000"/>
          <w:lang w:val="hu-HU"/>
        </w:rPr>
      </w:pPr>
    </w:p>
    <w:p w14:paraId="2678BC58" w14:textId="77777777" w:rsidR="005A78EA" w:rsidRPr="00556B9B" w:rsidRDefault="005A78EA" w:rsidP="005A78EA">
      <w:pPr>
        <w:spacing w:line="240" w:lineRule="auto"/>
        <w:rPr>
          <w:color w:val="000000"/>
          <w:lang w:val="hu-HU"/>
        </w:rPr>
      </w:pPr>
    </w:p>
    <w:p w14:paraId="00DE4939"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4.</w:t>
      </w:r>
      <w:r w:rsidRPr="00556B9B">
        <w:rPr>
          <w:b/>
          <w:color w:val="000000"/>
          <w:lang w:val="hu-HU"/>
        </w:rPr>
        <w:tab/>
        <w:t>GYÓGYSZERFORMA ÉS TARTALOM</w:t>
      </w:r>
    </w:p>
    <w:p w14:paraId="6AABCD98" w14:textId="77777777" w:rsidR="005A78EA" w:rsidRPr="00556B9B" w:rsidRDefault="005A78EA" w:rsidP="005A78EA">
      <w:pPr>
        <w:spacing w:line="240" w:lineRule="auto"/>
        <w:rPr>
          <w:color w:val="000000"/>
          <w:lang w:val="hu-HU"/>
        </w:rPr>
      </w:pPr>
    </w:p>
    <w:p w14:paraId="5BFB41C5" w14:textId="77777777" w:rsidR="005A78EA" w:rsidRPr="00556B9B" w:rsidRDefault="005A78EA" w:rsidP="005A78EA">
      <w:pPr>
        <w:spacing w:line="240" w:lineRule="auto"/>
        <w:rPr>
          <w:color w:val="000000"/>
          <w:lang w:val="hu-HU"/>
        </w:rPr>
      </w:pPr>
      <w:r w:rsidRPr="001C5E72">
        <w:rPr>
          <w:color w:val="000000"/>
          <w:lang w:val="hu-HU"/>
        </w:rPr>
        <w:t>20 db filmtabletta</w:t>
      </w:r>
    </w:p>
    <w:p w14:paraId="51170A0B"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60 db filmtabletta</w:t>
      </w:r>
    </w:p>
    <w:p w14:paraId="7BE91BEA"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120 db filmtabletta</w:t>
      </w:r>
    </w:p>
    <w:p w14:paraId="38E0CAA2"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180 db filmtabletta</w:t>
      </w:r>
    </w:p>
    <w:p w14:paraId="22CA6E9D" w14:textId="77777777" w:rsidR="005A78EA" w:rsidRPr="00556B9B" w:rsidRDefault="005A78EA" w:rsidP="005A78EA">
      <w:pPr>
        <w:spacing w:line="240" w:lineRule="auto"/>
        <w:rPr>
          <w:color w:val="000000"/>
          <w:lang w:val="hu-HU"/>
        </w:rPr>
      </w:pPr>
    </w:p>
    <w:p w14:paraId="4B0234A2" w14:textId="77777777" w:rsidR="005A78EA" w:rsidRPr="00556B9B" w:rsidRDefault="005A78EA" w:rsidP="005A78EA">
      <w:pPr>
        <w:spacing w:line="240" w:lineRule="auto"/>
        <w:rPr>
          <w:color w:val="000000"/>
          <w:lang w:val="hu-HU"/>
        </w:rPr>
      </w:pPr>
    </w:p>
    <w:p w14:paraId="2EA9FC26"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5.</w:t>
      </w:r>
      <w:r w:rsidRPr="00556B9B">
        <w:rPr>
          <w:b/>
          <w:color w:val="000000"/>
          <w:lang w:val="hu-HU"/>
        </w:rPr>
        <w:tab/>
        <w:t>AZ ALKALMAZÁSSAL KAPCSOLATOS TUDNIVALÓK ÉS AZ ALKALMAZÁS MÓDJA(I)</w:t>
      </w:r>
    </w:p>
    <w:p w14:paraId="4A3B1AB7" w14:textId="77777777" w:rsidR="005A78EA" w:rsidRPr="00556B9B" w:rsidRDefault="005A78EA" w:rsidP="005A78EA">
      <w:pPr>
        <w:spacing w:line="240" w:lineRule="auto"/>
        <w:rPr>
          <w:color w:val="000000"/>
          <w:lang w:val="hu-HU"/>
        </w:rPr>
      </w:pPr>
    </w:p>
    <w:p w14:paraId="587CC14F" w14:textId="77777777" w:rsidR="005A78EA" w:rsidRPr="00556B9B" w:rsidRDefault="00431596" w:rsidP="005A78EA">
      <w:pPr>
        <w:rPr>
          <w:color w:val="000000"/>
          <w:lang w:val="hu-HU"/>
        </w:rPr>
      </w:pPr>
      <w:r w:rsidRPr="00556B9B">
        <w:rPr>
          <w:color w:val="000000"/>
          <w:lang w:val="hu-HU"/>
        </w:rPr>
        <w:t xml:space="preserve">Szájon át történő </w:t>
      </w:r>
      <w:r w:rsidR="005A78EA" w:rsidRPr="00556B9B">
        <w:rPr>
          <w:color w:val="000000"/>
          <w:lang w:val="hu-HU"/>
        </w:rPr>
        <w:t>alkalmazás</w:t>
      </w:r>
      <w:r w:rsidRPr="00556B9B">
        <w:rPr>
          <w:color w:val="000000"/>
          <w:lang w:val="hu-HU"/>
        </w:rPr>
        <w:t>ra</w:t>
      </w:r>
      <w:r w:rsidR="005A78EA" w:rsidRPr="00556B9B">
        <w:rPr>
          <w:color w:val="000000"/>
          <w:lang w:val="hu-HU"/>
        </w:rPr>
        <w:t>. Használat előtt olvassa el a mellékelt betegtájékoztatót!</w:t>
      </w:r>
    </w:p>
    <w:p w14:paraId="4510E3F1" w14:textId="77777777" w:rsidR="005A78EA" w:rsidRPr="00556B9B" w:rsidRDefault="005A78EA" w:rsidP="005A78EA">
      <w:pPr>
        <w:spacing w:line="240" w:lineRule="auto"/>
        <w:rPr>
          <w:color w:val="000000"/>
          <w:lang w:val="hu-HU"/>
        </w:rPr>
      </w:pPr>
    </w:p>
    <w:p w14:paraId="34057223" w14:textId="77777777" w:rsidR="005A78EA" w:rsidRPr="00556B9B" w:rsidRDefault="005A78EA" w:rsidP="005A78EA">
      <w:pPr>
        <w:spacing w:line="240" w:lineRule="auto"/>
        <w:rPr>
          <w:color w:val="000000"/>
          <w:lang w:val="hu-HU"/>
        </w:rPr>
      </w:pPr>
    </w:p>
    <w:p w14:paraId="4FF87D88"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6.</w:t>
      </w:r>
      <w:r w:rsidRPr="00556B9B">
        <w:rPr>
          <w:b/>
          <w:color w:val="000000"/>
          <w:lang w:val="hu-HU"/>
        </w:rPr>
        <w:tab/>
        <w:t xml:space="preserve">KÜLÖN FIGYELMEZTETÉS, MELY SZERINT A GYÓGYSZERT GYERMEKEKTŐL ELZÁRVA </w:t>
      </w:r>
      <w:smartTag w:uri="urn:schemas-microsoft-com:office:smarttags" w:element="stockticker">
        <w:r w:rsidRPr="00556B9B">
          <w:rPr>
            <w:b/>
            <w:color w:val="000000"/>
            <w:lang w:val="hu-HU"/>
          </w:rPr>
          <w:t>KELL</w:t>
        </w:r>
      </w:smartTag>
      <w:r w:rsidRPr="00556B9B">
        <w:rPr>
          <w:b/>
          <w:color w:val="000000"/>
          <w:lang w:val="hu-HU"/>
        </w:rPr>
        <w:t xml:space="preserve"> TARTANI</w:t>
      </w:r>
    </w:p>
    <w:p w14:paraId="0AF4BBED" w14:textId="77777777" w:rsidR="005A78EA" w:rsidRPr="00556B9B" w:rsidRDefault="005A78EA" w:rsidP="005A78EA">
      <w:pPr>
        <w:spacing w:line="240" w:lineRule="auto"/>
        <w:rPr>
          <w:color w:val="000000"/>
          <w:lang w:val="hu-HU"/>
        </w:rPr>
      </w:pPr>
    </w:p>
    <w:p w14:paraId="69DA2DB0" w14:textId="77777777" w:rsidR="005A78EA" w:rsidRPr="00556B9B" w:rsidRDefault="005A78EA" w:rsidP="005A78EA">
      <w:pPr>
        <w:spacing w:line="240" w:lineRule="auto"/>
        <w:rPr>
          <w:color w:val="000000"/>
          <w:lang w:val="hu-HU"/>
        </w:rPr>
      </w:pPr>
      <w:r w:rsidRPr="00556B9B">
        <w:rPr>
          <w:color w:val="000000"/>
          <w:lang w:val="hu-HU"/>
        </w:rPr>
        <w:t>A gyógyszer gyermekektől elzárva tartandó!</w:t>
      </w:r>
    </w:p>
    <w:p w14:paraId="7217BAC9" w14:textId="77777777" w:rsidR="005A78EA" w:rsidRPr="00556B9B" w:rsidRDefault="005A78EA" w:rsidP="005A78EA">
      <w:pPr>
        <w:spacing w:line="240" w:lineRule="auto"/>
        <w:rPr>
          <w:color w:val="000000"/>
          <w:lang w:val="hu-HU"/>
        </w:rPr>
      </w:pPr>
    </w:p>
    <w:p w14:paraId="1365A8E8" w14:textId="77777777" w:rsidR="005A78EA" w:rsidRPr="00556B9B" w:rsidRDefault="005A78EA" w:rsidP="005A78EA">
      <w:pPr>
        <w:spacing w:line="240" w:lineRule="auto"/>
        <w:rPr>
          <w:color w:val="000000"/>
          <w:lang w:val="hu-HU"/>
        </w:rPr>
      </w:pPr>
    </w:p>
    <w:p w14:paraId="3E0D97BC"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7.</w:t>
      </w:r>
      <w:r w:rsidRPr="00556B9B">
        <w:rPr>
          <w:b/>
          <w:color w:val="000000"/>
          <w:lang w:val="hu-HU"/>
        </w:rPr>
        <w:tab/>
        <w:t>TOVÁBBI FIGYELMEZTETÉS(EK), AMENNYIBEN SZÜKSÉGES</w:t>
      </w:r>
    </w:p>
    <w:p w14:paraId="2A82DDC4" w14:textId="77777777" w:rsidR="005A78EA" w:rsidRPr="00556B9B" w:rsidRDefault="005A78EA" w:rsidP="005A78EA">
      <w:pPr>
        <w:spacing w:line="240" w:lineRule="auto"/>
        <w:rPr>
          <w:color w:val="000000"/>
          <w:lang w:val="hu-HU"/>
        </w:rPr>
      </w:pPr>
    </w:p>
    <w:p w14:paraId="79827334" w14:textId="77777777" w:rsidR="005A78EA" w:rsidRPr="00556B9B" w:rsidRDefault="005A78EA" w:rsidP="005A78EA">
      <w:pPr>
        <w:spacing w:line="240" w:lineRule="auto"/>
        <w:rPr>
          <w:color w:val="000000"/>
          <w:lang w:val="hu-HU"/>
        </w:rPr>
      </w:pPr>
      <w:r w:rsidRPr="00556B9B">
        <w:rPr>
          <w:color w:val="000000"/>
          <w:lang w:val="hu-HU"/>
        </w:rPr>
        <w:t>Adagolása kizárólag az orvos utasításai szerint.</w:t>
      </w:r>
    </w:p>
    <w:p w14:paraId="1C8A8B47" w14:textId="77777777" w:rsidR="005A78EA" w:rsidRPr="00556B9B" w:rsidRDefault="005A78EA" w:rsidP="005A78EA">
      <w:pPr>
        <w:spacing w:line="240" w:lineRule="auto"/>
        <w:rPr>
          <w:color w:val="000000"/>
          <w:lang w:val="hu-HU"/>
        </w:rPr>
      </w:pPr>
    </w:p>
    <w:p w14:paraId="0A0DE02A" w14:textId="77777777" w:rsidR="005A78EA" w:rsidRPr="00556B9B" w:rsidRDefault="005A78EA" w:rsidP="005A78EA">
      <w:pPr>
        <w:spacing w:line="240" w:lineRule="auto"/>
        <w:rPr>
          <w:color w:val="000000"/>
          <w:lang w:val="hu-HU"/>
        </w:rPr>
      </w:pPr>
    </w:p>
    <w:p w14:paraId="515D55AB"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8.</w:t>
      </w:r>
      <w:r w:rsidRPr="00556B9B">
        <w:rPr>
          <w:b/>
          <w:color w:val="000000"/>
          <w:lang w:val="hu-HU"/>
        </w:rPr>
        <w:tab/>
        <w:t>LEJÁRATI IDŐ</w:t>
      </w:r>
    </w:p>
    <w:p w14:paraId="04AC539F" w14:textId="77777777" w:rsidR="005A78EA" w:rsidRPr="00556B9B" w:rsidRDefault="005A78EA" w:rsidP="005A78EA">
      <w:pPr>
        <w:spacing w:line="240" w:lineRule="auto"/>
        <w:rPr>
          <w:color w:val="000000"/>
          <w:lang w:val="hu-HU"/>
        </w:rPr>
      </w:pPr>
    </w:p>
    <w:p w14:paraId="6210ADB6" w14:textId="77777777" w:rsidR="005A78EA" w:rsidRPr="00556B9B" w:rsidRDefault="005A78EA" w:rsidP="005A78EA">
      <w:pPr>
        <w:spacing w:line="240" w:lineRule="auto"/>
        <w:rPr>
          <w:color w:val="000000"/>
          <w:lang w:val="hu-HU"/>
        </w:rPr>
      </w:pPr>
      <w:r w:rsidRPr="00556B9B">
        <w:rPr>
          <w:color w:val="000000"/>
          <w:lang w:val="hu-HU"/>
        </w:rPr>
        <w:t>Felhasználható:</w:t>
      </w:r>
    </w:p>
    <w:p w14:paraId="34E50CBD" w14:textId="77777777" w:rsidR="005A78EA" w:rsidRPr="00556B9B" w:rsidRDefault="005A78EA" w:rsidP="005A78EA">
      <w:pPr>
        <w:spacing w:line="240" w:lineRule="auto"/>
        <w:rPr>
          <w:color w:val="000000"/>
          <w:lang w:val="hu-HU"/>
        </w:rPr>
      </w:pPr>
    </w:p>
    <w:p w14:paraId="52267E88" w14:textId="77777777" w:rsidR="005A78EA" w:rsidRPr="00556B9B" w:rsidRDefault="005A78EA" w:rsidP="005A78EA">
      <w:pPr>
        <w:spacing w:line="240" w:lineRule="auto"/>
        <w:rPr>
          <w:color w:val="000000"/>
          <w:lang w:val="hu-HU"/>
        </w:rPr>
      </w:pPr>
    </w:p>
    <w:p w14:paraId="29D11960" w14:textId="77777777" w:rsidR="005A78EA" w:rsidRPr="00556B9B" w:rsidRDefault="005A78EA" w:rsidP="00951752">
      <w:pPr>
        <w:keepNext/>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lastRenderedPageBreak/>
        <w:t>9.</w:t>
      </w:r>
      <w:r w:rsidRPr="00556B9B">
        <w:rPr>
          <w:b/>
          <w:color w:val="000000"/>
          <w:lang w:val="hu-HU"/>
        </w:rPr>
        <w:tab/>
        <w:t>KÜLÖNLEGES TÁROLÁSI ELŐÍRÁSOK</w:t>
      </w:r>
    </w:p>
    <w:p w14:paraId="55C735EA" w14:textId="77777777" w:rsidR="005A78EA" w:rsidRPr="00556B9B" w:rsidRDefault="005A78EA" w:rsidP="00951752">
      <w:pPr>
        <w:keepNext/>
        <w:spacing w:line="240" w:lineRule="auto"/>
        <w:rPr>
          <w:color w:val="000000"/>
          <w:lang w:val="hu-HU"/>
        </w:rPr>
      </w:pPr>
    </w:p>
    <w:p w14:paraId="566C3B22" w14:textId="77777777" w:rsidR="005A78EA" w:rsidRPr="00556B9B" w:rsidRDefault="005A78EA" w:rsidP="00951752">
      <w:pPr>
        <w:keepNext/>
        <w:spacing w:line="240" w:lineRule="auto"/>
        <w:rPr>
          <w:color w:val="000000"/>
          <w:lang w:val="hu-HU"/>
        </w:rPr>
      </w:pPr>
      <w:r w:rsidRPr="00556B9B">
        <w:rPr>
          <w:color w:val="000000"/>
          <w:lang w:val="hu-HU"/>
        </w:rPr>
        <w:t>Legfeljebb 30</w:t>
      </w:r>
      <w:r w:rsidRPr="00556B9B">
        <w:rPr>
          <w:color w:val="000000"/>
          <w:lang w:val="hu-HU"/>
        </w:rPr>
        <w:sym w:font="Symbol" w:char="F0B0"/>
      </w:r>
      <w:r w:rsidRPr="00556B9B">
        <w:rPr>
          <w:color w:val="000000"/>
          <w:lang w:val="hu-HU"/>
        </w:rPr>
        <w:t>C</w:t>
      </w:r>
      <w:r w:rsidRPr="00556B9B">
        <w:rPr>
          <w:color w:val="000000"/>
          <w:lang w:val="hu-HU"/>
        </w:rPr>
        <w:noBreakHyphen/>
        <w:t>on tárolandó. A nedvességtől való védelem érdekében az eredeti csomagolásban tárolandó.</w:t>
      </w:r>
    </w:p>
    <w:p w14:paraId="11255B20" w14:textId="77777777" w:rsidR="005A78EA" w:rsidRPr="00556B9B" w:rsidRDefault="005A78EA" w:rsidP="00951752">
      <w:pPr>
        <w:keepNext/>
        <w:spacing w:line="240" w:lineRule="auto"/>
        <w:rPr>
          <w:color w:val="000000"/>
          <w:lang w:val="hu-HU"/>
        </w:rPr>
      </w:pPr>
    </w:p>
    <w:p w14:paraId="612590F2" w14:textId="77777777" w:rsidR="005A78EA" w:rsidRPr="00556B9B" w:rsidRDefault="005A78EA" w:rsidP="005A78EA">
      <w:pPr>
        <w:spacing w:line="240" w:lineRule="auto"/>
        <w:rPr>
          <w:color w:val="000000"/>
          <w:lang w:val="hu-HU"/>
        </w:rPr>
      </w:pPr>
    </w:p>
    <w:p w14:paraId="79368833"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10.</w:t>
      </w:r>
      <w:r w:rsidRPr="00556B9B">
        <w:rPr>
          <w:b/>
          <w:color w:val="000000"/>
          <w:lang w:val="hu-HU"/>
        </w:rPr>
        <w:tab/>
        <w:t xml:space="preserve">KÜLÖNLEGES ÓVINTÉZKEDÉSEK A FEL </w:t>
      </w:r>
      <w:smartTag w:uri="urn:schemas-microsoft-com:office:smarttags" w:element="stockticker">
        <w:r w:rsidRPr="00556B9B">
          <w:rPr>
            <w:b/>
            <w:color w:val="000000"/>
            <w:lang w:val="hu-HU"/>
          </w:rPr>
          <w:t>NEM</w:t>
        </w:r>
      </w:smartTag>
      <w:r w:rsidRPr="00556B9B">
        <w:rPr>
          <w:b/>
          <w:color w:val="000000"/>
          <w:lang w:val="hu-HU"/>
        </w:rPr>
        <w:t xml:space="preserve"> HASZNÁLT GYÓGYSZEREK VAGY AZ ILYEN TERMÉKEKBŐL KELETKEZETT HULLADÉKANYAGOK ÁRTALMATLANNÁ TÉTELÉRE, HA ILYENEKRE SZÜKSÉG VAN</w:t>
      </w:r>
    </w:p>
    <w:p w14:paraId="3C140922" w14:textId="77777777" w:rsidR="005A78EA" w:rsidRPr="00556B9B" w:rsidRDefault="005A78EA" w:rsidP="005A78EA">
      <w:pPr>
        <w:spacing w:line="240" w:lineRule="auto"/>
        <w:rPr>
          <w:color w:val="000000"/>
          <w:lang w:val="hu-HU"/>
        </w:rPr>
      </w:pPr>
    </w:p>
    <w:p w14:paraId="67AF39E3" w14:textId="77777777" w:rsidR="005A78EA" w:rsidRPr="00556B9B" w:rsidRDefault="005A78EA" w:rsidP="005A78EA">
      <w:pPr>
        <w:spacing w:line="240" w:lineRule="auto"/>
        <w:rPr>
          <w:color w:val="000000"/>
          <w:lang w:val="hu-HU"/>
        </w:rPr>
      </w:pPr>
    </w:p>
    <w:p w14:paraId="484C9FD1"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11.</w:t>
      </w:r>
      <w:r w:rsidRPr="00556B9B">
        <w:rPr>
          <w:b/>
          <w:color w:val="000000"/>
          <w:lang w:val="hu-HU"/>
        </w:rPr>
        <w:tab/>
        <w:t>A FORGALOMBA HOZATALI ENGEDÉLY JOGOSULTJÁNAK NEVE ÉS CÍME</w:t>
      </w:r>
    </w:p>
    <w:p w14:paraId="3E9BF369" w14:textId="77777777" w:rsidR="005A78EA" w:rsidRPr="00556B9B" w:rsidRDefault="005A78EA" w:rsidP="005A78EA">
      <w:pPr>
        <w:spacing w:line="240" w:lineRule="auto"/>
        <w:rPr>
          <w:color w:val="000000"/>
          <w:lang w:val="hu-HU"/>
        </w:rPr>
      </w:pPr>
    </w:p>
    <w:p w14:paraId="7FD5DEDA" w14:textId="77777777" w:rsidR="005A78EA" w:rsidRPr="00556B9B" w:rsidRDefault="005A78EA" w:rsidP="005A78EA">
      <w:pPr>
        <w:spacing w:line="240" w:lineRule="auto"/>
        <w:rPr>
          <w:color w:val="000000"/>
          <w:lang w:val="hu-HU"/>
        </w:rPr>
      </w:pPr>
      <w:r w:rsidRPr="00556B9B">
        <w:rPr>
          <w:color w:val="000000"/>
          <w:lang w:val="hu-HU"/>
        </w:rPr>
        <w:t>Novartis Europharm Limited</w:t>
      </w:r>
    </w:p>
    <w:p w14:paraId="4AD35DFC" w14:textId="77777777" w:rsidR="002000AC" w:rsidRPr="00556B9B" w:rsidRDefault="002000AC" w:rsidP="002000AC">
      <w:pPr>
        <w:keepNext/>
        <w:widowControl w:val="0"/>
        <w:spacing w:line="240" w:lineRule="auto"/>
        <w:rPr>
          <w:color w:val="000000"/>
        </w:rPr>
      </w:pPr>
      <w:r w:rsidRPr="00556B9B">
        <w:rPr>
          <w:color w:val="000000"/>
        </w:rPr>
        <w:t>Vista Building</w:t>
      </w:r>
    </w:p>
    <w:p w14:paraId="29C97214" w14:textId="77777777" w:rsidR="002000AC" w:rsidRPr="00556B9B" w:rsidRDefault="002000AC" w:rsidP="002000AC">
      <w:pPr>
        <w:keepNext/>
        <w:widowControl w:val="0"/>
        <w:spacing w:line="240" w:lineRule="auto"/>
        <w:rPr>
          <w:color w:val="000000"/>
        </w:rPr>
      </w:pPr>
      <w:r w:rsidRPr="00556B9B">
        <w:rPr>
          <w:color w:val="000000"/>
        </w:rPr>
        <w:t>Elm Park, Merrion Road</w:t>
      </w:r>
    </w:p>
    <w:p w14:paraId="302A2177" w14:textId="77777777" w:rsidR="002000AC" w:rsidRPr="00556B9B" w:rsidRDefault="002000AC" w:rsidP="002000AC">
      <w:pPr>
        <w:keepNext/>
        <w:widowControl w:val="0"/>
        <w:spacing w:line="240" w:lineRule="auto"/>
        <w:rPr>
          <w:color w:val="000000"/>
        </w:rPr>
      </w:pPr>
      <w:r w:rsidRPr="00556B9B">
        <w:rPr>
          <w:color w:val="000000"/>
        </w:rPr>
        <w:t>Dublin 4</w:t>
      </w:r>
    </w:p>
    <w:p w14:paraId="5B528E8C" w14:textId="77777777" w:rsidR="005A78EA" w:rsidRPr="00556B9B" w:rsidRDefault="002000AC" w:rsidP="005A78EA">
      <w:pPr>
        <w:spacing w:line="240" w:lineRule="auto"/>
        <w:rPr>
          <w:color w:val="000000"/>
          <w:lang w:val="hu-HU"/>
        </w:rPr>
      </w:pPr>
      <w:r w:rsidRPr="00556B9B">
        <w:rPr>
          <w:color w:val="000000"/>
        </w:rPr>
        <w:t>Írország</w:t>
      </w:r>
    </w:p>
    <w:p w14:paraId="0933732B" w14:textId="77777777" w:rsidR="005A78EA" w:rsidRPr="00556B9B" w:rsidRDefault="005A78EA" w:rsidP="005A78EA">
      <w:pPr>
        <w:spacing w:line="240" w:lineRule="auto"/>
        <w:rPr>
          <w:color w:val="000000"/>
          <w:lang w:val="hu-HU"/>
        </w:rPr>
      </w:pPr>
    </w:p>
    <w:p w14:paraId="15D5F817" w14:textId="77777777" w:rsidR="005A78EA" w:rsidRPr="00556B9B" w:rsidRDefault="005A78EA" w:rsidP="005A78EA">
      <w:pPr>
        <w:spacing w:line="240" w:lineRule="auto"/>
        <w:rPr>
          <w:color w:val="000000"/>
          <w:lang w:val="hu-HU"/>
        </w:rPr>
      </w:pPr>
    </w:p>
    <w:p w14:paraId="4C9B3810"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12.</w:t>
      </w:r>
      <w:r w:rsidRPr="00556B9B">
        <w:rPr>
          <w:b/>
          <w:color w:val="000000"/>
          <w:lang w:val="hu-HU"/>
        </w:rPr>
        <w:tab/>
        <w:t>A FORGALOMBA HOZATALI ENGEDÉLY SZÁMA(I)</w:t>
      </w:r>
    </w:p>
    <w:p w14:paraId="79C29001" w14:textId="77777777" w:rsidR="005A78EA" w:rsidRPr="00556B9B" w:rsidRDefault="005A78EA" w:rsidP="005A78EA">
      <w:pPr>
        <w:spacing w:line="240" w:lineRule="auto"/>
        <w:rPr>
          <w:color w:val="000000"/>
          <w:lang w:val="hu-HU"/>
        </w:rPr>
      </w:pPr>
    </w:p>
    <w:p w14:paraId="381B8088"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lang w:val="hu-HU"/>
        </w:rPr>
        <w:t>EU/1/01/198/007</w:t>
      </w:r>
      <w:r w:rsidRPr="00556B9B">
        <w:rPr>
          <w:color w:val="000000"/>
          <w:lang w:val="hu-HU"/>
        </w:rPr>
        <w:tab/>
      </w:r>
      <w:r w:rsidRPr="00556B9B">
        <w:rPr>
          <w:color w:val="000000"/>
          <w:shd w:val="clear" w:color="auto" w:fill="D9D9D9"/>
          <w:lang w:val="hu-HU"/>
        </w:rPr>
        <w:t>20 tabletta</w:t>
      </w:r>
      <w:r w:rsidR="0048423F" w:rsidRPr="0055140A">
        <w:rPr>
          <w:color w:val="000000"/>
          <w:shd w:val="pct15" w:color="auto" w:fill="auto"/>
          <w:lang w:val="hu-HU"/>
        </w:rPr>
        <w:t xml:space="preserve"> (PVC/alumínium buborékcsomagolás)</w:t>
      </w:r>
    </w:p>
    <w:p w14:paraId="121EB927"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EU/1/01/198/008</w:t>
      </w:r>
      <w:r w:rsidRPr="00556B9B">
        <w:rPr>
          <w:color w:val="000000"/>
          <w:shd w:val="clear" w:color="auto" w:fill="D9D9D9"/>
          <w:lang w:val="hu-HU"/>
        </w:rPr>
        <w:tab/>
        <w:t>60 tabletta</w:t>
      </w:r>
      <w:r w:rsidR="0048423F" w:rsidRPr="0055140A">
        <w:rPr>
          <w:color w:val="000000"/>
          <w:shd w:val="pct15" w:color="auto" w:fill="auto"/>
          <w:lang w:val="hu-HU"/>
        </w:rPr>
        <w:t xml:space="preserve"> (PVC/alumínium buborékcsomagolás)</w:t>
      </w:r>
    </w:p>
    <w:p w14:paraId="3FB1B52E"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EU/1/01/198/011</w:t>
      </w:r>
      <w:r w:rsidRPr="00556B9B">
        <w:rPr>
          <w:color w:val="000000"/>
          <w:shd w:val="clear" w:color="auto" w:fill="D9D9D9"/>
          <w:lang w:val="hu-HU"/>
        </w:rPr>
        <w:tab/>
        <w:t>120 tabletta</w:t>
      </w:r>
      <w:r w:rsidR="0048423F" w:rsidRPr="0055140A">
        <w:rPr>
          <w:color w:val="000000"/>
          <w:shd w:val="pct15" w:color="auto" w:fill="auto"/>
          <w:lang w:val="hu-HU"/>
        </w:rPr>
        <w:t xml:space="preserve"> (PVC/alumínium buborékcsomagolás)</w:t>
      </w:r>
    </w:p>
    <w:p w14:paraId="1F807F67"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EU/1/01/198/012</w:t>
      </w:r>
      <w:r w:rsidRPr="00556B9B">
        <w:rPr>
          <w:color w:val="000000"/>
          <w:shd w:val="clear" w:color="auto" w:fill="D9D9D9"/>
          <w:lang w:val="hu-HU"/>
        </w:rPr>
        <w:tab/>
        <w:t>180 tabletta</w:t>
      </w:r>
      <w:r w:rsidR="0048423F" w:rsidRPr="0055140A">
        <w:rPr>
          <w:color w:val="000000"/>
          <w:shd w:val="pct15" w:color="auto" w:fill="auto"/>
          <w:lang w:val="hu-HU"/>
        </w:rPr>
        <w:t xml:space="preserve"> (PVC/alumínium buborékcsomagolás)</w:t>
      </w:r>
    </w:p>
    <w:p w14:paraId="1FA45628" w14:textId="77777777" w:rsidR="0048423F" w:rsidRPr="0055140A" w:rsidRDefault="0048423F" w:rsidP="0048423F">
      <w:pPr>
        <w:spacing w:line="240" w:lineRule="auto"/>
        <w:ind w:left="2268" w:hanging="2268"/>
        <w:rPr>
          <w:color w:val="000000"/>
          <w:shd w:val="pct15" w:color="auto" w:fill="auto"/>
          <w:lang w:val="hu-HU"/>
        </w:rPr>
      </w:pPr>
      <w:r w:rsidRPr="0055140A">
        <w:rPr>
          <w:color w:val="000000"/>
          <w:shd w:val="pct15" w:color="auto" w:fill="auto"/>
          <w:lang w:val="hu-HU"/>
        </w:rPr>
        <w:t>EU/1/01/198/01</w:t>
      </w:r>
      <w:r w:rsidR="004B3E01">
        <w:rPr>
          <w:color w:val="000000"/>
          <w:shd w:val="pct15" w:color="auto" w:fill="auto"/>
          <w:lang w:val="hu-HU"/>
        </w:rPr>
        <w:t>4</w:t>
      </w:r>
      <w:r w:rsidRPr="0055140A">
        <w:rPr>
          <w:color w:val="000000"/>
          <w:shd w:val="pct15" w:color="auto" w:fill="auto"/>
          <w:lang w:val="hu-HU"/>
        </w:rPr>
        <w:tab/>
      </w:r>
      <w:r w:rsidR="004B3E01">
        <w:rPr>
          <w:color w:val="000000"/>
          <w:shd w:val="pct15" w:color="auto" w:fill="auto"/>
          <w:lang w:val="hu-HU"/>
        </w:rPr>
        <w:t>6</w:t>
      </w:r>
      <w:r w:rsidRPr="0055140A">
        <w:rPr>
          <w:color w:val="000000"/>
          <w:shd w:val="pct15" w:color="auto" w:fill="auto"/>
          <w:lang w:val="hu-HU"/>
        </w:rPr>
        <w:t>0 tabletta (PVDC/alumínium buborékcsomagolás)</w:t>
      </w:r>
    </w:p>
    <w:p w14:paraId="7E89F7CC" w14:textId="77777777" w:rsidR="0048423F" w:rsidRPr="0055140A" w:rsidRDefault="0048423F" w:rsidP="0048423F">
      <w:pPr>
        <w:spacing w:line="240" w:lineRule="auto"/>
        <w:ind w:left="2268" w:hanging="2268"/>
        <w:rPr>
          <w:color w:val="000000"/>
          <w:shd w:val="pct15" w:color="auto" w:fill="auto"/>
          <w:lang w:val="hu-HU"/>
        </w:rPr>
      </w:pPr>
      <w:r w:rsidRPr="0055140A">
        <w:rPr>
          <w:color w:val="000000"/>
          <w:shd w:val="pct15" w:color="auto" w:fill="auto"/>
          <w:lang w:val="hu-HU"/>
        </w:rPr>
        <w:t>EU/1/01/198/01</w:t>
      </w:r>
      <w:r w:rsidR="004B3E01">
        <w:rPr>
          <w:color w:val="000000"/>
          <w:shd w:val="pct15" w:color="auto" w:fill="auto"/>
          <w:lang w:val="hu-HU"/>
        </w:rPr>
        <w:t>5</w:t>
      </w:r>
      <w:r w:rsidRPr="0055140A">
        <w:rPr>
          <w:color w:val="000000"/>
          <w:shd w:val="pct15" w:color="auto" w:fill="auto"/>
          <w:lang w:val="hu-HU"/>
        </w:rPr>
        <w:tab/>
        <w:t>1</w:t>
      </w:r>
      <w:r w:rsidR="004B3E01">
        <w:rPr>
          <w:color w:val="000000"/>
          <w:shd w:val="pct15" w:color="auto" w:fill="auto"/>
          <w:lang w:val="hu-HU"/>
        </w:rPr>
        <w:t>2</w:t>
      </w:r>
      <w:r w:rsidRPr="0055140A">
        <w:rPr>
          <w:color w:val="000000"/>
          <w:shd w:val="pct15" w:color="auto" w:fill="auto"/>
          <w:lang w:val="hu-HU"/>
        </w:rPr>
        <w:t>0 tabletta (PVDC/alumínium buborékcsomagolás)</w:t>
      </w:r>
    </w:p>
    <w:p w14:paraId="0DF440F4" w14:textId="77777777" w:rsidR="001C5E72" w:rsidRPr="00556B9B" w:rsidRDefault="001C5E72" w:rsidP="001C5E72">
      <w:pPr>
        <w:tabs>
          <w:tab w:val="left" w:pos="2268"/>
        </w:tabs>
        <w:spacing w:line="240" w:lineRule="auto"/>
        <w:rPr>
          <w:color w:val="000000"/>
          <w:shd w:val="clear" w:color="auto" w:fill="D9D9D9"/>
          <w:lang w:val="hu-HU"/>
        </w:rPr>
      </w:pPr>
      <w:r w:rsidRPr="00556B9B">
        <w:rPr>
          <w:color w:val="000000"/>
          <w:shd w:val="clear" w:color="auto" w:fill="D9D9D9"/>
          <w:lang w:val="hu-HU"/>
        </w:rPr>
        <w:t>EU/1/01/198/0</w:t>
      </w:r>
      <w:r>
        <w:rPr>
          <w:color w:val="000000"/>
          <w:shd w:val="clear" w:color="auto" w:fill="D9D9D9"/>
          <w:lang w:val="hu-HU"/>
        </w:rPr>
        <w:t>1</w:t>
      </w:r>
      <w:r w:rsidR="004B3E01">
        <w:rPr>
          <w:color w:val="000000"/>
          <w:shd w:val="clear" w:color="auto" w:fill="D9D9D9"/>
          <w:lang w:val="hu-HU"/>
        </w:rPr>
        <w:t>6</w:t>
      </w:r>
      <w:r w:rsidRPr="00556B9B">
        <w:rPr>
          <w:color w:val="000000"/>
          <w:shd w:val="clear" w:color="auto" w:fill="D9D9D9"/>
          <w:lang w:val="hu-HU"/>
        </w:rPr>
        <w:tab/>
      </w:r>
      <w:r w:rsidR="004B3E01">
        <w:rPr>
          <w:color w:val="000000"/>
          <w:shd w:val="clear" w:color="auto" w:fill="D9D9D9"/>
          <w:lang w:val="hu-HU"/>
        </w:rPr>
        <w:t>18</w:t>
      </w:r>
      <w:r w:rsidRPr="00556B9B">
        <w:rPr>
          <w:color w:val="000000"/>
          <w:shd w:val="clear" w:color="auto" w:fill="D9D9D9"/>
          <w:lang w:val="hu-HU"/>
        </w:rPr>
        <w:t>0 tabletta</w:t>
      </w:r>
      <w:r w:rsidRPr="0055140A">
        <w:rPr>
          <w:color w:val="000000"/>
          <w:shd w:val="pct15" w:color="auto" w:fill="auto"/>
          <w:lang w:val="hu-HU"/>
        </w:rPr>
        <w:t xml:space="preserve"> (PV</w:t>
      </w:r>
      <w:r>
        <w:rPr>
          <w:color w:val="000000"/>
          <w:shd w:val="pct15" w:color="auto" w:fill="auto"/>
          <w:lang w:val="hu-HU"/>
        </w:rPr>
        <w:t>D</w:t>
      </w:r>
      <w:r w:rsidRPr="0055140A">
        <w:rPr>
          <w:color w:val="000000"/>
          <w:shd w:val="pct15" w:color="auto" w:fill="auto"/>
          <w:lang w:val="hu-HU"/>
        </w:rPr>
        <w:t>C/alumínium buborékcsomagolás)</w:t>
      </w:r>
    </w:p>
    <w:p w14:paraId="6E6C7D38" w14:textId="77777777" w:rsidR="005A78EA" w:rsidRPr="00556B9B" w:rsidRDefault="005A78EA" w:rsidP="005A78EA">
      <w:pPr>
        <w:spacing w:line="240" w:lineRule="auto"/>
        <w:rPr>
          <w:color w:val="000000"/>
          <w:lang w:val="hu-HU"/>
        </w:rPr>
      </w:pPr>
    </w:p>
    <w:p w14:paraId="530CD078" w14:textId="77777777" w:rsidR="005A78EA" w:rsidRPr="00556B9B" w:rsidRDefault="005A78EA" w:rsidP="005A78EA">
      <w:pPr>
        <w:spacing w:line="240" w:lineRule="auto"/>
        <w:rPr>
          <w:color w:val="000000"/>
          <w:lang w:val="hu-HU"/>
        </w:rPr>
      </w:pPr>
    </w:p>
    <w:p w14:paraId="2DA660A4"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13.</w:t>
      </w:r>
      <w:r w:rsidRPr="00556B9B">
        <w:rPr>
          <w:b/>
          <w:color w:val="000000"/>
          <w:lang w:val="hu-HU"/>
        </w:rPr>
        <w:tab/>
        <w:t>A GYÁRTÁSI TÉTEL SZÁMA</w:t>
      </w:r>
    </w:p>
    <w:p w14:paraId="62D62D45" w14:textId="77777777" w:rsidR="005A78EA" w:rsidRPr="00556B9B" w:rsidRDefault="005A78EA" w:rsidP="005A78EA">
      <w:pPr>
        <w:spacing w:line="240" w:lineRule="auto"/>
        <w:rPr>
          <w:color w:val="000000"/>
          <w:lang w:val="hu-HU"/>
        </w:rPr>
      </w:pPr>
    </w:p>
    <w:p w14:paraId="4D93AB06" w14:textId="77777777" w:rsidR="005A78EA" w:rsidRPr="00556B9B" w:rsidRDefault="005A78EA" w:rsidP="005A78EA">
      <w:pPr>
        <w:spacing w:line="240" w:lineRule="auto"/>
        <w:rPr>
          <w:color w:val="000000"/>
          <w:lang w:val="hu-HU"/>
        </w:rPr>
      </w:pPr>
      <w:r w:rsidRPr="00556B9B">
        <w:rPr>
          <w:color w:val="000000"/>
          <w:lang w:val="hu-HU"/>
        </w:rPr>
        <w:t>Gy. sz.:</w:t>
      </w:r>
    </w:p>
    <w:p w14:paraId="3514E1CB" w14:textId="77777777" w:rsidR="005A78EA" w:rsidRPr="00556B9B" w:rsidRDefault="005A78EA" w:rsidP="005A78EA">
      <w:pPr>
        <w:spacing w:line="240" w:lineRule="auto"/>
        <w:rPr>
          <w:color w:val="000000"/>
          <w:lang w:val="hu-HU"/>
        </w:rPr>
      </w:pPr>
    </w:p>
    <w:p w14:paraId="7D26EFB3" w14:textId="77777777" w:rsidR="005A78EA" w:rsidRPr="00556B9B" w:rsidRDefault="005A78EA" w:rsidP="005A78EA">
      <w:pPr>
        <w:spacing w:line="240" w:lineRule="auto"/>
        <w:rPr>
          <w:color w:val="000000"/>
          <w:lang w:val="hu-HU"/>
        </w:rPr>
      </w:pPr>
    </w:p>
    <w:p w14:paraId="59C6A6C1"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14.</w:t>
      </w:r>
      <w:r w:rsidRPr="00556B9B">
        <w:rPr>
          <w:b/>
          <w:color w:val="000000"/>
          <w:lang w:val="hu-HU"/>
        </w:rPr>
        <w:tab/>
        <w:t>A GYÓGYSZER RENDELHETŐSÉG</w:t>
      </w:r>
      <w:r w:rsidR="00DF09F3" w:rsidRPr="00556B9B">
        <w:rPr>
          <w:b/>
          <w:color w:val="000000"/>
          <w:lang w:val="hu-HU"/>
        </w:rPr>
        <w:t>E</w:t>
      </w:r>
    </w:p>
    <w:p w14:paraId="34F8165A" w14:textId="77777777" w:rsidR="005A78EA" w:rsidRPr="00556B9B" w:rsidRDefault="005A78EA" w:rsidP="005A78EA">
      <w:pPr>
        <w:spacing w:line="240" w:lineRule="auto"/>
        <w:rPr>
          <w:color w:val="000000"/>
          <w:lang w:val="hu-HU"/>
        </w:rPr>
      </w:pPr>
    </w:p>
    <w:p w14:paraId="2C7E452D" w14:textId="77777777" w:rsidR="005A78EA" w:rsidRPr="00556B9B" w:rsidRDefault="005A78EA" w:rsidP="005A78EA">
      <w:pPr>
        <w:spacing w:line="240" w:lineRule="auto"/>
        <w:rPr>
          <w:color w:val="000000"/>
          <w:lang w:val="hu-HU"/>
        </w:rPr>
      </w:pPr>
    </w:p>
    <w:p w14:paraId="033097F5"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15.</w:t>
      </w:r>
      <w:r w:rsidRPr="00556B9B">
        <w:rPr>
          <w:b/>
          <w:color w:val="000000"/>
          <w:lang w:val="hu-HU"/>
        </w:rPr>
        <w:tab/>
        <w:t>AZ ALKALMAZÁSRA VONATKOZÓ UTASÍTÁSOK</w:t>
      </w:r>
    </w:p>
    <w:p w14:paraId="7A4245DA" w14:textId="77777777" w:rsidR="005A78EA" w:rsidRPr="00556B9B" w:rsidRDefault="005A78EA" w:rsidP="005A78EA">
      <w:pPr>
        <w:spacing w:line="240" w:lineRule="auto"/>
        <w:rPr>
          <w:color w:val="000000"/>
          <w:lang w:val="hu-HU"/>
        </w:rPr>
      </w:pPr>
    </w:p>
    <w:p w14:paraId="5B7EB0B6" w14:textId="77777777" w:rsidR="005A78EA" w:rsidRPr="00556B9B" w:rsidRDefault="005A78EA" w:rsidP="005A78EA">
      <w:pPr>
        <w:spacing w:line="240" w:lineRule="auto"/>
        <w:rPr>
          <w:color w:val="000000"/>
          <w:szCs w:val="22"/>
          <w:lang w:val="hu-HU"/>
        </w:rPr>
      </w:pPr>
    </w:p>
    <w:p w14:paraId="264E11E8"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hu-HU"/>
        </w:rPr>
      </w:pPr>
      <w:r w:rsidRPr="00556B9B">
        <w:rPr>
          <w:b/>
          <w:color w:val="000000"/>
          <w:szCs w:val="22"/>
          <w:lang w:val="hu-HU"/>
        </w:rPr>
        <w:t>16.</w:t>
      </w:r>
      <w:r w:rsidRPr="00556B9B">
        <w:rPr>
          <w:b/>
          <w:color w:val="000000"/>
          <w:szCs w:val="22"/>
          <w:lang w:val="hu-HU"/>
        </w:rPr>
        <w:tab/>
        <w:t>BRAILLE ÍRÁSSAL FELTÜNTETETT INFORMÁCIÓK</w:t>
      </w:r>
    </w:p>
    <w:p w14:paraId="1C11B851" w14:textId="77777777" w:rsidR="005A78EA" w:rsidRPr="00556B9B" w:rsidRDefault="005A78EA" w:rsidP="005A78EA">
      <w:pPr>
        <w:spacing w:line="240" w:lineRule="auto"/>
        <w:rPr>
          <w:color w:val="000000"/>
          <w:szCs w:val="22"/>
          <w:lang w:val="hu-HU"/>
        </w:rPr>
      </w:pPr>
    </w:p>
    <w:p w14:paraId="6ED8B664" w14:textId="77777777" w:rsidR="005A78EA" w:rsidRPr="00556B9B" w:rsidRDefault="005A78EA" w:rsidP="005A78EA">
      <w:pPr>
        <w:spacing w:line="240" w:lineRule="auto"/>
        <w:rPr>
          <w:color w:val="000000"/>
          <w:szCs w:val="22"/>
          <w:lang w:val="hu-HU"/>
        </w:rPr>
      </w:pPr>
      <w:r w:rsidRPr="00556B9B">
        <w:rPr>
          <w:color w:val="000000"/>
          <w:szCs w:val="22"/>
          <w:lang w:val="hu-HU"/>
        </w:rPr>
        <w:t>Glivec 100 mg</w:t>
      </w:r>
    </w:p>
    <w:p w14:paraId="0ADA18A9" w14:textId="77777777" w:rsidR="005A78EA" w:rsidRPr="00556B9B" w:rsidRDefault="005A78EA" w:rsidP="005A78EA">
      <w:pPr>
        <w:spacing w:line="240" w:lineRule="auto"/>
        <w:rPr>
          <w:color w:val="000000"/>
          <w:szCs w:val="22"/>
          <w:lang w:val="hu-HU"/>
        </w:rPr>
      </w:pPr>
    </w:p>
    <w:p w14:paraId="6BF0C875" w14:textId="77777777" w:rsidR="00431596" w:rsidRPr="00556B9B" w:rsidRDefault="00431596" w:rsidP="005A78EA">
      <w:pPr>
        <w:spacing w:line="240" w:lineRule="auto"/>
        <w:rPr>
          <w:color w:val="000000"/>
          <w:szCs w:val="22"/>
          <w:lang w:val="hu-HU"/>
        </w:rPr>
      </w:pPr>
    </w:p>
    <w:p w14:paraId="0F473222" w14:textId="77777777" w:rsidR="00431596" w:rsidRPr="00556B9B" w:rsidRDefault="00431596" w:rsidP="00431596">
      <w:pPr>
        <w:widowControl w:val="0"/>
        <w:pBdr>
          <w:top w:val="single" w:sz="4" w:space="1" w:color="auto"/>
          <w:left w:val="single" w:sz="4" w:space="4" w:color="auto"/>
          <w:bottom w:val="single" w:sz="4" w:space="1" w:color="auto"/>
          <w:right w:val="single" w:sz="4" w:space="4" w:color="auto"/>
        </w:pBdr>
        <w:suppressAutoHyphens w:val="0"/>
        <w:spacing w:line="240" w:lineRule="auto"/>
        <w:outlineLvl w:val="0"/>
        <w:rPr>
          <w:rFonts w:cs="Times New Roman"/>
          <w:i/>
          <w:noProof/>
          <w:szCs w:val="22"/>
          <w:lang w:val="hu-HU" w:eastAsia="en-US" w:bidi="ar-SA"/>
        </w:rPr>
      </w:pPr>
      <w:r w:rsidRPr="00556B9B">
        <w:rPr>
          <w:rFonts w:cs="Times New Roman"/>
          <w:b/>
          <w:noProof/>
          <w:szCs w:val="22"/>
          <w:lang w:val="hu-HU" w:eastAsia="en-US" w:bidi="ar-SA"/>
        </w:rPr>
        <w:t>17.</w:t>
      </w:r>
      <w:r w:rsidRPr="00556B9B">
        <w:rPr>
          <w:rFonts w:cs="Times New Roman"/>
          <w:b/>
          <w:noProof/>
          <w:szCs w:val="22"/>
          <w:lang w:val="hu-HU" w:eastAsia="en-US" w:bidi="ar-SA"/>
        </w:rPr>
        <w:tab/>
        <w:t>EGYEDI AZONOSÍTÓ – 2D VONALKÓD</w:t>
      </w:r>
    </w:p>
    <w:p w14:paraId="395AFF1F" w14:textId="77777777" w:rsidR="00431596" w:rsidRPr="00556B9B" w:rsidRDefault="00431596" w:rsidP="00431596">
      <w:pPr>
        <w:widowControl w:val="0"/>
        <w:suppressAutoHyphens w:val="0"/>
        <w:spacing w:line="240" w:lineRule="auto"/>
        <w:rPr>
          <w:rFonts w:cs="Times New Roman"/>
          <w:noProof/>
          <w:szCs w:val="22"/>
          <w:lang w:val="hu-HU" w:eastAsia="en-US" w:bidi="ar-SA"/>
        </w:rPr>
      </w:pPr>
    </w:p>
    <w:p w14:paraId="72FA07A6" w14:textId="77777777" w:rsidR="00431596" w:rsidRPr="00556B9B" w:rsidRDefault="00431596" w:rsidP="00431596">
      <w:pPr>
        <w:widowControl w:val="0"/>
        <w:shd w:val="clear" w:color="auto" w:fill="FFFFFF"/>
        <w:suppressAutoHyphens w:val="0"/>
        <w:spacing w:line="240" w:lineRule="auto"/>
        <w:rPr>
          <w:rFonts w:cs="Times New Roman"/>
          <w:szCs w:val="22"/>
          <w:shd w:val="pct15" w:color="auto" w:fill="auto"/>
          <w:lang w:val="hu-HU" w:eastAsia="en-US" w:bidi="ar-SA"/>
        </w:rPr>
      </w:pPr>
      <w:r w:rsidRPr="00556B9B">
        <w:rPr>
          <w:rFonts w:cs="Times New Roman"/>
          <w:szCs w:val="22"/>
          <w:shd w:val="pct15" w:color="auto" w:fill="auto"/>
          <w:lang w:val="hu-HU" w:eastAsia="en-US" w:bidi="ar-SA"/>
        </w:rPr>
        <w:t>Egyedi azonosítójú 2D vonalkóddal ellátva.</w:t>
      </w:r>
    </w:p>
    <w:p w14:paraId="7D045EC4" w14:textId="77777777" w:rsidR="00431596" w:rsidRPr="009403F1" w:rsidRDefault="00431596" w:rsidP="00431596">
      <w:pPr>
        <w:widowControl w:val="0"/>
        <w:suppressAutoHyphens w:val="0"/>
        <w:spacing w:line="240" w:lineRule="auto"/>
        <w:rPr>
          <w:rFonts w:cs="Times New Roman"/>
          <w:noProof/>
          <w:szCs w:val="22"/>
          <w:lang w:val="hu-HU" w:eastAsia="en-US" w:bidi="ar-SA"/>
        </w:rPr>
      </w:pPr>
    </w:p>
    <w:p w14:paraId="2BB481F6" w14:textId="77777777" w:rsidR="00431596" w:rsidRPr="009403F1" w:rsidRDefault="00431596" w:rsidP="00431596">
      <w:pPr>
        <w:widowControl w:val="0"/>
        <w:suppressAutoHyphens w:val="0"/>
        <w:spacing w:line="240" w:lineRule="auto"/>
        <w:rPr>
          <w:rFonts w:cs="Times New Roman"/>
          <w:noProof/>
          <w:szCs w:val="22"/>
          <w:lang w:val="hu-HU" w:eastAsia="en-US" w:bidi="ar-SA"/>
        </w:rPr>
      </w:pPr>
    </w:p>
    <w:p w14:paraId="46EA7E7A" w14:textId="77777777" w:rsidR="00431596" w:rsidRPr="00556B9B" w:rsidRDefault="00431596" w:rsidP="00951752">
      <w:pPr>
        <w:keepNext/>
        <w:widowControl w:val="0"/>
        <w:pBdr>
          <w:top w:val="single" w:sz="4" w:space="1" w:color="auto"/>
          <w:left w:val="single" w:sz="4" w:space="4" w:color="auto"/>
          <w:bottom w:val="single" w:sz="4" w:space="0" w:color="auto"/>
          <w:right w:val="single" w:sz="4" w:space="4" w:color="auto"/>
        </w:pBdr>
        <w:suppressAutoHyphens w:val="0"/>
        <w:spacing w:line="240" w:lineRule="auto"/>
        <w:ind w:left="-3"/>
        <w:outlineLvl w:val="0"/>
        <w:rPr>
          <w:rFonts w:cs="Times New Roman"/>
          <w:i/>
          <w:noProof/>
          <w:szCs w:val="22"/>
          <w:lang w:val="hu-HU" w:eastAsia="en-US" w:bidi="ar-SA"/>
        </w:rPr>
      </w:pPr>
      <w:r w:rsidRPr="00556B9B">
        <w:rPr>
          <w:rFonts w:cs="Times New Roman"/>
          <w:b/>
          <w:noProof/>
          <w:szCs w:val="22"/>
          <w:lang w:val="hu-HU" w:eastAsia="en-US" w:bidi="ar-SA"/>
        </w:rPr>
        <w:lastRenderedPageBreak/>
        <w:t>18.</w:t>
      </w:r>
      <w:r w:rsidRPr="00556B9B">
        <w:rPr>
          <w:rFonts w:cs="Times New Roman"/>
          <w:b/>
          <w:noProof/>
          <w:szCs w:val="22"/>
          <w:lang w:val="hu-HU" w:eastAsia="en-US" w:bidi="ar-SA"/>
        </w:rPr>
        <w:tab/>
        <w:t>EGYEDI AZONOSÍTÓ OLVASHATÓ FORMÁTUMA</w:t>
      </w:r>
    </w:p>
    <w:p w14:paraId="2D02EC6F" w14:textId="77777777" w:rsidR="00431596" w:rsidRPr="00556B9B" w:rsidRDefault="00431596" w:rsidP="00951752">
      <w:pPr>
        <w:keepNext/>
        <w:spacing w:line="240" w:lineRule="auto"/>
        <w:rPr>
          <w:color w:val="000000"/>
          <w:szCs w:val="22"/>
          <w:lang w:val="hu-HU"/>
        </w:rPr>
      </w:pPr>
    </w:p>
    <w:p w14:paraId="64351731" w14:textId="77777777" w:rsidR="00431596" w:rsidRPr="00556B9B" w:rsidRDefault="00431596" w:rsidP="00951752">
      <w:pPr>
        <w:keepNext/>
        <w:widowControl w:val="0"/>
        <w:shd w:val="clear" w:color="auto" w:fill="FFFFFF"/>
        <w:suppressAutoHyphens w:val="0"/>
        <w:rPr>
          <w:rFonts w:cs="Times New Roman"/>
          <w:szCs w:val="22"/>
          <w:lang w:val="hu-HU" w:eastAsia="en-US" w:bidi="ar-SA"/>
        </w:rPr>
      </w:pPr>
      <w:r w:rsidRPr="00556B9B">
        <w:rPr>
          <w:rFonts w:cs="Times New Roman"/>
          <w:szCs w:val="22"/>
          <w:lang w:val="hu-HU" w:eastAsia="en-US" w:bidi="ar-SA"/>
        </w:rPr>
        <w:t>PC:</w:t>
      </w:r>
    </w:p>
    <w:p w14:paraId="63C7ADD5" w14:textId="77777777" w:rsidR="00431596" w:rsidRPr="00556B9B" w:rsidRDefault="00431596" w:rsidP="00951752">
      <w:pPr>
        <w:keepNext/>
        <w:widowControl w:val="0"/>
        <w:shd w:val="clear" w:color="auto" w:fill="FFFFFF"/>
        <w:suppressAutoHyphens w:val="0"/>
        <w:rPr>
          <w:rFonts w:cs="Times New Roman"/>
          <w:szCs w:val="22"/>
          <w:lang w:val="hu-HU" w:eastAsia="en-US" w:bidi="ar-SA"/>
        </w:rPr>
      </w:pPr>
      <w:r w:rsidRPr="00556B9B">
        <w:rPr>
          <w:rFonts w:cs="Times New Roman"/>
          <w:szCs w:val="22"/>
          <w:lang w:val="hu-HU" w:eastAsia="en-US" w:bidi="ar-SA"/>
        </w:rPr>
        <w:t>SN:</w:t>
      </w:r>
    </w:p>
    <w:p w14:paraId="7E64A7F5" w14:textId="77777777" w:rsidR="00431596" w:rsidRPr="00556B9B" w:rsidRDefault="00431596" w:rsidP="00431596">
      <w:pPr>
        <w:shd w:val="clear" w:color="auto" w:fill="FFFFFF"/>
        <w:spacing w:line="240" w:lineRule="auto"/>
        <w:rPr>
          <w:color w:val="000000"/>
          <w:szCs w:val="22"/>
          <w:lang w:val="hu-HU"/>
        </w:rPr>
      </w:pPr>
      <w:r w:rsidRPr="00556B9B">
        <w:rPr>
          <w:rFonts w:cs="Times New Roman"/>
          <w:szCs w:val="22"/>
          <w:lang w:val="hu-HU" w:eastAsia="en-US" w:bidi="ar-SA"/>
        </w:rPr>
        <w:t>NN</w:t>
      </w:r>
    </w:p>
    <w:p w14:paraId="768C4B33" w14:textId="77777777" w:rsidR="005A78EA" w:rsidRPr="00556B9B" w:rsidRDefault="005A78EA" w:rsidP="005A78EA">
      <w:pPr>
        <w:spacing w:line="240" w:lineRule="auto"/>
        <w:rPr>
          <w:color w:val="000000"/>
          <w:szCs w:val="22"/>
          <w:lang w:val="hu-HU"/>
        </w:rPr>
      </w:pPr>
    </w:p>
    <w:p w14:paraId="7F2DE4A0" w14:textId="77777777" w:rsidR="005A78EA" w:rsidRPr="00556B9B" w:rsidRDefault="00A72ECC" w:rsidP="005A78EA">
      <w:pPr>
        <w:spacing w:line="240" w:lineRule="auto"/>
        <w:rPr>
          <w:color w:val="000000"/>
          <w:u w:val="single"/>
          <w:lang w:val="hu-HU"/>
        </w:rPr>
      </w:pPr>
      <w:r w:rsidRPr="00556B9B">
        <w:rPr>
          <w:color w:val="000000"/>
          <w:u w:val="single"/>
          <w:lang w:val="hu-HU"/>
        </w:rPr>
        <w:br w:type="page"/>
      </w:r>
    </w:p>
    <w:p w14:paraId="1EA8CD21" w14:textId="77777777" w:rsidR="00951752" w:rsidRPr="00951752" w:rsidRDefault="00951752" w:rsidP="00951752">
      <w:pPr>
        <w:spacing w:line="240" w:lineRule="auto"/>
        <w:rPr>
          <w:color w:val="000000"/>
          <w:lang w:val="hu-HU"/>
        </w:rPr>
      </w:pPr>
    </w:p>
    <w:p w14:paraId="4CD24055"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A BUBORÉK</w:t>
      </w:r>
      <w:r w:rsidR="00793411" w:rsidRPr="00556B9B">
        <w:rPr>
          <w:b/>
          <w:color w:val="000000"/>
          <w:lang w:val="hu-HU"/>
        </w:rPr>
        <w:t>CSOMAGOLÁSON</w:t>
      </w:r>
      <w:r w:rsidRPr="00556B9B">
        <w:rPr>
          <w:b/>
          <w:color w:val="000000"/>
          <w:lang w:val="hu-HU"/>
        </w:rPr>
        <w:t xml:space="preserve"> VAGY A </w:t>
      </w:r>
      <w:r w:rsidR="00793411" w:rsidRPr="00556B9B">
        <w:rPr>
          <w:b/>
          <w:color w:val="000000"/>
          <w:lang w:val="hu-HU"/>
        </w:rPr>
        <w:t xml:space="preserve">FÓLIACSÍKON </w:t>
      </w:r>
      <w:r w:rsidRPr="00556B9B">
        <w:rPr>
          <w:b/>
          <w:noProof/>
          <w:color w:val="000000"/>
          <w:lang w:val="hu-HU"/>
        </w:rPr>
        <w:t>MINIMÁLISAN</w:t>
      </w:r>
      <w:r w:rsidRPr="00556B9B">
        <w:rPr>
          <w:b/>
          <w:color w:val="000000"/>
          <w:lang w:val="hu-HU"/>
        </w:rPr>
        <w:t xml:space="preserve"> FELTÜNTETENDŐ ADATOK</w:t>
      </w:r>
    </w:p>
    <w:p w14:paraId="38FAD273"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color w:val="000000"/>
          <w:lang w:val="hu-HU"/>
        </w:rPr>
      </w:pPr>
    </w:p>
    <w:p w14:paraId="096849E4"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BUBORÉK</w:t>
      </w:r>
      <w:r w:rsidR="00793411" w:rsidRPr="00556B9B">
        <w:rPr>
          <w:b/>
          <w:color w:val="000000"/>
          <w:lang w:val="hu-HU"/>
        </w:rPr>
        <w:t>CSOMAGOLÁS</w:t>
      </w:r>
    </w:p>
    <w:p w14:paraId="00E76794" w14:textId="77777777" w:rsidR="005A78EA" w:rsidRPr="00556B9B" w:rsidRDefault="005A78EA" w:rsidP="005A78EA">
      <w:pPr>
        <w:spacing w:line="240" w:lineRule="auto"/>
        <w:rPr>
          <w:color w:val="000000"/>
          <w:lang w:val="hu-HU"/>
        </w:rPr>
      </w:pPr>
    </w:p>
    <w:p w14:paraId="487D51A3" w14:textId="77777777" w:rsidR="005A78EA" w:rsidRPr="00556B9B" w:rsidRDefault="005A78EA" w:rsidP="005A78EA">
      <w:pPr>
        <w:spacing w:line="240" w:lineRule="auto"/>
        <w:rPr>
          <w:color w:val="000000"/>
          <w:lang w:val="hu-HU"/>
        </w:rPr>
      </w:pPr>
    </w:p>
    <w:p w14:paraId="0AB1AEE3"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w:t>
      </w:r>
      <w:r w:rsidRPr="00556B9B">
        <w:rPr>
          <w:b/>
          <w:color w:val="000000"/>
          <w:lang w:val="hu-HU"/>
        </w:rPr>
        <w:tab/>
        <w:t>A GYÓGYSZER NEVE</w:t>
      </w:r>
    </w:p>
    <w:p w14:paraId="5D8F0325" w14:textId="77777777" w:rsidR="005A78EA" w:rsidRPr="00556B9B" w:rsidRDefault="005A78EA" w:rsidP="005A78EA">
      <w:pPr>
        <w:spacing w:line="240" w:lineRule="auto"/>
        <w:ind w:left="567" w:hanging="567"/>
        <w:rPr>
          <w:color w:val="000000"/>
          <w:lang w:val="hu-HU"/>
        </w:rPr>
      </w:pPr>
    </w:p>
    <w:p w14:paraId="5278839F" w14:textId="77777777" w:rsidR="005A78EA" w:rsidRPr="00556B9B" w:rsidRDefault="005A78EA" w:rsidP="005A78EA">
      <w:pPr>
        <w:spacing w:line="240" w:lineRule="auto"/>
        <w:rPr>
          <w:color w:val="000000"/>
          <w:lang w:val="hu-HU"/>
        </w:rPr>
      </w:pPr>
      <w:r w:rsidRPr="00556B9B">
        <w:rPr>
          <w:color w:val="000000"/>
          <w:lang w:val="hu-HU"/>
        </w:rPr>
        <w:t>Glivec 100 mg tabletta</w:t>
      </w:r>
    </w:p>
    <w:p w14:paraId="745E5B27" w14:textId="77777777" w:rsidR="005A78EA" w:rsidRPr="00556B9B" w:rsidRDefault="00140E42" w:rsidP="005A78EA">
      <w:pPr>
        <w:spacing w:line="240" w:lineRule="auto"/>
        <w:rPr>
          <w:color w:val="000000"/>
          <w:lang w:val="hu-HU"/>
        </w:rPr>
      </w:pPr>
      <w:r w:rsidRPr="00556B9B">
        <w:rPr>
          <w:color w:val="000000"/>
          <w:lang w:val="hu-HU"/>
        </w:rPr>
        <w:t>i</w:t>
      </w:r>
      <w:r w:rsidR="005A78EA" w:rsidRPr="00556B9B">
        <w:rPr>
          <w:color w:val="000000"/>
          <w:lang w:val="hu-HU"/>
        </w:rPr>
        <w:t>matinib</w:t>
      </w:r>
    </w:p>
    <w:p w14:paraId="62DBD2B0" w14:textId="77777777" w:rsidR="005A78EA" w:rsidRPr="00556B9B" w:rsidRDefault="005A78EA" w:rsidP="005A78EA">
      <w:pPr>
        <w:spacing w:line="240" w:lineRule="auto"/>
        <w:rPr>
          <w:color w:val="000000"/>
          <w:lang w:val="hu-HU"/>
        </w:rPr>
      </w:pPr>
    </w:p>
    <w:p w14:paraId="262E9CF4" w14:textId="77777777" w:rsidR="005A78EA" w:rsidRPr="00556B9B" w:rsidRDefault="005A78EA" w:rsidP="005A78EA">
      <w:pPr>
        <w:spacing w:line="240" w:lineRule="auto"/>
        <w:rPr>
          <w:color w:val="000000"/>
          <w:lang w:val="hu-HU"/>
        </w:rPr>
      </w:pPr>
    </w:p>
    <w:p w14:paraId="65480F82"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2.</w:t>
      </w:r>
      <w:r w:rsidRPr="00556B9B">
        <w:rPr>
          <w:b/>
          <w:color w:val="000000"/>
          <w:lang w:val="hu-HU"/>
        </w:rPr>
        <w:tab/>
        <w:t>A FORGALOMBA HOZATALI ENGEDÉLY JOGOSULTJÁNAK NEVE</w:t>
      </w:r>
    </w:p>
    <w:p w14:paraId="1887EA63" w14:textId="77777777" w:rsidR="005A78EA" w:rsidRPr="00556B9B" w:rsidRDefault="005A78EA" w:rsidP="005A78EA">
      <w:pPr>
        <w:spacing w:line="240" w:lineRule="auto"/>
        <w:rPr>
          <w:color w:val="000000"/>
          <w:lang w:val="hu-HU"/>
        </w:rPr>
      </w:pPr>
    </w:p>
    <w:p w14:paraId="31378A9E" w14:textId="77777777" w:rsidR="005A78EA" w:rsidRPr="00556B9B" w:rsidRDefault="005A78EA" w:rsidP="005A78EA">
      <w:pPr>
        <w:spacing w:line="240" w:lineRule="auto"/>
        <w:rPr>
          <w:color w:val="000000"/>
          <w:lang w:val="hu-HU"/>
        </w:rPr>
      </w:pPr>
      <w:r w:rsidRPr="00556B9B">
        <w:rPr>
          <w:color w:val="000000"/>
          <w:lang w:val="hu-HU"/>
        </w:rPr>
        <w:t>Novartis Europharm Limited</w:t>
      </w:r>
    </w:p>
    <w:p w14:paraId="3ACDA125" w14:textId="77777777" w:rsidR="005A78EA" w:rsidRPr="00556B9B" w:rsidRDefault="005A78EA" w:rsidP="005A78EA">
      <w:pPr>
        <w:spacing w:line="240" w:lineRule="auto"/>
        <w:rPr>
          <w:color w:val="000000"/>
          <w:lang w:val="hu-HU"/>
        </w:rPr>
      </w:pPr>
    </w:p>
    <w:p w14:paraId="7DABE8CC" w14:textId="77777777" w:rsidR="005A78EA" w:rsidRPr="00556B9B" w:rsidRDefault="005A78EA" w:rsidP="005A78EA">
      <w:pPr>
        <w:spacing w:line="240" w:lineRule="auto"/>
        <w:rPr>
          <w:color w:val="000000"/>
          <w:lang w:val="hu-HU"/>
        </w:rPr>
      </w:pPr>
    </w:p>
    <w:p w14:paraId="470ECA94"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3.</w:t>
      </w:r>
      <w:r w:rsidRPr="00556B9B">
        <w:rPr>
          <w:b/>
          <w:color w:val="000000"/>
          <w:lang w:val="hu-HU"/>
        </w:rPr>
        <w:tab/>
        <w:t>LEJÁRATI IDŐ</w:t>
      </w:r>
    </w:p>
    <w:p w14:paraId="1D7E5BF8" w14:textId="77777777" w:rsidR="005A78EA" w:rsidRPr="00556B9B" w:rsidRDefault="005A78EA" w:rsidP="005A78EA">
      <w:pPr>
        <w:spacing w:line="240" w:lineRule="auto"/>
        <w:rPr>
          <w:color w:val="000000"/>
          <w:lang w:val="hu-HU"/>
        </w:rPr>
      </w:pPr>
    </w:p>
    <w:p w14:paraId="139B0885" w14:textId="77777777" w:rsidR="005A78EA" w:rsidRPr="00556B9B" w:rsidRDefault="005A78EA" w:rsidP="005A78EA">
      <w:pPr>
        <w:pStyle w:val="EndnoteText"/>
        <w:spacing w:line="240" w:lineRule="auto"/>
        <w:rPr>
          <w:color w:val="000000"/>
          <w:lang w:val="hu-HU"/>
        </w:rPr>
      </w:pPr>
      <w:r w:rsidRPr="00556B9B">
        <w:rPr>
          <w:color w:val="000000"/>
          <w:lang w:val="hu-HU"/>
        </w:rPr>
        <w:t>EXP</w:t>
      </w:r>
    </w:p>
    <w:p w14:paraId="3DA29E79" w14:textId="77777777" w:rsidR="005A78EA" w:rsidRPr="00556B9B" w:rsidRDefault="005A78EA" w:rsidP="005A78EA">
      <w:pPr>
        <w:spacing w:line="240" w:lineRule="auto"/>
        <w:rPr>
          <w:color w:val="000000"/>
          <w:lang w:val="hu-HU"/>
        </w:rPr>
      </w:pPr>
    </w:p>
    <w:p w14:paraId="22A65EBA" w14:textId="77777777" w:rsidR="005A78EA" w:rsidRPr="00556B9B" w:rsidRDefault="005A78EA" w:rsidP="005A78EA">
      <w:pPr>
        <w:spacing w:line="240" w:lineRule="auto"/>
        <w:rPr>
          <w:color w:val="000000"/>
          <w:lang w:val="hu-HU"/>
        </w:rPr>
      </w:pPr>
    </w:p>
    <w:p w14:paraId="638CC615"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4.</w:t>
      </w:r>
      <w:r w:rsidRPr="00556B9B">
        <w:rPr>
          <w:b/>
          <w:color w:val="000000"/>
          <w:lang w:val="hu-HU"/>
        </w:rPr>
        <w:tab/>
        <w:t>A GYÁRTÁSI TÉTEL SZÁMA</w:t>
      </w:r>
    </w:p>
    <w:p w14:paraId="2A97FC88" w14:textId="77777777" w:rsidR="005A78EA" w:rsidRPr="00556B9B" w:rsidRDefault="005A78EA" w:rsidP="005A78EA">
      <w:pPr>
        <w:spacing w:line="240" w:lineRule="auto"/>
        <w:rPr>
          <w:color w:val="000000"/>
          <w:lang w:val="hu-HU"/>
        </w:rPr>
      </w:pPr>
    </w:p>
    <w:p w14:paraId="23BFAC46" w14:textId="77777777" w:rsidR="005A78EA" w:rsidRPr="00556B9B" w:rsidRDefault="005A78EA" w:rsidP="005A78EA">
      <w:pPr>
        <w:spacing w:line="240" w:lineRule="auto"/>
        <w:rPr>
          <w:color w:val="000000"/>
          <w:lang w:val="hu-HU"/>
        </w:rPr>
      </w:pPr>
      <w:r w:rsidRPr="00556B9B">
        <w:rPr>
          <w:color w:val="000000"/>
          <w:lang w:val="hu-HU"/>
        </w:rPr>
        <w:t>Lot</w:t>
      </w:r>
    </w:p>
    <w:p w14:paraId="0B40BC1F" w14:textId="77777777" w:rsidR="005A78EA" w:rsidRPr="00556B9B" w:rsidRDefault="005A78EA" w:rsidP="005A78EA">
      <w:pPr>
        <w:widowControl w:val="0"/>
        <w:spacing w:line="240" w:lineRule="auto"/>
        <w:rPr>
          <w:color w:val="000000"/>
          <w:szCs w:val="22"/>
          <w:lang w:val="hu-HU"/>
        </w:rPr>
      </w:pPr>
    </w:p>
    <w:p w14:paraId="4D7D97B3" w14:textId="77777777" w:rsidR="005A78EA" w:rsidRPr="00556B9B" w:rsidRDefault="005A78EA" w:rsidP="005A78EA">
      <w:pPr>
        <w:widowControl w:val="0"/>
        <w:spacing w:line="240" w:lineRule="auto"/>
        <w:rPr>
          <w:color w:val="000000"/>
          <w:szCs w:val="22"/>
          <w:lang w:val="hu-HU"/>
        </w:rPr>
      </w:pPr>
    </w:p>
    <w:p w14:paraId="66318ED5"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noProof/>
          <w:color w:val="000000"/>
          <w:lang w:val="hu-HU"/>
        </w:rPr>
      </w:pPr>
      <w:r w:rsidRPr="00556B9B">
        <w:rPr>
          <w:b/>
          <w:noProof/>
          <w:color w:val="000000"/>
          <w:lang w:val="hu-HU"/>
        </w:rPr>
        <w:t>5.</w:t>
      </w:r>
      <w:r w:rsidRPr="00556B9B">
        <w:rPr>
          <w:b/>
          <w:noProof/>
          <w:color w:val="000000"/>
          <w:lang w:val="hu-HU"/>
        </w:rPr>
        <w:tab/>
        <w:t>EGYÉB INFORMÁCIÓK</w:t>
      </w:r>
    </w:p>
    <w:p w14:paraId="1641754C" w14:textId="77777777" w:rsidR="005A78EA" w:rsidRPr="00556B9B" w:rsidRDefault="005A78EA" w:rsidP="005A78EA">
      <w:pPr>
        <w:spacing w:line="240" w:lineRule="auto"/>
        <w:rPr>
          <w:color w:val="000000"/>
          <w:lang w:val="hu-HU"/>
        </w:rPr>
      </w:pPr>
    </w:p>
    <w:p w14:paraId="683D9802" w14:textId="77777777" w:rsidR="005A78EA" w:rsidRPr="00556B9B" w:rsidRDefault="005A78EA" w:rsidP="005A78EA">
      <w:pPr>
        <w:spacing w:line="240" w:lineRule="auto"/>
        <w:rPr>
          <w:color w:val="000000"/>
          <w:lang w:val="hu-HU"/>
        </w:rPr>
      </w:pPr>
      <w:r w:rsidRPr="00556B9B">
        <w:rPr>
          <w:color w:val="000000"/>
          <w:lang w:val="hu-HU"/>
        </w:rPr>
        <w:br w:type="page"/>
      </w:r>
    </w:p>
    <w:p w14:paraId="1DFD75CC" w14:textId="77777777" w:rsidR="00951752" w:rsidRPr="00951752" w:rsidRDefault="00951752" w:rsidP="00951752">
      <w:pPr>
        <w:spacing w:line="240" w:lineRule="auto"/>
        <w:rPr>
          <w:color w:val="000000"/>
          <w:lang w:val="hu-HU"/>
        </w:rPr>
      </w:pPr>
    </w:p>
    <w:p w14:paraId="1F9CCA42"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A KÜLSŐ CSOMAGOLÁSON FELTÜNTETENDŐ ADATOK</w:t>
      </w:r>
    </w:p>
    <w:p w14:paraId="5D0813D3"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9ED7B4B"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KARTONDOBOZ</w:t>
      </w:r>
    </w:p>
    <w:p w14:paraId="469FA677" w14:textId="77777777" w:rsidR="005A78EA" w:rsidRPr="00556B9B" w:rsidRDefault="005A78EA" w:rsidP="005A78EA">
      <w:pPr>
        <w:spacing w:line="240" w:lineRule="auto"/>
        <w:rPr>
          <w:color w:val="000000"/>
          <w:lang w:val="hu-HU"/>
        </w:rPr>
      </w:pPr>
    </w:p>
    <w:p w14:paraId="75C2023D" w14:textId="77777777" w:rsidR="005A78EA" w:rsidRPr="00556B9B" w:rsidRDefault="005A78EA" w:rsidP="005A78EA">
      <w:pPr>
        <w:spacing w:line="240" w:lineRule="auto"/>
        <w:rPr>
          <w:color w:val="000000"/>
          <w:lang w:val="hu-HU"/>
        </w:rPr>
      </w:pPr>
    </w:p>
    <w:p w14:paraId="2EDCC44A"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w:t>
      </w:r>
      <w:r w:rsidRPr="00556B9B">
        <w:rPr>
          <w:b/>
          <w:color w:val="000000"/>
          <w:lang w:val="hu-HU"/>
        </w:rPr>
        <w:tab/>
        <w:t>A GYÓGYSZER NEVE</w:t>
      </w:r>
    </w:p>
    <w:p w14:paraId="66631489" w14:textId="77777777" w:rsidR="005A78EA" w:rsidRPr="00556B9B" w:rsidRDefault="005A78EA" w:rsidP="005A78EA">
      <w:pPr>
        <w:spacing w:line="240" w:lineRule="auto"/>
        <w:rPr>
          <w:color w:val="000000"/>
          <w:lang w:val="hu-HU"/>
        </w:rPr>
      </w:pPr>
    </w:p>
    <w:p w14:paraId="0217BAD1" w14:textId="77777777" w:rsidR="005A78EA" w:rsidRPr="00556B9B" w:rsidRDefault="005A78EA" w:rsidP="005A78EA">
      <w:pPr>
        <w:spacing w:line="240" w:lineRule="auto"/>
        <w:rPr>
          <w:color w:val="000000"/>
          <w:lang w:val="hu-HU"/>
        </w:rPr>
      </w:pPr>
      <w:r w:rsidRPr="00556B9B">
        <w:rPr>
          <w:color w:val="000000"/>
          <w:lang w:val="hu-HU"/>
        </w:rPr>
        <w:t>Glivec 400 mg filmtabletta</w:t>
      </w:r>
    </w:p>
    <w:p w14:paraId="63669EBE" w14:textId="77777777" w:rsidR="005A78EA" w:rsidRPr="00556B9B" w:rsidRDefault="00140E42" w:rsidP="005A78EA">
      <w:pPr>
        <w:spacing w:line="240" w:lineRule="auto"/>
        <w:rPr>
          <w:color w:val="000000"/>
          <w:lang w:val="hu-HU"/>
        </w:rPr>
      </w:pPr>
      <w:r w:rsidRPr="00556B9B">
        <w:rPr>
          <w:color w:val="000000"/>
          <w:lang w:val="hu-HU"/>
        </w:rPr>
        <w:t>i</w:t>
      </w:r>
      <w:r w:rsidR="005A78EA" w:rsidRPr="00556B9B">
        <w:rPr>
          <w:color w:val="000000"/>
          <w:lang w:val="hu-HU"/>
        </w:rPr>
        <w:t>matinib</w:t>
      </w:r>
    </w:p>
    <w:p w14:paraId="72E4CF6A" w14:textId="77777777" w:rsidR="005A78EA" w:rsidRPr="00556B9B" w:rsidRDefault="005A78EA" w:rsidP="005A78EA">
      <w:pPr>
        <w:spacing w:line="240" w:lineRule="auto"/>
        <w:rPr>
          <w:color w:val="000000"/>
          <w:lang w:val="hu-HU"/>
        </w:rPr>
      </w:pPr>
    </w:p>
    <w:p w14:paraId="4EF61808" w14:textId="77777777" w:rsidR="005A78EA" w:rsidRPr="00556B9B" w:rsidRDefault="005A78EA" w:rsidP="005A78EA">
      <w:pPr>
        <w:spacing w:line="240" w:lineRule="auto"/>
        <w:rPr>
          <w:color w:val="000000"/>
          <w:lang w:val="hu-HU"/>
        </w:rPr>
      </w:pPr>
    </w:p>
    <w:p w14:paraId="5204D4EE"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2.</w:t>
      </w:r>
      <w:r w:rsidRPr="00556B9B">
        <w:rPr>
          <w:b/>
          <w:color w:val="000000"/>
          <w:lang w:val="hu-HU"/>
        </w:rPr>
        <w:tab/>
        <w:t>HATÓANYAG(OK) MEGNEVEZÉSE</w:t>
      </w:r>
    </w:p>
    <w:p w14:paraId="1E698920" w14:textId="77777777" w:rsidR="005A78EA" w:rsidRPr="00556B9B" w:rsidRDefault="005A78EA" w:rsidP="005A78EA">
      <w:pPr>
        <w:spacing w:line="240" w:lineRule="auto"/>
        <w:rPr>
          <w:color w:val="000000"/>
          <w:lang w:val="hu-HU"/>
        </w:rPr>
      </w:pPr>
    </w:p>
    <w:p w14:paraId="51BE6239" w14:textId="77777777" w:rsidR="005A78EA" w:rsidRPr="00556B9B" w:rsidRDefault="005A78EA" w:rsidP="005A78EA">
      <w:pPr>
        <w:spacing w:line="240" w:lineRule="auto"/>
        <w:rPr>
          <w:color w:val="000000"/>
          <w:lang w:val="hu-HU"/>
        </w:rPr>
      </w:pPr>
      <w:r w:rsidRPr="00556B9B">
        <w:rPr>
          <w:color w:val="000000"/>
          <w:lang w:val="hu-HU"/>
        </w:rPr>
        <w:t>400 mg imatinib (imatinib</w:t>
      </w:r>
      <w:r w:rsidRPr="00556B9B">
        <w:rPr>
          <w:color w:val="000000"/>
          <w:lang w:val="hu-HU"/>
        </w:rPr>
        <w:noBreakHyphen/>
        <w:t>mezilát formájában) filmtablettánként.</w:t>
      </w:r>
    </w:p>
    <w:p w14:paraId="0FCAF722" w14:textId="77777777" w:rsidR="005A78EA" w:rsidRPr="00556B9B" w:rsidRDefault="005A78EA" w:rsidP="005A78EA">
      <w:pPr>
        <w:spacing w:line="240" w:lineRule="auto"/>
        <w:rPr>
          <w:color w:val="000000"/>
          <w:lang w:val="hu-HU"/>
        </w:rPr>
      </w:pPr>
    </w:p>
    <w:p w14:paraId="78777F55" w14:textId="77777777" w:rsidR="005A78EA" w:rsidRPr="00556B9B" w:rsidRDefault="005A78EA" w:rsidP="005A78EA">
      <w:pPr>
        <w:spacing w:line="240" w:lineRule="auto"/>
        <w:rPr>
          <w:color w:val="000000"/>
          <w:lang w:val="hu-HU"/>
        </w:rPr>
      </w:pPr>
    </w:p>
    <w:p w14:paraId="1B5CD19F"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3.</w:t>
      </w:r>
      <w:r w:rsidRPr="00556B9B">
        <w:rPr>
          <w:b/>
          <w:color w:val="000000"/>
          <w:lang w:val="hu-HU"/>
        </w:rPr>
        <w:tab/>
        <w:t>SEGÉDANYAGOK FELSOROLÁSA</w:t>
      </w:r>
    </w:p>
    <w:p w14:paraId="52E29069" w14:textId="77777777" w:rsidR="005A78EA" w:rsidRPr="00556B9B" w:rsidRDefault="005A78EA" w:rsidP="005A78EA">
      <w:pPr>
        <w:spacing w:line="240" w:lineRule="auto"/>
        <w:rPr>
          <w:color w:val="000000"/>
          <w:lang w:val="hu-HU"/>
        </w:rPr>
      </w:pPr>
    </w:p>
    <w:p w14:paraId="58CAE934" w14:textId="77777777" w:rsidR="005A78EA" w:rsidRPr="00556B9B" w:rsidRDefault="005A78EA" w:rsidP="005A78EA">
      <w:pPr>
        <w:spacing w:line="240" w:lineRule="auto"/>
        <w:rPr>
          <w:color w:val="000000"/>
          <w:lang w:val="hu-HU"/>
        </w:rPr>
      </w:pPr>
    </w:p>
    <w:p w14:paraId="7B6160A8"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4.</w:t>
      </w:r>
      <w:r w:rsidRPr="00556B9B">
        <w:rPr>
          <w:b/>
          <w:color w:val="000000"/>
          <w:lang w:val="hu-HU"/>
        </w:rPr>
        <w:tab/>
        <w:t>GYÓGYSZERFORMA ÉS TARTALOM</w:t>
      </w:r>
    </w:p>
    <w:p w14:paraId="61C5F508" w14:textId="77777777" w:rsidR="005A78EA" w:rsidRPr="00556B9B" w:rsidRDefault="005A78EA" w:rsidP="005A78EA">
      <w:pPr>
        <w:spacing w:line="240" w:lineRule="auto"/>
        <w:rPr>
          <w:color w:val="000000"/>
          <w:lang w:val="hu-HU"/>
        </w:rPr>
      </w:pPr>
    </w:p>
    <w:p w14:paraId="0256123F" w14:textId="77777777" w:rsidR="005A78EA" w:rsidRPr="00556B9B" w:rsidRDefault="005A78EA" w:rsidP="005A78EA">
      <w:pPr>
        <w:spacing w:line="240" w:lineRule="auto"/>
        <w:rPr>
          <w:color w:val="000000"/>
          <w:lang w:val="hu-HU"/>
        </w:rPr>
      </w:pPr>
      <w:r w:rsidRPr="00556B9B">
        <w:rPr>
          <w:color w:val="000000"/>
          <w:lang w:val="hu-HU"/>
        </w:rPr>
        <w:t>10 db filmtabletta</w:t>
      </w:r>
    </w:p>
    <w:p w14:paraId="3B06A24D"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30 db filmtabletta</w:t>
      </w:r>
    </w:p>
    <w:p w14:paraId="088D2C49" w14:textId="77777777" w:rsidR="005A78EA" w:rsidRPr="00556B9B" w:rsidRDefault="005A78EA" w:rsidP="005A78EA">
      <w:pPr>
        <w:spacing w:line="240" w:lineRule="auto"/>
        <w:rPr>
          <w:color w:val="000000"/>
          <w:shd w:val="clear" w:color="auto" w:fill="D9D9D9"/>
          <w:lang w:val="hu-HU"/>
        </w:rPr>
      </w:pPr>
      <w:r w:rsidRPr="00556B9B">
        <w:rPr>
          <w:color w:val="000000"/>
          <w:shd w:val="clear" w:color="auto" w:fill="D9D9D9"/>
          <w:lang w:val="hu-HU"/>
        </w:rPr>
        <w:t>90 db filmtabletta</w:t>
      </w:r>
    </w:p>
    <w:p w14:paraId="2AE89B80" w14:textId="77777777" w:rsidR="005A78EA" w:rsidRPr="00556B9B" w:rsidRDefault="005A78EA" w:rsidP="005A78EA">
      <w:pPr>
        <w:spacing w:line="240" w:lineRule="auto"/>
        <w:rPr>
          <w:color w:val="000000"/>
          <w:lang w:val="hu-HU"/>
        </w:rPr>
      </w:pPr>
    </w:p>
    <w:p w14:paraId="38A25312" w14:textId="77777777" w:rsidR="005A78EA" w:rsidRPr="00556B9B" w:rsidRDefault="005A78EA" w:rsidP="005A78EA">
      <w:pPr>
        <w:spacing w:line="240" w:lineRule="auto"/>
        <w:rPr>
          <w:color w:val="000000"/>
          <w:lang w:val="hu-HU"/>
        </w:rPr>
      </w:pPr>
    </w:p>
    <w:p w14:paraId="46599DA6"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5.</w:t>
      </w:r>
      <w:r w:rsidRPr="00556B9B">
        <w:rPr>
          <w:b/>
          <w:color w:val="000000"/>
          <w:lang w:val="hu-HU"/>
        </w:rPr>
        <w:tab/>
        <w:t>AZ ALKALMAZÁSSAL KAPCSOLATOS TUDNIVALÓK ÉS AZ ALKALMAZÁS MÓDJA(I)</w:t>
      </w:r>
    </w:p>
    <w:p w14:paraId="7701C769" w14:textId="77777777" w:rsidR="005A78EA" w:rsidRPr="00556B9B" w:rsidRDefault="005A78EA" w:rsidP="005A78EA">
      <w:pPr>
        <w:spacing w:line="240" w:lineRule="auto"/>
        <w:rPr>
          <w:color w:val="000000"/>
          <w:lang w:val="hu-HU"/>
        </w:rPr>
      </w:pPr>
    </w:p>
    <w:p w14:paraId="1A4C0CBF" w14:textId="77777777" w:rsidR="005A78EA" w:rsidRPr="00556B9B" w:rsidRDefault="00431596" w:rsidP="005A78EA">
      <w:pPr>
        <w:rPr>
          <w:color w:val="000000"/>
          <w:lang w:val="hu-HU"/>
        </w:rPr>
      </w:pPr>
      <w:r w:rsidRPr="00556B9B">
        <w:rPr>
          <w:color w:val="000000"/>
          <w:lang w:val="hu-HU"/>
        </w:rPr>
        <w:t xml:space="preserve">Szájon át történő </w:t>
      </w:r>
      <w:r w:rsidR="005A78EA" w:rsidRPr="00556B9B">
        <w:rPr>
          <w:color w:val="000000"/>
          <w:lang w:val="hu-HU"/>
        </w:rPr>
        <w:t>alkalmazás</w:t>
      </w:r>
      <w:r w:rsidRPr="00556B9B">
        <w:rPr>
          <w:color w:val="000000"/>
          <w:lang w:val="hu-HU"/>
        </w:rPr>
        <w:t>ra</w:t>
      </w:r>
      <w:r w:rsidR="005A78EA" w:rsidRPr="00556B9B">
        <w:rPr>
          <w:color w:val="000000"/>
          <w:lang w:val="hu-HU"/>
        </w:rPr>
        <w:t>. Használat előtt olvassa el a mellékelt betegtájékoztatót!</w:t>
      </w:r>
    </w:p>
    <w:p w14:paraId="7291A9C4" w14:textId="77777777" w:rsidR="005A78EA" w:rsidRPr="00556B9B" w:rsidRDefault="005A78EA" w:rsidP="005A78EA">
      <w:pPr>
        <w:spacing w:line="240" w:lineRule="auto"/>
        <w:rPr>
          <w:color w:val="000000"/>
          <w:lang w:val="hu-HU"/>
        </w:rPr>
      </w:pPr>
    </w:p>
    <w:p w14:paraId="592AAEC0" w14:textId="77777777" w:rsidR="005A78EA" w:rsidRPr="00556B9B" w:rsidRDefault="005A78EA" w:rsidP="005A78EA">
      <w:pPr>
        <w:spacing w:line="240" w:lineRule="auto"/>
        <w:rPr>
          <w:color w:val="000000"/>
          <w:lang w:val="hu-HU"/>
        </w:rPr>
      </w:pPr>
    </w:p>
    <w:p w14:paraId="557EE0FA"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6.</w:t>
      </w:r>
      <w:r w:rsidRPr="00556B9B">
        <w:rPr>
          <w:b/>
          <w:color w:val="000000"/>
          <w:lang w:val="hu-HU"/>
        </w:rPr>
        <w:tab/>
        <w:t xml:space="preserve">KÜLÖN FIGYELMEZTETÉS, MELY SZERINT A GYÓGYSZERT GYERMEKEKTŐL ELZÁRVA </w:t>
      </w:r>
      <w:smartTag w:uri="urn:schemas-microsoft-com:office:smarttags" w:element="stockticker">
        <w:r w:rsidRPr="00556B9B">
          <w:rPr>
            <w:b/>
            <w:color w:val="000000"/>
            <w:lang w:val="hu-HU"/>
          </w:rPr>
          <w:t>KELL</w:t>
        </w:r>
      </w:smartTag>
      <w:r w:rsidRPr="00556B9B">
        <w:rPr>
          <w:b/>
          <w:color w:val="000000"/>
          <w:lang w:val="hu-HU"/>
        </w:rPr>
        <w:t xml:space="preserve"> TARTANI</w:t>
      </w:r>
    </w:p>
    <w:p w14:paraId="7F89BFDE" w14:textId="77777777" w:rsidR="005A78EA" w:rsidRPr="00556B9B" w:rsidRDefault="005A78EA" w:rsidP="005A78EA">
      <w:pPr>
        <w:spacing w:line="240" w:lineRule="auto"/>
        <w:rPr>
          <w:color w:val="000000"/>
          <w:lang w:val="hu-HU"/>
        </w:rPr>
      </w:pPr>
    </w:p>
    <w:p w14:paraId="62929AD0" w14:textId="77777777" w:rsidR="005A78EA" w:rsidRPr="00556B9B" w:rsidRDefault="005A78EA" w:rsidP="005A78EA">
      <w:pPr>
        <w:spacing w:line="240" w:lineRule="auto"/>
        <w:rPr>
          <w:color w:val="000000"/>
          <w:lang w:val="hu-HU"/>
        </w:rPr>
      </w:pPr>
      <w:r w:rsidRPr="00556B9B">
        <w:rPr>
          <w:color w:val="000000"/>
          <w:lang w:val="hu-HU"/>
        </w:rPr>
        <w:t>A gyógyszer gyermekektől elzárva tartandó!</w:t>
      </w:r>
    </w:p>
    <w:p w14:paraId="2D49FE72" w14:textId="77777777" w:rsidR="005A78EA" w:rsidRPr="00556B9B" w:rsidRDefault="005A78EA" w:rsidP="005A78EA">
      <w:pPr>
        <w:spacing w:line="240" w:lineRule="auto"/>
        <w:rPr>
          <w:color w:val="000000"/>
          <w:lang w:val="hu-HU"/>
        </w:rPr>
      </w:pPr>
    </w:p>
    <w:p w14:paraId="0AB32FF0" w14:textId="77777777" w:rsidR="005A78EA" w:rsidRPr="00556B9B" w:rsidRDefault="005A78EA" w:rsidP="005A78EA">
      <w:pPr>
        <w:spacing w:line="240" w:lineRule="auto"/>
        <w:rPr>
          <w:color w:val="000000"/>
          <w:lang w:val="hu-HU"/>
        </w:rPr>
      </w:pPr>
    </w:p>
    <w:p w14:paraId="1742B978"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7.</w:t>
      </w:r>
      <w:r w:rsidRPr="00556B9B">
        <w:rPr>
          <w:b/>
          <w:color w:val="000000"/>
          <w:lang w:val="hu-HU"/>
        </w:rPr>
        <w:tab/>
        <w:t>TOVÁBBI FIGYELMEZTETÉS(EK), AMENNYIBEN SZÜKSÉGES</w:t>
      </w:r>
    </w:p>
    <w:p w14:paraId="75D1FBAB" w14:textId="77777777" w:rsidR="005A78EA" w:rsidRPr="00556B9B" w:rsidRDefault="005A78EA" w:rsidP="005A78EA">
      <w:pPr>
        <w:spacing w:line="240" w:lineRule="auto"/>
        <w:rPr>
          <w:color w:val="000000"/>
          <w:lang w:val="hu-HU"/>
        </w:rPr>
      </w:pPr>
    </w:p>
    <w:p w14:paraId="13B0CF7A" w14:textId="77777777" w:rsidR="005A78EA" w:rsidRPr="00556B9B" w:rsidRDefault="005A78EA" w:rsidP="005A78EA">
      <w:pPr>
        <w:spacing w:line="240" w:lineRule="auto"/>
        <w:rPr>
          <w:color w:val="000000"/>
          <w:lang w:val="hu-HU"/>
        </w:rPr>
      </w:pPr>
      <w:r w:rsidRPr="00556B9B">
        <w:rPr>
          <w:color w:val="000000"/>
          <w:lang w:val="hu-HU"/>
        </w:rPr>
        <w:t>Adagolása kizárólag az orvos utasításai szerint.</w:t>
      </w:r>
    </w:p>
    <w:p w14:paraId="011434A5" w14:textId="77777777" w:rsidR="005A78EA" w:rsidRPr="00556B9B" w:rsidRDefault="005A78EA" w:rsidP="005A78EA">
      <w:pPr>
        <w:spacing w:line="240" w:lineRule="auto"/>
        <w:rPr>
          <w:color w:val="000000"/>
          <w:lang w:val="hu-HU"/>
        </w:rPr>
      </w:pPr>
    </w:p>
    <w:p w14:paraId="7F344FB1" w14:textId="77777777" w:rsidR="005A78EA" w:rsidRPr="00556B9B" w:rsidRDefault="005A78EA" w:rsidP="005A78EA">
      <w:pPr>
        <w:spacing w:line="240" w:lineRule="auto"/>
        <w:rPr>
          <w:color w:val="000000"/>
          <w:lang w:val="hu-HU"/>
        </w:rPr>
      </w:pPr>
    </w:p>
    <w:p w14:paraId="14E22A86"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8.</w:t>
      </w:r>
      <w:r w:rsidRPr="00556B9B">
        <w:rPr>
          <w:b/>
          <w:color w:val="000000"/>
          <w:lang w:val="hu-HU"/>
        </w:rPr>
        <w:tab/>
        <w:t>LEJÁRATI IDŐ</w:t>
      </w:r>
    </w:p>
    <w:p w14:paraId="43860104" w14:textId="77777777" w:rsidR="005A78EA" w:rsidRPr="00556B9B" w:rsidRDefault="005A78EA" w:rsidP="005A78EA">
      <w:pPr>
        <w:spacing w:line="240" w:lineRule="auto"/>
        <w:rPr>
          <w:color w:val="000000"/>
          <w:lang w:val="hu-HU"/>
        </w:rPr>
      </w:pPr>
    </w:p>
    <w:p w14:paraId="06E1C1FC" w14:textId="77777777" w:rsidR="005A78EA" w:rsidRPr="00556B9B" w:rsidRDefault="005A78EA" w:rsidP="005A78EA">
      <w:pPr>
        <w:spacing w:line="240" w:lineRule="auto"/>
        <w:rPr>
          <w:color w:val="000000"/>
          <w:lang w:val="hu-HU"/>
        </w:rPr>
      </w:pPr>
      <w:r w:rsidRPr="00556B9B">
        <w:rPr>
          <w:color w:val="000000"/>
          <w:lang w:val="hu-HU"/>
        </w:rPr>
        <w:t>Felhasználható:</w:t>
      </w:r>
    </w:p>
    <w:p w14:paraId="1DDB979F" w14:textId="77777777" w:rsidR="005A78EA" w:rsidRPr="00556B9B" w:rsidRDefault="005A78EA" w:rsidP="005A78EA">
      <w:pPr>
        <w:spacing w:line="240" w:lineRule="auto"/>
        <w:rPr>
          <w:color w:val="000000"/>
          <w:lang w:val="hu-HU"/>
        </w:rPr>
      </w:pPr>
    </w:p>
    <w:p w14:paraId="0C5475A6" w14:textId="77777777" w:rsidR="005A78EA" w:rsidRPr="00556B9B" w:rsidRDefault="005A78EA" w:rsidP="005A78EA">
      <w:pPr>
        <w:spacing w:line="240" w:lineRule="auto"/>
        <w:rPr>
          <w:color w:val="000000"/>
          <w:lang w:val="hu-HU"/>
        </w:rPr>
      </w:pPr>
    </w:p>
    <w:p w14:paraId="1F320E57"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9.</w:t>
      </w:r>
      <w:r w:rsidRPr="00556B9B">
        <w:rPr>
          <w:b/>
          <w:color w:val="000000"/>
          <w:lang w:val="hu-HU"/>
        </w:rPr>
        <w:tab/>
        <w:t>KÜLÖNLEGES TÁROLÁSI ELŐÍRÁSOK</w:t>
      </w:r>
    </w:p>
    <w:p w14:paraId="5E5CD973" w14:textId="77777777" w:rsidR="005A78EA" w:rsidRPr="00556B9B" w:rsidRDefault="005A78EA" w:rsidP="005A78EA">
      <w:pPr>
        <w:spacing w:line="240" w:lineRule="auto"/>
        <w:rPr>
          <w:color w:val="000000"/>
          <w:lang w:val="hu-HU"/>
        </w:rPr>
      </w:pPr>
    </w:p>
    <w:p w14:paraId="2B0EF34F" w14:textId="77777777" w:rsidR="005A78EA" w:rsidRPr="00556B9B" w:rsidRDefault="005A78EA" w:rsidP="005A78EA">
      <w:pPr>
        <w:spacing w:line="240" w:lineRule="auto"/>
        <w:rPr>
          <w:color w:val="000000"/>
          <w:lang w:val="hu-HU"/>
        </w:rPr>
      </w:pPr>
      <w:r w:rsidRPr="00556B9B">
        <w:rPr>
          <w:color w:val="000000"/>
          <w:lang w:val="hu-HU"/>
        </w:rPr>
        <w:t>Legfeljebb 30</w:t>
      </w:r>
      <w:r w:rsidRPr="00556B9B">
        <w:rPr>
          <w:color w:val="000000"/>
          <w:lang w:val="hu-HU"/>
        </w:rPr>
        <w:sym w:font="Symbol" w:char="F0B0"/>
      </w:r>
      <w:r w:rsidRPr="00556B9B">
        <w:rPr>
          <w:color w:val="000000"/>
          <w:lang w:val="hu-HU"/>
        </w:rPr>
        <w:t>C</w:t>
      </w:r>
      <w:r w:rsidRPr="00556B9B">
        <w:rPr>
          <w:color w:val="000000"/>
          <w:lang w:val="hu-HU"/>
        </w:rPr>
        <w:noBreakHyphen/>
        <w:t>on tárolandó. A nedvességtől való védelem érdekében az eredeti csomagolásban tárolandó.</w:t>
      </w:r>
    </w:p>
    <w:p w14:paraId="7798F211" w14:textId="77777777" w:rsidR="005A78EA" w:rsidRPr="00556B9B" w:rsidRDefault="005A78EA" w:rsidP="005A78EA">
      <w:pPr>
        <w:spacing w:line="240" w:lineRule="auto"/>
        <w:rPr>
          <w:color w:val="000000"/>
          <w:lang w:val="hu-HU"/>
        </w:rPr>
      </w:pPr>
    </w:p>
    <w:p w14:paraId="418B643F" w14:textId="77777777" w:rsidR="005A78EA" w:rsidRPr="00556B9B" w:rsidRDefault="005A78EA" w:rsidP="005A78EA">
      <w:pPr>
        <w:spacing w:line="240" w:lineRule="auto"/>
        <w:rPr>
          <w:color w:val="000000"/>
          <w:lang w:val="hu-HU"/>
        </w:rPr>
      </w:pPr>
    </w:p>
    <w:p w14:paraId="1B919849"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lastRenderedPageBreak/>
        <w:t>10.</w:t>
      </w:r>
      <w:r w:rsidRPr="00556B9B">
        <w:rPr>
          <w:b/>
          <w:color w:val="000000"/>
          <w:lang w:val="hu-HU"/>
        </w:rPr>
        <w:tab/>
        <w:t xml:space="preserve">KÜLÖNLEGES ÓVINTÉZKEDÉSEK A FEL </w:t>
      </w:r>
      <w:smartTag w:uri="urn:schemas-microsoft-com:office:smarttags" w:element="stockticker">
        <w:r w:rsidRPr="00556B9B">
          <w:rPr>
            <w:b/>
            <w:color w:val="000000"/>
            <w:lang w:val="hu-HU"/>
          </w:rPr>
          <w:t>NEM</w:t>
        </w:r>
      </w:smartTag>
      <w:r w:rsidRPr="00556B9B">
        <w:rPr>
          <w:b/>
          <w:color w:val="000000"/>
          <w:lang w:val="hu-HU"/>
        </w:rPr>
        <w:t xml:space="preserve"> HASZNÁLT GYÓGYSZEREK VAGY AZ ILYEN TERMÉKEKBŐL KELETKEZETT HULLADÉKANYAGOK ÁRTALMATLANNÁ TÉTELÉRE, HA ILYENEKRE SZÜKSÉG VAN</w:t>
      </w:r>
    </w:p>
    <w:p w14:paraId="3B8BE25D" w14:textId="77777777" w:rsidR="005A78EA" w:rsidRPr="00556B9B" w:rsidRDefault="005A78EA" w:rsidP="005A78EA">
      <w:pPr>
        <w:spacing w:line="240" w:lineRule="auto"/>
        <w:rPr>
          <w:color w:val="000000"/>
          <w:lang w:val="hu-HU"/>
        </w:rPr>
      </w:pPr>
    </w:p>
    <w:p w14:paraId="0077EC52" w14:textId="77777777" w:rsidR="005A78EA" w:rsidRPr="00556B9B" w:rsidRDefault="005A78EA" w:rsidP="005A78EA">
      <w:pPr>
        <w:spacing w:line="240" w:lineRule="auto"/>
        <w:rPr>
          <w:color w:val="000000"/>
          <w:lang w:val="hu-HU"/>
        </w:rPr>
      </w:pPr>
    </w:p>
    <w:p w14:paraId="13B1B3CC"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11.</w:t>
      </w:r>
      <w:r w:rsidRPr="00556B9B">
        <w:rPr>
          <w:b/>
          <w:color w:val="000000"/>
          <w:lang w:val="hu-HU"/>
        </w:rPr>
        <w:tab/>
        <w:t>A FORGALOMBA HOZATALI ENGEDÉLY JOGOSULTJÁNAK NEVE ÉS CÍME</w:t>
      </w:r>
    </w:p>
    <w:p w14:paraId="234B60D2" w14:textId="77777777" w:rsidR="005A78EA" w:rsidRPr="00556B9B" w:rsidRDefault="005A78EA" w:rsidP="005A78EA">
      <w:pPr>
        <w:spacing w:line="240" w:lineRule="auto"/>
        <w:rPr>
          <w:color w:val="000000"/>
          <w:lang w:val="hu-HU"/>
        </w:rPr>
      </w:pPr>
    </w:p>
    <w:p w14:paraId="1DCE10C0" w14:textId="77777777" w:rsidR="005A78EA" w:rsidRPr="00556B9B" w:rsidRDefault="005A78EA" w:rsidP="005A78EA">
      <w:pPr>
        <w:spacing w:line="240" w:lineRule="auto"/>
        <w:rPr>
          <w:color w:val="000000"/>
          <w:lang w:val="hu-HU"/>
        </w:rPr>
      </w:pPr>
      <w:r w:rsidRPr="00556B9B">
        <w:rPr>
          <w:color w:val="000000"/>
          <w:lang w:val="hu-HU"/>
        </w:rPr>
        <w:t>Novartis Europharm Limited</w:t>
      </w:r>
    </w:p>
    <w:p w14:paraId="05655747" w14:textId="77777777" w:rsidR="002000AC" w:rsidRPr="00556B9B" w:rsidRDefault="002000AC" w:rsidP="002000AC">
      <w:pPr>
        <w:keepNext/>
        <w:widowControl w:val="0"/>
        <w:spacing w:line="240" w:lineRule="auto"/>
        <w:rPr>
          <w:color w:val="000000"/>
        </w:rPr>
      </w:pPr>
      <w:r w:rsidRPr="00556B9B">
        <w:rPr>
          <w:color w:val="000000"/>
        </w:rPr>
        <w:t>Vista Building</w:t>
      </w:r>
    </w:p>
    <w:p w14:paraId="1BD1FF7F" w14:textId="77777777" w:rsidR="002000AC" w:rsidRPr="00556B9B" w:rsidRDefault="002000AC" w:rsidP="002000AC">
      <w:pPr>
        <w:keepNext/>
        <w:widowControl w:val="0"/>
        <w:spacing w:line="240" w:lineRule="auto"/>
        <w:rPr>
          <w:color w:val="000000"/>
        </w:rPr>
      </w:pPr>
      <w:r w:rsidRPr="00556B9B">
        <w:rPr>
          <w:color w:val="000000"/>
        </w:rPr>
        <w:t>Elm Park, Merrion Road</w:t>
      </w:r>
    </w:p>
    <w:p w14:paraId="62436BE9" w14:textId="77777777" w:rsidR="002000AC" w:rsidRPr="00556B9B" w:rsidRDefault="002000AC" w:rsidP="002000AC">
      <w:pPr>
        <w:keepNext/>
        <w:widowControl w:val="0"/>
        <w:spacing w:line="240" w:lineRule="auto"/>
        <w:rPr>
          <w:color w:val="000000"/>
        </w:rPr>
      </w:pPr>
      <w:r w:rsidRPr="00556B9B">
        <w:rPr>
          <w:color w:val="000000"/>
        </w:rPr>
        <w:t>Dublin 4</w:t>
      </w:r>
    </w:p>
    <w:p w14:paraId="4F8FB7C0" w14:textId="77777777" w:rsidR="005A78EA" w:rsidRPr="00556B9B" w:rsidRDefault="002000AC" w:rsidP="005A78EA">
      <w:pPr>
        <w:spacing w:line="240" w:lineRule="auto"/>
        <w:rPr>
          <w:color w:val="000000"/>
          <w:lang w:val="hu-HU"/>
        </w:rPr>
      </w:pPr>
      <w:r w:rsidRPr="00556B9B">
        <w:rPr>
          <w:color w:val="000000"/>
        </w:rPr>
        <w:t>Írország</w:t>
      </w:r>
    </w:p>
    <w:p w14:paraId="57892AB3" w14:textId="77777777" w:rsidR="005A78EA" w:rsidRPr="00556B9B" w:rsidRDefault="005A78EA" w:rsidP="005A78EA">
      <w:pPr>
        <w:spacing w:line="240" w:lineRule="auto"/>
        <w:rPr>
          <w:color w:val="000000"/>
          <w:lang w:val="hu-HU"/>
        </w:rPr>
      </w:pPr>
    </w:p>
    <w:p w14:paraId="4437E8B9" w14:textId="77777777" w:rsidR="005A78EA" w:rsidRPr="00556B9B" w:rsidRDefault="005A78EA" w:rsidP="005A78EA">
      <w:pPr>
        <w:spacing w:line="240" w:lineRule="auto"/>
        <w:rPr>
          <w:color w:val="000000"/>
          <w:lang w:val="hu-HU"/>
        </w:rPr>
      </w:pPr>
    </w:p>
    <w:p w14:paraId="2FE7D6ED"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12.</w:t>
      </w:r>
      <w:r w:rsidRPr="00556B9B">
        <w:rPr>
          <w:b/>
          <w:color w:val="000000"/>
          <w:lang w:val="hu-HU"/>
        </w:rPr>
        <w:tab/>
        <w:t>A FORGALOMBA HOZATALI ENGEDÉLY SZÁMA(I)</w:t>
      </w:r>
    </w:p>
    <w:p w14:paraId="6C2D1424" w14:textId="77777777" w:rsidR="005A78EA" w:rsidRPr="00556B9B" w:rsidRDefault="005A78EA" w:rsidP="005A78EA">
      <w:pPr>
        <w:spacing w:line="240" w:lineRule="auto"/>
        <w:rPr>
          <w:color w:val="000000"/>
          <w:lang w:val="hu-HU"/>
        </w:rPr>
      </w:pPr>
    </w:p>
    <w:p w14:paraId="186AA550"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lang w:val="fr-FR"/>
        </w:rPr>
        <w:t>EU/1/01/198/009</w:t>
      </w:r>
      <w:r w:rsidRPr="00556B9B">
        <w:rPr>
          <w:color w:val="000000"/>
          <w:lang w:val="fr-FR"/>
        </w:rPr>
        <w:tab/>
      </w:r>
      <w:r w:rsidRPr="00556B9B">
        <w:rPr>
          <w:color w:val="000000"/>
          <w:shd w:val="clear" w:color="auto" w:fill="D9D9D9"/>
          <w:lang w:val="hu-HU"/>
        </w:rPr>
        <w:t>10 tabletta</w:t>
      </w:r>
    </w:p>
    <w:p w14:paraId="4E54A7D5"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EU/1/01/198/010</w:t>
      </w:r>
      <w:r w:rsidRPr="00556B9B">
        <w:rPr>
          <w:color w:val="000000"/>
          <w:shd w:val="clear" w:color="auto" w:fill="D9D9D9"/>
          <w:lang w:val="hu-HU"/>
        </w:rPr>
        <w:tab/>
        <w:t>30 tabletta</w:t>
      </w:r>
    </w:p>
    <w:p w14:paraId="20B771F2" w14:textId="77777777" w:rsidR="005A78EA" w:rsidRPr="00556B9B" w:rsidRDefault="005A78EA" w:rsidP="005A78EA">
      <w:pPr>
        <w:tabs>
          <w:tab w:val="left" w:pos="2268"/>
        </w:tabs>
        <w:spacing w:line="240" w:lineRule="auto"/>
        <w:rPr>
          <w:color w:val="000000"/>
          <w:shd w:val="clear" w:color="auto" w:fill="D9D9D9"/>
          <w:lang w:val="hu-HU"/>
        </w:rPr>
      </w:pPr>
      <w:r w:rsidRPr="00556B9B">
        <w:rPr>
          <w:color w:val="000000"/>
          <w:shd w:val="clear" w:color="auto" w:fill="D9D9D9"/>
          <w:lang w:val="hu-HU"/>
        </w:rPr>
        <w:t>EU/1/01/198/013</w:t>
      </w:r>
      <w:r w:rsidRPr="00556B9B">
        <w:rPr>
          <w:color w:val="000000"/>
          <w:shd w:val="clear" w:color="auto" w:fill="D9D9D9"/>
          <w:lang w:val="hu-HU"/>
        </w:rPr>
        <w:tab/>
        <w:t>90 tabletta</w:t>
      </w:r>
    </w:p>
    <w:p w14:paraId="389B030B" w14:textId="77777777" w:rsidR="005A78EA" w:rsidRPr="00556B9B" w:rsidRDefault="005A78EA" w:rsidP="005A78EA">
      <w:pPr>
        <w:spacing w:line="240" w:lineRule="auto"/>
        <w:rPr>
          <w:color w:val="000000"/>
          <w:lang w:val="hu-HU"/>
        </w:rPr>
      </w:pPr>
    </w:p>
    <w:p w14:paraId="2DD08454" w14:textId="77777777" w:rsidR="005A78EA" w:rsidRPr="00556B9B" w:rsidRDefault="005A78EA" w:rsidP="005A78EA">
      <w:pPr>
        <w:spacing w:line="240" w:lineRule="auto"/>
        <w:rPr>
          <w:color w:val="000000"/>
          <w:lang w:val="hu-HU"/>
        </w:rPr>
      </w:pPr>
    </w:p>
    <w:p w14:paraId="3371615C"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13.</w:t>
      </w:r>
      <w:r w:rsidRPr="00556B9B">
        <w:rPr>
          <w:b/>
          <w:color w:val="000000"/>
          <w:lang w:val="hu-HU"/>
        </w:rPr>
        <w:tab/>
        <w:t>A GYÁRTÁSI TÉTEL SZÁMA</w:t>
      </w:r>
    </w:p>
    <w:p w14:paraId="1FB0CDE8" w14:textId="77777777" w:rsidR="005A78EA" w:rsidRPr="00556B9B" w:rsidRDefault="005A78EA" w:rsidP="005A78EA">
      <w:pPr>
        <w:spacing w:line="240" w:lineRule="auto"/>
        <w:rPr>
          <w:color w:val="000000"/>
          <w:lang w:val="hu-HU"/>
        </w:rPr>
      </w:pPr>
    </w:p>
    <w:p w14:paraId="5CD7FBB2" w14:textId="77777777" w:rsidR="005A78EA" w:rsidRPr="00556B9B" w:rsidRDefault="005A78EA" w:rsidP="005A78EA">
      <w:pPr>
        <w:spacing w:line="240" w:lineRule="auto"/>
        <w:rPr>
          <w:color w:val="000000"/>
          <w:lang w:val="hu-HU"/>
        </w:rPr>
      </w:pPr>
      <w:r w:rsidRPr="00556B9B">
        <w:rPr>
          <w:color w:val="000000"/>
          <w:lang w:val="hu-HU"/>
        </w:rPr>
        <w:t>Gy. sz.:</w:t>
      </w:r>
    </w:p>
    <w:p w14:paraId="64DFC144" w14:textId="77777777" w:rsidR="005A78EA" w:rsidRPr="00556B9B" w:rsidRDefault="005A78EA" w:rsidP="005A78EA">
      <w:pPr>
        <w:spacing w:line="240" w:lineRule="auto"/>
        <w:rPr>
          <w:color w:val="000000"/>
          <w:lang w:val="hu-HU"/>
        </w:rPr>
      </w:pPr>
    </w:p>
    <w:p w14:paraId="7706333A" w14:textId="77777777" w:rsidR="005A78EA" w:rsidRPr="00556B9B" w:rsidRDefault="005A78EA" w:rsidP="005A78EA">
      <w:pPr>
        <w:spacing w:line="240" w:lineRule="auto"/>
        <w:rPr>
          <w:color w:val="000000"/>
          <w:lang w:val="hu-HU"/>
        </w:rPr>
      </w:pPr>
    </w:p>
    <w:p w14:paraId="43E83CFE"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14.</w:t>
      </w:r>
      <w:r w:rsidRPr="00556B9B">
        <w:rPr>
          <w:b/>
          <w:color w:val="000000"/>
          <w:lang w:val="hu-HU"/>
        </w:rPr>
        <w:tab/>
        <w:t>A GYÓGYSZER RENDELHETŐSÉG</w:t>
      </w:r>
      <w:r w:rsidR="00DF09F3" w:rsidRPr="00556B9B">
        <w:rPr>
          <w:b/>
          <w:color w:val="000000"/>
          <w:lang w:val="hu-HU"/>
        </w:rPr>
        <w:t>E</w:t>
      </w:r>
    </w:p>
    <w:p w14:paraId="3F78BF1B" w14:textId="77777777" w:rsidR="005A78EA" w:rsidRPr="00556B9B" w:rsidRDefault="005A78EA" w:rsidP="005A78EA">
      <w:pPr>
        <w:spacing w:line="240" w:lineRule="auto"/>
        <w:rPr>
          <w:color w:val="000000"/>
          <w:lang w:val="hu-HU"/>
        </w:rPr>
      </w:pPr>
    </w:p>
    <w:p w14:paraId="164838B1" w14:textId="77777777" w:rsidR="005A78EA" w:rsidRPr="00556B9B" w:rsidRDefault="005A78EA" w:rsidP="005A78EA">
      <w:pPr>
        <w:spacing w:line="240" w:lineRule="auto"/>
        <w:rPr>
          <w:color w:val="000000"/>
          <w:lang w:val="hu-HU"/>
        </w:rPr>
      </w:pPr>
    </w:p>
    <w:p w14:paraId="6BB39585"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15.</w:t>
      </w:r>
      <w:r w:rsidRPr="00556B9B">
        <w:rPr>
          <w:b/>
          <w:color w:val="000000"/>
          <w:lang w:val="hu-HU"/>
        </w:rPr>
        <w:tab/>
        <w:t>AZ ALKALMAZÁSRA VONATKOZÓ UTASÍTÁSOK</w:t>
      </w:r>
    </w:p>
    <w:p w14:paraId="637C0A7F" w14:textId="77777777" w:rsidR="005A78EA" w:rsidRPr="00556B9B" w:rsidRDefault="005A78EA" w:rsidP="005A78EA">
      <w:pPr>
        <w:spacing w:line="240" w:lineRule="auto"/>
        <w:rPr>
          <w:color w:val="000000"/>
          <w:lang w:val="hu-HU"/>
        </w:rPr>
      </w:pPr>
    </w:p>
    <w:p w14:paraId="28AB9BA8" w14:textId="77777777" w:rsidR="005A78EA" w:rsidRPr="00556B9B" w:rsidRDefault="005A78EA" w:rsidP="005A78EA">
      <w:pPr>
        <w:spacing w:line="240" w:lineRule="auto"/>
        <w:rPr>
          <w:color w:val="000000"/>
          <w:szCs w:val="22"/>
          <w:lang w:val="hu-HU"/>
        </w:rPr>
      </w:pPr>
    </w:p>
    <w:p w14:paraId="5A7F36A0"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hu-HU"/>
        </w:rPr>
      </w:pPr>
      <w:r w:rsidRPr="00556B9B">
        <w:rPr>
          <w:b/>
          <w:color w:val="000000"/>
          <w:szCs w:val="22"/>
          <w:lang w:val="hu-HU"/>
        </w:rPr>
        <w:t>16.</w:t>
      </w:r>
      <w:r w:rsidRPr="00556B9B">
        <w:rPr>
          <w:b/>
          <w:color w:val="000000"/>
          <w:szCs w:val="22"/>
          <w:lang w:val="hu-HU"/>
        </w:rPr>
        <w:tab/>
        <w:t>BRAILLE ÍRÁSSAL FELTÜNTETETT INFORMÁCIÓK</w:t>
      </w:r>
    </w:p>
    <w:p w14:paraId="5D5F739C" w14:textId="77777777" w:rsidR="005A78EA" w:rsidRPr="00556B9B" w:rsidRDefault="005A78EA" w:rsidP="005A78EA">
      <w:pPr>
        <w:spacing w:line="240" w:lineRule="auto"/>
        <w:rPr>
          <w:color w:val="000000"/>
          <w:szCs w:val="22"/>
          <w:lang w:val="hu-HU"/>
        </w:rPr>
      </w:pPr>
    </w:p>
    <w:p w14:paraId="31E31F8F" w14:textId="77777777" w:rsidR="005A78EA" w:rsidRPr="00556B9B" w:rsidRDefault="005A78EA" w:rsidP="005A78EA">
      <w:pPr>
        <w:spacing w:line="240" w:lineRule="auto"/>
        <w:rPr>
          <w:color w:val="000000"/>
          <w:szCs w:val="22"/>
          <w:lang w:val="hu-HU"/>
        </w:rPr>
      </w:pPr>
      <w:r w:rsidRPr="00556B9B">
        <w:rPr>
          <w:color w:val="000000"/>
          <w:szCs w:val="22"/>
          <w:lang w:val="hu-HU"/>
        </w:rPr>
        <w:t>Glivec 400 mg</w:t>
      </w:r>
    </w:p>
    <w:p w14:paraId="713E7C66" w14:textId="77777777" w:rsidR="005A78EA" w:rsidRPr="00556B9B" w:rsidRDefault="005A78EA" w:rsidP="005A78EA">
      <w:pPr>
        <w:spacing w:line="240" w:lineRule="auto"/>
        <w:rPr>
          <w:color w:val="000000"/>
          <w:szCs w:val="22"/>
          <w:lang w:val="hu-HU"/>
        </w:rPr>
      </w:pPr>
    </w:p>
    <w:p w14:paraId="053751E4" w14:textId="77777777" w:rsidR="002C655D" w:rsidRPr="00556B9B" w:rsidRDefault="002C655D" w:rsidP="005A78EA">
      <w:pPr>
        <w:spacing w:line="240" w:lineRule="auto"/>
        <w:rPr>
          <w:color w:val="000000"/>
          <w:szCs w:val="22"/>
          <w:lang w:val="hu-HU"/>
        </w:rPr>
      </w:pPr>
    </w:p>
    <w:p w14:paraId="364D3C9E" w14:textId="77777777" w:rsidR="002C655D" w:rsidRPr="00556B9B" w:rsidRDefault="002C655D" w:rsidP="002C655D">
      <w:pPr>
        <w:widowControl w:val="0"/>
        <w:pBdr>
          <w:top w:val="single" w:sz="4" w:space="1" w:color="auto"/>
          <w:left w:val="single" w:sz="4" w:space="4" w:color="auto"/>
          <w:bottom w:val="single" w:sz="4" w:space="1" w:color="auto"/>
          <w:right w:val="single" w:sz="4" w:space="4" w:color="auto"/>
        </w:pBdr>
        <w:suppressAutoHyphens w:val="0"/>
        <w:spacing w:line="240" w:lineRule="auto"/>
        <w:outlineLvl w:val="0"/>
        <w:rPr>
          <w:rFonts w:cs="Times New Roman"/>
          <w:i/>
          <w:noProof/>
          <w:szCs w:val="22"/>
          <w:lang w:val="hu-HU" w:eastAsia="en-US" w:bidi="ar-SA"/>
        </w:rPr>
      </w:pPr>
      <w:r w:rsidRPr="00556B9B">
        <w:rPr>
          <w:rFonts w:cs="Times New Roman"/>
          <w:b/>
          <w:noProof/>
          <w:szCs w:val="22"/>
          <w:lang w:val="hu-HU" w:eastAsia="en-US" w:bidi="ar-SA"/>
        </w:rPr>
        <w:t>17.</w:t>
      </w:r>
      <w:r w:rsidRPr="00556B9B">
        <w:rPr>
          <w:rFonts w:cs="Times New Roman"/>
          <w:b/>
          <w:noProof/>
          <w:szCs w:val="22"/>
          <w:lang w:val="hu-HU" w:eastAsia="en-US" w:bidi="ar-SA"/>
        </w:rPr>
        <w:tab/>
        <w:t>EGYEDI AZONOSÍTÓ – 2D VONALKÓD</w:t>
      </w:r>
    </w:p>
    <w:p w14:paraId="4C1B5A5B" w14:textId="77777777" w:rsidR="002C655D" w:rsidRPr="00556B9B" w:rsidRDefault="002C655D" w:rsidP="002C655D">
      <w:pPr>
        <w:widowControl w:val="0"/>
        <w:suppressAutoHyphens w:val="0"/>
        <w:spacing w:line="240" w:lineRule="auto"/>
        <w:rPr>
          <w:rFonts w:cs="Times New Roman"/>
          <w:noProof/>
          <w:szCs w:val="22"/>
          <w:lang w:val="hu-HU" w:eastAsia="en-US" w:bidi="ar-SA"/>
        </w:rPr>
      </w:pPr>
    </w:p>
    <w:p w14:paraId="5066308C" w14:textId="77777777" w:rsidR="002C655D" w:rsidRPr="00556B9B" w:rsidRDefault="002C655D" w:rsidP="002C655D">
      <w:pPr>
        <w:widowControl w:val="0"/>
        <w:shd w:val="clear" w:color="auto" w:fill="FFFFFF"/>
        <w:suppressAutoHyphens w:val="0"/>
        <w:spacing w:line="240" w:lineRule="auto"/>
        <w:rPr>
          <w:rFonts w:cs="Times New Roman"/>
          <w:szCs w:val="22"/>
          <w:shd w:val="pct15" w:color="auto" w:fill="auto"/>
          <w:lang w:val="hu-HU" w:eastAsia="en-US" w:bidi="ar-SA"/>
        </w:rPr>
      </w:pPr>
      <w:r w:rsidRPr="00556B9B">
        <w:rPr>
          <w:rFonts w:cs="Times New Roman"/>
          <w:szCs w:val="22"/>
          <w:shd w:val="pct15" w:color="auto" w:fill="auto"/>
          <w:lang w:val="hu-HU" w:eastAsia="en-US" w:bidi="ar-SA"/>
        </w:rPr>
        <w:t>Egyedi azonosítójú 2D vonalkóddal ellátva.</w:t>
      </w:r>
    </w:p>
    <w:p w14:paraId="7B613C61" w14:textId="77777777" w:rsidR="002C655D" w:rsidRPr="009403F1" w:rsidRDefault="002C655D" w:rsidP="002C655D">
      <w:pPr>
        <w:widowControl w:val="0"/>
        <w:suppressAutoHyphens w:val="0"/>
        <w:spacing w:line="240" w:lineRule="auto"/>
        <w:rPr>
          <w:rFonts w:cs="Times New Roman"/>
          <w:noProof/>
          <w:szCs w:val="22"/>
          <w:lang w:val="hu-HU" w:eastAsia="en-US" w:bidi="ar-SA"/>
        </w:rPr>
      </w:pPr>
    </w:p>
    <w:p w14:paraId="5C56470E" w14:textId="77777777" w:rsidR="002C655D" w:rsidRPr="009403F1" w:rsidRDefault="002C655D" w:rsidP="002C655D">
      <w:pPr>
        <w:widowControl w:val="0"/>
        <w:suppressAutoHyphens w:val="0"/>
        <w:spacing w:line="240" w:lineRule="auto"/>
        <w:rPr>
          <w:rFonts w:cs="Times New Roman"/>
          <w:noProof/>
          <w:szCs w:val="22"/>
          <w:lang w:val="hu-HU" w:eastAsia="en-US" w:bidi="ar-SA"/>
        </w:rPr>
      </w:pPr>
    </w:p>
    <w:p w14:paraId="74F0BAA0" w14:textId="77777777" w:rsidR="002C655D" w:rsidRPr="00556B9B" w:rsidRDefault="002C655D" w:rsidP="002C655D">
      <w:pPr>
        <w:widowControl w:val="0"/>
        <w:pBdr>
          <w:top w:val="single" w:sz="4" w:space="1" w:color="auto"/>
          <w:left w:val="single" w:sz="4" w:space="4" w:color="auto"/>
          <w:bottom w:val="single" w:sz="4" w:space="0" w:color="auto"/>
          <w:right w:val="single" w:sz="4" w:space="4" w:color="auto"/>
        </w:pBdr>
        <w:suppressAutoHyphens w:val="0"/>
        <w:spacing w:line="240" w:lineRule="auto"/>
        <w:ind w:left="-3"/>
        <w:outlineLvl w:val="0"/>
        <w:rPr>
          <w:rFonts w:cs="Times New Roman"/>
          <w:i/>
          <w:noProof/>
          <w:szCs w:val="22"/>
          <w:lang w:val="hu-HU" w:eastAsia="en-US" w:bidi="ar-SA"/>
        </w:rPr>
      </w:pPr>
      <w:r w:rsidRPr="00556B9B">
        <w:rPr>
          <w:rFonts w:cs="Times New Roman"/>
          <w:b/>
          <w:noProof/>
          <w:szCs w:val="22"/>
          <w:lang w:val="hu-HU" w:eastAsia="en-US" w:bidi="ar-SA"/>
        </w:rPr>
        <w:t>18.</w:t>
      </w:r>
      <w:r w:rsidRPr="00556B9B">
        <w:rPr>
          <w:rFonts w:cs="Times New Roman"/>
          <w:b/>
          <w:noProof/>
          <w:szCs w:val="22"/>
          <w:lang w:val="hu-HU" w:eastAsia="en-US" w:bidi="ar-SA"/>
        </w:rPr>
        <w:tab/>
        <w:t>EGYEDI AZONOSÍTÓ OLVASHATÓ FORMÁTUMA</w:t>
      </w:r>
    </w:p>
    <w:p w14:paraId="52348476" w14:textId="77777777" w:rsidR="002C655D" w:rsidRPr="00556B9B" w:rsidRDefault="002C655D" w:rsidP="002C655D">
      <w:pPr>
        <w:spacing w:line="240" w:lineRule="auto"/>
        <w:rPr>
          <w:color w:val="000000"/>
          <w:szCs w:val="22"/>
          <w:lang w:val="hu-HU"/>
        </w:rPr>
      </w:pPr>
    </w:p>
    <w:p w14:paraId="43CA71EB" w14:textId="77777777" w:rsidR="002C655D" w:rsidRPr="00556B9B" w:rsidRDefault="002C655D" w:rsidP="002C655D">
      <w:pPr>
        <w:widowControl w:val="0"/>
        <w:shd w:val="clear" w:color="auto" w:fill="FFFFFF"/>
        <w:suppressAutoHyphens w:val="0"/>
        <w:rPr>
          <w:rFonts w:cs="Times New Roman"/>
          <w:szCs w:val="22"/>
          <w:lang w:val="hu-HU" w:eastAsia="en-US" w:bidi="ar-SA"/>
        </w:rPr>
      </w:pPr>
      <w:r w:rsidRPr="00556B9B">
        <w:rPr>
          <w:rFonts w:cs="Times New Roman"/>
          <w:szCs w:val="22"/>
          <w:lang w:val="hu-HU" w:eastAsia="en-US" w:bidi="ar-SA"/>
        </w:rPr>
        <w:t>PC:</w:t>
      </w:r>
    </w:p>
    <w:p w14:paraId="4881100C" w14:textId="77777777" w:rsidR="002C655D" w:rsidRPr="00556B9B" w:rsidRDefault="002C655D" w:rsidP="002C655D">
      <w:pPr>
        <w:widowControl w:val="0"/>
        <w:shd w:val="clear" w:color="auto" w:fill="FFFFFF"/>
        <w:suppressAutoHyphens w:val="0"/>
        <w:rPr>
          <w:rFonts w:cs="Times New Roman"/>
          <w:szCs w:val="22"/>
          <w:lang w:val="hu-HU" w:eastAsia="en-US" w:bidi="ar-SA"/>
        </w:rPr>
      </w:pPr>
      <w:r w:rsidRPr="00556B9B">
        <w:rPr>
          <w:rFonts w:cs="Times New Roman"/>
          <w:szCs w:val="22"/>
          <w:lang w:val="hu-HU" w:eastAsia="en-US" w:bidi="ar-SA"/>
        </w:rPr>
        <w:t>SN:</w:t>
      </w:r>
    </w:p>
    <w:p w14:paraId="1A5187BC" w14:textId="77777777" w:rsidR="002C655D" w:rsidRPr="00556B9B" w:rsidRDefault="002C655D" w:rsidP="002C655D">
      <w:pPr>
        <w:shd w:val="clear" w:color="auto" w:fill="FFFFFF"/>
        <w:spacing w:line="240" w:lineRule="auto"/>
        <w:rPr>
          <w:color w:val="000000"/>
          <w:szCs w:val="22"/>
          <w:lang w:val="hu-HU"/>
        </w:rPr>
      </w:pPr>
      <w:r w:rsidRPr="00556B9B">
        <w:rPr>
          <w:rFonts w:cs="Times New Roman"/>
          <w:szCs w:val="22"/>
          <w:lang w:val="hu-HU" w:eastAsia="en-US" w:bidi="ar-SA"/>
        </w:rPr>
        <w:t>NN</w:t>
      </w:r>
    </w:p>
    <w:p w14:paraId="44D0F5F0" w14:textId="77777777" w:rsidR="005A78EA" w:rsidRPr="00556B9B" w:rsidRDefault="005A78EA" w:rsidP="005A78EA">
      <w:pPr>
        <w:spacing w:line="240" w:lineRule="auto"/>
        <w:rPr>
          <w:color w:val="000000"/>
          <w:szCs w:val="22"/>
          <w:lang w:val="hu-HU"/>
        </w:rPr>
      </w:pPr>
    </w:p>
    <w:p w14:paraId="1F77CC56" w14:textId="77777777" w:rsidR="005A78EA" w:rsidRPr="00556B9B" w:rsidRDefault="00A72ECC" w:rsidP="005A78EA">
      <w:pPr>
        <w:spacing w:line="240" w:lineRule="auto"/>
        <w:rPr>
          <w:color w:val="000000"/>
          <w:u w:val="single"/>
          <w:lang w:val="hu-HU"/>
        </w:rPr>
      </w:pPr>
      <w:r w:rsidRPr="00556B9B">
        <w:rPr>
          <w:color w:val="000000"/>
          <w:u w:val="single"/>
          <w:lang w:val="hu-HU"/>
        </w:rPr>
        <w:br w:type="page"/>
      </w:r>
    </w:p>
    <w:p w14:paraId="51E6B20B" w14:textId="77777777" w:rsidR="00951752" w:rsidRPr="00951752" w:rsidRDefault="00951752" w:rsidP="00951752">
      <w:pPr>
        <w:spacing w:line="240" w:lineRule="auto"/>
        <w:rPr>
          <w:color w:val="000000"/>
          <w:lang w:val="hu-HU"/>
        </w:rPr>
      </w:pPr>
    </w:p>
    <w:p w14:paraId="1A492FAF"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A BUBORÉK</w:t>
      </w:r>
      <w:r w:rsidR="00793411" w:rsidRPr="00556B9B">
        <w:rPr>
          <w:b/>
          <w:color w:val="000000"/>
          <w:lang w:val="hu-HU"/>
        </w:rPr>
        <w:t>CSOMAGOLÁSON</w:t>
      </w:r>
      <w:r w:rsidRPr="00556B9B">
        <w:rPr>
          <w:b/>
          <w:color w:val="000000"/>
          <w:lang w:val="hu-HU"/>
        </w:rPr>
        <w:t xml:space="preserve"> VAGY A </w:t>
      </w:r>
      <w:r w:rsidR="00793411" w:rsidRPr="00556B9B">
        <w:rPr>
          <w:b/>
          <w:color w:val="000000"/>
          <w:lang w:val="hu-HU"/>
        </w:rPr>
        <w:t xml:space="preserve">FÓLIACSÍKON </w:t>
      </w:r>
      <w:r w:rsidRPr="00556B9B">
        <w:rPr>
          <w:b/>
          <w:noProof/>
          <w:color w:val="000000"/>
          <w:lang w:val="hu-HU"/>
        </w:rPr>
        <w:t>MINIMÁLISAN</w:t>
      </w:r>
      <w:r w:rsidRPr="00556B9B">
        <w:rPr>
          <w:b/>
          <w:color w:val="000000"/>
          <w:lang w:val="hu-HU"/>
        </w:rPr>
        <w:t xml:space="preserve"> FELTÜNTETENDŐ ADATOK</w:t>
      </w:r>
    </w:p>
    <w:p w14:paraId="04B6FE55"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color w:val="000000"/>
          <w:lang w:val="hu-HU"/>
        </w:rPr>
      </w:pPr>
    </w:p>
    <w:p w14:paraId="7B47A75E" w14:textId="77777777" w:rsidR="005A78EA" w:rsidRPr="00556B9B" w:rsidRDefault="005A78EA" w:rsidP="005A78EA">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556B9B">
        <w:rPr>
          <w:b/>
          <w:color w:val="000000"/>
          <w:lang w:val="hu-HU"/>
        </w:rPr>
        <w:t>BUBORÉK</w:t>
      </w:r>
      <w:r w:rsidR="00793411" w:rsidRPr="00556B9B">
        <w:rPr>
          <w:b/>
          <w:color w:val="000000"/>
          <w:lang w:val="hu-HU"/>
        </w:rPr>
        <w:t>CSOMAGOLÁS</w:t>
      </w:r>
    </w:p>
    <w:p w14:paraId="06ECAC99" w14:textId="77777777" w:rsidR="005A78EA" w:rsidRPr="00556B9B" w:rsidRDefault="005A78EA" w:rsidP="005A78EA">
      <w:pPr>
        <w:spacing w:line="240" w:lineRule="auto"/>
        <w:rPr>
          <w:color w:val="000000"/>
          <w:lang w:val="hu-HU"/>
        </w:rPr>
      </w:pPr>
    </w:p>
    <w:p w14:paraId="40A62F57" w14:textId="77777777" w:rsidR="005A78EA" w:rsidRPr="00556B9B" w:rsidRDefault="005A78EA" w:rsidP="005A78EA">
      <w:pPr>
        <w:spacing w:line="240" w:lineRule="auto"/>
        <w:rPr>
          <w:color w:val="000000"/>
          <w:lang w:val="hu-HU"/>
        </w:rPr>
      </w:pPr>
    </w:p>
    <w:p w14:paraId="4272FA91"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1.</w:t>
      </w:r>
      <w:r w:rsidRPr="00556B9B">
        <w:rPr>
          <w:b/>
          <w:color w:val="000000"/>
          <w:lang w:val="hu-HU"/>
        </w:rPr>
        <w:tab/>
        <w:t>A GYÓGYSZER NEVE</w:t>
      </w:r>
    </w:p>
    <w:p w14:paraId="50035DF9" w14:textId="77777777" w:rsidR="005A78EA" w:rsidRPr="00556B9B" w:rsidRDefault="005A78EA" w:rsidP="005A78EA">
      <w:pPr>
        <w:spacing w:line="240" w:lineRule="auto"/>
        <w:ind w:left="567" w:hanging="567"/>
        <w:rPr>
          <w:color w:val="000000"/>
          <w:lang w:val="hu-HU"/>
        </w:rPr>
      </w:pPr>
    </w:p>
    <w:p w14:paraId="2C38F65F" w14:textId="77777777" w:rsidR="005A78EA" w:rsidRPr="00556B9B" w:rsidRDefault="005A78EA" w:rsidP="005A78EA">
      <w:pPr>
        <w:spacing w:line="240" w:lineRule="auto"/>
        <w:rPr>
          <w:color w:val="000000"/>
          <w:lang w:val="hu-HU"/>
        </w:rPr>
      </w:pPr>
      <w:r w:rsidRPr="00556B9B">
        <w:rPr>
          <w:color w:val="000000"/>
          <w:lang w:val="hu-HU"/>
        </w:rPr>
        <w:t>Glivec 400 mg tabletta</w:t>
      </w:r>
    </w:p>
    <w:p w14:paraId="205056FB" w14:textId="77777777" w:rsidR="005A78EA" w:rsidRPr="00556B9B" w:rsidRDefault="00140E42" w:rsidP="005A78EA">
      <w:pPr>
        <w:spacing w:line="240" w:lineRule="auto"/>
        <w:rPr>
          <w:color w:val="000000"/>
          <w:lang w:val="hu-HU"/>
        </w:rPr>
      </w:pPr>
      <w:r w:rsidRPr="00556B9B">
        <w:rPr>
          <w:color w:val="000000"/>
          <w:lang w:val="hu-HU"/>
        </w:rPr>
        <w:t>i</w:t>
      </w:r>
      <w:r w:rsidR="005A78EA" w:rsidRPr="00556B9B">
        <w:rPr>
          <w:color w:val="000000"/>
          <w:lang w:val="hu-HU"/>
        </w:rPr>
        <w:t>matinib</w:t>
      </w:r>
    </w:p>
    <w:p w14:paraId="4525A510" w14:textId="77777777" w:rsidR="005A78EA" w:rsidRPr="00556B9B" w:rsidRDefault="005A78EA" w:rsidP="005A78EA">
      <w:pPr>
        <w:spacing w:line="240" w:lineRule="auto"/>
        <w:rPr>
          <w:color w:val="000000"/>
          <w:lang w:val="hu-HU"/>
        </w:rPr>
      </w:pPr>
    </w:p>
    <w:p w14:paraId="503A3466" w14:textId="77777777" w:rsidR="005A78EA" w:rsidRPr="00556B9B" w:rsidRDefault="005A78EA" w:rsidP="005A78EA">
      <w:pPr>
        <w:spacing w:line="240" w:lineRule="auto"/>
        <w:rPr>
          <w:color w:val="000000"/>
          <w:lang w:val="hu-HU"/>
        </w:rPr>
      </w:pPr>
    </w:p>
    <w:p w14:paraId="63F901DF"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2.</w:t>
      </w:r>
      <w:r w:rsidRPr="00556B9B">
        <w:rPr>
          <w:b/>
          <w:color w:val="000000"/>
          <w:lang w:val="hu-HU"/>
        </w:rPr>
        <w:tab/>
        <w:t>A FORGALOMBA HOZATALI ENGEDÉLY JOGOSULTJÁNAK NEVE</w:t>
      </w:r>
    </w:p>
    <w:p w14:paraId="62C9B987" w14:textId="77777777" w:rsidR="005A78EA" w:rsidRPr="00556B9B" w:rsidRDefault="005A78EA" w:rsidP="005A78EA">
      <w:pPr>
        <w:spacing w:line="240" w:lineRule="auto"/>
        <w:rPr>
          <w:color w:val="000000"/>
          <w:lang w:val="hu-HU"/>
        </w:rPr>
      </w:pPr>
    </w:p>
    <w:p w14:paraId="6FDF50FF" w14:textId="77777777" w:rsidR="005A78EA" w:rsidRPr="00556B9B" w:rsidRDefault="005A78EA" w:rsidP="005A78EA">
      <w:pPr>
        <w:spacing w:line="240" w:lineRule="auto"/>
        <w:rPr>
          <w:color w:val="000000"/>
          <w:lang w:val="hu-HU"/>
        </w:rPr>
      </w:pPr>
      <w:r w:rsidRPr="00556B9B">
        <w:rPr>
          <w:color w:val="000000"/>
          <w:lang w:val="hu-HU"/>
        </w:rPr>
        <w:t>Novartis Europharm Limited</w:t>
      </w:r>
    </w:p>
    <w:p w14:paraId="6533487C" w14:textId="77777777" w:rsidR="005A78EA" w:rsidRPr="00556B9B" w:rsidRDefault="005A78EA" w:rsidP="005A78EA">
      <w:pPr>
        <w:spacing w:line="240" w:lineRule="auto"/>
        <w:rPr>
          <w:color w:val="000000"/>
          <w:lang w:val="hu-HU"/>
        </w:rPr>
      </w:pPr>
    </w:p>
    <w:p w14:paraId="7B70B501" w14:textId="77777777" w:rsidR="005A78EA" w:rsidRPr="00556B9B" w:rsidRDefault="005A78EA" w:rsidP="005A78EA">
      <w:pPr>
        <w:spacing w:line="240" w:lineRule="auto"/>
        <w:rPr>
          <w:color w:val="000000"/>
          <w:lang w:val="hu-HU"/>
        </w:rPr>
      </w:pPr>
    </w:p>
    <w:p w14:paraId="2DDCE026"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3.</w:t>
      </w:r>
      <w:r w:rsidRPr="00556B9B">
        <w:rPr>
          <w:b/>
          <w:color w:val="000000"/>
          <w:lang w:val="hu-HU"/>
        </w:rPr>
        <w:tab/>
        <w:t>LEJÁRATI IDŐ</w:t>
      </w:r>
    </w:p>
    <w:p w14:paraId="0D8FE427" w14:textId="77777777" w:rsidR="005A78EA" w:rsidRPr="00556B9B" w:rsidRDefault="005A78EA" w:rsidP="005A78EA">
      <w:pPr>
        <w:spacing w:line="240" w:lineRule="auto"/>
        <w:rPr>
          <w:color w:val="000000"/>
          <w:lang w:val="hu-HU"/>
        </w:rPr>
      </w:pPr>
    </w:p>
    <w:p w14:paraId="6430778B" w14:textId="77777777" w:rsidR="005A78EA" w:rsidRPr="00556B9B" w:rsidRDefault="005A78EA" w:rsidP="005A78EA">
      <w:pPr>
        <w:pStyle w:val="EndnoteText"/>
        <w:spacing w:line="240" w:lineRule="auto"/>
        <w:rPr>
          <w:color w:val="000000"/>
          <w:lang w:val="hu-HU"/>
        </w:rPr>
      </w:pPr>
      <w:r w:rsidRPr="00556B9B">
        <w:rPr>
          <w:color w:val="000000"/>
          <w:lang w:val="hu-HU"/>
        </w:rPr>
        <w:t>EXP</w:t>
      </w:r>
    </w:p>
    <w:p w14:paraId="3267055C" w14:textId="77777777" w:rsidR="005A78EA" w:rsidRPr="00556B9B" w:rsidRDefault="005A78EA" w:rsidP="005A78EA">
      <w:pPr>
        <w:spacing w:line="240" w:lineRule="auto"/>
        <w:rPr>
          <w:color w:val="000000"/>
          <w:lang w:val="hu-HU"/>
        </w:rPr>
      </w:pPr>
    </w:p>
    <w:p w14:paraId="3545698C" w14:textId="77777777" w:rsidR="005A78EA" w:rsidRPr="00556B9B" w:rsidRDefault="005A78EA" w:rsidP="005A78EA">
      <w:pPr>
        <w:spacing w:line="240" w:lineRule="auto"/>
        <w:rPr>
          <w:color w:val="000000"/>
          <w:lang w:val="hu-HU"/>
        </w:rPr>
      </w:pPr>
    </w:p>
    <w:p w14:paraId="42EEF281"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556B9B">
        <w:rPr>
          <w:b/>
          <w:color w:val="000000"/>
          <w:lang w:val="hu-HU"/>
        </w:rPr>
        <w:t>4.</w:t>
      </w:r>
      <w:r w:rsidRPr="00556B9B">
        <w:rPr>
          <w:b/>
          <w:color w:val="000000"/>
          <w:lang w:val="hu-HU"/>
        </w:rPr>
        <w:tab/>
        <w:t>A GYÁRTÁSI TÉTEL SZÁMA</w:t>
      </w:r>
    </w:p>
    <w:p w14:paraId="63DA261D" w14:textId="77777777" w:rsidR="005A78EA" w:rsidRPr="00556B9B" w:rsidRDefault="005A78EA" w:rsidP="005A78EA">
      <w:pPr>
        <w:spacing w:line="240" w:lineRule="auto"/>
        <w:rPr>
          <w:color w:val="000000"/>
          <w:lang w:val="hu-HU"/>
        </w:rPr>
      </w:pPr>
    </w:p>
    <w:p w14:paraId="42F50BEA" w14:textId="77777777" w:rsidR="005A78EA" w:rsidRPr="00556B9B" w:rsidRDefault="005A78EA" w:rsidP="005A78EA">
      <w:pPr>
        <w:spacing w:line="240" w:lineRule="auto"/>
        <w:rPr>
          <w:color w:val="000000"/>
          <w:lang w:val="hu-HU"/>
        </w:rPr>
      </w:pPr>
      <w:r w:rsidRPr="00556B9B">
        <w:rPr>
          <w:color w:val="000000"/>
          <w:lang w:val="hu-HU"/>
        </w:rPr>
        <w:t>Lot</w:t>
      </w:r>
    </w:p>
    <w:p w14:paraId="4DD6E0A1" w14:textId="77777777" w:rsidR="005A78EA" w:rsidRPr="00556B9B" w:rsidRDefault="005A78EA" w:rsidP="005A78EA">
      <w:pPr>
        <w:widowControl w:val="0"/>
        <w:spacing w:line="240" w:lineRule="auto"/>
        <w:rPr>
          <w:color w:val="000000"/>
          <w:szCs w:val="22"/>
          <w:lang w:val="hu-HU"/>
        </w:rPr>
      </w:pPr>
    </w:p>
    <w:p w14:paraId="47746B69" w14:textId="77777777" w:rsidR="005A78EA" w:rsidRPr="00556B9B" w:rsidRDefault="005A78EA" w:rsidP="005A78EA">
      <w:pPr>
        <w:widowControl w:val="0"/>
        <w:spacing w:line="240" w:lineRule="auto"/>
        <w:rPr>
          <w:color w:val="000000"/>
          <w:szCs w:val="22"/>
          <w:lang w:val="hu-HU"/>
        </w:rPr>
      </w:pPr>
    </w:p>
    <w:p w14:paraId="58497CB3" w14:textId="77777777" w:rsidR="005A78EA" w:rsidRPr="00556B9B" w:rsidRDefault="005A78EA" w:rsidP="005A78E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noProof/>
          <w:color w:val="000000"/>
          <w:lang w:val="hu-HU"/>
        </w:rPr>
      </w:pPr>
      <w:r w:rsidRPr="00556B9B">
        <w:rPr>
          <w:b/>
          <w:noProof/>
          <w:color w:val="000000"/>
          <w:lang w:val="hu-HU"/>
        </w:rPr>
        <w:t>5.</w:t>
      </w:r>
      <w:r w:rsidRPr="00556B9B">
        <w:rPr>
          <w:b/>
          <w:noProof/>
          <w:color w:val="000000"/>
          <w:lang w:val="hu-HU"/>
        </w:rPr>
        <w:tab/>
        <w:t>EGYÉB INFORMÁCIÓK</w:t>
      </w:r>
    </w:p>
    <w:p w14:paraId="1641CBE7" w14:textId="77777777" w:rsidR="005A78EA" w:rsidRPr="00556B9B" w:rsidRDefault="005A78EA" w:rsidP="005A78EA">
      <w:pPr>
        <w:spacing w:line="240" w:lineRule="auto"/>
        <w:rPr>
          <w:color w:val="000000"/>
          <w:lang w:val="hu-HU"/>
        </w:rPr>
      </w:pPr>
    </w:p>
    <w:p w14:paraId="75380D78" w14:textId="77777777" w:rsidR="005A78EA" w:rsidRPr="00556B9B" w:rsidRDefault="005A78EA" w:rsidP="005A78EA">
      <w:pPr>
        <w:spacing w:line="240" w:lineRule="auto"/>
        <w:rPr>
          <w:color w:val="000000"/>
          <w:lang w:val="hu-HU"/>
        </w:rPr>
      </w:pPr>
      <w:r w:rsidRPr="00556B9B">
        <w:rPr>
          <w:color w:val="000000"/>
          <w:lang w:val="hu-HU"/>
        </w:rPr>
        <w:br w:type="page"/>
      </w:r>
    </w:p>
    <w:p w14:paraId="0269A969" w14:textId="77777777" w:rsidR="005A78EA" w:rsidRPr="00556B9B" w:rsidRDefault="005A78EA" w:rsidP="005A78EA">
      <w:pPr>
        <w:spacing w:line="240" w:lineRule="auto"/>
        <w:rPr>
          <w:color w:val="000000"/>
          <w:lang w:val="hu-HU"/>
        </w:rPr>
      </w:pPr>
    </w:p>
    <w:p w14:paraId="2A94DB84" w14:textId="77777777" w:rsidR="005A78EA" w:rsidRPr="00556B9B" w:rsidRDefault="005A78EA" w:rsidP="005A78EA">
      <w:pPr>
        <w:spacing w:line="240" w:lineRule="auto"/>
        <w:rPr>
          <w:color w:val="000000"/>
          <w:lang w:val="hu-HU"/>
        </w:rPr>
      </w:pPr>
    </w:p>
    <w:p w14:paraId="2BB61D8A" w14:textId="77777777" w:rsidR="005A78EA" w:rsidRPr="00556B9B" w:rsidRDefault="005A78EA" w:rsidP="005A78EA">
      <w:pPr>
        <w:spacing w:line="240" w:lineRule="auto"/>
        <w:rPr>
          <w:color w:val="000000"/>
          <w:lang w:val="hu-HU"/>
        </w:rPr>
      </w:pPr>
    </w:p>
    <w:p w14:paraId="049805A9" w14:textId="77777777" w:rsidR="005A78EA" w:rsidRPr="00556B9B" w:rsidRDefault="005A78EA" w:rsidP="005A78EA">
      <w:pPr>
        <w:spacing w:line="240" w:lineRule="auto"/>
        <w:rPr>
          <w:color w:val="000000"/>
          <w:lang w:val="hu-HU"/>
        </w:rPr>
      </w:pPr>
    </w:p>
    <w:p w14:paraId="571DE5A8" w14:textId="77777777" w:rsidR="005A78EA" w:rsidRPr="00556B9B" w:rsidRDefault="005A78EA" w:rsidP="005A78EA">
      <w:pPr>
        <w:spacing w:line="240" w:lineRule="auto"/>
        <w:rPr>
          <w:color w:val="000000"/>
          <w:lang w:val="hu-HU"/>
        </w:rPr>
      </w:pPr>
    </w:p>
    <w:p w14:paraId="31003FE4" w14:textId="77777777" w:rsidR="005A78EA" w:rsidRPr="00556B9B" w:rsidRDefault="005A78EA" w:rsidP="005A78EA">
      <w:pPr>
        <w:spacing w:line="240" w:lineRule="auto"/>
        <w:rPr>
          <w:color w:val="000000"/>
          <w:lang w:val="hu-HU"/>
        </w:rPr>
      </w:pPr>
    </w:p>
    <w:p w14:paraId="719FC9D8" w14:textId="77777777" w:rsidR="005A78EA" w:rsidRPr="00556B9B" w:rsidRDefault="005A78EA" w:rsidP="005A78EA">
      <w:pPr>
        <w:spacing w:line="240" w:lineRule="auto"/>
        <w:rPr>
          <w:color w:val="000000"/>
          <w:lang w:val="hu-HU"/>
        </w:rPr>
      </w:pPr>
    </w:p>
    <w:p w14:paraId="1A0F5044" w14:textId="77777777" w:rsidR="005A78EA" w:rsidRPr="00556B9B" w:rsidRDefault="005A78EA" w:rsidP="005A78EA">
      <w:pPr>
        <w:spacing w:line="240" w:lineRule="auto"/>
        <w:rPr>
          <w:color w:val="000000"/>
          <w:lang w:val="hu-HU"/>
        </w:rPr>
      </w:pPr>
    </w:p>
    <w:p w14:paraId="588710A7" w14:textId="77777777" w:rsidR="005A78EA" w:rsidRPr="00556B9B" w:rsidRDefault="005A78EA" w:rsidP="005A78EA">
      <w:pPr>
        <w:spacing w:line="240" w:lineRule="auto"/>
        <w:rPr>
          <w:color w:val="000000"/>
          <w:lang w:val="hu-HU"/>
        </w:rPr>
      </w:pPr>
    </w:p>
    <w:p w14:paraId="5096A93D" w14:textId="77777777" w:rsidR="005A78EA" w:rsidRPr="00556B9B" w:rsidRDefault="005A78EA" w:rsidP="005A78EA">
      <w:pPr>
        <w:spacing w:line="240" w:lineRule="auto"/>
        <w:rPr>
          <w:color w:val="000000"/>
          <w:lang w:val="hu-HU"/>
        </w:rPr>
      </w:pPr>
    </w:p>
    <w:p w14:paraId="3EE76972" w14:textId="77777777" w:rsidR="005A78EA" w:rsidRPr="00556B9B" w:rsidRDefault="005A78EA" w:rsidP="005A78EA">
      <w:pPr>
        <w:spacing w:line="240" w:lineRule="auto"/>
        <w:rPr>
          <w:color w:val="000000"/>
          <w:lang w:val="hu-HU"/>
        </w:rPr>
      </w:pPr>
    </w:p>
    <w:p w14:paraId="4EC4FD8D" w14:textId="77777777" w:rsidR="005A78EA" w:rsidRPr="00556B9B" w:rsidRDefault="005A78EA" w:rsidP="005A78EA">
      <w:pPr>
        <w:spacing w:line="240" w:lineRule="auto"/>
        <w:rPr>
          <w:color w:val="000000"/>
          <w:lang w:val="hu-HU"/>
        </w:rPr>
      </w:pPr>
    </w:p>
    <w:p w14:paraId="763FDA78" w14:textId="77777777" w:rsidR="005A78EA" w:rsidRPr="00556B9B" w:rsidRDefault="005A78EA" w:rsidP="005A78EA">
      <w:pPr>
        <w:spacing w:line="240" w:lineRule="auto"/>
        <w:rPr>
          <w:color w:val="000000"/>
          <w:lang w:val="hu-HU"/>
        </w:rPr>
      </w:pPr>
    </w:p>
    <w:p w14:paraId="0AAD1C0B" w14:textId="77777777" w:rsidR="005A78EA" w:rsidRPr="00556B9B" w:rsidRDefault="005A78EA" w:rsidP="005A78EA">
      <w:pPr>
        <w:spacing w:line="240" w:lineRule="auto"/>
        <w:rPr>
          <w:color w:val="000000"/>
          <w:lang w:val="hu-HU"/>
        </w:rPr>
      </w:pPr>
    </w:p>
    <w:p w14:paraId="2E197B95" w14:textId="77777777" w:rsidR="005A78EA" w:rsidRPr="00556B9B" w:rsidRDefault="005A78EA" w:rsidP="005A78EA">
      <w:pPr>
        <w:spacing w:line="240" w:lineRule="auto"/>
        <w:rPr>
          <w:color w:val="000000"/>
          <w:lang w:val="hu-HU"/>
        </w:rPr>
      </w:pPr>
    </w:p>
    <w:p w14:paraId="22A6D5B4" w14:textId="77777777" w:rsidR="005A78EA" w:rsidRPr="00556B9B" w:rsidRDefault="005A78EA" w:rsidP="005A78EA">
      <w:pPr>
        <w:spacing w:line="240" w:lineRule="auto"/>
        <w:rPr>
          <w:color w:val="000000"/>
          <w:lang w:val="hu-HU"/>
        </w:rPr>
      </w:pPr>
    </w:p>
    <w:p w14:paraId="7561144F" w14:textId="77777777" w:rsidR="005A78EA" w:rsidRPr="00556B9B" w:rsidRDefault="005A78EA" w:rsidP="005A78EA">
      <w:pPr>
        <w:spacing w:line="240" w:lineRule="auto"/>
        <w:rPr>
          <w:color w:val="000000"/>
          <w:lang w:val="hu-HU"/>
        </w:rPr>
      </w:pPr>
    </w:p>
    <w:p w14:paraId="28550433" w14:textId="77777777" w:rsidR="005A78EA" w:rsidRPr="00556B9B" w:rsidRDefault="005A78EA" w:rsidP="005A78EA">
      <w:pPr>
        <w:spacing w:line="240" w:lineRule="auto"/>
        <w:rPr>
          <w:color w:val="000000"/>
          <w:lang w:val="hu-HU"/>
        </w:rPr>
      </w:pPr>
    </w:p>
    <w:p w14:paraId="608EE8C6" w14:textId="77777777" w:rsidR="005A78EA" w:rsidRPr="00556B9B" w:rsidRDefault="005A78EA" w:rsidP="005A78EA">
      <w:pPr>
        <w:spacing w:line="240" w:lineRule="auto"/>
        <w:rPr>
          <w:color w:val="000000"/>
          <w:lang w:val="hu-HU"/>
        </w:rPr>
      </w:pPr>
    </w:p>
    <w:p w14:paraId="6584E25F" w14:textId="77777777" w:rsidR="005A78EA" w:rsidRPr="00556B9B" w:rsidRDefault="005A78EA" w:rsidP="005A78EA">
      <w:pPr>
        <w:spacing w:line="240" w:lineRule="auto"/>
        <w:rPr>
          <w:color w:val="000000"/>
          <w:lang w:val="hu-HU"/>
        </w:rPr>
      </w:pPr>
    </w:p>
    <w:p w14:paraId="35ED4CAD" w14:textId="77777777" w:rsidR="005A78EA" w:rsidRPr="00556B9B" w:rsidRDefault="005A78EA" w:rsidP="005A78EA">
      <w:pPr>
        <w:spacing w:line="240" w:lineRule="auto"/>
        <w:rPr>
          <w:color w:val="000000"/>
          <w:lang w:val="hu-HU"/>
        </w:rPr>
      </w:pPr>
    </w:p>
    <w:p w14:paraId="6BA34D7B" w14:textId="77777777" w:rsidR="005A78EA" w:rsidRDefault="005A78EA" w:rsidP="005A78EA">
      <w:pPr>
        <w:spacing w:line="240" w:lineRule="auto"/>
        <w:rPr>
          <w:color w:val="000000"/>
          <w:lang w:val="hu-HU"/>
        </w:rPr>
      </w:pPr>
    </w:p>
    <w:p w14:paraId="72E05035" w14:textId="77777777" w:rsidR="00951752" w:rsidRPr="00556B9B" w:rsidRDefault="00951752" w:rsidP="005A78EA">
      <w:pPr>
        <w:spacing w:line="240" w:lineRule="auto"/>
        <w:rPr>
          <w:color w:val="000000"/>
          <w:lang w:val="hu-HU"/>
        </w:rPr>
      </w:pPr>
    </w:p>
    <w:p w14:paraId="2271EA15" w14:textId="77777777" w:rsidR="00102042" w:rsidRPr="00556B9B" w:rsidRDefault="005A78EA" w:rsidP="005A78EA">
      <w:pPr>
        <w:spacing w:line="240" w:lineRule="auto"/>
        <w:jc w:val="center"/>
        <w:rPr>
          <w:b/>
          <w:color w:val="000000"/>
          <w:lang w:val="hu-HU"/>
        </w:rPr>
      </w:pPr>
      <w:r w:rsidRPr="00556B9B">
        <w:rPr>
          <w:b/>
          <w:color w:val="000000"/>
          <w:lang w:val="hu-HU"/>
        </w:rPr>
        <w:t>B. BETEGTÁJÉKOZTATÓ</w:t>
      </w:r>
    </w:p>
    <w:p w14:paraId="305C6DFB" w14:textId="77777777" w:rsidR="005A78EA" w:rsidRPr="00556B9B" w:rsidRDefault="005A78EA" w:rsidP="005A78EA">
      <w:pPr>
        <w:spacing w:line="240" w:lineRule="auto"/>
        <w:jc w:val="center"/>
        <w:rPr>
          <w:b/>
          <w:color w:val="000000"/>
          <w:lang w:val="hu-HU"/>
        </w:rPr>
      </w:pPr>
      <w:r w:rsidRPr="00556B9B">
        <w:rPr>
          <w:color w:val="000000"/>
          <w:lang w:val="hu-HU"/>
        </w:rPr>
        <w:br w:type="page"/>
      </w:r>
      <w:r w:rsidR="00A11415" w:rsidRPr="00556B9B">
        <w:rPr>
          <w:b/>
          <w:noProof/>
          <w:szCs w:val="24"/>
          <w:lang w:val="hu-HU"/>
        </w:rPr>
        <w:lastRenderedPageBreak/>
        <w:t>Betegtájékoztató: Információk a felhasználó számára</w:t>
      </w:r>
    </w:p>
    <w:p w14:paraId="64F3F6D8" w14:textId="77777777" w:rsidR="005A78EA" w:rsidRPr="00556B9B" w:rsidRDefault="005A78EA" w:rsidP="005A78EA">
      <w:pPr>
        <w:widowControl w:val="0"/>
        <w:spacing w:line="240" w:lineRule="auto"/>
        <w:jc w:val="center"/>
        <w:rPr>
          <w:color w:val="000000"/>
          <w:szCs w:val="22"/>
          <w:lang w:val="hu-HU"/>
        </w:rPr>
      </w:pPr>
    </w:p>
    <w:p w14:paraId="7E51B34D" w14:textId="77777777" w:rsidR="005A78EA" w:rsidRPr="00556B9B" w:rsidRDefault="005A78EA" w:rsidP="005A78EA">
      <w:pPr>
        <w:widowControl w:val="0"/>
        <w:spacing w:line="240" w:lineRule="auto"/>
        <w:jc w:val="center"/>
        <w:rPr>
          <w:color w:val="000000"/>
          <w:szCs w:val="22"/>
          <w:lang w:val="hu-HU"/>
        </w:rPr>
      </w:pPr>
      <w:r w:rsidRPr="00556B9B">
        <w:rPr>
          <w:b/>
          <w:color w:val="000000"/>
          <w:szCs w:val="22"/>
          <w:lang w:val="hu-HU"/>
        </w:rPr>
        <w:t>Glivec 100 mg kemény kapszula</w:t>
      </w:r>
    </w:p>
    <w:p w14:paraId="1F589453" w14:textId="77777777" w:rsidR="005A78EA" w:rsidRPr="00556B9B" w:rsidRDefault="00140E42" w:rsidP="005A78EA">
      <w:pPr>
        <w:spacing w:line="240" w:lineRule="auto"/>
        <w:jc w:val="center"/>
        <w:rPr>
          <w:color w:val="000000"/>
          <w:lang w:val="hu-HU"/>
        </w:rPr>
      </w:pPr>
      <w:r w:rsidRPr="00556B9B">
        <w:rPr>
          <w:color w:val="000000"/>
          <w:szCs w:val="22"/>
          <w:lang w:val="hu-HU"/>
        </w:rPr>
        <w:t>i</w:t>
      </w:r>
      <w:r w:rsidR="005A78EA" w:rsidRPr="00556B9B">
        <w:rPr>
          <w:color w:val="000000"/>
          <w:szCs w:val="22"/>
          <w:lang w:val="hu-HU"/>
        </w:rPr>
        <w:t>matinib</w:t>
      </w:r>
    </w:p>
    <w:p w14:paraId="243EF7AA" w14:textId="77777777" w:rsidR="005A78EA" w:rsidRPr="00556B9B" w:rsidRDefault="005A78EA" w:rsidP="007B41FB">
      <w:pPr>
        <w:spacing w:line="240" w:lineRule="auto"/>
        <w:rPr>
          <w:color w:val="000000"/>
          <w:lang w:val="hu-HU"/>
        </w:rPr>
      </w:pPr>
    </w:p>
    <w:p w14:paraId="1EB0017D" w14:textId="77777777" w:rsidR="00F10EA5" w:rsidRPr="00556B9B" w:rsidRDefault="003D6257" w:rsidP="00F10EA5">
      <w:pPr>
        <w:tabs>
          <w:tab w:val="left" w:pos="720"/>
        </w:tabs>
        <w:suppressAutoHyphens w:val="0"/>
        <w:spacing w:line="240" w:lineRule="auto"/>
        <w:rPr>
          <w:rFonts w:cs="Times New Roman"/>
          <w:szCs w:val="22"/>
          <w:lang w:val="hu-HU" w:eastAsia="en-US" w:bidi="ar-SA"/>
        </w:rPr>
      </w:pPr>
      <w:r w:rsidRPr="00556B9B">
        <w:rPr>
          <w:rFonts w:cs="Times New Roman"/>
          <w:noProof/>
          <w:szCs w:val="22"/>
          <w:lang w:val="en-US" w:eastAsia="en-US" w:bidi="ar-SA"/>
        </w:rPr>
        <w:drawing>
          <wp:inline distT="0" distB="0" distL="0" distR="0" wp14:anchorId="00176824" wp14:editId="1D02DE89">
            <wp:extent cx="198755" cy="174625"/>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F10EA5" w:rsidRPr="00556B9B">
        <w:rPr>
          <w:rFonts w:cs="Times New Roman"/>
          <w:szCs w:val="22"/>
          <w:lang w:val="hu-HU" w:eastAsia="en-US" w:bidi="ar-SA"/>
        </w:rPr>
        <w:t>Ez a gyógyszer fokozott felügyelet alatt áll, mely lehetővé teszi az új gyógyszerbiztonsági információk gyors azonosítását. Ehhez Ön is hozzájárulhat a tudomására jutó bármilyen mellékhatás bejelentésével. A mellékhatások jelentésének módjairól a 4. pont végén (Mellékhatások bejelentése) talál további tájékoztatást.</w:t>
      </w:r>
    </w:p>
    <w:p w14:paraId="6135CBE2" w14:textId="77777777" w:rsidR="005A78EA" w:rsidRPr="00556B9B" w:rsidRDefault="005A78EA" w:rsidP="007B41FB">
      <w:pPr>
        <w:spacing w:line="240" w:lineRule="auto"/>
        <w:rPr>
          <w:color w:val="000000"/>
          <w:lang w:val="hu-HU"/>
        </w:rPr>
      </w:pPr>
    </w:p>
    <w:p w14:paraId="67DB9522" w14:textId="77777777" w:rsidR="00FE13F7" w:rsidRPr="00556B9B" w:rsidRDefault="00FE13F7" w:rsidP="00FE13F7">
      <w:pPr>
        <w:spacing w:line="240" w:lineRule="auto"/>
        <w:rPr>
          <w:b/>
          <w:color w:val="000000"/>
          <w:lang w:val="hu-HU"/>
        </w:rPr>
      </w:pPr>
      <w:r w:rsidRPr="00556B9B">
        <w:rPr>
          <w:b/>
          <w:color w:val="000000"/>
          <w:lang w:val="hu-HU"/>
        </w:rPr>
        <w:t>Mielőtt elkezdené szedni ezt a gyógyszert, olvassa el figyelmesen az alábbi betegtájékoztatót</w:t>
      </w:r>
      <w:r w:rsidRPr="00556B9B">
        <w:rPr>
          <w:b/>
          <w:noProof/>
          <w:szCs w:val="24"/>
          <w:lang w:val="hu-HU"/>
        </w:rPr>
        <w:t>, me</w:t>
      </w:r>
      <w:r w:rsidR="00F63C0E" w:rsidRPr="00556B9B">
        <w:rPr>
          <w:b/>
          <w:noProof/>
          <w:szCs w:val="24"/>
          <w:lang w:val="hu-HU"/>
        </w:rPr>
        <w:t>rt</w:t>
      </w:r>
      <w:r w:rsidRPr="00556B9B">
        <w:rPr>
          <w:b/>
          <w:noProof/>
          <w:szCs w:val="24"/>
          <w:lang w:val="hu-HU"/>
        </w:rPr>
        <w:t xml:space="preserve"> az Ön számára fontos információkat tartalmaz</w:t>
      </w:r>
      <w:r w:rsidRPr="00556B9B">
        <w:rPr>
          <w:b/>
          <w:color w:val="000000"/>
          <w:lang w:val="hu-HU"/>
        </w:rPr>
        <w:t>.</w:t>
      </w:r>
    </w:p>
    <w:p w14:paraId="6DF5391A" w14:textId="77777777" w:rsidR="00FE13F7" w:rsidRPr="00556B9B" w:rsidRDefault="00FE13F7" w:rsidP="00FE13F7">
      <w:pPr>
        <w:numPr>
          <w:ilvl w:val="0"/>
          <w:numId w:val="4"/>
        </w:numPr>
        <w:tabs>
          <w:tab w:val="clear" w:pos="360"/>
        </w:tabs>
        <w:spacing w:line="240" w:lineRule="auto"/>
        <w:ind w:left="567" w:hanging="567"/>
        <w:rPr>
          <w:color w:val="000000"/>
          <w:lang w:val="hu-HU"/>
        </w:rPr>
      </w:pPr>
      <w:r w:rsidRPr="00556B9B">
        <w:rPr>
          <w:color w:val="000000"/>
          <w:lang w:val="hu-HU"/>
        </w:rPr>
        <w:t>Tartsa meg a betegtájékoztatót, mert a benne szereplő információkra a későbbiekben is szüksége lehet.</w:t>
      </w:r>
    </w:p>
    <w:p w14:paraId="739C8F08" w14:textId="77777777" w:rsidR="00FE13F7" w:rsidRPr="00556B9B" w:rsidRDefault="00FE13F7" w:rsidP="00140E42">
      <w:pPr>
        <w:numPr>
          <w:ilvl w:val="0"/>
          <w:numId w:val="4"/>
        </w:numPr>
        <w:tabs>
          <w:tab w:val="clear" w:pos="360"/>
        </w:tabs>
        <w:spacing w:line="240" w:lineRule="auto"/>
        <w:ind w:left="567" w:hanging="567"/>
        <w:rPr>
          <w:color w:val="000000"/>
          <w:lang w:val="hu-HU"/>
        </w:rPr>
      </w:pPr>
      <w:r w:rsidRPr="00556B9B">
        <w:rPr>
          <w:color w:val="000000"/>
          <w:lang w:val="hu-HU"/>
        </w:rPr>
        <w:t xml:space="preserve">További kérdéseivel forduljon </w:t>
      </w:r>
      <w:r w:rsidRPr="00556B9B">
        <w:rPr>
          <w:noProof/>
          <w:szCs w:val="24"/>
          <w:lang w:val="hu-HU"/>
        </w:rPr>
        <w:t>kezelőorvosához,</w:t>
      </w:r>
      <w:r w:rsidRPr="00556B9B">
        <w:rPr>
          <w:color w:val="000000"/>
          <w:lang w:val="hu-HU"/>
        </w:rPr>
        <w:t xml:space="preserve"> gyógyszerészéhez </w:t>
      </w:r>
      <w:r w:rsidR="00B61F0D" w:rsidRPr="00556B9B">
        <w:rPr>
          <w:noProof/>
          <w:szCs w:val="24"/>
          <w:lang w:val="hu-HU"/>
        </w:rPr>
        <w:t>vagy a gondozását végző egészségügyi szakemberhez</w:t>
      </w:r>
      <w:r w:rsidRPr="00556B9B">
        <w:rPr>
          <w:color w:val="000000"/>
          <w:lang w:val="hu-HU"/>
        </w:rPr>
        <w:t>.</w:t>
      </w:r>
    </w:p>
    <w:p w14:paraId="58281805" w14:textId="77777777" w:rsidR="00FE13F7" w:rsidRPr="00556B9B" w:rsidRDefault="00FE13F7" w:rsidP="00FE13F7">
      <w:pPr>
        <w:pStyle w:val="WW-NormlWeb"/>
        <w:numPr>
          <w:ilvl w:val="0"/>
          <w:numId w:val="2"/>
        </w:numPr>
        <w:tabs>
          <w:tab w:val="clear" w:pos="360"/>
        </w:tabs>
        <w:spacing w:before="0" w:after="0" w:line="240" w:lineRule="auto"/>
        <w:ind w:left="567" w:hanging="567"/>
        <w:rPr>
          <w:rFonts w:ascii="Times New Roman" w:hAnsi="Times New Roman"/>
          <w:color w:val="000000"/>
          <w:sz w:val="22"/>
        </w:rPr>
      </w:pPr>
      <w:r w:rsidRPr="00556B9B">
        <w:rPr>
          <w:rFonts w:ascii="Times New Roman" w:hAnsi="Times New Roman"/>
          <w:color w:val="000000"/>
          <w:sz w:val="22"/>
        </w:rPr>
        <w:t>Ezt a gyógyszert az orvos kizárólag Önnek írta fel. Ne adja át a készítményt másnak, mert számára ártalmas lehet még abban az esetben is, ha a betegsége tünetei az Önéhez hasonlóak.</w:t>
      </w:r>
    </w:p>
    <w:p w14:paraId="152E6A3C" w14:textId="77777777" w:rsidR="00FE13F7" w:rsidRPr="00556B9B" w:rsidRDefault="00FE13F7" w:rsidP="00140E42">
      <w:pPr>
        <w:widowControl w:val="0"/>
        <w:numPr>
          <w:ilvl w:val="0"/>
          <w:numId w:val="33"/>
        </w:numPr>
        <w:suppressAutoHyphens w:val="0"/>
        <w:spacing w:line="240" w:lineRule="auto"/>
        <w:ind w:left="567" w:right="-2" w:hanging="567"/>
        <w:rPr>
          <w:color w:val="000000"/>
          <w:szCs w:val="22"/>
          <w:lang w:val="hu-HU"/>
        </w:rPr>
      </w:pPr>
      <w:r w:rsidRPr="00556B9B">
        <w:rPr>
          <w:color w:val="000000"/>
          <w:lang w:val="hu-HU"/>
        </w:rPr>
        <w:t xml:space="preserve">Ha Önnél bármilyen mellékhatás jelentkezik, tájékoztassa erről kezelőorvosát, gyógyszerészét </w:t>
      </w:r>
      <w:r w:rsidR="00B61F0D" w:rsidRPr="00556B9B">
        <w:rPr>
          <w:color w:val="000000"/>
          <w:lang w:val="hu-HU"/>
        </w:rPr>
        <w:t>vagy a gondozását végző egészségügyi szakembert</w:t>
      </w:r>
      <w:r w:rsidRPr="00556B9B">
        <w:rPr>
          <w:color w:val="000000"/>
          <w:lang w:val="hu-HU"/>
        </w:rPr>
        <w:t>. Ez a betegtájékoztatóban fel nem sorolt bármilyen lehetséges mellékhatásra is vonatkozik.</w:t>
      </w:r>
      <w:r w:rsidR="00F63C0E" w:rsidRPr="00556B9B">
        <w:rPr>
          <w:color w:val="000000"/>
          <w:lang w:val="hu-HU"/>
        </w:rPr>
        <w:t xml:space="preserve"> </w:t>
      </w:r>
      <w:r w:rsidR="00F63C0E" w:rsidRPr="00556B9B">
        <w:rPr>
          <w:rFonts w:cs="Times New Roman"/>
          <w:szCs w:val="22"/>
          <w:lang w:val="hu-HU" w:eastAsia="en-US" w:bidi="ar-SA"/>
        </w:rPr>
        <w:t>Lásd 4. pont.</w:t>
      </w:r>
    </w:p>
    <w:p w14:paraId="30AE4149" w14:textId="77777777" w:rsidR="00FE13F7" w:rsidRPr="00556B9B" w:rsidRDefault="00FE13F7" w:rsidP="00FE13F7">
      <w:pPr>
        <w:spacing w:line="240" w:lineRule="auto"/>
        <w:ind w:right="-2"/>
        <w:rPr>
          <w:color w:val="000000"/>
          <w:lang w:val="hu-HU"/>
        </w:rPr>
      </w:pPr>
    </w:p>
    <w:p w14:paraId="280B5DEB" w14:textId="77777777" w:rsidR="00FE13F7" w:rsidRPr="00556B9B" w:rsidRDefault="00FE13F7" w:rsidP="00FE13F7">
      <w:pPr>
        <w:spacing w:line="240" w:lineRule="auto"/>
        <w:ind w:right="-2"/>
        <w:rPr>
          <w:b/>
          <w:color w:val="000000"/>
          <w:lang w:val="hu-HU"/>
        </w:rPr>
      </w:pPr>
      <w:r w:rsidRPr="00556B9B">
        <w:rPr>
          <w:b/>
          <w:color w:val="000000"/>
          <w:lang w:val="hu-HU"/>
        </w:rPr>
        <w:t>A betegtájékoztató tartalma</w:t>
      </w:r>
    </w:p>
    <w:p w14:paraId="571ED663" w14:textId="77777777" w:rsidR="00FE13F7" w:rsidRPr="00556B9B" w:rsidRDefault="00FE13F7" w:rsidP="00FE13F7">
      <w:pPr>
        <w:spacing w:line="240" w:lineRule="auto"/>
        <w:ind w:right="-29"/>
        <w:rPr>
          <w:color w:val="000000"/>
          <w:lang w:val="hu-HU"/>
        </w:rPr>
      </w:pPr>
      <w:r w:rsidRPr="00556B9B">
        <w:rPr>
          <w:color w:val="000000"/>
          <w:lang w:val="hu-HU"/>
        </w:rPr>
        <w:t>1.</w:t>
      </w:r>
      <w:r w:rsidRPr="00556B9B">
        <w:rPr>
          <w:color w:val="000000"/>
          <w:lang w:val="hu-HU"/>
        </w:rPr>
        <w:tab/>
        <w:t>Milyen típusú gyógyszer a Glivec és milyen betegségek esetén alkalmazható?</w:t>
      </w:r>
    </w:p>
    <w:p w14:paraId="551381E2" w14:textId="77777777" w:rsidR="00FE13F7" w:rsidRPr="00556B9B" w:rsidRDefault="00FE13F7" w:rsidP="00FE13F7">
      <w:pPr>
        <w:spacing w:line="240" w:lineRule="auto"/>
        <w:ind w:right="-29"/>
        <w:rPr>
          <w:color w:val="000000"/>
          <w:lang w:val="hu-HU"/>
        </w:rPr>
      </w:pPr>
      <w:r w:rsidRPr="00556B9B">
        <w:rPr>
          <w:color w:val="000000"/>
          <w:lang w:val="hu-HU"/>
        </w:rPr>
        <w:t>2.</w:t>
      </w:r>
      <w:r w:rsidRPr="00556B9B">
        <w:rPr>
          <w:color w:val="000000"/>
          <w:lang w:val="hu-HU"/>
        </w:rPr>
        <w:tab/>
        <w:t>Tudnivalók a Glivec szedése előtt</w:t>
      </w:r>
    </w:p>
    <w:p w14:paraId="686AA6D9" w14:textId="77777777" w:rsidR="00FE13F7" w:rsidRPr="00556B9B" w:rsidRDefault="00FE13F7" w:rsidP="00FE13F7">
      <w:pPr>
        <w:spacing w:line="240" w:lineRule="auto"/>
        <w:ind w:left="567" w:right="-29" w:hanging="567"/>
        <w:rPr>
          <w:color w:val="000000"/>
          <w:lang w:val="hu-HU"/>
        </w:rPr>
      </w:pPr>
      <w:r w:rsidRPr="00556B9B">
        <w:rPr>
          <w:color w:val="000000"/>
          <w:lang w:val="hu-HU"/>
        </w:rPr>
        <w:t>3.</w:t>
      </w:r>
      <w:r w:rsidRPr="00556B9B">
        <w:rPr>
          <w:color w:val="000000"/>
          <w:lang w:val="hu-HU"/>
        </w:rPr>
        <w:tab/>
        <w:t>Hogyan kell szedni a Glivec</w:t>
      </w:r>
      <w:r w:rsidRPr="00556B9B">
        <w:rPr>
          <w:color w:val="000000"/>
          <w:lang w:val="hu-HU"/>
        </w:rPr>
        <w:noBreakHyphen/>
        <w:t>et?</w:t>
      </w:r>
    </w:p>
    <w:p w14:paraId="5E8FB450" w14:textId="77777777" w:rsidR="00FE13F7" w:rsidRPr="00556B9B" w:rsidRDefault="00FE13F7" w:rsidP="00FE13F7">
      <w:pPr>
        <w:spacing w:line="240" w:lineRule="auto"/>
        <w:ind w:left="567" w:right="-29" w:hanging="567"/>
        <w:rPr>
          <w:color w:val="000000"/>
          <w:lang w:val="hu-HU"/>
        </w:rPr>
      </w:pPr>
      <w:r w:rsidRPr="00556B9B">
        <w:rPr>
          <w:color w:val="000000"/>
          <w:lang w:val="hu-HU"/>
        </w:rPr>
        <w:t>4.</w:t>
      </w:r>
      <w:r w:rsidRPr="00556B9B">
        <w:rPr>
          <w:color w:val="000000"/>
          <w:lang w:val="hu-HU"/>
        </w:rPr>
        <w:tab/>
        <w:t>Lehetséges mellékhatások</w:t>
      </w:r>
    </w:p>
    <w:p w14:paraId="4A0546F7" w14:textId="77777777" w:rsidR="00FE13F7" w:rsidRPr="00556B9B" w:rsidRDefault="00FE13F7" w:rsidP="00FE13F7">
      <w:pPr>
        <w:spacing w:line="240" w:lineRule="auto"/>
        <w:ind w:left="567" w:right="-29" w:hanging="567"/>
        <w:rPr>
          <w:color w:val="000000"/>
          <w:lang w:val="hu-HU"/>
        </w:rPr>
      </w:pPr>
      <w:r w:rsidRPr="00556B9B">
        <w:rPr>
          <w:color w:val="000000"/>
          <w:lang w:val="hu-HU"/>
        </w:rPr>
        <w:t>5.</w:t>
      </w:r>
      <w:r w:rsidRPr="00556B9B">
        <w:rPr>
          <w:color w:val="000000"/>
          <w:lang w:val="hu-HU"/>
        </w:rPr>
        <w:tab/>
        <w:t>Hogyan kell a Glivec</w:t>
      </w:r>
      <w:r w:rsidRPr="00556B9B">
        <w:rPr>
          <w:color w:val="000000"/>
          <w:lang w:val="hu-HU"/>
        </w:rPr>
        <w:noBreakHyphen/>
        <w:t>et tárolni?</w:t>
      </w:r>
    </w:p>
    <w:p w14:paraId="47804CC5" w14:textId="77777777" w:rsidR="00FE13F7" w:rsidRPr="00556B9B" w:rsidRDefault="00FE13F7" w:rsidP="00FE13F7">
      <w:pPr>
        <w:spacing w:line="240" w:lineRule="auto"/>
        <w:ind w:left="567" w:right="-29" w:hanging="567"/>
        <w:rPr>
          <w:color w:val="000000"/>
          <w:lang w:val="hu-HU"/>
        </w:rPr>
      </w:pPr>
      <w:r w:rsidRPr="00556B9B">
        <w:rPr>
          <w:color w:val="000000"/>
          <w:lang w:val="hu-HU"/>
        </w:rPr>
        <w:t>6.</w:t>
      </w:r>
      <w:r w:rsidRPr="00556B9B">
        <w:rPr>
          <w:color w:val="000000"/>
          <w:lang w:val="hu-HU"/>
        </w:rPr>
        <w:tab/>
      </w:r>
      <w:r w:rsidRPr="00556B9B">
        <w:rPr>
          <w:noProof/>
          <w:szCs w:val="24"/>
          <w:lang w:val="hu-HU"/>
        </w:rPr>
        <w:t xml:space="preserve">A csomagolás tartalma és egyéb </w:t>
      </w:r>
      <w:r w:rsidRPr="00556B9B">
        <w:rPr>
          <w:color w:val="000000"/>
          <w:lang w:val="hu-HU"/>
        </w:rPr>
        <w:t>információk</w:t>
      </w:r>
    </w:p>
    <w:p w14:paraId="200DEFA5" w14:textId="77777777" w:rsidR="00FE13F7" w:rsidRPr="00556B9B" w:rsidRDefault="00FE13F7" w:rsidP="00FE13F7">
      <w:pPr>
        <w:spacing w:line="240" w:lineRule="auto"/>
        <w:ind w:right="-2"/>
        <w:rPr>
          <w:color w:val="000000"/>
          <w:lang w:val="hu-HU"/>
        </w:rPr>
      </w:pPr>
    </w:p>
    <w:p w14:paraId="51AF4AC2" w14:textId="77777777" w:rsidR="00FE13F7" w:rsidRPr="00556B9B" w:rsidRDefault="00FE13F7" w:rsidP="00FE13F7">
      <w:pPr>
        <w:spacing w:line="240" w:lineRule="auto"/>
        <w:ind w:right="-2"/>
        <w:rPr>
          <w:color w:val="000000"/>
          <w:lang w:val="hu-HU"/>
        </w:rPr>
      </w:pPr>
    </w:p>
    <w:p w14:paraId="4CD3C8B2" w14:textId="77777777" w:rsidR="00FE13F7" w:rsidRPr="00556B9B" w:rsidRDefault="00FE13F7" w:rsidP="00951752">
      <w:pPr>
        <w:keepNext/>
        <w:spacing w:line="240" w:lineRule="auto"/>
        <w:ind w:left="567" w:hanging="567"/>
        <w:rPr>
          <w:b/>
          <w:color w:val="000000"/>
          <w:lang w:val="hu-HU"/>
        </w:rPr>
      </w:pPr>
      <w:r w:rsidRPr="00556B9B">
        <w:rPr>
          <w:b/>
          <w:color w:val="000000"/>
          <w:lang w:val="hu-HU"/>
        </w:rPr>
        <w:t>1.</w:t>
      </w:r>
      <w:r w:rsidRPr="00556B9B">
        <w:rPr>
          <w:b/>
          <w:color w:val="000000"/>
          <w:lang w:val="hu-HU"/>
        </w:rPr>
        <w:tab/>
        <w:t>Milyen típusú gyógyszer a Glivec és milyen betegségek esetén alkalmazható?</w:t>
      </w:r>
    </w:p>
    <w:p w14:paraId="73C734CB" w14:textId="77777777" w:rsidR="00FE13F7" w:rsidRPr="00556B9B" w:rsidRDefault="00FE13F7" w:rsidP="00951752">
      <w:pPr>
        <w:keepNext/>
        <w:spacing w:line="240" w:lineRule="auto"/>
        <w:rPr>
          <w:color w:val="000000"/>
          <w:lang w:val="hu-HU"/>
        </w:rPr>
      </w:pPr>
    </w:p>
    <w:p w14:paraId="3C4151AC" w14:textId="007A25DE" w:rsidR="00FE13F7" w:rsidRPr="00A639D2" w:rsidRDefault="00FE13F7" w:rsidP="00FE13F7">
      <w:pPr>
        <w:spacing w:line="240" w:lineRule="auto"/>
        <w:ind w:right="-2"/>
        <w:rPr>
          <w:color w:val="000000"/>
          <w:lang w:val="hu-HU"/>
        </w:rPr>
      </w:pPr>
      <w:r w:rsidRPr="00556B9B">
        <w:rPr>
          <w:color w:val="000000"/>
          <w:lang w:val="hu-HU"/>
        </w:rPr>
        <w:t xml:space="preserve">A Glivec egy imatinib nevű hatóanyagot tartalmazó gyógyszer. Ez a gyógyszer a kóros sejtek szaporodását gátolja az </w:t>
      </w:r>
      <w:r w:rsidRPr="00A639D2">
        <w:rPr>
          <w:color w:val="000000"/>
          <w:lang w:val="hu-HU"/>
        </w:rPr>
        <w:t xml:space="preserve">alábbi </w:t>
      </w:r>
      <w:r w:rsidR="00E763AC" w:rsidRPr="00A639D2">
        <w:rPr>
          <w:color w:val="000000"/>
          <w:lang w:val="hu-HU"/>
        </w:rPr>
        <w:t>betegségekben</w:t>
      </w:r>
      <w:r w:rsidRPr="00A639D2">
        <w:rPr>
          <w:color w:val="000000"/>
          <w:lang w:val="hu-HU"/>
        </w:rPr>
        <w:t>. Eze</w:t>
      </w:r>
      <w:r w:rsidR="00E763AC" w:rsidRPr="00A639D2">
        <w:rPr>
          <w:color w:val="000000"/>
          <w:lang w:val="hu-HU"/>
        </w:rPr>
        <w:t>k a betegségek bizonyos típusú rákos megbetegedés</w:t>
      </w:r>
      <w:r w:rsidR="008142A8" w:rsidRPr="00A639D2">
        <w:rPr>
          <w:color w:val="000000"/>
          <w:lang w:val="hu-HU"/>
        </w:rPr>
        <w:t>ek</w:t>
      </w:r>
      <w:r w:rsidRPr="00A639D2">
        <w:rPr>
          <w:color w:val="000000"/>
          <w:lang w:val="hu-HU"/>
        </w:rPr>
        <w:t>.</w:t>
      </w:r>
    </w:p>
    <w:p w14:paraId="30E70C20" w14:textId="77777777" w:rsidR="00FE13F7" w:rsidRPr="00A639D2" w:rsidRDefault="00FE13F7" w:rsidP="00FE13F7">
      <w:pPr>
        <w:spacing w:line="240" w:lineRule="auto"/>
        <w:ind w:right="-2"/>
        <w:rPr>
          <w:color w:val="000000"/>
          <w:lang w:val="hu-HU"/>
        </w:rPr>
      </w:pPr>
    </w:p>
    <w:p w14:paraId="2AC8FCE5" w14:textId="77777777" w:rsidR="00FE13F7" w:rsidRPr="00A639D2" w:rsidRDefault="00FE13F7" w:rsidP="00951752">
      <w:pPr>
        <w:keepNext/>
        <w:spacing w:line="240" w:lineRule="auto"/>
        <w:rPr>
          <w:b/>
          <w:color w:val="000000"/>
          <w:lang w:val="hu-HU"/>
        </w:rPr>
      </w:pPr>
      <w:r w:rsidRPr="00A639D2">
        <w:rPr>
          <w:b/>
          <w:color w:val="000000"/>
          <w:lang w:val="hu-HU"/>
        </w:rPr>
        <w:t>A Glivec felnőtt- és gyermekkorban az alábbi kórkép kezelésére szolgál:</w:t>
      </w:r>
    </w:p>
    <w:p w14:paraId="7B9AABCA" w14:textId="77777777" w:rsidR="00FE13F7" w:rsidRPr="00A639D2" w:rsidRDefault="00FE13F7" w:rsidP="00951752">
      <w:pPr>
        <w:keepNext/>
        <w:spacing w:line="240" w:lineRule="auto"/>
        <w:rPr>
          <w:color w:val="000000"/>
          <w:lang w:val="hu-HU"/>
        </w:rPr>
      </w:pPr>
    </w:p>
    <w:p w14:paraId="77BD52F9" w14:textId="77777777" w:rsidR="00FE13F7" w:rsidRPr="00556B9B" w:rsidRDefault="00FE13F7" w:rsidP="00FE13F7">
      <w:pPr>
        <w:numPr>
          <w:ilvl w:val="0"/>
          <w:numId w:val="19"/>
        </w:numPr>
        <w:spacing w:line="240" w:lineRule="auto"/>
        <w:ind w:left="567" w:right="-2" w:hanging="567"/>
        <w:rPr>
          <w:color w:val="000000"/>
          <w:lang w:val="hu-HU"/>
        </w:rPr>
      </w:pPr>
      <w:r w:rsidRPr="00FE57F2">
        <w:rPr>
          <w:b/>
          <w:color w:val="000000"/>
          <w:lang w:val="hu-HU"/>
        </w:rPr>
        <w:t>K</w:t>
      </w:r>
      <w:r w:rsidRPr="00A639D2">
        <w:rPr>
          <w:b/>
          <w:color w:val="000000"/>
          <w:lang w:val="hu-HU"/>
        </w:rPr>
        <w:t>rónikus mieloid</w:t>
      </w:r>
      <w:r w:rsidRPr="00556B9B">
        <w:rPr>
          <w:b/>
          <w:color w:val="000000"/>
          <w:lang w:val="hu-HU"/>
        </w:rPr>
        <w:t xml:space="preserve"> leukémia (CML). </w:t>
      </w:r>
      <w:r w:rsidRPr="00556B9B">
        <w:rPr>
          <w:color w:val="000000"/>
          <w:lang w:val="hu-HU"/>
        </w:rPr>
        <w:t>A leukémia a fehérvérsejtek daganatos megbetegedése. A fehérvérsejtek segítik a szervezetet a fertőzések leküzdésében. A krónikus mieloid leukémia a leukémiák azon formája, amelyben egyes kóros fehérvérsejtek (mieloid sejtek) száma szabályozatlanul növekedni kezd.</w:t>
      </w:r>
    </w:p>
    <w:p w14:paraId="35251E8E" w14:textId="77777777" w:rsidR="00BF46EE" w:rsidRPr="00556B9B" w:rsidRDefault="00BF46EE" w:rsidP="00BF46EE">
      <w:pPr>
        <w:numPr>
          <w:ilvl w:val="0"/>
          <w:numId w:val="19"/>
        </w:numPr>
        <w:spacing w:line="240" w:lineRule="auto"/>
        <w:ind w:left="567" w:right="-2" w:hanging="567"/>
        <w:rPr>
          <w:color w:val="000000"/>
          <w:lang w:val="hu-HU"/>
        </w:rPr>
      </w:pPr>
      <w:r w:rsidRPr="00556B9B">
        <w:rPr>
          <w:b/>
          <w:color w:val="000000"/>
          <w:lang w:val="hu-HU"/>
        </w:rPr>
        <w:t xml:space="preserve">Filadelfia kromoszóma pozitív akut limfoblasztos leukémia (Ph-pozitív </w:t>
      </w:r>
      <w:smartTag w:uri="urn:schemas-microsoft-com:office:smarttags" w:element="stockticker">
        <w:r w:rsidRPr="00556B9B">
          <w:rPr>
            <w:b/>
            <w:color w:val="000000"/>
            <w:lang w:val="hu-HU"/>
          </w:rPr>
          <w:t>ALL</w:t>
        </w:r>
      </w:smartTag>
      <w:r w:rsidRPr="00556B9B">
        <w:rPr>
          <w:b/>
          <w:color w:val="000000"/>
          <w:lang w:val="hu-HU"/>
        </w:rPr>
        <w:t>).</w:t>
      </w:r>
      <w:r w:rsidRPr="00556B9B">
        <w:rPr>
          <w:color w:val="000000"/>
          <w:lang w:val="hu-HU"/>
        </w:rPr>
        <w:t xml:space="preserve"> A leukémia a fehérvérsejtek daganatos megbetegedése. A fehérvérsejtek segítik a szervezetet a fertőzések leküzdésében. Az akut limfoblasztos leukémia a leukémiák azon formája, amelyben egyes kóros fehérvérsejtek (limfoblasztok) száma szabályozatlanul növekedni kezd. A Glivec gátolja e sejtek szaporodását.</w:t>
      </w:r>
    </w:p>
    <w:p w14:paraId="6C12106A" w14:textId="77777777" w:rsidR="00FE13F7" w:rsidRPr="00556B9B" w:rsidRDefault="00FE13F7" w:rsidP="00FE13F7">
      <w:pPr>
        <w:spacing w:line="240" w:lineRule="auto"/>
        <w:ind w:right="-2"/>
        <w:rPr>
          <w:color w:val="000000"/>
          <w:lang w:val="hu-HU"/>
        </w:rPr>
      </w:pPr>
    </w:p>
    <w:p w14:paraId="0C0CA2C1" w14:textId="77777777" w:rsidR="00FE13F7" w:rsidRPr="00556B9B" w:rsidRDefault="00FE13F7" w:rsidP="00951752">
      <w:pPr>
        <w:keepNext/>
        <w:spacing w:line="240" w:lineRule="auto"/>
        <w:rPr>
          <w:b/>
          <w:color w:val="000000"/>
          <w:lang w:val="hu-HU"/>
        </w:rPr>
      </w:pPr>
      <w:r w:rsidRPr="00556B9B">
        <w:rPr>
          <w:b/>
          <w:color w:val="000000"/>
          <w:lang w:val="hu-HU"/>
        </w:rPr>
        <w:t>A Glivec ezenkívül felnőttkorban az alábbi kórkép kezelésére is szolgál:</w:t>
      </w:r>
    </w:p>
    <w:p w14:paraId="5BCC7D7C" w14:textId="77777777" w:rsidR="00FE13F7" w:rsidRPr="00556B9B" w:rsidRDefault="00FE13F7" w:rsidP="00951752">
      <w:pPr>
        <w:keepNext/>
        <w:spacing w:line="240" w:lineRule="auto"/>
        <w:rPr>
          <w:color w:val="000000"/>
          <w:lang w:val="hu-HU"/>
        </w:rPr>
      </w:pPr>
    </w:p>
    <w:p w14:paraId="4EF6E0CD" w14:textId="77777777" w:rsidR="00FE13F7" w:rsidRPr="00556B9B" w:rsidRDefault="00FE13F7" w:rsidP="00FE13F7">
      <w:pPr>
        <w:numPr>
          <w:ilvl w:val="0"/>
          <w:numId w:val="19"/>
        </w:numPr>
        <w:spacing w:line="240" w:lineRule="auto"/>
        <w:ind w:left="567" w:right="-2" w:hanging="567"/>
        <w:rPr>
          <w:color w:val="000000"/>
          <w:lang w:val="hu-HU"/>
        </w:rPr>
      </w:pPr>
      <w:r w:rsidRPr="00556B9B">
        <w:rPr>
          <w:b/>
          <w:color w:val="000000"/>
          <w:lang w:val="hu-HU"/>
        </w:rPr>
        <w:t>Mielodiszpláziás/mieloproliferatív betegségek (</w:t>
      </w:r>
      <w:smartTag w:uri="urn:schemas-microsoft-com:office:smarttags" w:element="stockticker">
        <w:r w:rsidRPr="00556B9B">
          <w:rPr>
            <w:b/>
            <w:color w:val="000000"/>
            <w:lang w:val="hu-HU"/>
          </w:rPr>
          <w:t>MDS</w:t>
        </w:r>
      </w:smartTag>
      <w:r w:rsidRPr="00556B9B">
        <w:rPr>
          <w:b/>
          <w:color w:val="000000"/>
          <w:lang w:val="hu-HU"/>
        </w:rPr>
        <w:t xml:space="preserve">/MPD). </w:t>
      </w:r>
      <w:r w:rsidRPr="00556B9B">
        <w:rPr>
          <w:color w:val="000000"/>
          <w:lang w:val="hu-HU"/>
        </w:rPr>
        <w:t>Ezek a vér betegségeinek olyan csoportjai, amelyekben a vér egyes sejtjeinek száma szabályozatlanul növekedni kezd. A Glivec gátolja e sejtek szaporodását ezen betegségek bizonyos altípusában.</w:t>
      </w:r>
    </w:p>
    <w:p w14:paraId="701B01BF" w14:textId="77777777" w:rsidR="00FE13F7" w:rsidRPr="00556B9B" w:rsidRDefault="00FE13F7" w:rsidP="00FE13F7">
      <w:pPr>
        <w:numPr>
          <w:ilvl w:val="0"/>
          <w:numId w:val="19"/>
        </w:numPr>
        <w:spacing w:line="240" w:lineRule="auto"/>
        <w:ind w:left="567" w:right="-2" w:hanging="567"/>
        <w:rPr>
          <w:color w:val="000000"/>
          <w:lang w:val="hu-HU"/>
        </w:rPr>
      </w:pPr>
      <w:r w:rsidRPr="00556B9B">
        <w:rPr>
          <w:b/>
          <w:color w:val="000000"/>
          <w:lang w:val="hu-HU"/>
        </w:rPr>
        <w:t>Hipereozinofília szindróma (HES) és/vagy krónikus eozinofíliás leukémia (</w:t>
      </w:r>
      <w:smartTag w:uri="urn:schemas-microsoft-com:office:smarttags" w:element="stockticker">
        <w:r w:rsidRPr="00556B9B">
          <w:rPr>
            <w:b/>
            <w:color w:val="000000"/>
            <w:lang w:val="hu-HU"/>
          </w:rPr>
          <w:t>CEL</w:t>
        </w:r>
      </w:smartTag>
      <w:r w:rsidRPr="00556B9B">
        <w:rPr>
          <w:b/>
          <w:color w:val="000000"/>
          <w:lang w:val="hu-HU"/>
        </w:rPr>
        <w:t xml:space="preserve">). </w:t>
      </w:r>
      <w:r w:rsidRPr="00556B9B">
        <w:rPr>
          <w:color w:val="000000"/>
          <w:lang w:val="hu-HU"/>
        </w:rPr>
        <w:t xml:space="preserve">Ezek a vérképzőrendszer olyan betegségei, amelyekben egyes vérsejtek (eozinofil sejtek) </w:t>
      </w:r>
      <w:r w:rsidRPr="00556B9B">
        <w:rPr>
          <w:color w:val="000000"/>
          <w:lang w:val="hu-HU"/>
        </w:rPr>
        <w:lastRenderedPageBreak/>
        <w:t>szabályozatlanul szaporodni kezdenek. A Glivec gátolja e sejtek szaporodását ezen betegségek bizonyos altípusában.</w:t>
      </w:r>
    </w:p>
    <w:p w14:paraId="571EDE18" w14:textId="77777777" w:rsidR="00FE13F7" w:rsidRPr="00556B9B" w:rsidRDefault="00FE13F7" w:rsidP="00FE13F7">
      <w:pPr>
        <w:numPr>
          <w:ilvl w:val="0"/>
          <w:numId w:val="19"/>
        </w:numPr>
        <w:spacing w:line="240" w:lineRule="auto"/>
        <w:ind w:left="567" w:right="-2" w:hanging="567"/>
        <w:rPr>
          <w:color w:val="000000"/>
          <w:lang w:val="hu-HU"/>
        </w:rPr>
      </w:pPr>
      <w:r w:rsidRPr="00556B9B">
        <w:rPr>
          <w:b/>
          <w:color w:val="000000"/>
          <w:lang w:val="hu-HU"/>
        </w:rPr>
        <w:t xml:space="preserve">Gasztrointesztinális sztromális tumorok (GIST). </w:t>
      </w:r>
      <w:r w:rsidRPr="00556B9B">
        <w:rPr>
          <w:color w:val="000000"/>
          <w:lang w:val="hu-HU"/>
        </w:rPr>
        <w:t>A GIST a gyomor</w:t>
      </w:r>
      <w:r w:rsidRPr="00556B9B">
        <w:rPr>
          <w:color w:val="000000"/>
          <w:lang w:val="hu-HU"/>
        </w:rPr>
        <w:noBreakHyphen/>
        <w:t>bélrendszer daganatos betegsége, abból adódóan, hogy e szervek kötőszövetének sejtjei szabályozatlanul szaporodni kezdenek.</w:t>
      </w:r>
    </w:p>
    <w:p w14:paraId="563B1329" w14:textId="77777777" w:rsidR="00FE13F7" w:rsidRPr="00556B9B" w:rsidRDefault="00FE13F7" w:rsidP="00FE13F7">
      <w:pPr>
        <w:numPr>
          <w:ilvl w:val="0"/>
          <w:numId w:val="19"/>
        </w:numPr>
        <w:spacing w:line="240" w:lineRule="auto"/>
        <w:ind w:left="567" w:right="-2" w:hanging="567"/>
        <w:rPr>
          <w:color w:val="000000"/>
          <w:lang w:val="hu-HU"/>
        </w:rPr>
      </w:pPr>
      <w:r w:rsidRPr="00556B9B">
        <w:rPr>
          <w:b/>
          <w:color w:val="000000"/>
          <w:lang w:val="hu-HU"/>
        </w:rPr>
        <w:t xml:space="preserve">Dermatifibroszarkóma protuberánsz (DFSP). </w:t>
      </w:r>
      <w:r w:rsidRPr="00556B9B">
        <w:rPr>
          <w:color w:val="000000"/>
          <w:lang w:val="hu-HU"/>
        </w:rPr>
        <w:t>A DFSP a bőr alatti szövet daganatos megbetegedése, melyben egyes sejtek szabályozatlanul szaporodni kezdenek. A Glivec e sejtek szaporodását gátolja.</w:t>
      </w:r>
    </w:p>
    <w:p w14:paraId="335B00EF" w14:textId="77777777" w:rsidR="00FE13F7" w:rsidRPr="00556B9B" w:rsidRDefault="00FE13F7" w:rsidP="00FE13F7">
      <w:pPr>
        <w:spacing w:line="240" w:lineRule="auto"/>
        <w:rPr>
          <w:color w:val="000000"/>
          <w:lang w:val="hu-HU"/>
        </w:rPr>
      </w:pPr>
      <w:r w:rsidRPr="00556B9B">
        <w:rPr>
          <w:color w:val="000000"/>
          <w:lang w:val="hu-HU"/>
        </w:rPr>
        <w:t>A Betegtájékoztató további részében, ha ezekről a betegségekről teszünk említést, a rövidítéseket fogjuk használni.</w:t>
      </w:r>
    </w:p>
    <w:p w14:paraId="453FA006" w14:textId="77777777" w:rsidR="00FE13F7" w:rsidRPr="00556B9B" w:rsidRDefault="00FE13F7" w:rsidP="00FE13F7">
      <w:pPr>
        <w:spacing w:line="240" w:lineRule="auto"/>
        <w:rPr>
          <w:color w:val="000000"/>
          <w:lang w:val="hu-HU"/>
        </w:rPr>
      </w:pPr>
    </w:p>
    <w:p w14:paraId="34EADFCC" w14:textId="690B6587" w:rsidR="00FE13F7" w:rsidRPr="00556B9B" w:rsidRDefault="00FE13F7" w:rsidP="00FE13F7">
      <w:pPr>
        <w:spacing w:line="240" w:lineRule="auto"/>
        <w:rPr>
          <w:color w:val="000000"/>
          <w:lang w:val="hu-HU"/>
        </w:rPr>
      </w:pPr>
      <w:r w:rsidRPr="00556B9B">
        <w:rPr>
          <w:color w:val="000000"/>
          <w:lang w:val="hu-HU"/>
        </w:rPr>
        <w:t>Forduljon orvosához, amennyiben tudni szeretné, hogyan hat a Glivec, ill</w:t>
      </w:r>
      <w:r w:rsidR="00800C7B">
        <w:rPr>
          <w:color w:val="000000"/>
          <w:lang w:val="hu-HU"/>
        </w:rPr>
        <w:t>etve, hogy</w:t>
      </w:r>
      <w:r w:rsidRPr="00556B9B">
        <w:rPr>
          <w:color w:val="000000"/>
          <w:lang w:val="hu-HU"/>
        </w:rPr>
        <w:t xml:space="preserve"> miért részesül ebben a kezelésben.</w:t>
      </w:r>
    </w:p>
    <w:p w14:paraId="319851E1" w14:textId="77777777" w:rsidR="00FE13F7" w:rsidRPr="00556B9B" w:rsidRDefault="00FE13F7" w:rsidP="00FE13F7">
      <w:pPr>
        <w:spacing w:line="240" w:lineRule="auto"/>
        <w:ind w:right="-2"/>
        <w:rPr>
          <w:color w:val="000000"/>
          <w:lang w:val="hu-HU"/>
        </w:rPr>
      </w:pPr>
    </w:p>
    <w:p w14:paraId="3B89E421" w14:textId="77777777" w:rsidR="00FE13F7" w:rsidRPr="00556B9B" w:rsidRDefault="00FE13F7" w:rsidP="00FE13F7">
      <w:pPr>
        <w:spacing w:line="240" w:lineRule="auto"/>
        <w:ind w:right="-2"/>
        <w:rPr>
          <w:color w:val="000000"/>
          <w:lang w:val="hu-HU"/>
        </w:rPr>
      </w:pPr>
    </w:p>
    <w:p w14:paraId="34019317" w14:textId="77777777" w:rsidR="00FE13F7" w:rsidRPr="00556B9B" w:rsidRDefault="00FE13F7" w:rsidP="00951752">
      <w:pPr>
        <w:keepNext/>
        <w:spacing w:line="240" w:lineRule="auto"/>
        <w:ind w:left="567" w:right="-2" w:hanging="567"/>
        <w:rPr>
          <w:b/>
          <w:color w:val="000000"/>
          <w:lang w:val="hu-HU"/>
        </w:rPr>
      </w:pPr>
      <w:r w:rsidRPr="00556B9B">
        <w:rPr>
          <w:b/>
          <w:color w:val="000000"/>
          <w:lang w:val="hu-HU"/>
        </w:rPr>
        <w:t>2.</w:t>
      </w:r>
      <w:r w:rsidRPr="00556B9B">
        <w:rPr>
          <w:b/>
          <w:color w:val="000000"/>
          <w:lang w:val="hu-HU"/>
        </w:rPr>
        <w:tab/>
        <w:t>Tudnivalók a Glivec szedése előtt</w:t>
      </w:r>
    </w:p>
    <w:p w14:paraId="3B74AFAC" w14:textId="77777777" w:rsidR="00FE13F7" w:rsidRPr="00556B9B" w:rsidRDefault="00FE13F7" w:rsidP="00951752">
      <w:pPr>
        <w:keepNext/>
        <w:spacing w:line="240" w:lineRule="auto"/>
        <w:rPr>
          <w:color w:val="000000"/>
          <w:lang w:val="hu-HU"/>
        </w:rPr>
      </w:pPr>
    </w:p>
    <w:p w14:paraId="06843CEB" w14:textId="11BAD47D" w:rsidR="00FE13F7" w:rsidRPr="00556B9B" w:rsidRDefault="00FE13F7" w:rsidP="00FE13F7">
      <w:pPr>
        <w:spacing w:line="240" w:lineRule="auto"/>
        <w:rPr>
          <w:color w:val="000000"/>
          <w:lang w:val="hu-HU"/>
        </w:rPr>
      </w:pPr>
      <w:r w:rsidRPr="00556B9B">
        <w:rPr>
          <w:color w:val="000000"/>
          <w:lang w:val="hu-HU"/>
        </w:rPr>
        <w:t>A Glivec</w:t>
      </w:r>
      <w:r w:rsidRPr="00556B9B">
        <w:rPr>
          <w:color w:val="000000"/>
          <w:lang w:val="hu-HU"/>
        </w:rPr>
        <w:noBreakHyphen/>
        <w:t>et kizárólag olyan orvos írhatja fel Önnek, aki tapasztalt a vérrák és a</w:t>
      </w:r>
      <w:r w:rsidR="00184427">
        <w:rPr>
          <w:color w:val="000000"/>
          <w:lang w:val="hu-HU"/>
        </w:rPr>
        <w:t>z úgynevezett</w:t>
      </w:r>
      <w:r w:rsidRPr="00556B9B">
        <w:rPr>
          <w:color w:val="000000"/>
          <w:lang w:val="hu-HU"/>
        </w:rPr>
        <w:t xml:space="preserve"> szolid tumorok (tömör daganatok) kezelésében.</w:t>
      </w:r>
    </w:p>
    <w:p w14:paraId="1A21B846" w14:textId="77777777" w:rsidR="00FE13F7" w:rsidRPr="00556B9B" w:rsidRDefault="00FE13F7" w:rsidP="00FE13F7">
      <w:pPr>
        <w:spacing w:line="240" w:lineRule="auto"/>
        <w:rPr>
          <w:color w:val="000000"/>
          <w:lang w:val="hu-HU"/>
        </w:rPr>
      </w:pPr>
    </w:p>
    <w:p w14:paraId="1AA7120D" w14:textId="0BACC7FF" w:rsidR="00FE13F7" w:rsidRPr="00A639D2" w:rsidRDefault="00FE13F7" w:rsidP="00FE13F7">
      <w:pPr>
        <w:spacing w:line="240" w:lineRule="auto"/>
        <w:rPr>
          <w:color w:val="000000"/>
          <w:lang w:val="hu-HU"/>
        </w:rPr>
      </w:pPr>
      <w:r w:rsidRPr="00A639D2">
        <w:rPr>
          <w:color w:val="000000"/>
          <w:lang w:val="hu-HU"/>
        </w:rPr>
        <w:t xml:space="preserve">Gondosan kövesse orvosa valamennyi utasítását, még akkor is, ha azok eltérnének </w:t>
      </w:r>
      <w:r w:rsidR="00184427">
        <w:rPr>
          <w:color w:val="000000"/>
          <w:lang w:val="hu-HU"/>
        </w:rPr>
        <w:t xml:space="preserve">az </w:t>
      </w:r>
      <w:r w:rsidRPr="00A639D2">
        <w:rPr>
          <w:color w:val="000000"/>
          <w:lang w:val="hu-HU"/>
        </w:rPr>
        <w:t>e</w:t>
      </w:r>
      <w:r w:rsidR="00184427">
        <w:rPr>
          <w:color w:val="000000"/>
          <w:lang w:val="hu-HU"/>
        </w:rPr>
        <w:t>bben a</w:t>
      </w:r>
      <w:r w:rsidRPr="00A639D2">
        <w:rPr>
          <w:color w:val="000000"/>
          <w:lang w:val="hu-HU"/>
        </w:rPr>
        <w:t xml:space="preserve"> betegtájékoztatóban leírt általános információktól.</w:t>
      </w:r>
    </w:p>
    <w:p w14:paraId="166C2E2E" w14:textId="77777777" w:rsidR="00FE13F7" w:rsidRPr="00A639D2" w:rsidRDefault="00FE13F7" w:rsidP="00FE13F7">
      <w:pPr>
        <w:spacing w:line="240" w:lineRule="auto"/>
        <w:rPr>
          <w:color w:val="000000"/>
          <w:lang w:val="hu-HU"/>
        </w:rPr>
      </w:pPr>
    </w:p>
    <w:p w14:paraId="4F3449B1" w14:textId="77777777" w:rsidR="00FE13F7" w:rsidRPr="00A639D2" w:rsidRDefault="00FE13F7" w:rsidP="00951752">
      <w:pPr>
        <w:keepNext/>
        <w:spacing w:line="240" w:lineRule="auto"/>
        <w:rPr>
          <w:b/>
          <w:color w:val="000000"/>
          <w:lang w:val="hu-HU"/>
        </w:rPr>
      </w:pPr>
      <w:r w:rsidRPr="00A639D2">
        <w:rPr>
          <w:b/>
          <w:color w:val="000000"/>
          <w:lang w:val="hu-HU"/>
        </w:rPr>
        <w:t>Ne szedje a Glivec</w:t>
      </w:r>
      <w:r w:rsidRPr="00A639D2">
        <w:rPr>
          <w:b/>
          <w:color w:val="000000"/>
          <w:lang w:val="hu-HU"/>
        </w:rPr>
        <w:noBreakHyphen/>
        <w:t>et</w:t>
      </w:r>
    </w:p>
    <w:p w14:paraId="23FBE0DF" w14:textId="77777777" w:rsidR="00FE13F7" w:rsidRPr="00A639D2" w:rsidRDefault="00FE13F7" w:rsidP="00951752">
      <w:pPr>
        <w:keepNext/>
        <w:numPr>
          <w:ilvl w:val="0"/>
          <w:numId w:val="5"/>
        </w:numPr>
        <w:tabs>
          <w:tab w:val="clear" w:pos="360"/>
        </w:tabs>
        <w:spacing w:line="240" w:lineRule="auto"/>
        <w:ind w:left="567" w:hanging="567"/>
        <w:rPr>
          <w:color w:val="000000"/>
          <w:lang w:val="hu-HU"/>
        </w:rPr>
      </w:pPr>
      <w:r w:rsidRPr="00A639D2">
        <w:rPr>
          <w:color w:val="000000"/>
          <w:lang w:val="hu-HU"/>
        </w:rPr>
        <w:t xml:space="preserve">ha allergiás az imatinibre vagy a </w:t>
      </w:r>
      <w:r w:rsidRPr="00A639D2">
        <w:rPr>
          <w:noProof/>
          <w:szCs w:val="24"/>
          <w:lang w:val="hu-HU"/>
        </w:rPr>
        <w:t xml:space="preserve">gyógyszer (6. pontban felsorolt) </w:t>
      </w:r>
      <w:r w:rsidRPr="00A639D2">
        <w:rPr>
          <w:color w:val="000000"/>
          <w:lang w:val="hu-HU"/>
        </w:rPr>
        <w:t>egyéb összetevőjére.</w:t>
      </w:r>
    </w:p>
    <w:p w14:paraId="10EE8F20" w14:textId="7542C881" w:rsidR="00FE13F7" w:rsidRPr="00556B9B" w:rsidRDefault="00FE13F7" w:rsidP="00FE13F7">
      <w:pPr>
        <w:spacing w:line="240" w:lineRule="auto"/>
        <w:rPr>
          <w:color w:val="000000"/>
          <w:lang w:val="hu-HU"/>
        </w:rPr>
      </w:pPr>
      <w:r w:rsidRPr="00A639D2">
        <w:rPr>
          <w:color w:val="000000"/>
          <w:lang w:val="hu-HU"/>
        </w:rPr>
        <w:t xml:space="preserve">Ha ez vonatkozik Önre, </w:t>
      </w:r>
      <w:r w:rsidR="008142A8" w:rsidRPr="00FE57F2">
        <w:rPr>
          <w:b/>
          <w:color w:val="000000"/>
          <w:lang w:val="hu-HU"/>
        </w:rPr>
        <w:t>ne vegye be a Glivec</w:t>
      </w:r>
      <w:r w:rsidR="00506055" w:rsidRPr="00A639D2">
        <w:rPr>
          <w:b/>
          <w:color w:val="000000"/>
          <w:lang w:val="hu-HU"/>
        </w:rPr>
        <w:noBreakHyphen/>
      </w:r>
      <w:r w:rsidR="008142A8" w:rsidRPr="00FE57F2">
        <w:rPr>
          <w:b/>
          <w:color w:val="000000"/>
          <w:lang w:val="hu-HU"/>
        </w:rPr>
        <w:t>et, hanem táj</w:t>
      </w:r>
      <w:r w:rsidR="008142A8" w:rsidRPr="00A639D2">
        <w:rPr>
          <w:b/>
          <w:color w:val="000000"/>
          <w:lang w:val="hu-HU"/>
        </w:rPr>
        <w:t xml:space="preserve">ékoztassa erről </w:t>
      </w:r>
      <w:r w:rsidR="008142A8" w:rsidRPr="00FE57F2">
        <w:rPr>
          <w:b/>
          <w:color w:val="000000"/>
          <w:lang w:val="hu-HU"/>
        </w:rPr>
        <w:t>a kezelőorvosát</w:t>
      </w:r>
      <w:r w:rsidRPr="00A639D2">
        <w:rPr>
          <w:b/>
          <w:color w:val="000000"/>
          <w:lang w:val="hu-HU"/>
        </w:rPr>
        <w:t>.</w:t>
      </w:r>
    </w:p>
    <w:p w14:paraId="2AF57660" w14:textId="77777777" w:rsidR="00FE13F7" w:rsidRPr="00556B9B" w:rsidRDefault="00FE13F7" w:rsidP="00FE13F7">
      <w:pPr>
        <w:spacing w:line="240" w:lineRule="auto"/>
        <w:rPr>
          <w:color w:val="000000"/>
          <w:lang w:val="hu-HU"/>
        </w:rPr>
      </w:pPr>
    </w:p>
    <w:p w14:paraId="25CAF9BF" w14:textId="77777777" w:rsidR="00FE13F7" w:rsidRPr="00556B9B" w:rsidRDefault="00FE13F7" w:rsidP="00FE13F7">
      <w:pPr>
        <w:spacing w:line="240" w:lineRule="auto"/>
        <w:rPr>
          <w:color w:val="000000"/>
          <w:lang w:val="hu-HU"/>
        </w:rPr>
      </w:pPr>
      <w:r w:rsidRPr="00556B9B">
        <w:rPr>
          <w:color w:val="000000"/>
          <w:lang w:val="hu-HU"/>
        </w:rPr>
        <w:t>Ha Ön úgy véli, hogy túlérzékenységi reakciója lehet, de nem biztos benne, forduljon orvosához további tanács érdekében.</w:t>
      </w:r>
    </w:p>
    <w:p w14:paraId="76DBE90D" w14:textId="77777777" w:rsidR="00FE13F7" w:rsidRPr="00556B9B" w:rsidRDefault="00FE13F7" w:rsidP="00FE13F7">
      <w:pPr>
        <w:spacing w:line="240" w:lineRule="auto"/>
        <w:rPr>
          <w:color w:val="000000"/>
          <w:lang w:val="hu-HU"/>
        </w:rPr>
      </w:pPr>
    </w:p>
    <w:p w14:paraId="6D88A1AA" w14:textId="77777777" w:rsidR="00FE13F7" w:rsidRPr="00556B9B" w:rsidRDefault="00FE13F7" w:rsidP="00951752">
      <w:pPr>
        <w:keepNext/>
        <w:spacing w:line="240" w:lineRule="auto"/>
        <w:ind w:right="-2"/>
        <w:rPr>
          <w:b/>
          <w:color w:val="000000"/>
          <w:lang w:val="hu-HU"/>
        </w:rPr>
      </w:pPr>
      <w:r w:rsidRPr="00556B9B">
        <w:rPr>
          <w:b/>
          <w:noProof/>
          <w:szCs w:val="24"/>
          <w:lang w:val="hu-HU"/>
        </w:rPr>
        <w:t>Figyelmeztetések és óvintézkedések</w:t>
      </w:r>
    </w:p>
    <w:p w14:paraId="2DAEE009" w14:textId="77777777" w:rsidR="00FE13F7" w:rsidRPr="00556B9B" w:rsidRDefault="00FE13F7" w:rsidP="00951752">
      <w:pPr>
        <w:keepNext/>
        <w:spacing w:line="240" w:lineRule="auto"/>
        <w:rPr>
          <w:color w:val="000000"/>
          <w:lang w:val="hu-HU"/>
        </w:rPr>
      </w:pPr>
      <w:r w:rsidRPr="00556B9B">
        <w:rPr>
          <w:color w:val="000000"/>
          <w:lang w:val="hu-HU"/>
        </w:rPr>
        <w:t>A Glivec szedése előtt beszéljen kezelőorvosával:</w:t>
      </w:r>
    </w:p>
    <w:p w14:paraId="28D574B0" w14:textId="77777777" w:rsidR="00FE13F7" w:rsidRPr="00556B9B" w:rsidRDefault="00FE13F7" w:rsidP="00FE13F7">
      <w:pPr>
        <w:numPr>
          <w:ilvl w:val="0"/>
          <w:numId w:val="6"/>
        </w:numPr>
        <w:tabs>
          <w:tab w:val="clear" w:pos="360"/>
        </w:tabs>
        <w:spacing w:line="240" w:lineRule="auto"/>
        <w:ind w:left="567" w:hanging="567"/>
        <w:rPr>
          <w:color w:val="000000"/>
          <w:lang w:val="hu-HU"/>
        </w:rPr>
      </w:pPr>
      <w:r w:rsidRPr="00556B9B">
        <w:rPr>
          <w:color w:val="000000"/>
          <w:lang w:val="hu-HU"/>
        </w:rPr>
        <w:t>ha máj</w:t>
      </w:r>
      <w:r w:rsidRPr="00556B9B">
        <w:rPr>
          <w:color w:val="000000"/>
          <w:lang w:val="hu-HU"/>
        </w:rPr>
        <w:noBreakHyphen/>
        <w:t>, vese</w:t>
      </w:r>
      <w:r w:rsidRPr="00556B9B">
        <w:rPr>
          <w:color w:val="000000"/>
          <w:lang w:val="hu-HU"/>
        </w:rPr>
        <w:noBreakHyphen/>
        <w:t xml:space="preserve"> vagy szívproblémái vannak, vagy korábban bármikor voltak.</w:t>
      </w:r>
    </w:p>
    <w:p w14:paraId="1FEA5F5A" w14:textId="77777777" w:rsidR="00FE13F7" w:rsidRPr="00556B9B" w:rsidRDefault="00FE13F7" w:rsidP="00FE13F7">
      <w:pPr>
        <w:numPr>
          <w:ilvl w:val="0"/>
          <w:numId w:val="6"/>
        </w:numPr>
        <w:tabs>
          <w:tab w:val="clear" w:pos="360"/>
        </w:tabs>
        <w:spacing w:line="240" w:lineRule="auto"/>
        <w:ind w:left="567" w:hanging="567"/>
        <w:rPr>
          <w:color w:val="000000"/>
          <w:lang w:val="hu-HU"/>
        </w:rPr>
      </w:pPr>
      <w:r w:rsidRPr="00556B9B">
        <w:rPr>
          <w:color w:val="000000"/>
          <w:lang w:val="hu-HU"/>
        </w:rPr>
        <w:t>ha levotiroxin-tartalmú gyógyszert szed, mert eltávolították a pajzsmirigyét.</w:t>
      </w:r>
    </w:p>
    <w:p w14:paraId="7D58CA3F" w14:textId="77777777" w:rsidR="009A54D2" w:rsidRPr="00556B9B" w:rsidRDefault="00E90E3E" w:rsidP="009A54D2">
      <w:pPr>
        <w:numPr>
          <w:ilvl w:val="0"/>
          <w:numId w:val="6"/>
        </w:numPr>
        <w:tabs>
          <w:tab w:val="clear" w:pos="360"/>
        </w:tabs>
        <w:spacing w:line="240" w:lineRule="auto"/>
        <w:ind w:left="567" w:hanging="567"/>
        <w:rPr>
          <w:color w:val="000000"/>
          <w:lang w:val="hu-HU"/>
        </w:rPr>
      </w:pPr>
      <w:r w:rsidRPr="00556B9B">
        <w:rPr>
          <w:color w:val="000000"/>
          <w:lang w:val="hu-HU"/>
        </w:rPr>
        <w:t>ha Önnek valaha hepatitisz B fertőzése volt vagy jelenleg fennáll annak a lehetősége. Erre azért van szükség, mert a Glivec a hepatitisz B fertőzés kiújulását válthatja ki, ami egyes esetekben halálos lehet. A betegeket kezelőorvosuk gondosan ellenőrizni fogja, hogy nem alakultak</w:t>
      </w:r>
      <w:r w:rsidRPr="00556B9B">
        <w:rPr>
          <w:color w:val="000000"/>
          <w:lang w:val="hu-HU"/>
        </w:rPr>
        <w:noBreakHyphen/>
        <w:t xml:space="preserve">e ki a </w:t>
      </w:r>
      <w:r w:rsidR="009A54D2" w:rsidRPr="00556B9B">
        <w:rPr>
          <w:color w:val="000000"/>
          <w:lang w:val="hu-HU"/>
        </w:rPr>
        <w:t>fertőzés jelei, mielőtt a kezelést elkezdi.</w:t>
      </w:r>
    </w:p>
    <w:p w14:paraId="5253C8D3" w14:textId="77777777" w:rsidR="009A54D2" w:rsidRPr="00556B9B" w:rsidRDefault="00FB77C6" w:rsidP="00951752">
      <w:pPr>
        <w:keepNext/>
        <w:keepLines/>
        <w:numPr>
          <w:ilvl w:val="0"/>
          <w:numId w:val="6"/>
        </w:numPr>
        <w:tabs>
          <w:tab w:val="clear" w:pos="360"/>
        </w:tabs>
        <w:spacing w:line="240" w:lineRule="auto"/>
        <w:ind w:left="567" w:hanging="567"/>
        <w:rPr>
          <w:color w:val="000000"/>
          <w:lang w:val="hu-HU"/>
        </w:rPr>
      </w:pPr>
      <w:r w:rsidRPr="00556B9B">
        <w:rPr>
          <w:color w:val="000000"/>
          <w:lang w:val="hu-HU"/>
        </w:rPr>
        <w:t>h</w:t>
      </w:r>
      <w:r w:rsidR="009A54D2" w:rsidRPr="00556B9B">
        <w:rPr>
          <w:color w:val="000000"/>
          <w:lang w:val="hu-HU"/>
        </w:rPr>
        <w:t>a a Glivec szedése közben véraláfutást, vérzést, lázat, fáradtságot és zavartságot tapasztal, keresse fel kezelőorvosát. Ez a vérerek sérülésének, más néven a trom</w:t>
      </w:r>
      <w:r w:rsidR="006A3803">
        <w:rPr>
          <w:color w:val="000000"/>
          <w:lang w:val="hu-HU"/>
        </w:rPr>
        <w:t>b</w:t>
      </w:r>
      <w:r w:rsidR="009A54D2" w:rsidRPr="00556B9B">
        <w:rPr>
          <w:color w:val="000000"/>
          <w:lang w:val="hu-HU"/>
        </w:rPr>
        <w:t>otikus mikroangiopátiának (TMA) a jele lehet.</w:t>
      </w:r>
    </w:p>
    <w:p w14:paraId="734C1CE4" w14:textId="77777777" w:rsidR="00FE13F7" w:rsidRPr="00556B9B" w:rsidRDefault="00FE13F7" w:rsidP="00151EE4">
      <w:pPr>
        <w:spacing w:line="240" w:lineRule="auto"/>
        <w:rPr>
          <w:b/>
          <w:color w:val="000000"/>
          <w:lang w:val="hu-HU"/>
        </w:rPr>
      </w:pPr>
      <w:r w:rsidRPr="00556B9B">
        <w:rPr>
          <w:color w:val="000000"/>
          <w:lang w:val="hu-HU"/>
        </w:rPr>
        <w:t xml:space="preserve">Ha a fentiek bármelyike vonatkozna Önre, </w:t>
      </w:r>
      <w:r w:rsidRPr="00556B9B">
        <w:rPr>
          <w:b/>
          <w:color w:val="000000"/>
          <w:lang w:val="hu-HU"/>
        </w:rPr>
        <w:t>még a</w:t>
      </w:r>
      <w:r w:rsidRPr="00556B9B">
        <w:rPr>
          <w:color w:val="000000"/>
          <w:lang w:val="hu-HU"/>
        </w:rPr>
        <w:t xml:space="preserve"> </w:t>
      </w:r>
      <w:r w:rsidRPr="00556B9B">
        <w:rPr>
          <w:b/>
          <w:color w:val="000000"/>
          <w:lang w:val="hu-HU"/>
        </w:rPr>
        <w:t>Glivec bevétele előtt közölje azt kezelőorvosával.</w:t>
      </w:r>
    </w:p>
    <w:p w14:paraId="49FD59A7" w14:textId="77777777" w:rsidR="00FD611A" w:rsidRPr="00556B9B" w:rsidRDefault="00FD611A" w:rsidP="00FD611A">
      <w:pPr>
        <w:pStyle w:val="EndnoteText"/>
        <w:widowControl w:val="0"/>
        <w:tabs>
          <w:tab w:val="left" w:pos="720"/>
        </w:tabs>
        <w:rPr>
          <w:snapToGrid w:val="0"/>
          <w:color w:val="000000"/>
          <w:szCs w:val="22"/>
          <w:lang w:val="hu-HU"/>
        </w:rPr>
      </w:pPr>
    </w:p>
    <w:p w14:paraId="17653B34" w14:textId="77777777" w:rsidR="009C601A" w:rsidRPr="00556B9B" w:rsidRDefault="009C601A" w:rsidP="009C601A">
      <w:pPr>
        <w:pStyle w:val="EndnoteText"/>
        <w:widowControl w:val="0"/>
        <w:tabs>
          <w:tab w:val="left" w:pos="720"/>
        </w:tabs>
        <w:rPr>
          <w:snapToGrid w:val="0"/>
          <w:color w:val="000000"/>
          <w:szCs w:val="22"/>
          <w:lang w:val="hu-HU"/>
        </w:rPr>
      </w:pPr>
      <w:r w:rsidRPr="00556B9B">
        <w:rPr>
          <w:snapToGrid w:val="0"/>
          <w:color w:val="000000"/>
          <w:szCs w:val="22"/>
          <w:lang w:val="hu-HU"/>
        </w:rPr>
        <w:t xml:space="preserve">Glivec szedése alatt Ön érzékenyebb lehet a </w:t>
      </w:r>
      <w:r w:rsidR="0003042A" w:rsidRPr="00556B9B">
        <w:rPr>
          <w:snapToGrid w:val="0"/>
          <w:color w:val="000000"/>
          <w:szCs w:val="22"/>
          <w:lang w:val="hu-HU"/>
        </w:rPr>
        <w:t>napsugárzásra</w:t>
      </w:r>
      <w:r w:rsidRPr="00556B9B">
        <w:rPr>
          <w:snapToGrid w:val="0"/>
          <w:color w:val="000000"/>
          <w:szCs w:val="22"/>
          <w:lang w:val="hu-HU"/>
        </w:rPr>
        <w:t>. Fontos, hogy öltözékével takarja a napsütésnek kitett bőrterületeket, valamint, hogy magas fényvédő faktor</w:t>
      </w:r>
      <w:r w:rsidR="006252B9" w:rsidRPr="00556B9B">
        <w:rPr>
          <w:snapToGrid w:val="0"/>
          <w:color w:val="000000"/>
          <w:szCs w:val="22"/>
          <w:lang w:val="hu-HU"/>
        </w:rPr>
        <w:t>szám</w:t>
      </w:r>
      <w:r w:rsidRPr="00556B9B">
        <w:rPr>
          <w:snapToGrid w:val="0"/>
          <w:color w:val="000000"/>
          <w:szCs w:val="22"/>
          <w:lang w:val="hu-HU"/>
        </w:rPr>
        <w:t>ú naptejet használjon. Ezek a szabályok gyermekekre is vonatkoznak.</w:t>
      </w:r>
    </w:p>
    <w:p w14:paraId="219D0412" w14:textId="77777777" w:rsidR="00FE13F7" w:rsidRPr="00556B9B" w:rsidRDefault="00FE13F7" w:rsidP="00FE13F7">
      <w:pPr>
        <w:spacing w:line="240" w:lineRule="auto"/>
        <w:ind w:right="-2"/>
        <w:rPr>
          <w:color w:val="000000"/>
          <w:lang w:val="hu-HU"/>
        </w:rPr>
      </w:pPr>
    </w:p>
    <w:p w14:paraId="1FB1F9A3" w14:textId="77777777" w:rsidR="00FE13F7" w:rsidRPr="00556B9B" w:rsidRDefault="00FE13F7" w:rsidP="00FE13F7">
      <w:pPr>
        <w:spacing w:line="240" w:lineRule="auto"/>
        <w:ind w:right="-2"/>
        <w:rPr>
          <w:b/>
          <w:color w:val="000000"/>
          <w:lang w:val="hu-HU"/>
        </w:rPr>
      </w:pPr>
      <w:r w:rsidRPr="00556B9B">
        <w:rPr>
          <w:b/>
          <w:color w:val="000000"/>
          <w:lang w:val="hu-HU"/>
        </w:rPr>
        <w:t>A Glivec</w:t>
      </w:r>
      <w:r w:rsidRPr="00556B9B">
        <w:rPr>
          <w:b/>
          <w:color w:val="000000"/>
          <w:lang w:val="hu-HU"/>
        </w:rPr>
        <w:noBreakHyphen/>
        <w:t>kezelés során azonnal értesítse kezelőorvosát</w:t>
      </w:r>
      <w:r w:rsidRPr="00556B9B">
        <w:rPr>
          <w:color w:val="000000"/>
          <w:lang w:val="hu-HU"/>
        </w:rPr>
        <w:t>, ha hirtelen testsúlynövekedést észlel. A Glivec az Ön testében a víz visszatartását okozhatja (jelentős mértékű vízvisszatartás).</w:t>
      </w:r>
    </w:p>
    <w:p w14:paraId="09C2A68E" w14:textId="77777777" w:rsidR="00FE13F7" w:rsidRPr="00556B9B" w:rsidRDefault="00FE13F7" w:rsidP="00FE13F7">
      <w:pPr>
        <w:spacing w:line="240" w:lineRule="auto"/>
        <w:ind w:right="-2"/>
        <w:rPr>
          <w:color w:val="000000"/>
          <w:lang w:val="hu-HU"/>
        </w:rPr>
      </w:pPr>
    </w:p>
    <w:p w14:paraId="0B7C3BE1" w14:textId="77777777" w:rsidR="00FE13F7" w:rsidRPr="00556B9B" w:rsidRDefault="00FE13F7" w:rsidP="00FE13F7">
      <w:pPr>
        <w:spacing w:line="240" w:lineRule="auto"/>
        <w:rPr>
          <w:color w:val="000000"/>
          <w:lang w:val="hu-HU"/>
        </w:rPr>
      </w:pPr>
      <w:r w:rsidRPr="00556B9B">
        <w:rPr>
          <w:color w:val="000000"/>
          <w:lang w:val="hu-HU"/>
        </w:rPr>
        <w:t>Mialatt Ön szedi a Glivec</w:t>
      </w:r>
      <w:r w:rsidRPr="00556B9B">
        <w:rPr>
          <w:color w:val="000000"/>
          <w:lang w:val="hu-HU"/>
        </w:rPr>
        <w:noBreakHyphen/>
        <w:t>et, kezelőorvosa rendszeresen ellenőrizni fogja, hogy a gyógyszer hat</w:t>
      </w:r>
      <w:r w:rsidRPr="00556B9B">
        <w:rPr>
          <w:color w:val="000000"/>
          <w:lang w:val="hu-HU"/>
        </w:rPr>
        <w:noBreakHyphen/>
        <w:t>e. Vérképét és testsúlyát is rendszeresen ellenőrzik majd.</w:t>
      </w:r>
    </w:p>
    <w:p w14:paraId="3811D33F" w14:textId="77777777" w:rsidR="00FE13F7" w:rsidRPr="00556B9B" w:rsidRDefault="00FE13F7" w:rsidP="00FE13F7">
      <w:pPr>
        <w:spacing w:line="240" w:lineRule="auto"/>
        <w:rPr>
          <w:color w:val="000000"/>
          <w:lang w:val="hu-HU"/>
        </w:rPr>
      </w:pPr>
    </w:p>
    <w:p w14:paraId="1EE1EDAF" w14:textId="77777777" w:rsidR="00FE13F7" w:rsidRPr="00556B9B" w:rsidRDefault="00FE13F7" w:rsidP="00951752">
      <w:pPr>
        <w:keepNext/>
        <w:spacing w:line="240" w:lineRule="auto"/>
        <w:ind w:right="-2"/>
        <w:rPr>
          <w:b/>
          <w:noProof/>
          <w:szCs w:val="24"/>
          <w:lang w:val="hu-HU"/>
        </w:rPr>
      </w:pPr>
      <w:r w:rsidRPr="00556B9B">
        <w:rPr>
          <w:b/>
          <w:noProof/>
          <w:szCs w:val="24"/>
          <w:lang w:val="hu-HU"/>
        </w:rPr>
        <w:t>Gyermekek és serdülők</w:t>
      </w:r>
    </w:p>
    <w:p w14:paraId="5C680539" w14:textId="77777777" w:rsidR="00FE13F7" w:rsidRPr="00556B9B" w:rsidRDefault="00FE13F7" w:rsidP="00FE13F7">
      <w:pPr>
        <w:spacing w:line="240" w:lineRule="auto"/>
        <w:ind w:right="-2"/>
        <w:rPr>
          <w:color w:val="000000"/>
          <w:lang w:val="hu-HU"/>
        </w:rPr>
      </w:pPr>
      <w:r w:rsidRPr="00556B9B">
        <w:rPr>
          <w:color w:val="000000"/>
          <w:lang w:val="hu-HU"/>
        </w:rPr>
        <w:t>A Glivec CML</w:t>
      </w:r>
      <w:r w:rsidRPr="00556B9B">
        <w:rPr>
          <w:color w:val="000000"/>
          <w:lang w:val="hu-HU"/>
        </w:rPr>
        <w:noBreakHyphen/>
        <w:t>ben szenvedő gyermekek kezelésére is szolgál. Két éves kor alatti CML</w:t>
      </w:r>
      <w:r w:rsidRPr="00556B9B">
        <w:rPr>
          <w:color w:val="000000"/>
          <w:lang w:val="hu-HU"/>
        </w:rPr>
        <w:noBreakHyphen/>
        <w:t>ben szenvedő gyermekek esetében nincs tapasztalat. Ph</w:t>
      </w:r>
      <w:r w:rsidRPr="00556B9B">
        <w:rPr>
          <w:color w:val="000000"/>
          <w:lang w:val="hu-HU"/>
        </w:rPr>
        <w:noBreakHyphen/>
        <w:t xml:space="preserve">pozitív </w:t>
      </w:r>
      <w:smartTag w:uri="urn:schemas-microsoft-com:office:smarttags" w:element="stockticker">
        <w:r w:rsidRPr="00556B9B">
          <w:rPr>
            <w:color w:val="000000"/>
            <w:lang w:val="hu-HU"/>
          </w:rPr>
          <w:t>ALL</w:t>
        </w:r>
      </w:smartTag>
      <w:r w:rsidRPr="00556B9B">
        <w:rPr>
          <w:color w:val="000000"/>
          <w:lang w:val="hu-HU"/>
        </w:rPr>
        <w:noBreakHyphen/>
        <w:t xml:space="preserve">ben szenvedő gyermekek esetében kevés </w:t>
      </w:r>
      <w:r w:rsidRPr="00556B9B">
        <w:rPr>
          <w:color w:val="000000"/>
          <w:lang w:val="hu-HU"/>
        </w:rPr>
        <w:lastRenderedPageBreak/>
        <w:t>tapasztalat áll rendelkezésre</w:t>
      </w:r>
      <w:r w:rsidR="0061017A" w:rsidRPr="00556B9B">
        <w:rPr>
          <w:color w:val="000000"/>
          <w:lang w:val="hu-HU"/>
        </w:rPr>
        <w:t xml:space="preserve"> és az MDS/MPD, DFSP, GIST és HES/CEL</w:t>
      </w:r>
      <w:r w:rsidR="0061017A" w:rsidRPr="00556B9B">
        <w:rPr>
          <w:color w:val="000000"/>
          <w:lang w:val="hu-HU"/>
        </w:rPr>
        <w:noBreakHyphen/>
        <w:t>ben szenvedő gyermekekkel nagyon korlátozott mennyiségű a tapasztalat.</w:t>
      </w:r>
    </w:p>
    <w:p w14:paraId="1D9D53D2" w14:textId="77777777" w:rsidR="00FE13F7" w:rsidRPr="00556B9B" w:rsidRDefault="00FE13F7" w:rsidP="00FE13F7">
      <w:pPr>
        <w:spacing w:line="240" w:lineRule="auto"/>
        <w:ind w:right="-2"/>
        <w:rPr>
          <w:color w:val="000000"/>
          <w:lang w:val="hu-HU"/>
        </w:rPr>
      </w:pPr>
    </w:p>
    <w:p w14:paraId="37A55949" w14:textId="200AAA47" w:rsidR="00FE13F7" w:rsidRPr="00556B9B" w:rsidRDefault="00FE13F7" w:rsidP="00FE13F7">
      <w:pPr>
        <w:spacing w:line="240" w:lineRule="auto"/>
        <w:ind w:right="-2"/>
        <w:rPr>
          <w:color w:val="000000"/>
          <w:lang w:val="hu-HU"/>
        </w:rPr>
      </w:pPr>
      <w:r w:rsidRPr="00556B9B">
        <w:rPr>
          <w:color w:val="000000"/>
          <w:lang w:val="hu-HU"/>
        </w:rPr>
        <w:t>Néhány</w:t>
      </w:r>
      <w:r w:rsidR="00184427">
        <w:rPr>
          <w:color w:val="000000"/>
          <w:lang w:val="hu-HU"/>
        </w:rPr>
        <w:t>,</w:t>
      </w:r>
      <w:r w:rsidRPr="00556B9B">
        <w:rPr>
          <w:color w:val="000000"/>
          <w:lang w:val="hu-HU"/>
        </w:rPr>
        <w:t xml:space="preserve"> Glivec</w:t>
      </w:r>
      <w:r w:rsidRPr="00556B9B">
        <w:rPr>
          <w:color w:val="000000"/>
          <w:lang w:val="hu-HU"/>
        </w:rPr>
        <w:noBreakHyphen/>
        <w:t xml:space="preserve">et szedő gyermek vagy serdülőkorú növekedése a normálisnál lassabb lehet. Az orvos a rendszeres kontrollvizsgálatok alkalmával ellenőrizni fogja </w:t>
      </w:r>
      <w:r w:rsidR="0045121B" w:rsidRPr="00556B9B">
        <w:rPr>
          <w:color w:val="000000"/>
          <w:lang w:val="hu-HU"/>
        </w:rPr>
        <w:t xml:space="preserve">a </w:t>
      </w:r>
      <w:r w:rsidRPr="00556B9B">
        <w:rPr>
          <w:color w:val="000000"/>
          <w:lang w:val="hu-HU"/>
        </w:rPr>
        <w:t>növekedést.</w:t>
      </w:r>
    </w:p>
    <w:p w14:paraId="5D5F0F9F" w14:textId="77777777" w:rsidR="00FE13F7" w:rsidRPr="00556B9B" w:rsidRDefault="00FE13F7" w:rsidP="00FE13F7">
      <w:pPr>
        <w:spacing w:line="240" w:lineRule="auto"/>
        <w:rPr>
          <w:color w:val="000000"/>
          <w:lang w:val="hu-HU"/>
        </w:rPr>
      </w:pPr>
    </w:p>
    <w:p w14:paraId="22E73941" w14:textId="77777777" w:rsidR="00FE13F7" w:rsidRPr="00556B9B" w:rsidRDefault="00FE13F7" w:rsidP="00951752">
      <w:pPr>
        <w:keepNext/>
        <w:spacing w:line="240" w:lineRule="auto"/>
        <w:rPr>
          <w:b/>
          <w:color w:val="000000"/>
          <w:lang w:val="hu-HU"/>
        </w:rPr>
      </w:pPr>
      <w:r w:rsidRPr="00556B9B">
        <w:rPr>
          <w:b/>
          <w:color w:val="000000"/>
          <w:lang w:val="hu-HU"/>
        </w:rPr>
        <w:t>Egyéb gyógyszerek és a Glivec</w:t>
      </w:r>
    </w:p>
    <w:p w14:paraId="1B8C3B12" w14:textId="57E3A91F" w:rsidR="00FE13F7" w:rsidRPr="00556B9B" w:rsidRDefault="00FE13F7" w:rsidP="00FE13F7">
      <w:pPr>
        <w:spacing w:line="240" w:lineRule="auto"/>
        <w:rPr>
          <w:color w:val="000000"/>
          <w:lang w:val="hu-HU"/>
        </w:rPr>
      </w:pPr>
      <w:r w:rsidRPr="00556B9B">
        <w:rPr>
          <w:color w:val="000000"/>
          <w:lang w:val="hu-HU"/>
        </w:rPr>
        <w:t xml:space="preserve">Feltétlenül tájékoztassa kezelőorvosát vagy gyógyszerészét a </w:t>
      </w:r>
      <w:r w:rsidRPr="00A639D2">
        <w:rPr>
          <w:color w:val="000000"/>
          <w:lang w:val="hu-HU"/>
        </w:rPr>
        <w:t>jelenleg vagy nemrégiben szedett</w:t>
      </w:r>
      <w:r w:rsidRPr="00A639D2">
        <w:rPr>
          <w:noProof/>
          <w:szCs w:val="24"/>
          <w:lang w:val="hu-HU"/>
        </w:rPr>
        <w:t>, valamint szedni tervezett</w:t>
      </w:r>
      <w:r w:rsidRPr="00A639D2">
        <w:rPr>
          <w:color w:val="000000"/>
          <w:lang w:val="hu-HU"/>
        </w:rPr>
        <w:t xml:space="preserve"> egyéb gyógyszereiről, beleértve a vény nélkül kapható készítményeket is (</w:t>
      </w:r>
      <w:r w:rsidR="008142A8" w:rsidRPr="00A639D2">
        <w:rPr>
          <w:color w:val="000000"/>
          <w:lang w:val="hu-HU"/>
        </w:rPr>
        <w:t>pl.</w:t>
      </w:r>
      <w:r w:rsidRPr="00A639D2">
        <w:rPr>
          <w:color w:val="000000"/>
          <w:lang w:val="hu-HU"/>
        </w:rPr>
        <w:t xml:space="preserve"> a paracetamol) és a gyógynövénykészítményeket (</w:t>
      </w:r>
      <w:r w:rsidR="008142A8" w:rsidRPr="00A639D2">
        <w:rPr>
          <w:color w:val="000000"/>
          <w:lang w:val="hu-HU"/>
        </w:rPr>
        <w:t>pl.</w:t>
      </w:r>
      <w:r w:rsidRPr="00A639D2">
        <w:rPr>
          <w:color w:val="000000"/>
          <w:lang w:val="hu-HU"/>
        </w:rPr>
        <w:t xml:space="preserve"> az orbáncfű) is. Néhány gyógyszer egyidejű alkalmazás esetén befolyásolhatja a Glivec hatását. Növelhetik</w:t>
      </w:r>
      <w:r w:rsidRPr="00556B9B">
        <w:rPr>
          <w:color w:val="000000"/>
          <w:lang w:val="hu-HU"/>
        </w:rPr>
        <w:t>, illetve csökkenthetik a Glivec hatását, ami a mellékhatások előfordulási gyakoriságának növekedéséhez, illetve a Glivec hatásosságának csökkenéséhez vezethet. A Glivec ugyanígy viselkedhet néhány más gyógyszerrel szemben.</w:t>
      </w:r>
    </w:p>
    <w:p w14:paraId="6DC2EDD0" w14:textId="77777777" w:rsidR="006558FB" w:rsidRPr="00556B9B" w:rsidRDefault="006558FB" w:rsidP="006558FB">
      <w:pPr>
        <w:spacing w:line="240" w:lineRule="auto"/>
        <w:rPr>
          <w:color w:val="000000"/>
          <w:lang w:val="hu-HU"/>
        </w:rPr>
      </w:pPr>
    </w:p>
    <w:p w14:paraId="6A2A4151" w14:textId="77777777" w:rsidR="00FE13F7" w:rsidRPr="00556B9B" w:rsidRDefault="006558FB" w:rsidP="006558FB">
      <w:pPr>
        <w:spacing w:line="240" w:lineRule="auto"/>
        <w:ind w:right="-2"/>
        <w:rPr>
          <w:color w:val="000000"/>
          <w:lang w:val="hu-HU"/>
        </w:rPr>
      </w:pPr>
      <w:r w:rsidRPr="00556B9B">
        <w:rPr>
          <w:color w:val="000000"/>
          <w:lang w:val="hu-HU"/>
        </w:rPr>
        <w:t>Tájékoztassa kezelőorvosát, ha vérrögképződést gátló gyógyszert alkalmaz.</w:t>
      </w:r>
    </w:p>
    <w:p w14:paraId="7218AAE5" w14:textId="77777777" w:rsidR="006558FB" w:rsidRPr="00556B9B" w:rsidRDefault="006558FB" w:rsidP="006558FB">
      <w:pPr>
        <w:spacing w:line="240" w:lineRule="auto"/>
        <w:ind w:right="-2"/>
        <w:rPr>
          <w:color w:val="000000"/>
          <w:lang w:val="hu-HU"/>
        </w:rPr>
      </w:pPr>
    </w:p>
    <w:p w14:paraId="376117AA" w14:textId="77777777" w:rsidR="00FE13F7" w:rsidRPr="00556B9B" w:rsidRDefault="00FE13F7" w:rsidP="00951752">
      <w:pPr>
        <w:keepNext/>
        <w:ind w:right="-29"/>
        <w:rPr>
          <w:b/>
          <w:color w:val="000000"/>
          <w:lang w:val="hu-HU"/>
        </w:rPr>
      </w:pPr>
      <w:r w:rsidRPr="00556B9B">
        <w:rPr>
          <w:b/>
          <w:color w:val="000000"/>
          <w:lang w:val="hu-HU"/>
        </w:rPr>
        <w:t>Terhesség, szoptatás és termékenység</w:t>
      </w:r>
    </w:p>
    <w:p w14:paraId="22D5B3FE" w14:textId="77777777" w:rsidR="00FE13F7" w:rsidRPr="006D0F5F" w:rsidRDefault="00FE13F7" w:rsidP="00FE13F7">
      <w:pPr>
        <w:widowControl w:val="0"/>
        <w:numPr>
          <w:ilvl w:val="0"/>
          <w:numId w:val="20"/>
        </w:numPr>
        <w:tabs>
          <w:tab w:val="clear" w:pos="0"/>
        </w:tabs>
        <w:suppressAutoHyphens w:val="0"/>
        <w:spacing w:line="240" w:lineRule="auto"/>
        <w:ind w:left="567" w:hanging="567"/>
        <w:rPr>
          <w:color w:val="000000"/>
          <w:lang w:val="hu-HU"/>
        </w:rPr>
      </w:pPr>
      <w:r w:rsidRPr="00556B9B">
        <w:rPr>
          <w:color w:val="000000"/>
          <w:lang w:val="hu-HU"/>
        </w:rPr>
        <w:t xml:space="preserve">Ha Ön terhes vagy szoptat, illetve ha fennáll Önnél a terhesség lehetősége vagy gyermeket szeretne, a gyógyszer szedése előtt </w:t>
      </w:r>
      <w:r w:rsidRPr="006D0F5F">
        <w:rPr>
          <w:color w:val="000000"/>
          <w:lang w:val="hu-HU"/>
        </w:rPr>
        <w:t>beszéljen kezelőorvosával.</w:t>
      </w:r>
    </w:p>
    <w:p w14:paraId="7B66EBF0" w14:textId="53DBFEED" w:rsidR="00FE13F7" w:rsidRPr="00556B9B" w:rsidRDefault="00FE13F7" w:rsidP="00FE13F7">
      <w:pPr>
        <w:numPr>
          <w:ilvl w:val="0"/>
          <w:numId w:val="20"/>
        </w:numPr>
        <w:tabs>
          <w:tab w:val="clear" w:pos="0"/>
        </w:tabs>
        <w:spacing w:line="240" w:lineRule="auto"/>
        <w:ind w:left="567" w:hanging="567"/>
        <w:rPr>
          <w:color w:val="000000"/>
          <w:lang w:val="hu-HU"/>
        </w:rPr>
      </w:pPr>
      <w:r w:rsidRPr="006D0F5F">
        <w:rPr>
          <w:color w:val="000000"/>
          <w:lang w:val="hu-HU"/>
        </w:rPr>
        <w:t xml:space="preserve">A Glivec nem javasolt a terhesség ideje alatt, csak ha az egyértelműen szükséges, mert károsíthatja gyermekét. </w:t>
      </w:r>
      <w:r w:rsidR="008142A8" w:rsidRPr="006D0F5F">
        <w:rPr>
          <w:color w:val="000000"/>
          <w:lang w:val="hu-HU"/>
        </w:rPr>
        <w:t>Kezelőo</w:t>
      </w:r>
      <w:r w:rsidRPr="006D0F5F">
        <w:rPr>
          <w:color w:val="000000"/>
          <w:lang w:val="hu-HU"/>
        </w:rPr>
        <w:t>rvosa megbeszéli</w:t>
      </w:r>
      <w:r w:rsidRPr="00556B9B">
        <w:rPr>
          <w:color w:val="000000"/>
          <w:lang w:val="hu-HU"/>
        </w:rPr>
        <w:t xml:space="preserve"> Önnel a terhesség ideje alatti Glivec</w:t>
      </w:r>
      <w:r w:rsidRPr="00556B9B">
        <w:rPr>
          <w:color w:val="000000"/>
          <w:lang w:val="hu-HU"/>
        </w:rPr>
        <w:noBreakHyphen/>
        <w:t>kezelés lehetséges kockázatait.</w:t>
      </w:r>
    </w:p>
    <w:p w14:paraId="36766022" w14:textId="1984FF61" w:rsidR="00FE13F7" w:rsidRPr="00556B9B" w:rsidRDefault="00FE13F7" w:rsidP="00FE13F7">
      <w:pPr>
        <w:numPr>
          <w:ilvl w:val="0"/>
          <w:numId w:val="20"/>
        </w:numPr>
        <w:tabs>
          <w:tab w:val="clear" w:pos="0"/>
        </w:tabs>
        <w:spacing w:line="240" w:lineRule="auto"/>
        <w:ind w:left="567" w:hanging="567"/>
        <w:rPr>
          <w:color w:val="000000"/>
          <w:lang w:val="hu-HU"/>
        </w:rPr>
      </w:pPr>
      <w:r w:rsidRPr="00556B9B">
        <w:rPr>
          <w:color w:val="000000"/>
          <w:lang w:val="hu-HU"/>
        </w:rPr>
        <w:t>A fogamzóképes életkorú nőknek hatékony fogamzásgátló módszer alkalmazása javasolt a kezelés időtartama alatt</w:t>
      </w:r>
      <w:r w:rsidR="00D73148" w:rsidRPr="00D73148">
        <w:rPr>
          <w:color w:val="000000"/>
          <w:lang w:val="hu-HU"/>
        </w:rPr>
        <w:t xml:space="preserve"> </w:t>
      </w:r>
      <w:r w:rsidR="00D73148">
        <w:rPr>
          <w:color w:val="000000"/>
          <w:lang w:val="hu-HU"/>
        </w:rPr>
        <w:t>és még további 15 napig a Glivec</w:t>
      </w:r>
      <w:r w:rsidR="00D73148">
        <w:rPr>
          <w:color w:val="000000"/>
          <w:lang w:val="hu-HU"/>
        </w:rPr>
        <w:noBreakHyphen/>
        <w:t>kezelés befejezését követően</w:t>
      </w:r>
      <w:r w:rsidRPr="00556B9B">
        <w:rPr>
          <w:color w:val="000000"/>
          <w:lang w:val="hu-HU"/>
        </w:rPr>
        <w:t>.</w:t>
      </w:r>
    </w:p>
    <w:p w14:paraId="7652BB42" w14:textId="0B329372" w:rsidR="00FE13F7" w:rsidRPr="00A639D2" w:rsidRDefault="00FE13F7" w:rsidP="00FE13F7">
      <w:pPr>
        <w:numPr>
          <w:ilvl w:val="0"/>
          <w:numId w:val="20"/>
        </w:numPr>
        <w:tabs>
          <w:tab w:val="clear" w:pos="0"/>
        </w:tabs>
        <w:spacing w:line="240" w:lineRule="auto"/>
        <w:ind w:left="567" w:hanging="567"/>
        <w:rPr>
          <w:color w:val="000000"/>
          <w:lang w:val="hu-HU"/>
        </w:rPr>
      </w:pPr>
      <w:r w:rsidRPr="00556B9B">
        <w:rPr>
          <w:color w:val="000000"/>
          <w:lang w:val="hu-HU"/>
        </w:rPr>
        <w:t xml:space="preserve">Ne szoptasson a </w:t>
      </w:r>
      <w:r w:rsidRPr="00A639D2">
        <w:rPr>
          <w:color w:val="000000"/>
          <w:lang w:val="hu-HU"/>
        </w:rPr>
        <w:t>Glivec</w:t>
      </w:r>
      <w:r w:rsidRPr="00A639D2">
        <w:rPr>
          <w:color w:val="000000"/>
          <w:lang w:val="hu-HU"/>
        </w:rPr>
        <w:noBreakHyphen/>
        <w:t>kezelés időtartama alatt</w:t>
      </w:r>
      <w:r w:rsidR="00D73148" w:rsidRPr="00A639D2">
        <w:rPr>
          <w:color w:val="000000"/>
          <w:lang w:val="hu-HU"/>
        </w:rPr>
        <w:t xml:space="preserve"> és még további 15 napig a Glivec</w:t>
      </w:r>
      <w:r w:rsidR="00D73148" w:rsidRPr="00A639D2">
        <w:rPr>
          <w:color w:val="000000"/>
          <w:lang w:val="hu-HU"/>
        </w:rPr>
        <w:noBreakHyphen/>
        <w:t>kezelés befejezését követően, mert ez káros hatással lehet csecsemőjére</w:t>
      </w:r>
      <w:r w:rsidRPr="00A639D2">
        <w:rPr>
          <w:color w:val="000000"/>
          <w:lang w:val="hu-HU"/>
        </w:rPr>
        <w:t>.</w:t>
      </w:r>
    </w:p>
    <w:p w14:paraId="5EE6DB0B" w14:textId="6CBFEC25" w:rsidR="00FE13F7" w:rsidRPr="00A639D2" w:rsidRDefault="00FE13F7" w:rsidP="00FE13F7">
      <w:pPr>
        <w:widowControl w:val="0"/>
        <w:numPr>
          <w:ilvl w:val="0"/>
          <w:numId w:val="34"/>
        </w:numPr>
        <w:suppressAutoHyphens w:val="0"/>
        <w:spacing w:line="240" w:lineRule="auto"/>
        <w:ind w:left="567" w:hanging="567"/>
        <w:rPr>
          <w:color w:val="000000"/>
          <w:szCs w:val="22"/>
          <w:lang w:val="hu-HU"/>
        </w:rPr>
      </w:pPr>
      <w:r w:rsidRPr="00A639D2">
        <w:rPr>
          <w:lang w:val="hu-HU"/>
        </w:rPr>
        <w:t>Javasolt, hogy azok a betegek, akik aggódnak a termékenységük miatt, miközben Glivec</w:t>
      </w:r>
      <w:r w:rsidRPr="00A639D2">
        <w:rPr>
          <w:lang w:val="hu-HU"/>
        </w:rPr>
        <w:noBreakHyphen/>
        <w:t xml:space="preserve">et szednek, </w:t>
      </w:r>
      <w:r w:rsidR="008142A8" w:rsidRPr="00A639D2">
        <w:rPr>
          <w:lang w:val="hu-HU"/>
        </w:rPr>
        <w:t>forduljanak tanácsért a</w:t>
      </w:r>
      <w:r w:rsidRPr="00A639D2">
        <w:rPr>
          <w:lang w:val="hu-HU"/>
        </w:rPr>
        <w:t xml:space="preserve"> kezelőorvosuk</w:t>
      </w:r>
      <w:r w:rsidR="008142A8" w:rsidRPr="00A639D2">
        <w:rPr>
          <w:lang w:val="hu-HU"/>
        </w:rPr>
        <w:t>hoz</w:t>
      </w:r>
      <w:r w:rsidRPr="00A639D2">
        <w:rPr>
          <w:lang w:val="hu-HU"/>
        </w:rPr>
        <w:t>.</w:t>
      </w:r>
    </w:p>
    <w:p w14:paraId="596E2FCD" w14:textId="77777777" w:rsidR="00FE13F7" w:rsidRPr="00A639D2" w:rsidRDefault="00FE13F7" w:rsidP="00FE13F7">
      <w:pPr>
        <w:spacing w:line="240" w:lineRule="auto"/>
        <w:rPr>
          <w:color w:val="000000"/>
          <w:lang w:val="hu-HU"/>
        </w:rPr>
      </w:pPr>
    </w:p>
    <w:p w14:paraId="732CC082" w14:textId="77777777" w:rsidR="00FE13F7" w:rsidRPr="00A639D2" w:rsidRDefault="00FE13F7" w:rsidP="00FE13F7">
      <w:pPr>
        <w:spacing w:line="240" w:lineRule="auto"/>
        <w:ind w:right="-29"/>
        <w:rPr>
          <w:b/>
          <w:color w:val="000000"/>
          <w:lang w:val="hu-HU"/>
        </w:rPr>
      </w:pPr>
      <w:r w:rsidRPr="00A639D2">
        <w:rPr>
          <w:b/>
          <w:color w:val="000000"/>
          <w:lang w:val="hu-HU"/>
        </w:rPr>
        <w:t xml:space="preserve">A készítmény hatásai a gépjárművezetéshez és </w:t>
      </w:r>
      <w:r w:rsidR="00F63C0E" w:rsidRPr="00A639D2">
        <w:rPr>
          <w:b/>
          <w:color w:val="000000"/>
          <w:lang w:val="hu-HU"/>
        </w:rPr>
        <w:t xml:space="preserve">a </w:t>
      </w:r>
      <w:r w:rsidRPr="00A639D2">
        <w:rPr>
          <w:b/>
          <w:color w:val="000000"/>
          <w:lang w:val="hu-HU"/>
        </w:rPr>
        <w:t>gépek kezeléséhez szükséges képességekre</w:t>
      </w:r>
    </w:p>
    <w:p w14:paraId="16E230CB" w14:textId="77777777" w:rsidR="00FE13F7" w:rsidRPr="00A639D2" w:rsidRDefault="00FE13F7" w:rsidP="00FE13F7">
      <w:pPr>
        <w:spacing w:line="240" w:lineRule="auto"/>
        <w:ind w:right="-29"/>
        <w:rPr>
          <w:color w:val="000000"/>
          <w:lang w:val="hu-HU"/>
        </w:rPr>
      </w:pPr>
      <w:r w:rsidRPr="00A639D2">
        <w:rPr>
          <w:color w:val="000000"/>
          <w:lang w:val="hu-HU"/>
        </w:rPr>
        <w:t>A gyógyszer szedésének ideje alatt szédülhet vagy látása homályossá válhat. Ilyenkor ne vezessen, illetve ne használjon gépeket, amíg nem érzi ismét jól magát.</w:t>
      </w:r>
    </w:p>
    <w:p w14:paraId="7E768F12" w14:textId="77777777" w:rsidR="005A78EA" w:rsidRPr="00A639D2" w:rsidRDefault="005A78EA" w:rsidP="005A78EA">
      <w:pPr>
        <w:spacing w:line="240" w:lineRule="auto"/>
        <w:ind w:right="-29"/>
        <w:rPr>
          <w:color w:val="000000"/>
          <w:lang w:val="hu-HU"/>
        </w:rPr>
      </w:pPr>
    </w:p>
    <w:p w14:paraId="255B8FA4" w14:textId="77777777" w:rsidR="005A78EA" w:rsidRPr="00A639D2" w:rsidRDefault="005A78EA" w:rsidP="005A78EA">
      <w:pPr>
        <w:spacing w:line="240" w:lineRule="auto"/>
        <w:ind w:right="-2"/>
        <w:rPr>
          <w:color w:val="000000"/>
          <w:lang w:val="hu-HU"/>
        </w:rPr>
      </w:pPr>
    </w:p>
    <w:p w14:paraId="44A241D9" w14:textId="77777777" w:rsidR="005A78EA" w:rsidRPr="00A639D2" w:rsidRDefault="005A78EA" w:rsidP="00951752">
      <w:pPr>
        <w:keepNext/>
        <w:spacing w:line="240" w:lineRule="auto"/>
        <w:ind w:left="567" w:right="-29" w:hanging="567"/>
        <w:rPr>
          <w:b/>
          <w:color w:val="000000"/>
          <w:lang w:val="hu-HU"/>
        </w:rPr>
      </w:pPr>
      <w:r w:rsidRPr="00A639D2">
        <w:rPr>
          <w:b/>
          <w:color w:val="000000"/>
          <w:lang w:val="hu-HU"/>
        </w:rPr>
        <w:t>3.</w:t>
      </w:r>
      <w:r w:rsidRPr="00A639D2">
        <w:rPr>
          <w:b/>
          <w:color w:val="000000"/>
          <w:lang w:val="hu-HU"/>
        </w:rPr>
        <w:tab/>
      </w:r>
      <w:r w:rsidR="00A11415" w:rsidRPr="00A639D2">
        <w:rPr>
          <w:b/>
          <w:color w:val="000000"/>
          <w:lang w:val="hu-HU"/>
        </w:rPr>
        <w:t>Hogyan kell szedni a Glivec</w:t>
      </w:r>
      <w:r w:rsidR="00A11415" w:rsidRPr="00A639D2">
        <w:rPr>
          <w:b/>
          <w:color w:val="000000"/>
          <w:lang w:val="hu-HU"/>
        </w:rPr>
        <w:noBreakHyphen/>
        <w:t>et?</w:t>
      </w:r>
    </w:p>
    <w:p w14:paraId="1FC4EF4F" w14:textId="77777777" w:rsidR="005A78EA" w:rsidRPr="00A639D2" w:rsidRDefault="005A78EA" w:rsidP="00951752">
      <w:pPr>
        <w:keepNext/>
        <w:spacing w:line="240" w:lineRule="auto"/>
        <w:ind w:left="567" w:right="-2" w:hanging="567"/>
        <w:rPr>
          <w:color w:val="000000"/>
          <w:lang w:val="hu-HU"/>
        </w:rPr>
      </w:pPr>
    </w:p>
    <w:p w14:paraId="611D7C7E" w14:textId="77777777" w:rsidR="005A78EA" w:rsidRPr="00556B9B" w:rsidRDefault="005A78EA" w:rsidP="005A78EA">
      <w:pPr>
        <w:spacing w:line="240" w:lineRule="auto"/>
        <w:ind w:right="-2"/>
        <w:rPr>
          <w:color w:val="000000"/>
          <w:lang w:val="hu-HU"/>
        </w:rPr>
      </w:pPr>
      <w:r w:rsidRPr="00A639D2">
        <w:rPr>
          <w:color w:val="000000"/>
          <w:lang w:val="hu-HU"/>
        </w:rPr>
        <w:t>Kezelőorvosa Glivec</w:t>
      </w:r>
      <w:r w:rsidRPr="00A639D2">
        <w:rPr>
          <w:color w:val="000000"/>
          <w:lang w:val="hu-HU"/>
        </w:rPr>
        <w:noBreakHyphen/>
        <w:t>et rendelt Önnek, mert</w:t>
      </w:r>
      <w:r w:rsidRPr="00556B9B">
        <w:rPr>
          <w:color w:val="000000"/>
          <w:lang w:val="hu-HU"/>
        </w:rPr>
        <w:t xml:space="preserve"> Ön súlyos betegségben szenved. A Glivec segíthet Önnek a betegséggel szembeni küzdelemben.</w:t>
      </w:r>
    </w:p>
    <w:p w14:paraId="433DE2F6" w14:textId="77777777" w:rsidR="005A78EA" w:rsidRPr="00556B9B" w:rsidRDefault="005A78EA" w:rsidP="005A78EA">
      <w:pPr>
        <w:spacing w:line="240" w:lineRule="auto"/>
        <w:ind w:right="-2"/>
        <w:rPr>
          <w:color w:val="000000"/>
          <w:lang w:val="hu-HU"/>
        </w:rPr>
      </w:pPr>
    </w:p>
    <w:p w14:paraId="3838D481" w14:textId="77777777" w:rsidR="005A78EA" w:rsidRPr="00556B9B" w:rsidRDefault="005A78EA" w:rsidP="005A78EA">
      <w:pPr>
        <w:spacing w:line="240" w:lineRule="auto"/>
        <w:ind w:right="-2"/>
        <w:rPr>
          <w:color w:val="000000"/>
          <w:lang w:val="hu-HU"/>
        </w:rPr>
      </w:pPr>
      <w:r w:rsidRPr="00556B9B">
        <w:rPr>
          <w:color w:val="000000"/>
          <w:lang w:val="hu-HU"/>
        </w:rPr>
        <w:t xml:space="preserve">Azonban, </w:t>
      </w:r>
      <w:r w:rsidRPr="00556B9B">
        <w:rPr>
          <w:noProof/>
          <w:color w:val="000000"/>
          <w:lang w:val="hu-HU"/>
        </w:rPr>
        <w:t xml:space="preserve">a </w:t>
      </w:r>
      <w:r w:rsidR="00A11415" w:rsidRPr="00556B9B">
        <w:rPr>
          <w:noProof/>
          <w:color w:val="000000"/>
          <w:lang w:val="hu-HU"/>
        </w:rPr>
        <w:t>gyógyszert</w:t>
      </w:r>
      <w:r w:rsidRPr="00556B9B">
        <w:rPr>
          <w:noProof/>
          <w:color w:val="000000"/>
          <w:lang w:val="hu-HU"/>
        </w:rPr>
        <w:t xml:space="preserve"> mindig </w:t>
      </w:r>
      <w:r w:rsidR="00A11415" w:rsidRPr="00556B9B">
        <w:rPr>
          <w:noProof/>
          <w:color w:val="000000"/>
          <w:lang w:val="hu-HU"/>
        </w:rPr>
        <w:t xml:space="preserve">a kezelőorvosa vagy gyógyszerésze </w:t>
      </w:r>
      <w:r w:rsidRPr="00556B9B">
        <w:rPr>
          <w:noProof/>
          <w:color w:val="000000"/>
          <w:lang w:val="hu-HU"/>
        </w:rPr>
        <w:t xml:space="preserve">által elmondottaknak megfelelően szedje. Fontos, hogy ezt mindaddig tegye, amíg kezelőorvosa előírja. </w:t>
      </w:r>
      <w:r w:rsidRPr="00556B9B">
        <w:rPr>
          <w:color w:val="000000"/>
          <w:lang w:val="hu-HU"/>
        </w:rPr>
        <w:t xml:space="preserve">Amennyiben nem biztos az adagolást illetően, kérdezze meg </w:t>
      </w:r>
      <w:r w:rsidR="00A11415" w:rsidRPr="00556B9B">
        <w:rPr>
          <w:color w:val="000000"/>
          <w:lang w:val="hu-HU"/>
        </w:rPr>
        <w:t xml:space="preserve">kezelőorvosát </w:t>
      </w:r>
      <w:r w:rsidRPr="00556B9B">
        <w:rPr>
          <w:color w:val="000000"/>
          <w:lang w:val="hu-HU"/>
        </w:rPr>
        <w:t>vagy gyógyszerészét.</w:t>
      </w:r>
    </w:p>
    <w:p w14:paraId="773D2A3B" w14:textId="77777777" w:rsidR="005A78EA" w:rsidRPr="00556B9B" w:rsidRDefault="005A78EA" w:rsidP="005A78EA">
      <w:pPr>
        <w:spacing w:line="240" w:lineRule="auto"/>
        <w:ind w:right="-2"/>
        <w:rPr>
          <w:color w:val="000000"/>
          <w:lang w:val="hu-HU"/>
        </w:rPr>
      </w:pPr>
    </w:p>
    <w:p w14:paraId="008A23AE" w14:textId="54CD2C2C" w:rsidR="005A78EA" w:rsidRPr="00A639D2" w:rsidRDefault="005A78EA" w:rsidP="005A78EA">
      <w:pPr>
        <w:spacing w:line="240" w:lineRule="auto"/>
        <w:ind w:right="-2"/>
        <w:rPr>
          <w:color w:val="000000"/>
          <w:lang w:val="hu-HU"/>
        </w:rPr>
      </w:pPr>
      <w:r w:rsidRPr="00556B9B">
        <w:rPr>
          <w:color w:val="000000"/>
          <w:lang w:val="hu-HU"/>
        </w:rPr>
        <w:t>Ne hagyja abba a Glivec szedését, csak</w:t>
      </w:r>
      <w:r w:rsidR="00184427">
        <w:rPr>
          <w:color w:val="000000"/>
          <w:lang w:val="hu-HU"/>
        </w:rPr>
        <w:t xml:space="preserve"> ha a</w:t>
      </w:r>
      <w:r w:rsidRPr="00556B9B">
        <w:rPr>
          <w:color w:val="000000"/>
          <w:lang w:val="hu-HU"/>
        </w:rPr>
        <w:t xml:space="preserve"> </w:t>
      </w:r>
      <w:r w:rsidR="00184427">
        <w:rPr>
          <w:color w:val="000000"/>
          <w:lang w:val="hu-HU"/>
        </w:rPr>
        <w:t>kezelő</w:t>
      </w:r>
      <w:r w:rsidRPr="00556B9B">
        <w:rPr>
          <w:color w:val="000000"/>
          <w:lang w:val="hu-HU"/>
        </w:rPr>
        <w:t xml:space="preserve">orvosa úgy rendelkezik. Ha nem tudja a gyógyszert az orvos által </w:t>
      </w:r>
      <w:r w:rsidRPr="00A639D2">
        <w:rPr>
          <w:color w:val="000000"/>
          <w:lang w:val="hu-HU"/>
        </w:rPr>
        <w:t xml:space="preserve">előírtaknak megfelelően szedni, vagy ha úgy érzi, hogy már nincs rá szüksége, azonnal értesítse </w:t>
      </w:r>
      <w:r w:rsidR="00184427">
        <w:rPr>
          <w:color w:val="000000"/>
          <w:lang w:val="hu-HU"/>
        </w:rPr>
        <w:t>kezelő</w:t>
      </w:r>
      <w:r w:rsidRPr="00A639D2">
        <w:rPr>
          <w:color w:val="000000"/>
          <w:lang w:val="hu-HU"/>
        </w:rPr>
        <w:t>orvosát.</w:t>
      </w:r>
    </w:p>
    <w:p w14:paraId="4E8782A2" w14:textId="77777777" w:rsidR="005A78EA" w:rsidRPr="00A639D2" w:rsidRDefault="005A78EA" w:rsidP="005A78EA">
      <w:pPr>
        <w:spacing w:line="240" w:lineRule="auto"/>
        <w:ind w:right="-2"/>
        <w:rPr>
          <w:color w:val="000000"/>
          <w:lang w:val="hu-HU"/>
        </w:rPr>
      </w:pPr>
    </w:p>
    <w:p w14:paraId="3FAB5213" w14:textId="77777777" w:rsidR="005A78EA" w:rsidRPr="00A639D2" w:rsidRDefault="005A78EA" w:rsidP="00951752">
      <w:pPr>
        <w:keepNext/>
        <w:spacing w:line="240" w:lineRule="auto"/>
        <w:ind w:right="-2"/>
        <w:rPr>
          <w:b/>
          <w:color w:val="000000"/>
          <w:lang w:val="hu-HU"/>
        </w:rPr>
      </w:pPr>
      <w:r w:rsidRPr="00A639D2">
        <w:rPr>
          <w:b/>
          <w:color w:val="000000"/>
          <w:lang w:val="hu-HU"/>
        </w:rPr>
        <w:t xml:space="preserve">Mennyi </w:t>
      </w:r>
      <w:r w:rsidR="00A11415" w:rsidRPr="00A639D2">
        <w:rPr>
          <w:b/>
          <w:color w:val="000000"/>
          <w:lang w:val="hu-HU"/>
        </w:rPr>
        <w:t>Glivec</w:t>
      </w:r>
      <w:r w:rsidR="00A11415" w:rsidRPr="00A639D2">
        <w:rPr>
          <w:b/>
          <w:color w:val="000000"/>
          <w:lang w:val="hu-HU"/>
        </w:rPr>
        <w:noBreakHyphen/>
        <w:t xml:space="preserve">et </w:t>
      </w:r>
      <w:r w:rsidRPr="00A639D2">
        <w:rPr>
          <w:b/>
          <w:color w:val="000000"/>
          <w:lang w:val="hu-HU"/>
        </w:rPr>
        <w:t>kell bevenni?</w:t>
      </w:r>
    </w:p>
    <w:p w14:paraId="2A788450" w14:textId="77777777" w:rsidR="005A78EA" w:rsidRPr="00A639D2" w:rsidRDefault="005A78EA" w:rsidP="00951752">
      <w:pPr>
        <w:keepNext/>
        <w:spacing w:line="240" w:lineRule="auto"/>
        <w:ind w:right="-2"/>
        <w:rPr>
          <w:color w:val="000000"/>
          <w:lang w:val="hu-HU"/>
        </w:rPr>
      </w:pPr>
    </w:p>
    <w:p w14:paraId="6C78A9A2" w14:textId="77777777" w:rsidR="005A78EA" w:rsidRPr="00A639D2" w:rsidRDefault="005A78EA" w:rsidP="00951752">
      <w:pPr>
        <w:keepNext/>
        <w:spacing w:line="240" w:lineRule="auto"/>
        <w:ind w:right="-2"/>
        <w:rPr>
          <w:b/>
          <w:color w:val="000000"/>
          <w:lang w:val="hu-HU"/>
        </w:rPr>
      </w:pPr>
      <w:r w:rsidRPr="00A639D2">
        <w:rPr>
          <w:b/>
          <w:color w:val="000000"/>
          <w:lang w:val="hu-HU"/>
        </w:rPr>
        <w:t>Alkalmazása felnőtteknél</w:t>
      </w:r>
    </w:p>
    <w:p w14:paraId="6C108B02" w14:textId="5E248952" w:rsidR="005A78EA" w:rsidRPr="00556B9B" w:rsidRDefault="009A048F" w:rsidP="005A78EA">
      <w:pPr>
        <w:spacing w:line="240" w:lineRule="auto"/>
        <w:ind w:right="-2"/>
        <w:rPr>
          <w:color w:val="000000"/>
          <w:lang w:val="hu-HU"/>
        </w:rPr>
      </w:pPr>
      <w:r w:rsidRPr="00A639D2">
        <w:rPr>
          <w:color w:val="000000"/>
          <w:lang w:val="hu-HU"/>
        </w:rPr>
        <w:t>Kezelőo</w:t>
      </w:r>
      <w:r w:rsidR="005A78EA" w:rsidRPr="00A639D2">
        <w:rPr>
          <w:color w:val="000000"/>
          <w:lang w:val="hu-HU"/>
        </w:rPr>
        <w:t>rvosa megmondja</w:t>
      </w:r>
      <w:r w:rsidR="005A78EA" w:rsidRPr="00556B9B">
        <w:rPr>
          <w:color w:val="000000"/>
          <w:lang w:val="hu-HU"/>
        </w:rPr>
        <w:t>, hogy pontosan hány Glivec kapszulát kell bevennie.</w:t>
      </w:r>
    </w:p>
    <w:p w14:paraId="51B1BFF1" w14:textId="77777777" w:rsidR="005A78EA" w:rsidRPr="00556B9B" w:rsidRDefault="005A78EA" w:rsidP="005A78EA">
      <w:pPr>
        <w:spacing w:line="240" w:lineRule="auto"/>
        <w:ind w:right="-2"/>
        <w:rPr>
          <w:color w:val="000000"/>
          <w:lang w:val="hu-HU"/>
        </w:rPr>
      </w:pPr>
    </w:p>
    <w:p w14:paraId="2B1D4FE7" w14:textId="77777777" w:rsidR="005A78EA" w:rsidRPr="00556B9B" w:rsidRDefault="005A78EA" w:rsidP="00951752">
      <w:pPr>
        <w:keepNext/>
        <w:numPr>
          <w:ilvl w:val="0"/>
          <w:numId w:val="22"/>
        </w:numPr>
        <w:tabs>
          <w:tab w:val="clear" w:pos="0"/>
          <w:tab w:val="num" w:pos="-7088"/>
        </w:tabs>
        <w:spacing w:line="240" w:lineRule="auto"/>
        <w:ind w:left="567" w:right="-2" w:hanging="567"/>
        <w:rPr>
          <w:b/>
          <w:color w:val="000000"/>
          <w:lang w:val="hu-HU"/>
        </w:rPr>
      </w:pPr>
      <w:r w:rsidRPr="00556B9B">
        <w:rPr>
          <w:b/>
          <w:color w:val="000000"/>
          <w:lang w:val="hu-HU"/>
        </w:rPr>
        <w:t>Ha Önt CML miatt kezelik:</w:t>
      </w:r>
    </w:p>
    <w:p w14:paraId="1E8F121C" w14:textId="1198CDAD" w:rsidR="005A78EA" w:rsidRPr="00556B9B" w:rsidRDefault="005A78EA" w:rsidP="00951752">
      <w:pPr>
        <w:keepNext/>
        <w:spacing w:line="240" w:lineRule="auto"/>
        <w:ind w:left="567" w:right="-2"/>
        <w:rPr>
          <w:color w:val="000000"/>
          <w:lang w:val="hu-HU"/>
        </w:rPr>
      </w:pPr>
      <w:r w:rsidRPr="00556B9B">
        <w:rPr>
          <w:color w:val="000000"/>
          <w:lang w:val="hu-HU"/>
        </w:rPr>
        <w:t>Az Ön állapotától függően a szokásos kezdő</w:t>
      </w:r>
      <w:r w:rsidR="007E1021">
        <w:rPr>
          <w:color w:val="000000"/>
          <w:lang w:val="hu-HU"/>
        </w:rPr>
        <w:t xml:space="preserve"> </w:t>
      </w:r>
      <w:r w:rsidRPr="00556B9B">
        <w:rPr>
          <w:color w:val="000000"/>
          <w:lang w:val="hu-HU"/>
        </w:rPr>
        <w:t>adag vagy 400 mg vagy 600 mg:</w:t>
      </w:r>
    </w:p>
    <w:p w14:paraId="71B670B2" w14:textId="77777777" w:rsidR="005A78EA" w:rsidRPr="00556B9B" w:rsidRDefault="005A78EA" w:rsidP="00951752">
      <w:pPr>
        <w:pStyle w:val="Listlevel2"/>
        <w:keepNext/>
        <w:numPr>
          <w:ilvl w:val="1"/>
          <w:numId w:val="23"/>
        </w:numPr>
        <w:tabs>
          <w:tab w:val="clear" w:pos="1650"/>
        </w:tabs>
        <w:spacing w:before="0" w:after="0"/>
        <w:ind w:left="1134" w:hanging="567"/>
        <w:rPr>
          <w:color w:val="000000"/>
          <w:sz w:val="22"/>
          <w:szCs w:val="22"/>
          <w:lang w:val="hu-HU"/>
        </w:rPr>
      </w:pPr>
      <w:r w:rsidRPr="00556B9B">
        <w:rPr>
          <w:b/>
          <w:color w:val="000000"/>
          <w:sz w:val="22"/>
          <w:szCs w:val="22"/>
          <w:lang w:val="hu-HU"/>
        </w:rPr>
        <w:t>400 mg</w:t>
      </w:r>
      <w:r w:rsidRPr="00556B9B">
        <w:rPr>
          <w:color w:val="000000"/>
          <w:sz w:val="22"/>
          <w:szCs w:val="22"/>
          <w:lang w:val="hu-HU"/>
        </w:rPr>
        <w:t xml:space="preserve">, amelyet 4 db kapszula formájában, naponta </w:t>
      </w:r>
      <w:r w:rsidRPr="00556B9B">
        <w:rPr>
          <w:b/>
          <w:color w:val="000000"/>
          <w:sz w:val="22"/>
          <w:szCs w:val="22"/>
          <w:lang w:val="hu-HU"/>
        </w:rPr>
        <w:t>egy alkalommal</w:t>
      </w:r>
      <w:r w:rsidRPr="00556B9B">
        <w:rPr>
          <w:color w:val="000000"/>
          <w:sz w:val="22"/>
          <w:szCs w:val="22"/>
          <w:lang w:val="hu-HU"/>
        </w:rPr>
        <w:t xml:space="preserve"> kell bevenni,</w:t>
      </w:r>
    </w:p>
    <w:p w14:paraId="7F0E432A" w14:textId="77777777" w:rsidR="005A78EA" w:rsidRPr="00556B9B" w:rsidRDefault="005A78EA" w:rsidP="005A78EA">
      <w:pPr>
        <w:numPr>
          <w:ilvl w:val="1"/>
          <w:numId w:val="23"/>
        </w:numPr>
        <w:tabs>
          <w:tab w:val="clear" w:pos="1650"/>
        </w:tabs>
        <w:spacing w:line="240" w:lineRule="auto"/>
        <w:ind w:left="1134" w:right="-2" w:hanging="567"/>
        <w:rPr>
          <w:color w:val="000000"/>
          <w:lang w:val="hu-HU"/>
        </w:rPr>
      </w:pPr>
      <w:r w:rsidRPr="00556B9B">
        <w:rPr>
          <w:b/>
          <w:color w:val="000000"/>
          <w:szCs w:val="22"/>
          <w:lang w:val="hu-HU"/>
        </w:rPr>
        <w:t>600 mg</w:t>
      </w:r>
      <w:r w:rsidRPr="00556B9B">
        <w:rPr>
          <w:color w:val="000000"/>
          <w:szCs w:val="22"/>
          <w:lang w:val="hu-HU"/>
        </w:rPr>
        <w:t>, amelyet 6</w:t>
      </w:r>
      <w:r w:rsidRPr="00556B9B">
        <w:rPr>
          <w:color w:val="000000"/>
          <w:lang w:val="hu-HU"/>
        </w:rPr>
        <w:t xml:space="preserve"> db kapszula formájában, naponta </w:t>
      </w:r>
      <w:r w:rsidRPr="00556B9B">
        <w:rPr>
          <w:b/>
          <w:color w:val="000000"/>
          <w:lang w:val="hu-HU"/>
        </w:rPr>
        <w:t>egy alkalommal</w:t>
      </w:r>
      <w:r w:rsidRPr="00556B9B">
        <w:rPr>
          <w:color w:val="000000"/>
          <w:lang w:val="hu-HU"/>
        </w:rPr>
        <w:t xml:space="preserve"> kell bevenni.</w:t>
      </w:r>
    </w:p>
    <w:p w14:paraId="61338EAD" w14:textId="77777777" w:rsidR="005A78EA" w:rsidRPr="00556B9B" w:rsidRDefault="005A78EA" w:rsidP="005A78EA">
      <w:pPr>
        <w:spacing w:line="240" w:lineRule="auto"/>
        <w:ind w:right="-2"/>
        <w:rPr>
          <w:color w:val="000000"/>
          <w:lang w:val="hu-HU"/>
        </w:rPr>
      </w:pPr>
    </w:p>
    <w:p w14:paraId="11F57CC2" w14:textId="77777777" w:rsidR="005A78EA" w:rsidRPr="00556B9B" w:rsidRDefault="005A78EA" w:rsidP="00951752">
      <w:pPr>
        <w:keepNext/>
        <w:numPr>
          <w:ilvl w:val="0"/>
          <w:numId w:val="22"/>
        </w:numPr>
        <w:tabs>
          <w:tab w:val="clear" w:pos="0"/>
          <w:tab w:val="num" w:pos="-7088"/>
        </w:tabs>
        <w:spacing w:line="240" w:lineRule="auto"/>
        <w:ind w:left="567" w:right="-2" w:hanging="567"/>
        <w:rPr>
          <w:b/>
          <w:color w:val="000000"/>
          <w:lang w:val="hu-HU"/>
        </w:rPr>
      </w:pPr>
      <w:r w:rsidRPr="00556B9B">
        <w:rPr>
          <w:b/>
          <w:color w:val="000000"/>
          <w:lang w:val="hu-HU"/>
        </w:rPr>
        <w:lastRenderedPageBreak/>
        <w:t>Ha Önt GIST miatt kezelik:</w:t>
      </w:r>
    </w:p>
    <w:p w14:paraId="11BFE643" w14:textId="3F94A20F" w:rsidR="005A78EA" w:rsidRPr="006D0F5F" w:rsidRDefault="005A78EA" w:rsidP="005A78EA">
      <w:pPr>
        <w:spacing w:line="240" w:lineRule="auto"/>
        <w:ind w:left="567" w:right="-2"/>
        <w:rPr>
          <w:color w:val="000000"/>
          <w:lang w:val="hu-HU"/>
        </w:rPr>
      </w:pPr>
      <w:r w:rsidRPr="00556B9B">
        <w:rPr>
          <w:color w:val="000000"/>
          <w:lang w:val="hu-HU"/>
        </w:rPr>
        <w:t>A kezdő</w:t>
      </w:r>
      <w:r w:rsidR="00184427">
        <w:rPr>
          <w:color w:val="000000"/>
          <w:lang w:val="hu-HU"/>
        </w:rPr>
        <w:t xml:space="preserve"> </w:t>
      </w:r>
      <w:r w:rsidRPr="00556B9B">
        <w:rPr>
          <w:color w:val="000000"/>
          <w:lang w:val="hu-HU"/>
        </w:rPr>
        <w:t xml:space="preserve">dózis 400 mg, amelyet 4 db </w:t>
      </w:r>
      <w:r w:rsidRPr="006D0F5F">
        <w:rPr>
          <w:color w:val="000000"/>
          <w:lang w:val="hu-HU"/>
        </w:rPr>
        <w:t xml:space="preserve">kapszula formájában, naponta </w:t>
      </w:r>
      <w:r w:rsidRPr="006D0F5F">
        <w:rPr>
          <w:b/>
          <w:color w:val="000000"/>
          <w:lang w:val="hu-HU"/>
        </w:rPr>
        <w:t>egy alkalommal</w:t>
      </w:r>
      <w:r w:rsidRPr="006D0F5F">
        <w:rPr>
          <w:color w:val="000000"/>
          <w:lang w:val="hu-HU"/>
        </w:rPr>
        <w:t xml:space="preserve"> kell bevenni.</w:t>
      </w:r>
    </w:p>
    <w:p w14:paraId="09F14C45" w14:textId="77777777" w:rsidR="005A78EA" w:rsidRPr="006D0F5F" w:rsidRDefault="005A78EA" w:rsidP="005A78EA">
      <w:pPr>
        <w:spacing w:line="240" w:lineRule="auto"/>
        <w:ind w:right="-2"/>
        <w:rPr>
          <w:color w:val="000000"/>
          <w:lang w:val="hu-HU"/>
        </w:rPr>
      </w:pPr>
    </w:p>
    <w:p w14:paraId="0907A1D3" w14:textId="3003EC09" w:rsidR="005A78EA" w:rsidRPr="00556B9B" w:rsidRDefault="005A78EA" w:rsidP="005A78EA">
      <w:pPr>
        <w:spacing w:line="240" w:lineRule="auto"/>
        <w:ind w:right="-2"/>
        <w:rPr>
          <w:color w:val="000000"/>
          <w:lang w:val="hu-HU"/>
        </w:rPr>
      </w:pPr>
      <w:r w:rsidRPr="006D0F5F">
        <w:rPr>
          <w:color w:val="000000"/>
          <w:lang w:val="hu-HU"/>
        </w:rPr>
        <w:t>Ha Önnek CML</w:t>
      </w:r>
      <w:r w:rsidRPr="006D0F5F">
        <w:rPr>
          <w:color w:val="000000"/>
          <w:lang w:val="hu-HU"/>
        </w:rPr>
        <w:noBreakHyphen/>
        <w:t>je vagy GIST</w:t>
      </w:r>
      <w:r w:rsidRPr="006D0F5F">
        <w:rPr>
          <w:color w:val="000000"/>
          <w:lang w:val="hu-HU"/>
        </w:rPr>
        <w:noBreakHyphen/>
        <w:t xml:space="preserve">je van, </w:t>
      </w:r>
      <w:r w:rsidR="009A048F" w:rsidRPr="006D0F5F">
        <w:rPr>
          <w:color w:val="000000"/>
          <w:lang w:val="hu-HU"/>
        </w:rPr>
        <w:t>kezelő</w:t>
      </w:r>
      <w:r w:rsidRPr="006D0F5F">
        <w:rPr>
          <w:color w:val="000000"/>
          <w:lang w:val="hu-HU"/>
        </w:rPr>
        <w:t>orvosa növelheti</w:t>
      </w:r>
      <w:r w:rsidRPr="00556B9B">
        <w:rPr>
          <w:color w:val="000000"/>
          <w:lang w:val="hu-HU"/>
        </w:rPr>
        <w:t xml:space="preserve"> vagy csökkentheti a dózist attól függően, hogy Ön miként reagál a kezelésre. Amennyiben az Ön napi adagja 800 mg (8 kapszula), vegyen be 4 db kapszulát reggel és 4 db kapszulát este.</w:t>
      </w:r>
    </w:p>
    <w:p w14:paraId="04D7DC52" w14:textId="77777777" w:rsidR="005A78EA" w:rsidRPr="00556B9B" w:rsidRDefault="005A78EA" w:rsidP="005A78EA">
      <w:pPr>
        <w:spacing w:line="240" w:lineRule="auto"/>
        <w:ind w:right="-2"/>
        <w:rPr>
          <w:color w:val="000000"/>
          <w:lang w:val="hu-HU"/>
        </w:rPr>
      </w:pPr>
    </w:p>
    <w:p w14:paraId="682BDFE6" w14:textId="77777777" w:rsidR="005A78EA" w:rsidRPr="00556B9B" w:rsidRDefault="005A78EA" w:rsidP="00951752">
      <w:pPr>
        <w:keepNext/>
        <w:numPr>
          <w:ilvl w:val="0"/>
          <w:numId w:val="21"/>
        </w:numPr>
        <w:tabs>
          <w:tab w:val="clear" w:pos="0"/>
          <w:tab w:val="num" w:pos="-7088"/>
        </w:tabs>
        <w:spacing w:line="240" w:lineRule="auto"/>
        <w:ind w:left="567" w:hanging="567"/>
        <w:rPr>
          <w:b/>
          <w:color w:val="000000"/>
          <w:lang w:val="hu-HU"/>
        </w:rPr>
      </w:pPr>
      <w:r w:rsidRPr="00556B9B">
        <w:rPr>
          <w:b/>
          <w:color w:val="000000"/>
          <w:lang w:val="hu-HU"/>
        </w:rPr>
        <w:t xml:space="preserve">Ha Önt Ph-pozitív </w:t>
      </w:r>
      <w:smartTag w:uri="urn:schemas-microsoft-com:office:smarttags" w:element="stockticker">
        <w:r w:rsidRPr="00556B9B">
          <w:rPr>
            <w:b/>
            <w:color w:val="000000"/>
            <w:lang w:val="hu-HU"/>
          </w:rPr>
          <w:t>ALL</w:t>
        </w:r>
      </w:smartTag>
      <w:r w:rsidRPr="00556B9B">
        <w:rPr>
          <w:b/>
          <w:color w:val="000000"/>
          <w:lang w:val="hu-HU"/>
        </w:rPr>
        <w:t xml:space="preserve"> miatt kezelik:</w:t>
      </w:r>
    </w:p>
    <w:p w14:paraId="7639578A" w14:textId="33771589" w:rsidR="005A78EA" w:rsidRPr="00556B9B" w:rsidRDefault="005A78EA" w:rsidP="005A78EA">
      <w:pPr>
        <w:spacing w:line="240" w:lineRule="auto"/>
        <w:ind w:left="567" w:right="-2"/>
        <w:rPr>
          <w:color w:val="000000"/>
          <w:lang w:val="hu-HU"/>
        </w:rPr>
      </w:pPr>
      <w:r w:rsidRPr="00556B9B">
        <w:rPr>
          <w:color w:val="000000"/>
          <w:lang w:val="hu-HU"/>
        </w:rPr>
        <w:t>A kezdő</w:t>
      </w:r>
      <w:r w:rsidR="007E1021">
        <w:rPr>
          <w:color w:val="000000"/>
          <w:lang w:val="hu-HU"/>
        </w:rPr>
        <w:t xml:space="preserve"> </w:t>
      </w:r>
      <w:r w:rsidRPr="00556B9B">
        <w:rPr>
          <w:color w:val="000000"/>
          <w:lang w:val="hu-HU"/>
        </w:rPr>
        <w:t xml:space="preserve">dózis 600 mg, amelyet 6 db kapszula formájában, naponta </w:t>
      </w:r>
      <w:r w:rsidRPr="00556B9B">
        <w:rPr>
          <w:b/>
          <w:color w:val="000000"/>
          <w:lang w:val="hu-HU"/>
        </w:rPr>
        <w:t>egy alkalommal</w:t>
      </w:r>
      <w:r w:rsidRPr="00556B9B">
        <w:rPr>
          <w:color w:val="000000"/>
          <w:lang w:val="hu-HU"/>
        </w:rPr>
        <w:t xml:space="preserve"> kell bevenni.</w:t>
      </w:r>
    </w:p>
    <w:p w14:paraId="10E032EF" w14:textId="77777777" w:rsidR="005A78EA" w:rsidRPr="00556B9B" w:rsidRDefault="005A78EA" w:rsidP="005A78EA">
      <w:pPr>
        <w:spacing w:line="240" w:lineRule="auto"/>
        <w:ind w:right="-2"/>
        <w:rPr>
          <w:color w:val="000000"/>
          <w:lang w:val="hu-HU"/>
        </w:rPr>
      </w:pPr>
    </w:p>
    <w:p w14:paraId="040EC096" w14:textId="77777777" w:rsidR="005A78EA" w:rsidRPr="00556B9B" w:rsidRDefault="005A78EA" w:rsidP="00951752">
      <w:pPr>
        <w:keepNext/>
        <w:numPr>
          <w:ilvl w:val="0"/>
          <w:numId w:val="21"/>
        </w:numPr>
        <w:tabs>
          <w:tab w:val="clear" w:pos="0"/>
        </w:tabs>
        <w:spacing w:line="240" w:lineRule="auto"/>
        <w:ind w:left="567" w:hanging="567"/>
        <w:rPr>
          <w:b/>
          <w:color w:val="000000"/>
          <w:lang w:val="hu-HU"/>
        </w:rPr>
      </w:pPr>
      <w:r w:rsidRPr="00556B9B">
        <w:rPr>
          <w:b/>
          <w:color w:val="000000"/>
          <w:lang w:val="hu-HU"/>
        </w:rPr>
        <w:t xml:space="preserve">Ha Önt </w:t>
      </w:r>
      <w:smartTag w:uri="urn:schemas-microsoft-com:office:smarttags" w:element="stockticker">
        <w:r w:rsidRPr="00556B9B">
          <w:rPr>
            <w:b/>
            <w:color w:val="000000"/>
            <w:lang w:val="hu-HU"/>
          </w:rPr>
          <w:t>MDS</w:t>
        </w:r>
      </w:smartTag>
      <w:r w:rsidRPr="00556B9B">
        <w:rPr>
          <w:b/>
          <w:color w:val="000000"/>
          <w:lang w:val="hu-HU"/>
        </w:rPr>
        <w:t>/MPD miatt kezelik:</w:t>
      </w:r>
    </w:p>
    <w:p w14:paraId="44FEF217" w14:textId="73DF31E2" w:rsidR="005A78EA" w:rsidRPr="00556B9B" w:rsidRDefault="005A78EA" w:rsidP="005A78EA">
      <w:pPr>
        <w:spacing w:line="240" w:lineRule="auto"/>
        <w:ind w:left="567" w:right="-2"/>
        <w:rPr>
          <w:color w:val="000000"/>
          <w:lang w:val="hu-HU"/>
        </w:rPr>
      </w:pPr>
      <w:r w:rsidRPr="00556B9B">
        <w:rPr>
          <w:color w:val="000000"/>
          <w:lang w:val="hu-HU"/>
        </w:rPr>
        <w:t>A kezdő</w:t>
      </w:r>
      <w:r w:rsidR="007E1021">
        <w:rPr>
          <w:color w:val="000000"/>
          <w:lang w:val="hu-HU"/>
        </w:rPr>
        <w:t xml:space="preserve"> </w:t>
      </w:r>
      <w:r w:rsidRPr="00556B9B">
        <w:rPr>
          <w:color w:val="000000"/>
          <w:lang w:val="hu-HU"/>
        </w:rPr>
        <w:t xml:space="preserve">dózis 400 mg, amelyet 4 db kapszula formájában, naponta </w:t>
      </w:r>
      <w:r w:rsidRPr="00556B9B">
        <w:rPr>
          <w:b/>
          <w:color w:val="000000"/>
          <w:lang w:val="hu-HU"/>
        </w:rPr>
        <w:t xml:space="preserve">egy alkalommal </w:t>
      </w:r>
      <w:r w:rsidRPr="00556B9B">
        <w:rPr>
          <w:color w:val="000000"/>
          <w:lang w:val="hu-HU"/>
        </w:rPr>
        <w:t>kell bevenni.</w:t>
      </w:r>
    </w:p>
    <w:p w14:paraId="039A2DA8" w14:textId="77777777" w:rsidR="005A78EA" w:rsidRPr="00556B9B" w:rsidRDefault="005A78EA" w:rsidP="005A78EA">
      <w:pPr>
        <w:spacing w:line="240" w:lineRule="auto"/>
        <w:ind w:right="-2"/>
        <w:rPr>
          <w:color w:val="000000"/>
          <w:lang w:val="hu-HU"/>
        </w:rPr>
      </w:pPr>
    </w:p>
    <w:p w14:paraId="4CD63C94" w14:textId="77777777" w:rsidR="005A78EA" w:rsidRPr="00556B9B" w:rsidRDefault="005A78EA" w:rsidP="00951752">
      <w:pPr>
        <w:keepNext/>
        <w:numPr>
          <w:ilvl w:val="0"/>
          <w:numId w:val="21"/>
        </w:numPr>
        <w:tabs>
          <w:tab w:val="clear" w:pos="0"/>
        </w:tabs>
        <w:spacing w:line="240" w:lineRule="auto"/>
        <w:ind w:left="567" w:hanging="567"/>
        <w:rPr>
          <w:b/>
          <w:color w:val="000000"/>
          <w:lang w:val="hu-HU"/>
        </w:rPr>
      </w:pPr>
      <w:r w:rsidRPr="00556B9B">
        <w:rPr>
          <w:b/>
          <w:color w:val="000000"/>
          <w:lang w:val="hu-HU"/>
        </w:rPr>
        <w:t>Ha Önt HES/</w:t>
      </w:r>
      <w:smartTag w:uri="urn:schemas-microsoft-com:office:smarttags" w:element="stockticker">
        <w:r w:rsidRPr="00556B9B">
          <w:rPr>
            <w:b/>
            <w:color w:val="000000"/>
            <w:lang w:val="hu-HU"/>
          </w:rPr>
          <w:t>CEL</w:t>
        </w:r>
      </w:smartTag>
      <w:r w:rsidRPr="00556B9B">
        <w:rPr>
          <w:b/>
          <w:color w:val="000000"/>
          <w:lang w:val="hu-HU"/>
        </w:rPr>
        <w:t xml:space="preserve"> miatt kezelik:</w:t>
      </w:r>
    </w:p>
    <w:p w14:paraId="51DEDC98" w14:textId="57DD4005" w:rsidR="005A78EA" w:rsidRPr="00556B9B" w:rsidRDefault="005A78EA" w:rsidP="005A78EA">
      <w:pPr>
        <w:spacing w:line="240" w:lineRule="auto"/>
        <w:ind w:left="567" w:right="-2"/>
        <w:rPr>
          <w:color w:val="000000"/>
          <w:lang w:val="hu-HU"/>
        </w:rPr>
      </w:pPr>
      <w:r w:rsidRPr="00556B9B">
        <w:rPr>
          <w:color w:val="000000"/>
          <w:lang w:val="hu-HU"/>
        </w:rPr>
        <w:t>A kezdő</w:t>
      </w:r>
      <w:r w:rsidR="007E1021">
        <w:rPr>
          <w:color w:val="000000"/>
          <w:lang w:val="hu-HU"/>
        </w:rPr>
        <w:t xml:space="preserve"> </w:t>
      </w:r>
      <w:r w:rsidRPr="00556B9B">
        <w:rPr>
          <w:color w:val="000000"/>
          <w:lang w:val="hu-HU"/>
        </w:rPr>
        <w:t xml:space="preserve">dózis 100 mg, melyet 1 db kapszula formájában, naponta </w:t>
      </w:r>
      <w:r w:rsidRPr="00556B9B">
        <w:rPr>
          <w:b/>
          <w:color w:val="000000"/>
          <w:lang w:val="hu-HU"/>
        </w:rPr>
        <w:t>egy alkalommal</w:t>
      </w:r>
      <w:r w:rsidRPr="00556B9B">
        <w:rPr>
          <w:color w:val="000000"/>
          <w:lang w:val="hu-HU"/>
        </w:rPr>
        <w:t xml:space="preserve"> kell bevenni. Attól függően, hogy betegsége miként reagál a kezelésre, orvosa 400 mg</w:t>
      </w:r>
      <w:r w:rsidRPr="00556B9B">
        <w:rPr>
          <w:color w:val="000000"/>
          <w:lang w:val="hu-HU"/>
        </w:rPr>
        <w:noBreakHyphen/>
        <w:t xml:space="preserve">ra növelheti az adagot, melyet 4 db kapszula formájában, naponta </w:t>
      </w:r>
      <w:r w:rsidRPr="00556B9B">
        <w:rPr>
          <w:b/>
          <w:color w:val="000000"/>
          <w:lang w:val="hu-HU"/>
        </w:rPr>
        <w:t xml:space="preserve">egy alkalommal </w:t>
      </w:r>
      <w:r w:rsidRPr="00556B9B">
        <w:rPr>
          <w:color w:val="000000"/>
          <w:lang w:val="hu-HU"/>
        </w:rPr>
        <w:t>kell bevenni.</w:t>
      </w:r>
    </w:p>
    <w:p w14:paraId="6DC1A375" w14:textId="77777777" w:rsidR="005A78EA" w:rsidRPr="00556B9B" w:rsidRDefault="005A78EA" w:rsidP="005A78EA">
      <w:pPr>
        <w:spacing w:line="240" w:lineRule="auto"/>
        <w:ind w:right="-2"/>
        <w:rPr>
          <w:color w:val="000000"/>
          <w:lang w:val="hu-HU"/>
        </w:rPr>
      </w:pPr>
    </w:p>
    <w:p w14:paraId="38A8C374" w14:textId="77777777" w:rsidR="005A78EA" w:rsidRPr="00556B9B" w:rsidRDefault="005A78EA" w:rsidP="00951752">
      <w:pPr>
        <w:keepNext/>
        <w:numPr>
          <w:ilvl w:val="0"/>
          <w:numId w:val="21"/>
        </w:numPr>
        <w:tabs>
          <w:tab w:val="clear" w:pos="0"/>
          <w:tab w:val="num" w:pos="-7088"/>
        </w:tabs>
        <w:spacing w:line="240" w:lineRule="auto"/>
        <w:ind w:left="567" w:hanging="567"/>
        <w:rPr>
          <w:b/>
          <w:color w:val="000000"/>
          <w:lang w:val="hu-HU"/>
        </w:rPr>
      </w:pPr>
      <w:r w:rsidRPr="00556B9B">
        <w:rPr>
          <w:b/>
          <w:color w:val="000000"/>
          <w:lang w:val="hu-HU"/>
        </w:rPr>
        <w:t>Ha Önt DFSP miatt kezelik:</w:t>
      </w:r>
    </w:p>
    <w:p w14:paraId="3D5F0E09" w14:textId="77777777" w:rsidR="005A78EA" w:rsidRPr="00556B9B" w:rsidRDefault="005A78EA" w:rsidP="005A78EA">
      <w:pPr>
        <w:spacing w:line="240" w:lineRule="auto"/>
        <w:ind w:left="567" w:right="-2"/>
        <w:rPr>
          <w:color w:val="000000"/>
          <w:lang w:val="hu-HU"/>
        </w:rPr>
      </w:pPr>
      <w:r w:rsidRPr="00556B9B">
        <w:rPr>
          <w:color w:val="000000"/>
          <w:lang w:val="hu-HU"/>
        </w:rPr>
        <w:t>A dózis napi 800 mg (8 kapszula), amelyet reggel 4 db kapszula és este 4 db kapszula formájában kell bevenni.</w:t>
      </w:r>
    </w:p>
    <w:p w14:paraId="02AA4165" w14:textId="77777777" w:rsidR="005A78EA" w:rsidRPr="00556B9B" w:rsidRDefault="005A78EA" w:rsidP="005A78EA">
      <w:pPr>
        <w:spacing w:line="240" w:lineRule="auto"/>
        <w:ind w:right="-2"/>
        <w:rPr>
          <w:color w:val="000000"/>
          <w:lang w:val="hu-HU"/>
        </w:rPr>
      </w:pPr>
    </w:p>
    <w:p w14:paraId="589B762A" w14:textId="77777777" w:rsidR="005A78EA" w:rsidRPr="00D836DD" w:rsidRDefault="005A78EA" w:rsidP="00951752">
      <w:pPr>
        <w:keepNext/>
        <w:spacing w:line="240" w:lineRule="auto"/>
        <w:rPr>
          <w:b/>
          <w:color w:val="000000"/>
          <w:lang w:val="hu-HU"/>
        </w:rPr>
      </w:pPr>
      <w:r w:rsidRPr="00D836DD">
        <w:rPr>
          <w:b/>
          <w:color w:val="000000"/>
          <w:lang w:val="hu-HU"/>
        </w:rPr>
        <w:t>Alkalmazása gyermekeknél</w:t>
      </w:r>
      <w:r w:rsidR="00A11415" w:rsidRPr="00D836DD">
        <w:rPr>
          <w:b/>
          <w:color w:val="000000"/>
          <w:lang w:val="hu-HU"/>
        </w:rPr>
        <w:t xml:space="preserve"> és serdülőknél</w:t>
      </w:r>
    </w:p>
    <w:p w14:paraId="5F11051F" w14:textId="3AB4F9DD" w:rsidR="005A78EA" w:rsidRPr="00556B9B" w:rsidRDefault="005A78EA" w:rsidP="005A78EA">
      <w:pPr>
        <w:spacing w:line="240" w:lineRule="auto"/>
        <w:ind w:right="-2"/>
        <w:rPr>
          <w:color w:val="000000"/>
          <w:lang w:val="hu-HU"/>
        </w:rPr>
      </w:pPr>
      <w:r w:rsidRPr="00D836DD">
        <w:rPr>
          <w:color w:val="000000"/>
          <w:lang w:val="hu-HU"/>
        </w:rPr>
        <w:t>A</w:t>
      </w:r>
      <w:r w:rsidR="009A048F" w:rsidRPr="00D836DD">
        <w:rPr>
          <w:color w:val="000000"/>
          <w:lang w:val="hu-HU"/>
        </w:rPr>
        <w:t xml:space="preserve"> kezelő</w:t>
      </w:r>
      <w:r w:rsidRPr="00D836DD">
        <w:rPr>
          <w:color w:val="000000"/>
          <w:lang w:val="hu-HU"/>
        </w:rPr>
        <w:t>orvos megmondja, hogy mennyi Glivec kapszulát kell adnia gyermekének. Az alkalmazandó Glivec mennyiség</w:t>
      </w:r>
      <w:r w:rsidRPr="00556B9B">
        <w:rPr>
          <w:color w:val="000000"/>
          <w:lang w:val="hu-HU"/>
        </w:rPr>
        <w:t xml:space="preserve"> gyermeke állapotától, testsúlyától és testmagasságától függ. A gyermekeknek adandó összdózis nem lépheti túl a 800 mg</w:t>
      </w:r>
      <w:r w:rsidRPr="00556B9B">
        <w:rPr>
          <w:color w:val="000000"/>
          <w:lang w:val="hu-HU"/>
        </w:rPr>
        <w:noBreakHyphen/>
        <w:t>ot</w:t>
      </w:r>
      <w:r w:rsidR="00181B4E" w:rsidRPr="00556B9B">
        <w:rPr>
          <w:color w:val="000000"/>
          <w:lang w:val="hu-HU"/>
        </w:rPr>
        <w:t xml:space="preserve"> CML és 600</w:t>
      </w:r>
      <w:r w:rsidR="007B4F2D" w:rsidRPr="00556B9B">
        <w:rPr>
          <w:color w:val="000000"/>
          <w:lang w:val="hu-HU"/>
        </w:rPr>
        <w:t> </w:t>
      </w:r>
      <w:r w:rsidR="00181B4E" w:rsidRPr="00556B9B">
        <w:rPr>
          <w:color w:val="000000"/>
          <w:lang w:val="hu-HU"/>
        </w:rPr>
        <w:t>mg-ot Ph+ALL esetén</w:t>
      </w:r>
      <w:r w:rsidRPr="00556B9B">
        <w:rPr>
          <w:color w:val="000000"/>
          <w:lang w:val="hu-HU"/>
        </w:rPr>
        <w:t>. A napi adag egyszerre is, de két részre elosztva is bevehető (felét reggel, másik felét este).</w:t>
      </w:r>
    </w:p>
    <w:p w14:paraId="2AFE5B44" w14:textId="77777777" w:rsidR="005A78EA" w:rsidRPr="00556B9B" w:rsidRDefault="005A78EA" w:rsidP="005A78EA">
      <w:pPr>
        <w:spacing w:line="240" w:lineRule="auto"/>
        <w:ind w:right="-2"/>
        <w:rPr>
          <w:color w:val="000000"/>
          <w:lang w:val="hu-HU"/>
        </w:rPr>
      </w:pPr>
    </w:p>
    <w:p w14:paraId="7B0013D8" w14:textId="77777777" w:rsidR="005A78EA" w:rsidRPr="00556B9B" w:rsidRDefault="005A78EA" w:rsidP="00951752">
      <w:pPr>
        <w:keepNext/>
        <w:spacing w:line="240" w:lineRule="auto"/>
        <w:rPr>
          <w:b/>
          <w:color w:val="000000"/>
          <w:lang w:val="hu-HU"/>
        </w:rPr>
      </w:pPr>
      <w:r w:rsidRPr="00556B9B">
        <w:rPr>
          <w:b/>
          <w:color w:val="000000"/>
          <w:lang w:val="hu-HU"/>
        </w:rPr>
        <w:t>Mikor és hogyan kell szedni a Glivec</w:t>
      </w:r>
      <w:r w:rsidRPr="00556B9B">
        <w:rPr>
          <w:b/>
          <w:color w:val="000000"/>
          <w:lang w:val="hu-HU"/>
        </w:rPr>
        <w:noBreakHyphen/>
        <w:t>et?</w:t>
      </w:r>
    </w:p>
    <w:p w14:paraId="4D0644FF" w14:textId="77777777" w:rsidR="005A78EA" w:rsidRPr="00556B9B" w:rsidRDefault="005A78EA" w:rsidP="005A78EA">
      <w:pPr>
        <w:numPr>
          <w:ilvl w:val="0"/>
          <w:numId w:val="24"/>
        </w:numPr>
        <w:rPr>
          <w:color w:val="000000"/>
          <w:lang w:val="hu-HU"/>
        </w:rPr>
      </w:pPr>
      <w:r w:rsidRPr="00556B9B">
        <w:rPr>
          <w:b/>
          <w:color w:val="000000"/>
          <w:lang w:val="hu-HU"/>
        </w:rPr>
        <w:t>A Glivec</w:t>
      </w:r>
      <w:r w:rsidRPr="00556B9B">
        <w:rPr>
          <w:b/>
          <w:color w:val="000000"/>
          <w:lang w:val="hu-HU"/>
        </w:rPr>
        <w:noBreakHyphen/>
        <w:t xml:space="preserve">et étkezés közben vegye be. </w:t>
      </w:r>
      <w:r w:rsidRPr="00556B9B">
        <w:rPr>
          <w:color w:val="000000"/>
          <w:lang w:val="hu-HU"/>
        </w:rPr>
        <w:t>Ez segít elkerülni a Glivec szedése alatt jelentkező gyomorpanaszokat.</w:t>
      </w:r>
    </w:p>
    <w:p w14:paraId="0491CA79" w14:textId="77777777" w:rsidR="005A78EA" w:rsidRPr="00556B9B" w:rsidRDefault="005A78EA" w:rsidP="005A78EA">
      <w:pPr>
        <w:numPr>
          <w:ilvl w:val="0"/>
          <w:numId w:val="24"/>
        </w:numPr>
        <w:rPr>
          <w:color w:val="000000"/>
          <w:lang w:val="hu-HU"/>
        </w:rPr>
      </w:pPr>
      <w:r w:rsidRPr="00556B9B">
        <w:rPr>
          <w:b/>
          <w:color w:val="000000"/>
          <w:lang w:val="hu-HU"/>
        </w:rPr>
        <w:t>A kapszulát egészben, egy nagy pohárnyi vízzel kell lenyelni.</w:t>
      </w:r>
      <w:r w:rsidRPr="00556B9B">
        <w:rPr>
          <w:color w:val="000000"/>
          <w:lang w:val="hu-HU"/>
        </w:rPr>
        <w:t xml:space="preserve"> Ne nyissa ki és ne törje össze a kapszulát, csak abban az esetben ha a beteg (pl. gyermek) nem tudja a kapszulákat lenyelni.</w:t>
      </w:r>
    </w:p>
    <w:p w14:paraId="681143A5" w14:textId="77777777" w:rsidR="005A78EA" w:rsidRPr="00556B9B" w:rsidRDefault="005A78EA" w:rsidP="005A78EA">
      <w:pPr>
        <w:numPr>
          <w:ilvl w:val="0"/>
          <w:numId w:val="24"/>
        </w:numPr>
        <w:rPr>
          <w:color w:val="000000"/>
          <w:lang w:val="hu-HU"/>
        </w:rPr>
      </w:pPr>
      <w:r w:rsidRPr="00556B9B">
        <w:rPr>
          <w:color w:val="000000"/>
          <w:lang w:val="hu-HU"/>
        </w:rPr>
        <w:t>Ha Ön nem tudja lenyelni a kapszulát, felnyithatja azokat, és a port beleöntheti egy pohár tiszta vízbe vagy almalébe.</w:t>
      </w:r>
    </w:p>
    <w:p w14:paraId="795CF9EA" w14:textId="77777777" w:rsidR="005A78EA" w:rsidRPr="00556B9B" w:rsidRDefault="005A78EA" w:rsidP="005A78EA">
      <w:pPr>
        <w:numPr>
          <w:ilvl w:val="0"/>
          <w:numId w:val="24"/>
        </w:numPr>
        <w:rPr>
          <w:color w:val="000000"/>
          <w:lang w:val="hu-HU"/>
        </w:rPr>
      </w:pPr>
      <w:r w:rsidRPr="00556B9B">
        <w:rPr>
          <w:color w:val="000000"/>
          <w:lang w:val="hu-HU"/>
        </w:rPr>
        <w:t>Ha Ön terhes, vagy fogamzóképes korú és megpróbálja felnyitni a kapszulát, kezelje óvatosan annak tartalmát, nehogy a por a szemébe vagy a bőrére kerüljön, illetve hogy elkerülje annak belégzését. A kapszula felnyitása után azonnal mosson alaposan kezet.</w:t>
      </w:r>
    </w:p>
    <w:p w14:paraId="7EEC7233" w14:textId="77777777" w:rsidR="005A78EA" w:rsidRPr="00556B9B" w:rsidRDefault="005A78EA" w:rsidP="005A78EA">
      <w:pPr>
        <w:spacing w:line="240" w:lineRule="auto"/>
        <w:ind w:right="-2"/>
        <w:rPr>
          <w:color w:val="000000"/>
          <w:lang w:val="hu-HU"/>
        </w:rPr>
      </w:pPr>
    </w:p>
    <w:p w14:paraId="4FE619D2" w14:textId="77777777" w:rsidR="005A78EA" w:rsidRPr="00556B9B" w:rsidRDefault="005A78EA" w:rsidP="00951752">
      <w:pPr>
        <w:keepNext/>
        <w:spacing w:line="240" w:lineRule="auto"/>
        <w:rPr>
          <w:b/>
          <w:color w:val="000000"/>
          <w:lang w:val="hu-HU"/>
        </w:rPr>
      </w:pPr>
      <w:r w:rsidRPr="00556B9B">
        <w:rPr>
          <w:b/>
          <w:color w:val="000000"/>
          <w:lang w:val="hu-HU"/>
        </w:rPr>
        <w:t>Mennyi ideig szedje a Glivec</w:t>
      </w:r>
      <w:r w:rsidRPr="00556B9B">
        <w:rPr>
          <w:b/>
          <w:color w:val="000000"/>
          <w:lang w:val="hu-HU"/>
        </w:rPr>
        <w:noBreakHyphen/>
        <w:t>et?</w:t>
      </w:r>
    </w:p>
    <w:p w14:paraId="49795A8A" w14:textId="77777777" w:rsidR="005A78EA" w:rsidRPr="00556B9B" w:rsidRDefault="005A78EA" w:rsidP="005A78EA">
      <w:pPr>
        <w:ind w:right="-2"/>
        <w:rPr>
          <w:color w:val="000000"/>
          <w:lang w:val="hu-HU"/>
        </w:rPr>
      </w:pPr>
      <w:r w:rsidRPr="00556B9B">
        <w:rPr>
          <w:color w:val="000000"/>
          <w:lang w:val="hu-HU"/>
        </w:rPr>
        <w:t>A Glivec</w:t>
      </w:r>
      <w:r w:rsidRPr="00556B9B">
        <w:rPr>
          <w:color w:val="000000"/>
          <w:lang w:val="hu-HU"/>
        </w:rPr>
        <w:noBreakHyphen/>
        <w:t>et naponta szedje mindaddig, amíg kezelőorvosa előírja.</w:t>
      </w:r>
    </w:p>
    <w:p w14:paraId="4F934463" w14:textId="77777777" w:rsidR="005A78EA" w:rsidRPr="00556B9B" w:rsidRDefault="005A78EA" w:rsidP="005A78EA">
      <w:pPr>
        <w:spacing w:line="240" w:lineRule="auto"/>
        <w:ind w:right="-2"/>
        <w:rPr>
          <w:color w:val="000000"/>
          <w:lang w:val="hu-HU"/>
        </w:rPr>
      </w:pPr>
    </w:p>
    <w:p w14:paraId="5FB36527" w14:textId="77777777" w:rsidR="005A78EA" w:rsidRPr="00556B9B" w:rsidRDefault="005A78EA" w:rsidP="00951752">
      <w:pPr>
        <w:keepNext/>
        <w:spacing w:line="240" w:lineRule="auto"/>
        <w:rPr>
          <w:b/>
          <w:color w:val="000000"/>
          <w:lang w:val="hu-HU"/>
        </w:rPr>
      </w:pPr>
      <w:r w:rsidRPr="00556B9B">
        <w:rPr>
          <w:b/>
          <w:color w:val="000000"/>
          <w:lang w:val="hu-HU"/>
        </w:rPr>
        <w:t>Ha az előírtnál több Glivec</w:t>
      </w:r>
      <w:r w:rsidRPr="00556B9B">
        <w:rPr>
          <w:b/>
          <w:color w:val="000000"/>
          <w:lang w:val="hu-HU"/>
        </w:rPr>
        <w:noBreakHyphen/>
        <w:t>et vett be</w:t>
      </w:r>
    </w:p>
    <w:p w14:paraId="003C652F" w14:textId="77777777" w:rsidR="005A78EA" w:rsidRPr="00556B9B" w:rsidRDefault="005A78EA" w:rsidP="005A78EA">
      <w:pPr>
        <w:spacing w:line="240" w:lineRule="auto"/>
        <w:ind w:right="-2"/>
        <w:rPr>
          <w:color w:val="000000"/>
          <w:lang w:val="hu-HU"/>
        </w:rPr>
      </w:pPr>
      <w:r w:rsidRPr="00556B9B">
        <w:rPr>
          <w:color w:val="000000"/>
          <w:lang w:val="hu-HU"/>
        </w:rPr>
        <w:t xml:space="preserve">Ha véletlenül az előírtnál több kapszulát vett be, </w:t>
      </w:r>
      <w:r w:rsidRPr="00556B9B">
        <w:rPr>
          <w:b/>
          <w:color w:val="000000"/>
          <w:lang w:val="hu-HU"/>
        </w:rPr>
        <w:t>azonnal</w:t>
      </w:r>
      <w:r w:rsidRPr="00556B9B">
        <w:rPr>
          <w:color w:val="000000"/>
          <w:lang w:val="hu-HU"/>
        </w:rPr>
        <w:t xml:space="preserve"> forduljon kezelőorvosához. Orvosi megfigyelésre lehet szüksége. A gyógyszer csomagolását vigye magával.</w:t>
      </w:r>
    </w:p>
    <w:p w14:paraId="280271A6" w14:textId="77777777" w:rsidR="005A78EA" w:rsidRPr="00556B9B" w:rsidRDefault="005A78EA" w:rsidP="005A78EA">
      <w:pPr>
        <w:spacing w:line="240" w:lineRule="auto"/>
        <w:ind w:right="-2"/>
        <w:rPr>
          <w:color w:val="000000"/>
          <w:lang w:val="hu-HU"/>
        </w:rPr>
      </w:pPr>
    </w:p>
    <w:p w14:paraId="00CEC247" w14:textId="77777777" w:rsidR="005A78EA" w:rsidRPr="00556B9B" w:rsidRDefault="005A78EA" w:rsidP="00951752">
      <w:pPr>
        <w:keepNext/>
        <w:spacing w:line="240" w:lineRule="auto"/>
        <w:ind w:right="-2"/>
        <w:rPr>
          <w:b/>
          <w:color w:val="000000"/>
          <w:lang w:val="hu-HU"/>
        </w:rPr>
      </w:pPr>
      <w:r w:rsidRPr="00556B9B">
        <w:rPr>
          <w:b/>
          <w:color w:val="000000"/>
          <w:lang w:val="hu-HU"/>
        </w:rPr>
        <w:t>Ha elfelejtette bevenni a Glivec</w:t>
      </w:r>
      <w:r w:rsidRPr="00556B9B">
        <w:rPr>
          <w:b/>
          <w:color w:val="000000"/>
          <w:lang w:val="hu-HU"/>
        </w:rPr>
        <w:noBreakHyphen/>
        <w:t>et</w:t>
      </w:r>
    </w:p>
    <w:p w14:paraId="16FFDEE9" w14:textId="77777777" w:rsidR="005A78EA" w:rsidRPr="00556B9B" w:rsidRDefault="005A78EA" w:rsidP="005A78EA">
      <w:pPr>
        <w:numPr>
          <w:ilvl w:val="0"/>
          <w:numId w:val="25"/>
        </w:numPr>
        <w:spacing w:line="240" w:lineRule="auto"/>
        <w:ind w:right="-2"/>
        <w:rPr>
          <w:color w:val="000000"/>
          <w:lang w:val="hu-HU"/>
        </w:rPr>
      </w:pPr>
      <w:r w:rsidRPr="00556B9B">
        <w:rPr>
          <w:color w:val="000000"/>
          <w:lang w:val="hu-HU"/>
        </w:rPr>
        <w:t>Ha elfelejtett egy adagot, vegye be amint eszébe jut. Azonban, ha ez már majdnem a következő esedékes adag idejében történik, hagyja ki az elfelejtett adagot.</w:t>
      </w:r>
    </w:p>
    <w:p w14:paraId="71173E33" w14:textId="77777777" w:rsidR="005A78EA" w:rsidRPr="00556B9B" w:rsidRDefault="005A78EA" w:rsidP="005A78EA">
      <w:pPr>
        <w:numPr>
          <w:ilvl w:val="0"/>
          <w:numId w:val="25"/>
        </w:numPr>
        <w:spacing w:line="240" w:lineRule="auto"/>
        <w:ind w:right="-2"/>
        <w:rPr>
          <w:color w:val="000000"/>
          <w:lang w:val="hu-HU"/>
        </w:rPr>
      </w:pPr>
      <w:r w:rsidRPr="00556B9B">
        <w:rPr>
          <w:color w:val="000000"/>
          <w:lang w:val="hu-HU"/>
        </w:rPr>
        <w:t>Ezután folytassa a gyógyszer szedését</w:t>
      </w:r>
      <w:r w:rsidRPr="00556B9B" w:rsidDel="003509F8">
        <w:rPr>
          <w:color w:val="000000"/>
          <w:lang w:val="hu-HU"/>
        </w:rPr>
        <w:t xml:space="preserve"> </w:t>
      </w:r>
      <w:r w:rsidRPr="00556B9B">
        <w:rPr>
          <w:color w:val="000000"/>
          <w:lang w:val="hu-HU"/>
        </w:rPr>
        <w:t>a szokásos menetrend szerint.</w:t>
      </w:r>
    </w:p>
    <w:p w14:paraId="23BA20A7" w14:textId="77777777" w:rsidR="005A78EA" w:rsidRPr="00556B9B" w:rsidRDefault="005A78EA" w:rsidP="005A78EA">
      <w:pPr>
        <w:numPr>
          <w:ilvl w:val="0"/>
          <w:numId w:val="25"/>
        </w:numPr>
        <w:spacing w:line="240" w:lineRule="auto"/>
        <w:ind w:right="-2"/>
        <w:rPr>
          <w:color w:val="000000"/>
          <w:lang w:val="hu-HU"/>
        </w:rPr>
      </w:pPr>
      <w:r w:rsidRPr="00556B9B">
        <w:rPr>
          <w:noProof/>
          <w:color w:val="000000"/>
          <w:lang w:val="hu-HU"/>
        </w:rPr>
        <w:t>Ne vegyen be kétszeres adagot a kihagyott adag pótlására.</w:t>
      </w:r>
    </w:p>
    <w:p w14:paraId="36837B1D" w14:textId="77777777" w:rsidR="005A78EA" w:rsidRPr="00556B9B" w:rsidRDefault="005A78EA" w:rsidP="005A78EA">
      <w:pPr>
        <w:spacing w:line="240" w:lineRule="auto"/>
        <w:ind w:right="-2"/>
        <w:rPr>
          <w:color w:val="000000"/>
          <w:lang w:val="hu-HU"/>
        </w:rPr>
      </w:pPr>
    </w:p>
    <w:p w14:paraId="6D16D635" w14:textId="77777777" w:rsidR="005A78EA" w:rsidRPr="00556B9B" w:rsidRDefault="005A78EA" w:rsidP="005A78EA">
      <w:pPr>
        <w:spacing w:line="240" w:lineRule="auto"/>
        <w:ind w:right="-2"/>
        <w:rPr>
          <w:color w:val="000000"/>
          <w:lang w:val="hu-HU"/>
        </w:rPr>
      </w:pPr>
      <w:r w:rsidRPr="00556B9B">
        <w:rPr>
          <w:color w:val="000000"/>
          <w:lang w:val="hu-HU"/>
        </w:rPr>
        <w:t xml:space="preserve">Ha bármilyen további kérdése van a </w:t>
      </w:r>
      <w:r w:rsidR="00A11415" w:rsidRPr="00556B9B">
        <w:rPr>
          <w:color w:val="000000"/>
          <w:lang w:val="hu-HU"/>
        </w:rPr>
        <w:t xml:space="preserve">gyógyszer </w:t>
      </w:r>
      <w:r w:rsidRPr="00556B9B">
        <w:rPr>
          <w:color w:val="000000"/>
          <w:lang w:val="hu-HU"/>
        </w:rPr>
        <w:t xml:space="preserve">alkalmazásával kapcsolatban, kérdezze meg </w:t>
      </w:r>
      <w:r w:rsidR="00A11415" w:rsidRPr="00556B9B">
        <w:rPr>
          <w:color w:val="000000"/>
          <w:lang w:val="hu-HU"/>
        </w:rPr>
        <w:t>kezelő</w:t>
      </w:r>
      <w:r w:rsidRPr="00556B9B">
        <w:rPr>
          <w:color w:val="000000"/>
          <w:lang w:val="hu-HU"/>
        </w:rPr>
        <w:t>orvosát</w:t>
      </w:r>
      <w:r w:rsidR="00A11415" w:rsidRPr="00556B9B">
        <w:rPr>
          <w:color w:val="000000"/>
          <w:lang w:val="hu-HU"/>
        </w:rPr>
        <w:t>,</w:t>
      </w:r>
      <w:r w:rsidRPr="00556B9B">
        <w:rPr>
          <w:color w:val="000000"/>
          <w:lang w:val="hu-HU"/>
        </w:rPr>
        <w:t xml:space="preserve"> gyógyszerészét</w:t>
      </w:r>
      <w:r w:rsidR="00A11415" w:rsidRPr="00556B9B">
        <w:rPr>
          <w:color w:val="000000"/>
          <w:lang w:val="hu-HU"/>
        </w:rPr>
        <w:t xml:space="preserve"> vagy </w:t>
      </w:r>
      <w:r w:rsidR="00B61F0D" w:rsidRPr="00556B9B">
        <w:rPr>
          <w:color w:val="000000"/>
          <w:lang w:val="hu-HU"/>
        </w:rPr>
        <w:t>a gondozását végző egészségügyi szakembert</w:t>
      </w:r>
      <w:r w:rsidRPr="00556B9B">
        <w:rPr>
          <w:color w:val="000000"/>
          <w:lang w:val="hu-HU"/>
        </w:rPr>
        <w:t>.</w:t>
      </w:r>
    </w:p>
    <w:p w14:paraId="2024A4D2" w14:textId="77777777" w:rsidR="005A78EA" w:rsidRPr="00556B9B" w:rsidRDefault="005A78EA" w:rsidP="005A78EA">
      <w:pPr>
        <w:spacing w:line="240" w:lineRule="auto"/>
        <w:ind w:right="-2"/>
        <w:rPr>
          <w:color w:val="000000"/>
          <w:lang w:val="hu-HU"/>
        </w:rPr>
      </w:pPr>
    </w:p>
    <w:p w14:paraId="38D3BF9E" w14:textId="77777777" w:rsidR="005A78EA" w:rsidRPr="00556B9B" w:rsidRDefault="005A78EA" w:rsidP="005A78EA">
      <w:pPr>
        <w:spacing w:line="240" w:lineRule="auto"/>
        <w:ind w:right="-2"/>
        <w:rPr>
          <w:color w:val="000000"/>
          <w:lang w:val="hu-HU"/>
        </w:rPr>
      </w:pPr>
    </w:p>
    <w:p w14:paraId="2E6AD423" w14:textId="77777777" w:rsidR="00153AD1" w:rsidRPr="00556B9B" w:rsidRDefault="00153AD1" w:rsidP="00951752">
      <w:pPr>
        <w:keepNext/>
        <w:spacing w:line="240" w:lineRule="auto"/>
        <w:ind w:left="567" w:right="-2" w:hanging="567"/>
        <w:rPr>
          <w:b/>
          <w:color w:val="000000"/>
          <w:lang w:val="hu-HU"/>
        </w:rPr>
      </w:pPr>
      <w:r w:rsidRPr="00556B9B">
        <w:rPr>
          <w:b/>
          <w:color w:val="000000"/>
          <w:lang w:val="hu-HU"/>
        </w:rPr>
        <w:t>4.</w:t>
      </w:r>
      <w:r w:rsidRPr="00556B9B">
        <w:rPr>
          <w:b/>
          <w:color w:val="000000"/>
          <w:lang w:val="hu-HU"/>
        </w:rPr>
        <w:tab/>
        <w:t>Lehetséges mellékhatások</w:t>
      </w:r>
    </w:p>
    <w:p w14:paraId="5358FDFB" w14:textId="77777777" w:rsidR="00153AD1" w:rsidRPr="00556B9B" w:rsidRDefault="00153AD1" w:rsidP="00951752">
      <w:pPr>
        <w:keepNext/>
        <w:spacing w:line="240" w:lineRule="auto"/>
        <w:ind w:right="-29"/>
        <w:rPr>
          <w:color w:val="000000"/>
          <w:lang w:val="hu-HU"/>
        </w:rPr>
      </w:pPr>
    </w:p>
    <w:p w14:paraId="18147A07" w14:textId="77777777" w:rsidR="00153AD1" w:rsidRPr="00556B9B" w:rsidRDefault="00153AD1" w:rsidP="00153AD1">
      <w:pPr>
        <w:ind w:right="-29"/>
        <w:rPr>
          <w:color w:val="000000"/>
          <w:lang w:val="hu-HU"/>
        </w:rPr>
      </w:pPr>
      <w:r w:rsidRPr="00556B9B">
        <w:rPr>
          <w:color w:val="000000"/>
          <w:lang w:val="hu-HU"/>
        </w:rPr>
        <w:t xml:space="preserve">Mint minden gyógyszer, így </w:t>
      </w:r>
      <w:r w:rsidRPr="00556B9B">
        <w:rPr>
          <w:noProof/>
          <w:szCs w:val="24"/>
          <w:lang w:val="hu-HU"/>
        </w:rPr>
        <w:t>ez a gyógyszer</w:t>
      </w:r>
      <w:r w:rsidRPr="00556B9B">
        <w:rPr>
          <w:lang w:val="hu-HU"/>
        </w:rPr>
        <w:t xml:space="preserve"> </w:t>
      </w:r>
      <w:r w:rsidRPr="00556B9B">
        <w:rPr>
          <w:color w:val="000000"/>
          <w:lang w:val="hu-HU"/>
        </w:rPr>
        <w:t>is okozhat mellékhatásokat, amelyek azonban nem mindenkinél jelentkeznek. Ezek rendszerint enyhék vagy mérsékeltek.</w:t>
      </w:r>
    </w:p>
    <w:p w14:paraId="649A0AF9" w14:textId="77777777" w:rsidR="00153AD1" w:rsidRPr="00556B9B" w:rsidRDefault="00153AD1" w:rsidP="00153AD1">
      <w:pPr>
        <w:ind w:right="-29"/>
        <w:rPr>
          <w:color w:val="000000"/>
          <w:lang w:val="hu-HU"/>
        </w:rPr>
      </w:pPr>
    </w:p>
    <w:p w14:paraId="04A3E7A6" w14:textId="77777777" w:rsidR="00153AD1" w:rsidRPr="00556B9B" w:rsidRDefault="00153AD1" w:rsidP="00951752">
      <w:pPr>
        <w:keepNext/>
        <w:spacing w:line="240" w:lineRule="auto"/>
        <w:rPr>
          <w:b/>
          <w:color w:val="000000"/>
          <w:lang w:val="hu-HU"/>
        </w:rPr>
      </w:pPr>
      <w:r w:rsidRPr="00556B9B">
        <w:rPr>
          <w:b/>
          <w:color w:val="000000"/>
          <w:lang w:val="hu-HU"/>
        </w:rPr>
        <w:t>Néhány mellékhatás súlyos lehet. Azonnal forduljon kezelőorvosához, ha az alábbiak közül bármelyiket észleli:</w:t>
      </w:r>
    </w:p>
    <w:p w14:paraId="1EFA8214" w14:textId="77777777" w:rsidR="00153AD1" w:rsidRPr="00556B9B" w:rsidRDefault="00153AD1" w:rsidP="00951752">
      <w:pPr>
        <w:keepNext/>
        <w:spacing w:line="240" w:lineRule="auto"/>
        <w:rPr>
          <w:iCs/>
          <w:color w:val="000000"/>
          <w:lang w:val="hu-HU"/>
        </w:rPr>
      </w:pPr>
    </w:p>
    <w:p w14:paraId="0B5D0AA4" w14:textId="77777777" w:rsidR="00153AD1" w:rsidRPr="00556B9B" w:rsidRDefault="00153AD1" w:rsidP="00951752">
      <w:pPr>
        <w:keepNext/>
        <w:spacing w:line="240" w:lineRule="auto"/>
        <w:rPr>
          <w:bCs/>
          <w:iCs/>
          <w:color w:val="000000"/>
          <w:lang w:val="hu-HU"/>
        </w:rPr>
      </w:pPr>
      <w:r w:rsidRPr="00556B9B">
        <w:rPr>
          <w:b/>
          <w:bCs/>
          <w:iCs/>
          <w:color w:val="000000"/>
          <w:lang w:val="hu-HU"/>
        </w:rPr>
        <w:t xml:space="preserve">Nagyon gyakori </w:t>
      </w:r>
      <w:r w:rsidRPr="00556B9B">
        <w:rPr>
          <w:bCs/>
          <w:iCs/>
          <w:color w:val="000000"/>
          <w:lang w:val="hu-HU"/>
        </w:rPr>
        <w:t>(</w:t>
      </w:r>
      <w:r w:rsidRPr="00556B9B">
        <w:rPr>
          <w:color w:val="000000"/>
          <w:szCs w:val="22"/>
          <w:lang w:val="hu-HU"/>
        </w:rPr>
        <w:t>10 beteg közül több mint 1 beteget érinthet</w:t>
      </w:r>
      <w:r w:rsidRPr="00556B9B">
        <w:rPr>
          <w:bCs/>
          <w:iCs/>
          <w:color w:val="000000"/>
          <w:lang w:val="hu-HU"/>
        </w:rPr>
        <w:t xml:space="preserve">) </w:t>
      </w:r>
      <w:r w:rsidRPr="00556B9B">
        <w:rPr>
          <w:b/>
          <w:bCs/>
          <w:iCs/>
          <w:color w:val="000000"/>
          <w:lang w:val="hu-HU"/>
        </w:rPr>
        <w:t xml:space="preserve">vagy gyakori </w:t>
      </w:r>
      <w:r w:rsidRPr="00556B9B">
        <w:rPr>
          <w:bCs/>
          <w:iCs/>
          <w:color w:val="000000"/>
          <w:lang w:val="hu-HU"/>
        </w:rPr>
        <w:t>(</w:t>
      </w:r>
      <w:r w:rsidRPr="00556B9B">
        <w:rPr>
          <w:color w:val="000000"/>
          <w:szCs w:val="22"/>
          <w:lang w:val="hu-HU"/>
        </w:rPr>
        <w:t>10 beteg közül legfeljebb 1 beteget érinthet)</w:t>
      </w:r>
      <w:r w:rsidRPr="00556B9B">
        <w:rPr>
          <w:b/>
          <w:bCs/>
          <w:iCs/>
          <w:color w:val="000000"/>
          <w:lang w:val="hu-HU"/>
        </w:rPr>
        <w:t xml:space="preserve"> mellékhatások:</w:t>
      </w:r>
    </w:p>
    <w:p w14:paraId="0B6DF319"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Gyors testsúlygyarapodás. A Glivec hatására szervezete vizet tarthat vissza (súlyos folyadékretenció).</w:t>
      </w:r>
    </w:p>
    <w:p w14:paraId="1413BE6E"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Fertőzésre utaló jelek, pl. láz, súlyos mérvű hidegrázás, torokfájás, szájfekélyek. A Glivec csökkentheti a vérben a fehérvérsejtek számát, ezáltal Ön könnyebben kapja el a fertőzéseket.</w:t>
      </w:r>
    </w:p>
    <w:p w14:paraId="547D4C37"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Váratlan vérzés vagy véraláfutás (ha nem sértette meg magát).</w:t>
      </w:r>
    </w:p>
    <w:p w14:paraId="65E1B40B" w14:textId="77777777" w:rsidR="00153AD1" w:rsidRPr="00556B9B" w:rsidRDefault="00153AD1" w:rsidP="00153AD1">
      <w:pPr>
        <w:spacing w:line="240" w:lineRule="auto"/>
        <w:rPr>
          <w:color w:val="000000"/>
          <w:lang w:val="hu-HU"/>
        </w:rPr>
      </w:pPr>
    </w:p>
    <w:p w14:paraId="1EC4F093" w14:textId="77777777" w:rsidR="00153AD1" w:rsidRPr="00556B9B" w:rsidRDefault="00153AD1" w:rsidP="00951752">
      <w:pPr>
        <w:keepNext/>
        <w:spacing w:line="240" w:lineRule="auto"/>
        <w:rPr>
          <w:bCs/>
          <w:iCs/>
          <w:color w:val="000000"/>
          <w:lang w:val="hu-HU"/>
        </w:rPr>
      </w:pPr>
      <w:r w:rsidRPr="00556B9B">
        <w:rPr>
          <w:b/>
          <w:bCs/>
          <w:iCs/>
          <w:color w:val="000000"/>
          <w:lang w:val="hu-HU"/>
        </w:rPr>
        <w:t>Nem gyakori (</w:t>
      </w:r>
      <w:r w:rsidRPr="00556B9B">
        <w:rPr>
          <w:color w:val="000000"/>
          <w:szCs w:val="22"/>
          <w:lang w:val="hu-HU"/>
        </w:rPr>
        <w:t>100 beteg közül legfeljebb 1 beteget érinthet)</w:t>
      </w:r>
      <w:r w:rsidRPr="00556B9B">
        <w:rPr>
          <w:b/>
          <w:bCs/>
          <w:iCs/>
          <w:color w:val="000000"/>
          <w:lang w:val="hu-HU"/>
        </w:rPr>
        <w:t xml:space="preserve"> vagy ritka (</w:t>
      </w:r>
      <w:r w:rsidRPr="00556B9B">
        <w:rPr>
          <w:color w:val="000000"/>
          <w:szCs w:val="22"/>
          <w:lang w:val="hu-HU"/>
        </w:rPr>
        <w:t>1000 beteg közül legfeljebb 1 beteget érinthet</w:t>
      </w:r>
      <w:r w:rsidRPr="00556B9B">
        <w:rPr>
          <w:b/>
          <w:bCs/>
          <w:iCs/>
          <w:color w:val="000000"/>
          <w:lang w:val="hu-HU"/>
        </w:rPr>
        <w:t xml:space="preserve"> ) mellékhatások:</w:t>
      </w:r>
    </w:p>
    <w:p w14:paraId="044E046F"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Mellkasi fájdalom, szabálytalan szívverés (szívrendellenességre utaló jelek).</w:t>
      </w:r>
    </w:p>
    <w:p w14:paraId="400CBF4F"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Köhögés, légszomj vagy fájdalmas légzés (tüdőrendellenességre utaló jelek).</w:t>
      </w:r>
    </w:p>
    <w:p w14:paraId="44142140"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Kábultság, szédülés vagy ájulás közeli érzés (alacsony vérnyomásra utaló jelek).</w:t>
      </w:r>
    </w:p>
    <w:p w14:paraId="534C6F23"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Émelygés (hányinger) étvágytalansággal, sötét színű vizelettel vagy a bőr, illetve a szemfehérje besárgulásával (májrendellenességre utaló jelek).</w:t>
      </w:r>
    </w:p>
    <w:p w14:paraId="36507838"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Kiütés, bőrpír, hólyagokkal az ajkakon, szemeken, bőrön vagy a szájban, a bőr hámlása, láz, a bőr felszínéből kiemelkedő vörös vagy lila foltok, viszketés, égő érzés, gennyes hólyagokkal jelentkező bőrkiütés (bőrrendellen</w:t>
      </w:r>
      <w:r w:rsidR="00A850DD">
        <w:rPr>
          <w:color w:val="000000"/>
          <w:lang w:val="hu-HU"/>
        </w:rPr>
        <w:t>e</w:t>
      </w:r>
      <w:r w:rsidRPr="00556B9B">
        <w:rPr>
          <w:color w:val="000000"/>
          <w:lang w:val="hu-HU"/>
        </w:rPr>
        <w:t>sségre utaló jelek).</w:t>
      </w:r>
    </w:p>
    <w:p w14:paraId="4820C267"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Súlyos hasfájás, vér a hányadékban, a székletben vagy a vizeletben, fekete széklet (gyomor-bélrendszer rendellenességeire utaló jelek).</w:t>
      </w:r>
    </w:p>
    <w:p w14:paraId="2BCEBCE4"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A vizelet mennyiségének nagymértékű csökkenése, szomjúság érzés (veserendellenességre utaló jelek).</w:t>
      </w:r>
    </w:p>
    <w:p w14:paraId="353137A4" w14:textId="77777777" w:rsidR="00153AD1" w:rsidRPr="00A639D2"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 xml:space="preserve">Émelygés (hányinger) hasmenéssel és </w:t>
      </w:r>
      <w:r w:rsidRPr="00A639D2">
        <w:rPr>
          <w:color w:val="000000"/>
          <w:lang w:val="hu-HU"/>
        </w:rPr>
        <w:t>hányással, hasfájás vagy láz (bélrendellenességre utaló jelek).</w:t>
      </w:r>
    </w:p>
    <w:p w14:paraId="3C306CFD" w14:textId="68EFE93A" w:rsidR="00153AD1" w:rsidRPr="00556B9B" w:rsidRDefault="00153AD1" w:rsidP="00153AD1">
      <w:pPr>
        <w:numPr>
          <w:ilvl w:val="0"/>
          <w:numId w:val="9"/>
        </w:numPr>
        <w:tabs>
          <w:tab w:val="clear" w:pos="360"/>
        </w:tabs>
        <w:spacing w:line="240" w:lineRule="auto"/>
        <w:ind w:left="567" w:hanging="567"/>
        <w:rPr>
          <w:color w:val="000000"/>
          <w:lang w:val="hu-HU"/>
        </w:rPr>
      </w:pPr>
      <w:r w:rsidRPr="00A639D2">
        <w:rPr>
          <w:color w:val="000000"/>
          <w:lang w:val="hu-HU"/>
        </w:rPr>
        <w:t>Súlyos fejfájás, a végtagok vagy az arc</w:t>
      </w:r>
      <w:r w:rsidR="00ED04A5" w:rsidRPr="00A639D2">
        <w:rPr>
          <w:color w:val="000000"/>
          <w:lang w:val="hu-HU"/>
        </w:rPr>
        <w:t>izmok</w:t>
      </w:r>
      <w:r w:rsidRPr="00A639D2">
        <w:rPr>
          <w:color w:val="000000"/>
          <w:lang w:val="hu-HU"/>
        </w:rPr>
        <w:t xml:space="preserve"> gyengesége vagy bénulása, nehezített beszéd, hirtelen eszméletvesztés (idegrendszeri rendellenességre</w:t>
      </w:r>
      <w:r w:rsidRPr="00556B9B">
        <w:rPr>
          <w:color w:val="000000"/>
          <w:lang w:val="hu-HU"/>
        </w:rPr>
        <w:t>, mint például a koponyán belüli vagy az agyban kialakuló vérzésre vagy vizenyőre utaló jelek).</w:t>
      </w:r>
    </w:p>
    <w:p w14:paraId="28D1FAA8"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Sápadt bőr, fáradtság és légszomj, valamint sötét vizelet (alacsony vörösvértestszámra utaló jelek).</w:t>
      </w:r>
    </w:p>
    <w:p w14:paraId="1A89C338"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Szemfájdalom vagy a látás romlása, vérzés a szemben.</w:t>
      </w:r>
    </w:p>
    <w:p w14:paraId="3212FA0F"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Csípőfájdalom vagy a járás nehezítettsége.</w:t>
      </w:r>
    </w:p>
    <w:p w14:paraId="1D0FEC91"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A láb- és kézujjak zsibbadása vagy hidegsége (Raynaud-szindrómára utaló jelek).</w:t>
      </w:r>
    </w:p>
    <w:p w14:paraId="06F3255C"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A bőr hirtelen duzzadása és vörössége (cellulitisz nevű bőrfertőzésre utaló jelek).</w:t>
      </w:r>
    </w:p>
    <w:p w14:paraId="38ECF41E"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Halláscsökkenés.</w:t>
      </w:r>
    </w:p>
    <w:p w14:paraId="755DF77D"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Izomgyengeség és izomgörcsök szívritmuszavarral (a vérben lévő kálium-mennyiség változásának jelei).</w:t>
      </w:r>
    </w:p>
    <w:p w14:paraId="30EC7963"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Véraláfutás.</w:t>
      </w:r>
    </w:p>
    <w:p w14:paraId="7AF991EB"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Gyomorfájdalom émelygéssel (hányingerrel).</w:t>
      </w:r>
    </w:p>
    <w:p w14:paraId="535FE519"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Izomgörcsök lázzal, vöröses-barna színű vizelettel, izomfájdalommal vagy izomgyengeséggel (izomrendellenességre utaló jelek).</w:t>
      </w:r>
    </w:p>
    <w:p w14:paraId="20E4CC52"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Kismedencei fájdalom, néha hányingerrel és hányással, váratlan hüvelyi vérzéssel, szédüléssel vagy ájulás közeli érzéssel, mely az alacsony vérnyomásnak tulajdonítható (petefészek- vagy méhrendellen</w:t>
      </w:r>
      <w:r w:rsidR="00A850DD">
        <w:rPr>
          <w:color w:val="000000"/>
          <w:lang w:val="hu-HU"/>
        </w:rPr>
        <w:t>e</w:t>
      </w:r>
      <w:r w:rsidRPr="00556B9B">
        <w:rPr>
          <w:color w:val="000000"/>
          <w:lang w:val="hu-HU"/>
        </w:rPr>
        <w:t>sségre utaló jelek).</w:t>
      </w:r>
    </w:p>
    <w:p w14:paraId="047F3046" w14:textId="77777777" w:rsidR="00951E31" w:rsidRPr="00556B9B" w:rsidRDefault="00153AD1" w:rsidP="00951E31">
      <w:pPr>
        <w:numPr>
          <w:ilvl w:val="0"/>
          <w:numId w:val="9"/>
        </w:numPr>
        <w:tabs>
          <w:tab w:val="clear" w:pos="360"/>
          <w:tab w:val="num" w:pos="567"/>
        </w:tabs>
        <w:spacing w:line="240" w:lineRule="auto"/>
        <w:ind w:left="567" w:hanging="567"/>
        <w:rPr>
          <w:color w:val="000000"/>
          <w:lang w:val="hu-HU"/>
        </w:rPr>
      </w:pPr>
      <w:r w:rsidRPr="00556B9B">
        <w:rPr>
          <w:color w:val="000000"/>
          <w:lang w:val="hu-HU"/>
        </w:rPr>
        <w:t>Kóros laborat</w:t>
      </w:r>
      <w:r w:rsidR="001355AC" w:rsidRPr="00556B9B">
        <w:rPr>
          <w:color w:val="000000"/>
          <w:lang w:val="hu-HU"/>
        </w:rPr>
        <w:t>ó</w:t>
      </w:r>
      <w:r w:rsidRPr="00556B9B">
        <w:rPr>
          <w:color w:val="000000"/>
          <w:lang w:val="hu-HU"/>
        </w:rPr>
        <w:t xml:space="preserve">riumi teszt eredményekkel (pl. magas kálium-, húgysav- és </w:t>
      </w:r>
      <w:r w:rsidR="00F651E4" w:rsidRPr="00556B9B">
        <w:rPr>
          <w:color w:val="000000"/>
          <w:lang w:val="hu-HU"/>
        </w:rPr>
        <w:t>ka</w:t>
      </w:r>
      <w:r w:rsidR="003765B0" w:rsidRPr="00556B9B">
        <w:rPr>
          <w:color w:val="000000"/>
          <w:lang w:val="hu-HU"/>
        </w:rPr>
        <w:t>lcium</w:t>
      </w:r>
      <w:r w:rsidRPr="00556B9B">
        <w:rPr>
          <w:color w:val="000000"/>
          <w:lang w:val="hu-HU"/>
        </w:rPr>
        <w:t xml:space="preserve">szint, valamint alacsony </w:t>
      </w:r>
      <w:r w:rsidR="003765B0" w:rsidRPr="00556B9B">
        <w:rPr>
          <w:color w:val="000000"/>
          <w:lang w:val="hu-HU"/>
        </w:rPr>
        <w:t>foszfor</w:t>
      </w:r>
      <w:r w:rsidRPr="00556B9B">
        <w:rPr>
          <w:color w:val="000000"/>
          <w:lang w:val="hu-HU"/>
        </w:rPr>
        <w:t xml:space="preserve">szint a vérben) összefüggő hányinger, légszomj, rendszertelen </w:t>
      </w:r>
      <w:r w:rsidR="00951E31" w:rsidRPr="00556B9B">
        <w:rPr>
          <w:color w:val="000000"/>
          <w:lang w:val="hu-HU"/>
        </w:rPr>
        <w:t>szívverés, zavaros vizelet, fáradtság és/vagy ízületi fájdalom.</w:t>
      </w:r>
    </w:p>
    <w:p w14:paraId="1E6B8FAD" w14:textId="77777777" w:rsidR="00951E31" w:rsidRPr="00556B9B" w:rsidRDefault="00951E31" w:rsidP="00951E31">
      <w:pPr>
        <w:numPr>
          <w:ilvl w:val="0"/>
          <w:numId w:val="9"/>
        </w:numPr>
        <w:tabs>
          <w:tab w:val="clear" w:pos="360"/>
          <w:tab w:val="num" w:pos="567"/>
        </w:tabs>
        <w:spacing w:line="240" w:lineRule="auto"/>
        <w:ind w:left="567" w:hanging="567"/>
        <w:rPr>
          <w:color w:val="000000"/>
          <w:lang w:val="hu-HU"/>
        </w:rPr>
      </w:pPr>
      <w:r w:rsidRPr="00556B9B">
        <w:rPr>
          <w:color w:val="000000"/>
          <w:lang w:val="hu-HU"/>
        </w:rPr>
        <w:lastRenderedPageBreak/>
        <w:t>Vérrögök a kis vérerekben (trombotikus mikroangiopátia).</w:t>
      </w:r>
    </w:p>
    <w:p w14:paraId="1F7393B3" w14:textId="77777777" w:rsidR="00181B4E" w:rsidRPr="00556B9B" w:rsidRDefault="00181B4E" w:rsidP="00951E31">
      <w:pPr>
        <w:spacing w:line="240" w:lineRule="auto"/>
        <w:rPr>
          <w:color w:val="000000"/>
          <w:lang w:val="hu-HU"/>
        </w:rPr>
      </w:pPr>
    </w:p>
    <w:p w14:paraId="2FF6082E" w14:textId="77777777" w:rsidR="00F651E4" w:rsidRPr="00556B9B" w:rsidRDefault="00F651E4" w:rsidP="00951752">
      <w:pPr>
        <w:keepNext/>
        <w:spacing w:line="240" w:lineRule="auto"/>
        <w:rPr>
          <w:color w:val="000000"/>
          <w:lang w:val="hu-HU"/>
        </w:rPr>
      </w:pPr>
      <w:r w:rsidRPr="00556B9B">
        <w:rPr>
          <w:b/>
          <w:color w:val="000000"/>
          <w:lang w:val="hu-HU"/>
        </w:rPr>
        <w:t xml:space="preserve">Nem ismert </w:t>
      </w:r>
      <w:r w:rsidRPr="00556B9B">
        <w:rPr>
          <w:color w:val="000000"/>
          <w:lang w:val="hu-HU"/>
        </w:rPr>
        <w:t>(a gyakoriság a rendelkezésre álló adatokból nem állapítható meg):</w:t>
      </w:r>
    </w:p>
    <w:p w14:paraId="0CA49180" w14:textId="4BE25C6A" w:rsidR="00F651E4" w:rsidRPr="00556B9B" w:rsidRDefault="00F651E4" w:rsidP="00C806F6">
      <w:pPr>
        <w:numPr>
          <w:ilvl w:val="0"/>
          <w:numId w:val="38"/>
        </w:numPr>
        <w:tabs>
          <w:tab w:val="clear" w:pos="720"/>
        </w:tabs>
        <w:spacing w:line="240" w:lineRule="auto"/>
        <w:ind w:left="567" w:hanging="567"/>
        <w:rPr>
          <w:color w:val="000000"/>
          <w:lang w:val="hu-HU"/>
        </w:rPr>
      </w:pPr>
      <w:r w:rsidRPr="00556B9B">
        <w:rPr>
          <w:color w:val="000000"/>
          <w:lang w:val="hu-HU"/>
        </w:rPr>
        <w:t>Kiterjedt, súlyos bőrkiütés, hányinger, láz, bizonyos fehérvérsejtek magas száma vagy sárga bőr vagy szemfehérje (sárgaság tünetei) kombinációja, légszomjjal, mellkasi fájdalommal/ kellemetlen érzéssel, súlyosan csökkent vizeletürítéssel és szomjúsággal, stb. (ezek a kezeléssel összefüggő allergiás reakció jelei).</w:t>
      </w:r>
    </w:p>
    <w:p w14:paraId="206E853D" w14:textId="77777777" w:rsidR="00897F6C" w:rsidRPr="00556B9B" w:rsidRDefault="00897F6C" w:rsidP="00C806F6">
      <w:pPr>
        <w:numPr>
          <w:ilvl w:val="0"/>
          <w:numId w:val="38"/>
        </w:numPr>
        <w:tabs>
          <w:tab w:val="clear" w:pos="720"/>
        </w:tabs>
        <w:spacing w:line="240" w:lineRule="auto"/>
        <w:ind w:left="567" w:hanging="567"/>
        <w:rPr>
          <w:color w:val="000000"/>
          <w:lang w:val="hu-HU"/>
        </w:rPr>
      </w:pPr>
      <w:r w:rsidRPr="00556B9B">
        <w:rPr>
          <w:color w:val="000000"/>
          <w:lang w:val="hu-HU"/>
        </w:rPr>
        <w:t>Krónikus veseelégtelenség</w:t>
      </w:r>
      <w:r w:rsidR="000F1B06" w:rsidRPr="00556B9B">
        <w:rPr>
          <w:color w:val="000000"/>
          <w:lang w:val="hu-HU"/>
        </w:rPr>
        <w:t>.</w:t>
      </w:r>
    </w:p>
    <w:p w14:paraId="4AFA2F4E" w14:textId="77777777" w:rsidR="00E90E3E" w:rsidRPr="00556B9B" w:rsidRDefault="00E90E3E" w:rsidP="00E90E3E">
      <w:pPr>
        <w:numPr>
          <w:ilvl w:val="0"/>
          <w:numId w:val="38"/>
        </w:numPr>
        <w:tabs>
          <w:tab w:val="clear" w:pos="720"/>
        </w:tabs>
        <w:spacing w:line="240" w:lineRule="auto"/>
        <w:ind w:left="567" w:hanging="567"/>
        <w:rPr>
          <w:color w:val="000000"/>
          <w:lang w:val="hu-HU"/>
        </w:rPr>
      </w:pPr>
      <w:r w:rsidRPr="00556B9B">
        <w:rPr>
          <w:color w:val="000000"/>
          <w:lang w:val="hu-HU"/>
        </w:rPr>
        <w:t>A hepatitisz B fertőzés kiújulása (reaktiválódása), ha Önnek korábban hepatitisz B fertőzése (egy májfertőzés) volt.</w:t>
      </w:r>
    </w:p>
    <w:p w14:paraId="7AF59B60" w14:textId="77777777" w:rsidR="0019126F" w:rsidRPr="00556B9B" w:rsidRDefault="0019126F" w:rsidP="007B4F2D">
      <w:pPr>
        <w:spacing w:line="240" w:lineRule="auto"/>
        <w:ind w:left="567" w:hanging="567"/>
        <w:rPr>
          <w:color w:val="000000"/>
          <w:lang w:val="hu-HU"/>
        </w:rPr>
      </w:pPr>
    </w:p>
    <w:p w14:paraId="3B569C20" w14:textId="77777777" w:rsidR="00153AD1" w:rsidRPr="00556B9B" w:rsidRDefault="00153AD1" w:rsidP="00951752">
      <w:pPr>
        <w:keepNext/>
        <w:spacing w:line="240" w:lineRule="auto"/>
        <w:rPr>
          <w:color w:val="000000"/>
          <w:lang w:val="hu-HU"/>
        </w:rPr>
      </w:pPr>
      <w:r w:rsidRPr="00556B9B">
        <w:rPr>
          <w:b/>
          <w:color w:val="000000"/>
          <w:lang w:val="hu-HU"/>
        </w:rPr>
        <w:t xml:space="preserve">Azonnal forduljon kezelőorvosához, </w:t>
      </w:r>
      <w:r w:rsidRPr="00556B9B">
        <w:rPr>
          <w:color w:val="000000"/>
          <w:lang w:val="hu-HU"/>
        </w:rPr>
        <w:t>ha a fentiek közül bármelyiket észleli!</w:t>
      </w:r>
    </w:p>
    <w:p w14:paraId="04B040FC" w14:textId="77777777" w:rsidR="00153AD1" w:rsidRPr="00556B9B" w:rsidRDefault="00153AD1" w:rsidP="00951752">
      <w:pPr>
        <w:keepNext/>
        <w:spacing w:line="240" w:lineRule="auto"/>
        <w:rPr>
          <w:color w:val="000000"/>
          <w:lang w:val="hu-HU"/>
        </w:rPr>
      </w:pPr>
    </w:p>
    <w:p w14:paraId="78B9B05A" w14:textId="77777777" w:rsidR="00153AD1" w:rsidRPr="00556B9B" w:rsidRDefault="00153AD1" w:rsidP="00951752">
      <w:pPr>
        <w:keepNext/>
        <w:spacing w:line="240" w:lineRule="auto"/>
        <w:rPr>
          <w:b/>
          <w:color w:val="000000"/>
          <w:lang w:val="hu-HU"/>
        </w:rPr>
      </w:pPr>
      <w:r w:rsidRPr="00556B9B">
        <w:rPr>
          <w:b/>
          <w:color w:val="000000"/>
          <w:lang w:val="hu-HU"/>
        </w:rPr>
        <w:t>További lehetséges mellékhatások:</w:t>
      </w:r>
    </w:p>
    <w:p w14:paraId="06AF5E5E" w14:textId="77777777" w:rsidR="00153AD1" w:rsidRPr="00556B9B" w:rsidRDefault="00153AD1" w:rsidP="00951752">
      <w:pPr>
        <w:keepNext/>
        <w:widowControl w:val="0"/>
        <w:shd w:val="clear" w:color="auto" w:fill="FFFFFF"/>
        <w:tabs>
          <w:tab w:val="left" w:pos="677"/>
        </w:tabs>
        <w:suppressAutoHyphens w:val="0"/>
        <w:autoSpaceDE w:val="0"/>
        <w:autoSpaceDN w:val="0"/>
        <w:adjustRightInd w:val="0"/>
        <w:spacing w:line="240" w:lineRule="auto"/>
        <w:rPr>
          <w:color w:val="000000"/>
          <w:szCs w:val="22"/>
          <w:lang w:val="hu-HU"/>
        </w:rPr>
      </w:pPr>
      <w:r w:rsidRPr="00556B9B">
        <w:rPr>
          <w:b/>
          <w:color w:val="000000"/>
          <w:lang w:val="hu-HU"/>
        </w:rPr>
        <w:t>Nagyon gyakori (</w:t>
      </w:r>
      <w:r w:rsidRPr="00556B9B">
        <w:rPr>
          <w:color w:val="000000"/>
          <w:szCs w:val="22"/>
          <w:lang w:val="hu-HU"/>
        </w:rPr>
        <w:t>10 beteg közül több mint 1 beteget érinthet)</w:t>
      </w:r>
    </w:p>
    <w:p w14:paraId="10C3DE65" w14:textId="77777777" w:rsidR="00153AD1" w:rsidRPr="00556B9B" w:rsidRDefault="00153AD1" w:rsidP="00153AD1">
      <w:pPr>
        <w:numPr>
          <w:ilvl w:val="0"/>
          <w:numId w:val="27"/>
        </w:numPr>
        <w:tabs>
          <w:tab w:val="clear" w:pos="360"/>
          <w:tab w:val="num" w:pos="600"/>
        </w:tabs>
        <w:spacing w:line="240" w:lineRule="auto"/>
        <w:ind w:left="600" w:hanging="600"/>
        <w:rPr>
          <w:color w:val="000000"/>
          <w:lang w:val="hu-HU"/>
        </w:rPr>
      </w:pPr>
      <w:r w:rsidRPr="00556B9B">
        <w:rPr>
          <w:color w:val="000000"/>
          <w:lang w:val="hu-HU"/>
        </w:rPr>
        <w:t>Fejfájás vagy fáradtság.</w:t>
      </w:r>
    </w:p>
    <w:p w14:paraId="45377C8B" w14:textId="77777777" w:rsidR="00153AD1" w:rsidRPr="00556B9B" w:rsidRDefault="00153AD1" w:rsidP="00153AD1">
      <w:pPr>
        <w:numPr>
          <w:ilvl w:val="0"/>
          <w:numId w:val="27"/>
        </w:numPr>
        <w:tabs>
          <w:tab w:val="clear" w:pos="360"/>
          <w:tab w:val="num" w:pos="600"/>
        </w:tabs>
        <w:spacing w:line="240" w:lineRule="auto"/>
        <w:ind w:left="600" w:hanging="600"/>
        <w:rPr>
          <w:color w:val="000000"/>
          <w:lang w:val="hu-HU"/>
        </w:rPr>
      </w:pPr>
      <w:r w:rsidRPr="00556B9B">
        <w:rPr>
          <w:color w:val="000000"/>
          <w:lang w:val="hu-HU"/>
        </w:rPr>
        <w:t>Hányinger, hányás, hasmenés vagy emésztési zavarok.</w:t>
      </w:r>
    </w:p>
    <w:p w14:paraId="7CB1AEA5" w14:textId="77777777" w:rsidR="00153AD1" w:rsidRPr="00556B9B" w:rsidRDefault="00153AD1" w:rsidP="00153AD1">
      <w:pPr>
        <w:numPr>
          <w:ilvl w:val="0"/>
          <w:numId w:val="27"/>
        </w:numPr>
        <w:tabs>
          <w:tab w:val="clear" w:pos="360"/>
          <w:tab w:val="num" w:pos="600"/>
        </w:tabs>
        <w:spacing w:line="240" w:lineRule="auto"/>
        <w:ind w:left="600" w:hanging="600"/>
        <w:rPr>
          <w:color w:val="000000"/>
          <w:lang w:val="hu-HU"/>
        </w:rPr>
      </w:pPr>
      <w:r w:rsidRPr="00556B9B">
        <w:rPr>
          <w:color w:val="000000"/>
          <w:lang w:val="hu-HU"/>
        </w:rPr>
        <w:t>Bőrkiütés.</w:t>
      </w:r>
    </w:p>
    <w:p w14:paraId="4785DB17" w14:textId="77777777" w:rsidR="00731E39" w:rsidRPr="00556B9B" w:rsidRDefault="00731E39" w:rsidP="00731E39">
      <w:pPr>
        <w:numPr>
          <w:ilvl w:val="0"/>
          <w:numId w:val="27"/>
        </w:numPr>
        <w:tabs>
          <w:tab w:val="clear" w:pos="360"/>
          <w:tab w:val="num" w:pos="600"/>
        </w:tabs>
        <w:spacing w:line="240" w:lineRule="auto"/>
        <w:ind w:left="600" w:hanging="600"/>
        <w:rPr>
          <w:color w:val="000000"/>
          <w:lang w:val="hu-HU"/>
        </w:rPr>
      </w:pPr>
      <w:r w:rsidRPr="00556B9B">
        <w:rPr>
          <w:color w:val="000000"/>
          <w:lang w:val="hu-HU"/>
        </w:rPr>
        <w:t>Izomgörcsök vagy ízületi-, izom</w:t>
      </w:r>
      <w:r w:rsidRPr="00556B9B">
        <w:rPr>
          <w:color w:val="000000"/>
          <w:lang w:val="hu-HU"/>
        </w:rPr>
        <w:noBreakHyphen/>
        <w:t xml:space="preserve"> vagy csontfájdalmak a Glivec</w:t>
      </w:r>
      <w:r w:rsidRPr="00556B9B">
        <w:rPr>
          <w:color w:val="000000"/>
          <w:lang w:val="hu-HU"/>
        </w:rPr>
        <w:noBreakHyphen/>
        <w:t>kezelés alatt, vagy a Glivec szedésének abbahagyását követően.</w:t>
      </w:r>
    </w:p>
    <w:p w14:paraId="7532D19A" w14:textId="46003323" w:rsidR="00153AD1" w:rsidRPr="000F68DC" w:rsidRDefault="00153AD1" w:rsidP="00153AD1">
      <w:pPr>
        <w:numPr>
          <w:ilvl w:val="0"/>
          <w:numId w:val="27"/>
        </w:numPr>
        <w:tabs>
          <w:tab w:val="clear" w:pos="360"/>
          <w:tab w:val="num" w:pos="600"/>
        </w:tabs>
        <w:spacing w:line="240" w:lineRule="auto"/>
        <w:ind w:left="600" w:hanging="600"/>
        <w:rPr>
          <w:color w:val="000000"/>
          <w:lang w:val="hu-HU"/>
        </w:rPr>
      </w:pPr>
      <w:r w:rsidRPr="000F68DC">
        <w:rPr>
          <w:color w:val="000000"/>
          <w:lang w:val="hu-HU"/>
        </w:rPr>
        <w:t>Duzzanat, mint a bokaduzzanat és a szem</w:t>
      </w:r>
      <w:r w:rsidR="00ED04A5" w:rsidRPr="000F68DC">
        <w:rPr>
          <w:color w:val="000000"/>
          <w:lang w:val="hu-HU"/>
        </w:rPr>
        <w:t>tájék</w:t>
      </w:r>
      <w:r w:rsidRPr="000F68DC">
        <w:rPr>
          <w:color w:val="000000"/>
          <w:lang w:val="hu-HU"/>
        </w:rPr>
        <w:t xml:space="preserve"> duzzanata.</w:t>
      </w:r>
    </w:p>
    <w:p w14:paraId="399FEF64" w14:textId="77777777" w:rsidR="00153AD1" w:rsidRPr="000F68DC" w:rsidRDefault="00153AD1" w:rsidP="00951752">
      <w:pPr>
        <w:keepNext/>
        <w:numPr>
          <w:ilvl w:val="0"/>
          <w:numId w:val="27"/>
        </w:numPr>
        <w:tabs>
          <w:tab w:val="clear" w:pos="360"/>
          <w:tab w:val="num" w:pos="600"/>
        </w:tabs>
        <w:spacing w:line="240" w:lineRule="auto"/>
        <w:ind w:left="600" w:hanging="600"/>
        <w:rPr>
          <w:color w:val="000000"/>
          <w:lang w:val="hu-HU"/>
        </w:rPr>
      </w:pPr>
      <w:r w:rsidRPr="000F68DC">
        <w:rPr>
          <w:color w:val="000000"/>
          <w:lang w:val="hu-HU"/>
        </w:rPr>
        <w:t>Testsúlygyarapodás.</w:t>
      </w:r>
    </w:p>
    <w:p w14:paraId="47AF9F47" w14:textId="77777777" w:rsidR="00153AD1" w:rsidRPr="00556B9B" w:rsidRDefault="00153AD1" w:rsidP="00153AD1">
      <w:pPr>
        <w:spacing w:line="240" w:lineRule="auto"/>
        <w:rPr>
          <w:color w:val="000000"/>
          <w:lang w:val="hu-HU"/>
        </w:rPr>
      </w:pPr>
      <w:r w:rsidRPr="000F68DC">
        <w:rPr>
          <w:b/>
          <w:color w:val="000000"/>
          <w:lang w:val="hu-HU"/>
        </w:rPr>
        <w:t>Forduljon kezelőorvosához</w:t>
      </w:r>
      <w:r w:rsidRPr="000F68DC">
        <w:rPr>
          <w:color w:val="000000"/>
          <w:lang w:val="hu-HU"/>
        </w:rPr>
        <w:t>, ha a fent felsorolt mellékhatások</w:t>
      </w:r>
      <w:r w:rsidRPr="00556B9B">
        <w:rPr>
          <w:color w:val="000000"/>
          <w:lang w:val="hu-HU"/>
        </w:rPr>
        <w:t xml:space="preserve"> súlyos formában jelentkeznek.</w:t>
      </w:r>
    </w:p>
    <w:p w14:paraId="377E395D" w14:textId="77777777" w:rsidR="00153AD1" w:rsidRPr="00556B9B" w:rsidRDefault="00153AD1" w:rsidP="00153AD1">
      <w:pPr>
        <w:spacing w:line="240" w:lineRule="auto"/>
        <w:rPr>
          <w:color w:val="000000"/>
          <w:lang w:val="hu-HU"/>
        </w:rPr>
      </w:pPr>
    </w:p>
    <w:p w14:paraId="006B8512" w14:textId="77777777" w:rsidR="00153AD1" w:rsidRPr="00556B9B" w:rsidRDefault="00153AD1" w:rsidP="00951752">
      <w:pPr>
        <w:keepNext/>
        <w:spacing w:line="240" w:lineRule="auto"/>
        <w:rPr>
          <w:color w:val="000000"/>
          <w:lang w:val="hu-HU"/>
        </w:rPr>
      </w:pPr>
      <w:r w:rsidRPr="00556B9B">
        <w:rPr>
          <w:b/>
          <w:color w:val="000000"/>
          <w:lang w:val="hu-HU"/>
        </w:rPr>
        <w:t>Gyakori (</w:t>
      </w:r>
      <w:r w:rsidRPr="00556B9B">
        <w:rPr>
          <w:color w:val="000000"/>
          <w:szCs w:val="22"/>
          <w:lang w:val="hu-HU"/>
        </w:rPr>
        <w:t>10 beteg közül legfeljebb 1 beteget érinthet):</w:t>
      </w:r>
    </w:p>
    <w:p w14:paraId="37DCC6AD" w14:textId="77777777" w:rsidR="00153AD1" w:rsidRPr="00556B9B" w:rsidRDefault="00153AD1" w:rsidP="00153AD1">
      <w:pPr>
        <w:numPr>
          <w:ilvl w:val="0"/>
          <w:numId w:val="29"/>
        </w:numPr>
        <w:tabs>
          <w:tab w:val="clear" w:pos="360"/>
          <w:tab w:val="num" w:pos="600"/>
        </w:tabs>
        <w:spacing w:line="240" w:lineRule="auto"/>
        <w:ind w:left="600" w:hanging="600"/>
        <w:rPr>
          <w:color w:val="000000"/>
          <w:lang w:val="hu-HU"/>
        </w:rPr>
      </w:pPr>
      <w:r w:rsidRPr="00556B9B">
        <w:rPr>
          <w:color w:val="000000"/>
          <w:lang w:val="hu-HU"/>
        </w:rPr>
        <w:t>Étvágytalanság, testsúlycsökkenés vagy ízérzési zavarok.</w:t>
      </w:r>
    </w:p>
    <w:p w14:paraId="2BBEAB19"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Szédülés vagy gyengeség.</w:t>
      </w:r>
    </w:p>
    <w:p w14:paraId="4CB6B1A0"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Álmatlanság (inszomnia).</w:t>
      </w:r>
    </w:p>
    <w:p w14:paraId="17C93546"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Szemváladékozás viszketéssel, vörösséggel és duzzanattal (kötőhártya</w:t>
      </w:r>
      <w:r w:rsidR="001355AC" w:rsidRPr="00556B9B">
        <w:rPr>
          <w:color w:val="000000"/>
          <w:lang w:val="hu-HU"/>
        </w:rPr>
        <w:t>-</w:t>
      </w:r>
      <w:r w:rsidRPr="00556B9B">
        <w:rPr>
          <w:color w:val="000000"/>
          <w:lang w:val="hu-HU"/>
        </w:rPr>
        <w:t>gyulladás), fokozott könnyfolyás vagy homályos látás.</w:t>
      </w:r>
    </w:p>
    <w:p w14:paraId="1D0D725C"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Orrvérzés.</w:t>
      </w:r>
    </w:p>
    <w:p w14:paraId="27E8E22E"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Hasi fájdalom vagy haspuffadás, fokozott bélgáztermelődés, gyomorégés vagy székrekedés.</w:t>
      </w:r>
    </w:p>
    <w:p w14:paraId="2C39BF60"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Viszketés.</w:t>
      </w:r>
    </w:p>
    <w:p w14:paraId="3E6F9659"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Szokatlan hajhullás vagy hajritkulás.</w:t>
      </w:r>
    </w:p>
    <w:p w14:paraId="59E7B151"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Kéz</w:t>
      </w:r>
      <w:r w:rsidRPr="00556B9B">
        <w:rPr>
          <w:color w:val="000000"/>
          <w:lang w:val="hu-HU"/>
        </w:rPr>
        <w:noBreakHyphen/>
        <w:t xml:space="preserve"> és lábfejzsibbadás.</w:t>
      </w:r>
    </w:p>
    <w:p w14:paraId="288A5A3A"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Szájfekély.</w:t>
      </w:r>
    </w:p>
    <w:p w14:paraId="5EB428D4"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Ízületi fájdalom duzzadással.</w:t>
      </w:r>
    </w:p>
    <w:p w14:paraId="408F2AFA"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Szájszárazság, bőrszárazság vagy szemszárazság.</w:t>
      </w:r>
    </w:p>
    <w:p w14:paraId="4F708A1E"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A bőr érzékenységének csökkenése vagy fokozódása.</w:t>
      </w:r>
    </w:p>
    <w:p w14:paraId="2B6F7DD0" w14:textId="77777777" w:rsidR="00153AD1" w:rsidRPr="00556B9B" w:rsidRDefault="00153AD1" w:rsidP="00951752">
      <w:pPr>
        <w:keepNext/>
        <w:numPr>
          <w:ilvl w:val="0"/>
          <w:numId w:val="28"/>
        </w:numPr>
        <w:tabs>
          <w:tab w:val="clear" w:pos="360"/>
          <w:tab w:val="num" w:pos="600"/>
        </w:tabs>
        <w:spacing w:line="240" w:lineRule="auto"/>
        <w:ind w:left="600" w:hanging="600"/>
        <w:rPr>
          <w:color w:val="000000"/>
          <w:lang w:val="hu-HU"/>
        </w:rPr>
      </w:pPr>
      <w:r w:rsidRPr="00556B9B">
        <w:rPr>
          <w:color w:val="000000"/>
          <w:lang w:val="hu-HU"/>
        </w:rPr>
        <w:t>Hőhullámok, hidegrázás vagy éjszakai izzadás.</w:t>
      </w:r>
    </w:p>
    <w:p w14:paraId="6F3A5107" w14:textId="77777777" w:rsidR="00153AD1" w:rsidRPr="00556B9B" w:rsidRDefault="00153AD1" w:rsidP="00153AD1">
      <w:pPr>
        <w:spacing w:line="240" w:lineRule="auto"/>
        <w:rPr>
          <w:color w:val="000000"/>
          <w:lang w:val="hu-HU"/>
        </w:rPr>
      </w:pPr>
      <w:r w:rsidRPr="00556B9B">
        <w:rPr>
          <w:b/>
          <w:color w:val="000000"/>
          <w:lang w:val="hu-HU"/>
        </w:rPr>
        <w:t>Forduljon kezelőorvosához</w:t>
      </w:r>
      <w:r w:rsidRPr="00556B9B">
        <w:rPr>
          <w:color w:val="000000"/>
          <w:lang w:val="hu-HU"/>
        </w:rPr>
        <w:t>, ha a fent felsorolt mellékhatások súlyos formában jelentkeznek.</w:t>
      </w:r>
    </w:p>
    <w:p w14:paraId="2B4369CA" w14:textId="77777777" w:rsidR="00153AD1" w:rsidRPr="00556B9B" w:rsidRDefault="00153AD1" w:rsidP="00153AD1">
      <w:pPr>
        <w:spacing w:line="240" w:lineRule="auto"/>
        <w:rPr>
          <w:color w:val="000000"/>
          <w:lang w:val="hu-HU"/>
        </w:rPr>
      </w:pPr>
    </w:p>
    <w:p w14:paraId="543E21C1" w14:textId="77777777" w:rsidR="00153AD1" w:rsidRPr="00556B9B" w:rsidRDefault="00153AD1" w:rsidP="00951752">
      <w:pPr>
        <w:keepNext/>
        <w:spacing w:line="240" w:lineRule="auto"/>
        <w:rPr>
          <w:b/>
          <w:color w:val="000000"/>
          <w:lang w:val="hu-HU"/>
        </w:rPr>
      </w:pPr>
      <w:r w:rsidRPr="00556B9B">
        <w:rPr>
          <w:b/>
          <w:color w:val="000000"/>
          <w:lang w:val="hu-HU"/>
        </w:rPr>
        <w:t>Nem ismert</w:t>
      </w:r>
      <w:r w:rsidRPr="00556B9B">
        <w:rPr>
          <w:color w:val="000000"/>
          <w:szCs w:val="22"/>
          <w:lang w:val="hu-HU"/>
        </w:rPr>
        <w:t xml:space="preserve"> (a gyakoriság a rendelkezésre álló adatokból nem állapítható meg):</w:t>
      </w:r>
    </w:p>
    <w:p w14:paraId="6EA1CBDE" w14:textId="77777777" w:rsidR="00153AD1" w:rsidRPr="00556B9B" w:rsidRDefault="00153AD1" w:rsidP="00153AD1">
      <w:pPr>
        <w:numPr>
          <w:ilvl w:val="0"/>
          <w:numId w:val="30"/>
        </w:numPr>
        <w:tabs>
          <w:tab w:val="clear" w:pos="360"/>
          <w:tab w:val="num" w:pos="600"/>
        </w:tabs>
        <w:spacing w:line="240" w:lineRule="auto"/>
        <w:ind w:left="600" w:hanging="600"/>
        <w:rPr>
          <w:color w:val="000000"/>
          <w:lang w:val="hu-HU"/>
        </w:rPr>
      </w:pPr>
      <w:r w:rsidRPr="00556B9B">
        <w:rPr>
          <w:color w:val="000000"/>
          <w:lang w:val="hu-HU"/>
        </w:rPr>
        <w:t>A tenyér és a talp kivörösödése és/vagy duzzadása, mely zsibbadással és égő érzéssel járhat.</w:t>
      </w:r>
    </w:p>
    <w:p w14:paraId="5016ECEC" w14:textId="77777777" w:rsidR="00B4344B" w:rsidRPr="00556B9B" w:rsidRDefault="00B4344B" w:rsidP="00153AD1">
      <w:pPr>
        <w:numPr>
          <w:ilvl w:val="0"/>
          <w:numId w:val="30"/>
        </w:numPr>
        <w:tabs>
          <w:tab w:val="clear" w:pos="360"/>
          <w:tab w:val="num" w:pos="600"/>
        </w:tabs>
        <w:spacing w:line="240" w:lineRule="auto"/>
        <w:ind w:left="600" w:hanging="600"/>
        <w:rPr>
          <w:color w:val="000000"/>
          <w:lang w:val="hu-HU"/>
        </w:rPr>
      </w:pPr>
      <w:r w:rsidRPr="00556B9B">
        <w:rPr>
          <w:color w:val="000000"/>
          <w:lang w:val="hu-HU"/>
        </w:rPr>
        <w:t>Fájdalmas és/vagy hólyagos bőrelváltozások.</w:t>
      </w:r>
    </w:p>
    <w:p w14:paraId="1A8BFB85" w14:textId="77777777" w:rsidR="00153AD1" w:rsidRPr="00556B9B" w:rsidRDefault="00153AD1" w:rsidP="00951752">
      <w:pPr>
        <w:keepNext/>
        <w:numPr>
          <w:ilvl w:val="0"/>
          <w:numId w:val="30"/>
        </w:numPr>
        <w:tabs>
          <w:tab w:val="clear" w:pos="360"/>
          <w:tab w:val="num" w:pos="600"/>
        </w:tabs>
        <w:spacing w:line="240" w:lineRule="auto"/>
        <w:ind w:left="600" w:hanging="600"/>
        <w:rPr>
          <w:color w:val="000000"/>
          <w:lang w:val="hu-HU"/>
        </w:rPr>
      </w:pPr>
      <w:r w:rsidRPr="00556B9B">
        <w:rPr>
          <w:color w:val="000000"/>
          <w:lang w:val="hu-HU"/>
        </w:rPr>
        <w:t>Lassabb növekedés gyermekeknél és serdülőkorúaknál.</w:t>
      </w:r>
    </w:p>
    <w:p w14:paraId="073CD25F" w14:textId="77777777" w:rsidR="00153AD1" w:rsidRPr="00556B9B" w:rsidRDefault="00153AD1" w:rsidP="00153AD1">
      <w:pPr>
        <w:spacing w:line="240" w:lineRule="auto"/>
        <w:rPr>
          <w:color w:val="000000"/>
          <w:lang w:val="hu-HU"/>
        </w:rPr>
      </w:pPr>
      <w:r w:rsidRPr="00556B9B">
        <w:rPr>
          <w:b/>
          <w:color w:val="000000"/>
          <w:lang w:val="hu-HU"/>
        </w:rPr>
        <w:t>Forduljon kezelőorvosához</w:t>
      </w:r>
      <w:r w:rsidRPr="00556B9B">
        <w:rPr>
          <w:color w:val="000000"/>
          <w:lang w:val="hu-HU"/>
        </w:rPr>
        <w:t>, ha a fent felsorolt mellékhatások súlyosan érintik Önt.</w:t>
      </w:r>
    </w:p>
    <w:p w14:paraId="435F2AB4" w14:textId="77777777" w:rsidR="00153AD1" w:rsidRPr="00556B9B" w:rsidRDefault="00153AD1" w:rsidP="00153AD1">
      <w:pPr>
        <w:spacing w:line="240" w:lineRule="auto"/>
        <w:ind w:right="-2"/>
        <w:rPr>
          <w:color w:val="000000"/>
          <w:lang w:val="hu-HU"/>
        </w:rPr>
      </w:pPr>
    </w:p>
    <w:p w14:paraId="34F60AF7" w14:textId="77777777" w:rsidR="00153AD1" w:rsidRPr="00556B9B" w:rsidRDefault="00153AD1" w:rsidP="00951752">
      <w:pPr>
        <w:keepNext/>
        <w:tabs>
          <w:tab w:val="left" w:pos="567"/>
        </w:tabs>
        <w:suppressAutoHyphens w:val="0"/>
        <w:spacing w:line="240" w:lineRule="auto"/>
        <w:ind w:right="-29"/>
        <w:rPr>
          <w:rFonts w:cs="Times New Roman"/>
          <w:b/>
          <w:bCs/>
          <w:szCs w:val="22"/>
          <w:lang w:val="hu-HU" w:eastAsia="en-US" w:bidi="ar-SA"/>
        </w:rPr>
      </w:pPr>
      <w:r w:rsidRPr="00556B9B">
        <w:rPr>
          <w:rFonts w:cs="Times New Roman"/>
          <w:b/>
          <w:bCs/>
          <w:szCs w:val="22"/>
          <w:lang w:val="hu-HU" w:eastAsia="en-US" w:bidi="ar-SA"/>
        </w:rPr>
        <w:t>Mellékhatások bejelentése</w:t>
      </w:r>
    </w:p>
    <w:p w14:paraId="5E0F7BD2" w14:textId="77777777" w:rsidR="00153AD1" w:rsidRPr="00556B9B" w:rsidRDefault="00153AD1" w:rsidP="00153AD1">
      <w:pPr>
        <w:spacing w:line="240" w:lineRule="auto"/>
        <w:ind w:right="-2"/>
        <w:rPr>
          <w:lang w:val="hu-HU"/>
        </w:rPr>
      </w:pPr>
      <w:r w:rsidRPr="00556B9B">
        <w:rPr>
          <w:color w:val="000000"/>
          <w:lang w:val="hu-HU"/>
        </w:rPr>
        <w:t xml:space="preserve">Ha Önnél bármilyen mellékhatás jelentkezik, tájékoztassa kezelőorvosát, gyógyszerészét vagy </w:t>
      </w:r>
      <w:r w:rsidR="00B61F0D" w:rsidRPr="00556B9B">
        <w:rPr>
          <w:color w:val="000000"/>
          <w:lang w:val="hu-HU"/>
        </w:rPr>
        <w:t>a gondozását végző egészségügyi szakembert</w:t>
      </w:r>
      <w:r w:rsidRPr="00556B9B">
        <w:rPr>
          <w:color w:val="000000"/>
          <w:lang w:val="hu-HU"/>
        </w:rPr>
        <w:t>. Ez a betegtájékoztatóban fel nem sorolt bármilyen lehetséges mellékhatásra is vonatkozik.</w:t>
      </w:r>
      <w:r w:rsidRPr="00556B9B">
        <w:rPr>
          <w:b/>
          <w:color w:val="000000"/>
          <w:lang w:val="hu-HU"/>
        </w:rPr>
        <w:t xml:space="preserve"> </w:t>
      </w:r>
      <w:r w:rsidRPr="00556B9B">
        <w:rPr>
          <w:lang w:val="hu-HU"/>
        </w:rPr>
        <w:t xml:space="preserve">A mellékhatásokat közvetlenül a hatóság részére is bejelentheti az </w:t>
      </w:r>
      <w:hyperlink r:id="rId16" w:history="1">
        <w:r w:rsidRPr="00556B9B">
          <w:rPr>
            <w:rStyle w:val="Hyperlink"/>
            <w:shd w:val="pct15" w:color="auto" w:fill="FFFFFF"/>
            <w:lang w:val="hu-HU"/>
          </w:rPr>
          <w:t>V. függelékben</w:t>
        </w:r>
      </w:hyperlink>
      <w:r w:rsidRPr="00556B9B">
        <w:rPr>
          <w:shd w:val="pct15" w:color="auto" w:fill="FFFFFF"/>
          <w:lang w:val="hu-HU"/>
        </w:rPr>
        <w:t xml:space="preserve"> található elérhetőségeken keresztül</w:t>
      </w:r>
      <w:r w:rsidRPr="00556B9B">
        <w:rPr>
          <w:lang w:val="hu-HU"/>
        </w:rPr>
        <w:t>. A mellékhatások bejelentésével Ön is hozzájárulhat ahhoz, hogy minél több információ álljon rendelkezésre a gyógyszer biztonságos alkalmazásával kapcsolatban.</w:t>
      </w:r>
    </w:p>
    <w:p w14:paraId="130E1C2E" w14:textId="77777777" w:rsidR="00153AD1" w:rsidRPr="00556B9B" w:rsidRDefault="00153AD1" w:rsidP="00153AD1">
      <w:pPr>
        <w:spacing w:line="240" w:lineRule="auto"/>
        <w:ind w:right="-2"/>
        <w:rPr>
          <w:color w:val="000000"/>
          <w:lang w:val="hu-HU"/>
        </w:rPr>
      </w:pPr>
    </w:p>
    <w:p w14:paraId="1F5BD1FA" w14:textId="77777777" w:rsidR="00153AD1" w:rsidRPr="00556B9B" w:rsidRDefault="00153AD1" w:rsidP="00153AD1">
      <w:pPr>
        <w:spacing w:line="240" w:lineRule="auto"/>
        <w:ind w:right="-2"/>
        <w:rPr>
          <w:color w:val="000000"/>
          <w:lang w:val="hu-HU"/>
        </w:rPr>
      </w:pPr>
    </w:p>
    <w:p w14:paraId="20931F51" w14:textId="77777777" w:rsidR="00FE13F7" w:rsidRPr="00556B9B" w:rsidRDefault="00FE13F7" w:rsidP="00951752">
      <w:pPr>
        <w:keepNext/>
        <w:spacing w:line="240" w:lineRule="auto"/>
        <w:ind w:left="567" w:right="-2" w:hanging="567"/>
        <w:rPr>
          <w:b/>
          <w:color w:val="000000"/>
          <w:lang w:val="hu-HU"/>
        </w:rPr>
      </w:pPr>
      <w:r w:rsidRPr="00556B9B">
        <w:rPr>
          <w:b/>
          <w:color w:val="000000"/>
          <w:lang w:val="hu-HU"/>
        </w:rPr>
        <w:t>5.</w:t>
      </w:r>
      <w:r w:rsidRPr="00556B9B">
        <w:rPr>
          <w:b/>
          <w:color w:val="000000"/>
          <w:lang w:val="hu-HU"/>
        </w:rPr>
        <w:tab/>
        <w:t>Hogyan kell a Glivec</w:t>
      </w:r>
      <w:r w:rsidRPr="00556B9B">
        <w:rPr>
          <w:b/>
          <w:color w:val="000000"/>
          <w:lang w:val="hu-HU"/>
        </w:rPr>
        <w:noBreakHyphen/>
        <w:t>et tárolni?</w:t>
      </w:r>
    </w:p>
    <w:p w14:paraId="47252271" w14:textId="77777777" w:rsidR="00FE13F7" w:rsidRPr="00556B9B" w:rsidRDefault="00FE13F7" w:rsidP="00951752">
      <w:pPr>
        <w:keepNext/>
        <w:spacing w:line="240" w:lineRule="auto"/>
        <w:ind w:right="-2"/>
        <w:rPr>
          <w:color w:val="000000"/>
          <w:lang w:val="hu-HU"/>
        </w:rPr>
      </w:pPr>
    </w:p>
    <w:p w14:paraId="76A735D8" w14:textId="77777777" w:rsidR="00FE13F7" w:rsidRPr="00556B9B" w:rsidRDefault="00FE13F7" w:rsidP="00FE13F7">
      <w:pPr>
        <w:numPr>
          <w:ilvl w:val="0"/>
          <w:numId w:val="8"/>
        </w:numPr>
        <w:tabs>
          <w:tab w:val="clear" w:pos="360"/>
        </w:tabs>
        <w:spacing w:line="240" w:lineRule="auto"/>
        <w:ind w:left="567" w:right="-2" w:hanging="567"/>
        <w:rPr>
          <w:color w:val="000000"/>
          <w:lang w:val="hu-HU"/>
        </w:rPr>
      </w:pPr>
      <w:r w:rsidRPr="00556B9B">
        <w:rPr>
          <w:color w:val="000000"/>
          <w:lang w:val="hu-HU"/>
        </w:rPr>
        <w:t>A gyógyszer gyermekektől elzárva tartandó!</w:t>
      </w:r>
    </w:p>
    <w:p w14:paraId="07C995C9" w14:textId="77777777" w:rsidR="00FE13F7" w:rsidRPr="00556B9B" w:rsidRDefault="00FE13F7" w:rsidP="00FE13F7">
      <w:pPr>
        <w:numPr>
          <w:ilvl w:val="0"/>
          <w:numId w:val="8"/>
        </w:numPr>
        <w:tabs>
          <w:tab w:val="clear" w:pos="360"/>
        </w:tabs>
        <w:spacing w:line="240" w:lineRule="auto"/>
        <w:ind w:left="567" w:right="-2" w:hanging="567"/>
        <w:rPr>
          <w:color w:val="000000"/>
          <w:lang w:val="hu-HU"/>
        </w:rPr>
      </w:pPr>
      <w:r w:rsidRPr="00556B9B">
        <w:rPr>
          <w:color w:val="000000"/>
          <w:lang w:val="hu-HU"/>
        </w:rPr>
        <w:t xml:space="preserve">A dobozon feltüntetett lejárati idő </w:t>
      </w:r>
      <w:r w:rsidR="006252B9" w:rsidRPr="00556B9B">
        <w:rPr>
          <w:color w:val="000000"/>
          <w:lang w:val="hu-HU"/>
        </w:rPr>
        <w:t xml:space="preserve">(Felhasználható:) </w:t>
      </w:r>
      <w:r w:rsidRPr="00556B9B">
        <w:rPr>
          <w:color w:val="000000"/>
          <w:lang w:val="hu-HU"/>
        </w:rPr>
        <w:t xml:space="preserve">után ne alkalmazza </w:t>
      </w:r>
      <w:r w:rsidR="00F63C0E" w:rsidRPr="00556B9B">
        <w:rPr>
          <w:color w:val="000000"/>
          <w:lang w:val="hu-HU"/>
        </w:rPr>
        <w:t xml:space="preserve">ezt </w:t>
      </w:r>
      <w:r w:rsidRPr="00556B9B">
        <w:rPr>
          <w:noProof/>
          <w:szCs w:val="24"/>
          <w:lang w:val="hu-HU"/>
        </w:rPr>
        <w:t>a gyógyszert</w:t>
      </w:r>
      <w:r w:rsidRPr="00556B9B">
        <w:rPr>
          <w:color w:val="000000"/>
          <w:lang w:val="hu-HU"/>
        </w:rPr>
        <w:t>.</w:t>
      </w:r>
    </w:p>
    <w:p w14:paraId="5B83EC4D" w14:textId="77777777" w:rsidR="00FE13F7" w:rsidRPr="00556B9B" w:rsidRDefault="00FE13F7" w:rsidP="00FE13F7">
      <w:pPr>
        <w:numPr>
          <w:ilvl w:val="0"/>
          <w:numId w:val="8"/>
        </w:numPr>
        <w:tabs>
          <w:tab w:val="clear" w:pos="360"/>
        </w:tabs>
        <w:ind w:left="567" w:right="-2" w:hanging="567"/>
        <w:rPr>
          <w:color w:val="000000"/>
          <w:lang w:val="hu-HU"/>
        </w:rPr>
      </w:pPr>
      <w:r w:rsidRPr="00556B9B">
        <w:rPr>
          <w:color w:val="000000"/>
          <w:lang w:val="hu-HU"/>
        </w:rPr>
        <w:t>Legfeljebb 30</w:t>
      </w:r>
      <w:r w:rsidRPr="00556B9B">
        <w:rPr>
          <w:color w:val="000000"/>
          <w:lang w:val="hu-HU"/>
        </w:rPr>
        <w:sym w:font="Symbol" w:char="F0B0"/>
      </w:r>
      <w:r w:rsidRPr="00556B9B">
        <w:rPr>
          <w:color w:val="000000"/>
          <w:lang w:val="hu-HU"/>
        </w:rPr>
        <w:t>C</w:t>
      </w:r>
      <w:r w:rsidRPr="00556B9B">
        <w:rPr>
          <w:color w:val="000000"/>
          <w:lang w:val="hu-HU"/>
        </w:rPr>
        <w:noBreakHyphen/>
        <w:t>on tárolandó.</w:t>
      </w:r>
    </w:p>
    <w:p w14:paraId="6F0D2D39" w14:textId="77777777" w:rsidR="00FE13F7" w:rsidRPr="00556B9B" w:rsidRDefault="00FE13F7" w:rsidP="00FE13F7">
      <w:pPr>
        <w:numPr>
          <w:ilvl w:val="0"/>
          <w:numId w:val="8"/>
        </w:numPr>
        <w:tabs>
          <w:tab w:val="clear" w:pos="360"/>
        </w:tabs>
        <w:spacing w:line="240" w:lineRule="auto"/>
        <w:ind w:left="567" w:right="-2" w:hanging="567"/>
        <w:rPr>
          <w:color w:val="000000"/>
          <w:lang w:val="hu-HU"/>
        </w:rPr>
      </w:pPr>
      <w:r w:rsidRPr="00556B9B">
        <w:rPr>
          <w:color w:val="000000"/>
          <w:lang w:val="hu-HU"/>
        </w:rPr>
        <w:t>A nedvességtől való védelem érdekében az eredeti csomagolásban tárolandó.</w:t>
      </w:r>
    </w:p>
    <w:p w14:paraId="678CC915" w14:textId="77777777" w:rsidR="00BF46EE" w:rsidRPr="00556B9B" w:rsidRDefault="00FE13F7" w:rsidP="00BF46EE">
      <w:pPr>
        <w:numPr>
          <w:ilvl w:val="0"/>
          <w:numId w:val="8"/>
        </w:numPr>
        <w:tabs>
          <w:tab w:val="clear" w:pos="360"/>
        </w:tabs>
        <w:spacing w:line="240" w:lineRule="auto"/>
        <w:ind w:left="567" w:right="-2" w:hanging="567"/>
        <w:rPr>
          <w:color w:val="000000"/>
          <w:lang w:val="hu-HU"/>
        </w:rPr>
      </w:pPr>
      <w:r w:rsidRPr="00556B9B">
        <w:rPr>
          <w:color w:val="000000"/>
          <w:lang w:val="hu-HU"/>
        </w:rPr>
        <w:t>Ne használjon olyan készítményt, melynek csomagolása sérült, vagy bármilyen előzetes felnyitásra utaló jelet észlel.</w:t>
      </w:r>
    </w:p>
    <w:p w14:paraId="1F0B21B1" w14:textId="77777777" w:rsidR="00BF46EE" w:rsidRPr="00556B9B" w:rsidRDefault="00BF46EE" w:rsidP="00BF46EE">
      <w:pPr>
        <w:numPr>
          <w:ilvl w:val="0"/>
          <w:numId w:val="8"/>
        </w:numPr>
        <w:tabs>
          <w:tab w:val="clear" w:pos="360"/>
        </w:tabs>
        <w:spacing w:line="240" w:lineRule="auto"/>
        <w:ind w:left="567" w:right="-2" w:hanging="567"/>
        <w:rPr>
          <w:color w:val="000000"/>
          <w:lang w:val="hu-HU"/>
        </w:rPr>
      </w:pPr>
      <w:r w:rsidRPr="00556B9B">
        <w:rPr>
          <w:noProof/>
          <w:szCs w:val="24"/>
          <w:lang w:val="hu-HU"/>
        </w:rPr>
        <w:t xml:space="preserve">Semmilyen gyógyszert ne dobjon a szennyvízbe </w:t>
      </w:r>
      <w:r w:rsidRPr="00556B9B">
        <w:rPr>
          <w:szCs w:val="24"/>
          <w:lang w:val="hu-HU"/>
        </w:rPr>
        <w:t xml:space="preserve">vagy a háztartási </w:t>
      </w:r>
      <w:r w:rsidRPr="00556B9B">
        <w:rPr>
          <w:noProof/>
          <w:szCs w:val="24"/>
          <w:lang w:val="hu-HU"/>
        </w:rPr>
        <w:t>hulladékba.</w:t>
      </w:r>
      <w:r w:rsidRPr="00556B9B">
        <w:rPr>
          <w:szCs w:val="24"/>
          <w:lang w:val="hu-HU"/>
        </w:rPr>
        <w:t xml:space="preserve"> </w:t>
      </w:r>
      <w:r w:rsidRPr="00556B9B">
        <w:rPr>
          <w:lang w:val="hu-HU"/>
        </w:rPr>
        <w:t>Kérdezze meg gyógyszerészét, hogy mit tegyen a már nem használt gyógyszereivel</w:t>
      </w:r>
      <w:r w:rsidRPr="00556B9B">
        <w:rPr>
          <w:szCs w:val="24"/>
          <w:lang w:val="hu-HU"/>
        </w:rPr>
        <w:t>.</w:t>
      </w:r>
      <w:r w:rsidRPr="00556B9B">
        <w:rPr>
          <w:color w:val="FFFFFF"/>
          <w:szCs w:val="24"/>
          <w:lang w:val="hu-HU"/>
        </w:rPr>
        <w:t xml:space="preserve"> </w:t>
      </w:r>
      <w:r w:rsidRPr="00556B9B">
        <w:rPr>
          <w:noProof/>
          <w:szCs w:val="24"/>
          <w:lang w:val="hu-HU"/>
        </w:rPr>
        <w:t>Ezek az intézkedések elősegítik a környezet védelmét.</w:t>
      </w:r>
    </w:p>
    <w:p w14:paraId="09184ED5" w14:textId="77777777" w:rsidR="005A78EA" w:rsidRPr="00556B9B" w:rsidRDefault="005A78EA" w:rsidP="005A78EA">
      <w:pPr>
        <w:ind w:right="-2"/>
        <w:rPr>
          <w:color w:val="000000"/>
          <w:lang w:val="hu-HU"/>
        </w:rPr>
      </w:pPr>
    </w:p>
    <w:p w14:paraId="0494F875" w14:textId="77777777" w:rsidR="005A78EA" w:rsidRPr="00556B9B" w:rsidRDefault="005A78EA" w:rsidP="005A78EA">
      <w:pPr>
        <w:ind w:right="-2"/>
        <w:rPr>
          <w:color w:val="000000"/>
          <w:lang w:val="hu-HU"/>
        </w:rPr>
      </w:pPr>
    </w:p>
    <w:p w14:paraId="620C4105" w14:textId="77777777" w:rsidR="005A78EA" w:rsidRPr="00556B9B" w:rsidRDefault="005A78EA" w:rsidP="000E0D19">
      <w:pPr>
        <w:keepNext/>
        <w:spacing w:line="240" w:lineRule="auto"/>
        <w:ind w:left="567" w:right="-2" w:hanging="567"/>
        <w:rPr>
          <w:b/>
          <w:color w:val="000000"/>
          <w:lang w:val="hu-HU"/>
        </w:rPr>
      </w:pPr>
      <w:r w:rsidRPr="00556B9B">
        <w:rPr>
          <w:b/>
          <w:color w:val="000000"/>
          <w:lang w:val="hu-HU"/>
        </w:rPr>
        <w:t>6.</w:t>
      </w:r>
      <w:r w:rsidRPr="00556B9B">
        <w:rPr>
          <w:b/>
          <w:color w:val="000000"/>
          <w:lang w:val="hu-HU"/>
        </w:rPr>
        <w:tab/>
      </w:r>
      <w:r w:rsidR="00A11415" w:rsidRPr="00556B9B">
        <w:rPr>
          <w:b/>
          <w:noProof/>
          <w:szCs w:val="24"/>
          <w:lang w:val="hu-HU"/>
        </w:rPr>
        <w:t>A csomagolás tartalma és egyéb információk</w:t>
      </w:r>
    </w:p>
    <w:p w14:paraId="0B275694" w14:textId="77777777" w:rsidR="005A78EA" w:rsidRPr="00556B9B" w:rsidRDefault="005A78EA" w:rsidP="000E0D19">
      <w:pPr>
        <w:keepNext/>
        <w:spacing w:line="240" w:lineRule="auto"/>
        <w:rPr>
          <w:color w:val="000000"/>
          <w:lang w:val="hu-HU"/>
        </w:rPr>
      </w:pPr>
    </w:p>
    <w:p w14:paraId="7F31259B" w14:textId="77777777" w:rsidR="005A78EA" w:rsidRPr="00556B9B" w:rsidRDefault="005A78EA" w:rsidP="000E0D19">
      <w:pPr>
        <w:keepNext/>
        <w:spacing w:line="240" w:lineRule="auto"/>
        <w:rPr>
          <w:b/>
          <w:color w:val="000000"/>
          <w:lang w:val="hu-HU"/>
        </w:rPr>
      </w:pPr>
      <w:r w:rsidRPr="00556B9B">
        <w:rPr>
          <w:b/>
          <w:color w:val="000000"/>
          <w:lang w:val="hu-HU"/>
        </w:rPr>
        <w:t>Mit tartalmaz a Glivec</w:t>
      </w:r>
      <w:r w:rsidR="00B351B1" w:rsidRPr="00556B9B">
        <w:rPr>
          <w:b/>
          <w:color w:val="000000"/>
          <w:lang w:val="hu-HU"/>
        </w:rPr>
        <w:t>?</w:t>
      </w:r>
    </w:p>
    <w:p w14:paraId="1B7CB435" w14:textId="77777777" w:rsidR="005A78EA" w:rsidRPr="00556B9B" w:rsidRDefault="005A78EA" w:rsidP="005A78EA">
      <w:pPr>
        <w:numPr>
          <w:ilvl w:val="0"/>
          <w:numId w:val="3"/>
        </w:numPr>
        <w:tabs>
          <w:tab w:val="clear" w:pos="360"/>
        </w:tabs>
        <w:spacing w:line="240" w:lineRule="auto"/>
        <w:ind w:left="567" w:right="-2" w:hanging="567"/>
        <w:rPr>
          <w:color w:val="000000"/>
          <w:lang w:val="hu-HU"/>
        </w:rPr>
      </w:pPr>
      <w:r w:rsidRPr="00556B9B">
        <w:rPr>
          <w:color w:val="000000"/>
          <w:lang w:val="hu-HU"/>
        </w:rPr>
        <w:t>A készítmény hatóanyaga az imatinib</w:t>
      </w:r>
      <w:r w:rsidRPr="00556B9B">
        <w:rPr>
          <w:color w:val="000000"/>
          <w:lang w:val="hu-HU"/>
        </w:rPr>
        <w:noBreakHyphen/>
        <w:t>mezilát.</w:t>
      </w:r>
      <w:r w:rsidRPr="00556B9B">
        <w:rPr>
          <w:color w:val="000000"/>
          <w:szCs w:val="22"/>
          <w:lang w:val="hu-HU"/>
        </w:rPr>
        <w:t xml:space="preserve"> Minden egyes Glivec kapszula 100 mg imatinib</w:t>
      </w:r>
      <w:r w:rsidRPr="00556B9B">
        <w:rPr>
          <w:color w:val="000000"/>
          <w:szCs w:val="22"/>
          <w:lang w:val="hu-HU"/>
        </w:rPr>
        <w:noBreakHyphen/>
        <w:t>mezilátot tartalmaz.</w:t>
      </w:r>
    </w:p>
    <w:p w14:paraId="1A1A0356" w14:textId="77777777" w:rsidR="005A78EA" w:rsidRPr="00556B9B" w:rsidRDefault="005A78EA" w:rsidP="005A78EA">
      <w:pPr>
        <w:numPr>
          <w:ilvl w:val="0"/>
          <w:numId w:val="13"/>
        </w:numPr>
        <w:spacing w:line="240" w:lineRule="auto"/>
        <w:rPr>
          <w:bCs/>
          <w:color w:val="000000"/>
          <w:lang w:val="hu-HU"/>
        </w:rPr>
      </w:pPr>
      <w:r w:rsidRPr="00556B9B">
        <w:rPr>
          <w:color w:val="000000"/>
          <w:lang w:val="hu-HU"/>
        </w:rPr>
        <w:t>Egyéb összetevők a mikrokristályos cellulóz, kroszpovidon, magnézium</w:t>
      </w:r>
      <w:r w:rsidRPr="00556B9B">
        <w:rPr>
          <w:color w:val="000000"/>
          <w:lang w:val="hu-HU"/>
        </w:rPr>
        <w:noBreakHyphen/>
        <w:t>sztearát, vízmentes kolloid szilícium</w:t>
      </w:r>
      <w:r w:rsidRPr="00556B9B">
        <w:rPr>
          <w:color w:val="000000"/>
          <w:lang w:val="hu-HU"/>
        </w:rPr>
        <w:noBreakHyphen/>
        <w:t>dioxid. A kapszulatok burka zselatint, vörös vas</w:t>
      </w:r>
      <w:r w:rsidRPr="00556B9B">
        <w:rPr>
          <w:color w:val="000000"/>
          <w:lang w:val="hu-HU"/>
        </w:rPr>
        <w:noBreakHyphen/>
        <w:t xml:space="preserve">oxidot (E172), sárga </w:t>
      </w:r>
      <w:r w:rsidR="00F710C5" w:rsidRPr="00556B9B">
        <w:rPr>
          <w:color w:val="000000"/>
          <w:lang w:val="hu-HU"/>
        </w:rPr>
        <w:t>vas</w:t>
      </w:r>
      <w:r w:rsidR="00F710C5" w:rsidRPr="00556B9B">
        <w:rPr>
          <w:color w:val="000000"/>
          <w:lang w:val="hu-HU"/>
        </w:rPr>
        <w:noBreakHyphen/>
        <w:t>oxidot (E172) és titán</w:t>
      </w:r>
      <w:r w:rsidR="00F710C5" w:rsidRPr="00556B9B">
        <w:rPr>
          <w:color w:val="000000"/>
          <w:lang w:val="hu-HU"/>
        </w:rPr>
        <w:noBreakHyphen/>
        <w:t>dioxidot (E171) tartalmaz. A jelölő festék vörös vas</w:t>
      </w:r>
      <w:r w:rsidR="00F710C5" w:rsidRPr="00556B9B">
        <w:rPr>
          <w:color w:val="000000"/>
          <w:lang w:val="hu-HU"/>
        </w:rPr>
        <w:noBreakHyphen/>
        <w:t>oxidot (E172) és sellakot tartalmaz.</w:t>
      </w:r>
    </w:p>
    <w:p w14:paraId="72FEC8EA" w14:textId="77777777" w:rsidR="005A78EA" w:rsidRPr="00556B9B" w:rsidRDefault="005A78EA" w:rsidP="005A78EA">
      <w:pPr>
        <w:spacing w:line="240" w:lineRule="auto"/>
        <w:rPr>
          <w:color w:val="000000"/>
          <w:lang w:val="hu-HU"/>
        </w:rPr>
      </w:pPr>
    </w:p>
    <w:p w14:paraId="336EAE92" w14:textId="77777777" w:rsidR="005A78EA" w:rsidRPr="00556B9B" w:rsidRDefault="005A78EA" w:rsidP="00951752">
      <w:pPr>
        <w:keepNext/>
        <w:spacing w:line="240" w:lineRule="auto"/>
        <w:ind w:right="-2"/>
        <w:rPr>
          <w:b/>
          <w:color w:val="000000"/>
          <w:lang w:val="hu-HU"/>
        </w:rPr>
      </w:pPr>
      <w:r w:rsidRPr="00556B9B">
        <w:rPr>
          <w:b/>
          <w:color w:val="000000"/>
          <w:lang w:val="hu-HU"/>
        </w:rPr>
        <w:t>Milyen a Glivec külleme és mit tartalmaz a csomagolás</w:t>
      </w:r>
      <w:r w:rsidR="00B351B1" w:rsidRPr="00556B9B">
        <w:rPr>
          <w:b/>
          <w:color w:val="000000"/>
          <w:lang w:val="hu-HU"/>
        </w:rPr>
        <w:t>?</w:t>
      </w:r>
    </w:p>
    <w:p w14:paraId="382BF0BB" w14:textId="77777777" w:rsidR="005A78EA" w:rsidRPr="00556B9B" w:rsidRDefault="005A78EA" w:rsidP="005A78EA">
      <w:pPr>
        <w:spacing w:line="240" w:lineRule="auto"/>
        <w:rPr>
          <w:color w:val="000000"/>
          <w:lang w:val="hu-HU"/>
        </w:rPr>
      </w:pPr>
      <w:r w:rsidRPr="00556B9B">
        <w:rPr>
          <w:color w:val="000000"/>
          <w:lang w:val="hu-HU"/>
        </w:rPr>
        <w:t>A Glivec 100 mg kemény kapszula narancssárga </w:t>
      </w:r>
      <w:r w:rsidRPr="00556B9B">
        <w:rPr>
          <w:color w:val="000000"/>
          <w:lang w:val="hu-HU"/>
        </w:rPr>
        <w:noBreakHyphen/>
        <w:t> szürkés narancssárga színű, és „</w:t>
      </w:r>
      <w:smartTag w:uri="urn:schemas-microsoft-com:office:smarttags" w:element="stockticker">
        <w:r w:rsidRPr="00556B9B">
          <w:rPr>
            <w:color w:val="000000"/>
            <w:lang w:val="hu-HU"/>
          </w:rPr>
          <w:t>NVR</w:t>
        </w:r>
      </w:smartTag>
      <w:r w:rsidRPr="00556B9B">
        <w:rPr>
          <w:color w:val="000000"/>
          <w:lang w:val="hu-HU"/>
        </w:rPr>
        <w:t> SI” felirattal van ellátva. A kapszula fehér </w:t>
      </w:r>
      <w:r w:rsidRPr="00556B9B">
        <w:rPr>
          <w:color w:val="000000"/>
          <w:lang w:val="hu-HU"/>
        </w:rPr>
        <w:noBreakHyphen/>
        <w:t> sárgás port tartalmaz.</w:t>
      </w:r>
    </w:p>
    <w:p w14:paraId="08BEF9AC" w14:textId="77777777" w:rsidR="005A78EA" w:rsidRPr="00556B9B" w:rsidRDefault="005A78EA" w:rsidP="005A78EA">
      <w:pPr>
        <w:spacing w:line="240" w:lineRule="auto"/>
        <w:rPr>
          <w:bCs/>
          <w:color w:val="000000"/>
          <w:lang w:val="hu-HU"/>
        </w:rPr>
      </w:pPr>
    </w:p>
    <w:p w14:paraId="217CF6C1" w14:textId="77777777" w:rsidR="005A78EA" w:rsidRPr="00556B9B" w:rsidRDefault="005A78EA" w:rsidP="005A78EA">
      <w:pPr>
        <w:spacing w:line="260" w:lineRule="atLeast"/>
        <w:rPr>
          <w:color w:val="000000"/>
          <w:lang w:val="hu-HU"/>
        </w:rPr>
      </w:pPr>
      <w:r w:rsidRPr="00556B9B">
        <w:rPr>
          <w:color w:val="000000"/>
          <w:lang w:val="hu-HU"/>
        </w:rPr>
        <w:t>A csomagolások 24, 48, 96, 120 vagy 180 kapszulát tartalmaznak, de nem feltétlenül mindegyik kiszerelés kerül kereskedelmi forgalomba.</w:t>
      </w:r>
    </w:p>
    <w:p w14:paraId="52131797" w14:textId="77777777" w:rsidR="005A78EA" w:rsidRPr="00556B9B" w:rsidRDefault="005A78EA" w:rsidP="005A78EA">
      <w:pPr>
        <w:spacing w:line="240" w:lineRule="auto"/>
        <w:ind w:right="-2"/>
        <w:rPr>
          <w:color w:val="000000"/>
          <w:lang w:val="hu-HU"/>
        </w:rPr>
      </w:pPr>
    </w:p>
    <w:p w14:paraId="417CCEA7" w14:textId="77777777" w:rsidR="005A78EA" w:rsidRPr="00556B9B" w:rsidRDefault="005A78EA" w:rsidP="00951752">
      <w:pPr>
        <w:keepNext/>
        <w:spacing w:line="240" w:lineRule="auto"/>
        <w:ind w:right="-2"/>
        <w:rPr>
          <w:b/>
          <w:color w:val="000000"/>
          <w:lang w:val="hu-HU"/>
        </w:rPr>
      </w:pPr>
      <w:r w:rsidRPr="00556B9B">
        <w:rPr>
          <w:b/>
          <w:color w:val="000000"/>
          <w:lang w:val="hu-HU"/>
        </w:rPr>
        <w:t>A forgalomba hozatali engedély jogosultja</w:t>
      </w:r>
    </w:p>
    <w:p w14:paraId="6C10AB7D" w14:textId="77777777" w:rsidR="005A78EA" w:rsidRPr="00556B9B" w:rsidRDefault="005A78EA" w:rsidP="00951752">
      <w:pPr>
        <w:keepNext/>
        <w:spacing w:line="240" w:lineRule="auto"/>
        <w:rPr>
          <w:color w:val="000000"/>
          <w:lang w:val="hu-HU"/>
        </w:rPr>
      </w:pPr>
      <w:r w:rsidRPr="00556B9B">
        <w:rPr>
          <w:color w:val="000000"/>
          <w:lang w:val="hu-HU"/>
        </w:rPr>
        <w:t>Novartis Europharm Limited</w:t>
      </w:r>
    </w:p>
    <w:p w14:paraId="568FDDE9" w14:textId="77777777" w:rsidR="002000AC" w:rsidRPr="00556B9B" w:rsidRDefault="002000AC" w:rsidP="002000AC">
      <w:pPr>
        <w:keepNext/>
        <w:widowControl w:val="0"/>
        <w:spacing w:line="240" w:lineRule="auto"/>
        <w:rPr>
          <w:color w:val="000000"/>
        </w:rPr>
      </w:pPr>
      <w:r w:rsidRPr="00556B9B">
        <w:rPr>
          <w:color w:val="000000"/>
        </w:rPr>
        <w:t>Vista Building</w:t>
      </w:r>
    </w:p>
    <w:p w14:paraId="68410517" w14:textId="77777777" w:rsidR="002000AC" w:rsidRPr="00556B9B" w:rsidRDefault="002000AC" w:rsidP="002000AC">
      <w:pPr>
        <w:keepNext/>
        <w:widowControl w:val="0"/>
        <w:spacing w:line="240" w:lineRule="auto"/>
        <w:rPr>
          <w:color w:val="000000"/>
        </w:rPr>
      </w:pPr>
      <w:r w:rsidRPr="00556B9B">
        <w:rPr>
          <w:color w:val="000000"/>
        </w:rPr>
        <w:t>Elm Park, Merrion Road</w:t>
      </w:r>
    </w:p>
    <w:p w14:paraId="216D2E35" w14:textId="77777777" w:rsidR="002000AC" w:rsidRPr="00556B9B" w:rsidRDefault="002000AC" w:rsidP="002000AC">
      <w:pPr>
        <w:keepNext/>
        <w:widowControl w:val="0"/>
        <w:spacing w:line="240" w:lineRule="auto"/>
        <w:rPr>
          <w:color w:val="000000"/>
        </w:rPr>
      </w:pPr>
      <w:r w:rsidRPr="00556B9B">
        <w:rPr>
          <w:color w:val="000000"/>
        </w:rPr>
        <w:t>Dublin 4</w:t>
      </w:r>
    </w:p>
    <w:p w14:paraId="74925B7A" w14:textId="77777777" w:rsidR="005A78EA" w:rsidRPr="00556B9B" w:rsidRDefault="002000AC" w:rsidP="005A78EA">
      <w:pPr>
        <w:spacing w:line="240" w:lineRule="auto"/>
        <w:rPr>
          <w:color w:val="000000"/>
          <w:lang w:val="hu-HU"/>
        </w:rPr>
      </w:pPr>
      <w:r w:rsidRPr="00556B9B">
        <w:rPr>
          <w:color w:val="000000"/>
        </w:rPr>
        <w:t>Írország</w:t>
      </w:r>
    </w:p>
    <w:p w14:paraId="2DCC4850" w14:textId="77777777" w:rsidR="005A78EA" w:rsidRPr="00556B9B" w:rsidRDefault="005A78EA" w:rsidP="005A78EA">
      <w:pPr>
        <w:spacing w:line="240" w:lineRule="auto"/>
        <w:ind w:right="-2"/>
        <w:rPr>
          <w:color w:val="000000"/>
          <w:lang w:val="hu-HU"/>
        </w:rPr>
      </w:pPr>
    </w:p>
    <w:p w14:paraId="10FEFB9C" w14:textId="77777777" w:rsidR="005A78EA" w:rsidRPr="00556B9B" w:rsidRDefault="005A78EA" w:rsidP="00951752">
      <w:pPr>
        <w:keepNext/>
        <w:spacing w:line="240" w:lineRule="auto"/>
        <w:ind w:right="-2"/>
        <w:rPr>
          <w:b/>
          <w:color w:val="000000"/>
          <w:lang w:val="hu-HU"/>
        </w:rPr>
      </w:pPr>
      <w:r w:rsidRPr="00556B9B">
        <w:rPr>
          <w:b/>
          <w:color w:val="000000"/>
          <w:lang w:val="hu-HU"/>
        </w:rPr>
        <w:t>Gyártó</w:t>
      </w:r>
    </w:p>
    <w:p w14:paraId="21073B48" w14:textId="77777777" w:rsidR="005A78EA" w:rsidRPr="00556B9B" w:rsidRDefault="005A78EA" w:rsidP="00951752">
      <w:pPr>
        <w:keepNext/>
        <w:spacing w:line="240" w:lineRule="auto"/>
        <w:ind w:right="-2"/>
        <w:rPr>
          <w:color w:val="000000"/>
          <w:lang w:val="hu-HU"/>
        </w:rPr>
      </w:pPr>
      <w:r w:rsidRPr="00556B9B">
        <w:rPr>
          <w:color w:val="000000"/>
          <w:lang w:val="hu-HU"/>
        </w:rPr>
        <w:t>Novartis Pharma GmbH</w:t>
      </w:r>
    </w:p>
    <w:p w14:paraId="2D7A080F" w14:textId="77777777" w:rsidR="005A78EA" w:rsidRPr="00556B9B" w:rsidRDefault="005A78EA" w:rsidP="00951752">
      <w:pPr>
        <w:keepNext/>
        <w:spacing w:line="240" w:lineRule="auto"/>
        <w:ind w:right="-2"/>
        <w:rPr>
          <w:color w:val="000000"/>
          <w:lang w:val="hu-HU"/>
        </w:rPr>
      </w:pPr>
      <w:r w:rsidRPr="00556B9B">
        <w:rPr>
          <w:color w:val="000000"/>
          <w:lang w:val="hu-HU"/>
        </w:rPr>
        <w:t>Roonstrasse 25</w:t>
      </w:r>
    </w:p>
    <w:p w14:paraId="3D93E531" w14:textId="77777777" w:rsidR="005A78EA" w:rsidRPr="00556B9B" w:rsidRDefault="005A78EA" w:rsidP="00951752">
      <w:pPr>
        <w:keepNext/>
        <w:spacing w:line="240" w:lineRule="auto"/>
        <w:ind w:right="-2"/>
        <w:rPr>
          <w:color w:val="000000"/>
          <w:lang w:val="hu-HU"/>
        </w:rPr>
      </w:pPr>
      <w:r w:rsidRPr="00556B9B">
        <w:rPr>
          <w:color w:val="000000"/>
          <w:lang w:val="hu-HU"/>
        </w:rPr>
        <w:t>D</w:t>
      </w:r>
      <w:r w:rsidRPr="00556B9B">
        <w:rPr>
          <w:color w:val="000000"/>
          <w:lang w:val="hu-HU"/>
        </w:rPr>
        <w:noBreakHyphen/>
        <w:t>90429 Nürnberg</w:t>
      </w:r>
    </w:p>
    <w:p w14:paraId="6DCC560D" w14:textId="77777777" w:rsidR="005A78EA" w:rsidRPr="00556B9B" w:rsidRDefault="005A78EA" w:rsidP="005A78EA">
      <w:pPr>
        <w:spacing w:line="240" w:lineRule="auto"/>
        <w:ind w:right="-2"/>
        <w:rPr>
          <w:color w:val="000000"/>
          <w:lang w:val="hu-HU"/>
        </w:rPr>
      </w:pPr>
      <w:r w:rsidRPr="00556B9B">
        <w:rPr>
          <w:color w:val="000000"/>
          <w:lang w:val="hu-HU"/>
        </w:rPr>
        <w:t>Németország</w:t>
      </w:r>
    </w:p>
    <w:p w14:paraId="530E14FA" w14:textId="0A652F9A" w:rsidR="005A78EA" w:rsidRDefault="005A78EA" w:rsidP="005A78EA">
      <w:pPr>
        <w:spacing w:line="240" w:lineRule="auto"/>
        <w:rPr>
          <w:bCs/>
          <w:color w:val="000000"/>
          <w:lang w:val="hu-HU"/>
        </w:rPr>
      </w:pPr>
    </w:p>
    <w:p w14:paraId="2F8A6A8E" w14:textId="77777777" w:rsidR="009E10F3" w:rsidRPr="009E10F3" w:rsidRDefault="009E10F3" w:rsidP="009E10F3">
      <w:pPr>
        <w:keepNext/>
        <w:rPr>
          <w:color w:val="000000"/>
          <w:shd w:val="pct15" w:color="auto" w:fill="auto"/>
          <w:lang w:val="hu-HU"/>
        </w:rPr>
      </w:pPr>
      <w:r w:rsidRPr="009E10F3">
        <w:rPr>
          <w:color w:val="000000"/>
          <w:shd w:val="pct15" w:color="auto" w:fill="auto"/>
          <w:lang w:val="hu-HU"/>
        </w:rPr>
        <w:t>Sandoz S.R.L.</w:t>
      </w:r>
    </w:p>
    <w:p w14:paraId="6C268E98" w14:textId="77777777" w:rsidR="009E10F3" w:rsidRPr="009E10F3" w:rsidRDefault="009E10F3" w:rsidP="009E10F3">
      <w:pPr>
        <w:keepNext/>
        <w:rPr>
          <w:color w:val="000000"/>
          <w:shd w:val="pct15" w:color="auto" w:fill="auto"/>
          <w:lang w:val="hu-HU"/>
        </w:rPr>
      </w:pPr>
      <w:r w:rsidRPr="009E10F3">
        <w:rPr>
          <w:color w:val="000000"/>
          <w:shd w:val="pct15" w:color="auto" w:fill="auto"/>
          <w:lang w:val="hu-HU"/>
        </w:rPr>
        <w:t>Str. Livezeni nr. 7A</w:t>
      </w:r>
    </w:p>
    <w:p w14:paraId="1E394239" w14:textId="77777777" w:rsidR="009E10F3" w:rsidRPr="009E10F3" w:rsidRDefault="009E10F3" w:rsidP="009E10F3">
      <w:pPr>
        <w:keepNext/>
        <w:rPr>
          <w:color w:val="000000"/>
          <w:shd w:val="pct15" w:color="auto" w:fill="auto"/>
          <w:lang w:val="hu-HU"/>
        </w:rPr>
      </w:pPr>
      <w:r w:rsidRPr="009E10F3">
        <w:rPr>
          <w:color w:val="000000"/>
          <w:shd w:val="pct15" w:color="auto" w:fill="auto"/>
          <w:lang w:val="hu-HU"/>
        </w:rPr>
        <w:t>540472, Targu Mures</w:t>
      </w:r>
    </w:p>
    <w:p w14:paraId="66DFE80E" w14:textId="5F804AFD" w:rsidR="009E10F3" w:rsidRPr="009E10F3" w:rsidRDefault="009E10F3" w:rsidP="009E10F3">
      <w:pPr>
        <w:spacing w:line="240" w:lineRule="auto"/>
        <w:rPr>
          <w:color w:val="000000"/>
          <w:shd w:val="pct15" w:color="auto" w:fill="auto"/>
          <w:lang w:val="hu-HU"/>
        </w:rPr>
      </w:pPr>
      <w:r w:rsidRPr="009E10F3">
        <w:rPr>
          <w:color w:val="000000"/>
          <w:shd w:val="pct15" w:color="auto" w:fill="auto"/>
          <w:lang w:val="hu-HU"/>
        </w:rPr>
        <w:t>Románia</w:t>
      </w:r>
    </w:p>
    <w:p w14:paraId="57C9B33C" w14:textId="77777777" w:rsidR="009E10F3" w:rsidRPr="00556B9B" w:rsidRDefault="009E10F3" w:rsidP="009E10F3">
      <w:pPr>
        <w:spacing w:line="240" w:lineRule="auto"/>
        <w:rPr>
          <w:bCs/>
          <w:color w:val="000000"/>
          <w:lang w:val="hu-HU"/>
        </w:rPr>
      </w:pPr>
    </w:p>
    <w:p w14:paraId="5E479628" w14:textId="77777777" w:rsidR="005A78EA" w:rsidRPr="00556B9B" w:rsidRDefault="005A78EA" w:rsidP="00951752">
      <w:pPr>
        <w:keepNext/>
        <w:spacing w:line="240" w:lineRule="auto"/>
        <w:rPr>
          <w:color w:val="000000"/>
          <w:lang w:val="hu-HU"/>
        </w:rPr>
      </w:pPr>
      <w:r w:rsidRPr="00556B9B">
        <w:rPr>
          <w:color w:val="000000"/>
          <w:lang w:val="hu-HU"/>
        </w:rPr>
        <w:lastRenderedPageBreak/>
        <w:t>A készítményhez kapcsolódó további kérdéseivel forduljon a forgalomba hozatali engedély jogosultjának helyi képviseletéhez:</w:t>
      </w:r>
    </w:p>
    <w:p w14:paraId="7B58667A" w14:textId="77777777" w:rsidR="00D738CD" w:rsidRPr="00556B9B" w:rsidRDefault="00D738CD" w:rsidP="00951752">
      <w:pPr>
        <w:keepNext/>
        <w:widowControl w:val="0"/>
        <w:spacing w:line="240" w:lineRule="auto"/>
        <w:ind w:right="-449"/>
        <w:rPr>
          <w:rFonts w:cs="Times New Roman"/>
          <w:color w:val="000000"/>
          <w:szCs w:val="22"/>
          <w:lang w:val="hu-HU"/>
        </w:rPr>
      </w:pPr>
    </w:p>
    <w:tbl>
      <w:tblPr>
        <w:tblW w:w="9300" w:type="dxa"/>
        <w:tblLayout w:type="fixed"/>
        <w:tblLook w:val="0000" w:firstRow="0" w:lastRow="0" w:firstColumn="0" w:lastColumn="0" w:noHBand="0" w:noVBand="0"/>
      </w:tblPr>
      <w:tblGrid>
        <w:gridCol w:w="4650"/>
        <w:gridCol w:w="4650"/>
      </w:tblGrid>
      <w:tr w:rsidR="00D738CD" w:rsidRPr="00556B9B" w14:paraId="68865046" w14:textId="77777777" w:rsidTr="002000AC">
        <w:trPr>
          <w:cantSplit/>
        </w:trPr>
        <w:tc>
          <w:tcPr>
            <w:tcW w:w="4650" w:type="dxa"/>
          </w:tcPr>
          <w:p w14:paraId="09605062" w14:textId="77777777" w:rsidR="00D738CD" w:rsidRPr="00556B9B" w:rsidRDefault="00D738CD" w:rsidP="00480EDD">
            <w:pPr>
              <w:rPr>
                <w:rFonts w:cs="Times New Roman"/>
                <w:b/>
                <w:color w:val="000000"/>
                <w:szCs w:val="22"/>
                <w:lang w:val="fr-FR"/>
              </w:rPr>
            </w:pPr>
            <w:r w:rsidRPr="00556B9B">
              <w:rPr>
                <w:rFonts w:cs="Times New Roman"/>
                <w:b/>
                <w:color w:val="000000"/>
                <w:szCs w:val="22"/>
                <w:lang w:val="fr-FR"/>
              </w:rPr>
              <w:t>België/Belgique/Belgien</w:t>
            </w:r>
          </w:p>
          <w:p w14:paraId="4EF86F08"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Novartis Pharma N.V.</w:t>
            </w:r>
          </w:p>
          <w:p w14:paraId="2BC85EEC" w14:textId="77777777" w:rsidR="00D738CD" w:rsidRPr="00556B9B" w:rsidRDefault="00D738CD" w:rsidP="00480EDD">
            <w:pPr>
              <w:rPr>
                <w:rFonts w:cs="Times New Roman"/>
                <w:color w:val="000000"/>
                <w:szCs w:val="22"/>
              </w:rPr>
            </w:pPr>
            <w:r w:rsidRPr="00556B9B">
              <w:rPr>
                <w:rFonts w:cs="Times New Roman"/>
                <w:color w:val="000000"/>
                <w:szCs w:val="22"/>
              </w:rPr>
              <w:t>Tél/Tel: +32 2 246 16 11</w:t>
            </w:r>
          </w:p>
          <w:p w14:paraId="40EE557B" w14:textId="77777777" w:rsidR="00D738CD" w:rsidRPr="00556B9B" w:rsidRDefault="00D738CD" w:rsidP="00480EDD">
            <w:pPr>
              <w:rPr>
                <w:rFonts w:cs="Times New Roman"/>
                <w:b/>
                <w:color w:val="000000"/>
                <w:szCs w:val="22"/>
              </w:rPr>
            </w:pPr>
          </w:p>
        </w:tc>
        <w:tc>
          <w:tcPr>
            <w:tcW w:w="4650" w:type="dxa"/>
          </w:tcPr>
          <w:p w14:paraId="1252300B" w14:textId="77777777" w:rsidR="00D738CD" w:rsidRPr="00556B9B" w:rsidRDefault="00D738CD" w:rsidP="00480EDD">
            <w:pPr>
              <w:rPr>
                <w:rFonts w:cs="Times New Roman"/>
                <w:b/>
                <w:color w:val="000000"/>
                <w:szCs w:val="22"/>
                <w:lang w:val="es-ES"/>
              </w:rPr>
            </w:pPr>
            <w:r w:rsidRPr="00556B9B">
              <w:rPr>
                <w:rFonts w:cs="Times New Roman"/>
                <w:b/>
                <w:color w:val="000000"/>
                <w:szCs w:val="22"/>
                <w:lang w:val="es-ES"/>
              </w:rPr>
              <w:t>Lietuva</w:t>
            </w:r>
          </w:p>
          <w:p w14:paraId="7609E019" w14:textId="5E1BCD84" w:rsidR="00D738CD" w:rsidRPr="00556B9B" w:rsidRDefault="00FD611A" w:rsidP="00480EDD">
            <w:pPr>
              <w:rPr>
                <w:rFonts w:cs="Times New Roman"/>
                <w:color w:val="000000"/>
                <w:szCs w:val="22"/>
                <w:lang w:val="es-ES"/>
              </w:rPr>
            </w:pPr>
            <w:r w:rsidRPr="00556B9B">
              <w:rPr>
                <w:szCs w:val="22"/>
                <w:lang w:val="es-ES"/>
              </w:rPr>
              <w:t>SIA Novartis Baltics Lietuvos filialas</w:t>
            </w:r>
          </w:p>
          <w:p w14:paraId="73E71192" w14:textId="77777777" w:rsidR="00D738CD" w:rsidRPr="00556B9B" w:rsidRDefault="00D738CD" w:rsidP="00480EDD">
            <w:pPr>
              <w:rPr>
                <w:rFonts w:cs="Times New Roman"/>
                <w:color w:val="000000"/>
                <w:szCs w:val="22"/>
                <w:lang w:val="es-ES"/>
              </w:rPr>
            </w:pPr>
            <w:r w:rsidRPr="00556B9B">
              <w:rPr>
                <w:rFonts w:cs="Times New Roman"/>
                <w:color w:val="000000"/>
                <w:szCs w:val="22"/>
                <w:lang w:val="es-ES"/>
              </w:rPr>
              <w:t>Tel: +370 5 269 16 50</w:t>
            </w:r>
          </w:p>
          <w:p w14:paraId="0299FCDD" w14:textId="77777777" w:rsidR="00D738CD" w:rsidRPr="00556B9B" w:rsidRDefault="00D738CD" w:rsidP="00480EDD">
            <w:pPr>
              <w:rPr>
                <w:rFonts w:cs="Times New Roman"/>
                <w:color w:val="000000"/>
                <w:szCs w:val="22"/>
                <w:lang w:val="es-ES"/>
              </w:rPr>
            </w:pPr>
          </w:p>
        </w:tc>
      </w:tr>
      <w:tr w:rsidR="00D738CD" w:rsidRPr="00556B9B" w14:paraId="21D57DA7" w14:textId="77777777" w:rsidTr="002000AC">
        <w:trPr>
          <w:cantSplit/>
        </w:trPr>
        <w:tc>
          <w:tcPr>
            <w:tcW w:w="4650" w:type="dxa"/>
          </w:tcPr>
          <w:p w14:paraId="03C26ACC" w14:textId="77777777" w:rsidR="00D738CD" w:rsidRPr="00FE57F2" w:rsidRDefault="00D738CD" w:rsidP="00480EDD">
            <w:pPr>
              <w:rPr>
                <w:rFonts w:cs="Times New Roman"/>
                <w:b/>
                <w:noProof/>
                <w:color w:val="000000"/>
                <w:szCs w:val="22"/>
                <w:lang w:val="es-ES"/>
              </w:rPr>
            </w:pPr>
            <w:r w:rsidRPr="00556B9B">
              <w:rPr>
                <w:rFonts w:cs="Times New Roman"/>
                <w:b/>
                <w:noProof/>
                <w:color w:val="000000"/>
                <w:szCs w:val="22"/>
              </w:rPr>
              <w:t>България</w:t>
            </w:r>
          </w:p>
          <w:p w14:paraId="5487C4A9" w14:textId="77777777" w:rsidR="00D738CD" w:rsidRPr="00FE57F2" w:rsidRDefault="00B4344B" w:rsidP="00480EDD">
            <w:pPr>
              <w:rPr>
                <w:rFonts w:cs="Times New Roman"/>
                <w:noProof/>
                <w:color w:val="000000"/>
                <w:szCs w:val="22"/>
                <w:lang w:val="es-ES"/>
              </w:rPr>
            </w:pPr>
            <w:r w:rsidRPr="00FE57F2">
              <w:rPr>
                <w:szCs w:val="22"/>
                <w:lang w:val="es-ES"/>
              </w:rPr>
              <w:t>Novartis Bulgaria EOOD</w:t>
            </w:r>
          </w:p>
          <w:p w14:paraId="77907C34" w14:textId="77777777" w:rsidR="00D738CD" w:rsidRPr="00FE57F2" w:rsidRDefault="00D738CD" w:rsidP="00480EDD">
            <w:pPr>
              <w:rPr>
                <w:rFonts w:cs="Times New Roman"/>
                <w:noProof/>
                <w:color w:val="000000"/>
                <w:szCs w:val="22"/>
                <w:lang w:val="es-ES"/>
              </w:rPr>
            </w:pPr>
            <w:r w:rsidRPr="00556B9B">
              <w:rPr>
                <w:rFonts w:cs="Times New Roman"/>
                <w:noProof/>
                <w:color w:val="000000"/>
                <w:szCs w:val="22"/>
              </w:rPr>
              <w:t>Тел</w:t>
            </w:r>
            <w:r w:rsidRPr="00FE57F2">
              <w:rPr>
                <w:rFonts w:cs="Times New Roman"/>
                <w:noProof/>
                <w:color w:val="000000"/>
                <w:szCs w:val="22"/>
                <w:lang w:val="es-ES"/>
              </w:rPr>
              <w:t>.: +359 2 489 98 28</w:t>
            </w:r>
          </w:p>
          <w:p w14:paraId="7CF9DDE8" w14:textId="77777777" w:rsidR="00D738CD" w:rsidRPr="00556B9B" w:rsidRDefault="00D738CD" w:rsidP="00480EDD">
            <w:pPr>
              <w:rPr>
                <w:rFonts w:cs="Times New Roman"/>
                <w:b/>
                <w:color w:val="000000"/>
                <w:szCs w:val="22"/>
                <w:lang w:val="pt-BR"/>
              </w:rPr>
            </w:pPr>
          </w:p>
        </w:tc>
        <w:tc>
          <w:tcPr>
            <w:tcW w:w="4650" w:type="dxa"/>
          </w:tcPr>
          <w:p w14:paraId="18C319C6"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Luxembourg/Luxemburg</w:t>
            </w:r>
          </w:p>
          <w:p w14:paraId="0FC08A96"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Pharma N.V.</w:t>
            </w:r>
          </w:p>
          <w:p w14:paraId="6891652C"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Tél/Tel: +32 2 246 16 11</w:t>
            </w:r>
          </w:p>
          <w:p w14:paraId="2CE32A2B" w14:textId="77777777" w:rsidR="00D738CD" w:rsidRPr="00556B9B" w:rsidRDefault="00D738CD" w:rsidP="00480EDD">
            <w:pPr>
              <w:rPr>
                <w:rFonts w:cs="Times New Roman"/>
                <w:color w:val="000000"/>
                <w:szCs w:val="22"/>
                <w:lang w:val="de-CH"/>
              </w:rPr>
            </w:pPr>
          </w:p>
        </w:tc>
      </w:tr>
      <w:tr w:rsidR="00D738CD" w:rsidRPr="00556B9B" w14:paraId="482EA409" w14:textId="77777777" w:rsidTr="002000AC">
        <w:trPr>
          <w:cantSplit/>
        </w:trPr>
        <w:tc>
          <w:tcPr>
            <w:tcW w:w="4650" w:type="dxa"/>
          </w:tcPr>
          <w:p w14:paraId="164234D4"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Česká republika</w:t>
            </w:r>
          </w:p>
          <w:p w14:paraId="04F17599"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s.r.o.</w:t>
            </w:r>
          </w:p>
          <w:p w14:paraId="3E39141F" w14:textId="77777777" w:rsidR="00D738CD" w:rsidRPr="00556B9B" w:rsidRDefault="00D738CD" w:rsidP="00480EDD">
            <w:pPr>
              <w:rPr>
                <w:rFonts w:cs="Times New Roman"/>
                <w:color w:val="000000"/>
                <w:szCs w:val="22"/>
              </w:rPr>
            </w:pPr>
            <w:r w:rsidRPr="00556B9B">
              <w:rPr>
                <w:rFonts w:cs="Times New Roman"/>
                <w:color w:val="000000"/>
                <w:szCs w:val="22"/>
              </w:rPr>
              <w:t>Tel: +420 225 775 111</w:t>
            </w:r>
          </w:p>
          <w:p w14:paraId="2EC5C32D" w14:textId="77777777" w:rsidR="00D738CD" w:rsidRPr="00556B9B" w:rsidRDefault="00D738CD" w:rsidP="00480EDD">
            <w:pPr>
              <w:rPr>
                <w:rFonts w:cs="Times New Roman"/>
                <w:b/>
                <w:color w:val="000000"/>
                <w:szCs w:val="22"/>
              </w:rPr>
            </w:pPr>
          </w:p>
        </w:tc>
        <w:tc>
          <w:tcPr>
            <w:tcW w:w="4650" w:type="dxa"/>
          </w:tcPr>
          <w:p w14:paraId="73DD6DFC"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Magyarország</w:t>
            </w:r>
          </w:p>
          <w:p w14:paraId="10D1582F"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Hungária Kft.</w:t>
            </w:r>
          </w:p>
          <w:p w14:paraId="4A30AB76"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Tel.: +36 1 457 65 00</w:t>
            </w:r>
          </w:p>
        </w:tc>
      </w:tr>
      <w:tr w:rsidR="00D738CD" w:rsidRPr="00556B9B" w14:paraId="348C2790" w14:textId="77777777" w:rsidTr="002000AC">
        <w:trPr>
          <w:cantSplit/>
        </w:trPr>
        <w:tc>
          <w:tcPr>
            <w:tcW w:w="4650" w:type="dxa"/>
          </w:tcPr>
          <w:p w14:paraId="4057C2C3" w14:textId="77777777" w:rsidR="00D738CD" w:rsidRPr="00556B9B" w:rsidRDefault="00D738CD" w:rsidP="00480EDD">
            <w:pPr>
              <w:rPr>
                <w:rFonts w:cs="Times New Roman"/>
                <w:b/>
                <w:color w:val="000000"/>
                <w:szCs w:val="22"/>
              </w:rPr>
            </w:pPr>
            <w:r w:rsidRPr="00556B9B">
              <w:rPr>
                <w:rFonts w:cs="Times New Roman"/>
                <w:b/>
                <w:color w:val="000000"/>
                <w:szCs w:val="22"/>
              </w:rPr>
              <w:t>Danmark</w:t>
            </w:r>
          </w:p>
          <w:p w14:paraId="01D79659" w14:textId="77777777" w:rsidR="00D738CD" w:rsidRPr="00556B9B" w:rsidRDefault="00D738CD" w:rsidP="00480EDD">
            <w:pPr>
              <w:rPr>
                <w:rFonts w:cs="Times New Roman"/>
                <w:color w:val="000000"/>
                <w:szCs w:val="22"/>
              </w:rPr>
            </w:pPr>
            <w:r w:rsidRPr="00556B9B">
              <w:rPr>
                <w:rFonts w:cs="Times New Roman"/>
                <w:color w:val="000000"/>
                <w:szCs w:val="22"/>
              </w:rPr>
              <w:t>Novartis Healthcare A/S</w:t>
            </w:r>
          </w:p>
          <w:p w14:paraId="46AF9033" w14:textId="77777777" w:rsidR="00D738CD" w:rsidRPr="00556B9B" w:rsidRDefault="00D738CD" w:rsidP="00480EDD">
            <w:pPr>
              <w:rPr>
                <w:rFonts w:cs="Times New Roman"/>
                <w:color w:val="000000"/>
                <w:szCs w:val="22"/>
              </w:rPr>
            </w:pPr>
            <w:r w:rsidRPr="00556B9B">
              <w:rPr>
                <w:rFonts w:cs="Times New Roman"/>
                <w:color w:val="000000"/>
                <w:szCs w:val="22"/>
              </w:rPr>
              <w:t>Tlf: +45 39 16 84 00</w:t>
            </w:r>
          </w:p>
          <w:p w14:paraId="583BD363" w14:textId="77777777" w:rsidR="00D738CD" w:rsidRPr="00556B9B" w:rsidRDefault="00D738CD" w:rsidP="00480EDD">
            <w:pPr>
              <w:rPr>
                <w:rFonts w:cs="Times New Roman"/>
                <w:b/>
                <w:color w:val="000000"/>
                <w:szCs w:val="22"/>
              </w:rPr>
            </w:pPr>
          </w:p>
        </w:tc>
        <w:tc>
          <w:tcPr>
            <w:tcW w:w="4650" w:type="dxa"/>
          </w:tcPr>
          <w:p w14:paraId="0A296C29"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Malta</w:t>
            </w:r>
          </w:p>
          <w:p w14:paraId="722729A6"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Pharma Services Inc.</w:t>
            </w:r>
          </w:p>
          <w:p w14:paraId="6375AD74" w14:textId="77777777" w:rsidR="00D738CD" w:rsidRPr="00556B9B" w:rsidRDefault="00D738CD" w:rsidP="00480EDD">
            <w:pPr>
              <w:rPr>
                <w:rFonts w:cs="Times New Roman"/>
                <w:color w:val="000000"/>
                <w:szCs w:val="22"/>
              </w:rPr>
            </w:pPr>
            <w:r w:rsidRPr="00556B9B">
              <w:rPr>
                <w:rFonts w:cs="Times New Roman"/>
                <w:color w:val="000000"/>
                <w:szCs w:val="22"/>
              </w:rPr>
              <w:t>Tel: +356 2122 2872</w:t>
            </w:r>
          </w:p>
        </w:tc>
      </w:tr>
      <w:tr w:rsidR="00D738CD" w:rsidRPr="00556B9B" w14:paraId="2CC8E8CF" w14:textId="77777777" w:rsidTr="002000AC">
        <w:trPr>
          <w:cantSplit/>
        </w:trPr>
        <w:tc>
          <w:tcPr>
            <w:tcW w:w="4650" w:type="dxa"/>
          </w:tcPr>
          <w:p w14:paraId="7FD692C7"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Deutschland</w:t>
            </w:r>
          </w:p>
          <w:p w14:paraId="65C9E9D5"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Pharma GmbH</w:t>
            </w:r>
          </w:p>
          <w:p w14:paraId="0E1C6EDE"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Tel: +49 911 273 0</w:t>
            </w:r>
          </w:p>
          <w:p w14:paraId="73D5EFFF" w14:textId="77777777" w:rsidR="00D738CD" w:rsidRPr="00556B9B" w:rsidRDefault="00D738CD" w:rsidP="00480EDD">
            <w:pPr>
              <w:rPr>
                <w:rFonts w:cs="Times New Roman"/>
                <w:b/>
                <w:color w:val="000000"/>
                <w:szCs w:val="22"/>
                <w:lang w:val="de-CH"/>
              </w:rPr>
            </w:pPr>
          </w:p>
        </w:tc>
        <w:tc>
          <w:tcPr>
            <w:tcW w:w="4650" w:type="dxa"/>
          </w:tcPr>
          <w:p w14:paraId="7164F010"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Nederland</w:t>
            </w:r>
          </w:p>
          <w:p w14:paraId="485A7B57"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Pharma B.V.</w:t>
            </w:r>
          </w:p>
          <w:p w14:paraId="523A973D" w14:textId="6BA827E7" w:rsidR="00D738CD" w:rsidRPr="00556B9B" w:rsidRDefault="00D738CD" w:rsidP="00480EDD">
            <w:pPr>
              <w:rPr>
                <w:rFonts w:cs="Times New Roman"/>
                <w:color w:val="000000"/>
                <w:szCs w:val="22"/>
              </w:rPr>
            </w:pPr>
            <w:r w:rsidRPr="00556B9B">
              <w:rPr>
                <w:rFonts w:cs="Times New Roman"/>
                <w:color w:val="000000"/>
                <w:szCs w:val="22"/>
              </w:rPr>
              <w:t xml:space="preserve">Tel: +31 </w:t>
            </w:r>
            <w:r w:rsidR="00BB6AA0">
              <w:rPr>
                <w:rFonts w:cs="Times New Roman"/>
                <w:color w:val="000000"/>
                <w:szCs w:val="22"/>
              </w:rPr>
              <w:t>88 04 52</w:t>
            </w:r>
            <w:r w:rsidRPr="00556B9B">
              <w:rPr>
                <w:rFonts w:cs="Times New Roman"/>
                <w:color w:val="000000"/>
                <w:szCs w:val="22"/>
              </w:rPr>
              <w:t xml:space="preserve"> </w:t>
            </w:r>
            <w:r w:rsidR="00145E44" w:rsidRPr="00556B9B">
              <w:rPr>
                <w:rFonts w:cs="Times New Roman"/>
                <w:color w:val="000000"/>
                <w:szCs w:val="22"/>
              </w:rPr>
              <w:t>555</w:t>
            </w:r>
          </w:p>
        </w:tc>
      </w:tr>
      <w:tr w:rsidR="00D738CD" w:rsidRPr="00556B9B" w14:paraId="1504A4D8" w14:textId="77777777" w:rsidTr="002000AC">
        <w:trPr>
          <w:cantSplit/>
        </w:trPr>
        <w:tc>
          <w:tcPr>
            <w:tcW w:w="4650" w:type="dxa"/>
          </w:tcPr>
          <w:p w14:paraId="32982B63" w14:textId="77777777" w:rsidR="00D738CD" w:rsidRPr="00556B9B" w:rsidRDefault="00D738CD" w:rsidP="00480EDD">
            <w:pPr>
              <w:rPr>
                <w:rFonts w:cs="Times New Roman"/>
                <w:b/>
                <w:color w:val="000000"/>
                <w:szCs w:val="22"/>
                <w:lang w:val="it-IT"/>
              </w:rPr>
            </w:pPr>
            <w:r w:rsidRPr="00556B9B">
              <w:rPr>
                <w:rFonts w:cs="Times New Roman"/>
                <w:b/>
                <w:color w:val="000000"/>
                <w:szCs w:val="22"/>
                <w:lang w:val="it-IT"/>
              </w:rPr>
              <w:t>Eesti</w:t>
            </w:r>
          </w:p>
          <w:p w14:paraId="12C534CF" w14:textId="77777777" w:rsidR="00D738CD" w:rsidRPr="00556B9B" w:rsidRDefault="00FD611A" w:rsidP="00480EDD">
            <w:pPr>
              <w:rPr>
                <w:rFonts w:cs="Times New Roman"/>
                <w:color w:val="000000"/>
                <w:szCs w:val="22"/>
                <w:lang w:val="it-IT"/>
              </w:rPr>
            </w:pPr>
            <w:r w:rsidRPr="00556B9B">
              <w:rPr>
                <w:szCs w:val="22"/>
                <w:lang w:val="it-IT"/>
              </w:rPr>
              <w:t>SIA Novartis Baltics Eesti filiaal</w:t>
            </w:r>
          </w:p>
          <w:p w14:paraId="32879363" w14:textId="77777777" w:rsidR="00D738CD" w:rsidRPr="00556B9B" w:rsidRDefault="00D738CD" w:rsidP="00480EDD">
            <w:pPr>
              <w:rPr>
                <w:rFonts w:cs="Times New Roman"/>
                <w:color w:val="000000"/>
                <w:szCs w:val="22"/>
                <w:lang w:val="it-IT"/>
              </w:rPr>
            </w:pPr>
            <w:r w:rsidRPr="00556B9B">
              <w:rPr>
                <w:rFonts w:cs="Times New Roman"/>
                <w:color w:val="000000"/>
                <w:szCs w:val="22"/>
                <w:lang w:val="it-IT"/>
              </w:rPr>
              <w:t>Tel: +372 66 30 810</w:t>
            </w:r>
          </w:p>
          <w:p w14:paraId="162DFA8F" w14:textId="77777777" w:rsidR="00D738CD" w:rsidRPr="00556B9B" w:rsidRDefault="00D738CD" w:rsidP="00480EDD">
            <w:pPr>
              <w:rPr>
                <w:rFonts w:cs="Times New Roman"/>
                <w:b/>
                <w:color w:val="000000"/>
                <w:szCs w:val="22"/>
                <w:lang w:val="it-IT"/>
              </w:rPr>
            </w:pPr>
          </w:p>
        </w:tc>
        <w:tc>
          <w:tcPr>
            <w:tcW w:w="4650" w:type="dxa"/>
          </w:tcPr>
          <w:p w14:paraId="7CF1FF43"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Norge</w:t>
            </w:r>
          </w:p>
          <w:p w14:paraId="6ADA99D5"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Norge AS</w:t>
            </w:r>
          </w:p>
          <w:p w14:paraId="5F4C812E"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Tlf: +47 23 05 20 00</w:t>
            </w:r>
          </w:p>
        </w:tc>
      </w:tr>
      <w:tr w:rsidR="00D738CD" w:rsidRPr="00462020" w14:paraId="4C3AF94E" w14:textId="77777777" w:rsidTr="002000AC">
        <w:trPr>
          <w:cantSplit/>
        </w:trPr>
        <w:tc>
          <w:tcPr>
            <w:tcW w:w="4650" w:type="dxa"/>
          </w:tcPr>
          <w:p w14:paraId="6E34B1DB" w14:textId="77777777" w:rsidR="00D738CD" w:rsidRPr="00556B9B" w:rsidRDefault="00D738CD" w:rsidP="00480EDD">
            <w:pPr>
              <w:rPr>
                <w:rFonts w:cs="Times New Roman"/>
                <w:b/>
                <w:color w:val="000000"/>
                <w:szCs w:val="22"/>
                <w:lang w:val="pt-BR"/>
              </w:rPr>
            </w:pPr>
            <w:r w:rsidRPr="00556B9B">
              <w:rPr>
                <w:rFonts w:cs="Times New Roman"/>
                <w:b/>
                <w:color w:val="000000"/>
                <w:szCs w:val="22"/>
              </w:rPr>
              <w:t>Ελλάδα</w:t>
            </w:r>
          </w:p>
          <w:p w14:paraId="76981205"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(Hellas) A.E.B.E.</w:t>
            </w:r>
          </w:p>
          <w:p w14:paraId="42F84692" w14:textId="77777777" w:rsidR="00D738CD" w:rsidRPr="00556B9B" w:rsidRDefault="00D738CD" w:rsidP="00480EDD">
            <w:pPr>
              <w:rPr>
                <w:rFonts w:cs="Times New Roman"/>
                <w:color w:val="000000"/>
                <w:szCs w:val="22"/>
                <w:lang w:val="pt-BR"/>
              </w:rPr>
            </w:pPr>
            <w:r w:rsidRPr="00556B9B">
              <w:rPr>
                <w:rFonts w:cs="Times New Roman"/>
                <w:color w:val="000000"/>
                <w:szCs w:val="22"/>
              </w:rPr>
              <w:t>Τηλ</w:t>
            </w:r>
            <w:r w:rsidRPr="00556B9B">
              <w:rPr>
                <w:rFonts w:cs="Times New Roman"/>
                <w:color w:val="000000"/>
                <w:szCs w:val="22"/>
                <w:lang w:val="pt-BR"/>
              </w:rPr>
              <w:t>: +30 210 281 17 12</w:t>
            </w:r>
          </w:p>
          <w:p w14:paraId="49B83983" w14:textId="77777777" w:rsidR="00D738CD" w:rsidRPr="00556B9B" w:rsidRDefault="00D738CD" w:rsidP="00480EDD">
            <w:pPr>
              <w:rPr>
                <w:rFonts w:cs="Times New Roman"/>
                <w:b/>
                <w:color w:val="000000"/>
                <w:szCs w:val="22"/>
                <w:lang w:val="pt-BR"/>
              </w:rPr>
            </w:pPr>
          </w:p>
        </w:tc>
        <w:tc>
          <w:tcPr>
            <w:tcW w:w="4650" w:type="dxa"/>
          </w:tcPr>
          <w:p w14:paraId="3B8334B3"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Österreich</w:t>
            </w:r>
          </w:p>
          <w:p w14:paraId="33899643"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Pharma GmbH</w:t>
            </w:r>
          </w:p>
          <w:p w14:paraId="40565D02"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Tel: +43 1 86 6570</w:t>
            </w:r>
          </w:p>
        </w:tc>
      </w:tr>
      <w:tr w:rsidR="00D738CD" w:rsidRPr="00462020" w14:paraId="50D37856" w14:textId="77777777" w:rsidTr="002000AC">
        <w:trPr>
          <w:cantSplit/>
        </w:trPr>
        <w:tc>
          <w:tcPr>
            <w:tcW w:w="4650" w:type="dxa"/>
          </w:tcPr>
          <w:p w14:paraId="0D7B0E8A"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España</w:t>
            </w:r>
          </w:p>
          <w:p w14:paraId="44E97882"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Farmacéutica, S.A.</w:t>
            </w:r>
          </w:p>
          <w:p w14:paraId="4BC0EBCB" w14:textId="77777777" w:rsidR="00D738CD" w:rsidRPr="00556B9B" w:rsidRDefault="00D738CD" w:rsidP="00480EDD">
            <w:pPr>
              <w:rPr>
                <w:rFonts w:cs="Times New Roman"/>
                <w:color w:val="000000"/>
                <w:szCs w:val="22"/>
              </w:rPr>
            </w:pPr>
            <w:r w:rsidRPr="00556B9B">
              <w:rPr>
                <w:rFonts w:cs="Times New Roman"/>
                <w:color w:val="000000"/>
                <w:szCs w:val="22"/>
              </w:rPr>
              <w:t>Tel: +34 93 306 42 00</w:t>
            </w:r>
          </w:p>
          <w:p w14:paraId="4322990C" w14:textId="77777777" w:rsidR="00D738CD" w:rsidRPr="00556B9B" w:rsidRDefault="00D738CD" w:rsidP="00480EDD">
            <w:pPr>
              <w:rPr>
                <w:rFonts w:cs="Times New Roman"/>
                <w:b/>
                <w:color w:val="000000"/>
                <w:szCs w:val="22"/>
              </w:rPr>
            </w:pPr>
          </w:p>
        </w:tc>
        <w:tc>
          <w:tcPr>
            <w:tcW w:w="4650" w:type="dxa"/>
          </w:tcPr>
          <w:p w14:paraId="21563415"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Polska</w:t>
            </w:r>
          </w:p>
          <w:p w14:paraId="0318D17D"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Poland Sp. z o.o.</w:t>
            </w:r>
          </w:p>
          <w:p w14:paraId="6A29634D"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 xml:space="preserve">Tel.: +48 22 </w:t>
            </w:r>
            <w:r w:rsidRPr="00FE57F2">
              <w:rPr>
                <w:rFonts w:cs="Times New Roman"/>
                <w:szCs w:val="22"/>
                <w:lang w:val="fr-CH"/>
              </w:rPr>
              <w:t>375 4888</w:t>
            </w:r>
          </w:p>
        </w:tc>
      </w:tr>
      <w:tr w:rsidR="00D738CD" w:rsidRPr="00556B9B" w14:paraId="5CAC6D0C" w14:textId="77777777" w:rsidTr="002000AC">
        <w:trPr>
          <w:cantSplit/>
        </w:trPr>
        <w:tc>
          <w:tcPr>
            <w:tcW w:w="4650" w:type="dxa"/>
          </w:tcPr>
          <w:p w14:paraId="5BBC5348" w14:textId="77777777" w:rsidR="00D738CD" w:rsidRPr="00556B9B" w:rsidRDefault="00D738CD" w:rsidP="00480EDD">
            <w:pPr>
              <w:rPr>
                <w:rFonts w:cs="Times New Roman"/>
                <w:b/>
                <w:color w:val="000000"/>
                <w:szCs w:val="22"/>
                <w:lang w:val="fr-FR"/>
              </w:rPr>
            </w:pPr>
            <w:r w:rsidRPr="00556B9B">
              <w:rPr>
                <w:rFonts w:cs="Times New Roman"/>
                <w:b/>
                <w:color w:val="000000"/>
                <w:szCs w:val="22"/>
                <w:lang w:val="fr-FR"/>
              </w:rPr>
              <w:t>France</w:t>
            </w:r>
          </w:p>
          <w:p w14:paraId="62D3DB67"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Novartis Pharma S.A.S.</w:t>
            </w:r>
          </w:p>
          <w:p w14:paraId="7494EDFC"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Tél: +33 1 55 47 66 00</w:t>
            </w:r>
          </w:p>
          <w:p w14:paraId="107AC826" w14:textId="77777777" w:rsidR="00D738CD" w:rsidRPr="00556B9B" w:rsidRDefault="00D738CD" w:rsidP="00480EDD">
            <w:pPr>
              <w:rPr>
                <w:rFonts w:cs="Times New Roman"/>
                <w:b/>
                <w:color w:val="000000"/>
                <w:szCs w:val="22"/>
                <w:lang w:val="fr-FR"/>
              </w:rPr>
            </w:pPr>
          </w:p>
        </w:tc>
        <w:tc>
          <w:tcPr>
            <w:tcW w:w="4650" w:type="dxa"/>
          </w:tcPr>
          <w:p w14:paraId="515D06FC"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Portugal</w:t>
            </w:r>
          </w:p>
          <w:p w14:paraId="78E1DFB0"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Farma - Produtos Farmacêuticos, S.A.</w:t>
            </w:r>
          </w:p>
          <w:p w14:paraId="0C4F6398" w14:textId="77777777" w:rsidR="00D738CD" w:rsidRPr="00556B9B" w:rsidRDefault="00D738CD" w:rsidP="00480EDD">
            <w:pPr>
              <w:rPr>
                <w:rFonts w:cs="Times New Roman"/>
                <w:color w:val="000000"/>
                <w:szCs w:val="22"/>
              </w:rPr>
            </w:pPr>
            <w:r w:rsidRPr="00556B9B">
              <w:rPr>
                <w:rFonts w:cs="Times New Roman"/>
                <w:color w:val="000000"/>
                <w:szCs w:val="22"/>
              </w:rPr>
              <w:t>Tel: +351 21 000 8600</w:t>
            </w:r>
          </w:p>
        </w:tc>
      </w:tr>
      <w:tr w:rsidR="00D738CD" w:rsidRPr="00556B9B" w14:paraId="5952FC3A" w14:textId="77777777" w:rsidTr="002000AC">
        <w:trPr>
          <w:cantSplit/>
        </w:trPr>
        <w:tc>
          <w:tcPr>
            <w:tcW w:w="4650" w:type="dxa"/>
          </w:tcPr>
          <w:p w14:paraId="5DE0535A" w14:textId="77777777" w:rsidR="00D738CD" w:rsidRPr="00556B9B" w:rsidRDefault="00D738CD" w:rsidP="00480EDD">
            <w:pPr>
              <w:rPr>
                <w:rFonts w:eastAsia="PMingLiU" w:cs="Times New Roman"/>
                <w:b/>
                <w:szCs w:val="22"/>
              </w:rPr>
            </w:pPr>
            <w:r w:rsidRPr="00556B9B">
              <w:rPr>
                <w:rFonts w:eastAsia="PMingLiU" w:cs="Times New Roman"/>
                <w:b/>
                <w:szCs w:val="22"/>
              </w:rPr>
              <w:t>Hrvatska</w:t>
            </w:r>
          </w:p>
          <w:p w14:paraId="01EA966A" w14:textId="77777777" w:rsidR="00D738CD" w:rsidRPr="00556B9B" w:rsidRDefault="00D738CD" w:rsidP="00480EDD">
            <w:pPr>
              <w:rPr>
                <w:rFonts w:cs="Times New Roman"/>
                <w:szCs w:val="22"/>
              </w:rPr>
            </w:pPr>
            <w:r w:rsidRPr="00556B9B">
              <w:rPr>
                <w:rFonts w:cs="Times New Roman"/>
                <w:szCs w:val="22"/>
              </w:rPr>
              <w:t>Novartis Hrvatska d.o.o.</w:t>
            </w:r>
          </w:p>
          <w:p w14:paraId="1F991782" w14:textId="77777777" w:rsidR="00D738CD" w:rsidRPr="00556B9B" w:rsidRDefault="00D738CD" w:rsidP="00480EDD">
            <w:pPr>
              <w:rPr>
                <w:rFonts w:cs="Times New Roman"/>
                <w:szCs w:val="22"/>
              </w:rPr>
            </w:pPr>
            <w:r w:rsidRPr="00556B9B">
              <w:rPr>
                <w:rFonts w:cs="Times New Roman"/>
                <w:szCs w:val="22"/>
              </w:rPr>
              <w:t>Tel. +385 1 6274 220</w:t>
            </w:r>
          </w:p>
          <w:p w14:paraId="4F279624" w14:textId="77777777" w:rsidR="00D738CD" w:rsidRPr="00556B9B" w:rsidRDefault="00D738CD" w:rsidP="00480EDD">
            <w:pPr>
              <w:rPr>
                <w:rFonts w:cs="Times New Roman"/>
                <w:b/>
                <w:color w:val="000000"/>
                <w:szCs w:val="22"/>
                <w:lang w:val="fr-FR"/>
              </w:rPr>
            </w:pPr>
          </w:p>
        </w:tc>
        <w:tc>
          <w:tcPr>
            <w:tcW w:w="4650" w:type="dxa"/>
          </w:tcPr>
          <w:p w14:paraId="3CB7D199" w14:textId="77777777" w:rsidR="00D738CD" w:rsidRPr="00556B9B" w:rsidRDefault="00D738CD" w:rsidP="00480EDD">
            <w:pPr>
              <w:rPr>
                <w:rFonts w:cs="Times New Roman"/>
                <w:b/>
                <w:noProof/>
                <w:color w:val="000000"/>
                <w:szCs w:val="22"/>
                <w:lang w:val="it-IT"/>
              </w:rPr>
            </w:pPr>
            <w:r w:rsidRPr="00556B9B">
              <w:rPr>
                <w:rFonts w:cs="Times New Roman"/>
                <w:b/>
                <w:noProof/>
                <w:color w:val="000000"/>
                <w:szCs w:val="22"/>
                <w:lang w:val="it-IT"/>
              </w:rPr>
              <w:t>România</w:t>
            </w:r>
          </w:p>
          <w:p w14:paraId="72F0B159" w14:textId="77777777" w:rsidR="00D738CD" w:rsidRPr="00556B9B" w:rsidRDefault="00D738CD" w:rsidP="00480EDD">
            <w:pPr>
              <w:rPr>
                <w:rFonts w:cs="Times New Roman"/>
                <w:noProof/>
                <w:color w:val="000000"/>
                <w:szCs w:val="22"/>
                <w:lang w:val="it-IT"/>
              </w:rPr>
            </w:pPr>
            <w:r w:rsidRPr="00556B9B">
              <w:rPr>
                <w:rFonts w:cs="Times New Roman"/>
                <w:noProof/>
                <w:color w:val="000000"/>
                <w:szCs w:val="22"/>
                <w:lang w:val="it-IT"/>
              </w:rPr>
              <w:t xml:space="preserve">Novartis Pharma Services </w:t>
            </w:r>
            <w:r w:rsidRPr="00556B9B">
              <w:rPr>
                <w:rFonts w:cs="Times New Roman"/>
                <w:color w:val="2F2F2F"/>
                <w:szCs w:val="22"/>
              </w:rPr>
              <w:t>Romania SRL</w:t>
            </w:r>
          </w:p>
          <w:p w14:paraId="16D08A36" w14:textId="77777777" w:rsidR="00D738CD" w:rsidRPr="00556B9B" w:rsidRDefault="00D738CD" w:rsidP="00480EDD">
            <w:pPr>
              <w:rPr>
                <w:rFonts w:cs="Times New Roman"/>
                <w:color w:val="000000"/>
                <w:szCs w:val="22"/>
              </w:rPr>
            </w:pPr>
            <w:r w:rsidRPr="00556B9B">
              <w:rPr>
                <w:rFonts w:cs="Times New Roman"/>
                <w:noProof/>
                <w:color w:val="000000"/>
                <w:szCs w:val="22"/>
                <w:lang w:val="it-IT"/>
              </w:rPr>
              <w:t>Tel: +40 21 31299 01</w:t>
            </w:r>
          </w:p>
        </w:tc>
      </w:tr>
      <w:tr w:rsidR="00D738CD" w:rsidRPr="00556B9B" w14:paraId="6054701D" w14:textId="77777777" w:rsidTr="002000AC">
        <w:trPr>
          <w:cantSplit/>
        </w:trPr>
        <w:tc>
          <w:tcPr>
            <w:tcW w:w="4650" w:type="dxa"/>
          </w:tcPr>
          <w:p w14:paraId="5FA32944" w14:textId="77777777" w:rsidR="00D738CD" w:rsidRPr="00556B9B" w:rsidRDefault="00D738CD" w:rsidP="00480EDD">
            <w:pPr>
              <w:rPr>
                <w:rFonts w:cs="Times New Roman"/>
                <w:b/>
                <w:color w:val="000000"/>
                <w:szCs w:val="22"/>
              </w:rPr>
            </w:pPr>
            <w:r w:rsidRPr="00556B9B">
              <w:rPr>
                <w:rFonts w:cs="Times New Roman"/>
                <w:b/>
                <w:color w:val="000000"/>
                <w:szCs w:val="22"/>
              </w:rPr>
              <w:t>Ireland</w:t>
            </w:r>
          </w:p>
          <w:p w14:paraId="1172FAA2" w14:textId="77777777" w:rsidR="00D738CD" w:rsidRPr="00556B9B" w:rsidRDefault="00D738CD" w:rsidP="00480EDD">
            <w:pPr>
              <w:rPr>
                <w:rFonts w:cs="Times New Roman"/>
                <w:color w:val="000000"/>
                <w:szCs w:val="22"/>
              </w:rPr>
            </w:pPr>
            <w:r w:rsidRPr="00556B9B">
              <w:rPr>
                <w:rFonts w:cs="Times New Roman"/>
                <w:color w:val="000000"/>
                <w:szCs w:val="22"/>
              </w:rPr>
              <w:t>Novartis Ireland Limited</w:t>
            </w:r>
          </w:p>
          <w:p w14:paraId="0305E608" w14:textId="77777777" w:rsidR="00D738CD" w:rsidRPr="00556B9B" w:rsidRDefault="00D738CD" w:rsidP="00480EDD">
            <w:pPr>
              <w:rPr>
                <w:rFonts w:cs="Times New Roman"/>
                <w:color w:val="000000"/>
                <w:szCs w:val="22"/>
              </w:rPr>
            </w:pPr>
            <w:r w:rsidRPr="00556B9B">
              <w:rPr>
                <w:rFonts w:cs="Times New Roman"/>
                <w:color w:val="000000"/>
                <w:szCs w:val="22"/>
              </w:rPr>
              <w:t>Tel: +353 1 260 12 55</w:t>
            </w:r>
          </w:p>
          <w:p w14:paraId="145677D5" w14:textId="77777777" w:rsidR="00D738CD" w:rsidRPr="00556B9B" w:rsidRDefault="00D738CD" w:rsidP="00480EDD">
            <w:pPr>
              <w:rPr>
                <w:rFonts w:cs="Times New Roman"/>
                <w:b/>
                <w:color w:val="000000"/>
                <w:szCs w:val="22"/>
              </w:rPr>
            </w:pPr>
          </w:p>
        </w:tc>
        <w:tc>
          <w:tcPr>
            <w:tcW w:w="4650" w:type="dxa"/>
          </w:tcPr>
          <w:p w14:paraId="543FDF53" w14:textId="77777777" w:rsidR="00D738CD" w:rsidRPr="00556B9B" w:rsidRDefault="00D738CD" w:rsidP="00480EDD">
            <w:pPr>
              <w:rPr>
                <w:rFonts w:cs="Times New Roman"/>
                <w:b/>
                <w:color w:val="000000"/>
                <w:szCs w:val="22"/>
                <w:lang w:val="fr-FR"/>
              </w:rPr>
            </w:pPr>
            <w:r w:rsidRPr="00556B9B">
              <w:rPr>
                <w:rFonts w:cs="Times New Roman"/>
                <w:b/>
                <w:color w:val="000000"/>
                <w:szCs w:val="22"/>
                <w:lang w:val="fr-FR"/>
              </w:rPr>
              <w:t>Slovenija</w:t>
            </w:r>
          </w:p>
          <w:p w14:paraId="316765CB"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Novartis Pharma Services Inc.</w:t>
            </w:r>
          </w:p>
          <w:p w14:paraId="66B8F323"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Tel: +386 1 300 75 50</w:t>
            </w:r>
          </w:p>
        </w:tc>
      </w:tr>
      <w:tr w:rsidR="00D738CD" w:rsidRPr="00556B9B" w14:paraId="2F259A94" w14:textId="77777777" w:rsidTr="002000AC">
        <w:trPr>
          <w:cantSplit/>
        </w:trPr>
        <w:tc>
          <w:tcPr>
            <w:tcW w:w="4650" w:type="dxa"/>
          </w:tcPr>
          <w:p w14:paraId="225DDFAE" w14:textId="77777777" w:rsidR="00D738CD" w:rsidRPr="00556B9B" w:rsidRDefault="00D738CD" w:rsidP="00480EDD">
            <w:pPr>
              <w:rPr>
                <w:rFonts w:cs="Times New Roman"/>
                <w:b/>
                <w:color w:val="000000"/>
                <w:szCs w:val="22"/>
              </w:rPr>
            </w:pPr>
            <w:r w:rsidRPr="00556B9B">
              <w:rPr>
                <w:rFonts w:cs="Times New Roman"/>
                <w:b/>
                <w:color w:val="000000"/>
                <w:szCs w:val="22"/>
              </w:rPr>
              <w:t>Ísland</w:t>
            </w:r>
          </w:p>
          <w:p w14:paraId="065AD335" w14:textId="77777777" w:rsidR="00D738CD" w:rsidRPr="00556B9B" w:rsidRDefault="00D738CD" w:rsidP="00480EDD">
            <w:pPr>
              <w:rPr>
                <w:rFonts w:cs="Times New Roman"/>
                <w:color w:val="000000"/>
                <w:szCs w:val="22"/>
              </w:rPr>
            </w:pPr>
            <w:r w:rsidRPr="00556B9B">
              <w:rPr>
                <w:rFonts w:cs="Times New Roman"/>
                <w:color w:val="000000"/>
                <w:szCs w:val="22"/>
              </w:rPr>
              <w:t>Vistor hf.</w:t>
            </w:r>
          </w:p>
          <w:p w14:paraId="6565462F" w14:textId="77777777" w:rsidR="00D738CD" w:rsidRPr="00556B9B" w:rsidRDefault="00D738CD" w:rsidP="00480EDD">
            <w:pPr>
              <w:rPr>
                <w:rFonts w:cs="Times New Roman"/>
                <w:color w:val="000000"/>
                <w:szCs w:val="22"/>
              </w:rPr>
            </w:pPr>
            <w:r w:rsidRPr="00556B9B">
              <w:rPr>
                <w:rFonts w:cs="Times New Roman"/>
                <w:noProof/>
                <w:color w:val="000000"/>
                <w:szCs w:val="22"/>
                <w:lang w:val="it-IT"/>
              </w:rPr>
              <w:t>S</w:t>
            </w:r>
            <w:r w:rsidRPr="00556B9B">
              <w:rPr>
                <w:rFonts w:cs="Times New Roman"/>
                <w:noProof/>
                <w:color w:val="000000"/>
                <w:szCs w:val="22"/>
                <w:lang w:val="cs-CZ"/>
              </w:rPr>
              <w:t>í</w:t>
            </w:r>
            <w:r w:rsidRPr="00556B9B">
              <w:rPr>
                <w:rFonts w:cs="Times New Roman"/>
                <w:noProof/>
                <w:color w:val="000000"/>
                <w:szCs w:val="22"/>
                <w:lang w:val="it-IT"/>
              </w:rPr>
              <w:t>mi</w:t>
            </w:r>
            <w:r w:rsidRPr="00556B9B">
              <w:rPr>
                <w:rFonts w:cs="Times New Roman"/>
                <w:color w:val="000000"/>
                <w:szCs w:val="22"/>
              </w:rPr>
              <w:t>: +354 535 7000</w:t>
            </w:r>
          </w:p>
          <w:p w14:paraId="7942602C" w14:textId="77777777" w:rsidR="00D738CD" w:rsidRPr="00556B9B" w:rsidRDefault="00D738CD" w:rsidP="00480EDD">
            <w:pPr>
              <w:rPr>
                <w:rFonts w:cs="Times New Roman"/>
                <w:b/>
                <w:color w:val="000000"/>
                <w:szCs w:val="22"/>
              </w:rPr>
            </w:pPr>
          </w:p>
        </w:tc>
        <w:tc>
          <w:tcPr>
            <w:tcW w:w="4650" w:type="dxa"/>
          </w:tcPr>
          <w:p w14:paraId="027075CB"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Slovenská republika</w:t>
            </w:r>
          </w:p>
          <w:p w14:paraId="2F639F53"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Slovakia s.r.o.</w:t>
            </w:r>
          </w:p>
          <w:p w14:paraId="1BE3FDF0" w14:textId="77777777" w:rsidR="00D738CD" w:rsidRPr="00556B9B" w:rsidRDefault="00D738CD" w:rsidP="00480EDD">
            <w:pPr>
              <w:rPr>
                <w:rFonts w:cs="Times New Roman"/>
                <w:color w:val="000000"/>
                <w:szCs w:val="22"/>
              </w:rPr>
            </w:pPr>
            <w:r w:rsidRPr="00556B9B">
              <w:rPr>
                <w:rFonts w:cs="Times New Roman"/>
                <w:color w:val="000000"/>
                <w:szCs w:val="22"/>
              </w:rPr>
              <w:t>Tel: +421 2 5542 5439</w:t>
            </w:r>
          </w:p>
          <w:p w14:paraId="14918EF2" w14:textId="77777777" w:rsidR="00D738CD" w:rsidRPr="00556B9B" w:rsidRDefault="00D738CD" w:rsidP="00480EDD">
            <w:pPr>
              <w:rPr>
                <w:rFonts w:cs="Times New Roman"/>
                <w:color w:val="000000"/>
                <w:szCs w:val="22"/>
              </w:rPr>
            </w:pPr>
          </w:p>
        </w:tc>
      </w:tr>
      <w:tr w:rsidR="00D738CD" w:rsidRPr="00556B9B" w14:paraId="47970CBC" w14:textId="77777777" w:rsidTr="002000AC">
        <w:trPr>
          <w:cantSplit/>
        </w:trPr>
        <w:tc>
          <w:tcPr>
            <w:tcW w:w="4650" w:type="dxa"/>
          </w:tcPr>
          <w:p w14:paraId="50A7F03D"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Italia</w:t>
            </w:r>
          </w:p>
          <w:p w14:paraId="55B83125"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Farma S.p.A.</w:t>
            </w:r>
          </w:p>
          <w:p w14:paraId="1642423E" w14:textId="77777777" w:rsidR="00D738CD" w:rsidRPr="00556B9B" w:rsidRDefault="00D738CD" w:rsidP="00480EDD">
            <w:pPr>
              <w:rPr>
                <w:rFonts w:cs="Times New Roman"/>
                <w:b/>
                <w:color w:val="000000"/>
                <w:szCs w:val="22"/>
              </w:rPr>
            </w:pPr>
            <w:r w:rsidRPr="00556B9B">
              <w:rPr>
                <w:rFonts w:cs="Times New Roman"/>
                <w:color w:val="000000"/>
                <w:szCs w:val="22"/>
              </w:rPr>
              <w:t>Tel: +39 02 96 54 1</w:t>
            </w:r>
          </w:p>
        </w:tc>
        <w:tc>
          <w:tcPr>
            <w:tcW w:w="4650" w:type="dxa"/>
          </w:tcPr>
          <w:p w14:paraId="06F40A49" w14:textId="77777777" w:rsidR="00D738CD" w:rsidRPr="00556B9B" w:rsidRDefault="00D738CD" w:rsidP="00480EDD">
            <w:pPr>
              <w:rPr>
                <w:rFonts w:cs="Times New Roman"/>
                <w:b/>
                <w:color w:val="000000"/>
                <w:szCs w:val="22"/>
                <w:lang w:val="fr-FR"/>
              </w:rPr>
            </w:pPr>
            <w:r w:rsidRPr="00556B9B">
              <w:rPr>
                <w:rFonts w:cs="Times New Roman"/>
                <w:b/>
                <w:color w:val="000000"/>
                <w:szCs w:val="22"/>
                <w:lang w:val="fr-FR"/>
              </w:rPr>
              <w:t>Suomi/Finland</w:t>
            </w:r>
          </w:p>
          <w:p w14:paraId="5B3B4A1D"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Novartis Finland Oy</w:t>
            </w:r>
          </w:p>
          <w:p w14:paraId="0C973233"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 xml:space="preserve">Puh/Tel: </w:t>
            </w:r>
            <w:r w:rsidRPr="00556B9B">
              <w:rPr>
                <w:rFonts w:cs="Times New Roman"/>
                <w:color w:val="000000"/>
                <w:szCs w:val="22"/>
                <w:lang w:val="de-CH" w:bidi="he-IL"/>
              </w:rPr>
              <w:t>+358 (0)10 6133 200</w:t>
            </w:r>
          </w:p>
          <w:p w14:paraId="1F6D8514" w14:textId="77777777" w:rsidR="00D738CD" w:rsidRPr="00556B9B" w:rsidRDefault="00D738CD" w:rsidP="00480EDD">
            <w:pPr>
              <w:rPr>
                <w:rFonts w:cs="Times New Roman"/>
                <w:color w:val="000000"/>
                <w:szCs w:val="22"/>
                <w:lang w:val="fr-FR"/>
              </w:rPr>
            </w:pPr>
          </w:p>
        </w:tc>
      </w:tr>
      <w:tr w:rsidR="00D738CD" w:rsidRPr="00462020" w14:paraId="61C5D17F" w14:textId="77777777" w:rsidTr="002000AC">
        <w:trPr>
          <w:cantSplit/>
        </w:trPr>
        <w:tc>
          <w:tcPr>
            <w:tcW w:w="4650" w:type="dxa"/>
          </w:tcPr>
          <w:p w14:paraId="08D0522E" w14:textId="77777777" w:rsidR="00D738CD" w:rsidRPr="00556B9B" w:rsidRDefault="00D738CD" w:rsidP="00480EDD">
            <w:pPr>
              <w:rPr>
                <w:rFonts w:cs="Times New Roman"/>
                <w:b/>
                <w:color w:val="000000"/>
                <w:szCs w:val="22"/>
                <w:lang w:val="fr-FR"/>
              </w:rPr>
            </w:pPr>
            <w:r w:rsidRPr="00556B9B">
              <w:rPr>
                <w:rFonts w:cs="Times New Roman"/>
                <w:b/>
                <w:color w:val="000000"/>
                <w:szCs w:val="22"/>
              </w:rPr>
              <w:lastRenderedPageBreak/>
              <w:t>Κύπρος</w:t>
            </w:r>
          </w:p>
          <w:p w14:paraId="3AED65EF"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bidi="he-IL"/>
              </w:rPr>
              <w:t>Novartis Pharma Services Inc.</w:t>
            </w:r>
          </w:p>
          <w:p w14:paraId="406C56A5" w14:textId="77777777" w:rsidR="00D738CD" w:rsidRPr="00556B9B" w:rsidRDefault="00D738CD" w:rsidP="00480EDD">
            <w:pPr>
              <w:rPr>
                <w:rFonts w:cs="Times New Roman"/>
                <w:color w:val="000000"/>
                <w:szCs w:val="22"/>
                <w:lang w:val="fr-FR"/>
              </w:rPr>
            </w:pPr>
            <w:r w:rsidRPr="00556B9B">
              <w:rPr>
                <w:rFonts w:cs="Times New Roman"/>
                <w:color w:val="000000"/>
                <w:szCs w:val="22"/>
              </w:rPr>
              <w:t>Τηλ</w:t>
            </w:r>
            <w:r w:rsidRPr="00556B9B">
              <w:rPr>
                <w:rFonts w:cs="Times New Roman"/>
                <w:color w:val="000000"/>
                <w:szCs w:val="22"/>
                <w:lang w:val="fr-FR"/>
              </w:rPr>
              <w:t>: +357 22 690 690</w:t>
            </w:r>
          </w:p>
          <w:p w14:paraId="1744C319" w14:textId="77777777" w:rsidR="00D738CD" w:rsidRPr="00556B9B" w:rsidRDefault="00D738CD" w:rsidP="00480EDD">
            <w:pPr>
              <w:rPr>
                <w:rFonts w:cs="Times New Roman"/>
                <w:b/>
                <w:color w:val="000000"/>
                <w:szCs w:val="22"/>
                <w:lang w:val="fr-FR"/>
              </w:rPr>
            </w:pPr>
          </w:p>
        </w:tc>
        <w:tc>
          <w:tcPr>
            <w:tcW w:w="4650" w:type="dxa"/>
          </w:tcPr>
          <w:p w14:paraId="43FD50AD"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Sverige</w:t>
            </w:r>
          </w:p>
          <w:p w14:paraId="680CD855"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Sverige AB</w:t>
            </w:r>
          </w:p>
          <w:p w14:paraId="4FD42CC3"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Tel: +46 8 732 32 00</w:t>
            </w:r>
          </w:p>
          <w:p w14:paraId="19C626A9" w14:textId="77777777" w:rsidR="00D738CD" w:rsidRPr="00556B9B" w:rsidRDefault="00D738CD" w:rsidP="00480EDD">
            <w:pPr>
              <w:rPr>
                <w:rFonts w:cs="Times New Roman"/>
                <w:color w:val="000000"/>
                <w:szCs w:val="22"/>
                <w:lang w:val="de-CH"/>
              </w:rPr>
            </w:pPr>
          </w:p>
        </w:tc>
      </w:tr>
      <w:tr w:rsidR="00D738CD" w:rsidRPr="00556B9B" w14:paraId="50B3FF13" w14:textId="77777777" w:rsidTr="002000AC">
        <w:trPr>
          <w:cantSplit/>
        </w:trPr>
        <w:tc>
          <w:tcPr>
            <w:tcW w:w="4650" w:type="dxa"/>
          </w:tcPr>
          <w:p w14:paraId="7D02E680" w14:textId="77777777" w:rsidR="00D738CD" w:rsidRPr="00556B9B" w:rsidRDefault="00D738CD" w:rsidP="00480EDD">
            <w:pPr>
              <w:rPr>
                <w:rFonts w:cs="Times New Roman"/>
                <w:b/>
                <w:color w:val="000000"/>
                <w:szCs w:val="22"/>
                <w:lang w:val="it-IT"/>
              </w:rPr>
            </w:pPr>
            <w:r w:rsidRPr="00556B9B">
              <w:rPr>
                <w:rFonts w:cs="Times New Roman"/>
                <w:b/>
                <w:color w:val="000000"/>
                <w:szCs w:val="22"/>
                <w:lang w:val="it-IT"/>
              </w:rPr>
              <w:t>Latvija</w:t>
            </w:r>
          </w:p>
          <w:p w14:paraId="7351B5E2" w14:textId="4F30D833" w:rsidR="00D738CD" w:rsidRPr="00556B9B" w:rsidRDefault="00B4344B" w:rsidP="00480EDD">
            <w:pPr>
              <w:rPr>
                <w:rFonts w:cs="Times New Roman"/>
                <w:color w:val="000000"/>
                <w:szCs w:val="22"/>
                <w:lang w:val="it-IT"/>
              </w:rPr>
            </w:pPr>
            <w:r w:rsidRPr="00556B9B">
              <w:rPr>
                <w:szCs w:val="22"/>
                <w:lang w:val="it-IT"/>
              </w:rPr>
              <w:t>SIA Novartis Baltics</w:t>
            </w:r>
          </w:p>
          <w:p w14:paraId="20BB82D5" w14:textId="77777777" w:rsidR="00D738CD" w:rsidRPr="00556B9B" w:rsidRDefault="00D738CD" w:rsidP="00480EDD">
            <w:pPr>
              <w:rPr>
                <w:rFonts w:cs="Times New Roman"/>
                <w:color w:val="000000"/>
                <w:szCs w:val="22"/>
                <w:lang w:val="it-IT"/>
              </w:rPr>
            </w:pPr>
            <w:r w:rsidRPr="00556B9B">
              <w:rPr>
                <w:rFonts w:cs="Times New Roman"/>
                <w:color w:val="000000"/>
                <w:szCs w:val="22"/>
                <w:lang w:val="it-IT"/>
              </w:rPr>
              <w:t>Tel: +371 67 887 070</w:t>
            </w:r>
          </w:p>
          <w:p w14:paraId="5496F63A" w14:textId="77777777" w:rsidR="00D738CD" w:rsidRPr="00556B9B" w:rsidRDefault="00D738CD" w:rsidP="00480EDD">
            <w:pPr>
              <w:rPr>
                <w:rFonts w:cs="Times New Roman"/>
                <w:b/>
                <w:color w:val="000000"/>
                <w:szCs w:val="22"/>
                <w:lang w:val="it-IT"/>
              </w:rPr>
            </w:pPr>
          </w:p>
        </w:tc>
        <w:tc>
          <w:tcPr>
            <w:tcW w:w="4650" w:type="dxa"/>
          </w:tcPr>
          <w:p w14:paraId="3E70E889" w14:textId="77777777" w:rsidR="00D738CD" w:rsidRPr="00556B9B" w:rsidRDefault="00D738CD" w:rsidP="00480EDD">
            <w:pPr>
              <w:rPr>
                <w:rFonts w:cs="Times New Roman"/>
                <w:b/>
                <w:color w:val="000000"/>
                <w:szCs w:val="22"/>
              </w:rPr>
            </w:pPr>
            <w:r w:rsidRPr="00556B9B">
              <w:rPr>
                <w:rFonts w:cs="Times New Roman"/>
                <w:b/>
                <w:color w:val="000000"/>
                <w:szCs w:val="22"/>
              </w:rPr>
              <w:t>United Kingdom</w:t>
            </w:r>
          </w:p>
          <w:p w14:paraId="0C95A4F7" w14:textId="77777777" w:rsidR="00D738CD" w:rsidRPr="00556B9B" w:rsidRDefault="00D738CD" w:rsidP="00480EDD">
            <w:pPr>
              <w:rPr>
                <w:rFonts w:cs="Times New Roman"/>
                <w:color w:val="000000"/>
                <w:szCs w:val="22"/>
              </w:rPr>
            </w:pPr>
            <w:r w:rsidRPr="00556B9B">
              <w:rPr>
                <w:rFonts w:cs="Times New Roman"/>
                <w:color w:val="000000"/>
                <w:szCs w:val="22"/>
              </w:rPr>
              <w:t>Novartis Pharmaceuticals UK Ltd.</w:t>
            </w:r>
          </w:p>
          <w:p w14:paraId="63E65F5C" w14:textId="77777777" w:rsidR="00D738CD" w:rsidRPr="00556B9B" w:rsidRDefault="00D738CD" w:rsidP="00480EDD">
            <w:pPr>
              <w:rPr>
                <w:rFonts w:cs="Times New Roman"/>
                <w:color w:val="000000"/>
                <w:szCs w:val="22"/>
              </w:rPr>
            </w:pPr>
            <w:r w:rsidRPr="00556B9B">
              <w:rPr>
                <w:rFonts w:cs="Times New Roman"/>
                <w:color w:val="000000"/>
                <w:szCs w:val="22"/>
              </w:rPr>
              <w:t>Tel: +44 1276 698370</w:t>
            </w:r>
          </w:p>
          <w:p w14:paraId="17E53F24" w14:textId="77777777" w:rsidR="00D738CD" w:rsidRPr="00556B9B" w:rsidRDefault="00D738CD" w:rsidP="00480EDD">
            <w:pPr>
              <w:rPr>
                <w:rFonts w:cs="Times New Roman"/>
                <w:color w:val="000000"/>
                <w:szCs w:val="22"/>
              </w:rPr>
            </w:pPr>
          </w:p>
        </w:tc>
      </w:tr>
    </w:tbl>
    <w:p w14:paraId="244D622E" w14:textId="77777777" w:rsidR="00D738CD" w:rsidRPr="00556B9B" w:rsidRDefault="00D738CD" w:rsidP="00D738CD">
      <w:pPr>
        <w:widowControl w:val="0"/>
        <w:spacing w:line="240" w:lineRule="auto"/>
        <w:ind w:right="-449"/>
        <w:rPr>
          <w:rFonts w:cs="Times New Roman"/>
          <w:color w:val="000000"/>
          <w:szCs w:val="22"/>
        </w:rPr>
      </w:pPr>
    </w:p>
    <w:p w14:paraId="47BC563A" w14:textId="77777777" w:rsidR="005A78EA" w:rsidRPr="00556B9B" w:rsidRDefault="005A78EA" w:rsidP="005A78EA">
      <w:pPr>
        <w:spacing w:line="240" w:lineRule="auto"/>
        <w:ind w:right="-2"/>
        <w:rPr>
          <w:color w:val="000000"/>
          <w:lang w:val="hu-HU"/>
        </w:rPr>
      </w:pPr>
      <w:r w:rsidRPr="00556B9B">
        <w:rPr>
          <w:b/>
          <w:color w:val="000000"/>
          <w:lang w:val="hu-HU"/>
        </w:rPr>
        <w:t xml:space="preserve">A betegtájékoztató </w:t>
      </w:r>
      <w:r w:rsidR="00731BCD" w:rsidRPr="00556B9B">
        <w:rPr>
          <w:b/>
          <w:color w:val="000000"/>
          <w:lang w:val="hu-HU"/>
        </w:rPr>
        <w:t xml:space="preserve">legutóbbi felülvizsgálatának </w:t>
      </w:r>
      <w:r w:rsidRPr="00556B9B">
        <w:rPr>
          <w:b/>
          <w:color w:val="000000"/>
          <w:lang w:val="hu-HU"/>
        </w:rPr>
        <w:t>dátuma</w:t>
      </w:r>
    </w:p>
    <w:p w14:paraId="1F44CEE8" w14:textId="77777777" w:rsidR="005A78EA" w:rsidRPr="00556B9B" w:rsidRDefault="005A78EA" w:rsidP="005A78EA">
      <w:pPr>
        <w:spacing w:line="240" w:lineRule="auto"/>
        <w:ind w:right="-2"/>
        <w:rPr>
          <w:color w:val="000000"/>
          <w:lang w:val="hu-HU"/>
        </w:rPr>
      </w:pPr>
    </w:p>
    <w:p w14:paraId="2DC259F9" w14:textId="77777777" w:rsidR="00731BCD" w:rsidRPr="00556B9B" w:rsidRDefault="00731BCD" w:rsidP="00951752">
      <w:pPr>
        <w:keepNext/>
        <w:rPr>
          <w:b/>
          <w:lang w:val="hu-HU"/>
        </w:rPr>
      </w:pPr>
      <w:r w:rsidRPr="00556B9B">
        <w:rPr>
          <w:b/>
          <w:lang w:val="hu-HU"/>
        </w:rPr>
        <w:t>Egyéb információforrások</w:t>
      </w:r>
    </w:p>
    <w:p w14:paraId="14026812" w14:textId="77777777" w:rsidR="005A78EA" w:rsidRPr="00556B9B" w:rsidRDefault="005A78EA" w:rsidP="005A78EA">
      <w:pPr>
        <w:spacing w:line="240" w:lineRule="auto"/>
        <w:ind w:right="-2"/>
        <w:rPr>
          <w:color w:val="000000"/>
          <w:lang w:val="hu-HU"/>
        </w:rPr>
      </w:pPr>
      <w:r w:rsidRPr="00556B9B">
        <w:rPr>
          <w:noProof/>
          <w:color w:val="000000"/>
          <w:lang w:val="hu-HU"/>
        </w:rPr>
        <w:t>A gyógyszerről részletes információ az Európai Gyógyszerügynökség internetes honlapján (http://www.ema.europa.eu</w:t>
      </w:r>
      <w:r w:rsidRPr="00556B9B">
        <w:rPr>
          <w:iCs/>
          <w:noProof/>
          <w:color w:val="000000"/>
          <w:lang w:val="hu-HU"/>
        </w:rPr>
        <w:t>) található.</w:t>
      </w:r>
    </w:p>
    <w:p w14:paraId="3B5F405F" w14:textId="77777777" w:rsidR="005A78EA" w:rsidRPr="00556B9B" w:rsidRDefault="005A78EA" w:rsidP="005A78EA">
      <w:pPr>
        <w:spacing w:line="240" w:lineRule="auto"/>
        <w:jc w:val="center"/>
        <w:rPr>
          <w:b/>
          <w:color w:val="000000"/>
          <w:lang w:val="hu-HU"/>
        </w:rPr>
      </w:pPr>
      <w:r w:rsidRPr="00556B9B">
        <w:rPr>
          <w:color w:val="000000"/>
          <w:lang w:val="hu-HU"/>
        </w:rPr>
        <w:br w:type="page"/>
      </w:r>
      <w:r w:rsidR="00731BCD" w:rsidRPr="00556B9B">
        <w:rPr>
          <w:b/>
          <w:noProof/>
          <w:szCs w:val="24"/>
          <w:lang w:val="hu-HU"/>
        </w:rPr>
        <w:lastRenderedPageBreak/>
        <w:t>Betegtájékoztató: Információk a felhasználó számára</w:t>
      </w:r>
    </w:p>
    <w:p w14:paraId="50356171" w14:textId="77777777" w:rsidR="005A78EA" w:rsidRPr="00556B9B" w:rsidRDefault="005A78EA" w:rsidP="005A78EA">
      <w:pPr>
        <w:widowControl w:val="0"/>
        <w:spacing w:line="240" w:lineRule="auto"/>
        <w:jc w:val="center"/>
        <w:rPr>
          <w:color w:val="000000"/>
          <w:szCs w:val="22"/>
          <w:lang w:val="hu-HU"/>
        </w:rPr>
      </w:pPr>
    </w:p>
    <w:p w14:paraId="2AE7F93B" w14:textId="7AD14B7D" w:rsidR="005A78EA" w:rsidRDefault="005A78EA" w:rsidP="005A78EA">
      <w:pPr>
        <w:widowControl w:val="0"/>
        <w:spacing w:line="240" w:lineRule="auto"/>
        <w:jc w:val="center"/>
        <w:rPr>
          <w:b/>
          <w:color w:val="000000"/>
          <w:szCs w:val="22"/>
          <w:lang w:val="hu-HU"/>
        </w:rPr>
      </w:pPr>
      <w:r w:rsidRPr="00556B9B">
        <w:rPr>
          <w:b/>
          <w:color w:val="000000"/>
          <w:szCs w:val="22"/>
          <w:lang w:val="hu-HU"/>
        </w:rPr>
        <w:t>Glivec 100 mg filmtabletta</w:t>
      </w:r>
    </w:p>
    <w:p w14:paraId="4A49FA8A" w14:textId="6750478D" w:rsidR="00892724" w:rsidRPr="00556B9B" w:rsidRDefault="00892724" w:rsidP="00892724">
      <w:pPr>
        <w:widowControl w:val="0"/>
        <w:spacing w:line="240" w:lineRule="auto"/>
        <w:jc w:val="center"/>
        <w:rPr>
          <w:color w:val="000000"/>
          <w:szCs w:val="22"/>
          <w:lang w:val="hu-HU"/>
        </w:rPr>
      </w:pPr>
      <w:r w:rsidRPr="00556B9B">
        <w:rPr>
          <w:b/>
          <w:color w:val="000000"/>
          <w:szCs w:val="22"/>
          <w:lang w:val="hu-HU"/>
        </w:rPr>
        <w:t>Glivec 400 mg filmtabletta</w:t>
      </w:r>
    </w:p>
    <w:p w14:paraId="2051035C" w14:textId="77777777" w:rsidR="005A78EA" w:rsidRPr="00556B9B" w:rsidRDefault="00140E42" w:rsidP="005A78EA">
      <w:pPr>
        <w:spacing w:line="240" w:lineRule="auto"/>
        <w:jc w:val="center"/>
        <w:rPr>
          <w:color w:val="000000"/>
          <w:szCs w:val="22"/>
          <w:lang w:val="hu-HU"/>
        </w:rPr>
      </w:pPr>
      <w:r w:rsidRPr="00556B9B">
        <w:rPr>
          <w:color w:val="000000"/>
          <w:szCs w:val="22"/>
          <w:lang w:val="hu-HU"/>
        </w:rPr>
        <w:t>i</w:t>
      </w:r>
      <w:r w:rsidR="005A78EA" w:rsidRPr="00556B9B">
        <w:rPr>
          <w:color w:val="000000"/>
          <w:szCs w:val="22"/>
          <w:lang w:val="hu-HU"/>
        </w:rPr>
        <w:t>matinib</w:t>
      </w:r>
    </w:p>
    <w:p w14:paraId="5EFA995E" w14:textId="77777777" w:rsidR="005A78EA" w:rsidRPr="00556B9B" w:rsidRDefault="005A78EA" w:rsidP="007B41FB">
      <w:pPr>
        <w:spacing w:line="240" w:lineRule="auto"/>
        <w:rPr>
          <w:color w:val="000000"/>
          <w:lang w:val="hu-HU"/>
        </w:rPr>
      </w:pPr>
    </w:p>
    <w:p w14:paraId="4EDA86C9" w14:textId="77777777" w:rsidR="00F10EA5" w:rsidRPr="00556B9B" w:rsidRDefault="003D6257" w:rsidP="00F10EA5">
      <w:pPr>
        <w:tabs>
          <w:tab w:val="left" w:pos="720"/>
        </w:tabs>
        <w:suppressAutoHyphens w:val="0"/>
        <w:spacing w:line="240" w:lineRule="auto"/>
        <w:rPr>
          <w:rFonts w:cs="Times New Roman"/>
          <w:szCs w:val="22"/>
          <w:lang w:val="hu-HU" w:eastAsia="en-US" w:bidi="ar-SA"/>
        </w:rPr>
      </w:pPr>
      <w:r w:rsidRPr="00556B9B">
        <w:rPr>
          <w:rFonts w:cs="Times New Roman"/>
          <w:noProof/>
          <w:szCs w:val="22"/>
          <w:lang w:val="en-US" w:eastAsia="en-US" w:bidi="ar-SA"/>
        </w:rPr>
        <w:drawing>
          <wp:inline distT="0" distB="0" distL="0" distR="0" wp14:anchorId="121FDCC1" wp14:editId="6B6494F4">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F10EA5" w:rsidRPr="00556B9B">
        <w:rPr>
          <w:rFonts w:cs="Times New Roman"/>
          <w:szCs w:val="22"/>
          <w:lang w:val="hu-HU" w:eastAsia="en-US" w:bidi="ar-SA"/>
        </w:rPr>
        <w:t>Ez a gyógyszer fokozott felügyelet alatt áll, mely lehetővé teszi az új gyógyszerbiztonsági információk gyors azonosítását. Ehhez Ön is hozzájárulhat a tudomására jutó bármilyen mellékhatás bejelentésével. A mellékhatások jelentésének módjairól a 4. pont végén (Mellékhatások bejelentése) talál további tájékoztatást.</w:t>
      </w:r>
    </w:p>
    <w:p w14:paraId="3071AC7B" w14:textId="77777777" w:rsidR="005A78EA" w:rsidRPr="00556B9B" w:rsidRDefault="005A78EA" w:rsidP="007B41FB">
      <w:pPr>
        <w:spacing w:line="240" w:lineRule="auto"/>
        <w:rPr>
          <w:color w:val="000000"/>
          <w:lang w:val="hu-HU"/>
        </w:rPr>
      </w:pPr>
    </w:p>
    <w:p w14:paraId="13F2ADE6" w14:textId="77777777" w:rsidR="00FE13F7" w:rsidRPr="00556B9B" w:rsidRDefault="00FE13F7" w:rsidP="00FE13F7">
      <w:pPr>
        <w:spacing w:line="240" w:lineRule="auto"/>
        <w:rPr>
          <w:b/>
          <w:color w:val="000000"/>
          <w:lang w:val="hu-HU"/>
        </w:rPr>
      </w:pPr>
      <w:r w:rsidRPr="00556B9B">
        <w:rPr>
          <w:b/>
          <w:color w:val="000000"/>
          <w:lang w:val="hu-HU"/>
        </w:rPr>
        <w:t>Mielőtt elkezdené szedni ezt a gyógyszert, olvassa el figyelmesen az alábbi betegtájékoztatót</w:t>
      </w:r>
      <w:r w:rsidRPr="00556B9B">
        <w:rPr>
          <w:b/>
          <w:noProof/>
          <w:szCs w:val="24"/>
          <w:lang w:val="hu-HU"/>
        </w:rPr>
        <w:t>, me</w:t>
      </w:r>
      <w:r w:rsidR="00145E44" w:rsidRPr="00556B9B">
        <w:rPr>
          <w:b/>
          <w:noProof/>
          <w:szCs w:val="24"/>
          <w:lang w:val="hu-HU"/>
        </w:rPr>
        <w:t>rt</w:t>
      </w:r>
      <w:r w:rsidRPr="00556B9B">
        <w:rPr>
          <w:b/>
          <w:noProof/>
          <w:szCs w:val="24"/>
          <w:lang w:val="hu-HU"/>
        </w:rPr>
        <w:t xml:space="preserve"> az Ön számára fontos információkat tartalmaz</w:t>
      </w:r>
      <w:r w:rsidRPr="00556B9B">
        <w:rPr>
          <w:b/>
          <w:color w:val="000000"/>
          <w:lang w:val="hu-HU"/>
        </w:rPr>
        <w:t>.</w:t>
      </w:r>
    </w:p>
    <w:p w14:paraId="60060168" w14:textId="77777777" w:rsidR="00FE13F7" w:rsidRPr="00556B9B" w:rsidRDefault="00FE13F7" w:rsidP="00613D9A">
      <w:pPr>
        <w:numPr>
          <w:ilvl w:val="0"/>
          <w:numId w:val="4"/>
        </w:numPr>
        <w:tabs>
          <w:tab w:val="clear" w:pos="360"/>
        </w:tabs>
        <w:spacing w:line="240" w:lineRule="auto"/>
        <w:ind w:left="567" w:hanging="567"/>
        <w:rPr>
          <w:color w:val="000000"/>
          <w:lang w:val="hu-HU"/>
        </w:rPr>
      </w:pPr>
      <w:r w:rsidRPr="00556B9B">
        <w:rPr>
          <w:color w:val="000000"/>
          <w:lang w:val="hu-HU"/>
        </w:rPr>
        <w:t>Tartsa meg a betegtájékoztatót, mert a benne szereplő információkra a későbbiekben is szüksége lehet.</w:t>
      </w:r>
    </w:p>
    <w:p w14:paraId="6170DD1A" w14:textId="77777777" w:rsidR="00FE13F7" w:rsidRPr="00556B9B" w:rsidRDefault="00FE13F7" w:rsidP="00613D9A">
      <w:pPr>
        <w:numPr>
          <w:ilvl w:val="0"/>
          <w:numId w:val="4"/>
        </w:numPr>
        <w:tabs>
          <w:tab w:val="clear" w:pos="360"/>
        </w:tabs>
        <w:spacing w:line="240" w:lineRule="auto"/>
        <w:ind w:left="567" w:hanging="567"/>
        <w:rPr>
          <w:color w:val="000000"/>
          <w:lang w:val="hu-HU"/>
        </w:rPr>
      </w:pPr>
      <w:r w:rsidRPr="00556B9B">
        <w:rPr>
          <w:color w:val="000000"/>
          <w:lang w:val="hu-HU"/>
        </w:rPr>
        <w:t xml:space="preserve">További kérdéseivel forduljon </w:t>
      </w:r>
      <w:r w:rsidRPr="00556B9B">
        <w:rPr>
          <w:noProof/>
          <w:szCs w:val="24"/>
          <w:lang w:val="hu-HU"/>
        </w:rPr>
        <w:t>kezelőorvosához,</w:t>
      </w:r>
      <w:r w:rsidRPr="00556B9B">
        <w:rPr>
          <w:color w:val="000000"/>
          <w:lang w:val="hu-HU"/>
        </w:rPr>
        <w:t xml:space="preserve"> gyógyszerészéhez </w:t>
      </w:r>
      <w:r w:rsidRPr="00556B9B">
        <w:rPr>
          <w:noProof/>
          <w:szCs w:val="24"/>
          <w:lang w:val="hu-HU"/>
        </w:rPr>
        <w:t xml:space="preserve">vagy </w:t>
      </w:r>
      <w:r w:rsidR="00DB1479" w:rsidRPr="00556B9B">
        <w:rPr>
          <w:noProof/>
          <w:szCs w:val="24"/>
          <w:lang w:val="hu-HU"/>
        </w:rPr>
        <w:t>a gondozását végző egészségügyi szakemberhez</w:t>
      </w:r>
      <w:r w:rsidRPr="00556B9B">
        <w:rPr>
          <w:color w:val="000000"/>
          <w:lang w:val="hu-HU"/>
        </w:rPr>
        <w:t>.</w:t>
      </w:r>
    </w:p>
    <w:p w14:paraId="41DF24FB" w14:textId="77777777" w:rsidR="00FE13F7" w:rsidRPr="00556B9B" w:rsidRDefault="00FE13F7" w:rsidP="00613D9A">
      <w:pPr>
        <w:pStyle w:val="WW-NormlWeb"/>
        <w:numPr>
          <w:ilvl w:val="0"/>
          <w:numId w:val="2"/>
        </w:numPr>
        <w:tabs>
          <w:tab w:val="clear" w:pos="360"/>
        </w:tabs>
        <w:spacing w:before="0" w:after="0" w:line="240" w:lineRule="auto"/>
        <w:ind w:left="567" w:hanging="567"/>
        <w:rPr>
          <w:rFonts w:ascii="Times New Roman" w:hAnsi="Times New Roman"/>
          <w:color w:val="000000"/>
          <w:sz w:val="22"/>
        </w:rPr>
      </w:pPr>
      <w:r w:rsidRPr="00556B9B">
        <w:rPr>
          <w:rFonts w:ascii="Times New Roman" w:hAnsi="Times New Roman"/>
          <w:color w:val="000000"/>
          <w:sz w:val="22"/>
        </w:rPr>
        <w:t>Ezt a gyógyszert az orvos kizárólag Önnek írta fel. Ne adja át a készítményt másnak, mert számára ártalmas lehet még abban az esetben is, ha a betegsége tünetei az Önéhez hasonlóak.</w:t>
      </w:r>
    </w:p>
    <w:p w14:paraId="289A98A9" w14:textId="77777777" w:rsidR="00FE13F7" w:rsidRPr="00556B9B" w:rsidRDefault="00FE13F7" w:rsidP="00613D9A">
      <w:pPr>
        <w:widowControl w:val="0"/>
        <w:numPr>
          <w:ilvl w:val="0"/>
          <w:numId w:val="33"/>
        </w:numPr>
        <w:suppressAutoHyphens w:val="0"/>
        <w:spacing w:line="240" w:lineRule="auto"/>
        <w:ind w:left="567" w:right="-2" w:hanging="567"/>
        <w:rPr>
          <w:color w:val="000000"/>
          <w:szCs w:val="22"/>
          <w:lang w:val="hu-HU"/>
        </w:rPr>
      </w:pPr>
      <w:r w:rsidRPr="00556B9B">
        <w:rPr>
          <w:color w:val="000000"/>
          <w:lang w:val="hu-HU"/>
        </w:rPr>
        <w:t xml:space="preserve">Ha Önnél bármilyen mellékhatás jelentkezik, tájékoztassa erről kezelőorvosát, gyógyszerészét </w:t>
      </w:r>
      <w:r w:rsidR="00DB1479" w:rsidRPr="00556B9B">
        <w:rPr>
          <w:color w:val="000000"/>
          <w:lang w:val="hu-HU"/>
        </w:rPr>
        <w:t>vagy a gondozását végző egészségügyi szakembert</w:t>
      </w:r>
      <w:r w:rsidRPr="00556B9B">
        <w:rPr>
          <w:color w:val="000000"/>
          <w:lang w:val="hu-HU"/>
        </w:rPr>
        <w:t>. Ez a betegtájékoztatóban fel nem sorolt bármilyen lehetséges mellékhatásra is vonatkozik.</w:t>
      </w:r>
      <w:r w:rsidR="00145E44" w:rsidRPr="00556B9B">
        <w:rPr>
          <w:color w:val="000000"/>
          <w:lang w:val="hu-HU"/>
        </w:rPr>
        <w:t xml:space="preserve"> Lásd. 4. pont. </w:t>
      </w:r>
    </w:p>
    <w:p w14:paraId="4DDF5F50" w14:textId="77777777" w:rsidR="00FE13F7" w:rsidRPr="00556B9B" w:rsidRDefault="00FE13F7" w:rsidP="00FE13F7">
      <w:pPr>
        <w:spacing w:line="240" w:lineRule="auto"/>
        <w:ind w:right="-2"/>
        <w:rPr>
          <w:color w:val="000000"/>
          <w:lang w:val="hu-HU"/>
        </w:rPr>
      </w:pPr>
    </w:p>
    <w:p w14:paraId="0D586AB0" w14:textId="77777777" w:rsidR="00FE13F7" w:rsidRPr="00556B9B" w:rsidRDefault="00FE13F7" w:rsidP="00FE13F7">
      <w:pPr>
        <w:spacing w:line="240" w:lineRule="auto"/>
        <w:ind w:right="-2"/>
        <w:rPr>
          <w:b/>
          <w:color w:val="000000"/>
          <w:lang w:val="hu-HU"/>
        </w:rPr>
      </w:pPr>
      <w:r w:rsidRPr="00556B9B">
        <w:rPr>
          <w:b/>
          <w:color w:val="000000"/>
          <w:lang w:val="hu-HU"/>
        </w:rPr>
        <w:t>A betegtájékoztató tartalma</w:t>
      </w:r>
    </w:p>
    <w:p w14:paraId="1401A7A0" w14:textId="77777777" w:rsidR="00FE13F7" w:rsidRPr="00556B9B" w:rsidRDefault="00FE13F7" w:rsidP="00FE13F7">
      <w:pPr>
        <w:spacing w:line="240" w:lineRule="auto"/>
        <w:ind w:right="-29"/>
        <w:rPr>
          <w:color w:val="000000"/>
          <w:lang w:val="hu-HU"/>
        </w:rPr>
      </w:pPr>
      <w:r w:rsidRPr="00556B9B">
        <w:rPr>
          <w:color w:val="000000"/>
          <w:lang w:val="hu-HU"/>
        </w:rPr>
        <w:t>1.</w:t>
      </w:r>
      <w:r w:rsidRPr="00556B9B">
        <w:rPr>
          <w:color w:val="000000"/>
          <w:lang w:val="hu-HU"/>
        </w:rPr>
        <w:tab/>
        <w:t>Milyen típusú gyógyszer a Glivec és milyen betegségek esetén alkalmazható?</w:t>
      </w:r>
    </w:p>
    <w:p w14:paraId="1E8855C1" w14:textId="77777777" w:rsidR="00FE13F7" w:rsidRPr="00556B9B" w:rsidRDefault="00FE13F7" w:rsidP="00FE13F7">
      <w:pPr>
        <w:spacing w:line="240" w:lineRule="auto"/>
        <w:ind w:right="-29"/>
        <w:rPr>
          <w:color w:val="000000"/>
          <w:lang w:val="hu-HU"/>
        </w:rPr>
      </w:pPr>
      <w:r w:rsidRPr="00556B9B">
        <w:rPr>
          <w:color w:val="000000"/>
          <w:lang w:val="hu-HU"/>
        </w:rPr>
        <w:t>2.</w:t>
      </w:r>
      <w:r w:rsidRPr="00556B9B">
        <w:rPr>
          <w:color w:val="000000"/>
          <w:lang w:val="hu-HU"/>
        </w:rPr>
        <w:tab/>
        <w:t>Tudnivalók a Glivec szedése előtt</w:t>
      </w:r>
    </w:p>
    <w:p w14:paraId="6F4EA287" w14:textId="77777777" w:rsidR="00FE13F7" w:rsidRPr="00556B9B" w:rsidRDefault="00FE13F7" w:rsidP="00FE13F7">
      <w:pPr>
        <w:spacing w:line="240" w:lineRule="auto"/>
        <w:ind w:left="567" w:right="-29" w:hanging="567"/>
        <w:rPr>
          <w:color w:val="000000"/>
          <w:lang w:val="hu-HU"/>
        </w:rPr>
      </w:pPr>
      <w:r w:rsidRPr="00556B9B">
        <w:rPr>
          <w:color w:val="000000"/>
          <w:lang w:val="hu-HU"/>
        </w:rPr>
        <w:t>3.</w:t>
      </w:r>
      <w:r w:rsidRPr="00556B9B">
        <w:rPr>
          <w:color w:val="000000"/>
          <w:lang w:val="hu-HU"/>
        </w:rPr>
        <w:tab/>
        <w:t>Hogyan kell szedni a Glivec</w:t>
      </w:r>
      <w:r w:rsidRPr="00556B9B">
        <w:rPr>
          <w:color w:val="000000"/>
          <w:lang w:val="hu-HU"/>
        </w:rPr>
        <w:noBreakHyphen/>
        <w:t>et?</w:t>
      </w:r>
    </w:p>
    <w:p w14:paraId="36BE17F2" w14:textId="77777777" w:rsidR="00FE13F7" w:rsidRPr="00556B9B" w:rsidRDefault="00FE13F7" w:rsidP="00FE13F7">
      <w:pPr>
        <w:spacing w:line="240" w:lineRule="auto"/>
        <w:ind w:left="567" w:right="-29" w:hanging="567"/>
        <w:rPr>
          <w:color w:val="000000"/>
          <w:lang w:val="hu-HU"/>
        </w:rPr>
      </w:pPr>
      <w:r w:rsidRPr="00556B9B">
        <w:rPr>
          <w:color w:val="000000"/>
          <w:lang w:val="hu-HU"/>
        </w:rPr>
        <w:t>4.</w:t>
      </w:r>
      <w:r w:rsidRPr="00556B9B">
        <w:rPr>
          <w:color w:val="000000"/>
          <w:lang w:val="hu-HU"/>
        </w:rPr>
        <w:tab/>
        <w:t>Lehetséges mellékhatások</w:t>
      </w:r>
    </w:p>
    <w:p w14:paraId="35A95EFB" w14:textId="77777777" w:rsidR="00FE13F7" w:rsidRPr="00556B9B" w:rsidRDefault="00FE13F7" w:rsidP="00FE13F7">
      <w:pPr>
        <w:spacing w:line="240" w:lineRule="auto"/>
        <w:ind w:left="567" w:right="-29" w:hanging="567"/>
        <w:rPr>
          <w:color w:val="000000"/>
          <w:lang w:val="hu-HU"/>
        </w:rPr>
      </w:pPr>
      <w:r w:rsidRPr="00556B9B">
        <w:rPr>
          <w:color w:val="000000"/>
          <w:lang w:val="hu-HU"/>
        </w:rPr>
        <w:t>5.</w:t>
      </w:r>
      <w:r w:rsidRPr="00556B9B">
        <w:rPr>
          <w:color w:val="000000"/>
          <w:lang w:val="hu-HU"/>
        </w:rPr>
        <w:tab/>
        <w:t>Hogyan kell a Glivec</w:t>
      </w:r>
      <w:r w:rsidRPr="00556B9B">
        <w:rPr>
          <w:color w:val="000000"/>
          <w:lang w:val="hu-HU"/>
        </w:rPr>
        <w:noBreakHyphen/>
        <w:t>et tárolni?</w:t>
      </w:r>
    </w:p>
    <w:p w14:paraId="3DAD8246" w14:textId="77777777" w:rsidR="00FE13F7" w:rsidRPr="00556B9B" w:rsidRDefault="00FE13F7" w:rsidP="00FE13F7">
      <w:pPr>
        <w:spacing w:line="240" w:lineRule="auto"/>
        <w:ind w:left="567" w:right="-29" w:hanging="567"/>
        <w:rPr>
          <w:color w:val="000000"/>
          <w:lang w:val="hu-HU"/>
        </w:rPr>
      </w:pPr>
      <w:r w:rsidRPr="00556B9B">
        <w:rPr>
          <w:color w:val="000000"/>
          <w:lang w:val="hu-HU"/>
        </w:rPr>
        <w:t>6.</w:t>
      </w:r>
      <w:r w:rsidRPr="00556B9B">
        <w:rPr>
          <w:color w:val="000000"/>
          <w:lang w:val="hu-HU"/>
        </w:rPr>
        <w:tab/>
      </w:r>
      <w:r w:rsidRPr="00556B9B">
        <w:rPr>
          <w:noProof/>
          <w:szCs w:val="24"/>
          <w:lang w:val="hu-HU"/>
        </w:rPr>
        <w:t xml:space="preserve">A csomagolás tartalma és egyéb </w:t>
      </w:r>
      <w:r w:rsidRPr="00556B9B">
        <w:rPr>
          <w:color w:val="000000"/>
          <w:lang w:val="hu-HU"/>
        </w:rPr>
        <w:t>információk</w:t>
      </w:r>
    </w:p>
    <w:p w14:paraId="446B8F05" w14:textId="77777777" w:rsidR="00FE13F7" w:rsidRPr="00556B9B" w:rsidRDefault="00FE13F7" w:rsidP="00FE13F7">
      <w:pPr>
        <w:spacing w:line="240" w:lineRule="auto"/>
        <w:ind w:right="-2"/>
        <w:rPr>
          <w:color w:val="000000"/>
          <w:lang w:val="hu-HU"/>
        </w:rPr>
      </w:pPr>
    </w:p>
    <w:p w14:paraId="6D5A999E" w14:textId="77777777" w:rsidR="00FE13F7" w:rsidRPr="00556B9B" w:rsidRDefault="00FE13F7" w:rsidP="00FE13F7">
      <w:pPr>
        <w:spacing w:line="240" w:lineRule="auto"/>
        <w:ind w:right="-2"/>
        <w:rPr>
          <w:color w:val="000000"/>
          <w:lang w:val="hu-HU"/>
        </w:rPr>
      </w:pPr>
    </w:p>
    <w:p w14:paraId="47C42454" w14:textId="77777777" w:rsidR="00FE13F7" w:rsidRPr="00696AC2" w:rsidRDefault="00FE13F7" w:rsidP="00226437">
      <w:pPr>
        <w:keepNext/>
        <w:spacing w:line="240" w:lineRule="auto"/>
        <w:ind w:left="567" w:hanging="567"/>
        <w:rPr>
          <w:b/>
          <w:color w:val="000000"/>
          <w:lang w:val="hu-HU"/>
        </w:rPr>
      </w:pPr>
      <w:r w:rsidRPr="00556B9B">
        <w:rPr>
          <w:b/>
          <w:color w:val="000000"/>
          <w:lang w:val="hu-HU"/>
        </w:rPr>
        <w:t>1.</w:t>
      </w:r>
      <w:r w:rsidRPr="00556B9B">
        <w:rPr>
          <w:b/>
          <w:color w:val="000000"/>
          <w:lang w:val="hu-HU"/>
        </w:rPr>
        <w:tab/>
        <w:t xml:space="preserve">Milyen típusú gyógyszer a Glivec és milyen </w:t>
      </w:r>
      <w:r w:rsidRPr="00696AC2">
        <w:rPr>
          <w:b/>
          <w:color w:val="000000"/>
          <w:lang w:val="hu-HU"/>
        </w:rPr>
        <w:t>betegségek esetén alkalmazható?</w:t>
      </w:r>
    </w:p>
    <w:p w14:paraId="4AB293F0" w14:textId="77777777" w:rsidR="00FE13F7" w:rsidRPr="00696AC2" w:rsidRDefault="00FE13F7" w:rsidP="00226437">
      <w:pPr>
        <w:keepNext/>
        <w:spacing w:line="240" w:lineRule="auto"/>
        <w:rPr>
          <w:color w:val="000000"/>
          <w:lang w:val="hu-HU"/>
        </w:rPr>
      </w:pPr>
    </w:p>
    <w:p w14:paraId="3FE24DD5" w14:textId="1BFBAA8A" w:rsidR="00FE13F7" w:rsidRPr="00556B9B" w:rsidRDefault="00FE13F7" w:rsidP="00FE13F7">
      <w:pPr>
        <w:spacing w:line="240" w:lineRule="auto"/>
        <w:ind w:right="-2"/>
        <w:rPr>
          <w:color w:val="000000"/>
          <w:lang w:val="hu-HU"/>
        </w:rPr>
      </w:pPr>
      <w:r w:rsidRPr="00696AC2">
        <w:rPr>
          <w:color w:val="000000"/>
          <w:lang w:val="hu-HU"/>
        </w:rPr>
        <w:t xml:space="preserve">A Glivec egy imatinib nevű hatóanyagot tartalmazó gyógyszer. Ez a gyógyszer a kóros sejtek szaporodását gátolja az alábbi </w:t>
      </w:r>
      <w:r w:rsidR="00ED04A5" w:rsidRPr="00696AC2">
        <w:rPr>
          <w:color w:val="000000"/>
          <w:lang w:val="hu-HU"/>
        </w:rPr>
        <w:t>betegségekben</w:t>
      </w:r>
      <w:r w:rsidRPr="00696AC2">
        <w:rPr>
          <w:color w:val="000000"/>
          <w:lang w:val="hu-HU"/>
        </w:rPr>
        <w:t>. Eze</w:t>
      </w:r>
      <w:r w:rsidR="00ED04A5" w:rsidRPr="00696AC2">
        <w:rPr>
          <w:color w:val="000000"/>
          <w:lang w:val="hu-HU"/>
        </w:rPr>
        <w:t>k a betegségek bizonyos típusú rákos megbetegedések</w:t>
      </w:r>
      <w:r w:rsidRPr="00696AC2">
        <w:rPr>
          <w:color w:val="000000"/>
          <w:lang w:val="hu-HU"/>
        </w:rPr>
        <w:t>.</w:t>
      </w:r>
    </w:p>
    <w:p w14:paraId="67D0B094" w14:textId="77777777" w:rsidR="00FE13F7" w:rsidRPr="00556B9B" w:rsidRDefault="00FE13F7" w:rsidP="00FE13F7">
      <w:pPr>
        <w:spacing w:line="240" w:lineRule="auto"/>
        <w:ind w:right="-2"/>
        <w:rPr>
          <w:color w:val="000000"/>
          <w:lang w:val="hu-HU"/>
        </w:rPr>
      </w:pPr>
    </w:p>
    <w:p w14:paraId="4C13138D" w14:textId="77777777" w:rsidR="00FE13F7" w:rsidRPr="00556B9B" w:rsidRDefault="00FE13F7" w:rsidP="00226437">
      <w:pPr>
        <w:keepNext/>
        <w:spacing w:line="240" w:lineRule="auto"/>
        <w:rPr>
          <w:b/>
          <w:color w:val="000000"/>
          <w:lang w:val="hu-HU"/>
        </w:rPr>
      </w:pPr>
      <w:r w:rsidRPr="00556B9B">
        <w:rPr>
          <w:b/>
          <w:color w:val="000000"/>
          <w:lang w:val="hu-HU"/>
        </w:rPr>
        <w:t>A Glivec felnőtt- és gyermekkorban az alábbi kórkép kezelésére szolgál:</w:t>
      </w:r>
    </w:p>
    <w:p w14:paraId="12E1F6BF" w14:textId="77777777" w:rsidR="00FE13F7" w:rsidRPr="00556B9B" w:rsidRDefault="00FE13F7" w:rsidP="00226437">
      <w:pPr>
        <w:keepNext/>
        <w:spacing w:line="240" w:lineRule="auto"/>
        <w:rPr>
          <w:color w:val="000000"/>
          <w:lang w:val="hu-HU"/>
        </w:rPr>
      </w:pPr>
    </w:p>
    <w:p w14:paraId="01C3ADCB" w14:textId="77777777" w:rsidR="00FE13F7" w:rsidRPr="00556B9B" w:rsidRDefault="00FE13F7" w:rsidP="00FE13F7">
      <w:pPr>
        <w:numPr>
          <w:ilvl w:val="0"/>
          <w:numId w:val="19"/>
        </w:numPr>
        <w:spacing w:line="240" w:lineRule="auto"/>
        <w:ind w:left="567" w:right="-2" w:hanging="567"/>
        <w:rPr>
          <w:color w:val="000000"/>
          <w:lang w:val="hu-HU"/>
        </w:rPr>
      </w:pPr>
      <w:r w:rsidRPr="00FE57F2">
        <w:rPr>
          <w:b/>
          <w:color w:val="000000"/>
          <w:lang w:val="hu-HU"/>
        </w:rPr>
        <w:t>K</w:t>
      </w:r>
      <w:r w:rsidRPr="00556B9B">
        <w:rPr>
          <w:b/>
          <w:color w:val="000000"/>
          <w:lang w:val="hu-HU"/>
        </w:rPr>
        <w:t xml:space="preserve">rónikus mieloid leukémia (CML). </w:t>
      </w:r>
      <w:r w:rsidRPr="00556B9B">
        <w:rPr>
          <w:color w:val="000000"/>
          <w:lang w:val="hu-HU"/>
        </w:rPr>
        <w:t>A leukémia a fehérvérsejtek daganatos megbetegedése. A fehérvérsejtek segítik a szervezetet a fertőzések leküzdésében. A krónikus mieloid leukémia a leukémiák azon formája, amelyben egyes kóros fehérvérsejtek (mieloid sejtek) száma szabályozatlanul növekedni kezd.</w:t>
      </w:r>
    </w:p>
    <w:p w14:paraId="4AEF0542" w14:textId="77777777" w:rsidR="00BE05A3" w:rsidRPr="00556B9B" w:rsidRDefault="00BE05A3" w:rsidP="00BE05A3">
      <w:pPr>
        <w:numPr>
          <w:ilvl w:val="0"/>
          <w:numId w:val="19"/>
        </w:numPr>
        <w:spacing w:line="240" w:lineRule="auto"/>
        <w:ind w:left="567" w:right="-2" w:hanging="567"/>
        <w:rPr>
          <w:color w:val="000000"/>
          <w:lang w:val="hu-HU"/>
        </w:rPr>
      </w:pPr>
      <w:r w:rsidRPr="00556B9B">
        <w:rPr>
          <w:b/>
          <w:color w:val="000000"/>
          <w:lang w:val="hu-HU"/>
        </w:rPr>
        <w:t xml:space="preserve">Filadelfia kromoszóma pozitív akut limfoblasztos leukémia (Ph-pozitív </w:t>
      </w:r>
      <w:smartTag w:uri="urn:schemas-microsoft-com:office:smarttags" w:element="stockticker">
        <w:r w:rsidRPr="00556B9B">
          <w:rPr>
            <w:b/>
            <w:color w:val="000000"/>
            <w:lang w:val="hu-HU"/>
          </w:rPr>
          <w:t>ALL</w:t>
        </w:r>
      </w:smartTag>
      <w:r w:rsidRPr="00556B9B">
        <w:rPr>
          <w:b/>
          <w:color w:val="000000"/>
          <w:lang w:val="hu-HU"/>
        </w:rPr>
        <w:t>).</w:t>
      </w:r>
      <w:r w:rsidRPr="00556B9B">
        <w:rPr>
          <w:color w:val="000000"/>
          <w:lang w:val="hu-HU"/>
        </w:rPr>
        <w:t xml:space="preserve"> A leukémia a fehérvérsejtek daganatos megbetegedése. A fehérvérsejtek segítik a szervezetet a fertőzések leküzdésében. Az akut limfoblasztos leukémia a leukémiák azon formája, amelyben egyes kóros fehérvérsejtek (limfoblasztok) száma szabályozatlanul növekedni kezd. A Glivec gátolja e sejtek szaporodását.</w:t>
      </w:r>
    </w:p>
    <w:p w14:paraId="4EA99DE1" w14:textId="77777777" w:rsidR="00FE13F7" w:rsidRPr="00556B9B" w:rsidRDefault="00FE13F7" w:rsidP="00FE13F7">
      <w:pPr>
        <w:spacing w:line="240" w:lineRule="auto"/>
        <w:ind w:right="-2"/>
        <w:rPr>
          <w:color w:val="000000"/>
          <w:lang w:val="hu-HU"/>
        </w:rPr>
      </w:pPr>
    </w:p>
    <w:p w14:paraId="5C1A969B" w14:textId="77777777" w:rsidR="00FE13F7" w:rsidRPr="00556B9B" w:rsidRDefault="00FE13F7" w:rsidP="00226437">
      <w:pPr>
        <w:keepNext/>
        <w:spacing w:line="240" w:lineRule="auto"/>
        <w:rPr>
          <w:b/>
          <w:color w:val="000000"/>
          <w:lang w:val="hu-HU"/>
        </w:rPr>
      </w:pPr>
      <w:r w:rsidRPr="00556B9B">
        <w:rPr>
          <w:b/>
          <w:color w:val="000000"/>
          <w:lang w:val="hu-HU"/>
        </w:rPr>
        <w:t>A Glivec ezenkívül felnőttkorban az alábbi kórkép kezelésére is szolgál:</w:t>
      </w:r>
    </w:p>
    <w:p w14:paraId="0310984C" w14:textId="77777777" w:rsidR="00FE13F7" w:rsidRPr="00556B9B" w:rsidRDefault="00FE13F7" w:rsidP="00FE13F7">
      <w:pPr>
        <w:numPr>
          <w:ilvl w:val="0"/>
          <w:numId w:val="19"/>
        </w:numPr>
        <w:spacing w:line="240" w:lineRule="auto"/>
        <w:ind w:left="567" w:right="-2" w:hanging="567"/>
        <w:rPr>
          <w:color w:val="000000"/>
          <w:lang w:val="hu-HU"/>
        </w:rPr>
      </w:pPr>
      <w:r w:rsidRPr="00556B9B">
        <w:rPr>
          <w:b/>
          <w:color w:val="000000"/>
          <w:lang w:val="hu-HU"/>
        </w:rPr>
        <w:t>Mielodiszpláziás/mieloproliferatív betegségek (</w:t>
      </w:r>
      <w:smartTag w:uri="urn:schemas-microsoft-com:office:smarttags" w:element="stockticker">
        <w:r w:rsidRPr="00556B9B">
          <w:rPr>
            <w:b/>
            <w:color w:val="000000"/>
            <w:lang w:val="hu-HU"/>
          </w:rPr>
          <w:t>MDS</w:t>
        </w:r>
      </w:smartTag>
      <w:r w:rsidRPr="00556B9B">
        <w:rPr>
          <w:b/>
          <w:color w:val="000000"/>
          <w:lang w:val="hu-HU"/>
        </w:rPr>
        <w:t xml:space="preserve">/MPD). </w:t>
      </w:r>
      <w:r w:rsidRPr="00556B9B">
        <w:rPr>
          <w:color w:val="000000"/>
          <w:lang w:val="hu-HU"/>
        </w:rPr>
        <w:t>Ezek a vér betegségeinek olyan csoportjai, amelyekben a vér egyes sejtjeinek száma szabályozatlanul növekedni kezd. A Glivec gátolja e sejtek szaporodását ezen betegségek bizonyos altípusában.</w:t>
      </w:r>
    </w:p>
    <w:p w14:paraId="2EAF42E0" w14:textId="77777777" w:rsidR="00FE13F7" w:rsidRPr="00556B9B" w:rsidRDefault="00FE13F7" w:rsidP="00FE13F7">
      <w:pPr>
        <w:numPr>
          <w:ilvl w:val="0"/>
          <w:numId w:val="19"/>
        </w:numPr>
        <w:spacing w:line="240" w:lineRule="auto"/>
        <w:ind w:left="567" w:right="-2" w:hanging="567"/>
        <w:rPr>
          <w:color w:val="000000"/>
          <w:lang w:val="hu-HU"/>
        </w:rPr>
      </w:pPr>
      <w:r w:rsidRPr="00556B9B">
        <w:rPr>
          <w:b/>
          <w:color w:val="000000"/>
          <w:lang w:val="hu-HU"/>
        </w:rPr>
        <w:t>Hipereozinofília szindróma (HES) és/vagy krónikus eozinofíliás leukémia (</w:t>
      </w:r>
      <w:smartTag w:uri="urn:schemas-microsoft-com:office:smarttags" w:element="stockticker">
        <w:r w:rsidRPr="00556B9B">
          <w:rPr>
            <w:b/>
            <w:color w:val="000000"/>
            <w:lang w:val="hu-HU"/>
          </w:rPr>
          <w:t>CEL</w:t>
        </w:r>
      </w:smartTag>
      <w:r w:rsidRPr="00556B9B">
        <w:rPr>
          <w:b/>
          <w:color w:val="000000"/>
          <w:lang w:val="hu-HU"/>
        </w:rPr>
        <w:t xml:space="preserve">). </w:t>
      </w:r>
      <w:r w:rsidRPr="00556B9B">
        <w:rPr>
          <w:color w:val="000000"/>
          <w:lang w:val="hu-HU"/>
        </w:rPr>
        <w:t xml:space="preserve">Ezek a vérképzőrendszer olyan betegségei, amelyekben egyes vérsejtek (eozinofil sejtek) </w:t>
      </w:r>
      <w:r w:rsidRPr="00556B9B">
        <w:rPr>
          <w:color w:val="000000"/>
          <w:lang w:val="hu-HU"/>
        </w:rPr>
        <w:lastRenderedPageBreak/>
        <w:t>szabályozatlanul szaporodni kezdenek. A Glivec gátolja e sejtek szaporodását ezen betegségek bizonyos altípusában.</w:t>
      </w:r>
    </w:p>
    <w:p w14:paraId="14A545C0" w14:textId="77777777" w:rsidR="00FE13F7" w:rsidRPr="00556B9B" w:rsidRDefault="00FE13F7" w:rsidP="00FE13F7">
      <w:pPr>
        <w:numPr>
          <w:ilvl w:val="0"/>
          <w:numId w:val="19"/>
        </w:numPr>
        <w:spacing w:line="240" w:lineRule="auto"/>
        <w:ind w:left="567" w:right="-2" w:hanging="567"/>
        <w:rPr>
          <w:color w:val="000000"/>
          <w:lang w:val="hu-HU"/>
        </w:rPr>
      </w:pPr>
      <w:r w:rsidRPr="00556B9B">
        <w:rPr>
          <w:b/>
          <w:color w:val="000000"/>
          <w:lang w:val="hu-HU"/>
        </w:rPr>
        <w:t xml:space="preserve">Gasztrointesztinális sztromális tumorok (GIST). </w:t>
      </w:r>
      <w:r w:rsidRPr="00556B9B">
        <w:rPr>
          <w:color w:val="000000"/>
          <w:lang w:val="hu-HU"/>
        </w:rPr>
        <w:t>A GIST a gyomor</w:t>
      </w:r>
      <w:r w:rsidRPr="00556B9B">
        <w:rPr>
          <w:color w:val="000000"/>
          <w:lang w:val="hu-HU"/>
        </w:rPr>
        <w:noBreakHyphen/>
        <w:t>bélrendszer daganatos betegsége, abból adódóan, hogy e szervek kötőszövetének sejtjei szabályozatlanul szaporodni kezdenek.</w:t>
      </w:r>
    </w:p>
    <w:p w14:paraId="23718DF9" w14:textId="77777777" w:rsidR="00FE13F7" w:rsidRPr="00556B9B" w:rsidRDefault="00FE13F7" w:rsidP="00226437">
      <w:pPr>
        <w:keepNext/>
        <w:numPr>
          <w:ilvl w:val="0"/>
          <w:numId w:val="19"/>
        </w:numPr>
        <w:spacing w:line="240" w:lineRule="auto"/>
        <w:ind w:left="567" w:right="-2" w:hanging="567"/>
        <w:rPr>
          <w:color w:val="000000"/>
          <w:lang w:val="hu-HU"/>
        </w:rPr>
      </w:pPr>
      <w:r w:rsidRPr="00556B9B">
        <w:rPr>
          <w:b/>
          <w:color w:val="000000"/>
          <w:lang w:val="hu-HU"/>
        </w:rPr>
        <w:t xml:space="preserve">Dermatifibroszarkóma protuberánsz (DFSP). </w:t>
      </w:r>
      <w:r w:rsidRPr="00556B9B">
        <w:rPr>
          <w:color w:val="000000"/>
          <w:lang w:val="hu-HU"/>
        </w:rPr>
        <w:t>A DFSP a bőr alatti szövet daganatos megbetegedése, melyben egyes sejtek szabályozatlanul szaporodni kezdenek. A Glivec e sejtek szaporodását gátolja.</w:t>
      </w:r>
    </w:p>
    <w:p w14:paraId="56605E46" w14:textId="77777777" w:rsidR="00FE13F7" w:rsidRPr="00556B9B" w:rsidRDefault="00FE13F7" w:rsidP="00FE13F7">
      <w:pPr>
        <w:spacing w:line="240" w:lineRule="auto"/>
        <w:rPr>
          <w:color w:val="000000"/>
          <w:lang w:val="hu-HU"/>
        </w:rPr>
      </w:pPr>
      <w:r w:rsidRPr="00556B9B">
        <w:rPr>
          <w:color w:val="000000"/>
          <w:lang w:val="hu-HU"/>
        </w:rPr>
        <w:t>A Betegtájékoztató további részében, ha ezekről a betegségekről teszünk említést, a rövidítéseket fogjuk használni.</w:t>
      </w:r>
    </w:p>
    <w:p w14:paraId="4A0D94F2" w14:textId="77777777" w:rsidR="00FE13F7" w:rsidRPr="00556B9B" w:rsidRDefault="00FE13F7" w:rsidP="00FE13F7">
      <w:pPr>
        <w:spacing w:line="240" w:lineRule="auto"/>
        <w:rPr>
          <w:color w:val="000000"/>
          <w:lang w:val="hu-HU"/>
        </w:rPr>
      </w:pPr>
    </w:p>
    <w:p w14:paraId="0617E8E0" w14:textId="20CA337F" w:rsidR="00FE13F7" w:rsidRPr="00696AC2" w:rsidRDefault="00FE13F7" w:rsidP="00FE13F7">
      <w:pPr>
        <w:spacing w:line="240" w:lineRule="auto"/>
        <w:rPr>
          <w:color w:val="000000"/>
          <w:lang w:val="hu-HU"/>
        </w:rPr>
      </w:pPr>
      <w:r w:rsidRPr="00696AC2">
        <w:rPr>
          <w:color w:val="000000"/>
          <w:lang w:val="hu-HU"/>
        </w:rPr>
        <w:t>Forduljon orvosához, amennyiben tudni szeretné, hogyan hat a Glivec, ill</w:t>
      </w:r>
      <w:r w:rsidR="00ED04A5" w:rsidRPr="00696AC2">
        <w:rPr>
          <w:color w:val="000000"/>
          <w:lang w:val="hu-HU"/>
        </w:rPr>
        <w:t>etve, hogy</w:t>
      </w:r>
      <w:r w:rsidRPr="00696AC2">
        <w:rPr>
          <w:color w:val="000000"/>
          <w:lang w:val="hu-HU"/>
        </w:rPr>
        <w:t xml:space="preserve"> miért részesül ebben a kezelésben.</w:t>
      </w:r>
    </w:p>
    <w:p w14:paraId="5E4D8E7F" w14:textId="77777777" w:rsidR="00FE13F7" w:rsidRPr="00696AC2" w:rsidRDefault="00FE13F7" w:rsidP="00FE13F7">
      <w:pPr>
        <w:spacing w:line="240" w:lineRule="auto"/>
        <w:ind w:right="-2"/>
        <w:rPr>
          <w:color w:val="000000"/>
          <w:lang w:val="hu-HU"/>
        </w:rPr>
      </w:pPr>
    </w:p>
    <w:p w14:paraId="60609605" w14:textId="77777777" w:rsidR="00FE13F7" w:rsidRPr="00696AC2" w:rsidRDefault="00FE13F7" w:rsidP="00FE13F7">
      <w:pPr>
        <w:spacing w:line="240" w:lineRule="auto"/>
        <w:ind w:right="-2"/>
        <w:rPr>
          <w:color w:val="000000"/>
          <w:lang w:val="hu-HU"/>
        </w:rPr>
      </w:pPr>
    </w:p>
    <w:p w14:paraId="74682FA1" w14:textId="77777777" w:rsidR="00FE13F7" w:rsidRPr="00696AC2" w:rsidRDefault="00FE13F7" w:rsidP="00226437">
      <w:pPr>
        <w:keepNext/>
        <w:spacing w:line="240" w:lineRule="auto"/>
        <w:ind w:left="567" w:right="-2" w:hanging="567"/>
        <w:rPr>
          <w:b/>
          <w:color w:val="000000"/>
          <w:lang w:val="hu-HU"/>
        </w:rPr>
      </w:pPr>
      <w:r w:rsidRPr="00696AC2">
        <w:rPr>
          <w:b/>
          <w:color w:val="000000"/>
          <w:lang w:val="hu-HU"/>
        </w:rPr>
        <w:t>2.</w:t>
      </w:r>
      <w:r w:rsidRPr="00696AC2">
        <w:rPr>
          <w:b/>
          <w:color w:val="000000"/>
          <w:lang w:val="hu-HU"/>
        </w:rPr>
        <w:tab/>
        <w:t>Tudnivalók a Glivec szedése előtt</w:t>
      </w:r>
    </w:p>
    <w:p w14:paraId="5BF83051" w14:textId="77777777" w:rsidR="00FE13F7" w:rsidRPr="00696AC2" w:rsidRDefault="00FE13F7" w:rsidP="00226437">
      <w:pPr>
        <w:keepNext/>
        <w:spacing w:line="240" w:lineRule="auto"/>
        <w:rPr>
          <w:color w:val="000000"/>
          <w:lang w:val="hu-HU"/>
        </w:rPr>
      </w:pPr>
    </w:p>
    <w:p w14:paraId="5B6284F1" w14:textId="5AC6DDEC" w:rsidR="00FE13F7" w:rsidRPr="00556B9B" w:rsidRDefault="00FE13F7" w:rsidP="00FE13F7">
      <w:pPr>
        <w:spacing w:line="240" w:lineRule="auto"/>
        <w:rPr>
          <w:color w:val="000000"/>
          <w:lang w:val="hu-HU"/>
        </w:rPr>
      </w:pPr>
      <w:r w:rsidRPr="00696AC2">
        <w:rPr>
          <w:color w:val="000000"/>
          <w:lang w:val="hu-HU"/>
        </w:rPr>
        <w:t>A Glivec</w:t>
      </w:r>
      <w:r w:rsidRPr="00696AC2">
        <w:rPr>
          <w:color w:val="000000"/>
          <w:lang w:val="hu-HU"/>
        </w:rPr>
        <w:noBreakHyphen/>
        <w:t>et kizárólag olyan orvos írhatja fel Önnek, aki tapasztalt a vérrák és a</w:t>
      </w:r>
      <w:r w:rsidR="00ED04A5" w:rsidRPr="00696AC2">
        <w:rPr>
          <w:color w:val="000000"/>
          <w:lang w:val="hu-HU"/>
        </w:rPr>
        <w:t>z úgynevezett</w:t>
      </w:r>
      <w:r w:rsidRPr="00696AC2">
        <w:rPr>
          <w:color w:val="000000"/>
          <w:lang w:val="hu-HU"/>
        </w:rPr>
        <w:t xml:space="preserve"> szolid</w:t>
      </w:r>
      <w:r w:rsidRPr="00556B9B">
        <w:rPr>
          <w:color w:val="000000"/>
          <w:lang w:val="hu-HU"/>
        </w:rPr>
        <w:t xml:space="preserve"> tumorok (tömör daganatok) kezelésében.</w:t>
      </w:r>
    </w:p>
    <w:p w14:paraId="6D92F281" w14:textId="77777777" w:rsidR="00FE13F7" w:rsidRPr="00556B9B" w:rsidRDefault="00FE13F7" w:rsidP="00FE13F7">
      <w:pPr>
        <w:spacing w:line="240" w:lineRule="auto"/>
        <w:rPr>
          <w:color w:val="000000"/>
          <w:lang w:val="hu-HU"/>
        </w:rPr>
      </w:pPr>
    </w:p>
    <w:p w14:paraId="396E40B7" w14:textId="2DF175D7" w:rsidR="00FE13F7" w:rsidRPr="00556B9B" w:rsidRDefault="00FE13F7" w:rsidP="00FE13F7">
      <w:pPr>
        <w:spacing w:line="240" w:lineRule="auto"/>
        <w:rPr>
          <w:color w:val="000000"/>
          <w:lang w:val="hu-HU"/>
        </w:rPr>
      </w:pPr>
      <w:r w:rsidRPr="00556B9B">
        <w:rPr>
          <w:color w:val="000000"/>
          <w:lang w:val="hu-HU"/>
        </w:rPr>
        <w:t xml:space="preserve">Gondosan kövesse orvosa valamennyi utasítását, még akkor is, ha azok eltérnének </w:t>
      </w:r>
      <w:r w:rsidR="000D6DF8">
        <w:rPr>
          <w:color w:val="000000"/>
          <w:lang w:val="hu-HU"/>
        </w:rPr>
        <w:t xml:space="preserve">az </w:t>
      </w:r>
      <w:r w:rsidRPr="00556B9B">
        <w:rPr>
          <w:color w:val="000000"/>
          <w:lang w:val="hu-HU"/>
        </w:rPr>
        <w:t>e</w:t>
      </w:r>
      <w:r w:rsidR="000D6DF8">
        <w:rPr>
          <w:color w:val="000000"/>
          <w:lang w:val="hu-HU"/>
        </w:rPr>
        <w:t>bben a</w:t>
      </w:r>
      <w:r w:rsidRPr="00556B9B">
        <w:rPr>
          <w:color w:val="000000"/>
          <w:lang w:val="hu-HU"/>
        </w:rPr>
        <w:t xml:space="preserve"> betegtájékoztatóban leírt általános információktól.</w:t>
      </w:r>
    </w:p>
    <w:p w14:paraId="55B57E14" w14:textId="77777777" w:rsidR="00FE13F7" w:rsidRPr="00556B9B" w:rsidRDefault="00FE13F7" w:rsidP="00FE13F7">
      <w:pPr>
        <w:spacing w:line="240" w:lineRule="auto"/>
        <w:rPr>
          <w:color w:val="000000"/>
          <w:lang w:val="hu-HU"/>
        </w:rPr>
      </w:pPr>
    </w:p>
    <w:p w14:paraId="2EB297B0" w14:textId="77777777" w:rsidR="00FE13F7" w:rsidRPr="00556B9B" w:rsidRDefault="00FE13F7" w:rsidP="00226437">
      <w:pPr>
        <w:keepNext/>
        <w:spacing w:line="240" w:lineRule="auto"/>
        <w:rPr>
          <w:b/>
          <w:color w:val="000000"/>
          <w:lang w:val="hu-HU"/>
        </w:rPr>
      </w:pPr>
      <w:r w:rsidRPr="00556B9B">
        <w:rPr>
          <w:b/>
          <w:color w:val="000000"/>
          <w:lang w:val="hu-HU"/>
        </w:rPr>
        <w:t>Ne szedje a Glivec</w:t>
      </w:r>
      <w:r w:rsidRPr="00556B9B">
        <w:rPr>
          <w:b/>
          <w:color w:val="000000"/>
          <w:lang w:val="hu-HU"/>
        </w:rPr>
        <w:noBreakHyphen/>
        <w:t>et</w:t>
      </w:r>
    </w:p>
    <w:p w14:paraId="14720D49" w14:textId="77777777" w:rsidR="00FE13F7" w:rsidRPr="009C21EB" w:rsidRDefault="00FE13F7" w:rsidP="00226437">
      <w:pPr>
        <w:keepNext/>
        <w:numPr>
          <w:ilvl w:val="0"/>
          <w:numId w:val="5"/>
        </w:numPr>
        <w:tabs>
          <w:tab w:val="clear" w:pos="360"/>
        </w:tabs>
        <w:spacing w:line="240" w:lineRule="auto"/>
        <w:ind w:left="567" w:hanging="567"/>
        <w:rPr>
          <w:color w:val="000000"/>
          <w:lang w:val="hu-HU"/>
        </w:rPr>
      </w:pPr>
      <w:r w:rsidRPr="009C21EB">
        <w:rPr>
          <w:color w:val="000000"/>
          <w:lang w:val="hu-HU"/>
        </w:rPr>
        <w:t xml:space="preserve">ha allergiás az imatinibre vagy a </w:t>
      </w:r>
      <w:r w:rsidRPr="009C21EB">
        <w:rPr>
          <w:noProof/>
          <w:szCs w:val="24"/>
          <w:lang w:val="hu-HU"/>
        </w:rPr>
        <w:t xml:space="preserve">gyógyszer (6. pontban felsorolt) </w:t>
      </w:r>
      <w:r w:rsidRPr="009C21EB">
        <w:rPr>
          <w:color w:val="000000"/>
          <w:lang w:val="hu-HU"/>
        </w:rPr>
        <w:t>egyéb összetevőjére.</w:t>
      </w:r>
    </w:p>
    <w:p w14:paraId="767474E5" w14:textId="40885F2E" w:rsidR="00FE13F7" w:rsidRPr="00FE57F2" w:rsidRDefault="00FE13F7" w:rsidP="00FE13F7">
      <w:pPr>
        <w:spacing w:line="240" w:lineRule="auto"/>
        <w:rPr>
          <w:b/>
          <w:color w:val="000000"/>
          <w:lang w:val="hu-HU"/>
        </w:rPr>
      </w:pPr>
      <w:r w:rsidRPr="009C21EB">
        <w:rPr>
          <w:color w:val="000000"/>
          <w:lang w:val="hu-HU"/>
        </w:rPr>
        <w:t xml:space="preserve">Ha ez vonatkozik Önre, </w:t>
      </w:r>
      <w:r w:rsidR="00ED04A5" w:rsidRPr="00FE57F2">
        <w:rPr>
          <w:b/>
          <w:color w:val="000000"/>
          <w:lang w:val="hu-HU"/>
        </w:rPr>
        <w:t>ne vegye be a Glivec-et, hanem tájékoztassa erről a kezelőorvosát.</w:t>
      </w:r>
    </w:p>
    <w:p w14:paraId="6CB56B0D" w14:textId="77777777" w:rsidR="00FE13F7" w:rsidRPr="009C21EB" w:rsidRDefault="00FE13F7" w:rsidP="00FE13F7">
      <w:pPr>
        <w:spacing w:line="240" w:lineRule="auto"/>
        <w:rPr>
          <w:color w:val="000000"/>
          <w:lang w:val="hu-HU"/>
        </w:rPr>
      </w:pPr>
    </w:p>
    <w:p w14:paraId="06D8C74A" w14:textId="77777777" w:rsidR="00FE13F7" w:rsidRPr="00556B9B" w:rsidRDefault="00FE13F7" w:rsidP="00FE13F7">
      <w:pPr>
        <w:spacing w:line="240" w:lineRule="auto"/>
        <w:rPr>
          <w:color w:val="000000"/>
          <w:lang w:val="hu-HU"/>
        </w:rPr>
      </w:pPr>
      <w:r w:rsidRPr="009C21EB">
        <w:rPr>
          <w:color w:val="000000"/>
          <w:lang w:val="hu-HU"/>
        </w:rPr>
        <w:t>Ha Ön úgy véli, hogy túlérzékenységi reakciója lehet, de nem biztos benne</w:t>
      </w:r>
      <w:r w:rsidRPr="00556B9B">
        <w:rPr>
          <w:color w:val="000000"/>
          <w:lang w:val="hu-HU"/>
        </w:rPr>
        <w:t>, forduljon orvosához további tanács érdekében.</w:t>
      </w:r>
    </w:p>
    <w:p w14:paraId="45621535" w14:textId="77777777" w:rsidR="00FE13F7" w:rsidRPr="00556B9B" w:rsidRDefault="00FE13F7" w:rsidP="00FE13F7">
      <w:pPr>
        <w:spacing w:line="240" w:lineRule="auto"/>
        <w:rPr>
          <w:color w:val="000000"/>
          <w:lang w:val="hu-HU"/>
        </w:rPr>
      </w:pPr>
    </w:p>
    <w:p w14:paraId="5ED47C5A" w14:textId="77777777" w:rsidR="00FE13F7" w:rsidRPr="00556B9B" w:rsidRDefault="00FE13F7" w:rsidP="00226437">
      <w:pPr>
        <w:keepNext/>
        <w:spacing w:line="240" w:lineRule="auto"/>
        <w:ind w:right="-2"/>
        <w:rPr>
          <w:b/>
          <w:color w:val="000000"/>
          <w:lang w:val="hu-HU"/>
        </w:rPr>
      </w:pPr>
      <w:r w:rsidRPr="00556B9B">
        <w:rPr>
          <w:b/>
          <w:noProof/>
          <w:szCs w:val="24"/>
          <w:lang w:val="hu-HU"/>
        </w:rPr>
        <w:t>Figyelmeztetések és óvintézkedések</w:t>
      </w:r>
    </w:p>
    <w:p w14:paraId="18B36A54" w14:textId="77777777" w:rsidR="00FE13F7" w:rsidRPr="00556B9B" w:rsidRDefault="00FE13F7" w:rsidP="00226437">
      <w:pPr>
        <w:keepNext/>
        <w:spacing w:line="240" w:lineRule="auto"/>
        <w:rPr>
          <w:color w:val="000000"/>
          <w:lang w:val="hu-HU"/>
        </w:rPr>
      </w:pPr>
      <w:r w:rsidRPr="00556B9B">
        <w:rPr>
          <w:color w:val="000000"/>
          <w:lang w:val="hu-HU"/>
        </w:rPr>
        <w:t>A Glivec szedése előtt beszéljen kezelőorvosával:</w:t>
      </w:r>
    </w:p>
    <w:p w14:paraId="3602E5FE" w14:textId="77777777" w:rsidR="00FE13F7" w:rsidRPr="00556B9B" w:rsidRDefault="00FE13F7" w:rsidP="00FE13F7">
      <w:pPr>
        <w:numPr>
          <w:ilvl w:val="0"/>
          <w:numId w:val="6"/>
        </w:numPr>
        <w:tabs>
          <w:tab w:val="clear" w:pos="360"/>
        </w:tabs>
        <w:spacing w:line="240" w:lineRule="auto"/>
        <w:ind w:left="567" w:hanging="567"/>
        <w:rPr>
          <w:color w:val="000000"/>
          <w:lang w:val="hu-HU"/>
        </w:rPr>
      </w:pPr>
      <w:r w:rsidRPr="00556B9B">
        <w:rPr>
          <w:color w:val="000000"/>
          <w:lang w:val="hu-HU"/>
        </w:rPr>
        <w:t>ha máj</w:t>
      </w:r>
      <w:r w:rsidRPr="00556B9B">
        <w:rPr>
          <w:color w:val="000000"/>
          <w:lang w:val="hu-HU"/>
        </w:rPr>
        <w:noBreakHyphen/>
        <w:t>, vese</w:t>
      </w:r>
      <w:r w:rsidRPr="00556B9B">
        <w:rPr>
          <w:color w:val="000000"/>
          <w:lang w:val="hu-HU"/>
        </w:rPr>
        <w:noBreakHyphen/>
        <w:t xml:space="preserve"> vagy szívproblémái vannak, vagy korábban bármikor voltak.</w:t>
      </w:r>
    </w:p>
    <w:p w14:paraId="283E1412" w14:textId="77777777" w:rsidR="00FE13F7" w:rsidRPr="00556B9B" w:rsidRDefault="00FE13F7" w:rsidP="00FE13F7">
      <w:pPr>
        <w:numPr>
          <w:ilvl w:val="0"/>
          <w:numId w:val="6"/>
        </w:numPr>
        <w:tabs>
          <w:tab w:val="clear" w:pos="360"/>
        </w:tabs>
        <w:spacing w:line="240" w:lineRule="auto"/>
        <w:ind w:left="567" w:hanging="567"/>
        <w:rPr>
          <w:color w:val="000000"/>
          <w:lang w:val="hu-HU"/>
        </w:rPr>
      </w:pPr>
      <w:r w:rsidRPr="00556B9B">
        <w:rPr>
          <w:color w:val="000000"/>
          <w:lang w:val="hu-HU"/>
        </w:rPr>
        <w:t>ha levotiroxin-tartalmú gyógyszert szed, mert eltávolították a pajzsmirigyét.</w:t>
      </w:r>
    </w:p>
    <w:p w14:paraId="7094C55C" w14:textId="77777777" w:rsidR="009A54D2" w:rsidRPr="00556B9B" w:rsidRDefault="00E90E3E" w:rsidP="009A54D2">
      <w:pPr>
        <w:numPr>
          <w:ilvl w:val="0"/>
          <w:numId w:val="6"/>
        </w:numPr>
        <w:tabs>
          <w:tab w:val="clear" w:pos="360"/>
        </w:tabs>
        <w:spacing w:line="240" w:lineRule="auto"/>
        <w:ind w:left="567" w:hanging="567"/>
        <w:rPr>
          <w:color w:val="000000"/>
          <w:lang w:val="hu-HU"/>
        </w:rPr>
      </w:pPr>
      <w:r w:rsidRPr="00556B9B">
        <w:rPr>
          <w:color w:val="000000"/>
          <w:lang w:val="hu-HU"/>
        </w:rPr>
        <w:t>ha Önnek valaha hepatitisz B fertőzése volt vagy jelenleg fennáll annak a lehetősége. Erre azért van szükség, mert a Glivec a hepatitisz B fertőzés kiújulását válthatja ki, ami egyes esetekben halálos lehet. A betegeket kezelőorvosuk gondosan ellenőrizni fogja, hogy nem alakultak</w:t>
      </w:r>
      <w:r w:rsidRPr="00556B9B">
        <w:rPr>
          <w:color w:val="000000"/>
          <w:lang w:val="hu-HU"/>
        </w:rPr>
        <w:noBreakHyphen/>
        <w:t xml:space="preserve">e ki a </w:t>
      </w:r>
      <w:r w:rsidR="009A54D2" w:rsidRPr="00556B9B">
        <w:rPr>
          <w:color w:val="000000"/>
          <w:lang w:val="hu-HU"/>
        </w:rPr>
        <w:t>fertőzés jelei, mielőtt a kezelést elkezdi.</w:t>
      </w:r>
    </w:p>
    <w:p w14:paraId="16645DED" w14:textId="77777777" w:rsidR="009A54D2" w:rsidRPr="00556B9B" w:rsidRDefault="00FB77C6" w:rsidP="00226437">
      <w:pPr>
        <w:keepNext/>
        <w:numPr>
          <w:ilvl w:val="0"/>
          <w:numId w:val="6"/>
        </w:numPr>
        <w:tabs>
          <w:tab w:val="clear" w:pos="360"/>
        </w:tabs>
        <w:spacing w:line="240" w:lineRule="auto"/>
        <w:ind w:left="567" w:hanging="567"/>
        <w:rPr>
          <w:color w:val="000000"/>
          <w:lang w:val="hu-HU"/>
        </w:rPr>
      </w:pPr>
      <w:r w:rsidRPr="00556B9B">
        <w:rPr>
          <w:color w:val="000000"/>
          <w:lang w:val="hu-HU"/>
        </w:rPr>
        <w:t>h</w:t>
      </w:r>
      <w:r w:rsidR="009A54D2" w:rsidRPr="00556B9B">
        <w:rPr>
          <w:color w:val="000000"/>
          <w:lang w:val="hu-HU"/>
        </w:rPr>
        <w:t>a a Glivec szedése közben véraláfutást, vérzést, lázat, fáradtságot és zavartságot tapasztal, keresse fel kezelőorvosát. Ez a vérerek sérülésének, más néven a trom</w:t>
      </w:r>
      <w:r w:rsidR="006A3803">
        <w:rPr>
          <w:color w:val="000000"/>
          <w:lang w:val="hu-HU"/>
        </w:rPr>
        <w:t>b</w:t>
      </w:r>
      <w:r w:rsidR="009A54D2" w:rsidRPr="00556B9B">
        <w:rPr>
          <w:color w:val="000000"/>
          <w:lang w:val="hu-HU"/>
        </w:rPr>
        <w:t>otikus mikroangiopátiának (TMA) a jele lehet.</w:t>
      </w:r>
    </w:p>
    <w:p w14:paraId="2373F82F" w14:textId="77777777" w:rsidR="00FE13F7" w:rsidRPr="00556B9B" w:rsidRDefault="00FE13F7" w:rsidP="00064E72">
      <w:pPr>
        <w:spacing w:line="240" w:lineRule="auto"/>
        <w:rPr>
          <w:b/>
          <w:color w:val="000000"/>
          <w:lang w:val="hu-HU"/>
        </w:rPr>
      </w:pPr>
      <w:r w:rsidRPr="00556B9B">
        <w:rPr>
          <w:color w:val="000000"/>
          <w:lang w:val="hu-HU"/>
        </w:rPr>
        <w:t xml:space="preserve">Ha a fentiek bármelyike vonatkozna Önre, </w:t>
      </w:r>
      <w:r w:rsidRPr="00556B9B">
        <w:rPr>
          <w:b/>
          <w:color w:val="000000"/>
          <w:lang w:val="hu-HU"/>
        </w:rPr>
        <w:t>még a</w:t>
      </w:r>
      <w:r w:rsidRPr="00556B9B">
        <w:rPr>
          <w:color w:val="000000"/>
          <w:lang w:val="hu-HU"/>
        </w:rPr>
        <w:t xml:space="preserve"> </w:t>
      </w:r>
      <w:r w:rsidRPr="00556B9B">
        <w:rPr>
          <w:b/>
          <w:color w:val="000000"/>
          <w:lang w:val="hu-HU"/>
        </w:rPr>
        <w:t>Glivec bevétele előtt közölje azt kezelőorvosával.</w:t>
      </w:r>
    </w:p>
    <w:p w14:paraId="3304E78F" w14:textId="77777777" w:rsidR="00FD611A" w:rsidRPr="00556B9B" w:rsidRDefault="00FD611A" w:rsidP="00FD611A">
      <w:pPr>
        <w:pStyle w:val="EndnoteText"/>
        <w:widowControl w:val="0"/>
        <w:tabs>
          <w:tab w:val="left" w:pos="720"/>
        </w:tabs>
        <w:rPr>
          <w:snapToGrid w:val="0"/>
          <w:color w:val="000000"/>
          <w:szCs w:val="22"/>
          <w:lang w:val="hu-HU"/>
        </w:rPr>
      </w:pPr>
    </w:p>
    <w:p w14:paraId="5E343389" w14:textId="77777777" w:rsidR="009C601A" w:rsidRPr="00556B9B" w:rsidRDefault="009C601A" w:rsidP="009C601A">
      <w:pPr>
        <w:pStyle w:val="EndnoteText"/>
        <w:widowControl w:val="0"/>
        <w:tabs>
          <w:tab w:val="left" w:pos="720"/>
        </w:tabs>
        <w:rPr>
          <w:snapToGrid w:val="0"/>
          <w:color w:val="000000"/>
          <w:szCs w:val="22"/>
          <w:lang w:val="hu-HU"/>
        </w:rPr>
      </w:pPr>
      <w:r w:rsidRPr="00556B9B">
        <w:rPr>
          <w:snapToGrid w:val="0"/>
          <w:color w:val="000000"/>
          <w:szCs w:val="22"/>
          <w:lang w:val="hu-HU"/>
        </w:rPr>
        <w:t xml:space="preserve">Glivec szedése alatt Ön érzékenyebb lehet a </w:t>
      </w:r>
      <w:r w:rsidR="0003042A" w:rsidRPr="00556B9B">
        <w:rPr>
          <w:snapToGrid w:val="0"/>
          <w:color w:val="000000"/>
          <w:szCs w:val="22"/>
          <w:lang w:val="hu-HU"/>
        </w:rPr>
        <w:t>napsugárzásra</w:t>
      </w:r>
      <w:r w:rsidRPr="00556B9B">
        <w:rPr>
          <w:snapToGrid w:val="0"/>
          <w:color w:val="000000"/>
          <w:szCs w:val="22"/>
          <w:lang w:val="hu-HU"/>
        </w:rPr>
        <w:t>. Fontos, hogy öltözékével takarja a napsütésnek kitett bőrterületeket, valamint, hogy magas fényvédő faktor</w:t>
      </w:r>
      <w:r w:rsidR="006252B9" w:rsidRPr="00556B9B">
        <w:rPr>
          <w:snapToGrid w:val="0"/>
          <w:color w:val="000000"/>
          <w:szCs w:val="22"/>
          <w:lang w:val="hu-HU"/>
        </w:rPr>
        <w:t>szám</w:t>
      </w:r>
      <w:r w:rsidRPr="00556B9B">
        <w:rPr>
          <w:snapToGrid w:val="0"/>
          <w:color w:val="000000"/>
          <w:szCs w:val="22"/>
          <w:lang w:val="hu-HU"/>
        </w:rPr>
        <w:t>ú naptejet használjon. Ezek a szabályok gyermekekre is vonatkoznak.</w:t>
      </w:r>
    </w:p>
    <w:p w14:paraId="13A9FFC4" w14:textId="77777777" w:rsidR="00FE13F7" w:rsidRPr="00556B9B" w:rsidRDefault="00FE13F7" w:rsidP="00FE13F7">
      <w:pPr>
        <w:spacing w:line="240" w:lineRule="auto"/>
        <w:ind w:right="-2"/>
        <w:rPr>
          <w:color w:val="000000"/>
          <w:lang w:val="hu-HU"/>
        </w:rPr>
      </w:pPr>
    </w:p>
    <w:p w14:paraId="7BC5B261" w14:textId="77777777" w:rsidR="00FE13F7" w:rsidRPr="00556B9B" w:rsidRDefault="00FE13F7" w:rsidP="00FE13F7">
      <w:pPr>
        <w:spacing w:line="240" w:lineRule="auto"/>
        <w:ind w:right="-2"/>
        <w:rPr>
          <w:b/>
          <w:color w:val="000000"/>
          <w:lang w:val="hu-HU"/>
        </w:rPr>
      </w:pPr>
      <w:r w:rsidRPr="00556B9B">
        <w:rPr>
          <w:b/>
          <w:color w:val="000000"/>
          <w:lang w:val="hu-HU"/>
        </w:rPr>
        <w:t>A Glivec</w:t>
      </w:r>
      <w:r w:rsidRPr="00556B9B">
        <w:rPr>
          <w:b/>
          <w:color w:val="000000"/>
          <w:lang w:val="hu-HU"/>
        </w:rPr>
        <w:noBreakHyphen/>
        <w:t>kezelés során azonnal értesítse kezelőorvosát</w:t>
      </w:r>
      <w:r w:rsidRPr="00556B9B">
        <w:rPr>
          <w:color w:val="000000"/>
          <w:lang w:val="hu-HU"/>
        </w:rPr>
        <w:t>, ha hirtelen testsúlynövekedést észlel. A Glivec az Ön testében a víz visszatartását okozhatja (jelentős mértékű vízvisszatartás).</w:t>
      </w:r>
    </w:p>
    <w:p w14:paraId="6A592B92" w14:textId="77777777" w:rsidR="00FE13F7" w:rsidRPr="00556B9B" w:rsidRDefault="00FE13F7" w:rsidP="00FE13F7">
      <w:pPr>
        <w:spacing w:line="240" w:lineRule="auto"/>
        <w:ind w:right="-2"/>
        <w:rPr>
          <w:color w:val="000000"/>
          <w:lang w:val="hu-HU"/>
        </w:rPr>
      </w:pPr>
    </w:p>
    <w:p w14:paraId="79E97573" w14:textId="77777777" w:rsidR="00FE13F7" w:rsidRPr="00556B9B" w:rsidRDefault="00FE13F7" w:rsidP="00FE13F7">
      <w:pPr>
        <w:spacing w:line="240" w:lineRule="auto"/>
        <w:rPr>
          <w:color w:val="000000"/>
          <w:lang w:val="hu-HU"/>
        </w:rPr>
      </w:pPr>
      <w:r w:rsidRPr="00556B9B">
        <w:rPr>
          <w:color w:val="000000"/>
          <w:lang w:val="hu-HU"/>
        </w:rPr>
        <w:t>Mialatt Ön szedi a Glivec</w:t>
      </w:r>
      <w:r w:rsidRPr="00556B9B">
        <w:rPr>
          <w:color w:val="000000"/>
          <w:lang w:val="hu-HU"/>
        </w:rPr>
        <w:noBreakHyphen/>
        <w:t>et, kezelőorvosa rendszeresen ellenőrizni fogja, hogy a gyógyszer hat</w:t>
      </w:r>
      <w:r w:rsidRPr="00556B9B">
        <w:rPr>
          <w:color w:val="000000"/>
          <w:lang w:val="hu-HU"/>
        </w:rPr>
        <w:noBreakHyphen/>
        <w:t>e. Vérképét és testsúlyát is rendszeresen ellenőrzik majd.</w:t>
      </w:r>
    </w:p>
    <w:p w14:paraId="0C4BAED2" w14:textId="77777777" w:rsidR="00FE13F7" w:rsidRPr="00556B9B" w:rsidRDefault="00FE13F7" w:rsidP="00FE13F7">
      <w:pPr>
        <w:spacing w:line="240" w:lineRule="auto"/>
        <w:rPr>
          <w:color w:val="000000"/>
          <w:lang w:val="hu-HU"/>
        </w:rPr>
      </w:pPr>
    </w:p>
    <w:p w14:paraId="4E7E7373" w14:textId="77777777" w:rsidR="00FE13F7" w:rsidRPr="00556B9B" w:rsidRDefault="00FE13F7" w:rsidP="00226437">
      <w:pPr>
        <w:keepNext/>
        <w:spacing w:line="240" w:lineRule="auto"/>
        <w:ind w:right="-2"/>
        <w:rPr>
          <w:b/>
          <w:noProof/>
          <w:szCs w:val="24"/>
          <w:lang w:val="hu-HU"/>
        </w:rPr>
      </w:pPr>
      <w:r w:rsidRPr="00556B9B">
        <w:rPr>
          <w:b/>
          <w:noProof/>
          <w:szCs w:val="24"/>
          <w:lang w:val="hu-HU"/>
        </w:rPr>
        <w:t>Gyermekek és serdülők</w:t>
      </w:r>
    </w:p>
    <w:p w14:paraId="641FCF5A" w14:textId="77777777" w:rsidR="00FE13F7" w:rsidRPr="00556B9B" w:rsidRDefault="00FE13F7" w:rsidP="00FE13F7">
      <w:pPr>
        <w:spacing w:line="240" w:lineRule="auto"/>
        <w:ind w:right="-2"/>
        <w:rPr>
          <w:color w:val="000000"/>
          <w:lang w:val="hu-HU"/>
        </w:rPr>
      </w:pPr>
      <w:r w:rsidRPr="00556B9B">
        <w:rPr>
          <w:color w:val="000000"/>
          <w:lang w:val="hu-HU"/>
        </w:rPr>
        <w:t>A Glivec CML</w:t>
      </w:r>
      <w:r w:rsidRPr="00556B9B">
        <w:rPr>
          <w:color w:val="000000"/>
          <w:lang w:val="hu-HU"/>
        </w:rPr>
        <w:noBreakHyphen/>
        <w:t>ben szenvedő gyermekek kezelésére is szolgál. Két éves kor alatti CML</w:t>
      </w:r>
      <w:r w:rsidRPr="00556B9B">
        <w:rPr>
          <w:color w:val="000000"/>
          <w:lang w:val="hu-HU"/>
        </w:rPr>
        <w:noBreakHyphen/>
        <w:t>ben szenvedő gyermekek esetében nincs tapasztalat. Ph</w:t>
      </w:r>
      <w:r w:rsidRPr="00556B9B">
        <w:rPr>
          <w:color w:val="000000"/>
          <w:lang w:val="hu-HU"/>
        </w:rPr>
        <w:noBreakHyphen/>
        <w:t xml:space="preserve">pozitív </w:t>
      </w:r>
      <w:smartTag w:uri="urn:schemas-microsoft-com:office:smarttags" w:element="stockticker">
        <w:r w:rsidRPr="00556B9B">
          <w:rPr>
            <w:color w:val="000000"/>
            <w:lang w:val="hu-HU"/>
          </w:rPr>
          <w:t>ALL</w:t>
        </w:r>
      </w:smartTag>
      <w:r w:rsidRPr="00556B9B">
        <w:rPr>
          <w:color w:val="000000"/>
          <w:lang w:val="hu-HU"/>
        </w:rPr>
        <w:noBreakHyphen/>
        <w:t xml:space="preserve">ben szenvedő gyermekek esetében kevés </w:t>
      </w:r>
      <w:r w:rsidRPr="00556B9B">
        <w:rPr>
          <w:color w:val="000000"/>
          <w:lang w:val="hu-HU"/>
        </w:rPr>
        <w:lastRenderedPageBreak/>
        <w:t>tapasztalat áll rendelkezésre</w:t>
      </w:r>
      <w:r w:rsidR="0061017A" w:rsidRPr="00556B9B">
        <w:rPr>
          <w:color w:val="000000"/>
          <w:lang w:val="hu-HU"/>
        </w:rPr>
        <w:t xml:space="preserve"> és az MDS/MPD, DFSP, GIST és HES/CEL</w:t>
      </w:r>
      <w:r w:rsidR="0061017A" w:rsidRPr="00556B9B">
        <w:rPr>
          <w:color w:val="000000"/>
          <w:lang w:val="hu-HU"/>
        </w:rPr>
        <w:noBreakHyphen/>
        <w:t>ben szenvedő gyermekekkel nagyon korlátozott mennyiségű a tapasztalat</w:t>
      </w:r>
      <w:r w:rsidRPr="00556B9B">
        <w:rPr>
          <w:color w:val="000000"/>
          <w:lang w:val="hu-HU"/>
        </w:rPr>
        <w:t>.</w:t>
      </w:r>
    </w:p>
    <w:p w14:paraId="3362A1F6" w14:textId="77777777" w:rsidR="00FE13F7" w:rsidRPr="00556B9B" w:rsidRDefault="00FE13F7" w:rsidP="00FE13F7">
      <w:pPr>
        <w:spacing w:line="240" w:lineRule="auto"/>
        <w:ind w:right="-2"/>
        <w:rPr>
          <w:color w:val="000000"/>
          <w:lang w:val="hu-HU"/>
        </w:rPr>
      </w:pPr>
    </w:p>
    <w:p w14:paraId="69EC3447" w14:textId="451CD418" w:rsidR="00FE13F7" w:rsidRPr="00556B9B" w:rsidRDefault="00FE13F7" w:rsidP="00FE13F7">
      <w:pPr>
        <w:spacing w:line="240" w:lineRule="auto"/>
        <w:ind w:right="-2"/>
        <w:rPr>
          <w:color w:val="000000"/>
          <w:lang w:val="hu-HU"/>
        </w:rPr>
      </w:pPr>
      <w:r w:rsidRPr="00556B9B">
        <w:rPr>
          <w:color w:val="000000"/>
          <w:lang w:val="hu-HU"/>
        </w:rPr>
        <w:t>Néhány</w:t>
      </w:r>
      <w:r w:rsidR="00800C7B">
        <w:rPr>
          <w:color w:val="000000"/>
          <w:lang w:val="hu-HU"/>
        </w:rPr>
        <w:t>,</w:t>
      </w:r>
      <w:r w:rsidRPr="00556B9B">
        <w:rPr>
          <w:color w:val="000000"/>
          <w:lang w:val="hu-HU"/>
        </w:rPr>
        <w:t xml:space="preserve"> Glivec</w:t>
      </w:r>
      <w:r w:rsidRPr="00556B9B">
        <w:rPr>
          <w:color w:val="000000"/>
          <w:lang w:val="hu-HU"/>
        </w:rPr>
        <w:noBreakHyphen/>
        <w:t xml:space="preserve">et szedő gyermek vagy serdülőkorú növekedése a normálisnál lassabb lehet. Az orvos a rendszeres kontrollvizsgálatok alkalmával ellenőrizni fogja </w:t>
      </w:r>
      <w:r w:rsidR="0045121B" w:rsidRPr="00556B9B">
        <w:rPr>
          <w:color w:val="000000"/>
          <w:lang w:val="hu-HU"/>
        </w:rPr>
        <w:t xml:space="preserve">a </w:t>
      </w:r>
      <w:r w:rsidRPr="00556B9B">
        <w:rPr>
          <w:color w:val="000000"/>
          <w:lang w:val="hu-HU"/>
        </w:rPr>
        <w:t>növekedést.</w:t>
      </w:r>
    </w:p>
    <w:p w14:paraId="259E86CC" w14:textId="77777777" w:rsidR="00FE13F7" w:rsidRPr="00556B9B" w:rsidRDefault="00FE13F7" w:rsidP="00FE13F7">
      <w:pPr>
        <w:spacing w:line="240" w:lineRule="auto"/>
        <w:rPr>
          <w:color w:val="000000"/>
          <w:lang w:val="hu-HU"/>
        </w:rPr>
      </w:pPr>
    </w:p>
    <w:p w14:paraId="4DA61561" w14:textId="77777777" w:rsidR="00FE13F7" w:rsidRPr="00556B9B" w:rsidRDefault="00FE13F7" w:rsidP="00226437">
      <w:pPr>
        <w:keepNext/>
        <w:spacing w:line="240" w:lineRule="auto"/>
        <w:rPr>
          <w:b/>
          <w:color w:val="000000"/>
          <w:lang w:val="hu-HU"/>
        </w:rPr>
      </w:pPr>
      <w:r w:rsidRPr="00556B9B">
        <w:rPr>
          <w:b/>
          <w:color w:val="000000"/>
          <w:lang w:val="hu-HU"/>
        </w:rPr>
        <w:t>Egyéb gyógyszerek és a Glivec</w:t>
      </w:r>
    </w:p>
    <w:p w14:paraId="778EF8D6" w14:textId="6F5CE497" w:rsidR="00FE13F7" w:rsidRPr="00556B9B" w:rsidRDefault="00FE13F7" w:rsidP="00FE13F7">
      <w:pPr>
        <w:spacing w:line="240" w:lineRule="auto"/>
        <w:rPr>
          <w:color w:val="000000"/>
          <w:lang w:val="hu-HU"/>
        </w:rPr>
      </w:pPr>
      <w:r w:rsidRPr="00556B9B">
        <w:rPr>
          <w:color w:val="000000"/>
          <w:lang w:val="hu-HU"/>
        </w:rPr>
        <w:t xml:space="preserve">Feltétlenül tájékoztassa kezelőorvosát vagy gyógyszerészét a </w:t>
      </w:r>
      <w:r w:rsidRPr="009C21EB">
        <w:rPr>
          <w:color w:val="000000"/>
          <w:lang w:val="hu-HU"/>
        </w:rPr>
        <w:t>jelenleg vagy nemrégiben szedett</w:t>
      </w:r>
      <w:r w:rsidRPr="009C21EB">
        <w:rPr>
          <w:noProof/>
          <w:szCs w:val="24"/>
          <w:lang w:val="hu-HU"/>
        </w:rPr>
        <w:t>, valamint szedni tervezett</w:t>
      </w:r>
      <w:r w:rsidRPr="009C21EB">
        <w:rPr>
          <w:color w:val="000000"/>
          <w:lang w:val="hu-HU"/>
        </w:rPr>
        <w:t xml:space="preserve"> egyéb gyógyszereiről, beleértve a vény nélkül kapható készítményeket is (</w:t>
      </w:r>
      <w:r w:rsidR="00ED04A5" w:rsidRPr="009C21EB">
        <w:rPr>
          <w:color w:val="000000"/>
          <w:lang w:val="hu-HU"/>
        </w:rPr>
        <w:t>pl.</w:t>
      </w:r>
      <w:r w:rsidRPr="009C21EB">
        <w:rPr>
          <w:color w:val="000000"/>
          <w:lang w:val="hu-HU"/>
        </w:rPr>
        <w:t xml:space="preserve"> a paracetamol) és a gyógynövénykészítményeket (</w:t>
      </w:r>
      <w:r w:rsidR="00ED04A5" w:rsidRPr="009C21EB">
        <w:rPr>
          <w:color w:val="000000"/>
          <w:lang w:val="hu-HU"/>
        </w:rPr>
        <w:t>pl.</w:t>
      </w:r>
      <w:r w:rsidRPr="009C21EB">
        <w:rPr>
          <w:color w:val="000000"/>
          <w:lang w:val="hu-HU"/>
        </w:rPr>
        <w:t xml:space="preserve"> az orbáncfű) is. Néhány gyógyszer egyidejű alkalmazás esetén befolyásolhatja a Glivec hatását. Növelhetik, illetve csökkenthetik a Glivec hatását, ami a mellékhatások előfordulási gyakoriságának növekedéséhez, illetve</w:t>
      </w:r>
      <w:r w:rsidRPr="00556B9B">
        <w:rPr>
          <w:color w:val="000000"/>
          <w:lang w:val="hu-HU"/>
        </w:rPr>
        <w:t xml:space="preserve"> a Glivec hatásosságának csökkenéséhez vezethet. A Glivec ugyanígy viselkedhet néhány más gyógyszerrel szemben.</w:t>
      </w:r>
    </w:p>
    <w:p w14:paraId="42ED1856" w14:textId="77777777" w:rsidR="006558FB" w:rsidRPr="00556B9B" w:rsidRDefault="006558FB" w:rsidP="006558FB">
      <w:pPr>
        <w:spacing w:line="240" w:lineRule="auto"/>
        <w:rPr>
          <w:color w:val="000000"/>
          <w:lang w:val="hu-HU"/>
        </w:rPr>
      </w:pPr>
    </w:p>
    <w:p w14:paraId="1CCB78FB" w14:textId="77777777" w:rsidR="006558FB" w:rsidRPr="00556B9B" w:rsidRDefault="006558FB" w:rsidP="006558FB">
      <w:pPr>
        <w:spacing w:line="240" w:lineRule="auto"/>
        <w:rPr>
          <w:color w:val="000000"/>
          <w:lang w:val="hu-HU"/>
        </w:rPr>
      </w:pPr>
      <w:r w:rsidRPr="00556B9B">
        <w:rPr>
          <w:color w:val="000000"/>
          <w:lang w:val="hu-HU"/>
        </w:rPr>
        <w:t>Tájékoztassa kezelőorvosát, ha vérrögképződést gátló gyógyszert alkalmaz.</w:t>
      </w:r>
    </w:p>
    <w:p w14:paraId="44ECF193" w14:textId="77777777" w:rsidR="00FE13F7" w:rsidRPr="00556B9B" w:rsidRDefault="00FE13F7" w:rsidP="00FE13F7">
      <w:pPr>
        <w:spacing w:line="240" w:lineRule="auto"/>
        <w:ind w:right="-2"/>
        <w:rPr>
          <w:color w:val="000000"/>
          <w:lang w:val="hu-HU"/>
        </w:rPr>
      </w:pPr>
    </w:p>
    <w:p w14:paraId="50FC7DAD" w14:textId="77777777" w:rsidR="00FE13F7" w:rsidRPr="00556B9B" w:rsidRDefault="00FE13F7" w:rsidP="00226437">
      <w:pPr>
        <w:keepNext/>
        <w:ind w:right="-29"/>
        <w:rPr>
          <w:b/>
          <w:color w:val="000000"/>
          <w:lang w:val="hu-HU"/>
        </w:rPr>
      </w:pPr>
      <w:r w:rsidRPr="00556B9B">
        <w:rPr>
          <w:b/>
          <w:color w:val="000000"/>
          <w:lang w:val="hu-HU"/>
        </w:rPr>
        <w:t>Terhesség, szoptatás és termékenység</w:t>
      </w:r>
    </w:p>
    <w:p w14:paraId="016E378F" w14:textId="77777777" w:rsidR="00FE13F7" w:rsidRPr="00556B9B" w:rsidRDefault="00FE13F7" w:rsidP="00FE13F7">
      <w:pPr>
        <w:widowControl w:val="0"/>
        <w:numPr>
          <w:ilvl w:val="0"/>
          <w:numId w:val="20"/>
        </w:numPr>
        <w:tabs>
          <w:tab w:val="clear" w:pos="0"/>
        </w:tabs>
        <w:suppressAutoHyphens w:val="0"/>
        <w:spacing w:line="240" w:lineRule="auto"/>
        <w:ind w:left="567" w:hanging="567"/>
        <w:rPr>
          <w:color w:val="000000"/>
          <w:lang w:val="hu-HU"/>
        </w:rPr>
      </w:pPr>
      <w:r w:rsidRPr="00556B9B">
        <w:rPr>
          <w:color w:val="000000"/>
          <w:lang w:val="hu-HU"/>
        </w:rPr>
        <w:t>Ha Ön terhes vagy szoptat, illetve ha fennáll Önnél a terhesség lehetősége vagy gyermeket szeretne, a gyógyszer szedése előtt beszéljen kezelőorvosával.</w:t>
      </w:r>
    </w:p>
    <w:p w14:paraId="7C561707" w14:textId="59BA6339" w:rsidR="00FE13F7" w:rsidRPr="009C21EB" w:rsidRDefault="00FE13F7" w:rsidP="00FE13F7">
      <w:pPr>
        <w:numPr>
          <w:ilvl w:val="0"/>
          <w:numId w:val="20"/>
        </w:numPr>
        <w:tabs>
          <w:tab w:val="clear" w:pos="0"/>
        </w:tabs>
        <w:spacing w:line="240" w:lineRule="auto"/>
        <w:ind w:left="567" w:hanging="567"/>
        <w:rPr>
          <w:color w:val="000000"/>
          <w:lang w:val="hu-HU"/>
        </w:rPr>
      </w:pPr>
      <w:r w:rsidRPr="00556B9B">
        <w:rPr>
          <w:color w:val="000000"/>
          <w:lang w:val="hu-HU"/>
        </w:rPr>
        <w:t xml:space="preserve">A Glivec nem javasolt a terhesség ideje alatt, </w:t>
      </w:r>
      <w:r w:rsidRPr="009C21EB">
        <w:rPr>
          <w:color w:val="000000"/>
          <w:lang w:val="hu-HU"/>
        </w:rPr>
        <w:t xml:space="preserve">csak ha az egyértelműen szükséges, mert károsíthatja gyermekét. </w:t>
      </w:r>
      <w:r w:rsidR="00BE798A" w:rsidRPr="009C21EB">
        <w:rPr>
          <w:color w:val="000000"/>
          <w:lang w:val="hu-HU"/>
        </w:rPr>
        <w:t>Kezelőo</w:t>
      </w:r>
      <w:r w:rsidRPr="009C21EB">
        <w:rPr>
          <w:color w:val="000000"/>
          <w:lang w:val="hu-HU"/>
        </w:rPr>
        <w:t>rvosa megbeszéli Önnel a terhesség ideje alatti Glivec</w:t>
      </w:r>
      <w:r w:rsidRPr="009C21EB">
        <w:rPr>
          <w:color w:val="000000"/>
          <w:lang w:val="hu-HU"/>
        </w:rPr>
        <w:noBreakHyphen/>
        <w:t>kezelés lehetséges kockázatait.</w:t>
      </w:r>
    </w:p>
    <w:p w14:paraId="0DBE5C96" w14:textId="2681BF3A" w:rsidR="00FE13F7" w:rsidRPr="009C21EB" w:rsidRDefault="00FE13F7" w:rsidP="00FE13F7">
      <w:pPr>
        <w:numPr>
          <w:ilvl w:val="0"/>
          <w:numId w:val="20"/>
        </w:numPr>
        <w:tabs>
          <w:tab w:val="clear" w:pos="0"/>
        </w:tabs>
        <w:spacing w:line="240" w:lineRule="auto"/>
        <w:ind w:left="567" w:hanging="567"/>
        <w:rPr>
          <w:color w:val="000000"/>
          <w:lang w:val="hu-HU"/>
        </w:rPr>
      </w:pPr>
      <w:r w:rsidRPr="009C21EB">
        <w:rPr>
          <w:color w:val="000000"/>
          <w:lang w:val="hu-HU"/>
        </w:rPr>
        <w:t>A fogamzóképes életkorú nőknek hatékony fogamzásgátló módszer alkalmazása javasolt a kezelés időtartama alatt</w:t>
      </w:r>
      <w:r w:rsidR="00D73148" w:rsidRPr="009C21EB">
        <w:rPr>
          <w:color w:val="000000"/>
          <w:lang w:val="hu-HU"/>
        </w:rPr>
        <w:t xml:space="preserve"> és még további 15 napig a Glivec</w:t>
      </w:r>
      <w:r w:rsidR="00D73148" w:rsidRPr="009C21EB">
        <w:rPr>
          <w:color w:val="000000"/>
          <w:lang w:val="hu-HU"/>
        </w:rPr>
        <w:noBreakHyphen/>
        <w:t>kezelés befejezését követően</w:t>
      </w:r>
      <w:r w:rsidRPr="009C21EB">
        <w:rPr>
          <w:color w:val="000000"/>
          <w:lang w:val="hu-HU"/>
        </w:rPr>
        <w:t>.</w:t>
      </w:r>
    </w:p>
    <w:p w14:paraId="5AF29ADE" w14:textId="3872C80E" w:rsidR="00FE13F7" w:rsidRPr="009C21EB" w:rsidRDefault="00FE13F7" w:rsidP="00FE13F7">
      <w:pPr>
        <w:numPr>
          <w:ilvl w:val="0"/>
          <w:numId w:val="20"/>
        </w:numPr>
        <w:tabs>
          <w:tab w:val="clear" w:pos="0"/>
        </w:tabs>
        <w:spacing w:line="240" w:lineRule="auto"/>
        <w:ind w:left="567" w:hanging="567"/>
        <w:rPr>
          <w:color w:val="000000"/>
          <w:lang w:val="hu-HU"/>
        </w:rPr>
      </w:pPr>
      <w:r w:rsidRPr="009C21EB">
        <w:rPr>
          <w:color w:val="000000"/>
          <w:lang w:val="hu-HU"/>
        </w:rPr>
        <w:t>Ne szoptasson a Glivec</w:t>
      </w:r>
      <w:r w:rsidRPr="009C21EB">
        <w:rPr>
          <w:color w:val="000000"/>
          <w:lang w:val="hu-HU"/>
        </w:rPr>
        <w:noBreakHyphen/>
        <w:t>kezelés időtartama alatt</w:t>
      </w:r>
      <w:r w:rsidR="00D73148" w:rsidRPr="009C21EB">
        <w:rPr>
          <w:color w:val="000000"/>
          <w:lang w:val="hu-HU"/>
        </w:rPr>
        <w:t xml:space="preserve"> és még további 15 napig a Glivec</w:t>
      </w:r>
      <w:r w:rsidR="00D73148" w:rsidRPr="009C21EB">
        <w:rPr>
          <w:color w:val="000000"/>
          <w:lang w:val="hu-HU"/>
        </w:rPr>
        <w:noBreakHyphen/>
        <w:t>kezelés befejezését követően, mert ez káros hatással lehet csecsemőjére</w:t>
      </w:r>
      <w:r w:rsidRPr="009C21EB">
        <w:rPr>
          <w:color w:val="000000"/>
          <w:lang w:val="hu-HU"/>
        </w:rPr>
        <w:t>.</w:t>
      </w:r>
    </w:p>
    <w:p w14:paraId="282C0F37" w14:textId="0D63F68C" w:rsidR="00FE13F7" w:rsidRPr="009C21EB" w:rsidRDefault="00FE13F7" w:rsidP="00FE13F7">
      <w:pPr>
        <w:widowControl w:val="0"/>
        <w:numPr>
          <w:ilvl w:val="0"/>
          <w:numId w:val="34"/>
        </w:numPr>
        <w:suppressAutoHyphens w:val="0"/>
        <w:spacing w:line="240" w:lineRule="auto"/>
        <w:ind w:left="567" w:hanging="567"/>
        <w:rPr>
          <w:color w:val="000000"/>
          <w:szCs w:val="22"/>
          <w:lang w:val="hu-HU"/>
        </w:rPr>
      </w:pPr>
      <w:r w:rsidRPr="009C21EB">
        <w:rPr>
          <w:lang w:val="hu-HU"/>
        </w:rPr>
        <w:t>Javasolt, hogy azok a betegek, akik aggódnak a termékenységük miatt, miközben Glivec</w:t>
      </w:r>
      <w:r w:rsidRPr="009C21EB">
        <w:rPr>
          <w:lang w:val="hu-HU"/>
        </w:rPr>
        <w:noBreakHyphen/>
        <w:t xml:space="preserve">et szednek, </w:t>
      </w:r>
      <w:r w:rsidR="00063A49" w:rsidRPr="009C21EB">
        <w:rPr>
          <w:lang w:val="hu-HU"/>
        </w:rPr>
        <w:t>forduljanak tanácsért a</w:t>
      </w:r>
      <w:r w:rsidRPr="009C21EB">
        <w:rPr>
          <w:lang w:val="hu-HU"/>
        </w:rPr>
        <w:t xml:space="preserve"> kezelőorvosuk</w:t>
      </w:r>
      <w:r w:rsidR="00063A49" w:rsidRPr="009C21EB">
        <w:rPr>
          <w:lang w:val="hu-HU"/>
        </w:rPr>
        <w:t>hoz</w:t>
      </w:r>
      <w:r w:rsidRPr="009C21EB">
        <w:rPr>
          <w:lang w:val="hu-HU"/>
        </w:rPr>
        <w:t>.</w:t>
      </w:r>
    </w:p>
    <w:p w14:paraId="3D507F48" w14:textId="77777777" w:rsidR="00FE13F7" w:rsidRPr="00556B9B" w:rsidRDefault="00FE13F7" w:rsidP="00FE13F7">
      <w:pPr>
        <w:spacing w:line="240" w:lineRule="auto"/>
        <w:rPr>
          <w:color w:val="000000"/>
          <w:lang w:val="hu-HU"/>
        </w:rPr>
      </w:pPr>
    </w:p>
    <w:p w14:paraId="542FBFE0" w14:textId="77777777" w:rsidR="00FE13F7" w:rsidRPr="00556B9B" w:rsidRDefault="00FE13F7" w:rsidP="00FE13F7">
      <w:pPr>
        <w:spacing w:line="240" w:lineRule="auto"/>
        <w:ind w:right="-29"/>
        <w:rPr>
          <w:b/>
          <w:color w:val="000000"/>
          <w:lang w:val="hu-HU"/>
        </w:rPr>
      </w:pPr>
      <w:r w:rsidRPr="00556B9B">
        <w:rPr>
          <w:b/>
          <w:color w:val="000000"/>
          <w:lang w:val="hu-HU"/>
        </w:rPr>
        <w:t xml:space="preserve">A készítmény hatásai a gépjárművezetéshez és </w:t>
      </w:r>
      <w:r w:rsidR="00145E44" w:rsidRPr="00556B9B">
        <w:rPr>
          <w:b/>
          <w:color w:val="000000"/>
          <w:lang w:val="hu-HU"/>
        </w:rPr>
        <w:t xml:space="preserve">a </w:t>
      </w:r>
      <w:r w:rsidRPr="00556B9B">
        <w:rPr>
          <w:b/>
          <w:color w:val="000000"/>
          <w:lang w:val="hu-HU"/>
        </w:rPr>
        <w:t>gépek kezeléséhez szükséges képességekre</w:t>
      </w:r>
    </w:p>
    <w:p w14:paraId="46E0E298" w14:textId="77777777" w:rsidR="00FE13F7" w:rsidRPr="00556B9B" w:rsidRDefault="00FE13F7" w:rsidP="00FE13F7">
      <w:pPr>
        <w:spacing w:line="240" w:lineRule="auto"/>
        <w:ind w:right="-29"/>
        <w:rPr>
          <w:color w:val="000000"/>
          <w:lang w:val="hu-HU"/>
        </w:rPr>
      </w:pPr>
      <w:r w:rsidRPr="00556B9B">
        <w:rPr>
          <w:color w:val="000000"/>
          <w:lang w:val="hu-HU"/>
        </w:rPr>
        <w:t>A gyógyszer szedésének ideje alatt szédülhet vagy látása homályossá válhat. Ilyenkor ne vezessen, illetve ne használjon gépeket, amíg nem érzi ismét jól magát.</w:t>
      </w:r>
    </w:p>
    <w:p w14:paraId="3C61C27A" w14:textId="77777777" w:rsidR="005A78EA" w:rsidRPr="00556B9B" w:rsidRDefault="005A78EA" w:rsidP="005A78EA">
      <w:pPr>
        <w:spacing w:line="240" w:lineRule="auto"/>
        <w:ind w:right="-29"/>
        <w:rPr>
          <w:color w:val="000000"/>
          <w:lang w:val="hu-HU"/>
        </w:rPr>
      </w:pPr>
    </w:p>
    <w:p w14:paraId="0D6E9352" w14:textId="77777777" w:rsidR="005A78EA" w:rsidRPr="00556B9B" w:rsidRDefault="005A78EA" w:rsidP="005A78EA">
      <w:pPr>
        <w:spacing w:line="240" w:lineRule="auto"/>
        <w:ind w:right="-2"/>
        <w:rPr>
          <w:color w:val="000000"/>
          <w:lang w:val="hu-HU"/>
        </w:rPr>
      </w:pPr>
    </w:p>
    <w:p w14:paraId="661671D3" w14:textId="77777777" w:rsidR="005A78EA" w:rsidRPr="00556B9B" w:rsidRDefault="005A78EA" w:rsidP="00226437">
      <w:pPr>
        <w:keepNext/>
        <w:spacing w:line="240" w:lineRule="auto"/>
        <w:ind w:left="567" w:right="-29" w:hanging="567"/>
        <w:rPr>
          <w:b/>
          <w:color w:val="000000"/>
          <w:lang w:val="hu-HU"/>
        </w:rPr>
      </w:pPr>
      <w:r w:rsidRPr="00556B9B">
        <w:rPr>
          <w:b/>
          <w:color w:val="000000"/>
          <w:lang w:val="hu-HU"/>
        </w:rPr>
        <w:t>3.</w:t>
      </w:r>
      <w:r w:rsidRPr="00556B9B">
        <w:rPr>
          <w:b/>
          <w:color w:val="000000"/>
          <w:lang w:val="hu-HU"/>
        </w:rPr>
        <w:tab/>
      </w:r>
      <w:r w:rsidR="00731BCD" w:rsidRPr="00556B9B">
        <w:rPr>
          <w:b/>
          <w:color w:val="000000"/>
          <w:lang w:val="hu-HU"/>
        </w:rPr>
        <w:t>Hogyan kell szedni a Glivec</w:t>
      </w:r>
      <w:r w:rsidR="00731BCD" w:rsidRPr="00556B9B">
        <w:rPr>
          <w:b/>
          <w:color w:val="000000"/>
          <w:lang w:val="hu-HU"/>
        </w:rPr>
        <w:noBreakHyphen/>
        <w:t>et?</w:t>
      </w:r>
    </w:p>
    <w:p w14:paraId="06199EF9" w14:textId="77777777" w:rsidR="005A78EA" w:rsidRPr="00556B9B" w:rsidRDefault="005A78EA" w:rsidP="00226437">
      <w:pPr>
        <w:keepNext/>
        <w:spacing w:line="240" w:lineRule="auto"/>
        <w:ind w:left="567" w:right="-2" w:hanging="567"/>
        <w:rPr>
          <w:color w:val="000000"/>
          <w:lang w:val="hu-HU"/>
        </w:rPr>
      </w:pPr>
    </w:p>
    <w:p w14:paraId="1FF4587A" w14:textId="77777777" w:rsidR="005A78EA" w:rsidRPr="00556B9B" w:rsidRDefault="005A78EA" w:rsidP="005A78EA">
      <w:pPr>
        <w:spacing w:line="240" w:lineRule="auto"/>
        <w:ind w:right="-2"/>
        <w:rPr>
          <w:color w:val="000000"/>
          <w:lang w:val="hu-HU"/>
        </w:rPr>
      </w:pPr>
      <w:r w:rsidRPr="00556B9B">
        <w:rPr>
          <w:color w:val="000000"/>
          <w:lang w:val="hu-HU"/>
        </w:rPr>
        <w:t>Kezelőorvosa Glivec</w:t>
      </w:r>
      <w:r w:rsidRPr="00556B9B">
        <w:rPr>
          <w:color w:val="000000"/>
          <w:lang w:val="hu-HU"/>
        </w:rPr>
        <w:noBreakHyphen/>
        <w:t>et rendelt Önnek, mert Ön súlyos betegségben szenved. A Glivec segíthet Önnek a betegséggel szembeni küzdelemben.</w:t>
      </w:r>
    </w:p>
    <w:p w14:paraId="7BF305A0" w14:textId="77777777" w:rsidR="005A78EA" w:rsidRPr="00556B9B" w:rsidRDefault="005A78EA" w:rsidP="005A78EA">
      <w:pPr>
        <w:spacing w:line="240" w:lineRule="auto"/>
        <w:ind w:right="-2"/>
        <w:rPr>
          <w:color w:val="000000"/>
          <w:lang w:val="hu-HU"/>
        </w:rPr>
      </w:pPr>
    </w:p>
    <w:p w14:paraId="352BCC01" w14:textId="77777777" w:rsidR="005A78EA" w:rsidRPr="00556B9B" w:rsidRDefault="005A78EA" w:rsidP="005A78EA">
      <w:pPr>
        <w:spacing w:line="240" w:lineRule="auto"/>
        <w:ind w:right="-2"/>
        <w:rPr>
          <w:color w:val="000000"/>
          <w:lang w:val="hu-HU"/>
        </w:rPr>
      </w:pPr>
      <w:r w:rsidRPr="00556B9B">
        <w:rPr>
          <w:color w:val="000000"/>
          <w:lang w:val="hu-HU"/>
        </w:rPr>
        <w:t xml:space="preserve">Azonban, </w:t>
      </w:r>
      <w:r w:rsidRPr="00556B9B">
        <w:rPr>
          <w:noProof/>
          <w:color w:val="000000"/>
          <w:lang w:val="hu-HU"/>
        </w:rPr>
        <w:t xml:space="preserve">a </w:t>
      </w:r>
      <w:r w:rsidR="00731BCD" w:rsidRPr="00556B9B">
        <w:rPr>
          <w:noProof/>
          <w:color w:val="000000"/>
          <w:lang w:val="hu-HU"/>
        </w:rPr>
        <w:t>gyógyszert</w:t>
      </w:r>
      <w:r w:rsidRPr="00556B9B">
        <w:rPr>
          <w:noProof/>
          <w:color w:val="000000"/>
          <w:lang w:val="hu-HU"/>
        </w:rPr>
        <w:t xml:space="preserve"> mindig </w:t>
      </w:r>
      <w:r w:rsidR="00731BCD" w:rsidRPr="00556B9B">
        <w:rPr>
          <w:noProof/>
          <w:color w:val="000000"/>
          <w:lang w:val="hu-HU"/>
        </w:rPr>
        <w:t xml:space="preserve">a </w:t>
      </w:r>
      <w:r w:rsidR="00731BCD" w:rsidRPr="00556B9B">
        <w:rPr>
          <w:noProof/>
          <w:szCs w:val="24"/>
          <w:lang w:val="hu-HU"/>
        </w:rPr>
        <w:t>kezelőorvosa vagy gyógyszerésze</w:t>
      </w:r>
      <w:r w:rsidR="00731BCD" w:rsidRPr="00556B9B">
        <w:rPr>
          <w:noProof/>
          <w:color w:val="000000"/>
          <w:lang w:val="hu-HU"/>
        </w:rPr>
        <w:t xml:space="preserve"> </w:t>
      </w:r>
      <w:r w:rsidRPr="00556B9B">
        <w:rPr>
          <w:noProof/>
          <w:color w:val="000000"/>
          <w:lang w:val="hu-HU"/>
        </w:rPr>
        <w:t xml:space="preserve">által elmondottaknak megfelelően szedje. Fontos, hogy ezt mindaddig tegye, amíg kezelőorvosa előírja. </w:t>
      </w:r>
      <w:r w:rsidRPr="00556B9B">
        <w:rPr>
          <w:color w:val="000000"/>
          <w:lang w:val="hu-HU"/>
        </w:rPr>
        <w:t xml:space="preserve">Amennyiben nem biztos az adagolást illetően, kérdezze meg </w:t>
      </w:r>
      <w:r w:rsidR="00731BCD" w:rsidRPr="00556B9B">
        <w:rPr>
          <w:color w:val="000000"/>
          <w:lang w:val="hu-HU"/>
        </w:rPr>
        <w:t>kezelő</w:t>
      </w:r>
      <w:r w:rsidRPr="00556B9B">
        <w:rPr>
          <w:color w:val="000000"/>
          <w:lang w:val="hu-HU"/>
        </w:rPr>
        <w:t>orvosát vagy gyógyszerészét.</w:t>
      </w:r>
    </w:p>
    <w:p w14:paraId="6C3E0605" w14:textId="77777777" w:rsidR="005A78EA" w:rsidRPr="00556B9B" w:rsidRDefault="005A78EA" w:rsidP="005A78EA">
      <w:pPr>
        <w:spacing w:line="240" w:lineRule="auto"/>
        <w:ind w:right="-2"/>
        <w:rPr>
          <w:color w:val="000000"/>
          <w:lang w:val="hu-HU"/>
        </w:rPr>
      </w:pPr>
    </w:p>
    <w:p w14:paraId="2279EED8" w14:textId="73B1FB86" w:rsidR="005A78EA" w:rsidRPr="00556B9B" w:rsidRDefault="005A78EA" w:rsidP="005A78EA">
      <w:pPr>
        <w:spacing w:line="240" w:lineRule="auto"/>
        <w:ind w:right="-2"/>
        <w:rPr>
          <w:color w:val="000000"/>
          <w:lang w:val="hu-HU"/>
        </w:rPr>
      </w:pPr>
      <w:r w:rsidRPr="00556B9B">
        <w:rPr>
          <w:color w:val="000000"/>
          <w:lang w:val="hu-HU"/>
        </w:rPr>
        <w:t xml:space="preserve">Ne hagyja abba a Glivec szedését, csak </w:t>
      </w:r>
      <w:r w:rsidR="00800C7B">
        <w:rPr>
          <w:color w:val="000000"/>
          <w:lang w:val="hu-HU"/>
        </w:rPr>
        <w:t>ha a kezelőo</w:t>
      </w:r>
      <w:r w:rsidRPr="00556B9B">
        <w:rPr>
          <w:color w:val="000000"/>
          <w:lang w:val="hu-HU"/>
        </w:rPr>
        <w:t>rvosa úgy rendelkezik. Ha nem tudja a gyógyszert az orvos által előír</w:t>
      </w:r>
      <w:r w:rsidR="0045121B" w:rsidRPr="00556B9B">
        <w:rPr>
          <w:color w:val="000000"/>
          <w:lang w:val="hu-HU"/>
        </w:rPr>
        <w:t>taknak megfelelően szedni, vagy</w:t>
      </w:r>
      <w:r w:rsidRPr="00556B9B">
        <w:rPr>
          <w:color w:val="000000"/>
          <w:lang w:val="hu-HU"/>
        </w:rPr>
        <w:t xml:space="preserve"> ha úgy érzi, hogy már nincs rá szüksége, azonnal értesítse </w:t>
      </w:r>
      <w:r w:rsidR="00800C7B">
        <w:rPr>
          <w:color w:val="000000"/>
          <w:lang w:val="hu-HU"/>
        </w:rPr>
        <w:t>kezelő</w:t>
      </w:r>
      <w:r w:rsidRPr="00556B9B">
        <w:rPr>
          <w:color w:val="000000"/>
          <w:lang w:val="hu-HU"/>
        </w:rPr>
        <w:t>orvosát.</w:t>
      </w:r>
    </w:p>
    <w:p w14:paraId="3ACCA637" w14:textId="77777777" w:rsidR="005A78EA" w:rsidRPr="00556B9B" w:rsidRDefault="005A78EA" w:rsidP="005A78EA">
      <w:pPr>
        <w:spacing w:line="240" w:lineRule="auto"/>
        <w:ind w:right="-2"/>
        <w:rPr>
          <w:color w:val="000000"/>
          <w:lang w:val="hu-HU"/>
        </w:rPr>
      </w:pPr>
    </w:p>
    <w:p w14:paraId="58116C56" w14:textId="77777777" w:rsidR="005A78EA" w:rsidRPr="009C21EB" w:rsidRDefault="005A78EA" w:rsidP="00226437">
      <w:pPr>
        <w:keepNext/>
        <w:spacing w:line="240" w:lineRule="auto"/>
        <w:ind w:right="-2"/>
        <w:rPr>
          <w:b/>
          <w:color w:val="000000"/>
          <w:lang w:val="hu-HU"/>
        </w:rPr>
      </w:pPr>
      <w:r w:rsidRPr="009C21EB">
        <w:rPr>
          <w:b/>
          <w:color w:val="000000"/>
          <w:lang w:val="hu-HU"/>
        </w:rPr>
        <w:t>Mennyi</w:t>
      </w:r>
      <w:r w:rsidR="00731BCD" w:rsidRPr="009C21EB">
        <w:rPr>
          <w:b/>
          <w:color w:val="000000"/>
          <w:lang w:val="hu-HU"/>
        </w:rPr>
        <w:t xml:space="preserve"> Glivec</w:t>
      </w:r>
      <w:r w:rsidR="00731BCD" w:rsidRPr="009C21EB">
        <w:rPr>
          <w:b/>
          <w:color w:val="000000"/>
          <w:lang w:val="hu-HU"/>
        </w:rPr>
        <w:noBreakHyphen/>
        <w:t>et</w:t>
      </w:r>
      <w:r w:rsidRPr="009C21EB">
        <w:rPr>
          <w:b/>
          <w:color w:val="000000"/>
          <w:lang w:val="hu-HU"/>
        </w:rPr>
        <w:t xml:space="preserve"> kell bevenni?</w:t>
      </w:r>
    </w:p>
    <w:p w14:paraId="2F760FB6" w14:textId="77777777" w:rsidR="005A78EA" w:rsidRPr="009C21EB" w:rsidRDefault="005A78EA" w:rsidP="00226437">
      <w:pPr>
        <w:keepNext/>
        <w:spacing w:line="240" w:lineRule="auto"/>
        <w:ind w:right="-2"/>
        <w:rPr>
          <w:color w:val="000000"/>
          <w:lang w:val="hu-HU"/>
        </w:rPr>
      </w:pPr>
    </w:p>
    <w:p w14:paraId="5F45853E" w14:textId="77777777" w:rsidR="005A78EA" w:rsidRPr="009C21EB" w:rsidRDefault="005A78EA" w:rsidP="00226437">
      <w:pPr>
        <w:keepNext/>
        <w:spacing w:line="240" w:lineRule="auto"/>
        <w:ind w:right="-2"/>
        <w:rPr>
          <w:b/>
          <w:color w:val="000000"/>
          <w:lang w:val="hu-HU"/>
        </w:rPr>
      </w:pPr>
      <w:r w:rsidRPr="009C21EB">
        <w:rPr>
          <w:b/>
          <w:color w:val="000000"/>
          <w:lang w:val="hu-HU"/>
        </w:rPr>
        <w:t>Alkalmazása felnőtteknél</w:t>
      </w:r>
    </w:p>
    <w:p w14:paraId="09158A59" w14:textId="0E0B44DC" w:rsidR="005A78EA" w:rsidRPr="009C21EB" w:rsidRDefault="00ED04A5" w:rsidP="00226437">
      <w:pPr>
        <w:keepNext/>
        <w:spacing w:line="240" w:lineRule="auto"/>
        <w:ind w:right="-2"/>
        <w:rPr>
          <w:color w:val="000000"/>
          <w:lang w:val="hu-HU"/>
        </w:rPr>
      </w:pPr>
      <w:r w:rsidRPr="009C21EB">
        <w:rPr>
          <w:color w:val="000000"/>
          <w:lang w:val="hu-HU"/>
        </w:rPr>
        <w:t>Kezelőo</w:t>
      </w:r>
      <w:r w:rsidR="005A78EA" w:rsidRPr="009C21EB">
        <w:rPr>
          <w:color w:val="000000"/>
          <w:lang w:val="hu-HU"/>
        </w:rPr>
        <w:t>rvosa megmondja, hogy pontosan hány Glivec tablettát kell bevennie.</w:t>
      </w:r>
    </w:p>
    <w:p w14:paraId="1A691E40" w14:textId="77777777" w:rsidR="005A78EA" w:rsidRPr="009C21EB" w:rsidRDefault="005A78EA" w:rsidP="00226437">
      <w:pPr>
        <w:keepNext/>
        <w:spacing w:line="240" w:lineRule="auto"/>
        <w:ind w:right="-2"/>
        <w:rPr>
          <w:color w:val="000000"/>
          <w:lang w:val="hu-HU"/>
        </w:rPr>
      </w:pPr>
    </w:p>
    <w:p w14:paraId="4DBA2D47" w14:textId="77777777" w:rsidR="005A78EA" w:rsidRPr="00556B9B" w:rsidRDefault="005A78EA" w:rsidP="00226437">
      <w:pPr>
        <w:keepNext/>
        <w:numPr>
          <w:ilvl w:val="0"/>
          <w:numId w:val="13"/>
        </w:numPr>
        <w:spacing w:line="240" w:lineRule="auto"/>
        <w:ind w:right="-2"/>
        <w:rPr>
          <w:b/>
          <w:color w:val="000000"/>
          <w:lang w:val="hu-HU"/>
        </w:rPr>
      </w:pPr>
      <w:r w:rsidRPr="009C21EB">
        <w:rPr>
          <w:b/>
          <w:color w:val="000000"/>
          <w:lang w:val="hu-HU"/>
        </w:rPr>
        <w:t>Ha Önt CML miatt</w:t>
      </w:r>
      <w:r w:rsidRPr="00556B9B">
        <w:rPr>
          <w:b/>
          <w:color w:val="000000"/>
          <w:lang w:val="hu-HU"/>
        </w:rPr>
        <w:t xml:space="preserve"> kezelik:</w:t>
      </w:r>
    </w:p>
    <w:p w14:paraId="1A7915FC" w14:textId="30B9ACA3" w:rsidR="005A78EA" w:rsidRPr="00556B9B" w:rsidRDefault="005A78EA" w:rsidP="00D847D4">
      <w:pPr>
        <w:keepNext/>
        <w:spacing w:line="240" w:lineRule="auto"/>
        <w:ind w:left="600" w:right="-2"/>
        <w:rPr>
          <w:color w:val="000000"/>
          <w:lang w:val="hu-HU"/>
        </w:rPr>
      </w:pPr>
      <w:r w:rsidRPr="00556B9B">
        <w:rPr>
          <w:color w:val="000000"/>
          <w:lang w:val="hu-HU"/>
        </w:rPr>
        <w:t>Az Ön állapotától függően a szokásos kezdő</w:t>
      </w:r>
      <w:r w:rsidR="007E1021">
        <w:rPr>
          <w:color w:val="000000"/>
          <w:lang w:val="hu-HU"/>
        </w:rPr>
        <w:t xml:space="preserve"> </w:t>
      </w:r>
      <w:r w:rsidRPr="00556B9B">
        <w:rPr>
          <w:color w:val="000000"/>
          <w:lang w:val="hu-HU"/>
        </w:rPr>
        <w:t>adag vagy 400 mg vagy 600 mg</w:t>
      </w:r>
      <w:r w:rsidR="00892724">
        <w:rPr>
          <w:color w:val="000000"/>
          <w:lang w:val="hu-HU"/>
        </w:rPr>
        <w:t xml:space="preserve">, amelyet naponta </w:t>
      </w:r>
      <w:r w:rsidR="00892724" w:rsidRPr="00892724">
        <w:rPr>
          <w:b/>
          <w:color w:val="000000"/>
          <w:lang w:val="hu-HU"/>
        </w:rPr>
        <w:t>egy alkalommal</w:t>
      </w:r>
      <w:r w:rsidR="00892724">
        <w:rPr>
          <w:color w:val="000000"/>
          <w:lang w:val="hu-HU"/>
        </w:rPr>
        <w:t xml:space="preserve"> kell bevenni.</w:t>
      </w:r>
    </w:p>
    <w:p w14:paraId="324D1986" w14:textId="77777777" w:rsidR="005A78EA" w:rsidRPr="00556B9B" w:rsidRDefault="005A78EA" w:rsidP="005A78EA">
      <w:pPr>
        <w:spacing w:line="240" w:lineRule="auto"/>
        <w:ind w:right="-2"/>
        <w:rPr>
          <w:color w:val="000000"/>
          <w:lang w:val="hu-HU"/>
        </w:rPr>
      </w:pPr>
    </w:p>
    <w:p w14:paraId="52D8ED44" w14:textId="77777777" w:rsidR="005A78EA" w:rsidRPr="00556B9B" w:rsidRDefault="005A78EA" w:rsidP="00226437">
      <w:pPr>
        <w:keepNext/>
        <w:numPr>
          <w:ilvl w:val="0"/>
          <w:numId w:val="15"/>
        </w:numPr>
        <w:spacing w:line="240" w:lineRule="auto"/>
        <w:ind w:right="-2"/>
        <w:rPr>
          <w:b/>
          <w:color w:val="000000"/>
          <w:lang w:val="hu-HU"/>
        </w:rPr>
      </w:pPr>
      <w:r w:rsidRPr="00556B9B">
        <w:rPr>
          <w:b/>
          <w:color w:val="000000"/>
          <w:lang w:val="hu-HU"/>
        </w:rPr>
        <w:lastRenderedPageBreak/>
        <w:t>Ha Önt GIST miatt kezelik:</w:t>
      </w:r>
    </w:p>
    <w:p w14:paraId="67131D65" w14:textId="5E20AD40" w:rsidR="005A78EA" w:rsidRPr="00556B9B" w:rsidRDefault="005A78EA" w:rsidP="005A78EA">
      <w:pPr>
        <w:spacing w:line="240" w:lineRule="auto"/>
        <w:ind w:left="600" w:right="-2"/>
        <w:rPr>
          <w:color w:val="000000"/>
          <w:lang w:val="hu-HU"/>
        </w:rPr>
      </w:pPr>
      <w:r w:rsidRPr="00556B9B">
        <w:rPr>
          <w:color w:val="000000"/>
          <w:lang w:val="hu-HU"/>
        </w:rPr>
        <w:t>A kezdő</w:t>
      </w:r>
      <w:r w:rsidR="00800C7B">
        <w:rPr>
          <w:color w:val="000000"/>
          <w:lang w:val="hu-HU"/>
        </w:rPr>
        <w:t xml:space="preserve"> </w:t>
      </w:r>
      <w:r w:rsidRPr="00556B9B">
        <w:rPr>
          <w:color w:val="000000"/>
          <w:lang w:val="hu-HU"/>
        </w:rPr>
        <w:t xml:space="preserve">dózis 400 mg, amelyet naponta </w:t>
      </w:r>
      <w:r w:rsidRPr="00556B9B">
        <w:rPr>
          <w:b/>
          <w:color w:val="000000"/>
          <w:lang w:val="hu-HU"/>
        </w:rPr>
        <w:t>egy alkalommal</w:t>
      </w:r>
      <w:r w:rsidRPr="00556B9B">
        <w:rPr>
          <w:color w:val="000000"/>
          <w:lang w:val="hu-HU"/>
        </w:rPr>
        <w:t xml:space="preserve"> kell bevenni.</w:t>
      </w:r>
    </w:p>
    <w:p w14:paraId="635BA7C5" w14:textId="77777777" w:rsidR="005A78EA" w:rsidRPr="00556B9B" w:rsidRDefault="005A78EA" w:rsidP="005A78EA">
      <w:pPr>
        <w:spacing w:line="240" w:lineRule="auto"/>
        <w:ind w:right="-2"/>
        <w:rPr>
          <w:color w:val="000000"/>
          <w:lang w:val="hu-HU"/>
        </w:rPr>
      </w:pPr>
    </w:p>
    <w:p w14:paraId="4E4028FA" w14:textId="71FECFDE" w:rsidR="005A78EA" w:rsidRPr="00556B9B" w:rsidRDefault="005A78EA" w:rsidP="005A78EA">
      <w:pPr>
        <w:spacing w:line="240" w:lineRule="auto"/>
        <w:ind w:right="-2"/>
        <w:rPr>
          <w:color w:val="000000"/>
          <w:lang w:val="hu-HU"/>
        </w:rPr>
      </w:pPr>
      <w:r w:rsidRPr="00556B9B">
        <w:rPr>
          <w:color w:val="000000"/>
          <w:lang w:val="hu-HU"/>
        </w:rPr>
        <w:t>Ha Önnek CML</w:t>
      </w:r>
      <w:r w:rsidRPr="00556B9B">
        <w:rPr>
          <w:color w:val="000000"/>
          <w:lang w:val="hu-HU"/>
        </w:rPr>
        <w:noBreakHyphen/>
        <w:t>je vagy GIST</w:t>
      </w:r>
      <w:r w:rsidRPr="00556B9B">
        <w:rPr>
          <w:color w:val="000000"/>
          <w:lang w:val="hu-HU"/>
        </w:rPr>
        <w:noBreakHyphen/>
        <w:t xml:space="preserve">je van, </w:t>
      </w:r>
      <w:r w:rsidR="00800C7B">
        <w:rPr>
          <w:color w:val="000000"/>
          <w:lang w:val="hu-HU"/>
        </w:rPr>
        <w:t>kezelő</w:t>
      </w:r>
      <w:r w:rsidRPr="00556B9B">
        <w:rPr>
          <w:color w:val="000000"/>
          <w:lang w:val="hu-HU"/>
        </w:rPr>
        <w:t xml:space="preserve">orvosa növelheti vagy csökkentheti a dózist attól függően, hogy Ön miként reagál a kezelésre. Amennyiben az Ön napi adagja 800 mg, vegyen be </w:t>
      </w:r>
      <w:r w:rsidR="00D91E0B">
        <w:rPr>
          <w:color w:val="000000"/>
          <w:lang w:val="hu-HU"/>
        </w:rPr>
        <w:t>400 mg</w:t>
      </w:r>
      <w:r w:rsidR="00D91E0B">
        <w:rPr>
          <w:color w:val="000000"/>
          <w:lang w:val="hu-HU"/>
        </w:rPr>
        <w:noBreakHyphen/>
        <w:t>ot</w:t>
      </w:r>
      <w:r w:rsidRPr="00556B9B">
        <w:rPr>
          <w:color w:val="000000"/>
          <w:lang w:val="hu-HU"/>
        </w:rPr>
        <w:t xml:space="preserve"> reggel és </w:t>
      </w:r>
      <w:r w:rsidR="00D91E0B">
        <w:rPr>
          <w:color w:val="000000"/>
          <w:lang w:val="hu-HU"/>
        </w:rPr>
        <w:t>400 mg</w:t>
      </w:r>
      <w:r w:rsidR="00D91E0B">
        <w:rPr>
          <w:color w:val="000000"/>
          <w:lang w:val="hu-HU"/>
        </w:rPr>
        <w:noBreakHyphen/>
        <w:t>ot</w:t>
      </w:r>
      <w:r w:rsidRPr="00556B9B">
        <w:rPr>
          <w:color w:val="000000"/>
          <w:lang w:val="hu-HU"/>
        </w:rPr>
        <w:t xml:space="preserve"> este.</w:t>
      </w:r>
    </w:p>
    <w:p w14:paraId="0E70D4B1" w14:textId="77777777" w:rsidR="005A78EA" w:rsidRPr="00556B9B" w:rsidRDefault="005A78EA" w:rsidP="005A78EA">
      <w:pPr>
        <w:spacing w:line="240" w:lineRule="auto"/>
        <w:ind w:right="-2"/>
        <w:rPr>
          <w:color w:val="000000"/>
          <w:lang w:val="hu-HU"/>
        </w:rPr>
      </w:pPr>
    </w:p>
    <w:p w14:paraId="199C43EC" w14:textId="77777777" w:rsidR="005A78EA" w:rsidRPr="00556B9B" w:rsidRDefault="005A78EA" w:rsidP="00226437">
      <w:pPr>
        <w:keepNext/>
        <w:numPr>
          <w:ilvl w:val="0"/>
          <w:numId w:val="31"/>
        </w:numPr>
        <w:spacing w:line="240" w:lineRule="auto"/>
        <w:ind w:right="-2"/>
        <w:rPr>
          <w:b/>
          <w:color w:val="000000"/>
          <w:lang w:val="hu-HU"/>
        </w:rPr>
      </w:pPr>
      <w:r w:rsidRPr="00556B9B">
        <w:rPr>
          <w:b/>
          <w:color w:val="000000"/>
          <w:lang w:val="hu-HU"/>
        </w:rPr>
        <w:t xml:space="preserve">Ha Önt Ph-pozitív </w:t>
      </w:r>
      <w:smartTag w:uri="urn:schemas-microsoft-com:office:smarttags" w:element="stockticker">
        <w:r w:rsidRPr="00556B9B">
          <w:rPr>
            <w:b/>
            <w:color w:val="000000"/>
            <w:lang w:val="hu-HU"/>
          </w:rPr>
          <w:t>ALL</w:t>
        </w:r>
      </w:smartTag>
      <w:r w:rsidRPr="00556B9B">
        <w:rPr>
          <w:b/>
          <w:color w:val="000000"/>
          <w:lang w:val="hu-HU"/>
        </w:rPr>
        <w:t xml:space="preserve"> miatt kezelik:</w:t>
      </w:r>
    </w:p>
    <w:p w14:paraId="1AE6825D" w14:textId="57795EC0" w:rsidR="005A78EA" w:rsidRPr="00556B9B" w:rsidRDefault="005A78EA" w:rsidP="005A78EA">
      <w:pPr>
        <w:spacing w:line="240" w:lineRule="auto"/>
        <w:ind w:left="600" w:right="-2"/>
        <w:rPr>
          <w:color w:val="000000"/>
          <w:lang w:val="hu-HU"/>
        </w:rPr>
      </w:pPr>
      <w:r w:rsidRPr="00556B9B">
        <w:rPr>
          <w:color w:val="000000"/>
          <w:lang w:val="hu-HU"/>
        </w:rPr>
        <w:t>A kezdő</w:t>
      </w:r>
      <w:r w:rsidR="00800C7B">
        <w:rPr>
          <w:color w:val="000000"/>
          <w:lang w:val="hu-HU"/>
        </w:rPr>
        <w:t xml:space="preserve"> </w:t>
      </w:r>
      <w:r w:rsidRPr="00556B9B">
        <w:rPr>
          <w:color w:val="000000"/>
          <w:lang w:val="hu-HU"/>
        </w:rPr>
        <w:t xml:space="preserve">dózis 600 mg, amelyet naponta </w:t>
      </w:r>
      <w:r w:rsidRPr="00556B9B">
        <w:rPr>
          <w:b/>
          <w:color w:val="000000"/>
          <w:lang w:val="hu-HU"/>
        </w:rPr>
        <w:t>egy alkalommal</w:t>
      </w:r>
      <w:r w:rsidRPr="00556B9B">
        <w:rPr>
          <w:color w:val="000000"/>
          <w:lang w:val="hu-HU"/>
        </w:rPr>
        <w:t xml:space="preserve"> kell bevenni.</w:t>
      </w:r>
    </w:p>
    <w:p w14:paraId="1823E428" w14:textId="77777777" w:rsidR="005A78EA" w:rsidRPr="00556B9B" w:rsidRDefault="005A78EA" w:rsidP="005A78EA">
      <w:pPr>
        <w:spacing w:line="240" w:lineRule="auto"/>
        <w:ind w:right="-2"/>
        <w:rPr>
          <w:color w:val="000000"/>
          <w:lang w:val="hu-HU"/>
        </w:rPr>
      </w:pPr>
    </w:p>
    <w:p w14:paraId="33F4991D" w14:textId="77777777" w:rsidR="005A78EA" w:rsidRPr="00556B9B" w:rsidRDefault="005A78EA" w:rsidP="00226437">
      <w:pPr>
        <w:keepNext/>
        <w:numPr>
          <w:ilvl w:val="0"/>
          <w:numId w:val="31"/>
        </w:numPr>
        <w:spacing w:line="240" w:lineRule="auto"/>
        <w:ind w:right="-2"/>
        <w:rPr>
          <w:b/>
          <w:color w:val="000000"/>
          <w:lang w:val="hu-HU"/>
        </w:rPr>
      </w:pPr>
      <w:r w:rsidRPr="00556B9B">
        <w:rPr>
          <w:b/>
          <w:color w:val="000000"/>
          <w:lang w:val="hu-HU"/>
        </w:rPr>
        <w:t xml:space="preserve">Ha Önt </w:t>
      </w:r>
      <w:smartTag w:uri="urn:schemas-microsoft-com:office:smarttags" w:element="stockticker">
        <w:r w:rsidRPr="00556B9B">
          <w:rPr>
            <w:b/>
            <w:color w:val="000000"/>
            <w:lang w:val="hu-HU"/>
          </w:rPr>
          <w:t>MDS</w:t>
        </w:r>
      </w:smartTag>
      <w:r w:rsidRPr="00556B9B">
        <w:rPr>
          <w:b/>
          <w:color w:val="000000"/>
          <w:lang w:val="hu-HU"/>
        </w:rPr>
        <w:t>/MPD miatt kezelik:</w:t>
      </w:r>
    </w:p>
    <w:p w14:paraId="49A2CB6C" w14:textId="6634C330" w:rsidR="005A78EA" w:rsidRPr="00556B9B" w:rsidRDefault="005A78EA" w:rsidP="005A78EA">
      <w:pPr>
        <w:spacing w:line="240" w:lineRule="auto"/>
        <w:ind w:left="600" w:right="-2"/>
        <w:rPr>
          <w:color w:val="000000"/>
          <w:lang w:val="hu-HU"/>
        </w:rPr>
      </w:pPr>
      <w:r w:rsidRPr="00556B9B">
        <w:rPr>
          <w:color w:val="000000"/>
          <w:lang w:val="hu-HU"/>
        </w:rPr>
        <w:t>A kezdő</w:t>
      </w:r>
      <w:r w:rsidR="000D6DF8">
        <w:rPr>
          <w:color w:val="000000"/>
          <w:lang w:val="hu-HU"/>
        </w:rPr>
        <w:t xml:space="preserve"> </w:t>
      </w:r>
      <w:r w:rsidRPr="00556B9B">
        <w:rPr>
          <w:color w:val="000000"/>
          <w:lang w:val="hu-HU"/>
        </w:rPr>
        <w:t xml:space="preserve">dózis 400 mg, amelyet naponta </w:t>
      </w:r>
      <w:r w:rsidRPr="00556B9B">
        <w:rPr>
          <w:b/>
          <w:color w:val="000000"/>
          <w:lang w:val="hu-HU"/>
        </w:rPr>
        <w:t xml:space="preserve">egy alkalommal </w:t>
      </w:r>
      <w:r w:rsidRPr="00556B9B">
        <w:rPr>
          <w:color w:val="000000"/>
          <w:lang w:val="hu-HU"/>
        </w:rPr>
        <w:t>kell bevenni.</w:t>
      </w:r>
    </w:p>
    <w:p w14:paraId="0562B891" w14:textId="77777777" w:rsidR="005A78EA" w:rsidRPr="00556B9B" w:rsidRDefault="005A78EA" w:rsidP="005A78EA">
      <w:pPr>
        <w:spacing w:line="240" w:lineRule="auto"/>
        <w:ind w:right="-2"/>
        <w:rPr>
          <w:color w:val="000000"/>
          <w:lang w:val="hu-HU"/>
        </w:rPr>
      </w:pPr>
    </w:p>
    <w:p w14:paraId="374F4D58" w14:textId="77777777" w:rsidR="005A78EA" w:rsidRPr="00556B9B" w:rsidRDefault="005A78EA" w:rsidP="00226437">
      <w:pPr>
        <w:keepNext/>
        <w:numPr>
          <w:ilvl w:val="0"/>
          <w:numId w:val="31"/>
        </w:numPr>
        <w:spacing w:line="240" w:lineRule="auto"/>
        <w:ind w:right="-2"/>
        <w:rPr>
          <w:b/>
          <w:color w:val="000000"/>
          <w:lang w:val="hu-HU"/>
        </w:rPr>
      </w:pPr>
      <w:r w:rsidRPr="00556B9B">
        <w:rPr>
          <w:b/>
          <w:color w:val="000000"/>
          <w:lang w:val="hu-HU"/>
        </w:rPr>
        <w:t>Ha Önt HES/</w:t>
      </w:r>
      <w:smartTag w:uri="urn:schemas-microsoft-com:office:smarttags" w:element="stockticker">
        <w:r w:rsidRPr="00556B9B">
          <w:rPr>
            <w:b/>
            <w:color w:val="000000"/>
            <w:lang w:val="hu-HU"/>
          </w:rPr>
          <w:t>CEL</w:t>
        </w:r>
      </w:smartTag>
      <w:r w:rsidRPr="00556B9B">
        <w:rPr>
          <w:b/>
          <w:color w:val="000000"/>
          <w:lang w:val="hu-HU"/>
        </w:rPr>
        <w:t xml:space="preserve"> miatt kezelik:</w:t>
      </w:r>
    </w:p>
    <w:p w14:paraId="78570B6C" w14:textId="20FFEEEF" w:rsidR="005A78EA" w:rsidRPr="00556B9B" w:rsidRDefault="005A78EA" w:rsidP="005A78EA">
      <w:pPr>
        <w:spacing w:line="240" w:lineRule="auto"/>
        <w:ind w:left="600" w:right="-2"/>
        <w:rPr>
          <w:color w:val="000000"/>
          <w:lang w:val="hu-HU"/>
        </w:rPr>
      </w:pPr>
      <w:r w:rsidRPr="00556B9B">
        <w:rPr>
          <w:color w:val="000000"/>
          <w:lang w:val="hu-HU"/>
        </w:rPr>
        <w:t>A kezdő</w:t>
      </w:r>
      <w:r w:rsidR="000D6DF8">
        <w:rPr>
          <w:color w:val="000000"/>
          <w:lang w:val="hu-HU"/>
        </w:rPr>
        <w:t xml:space="preserve"> </w:t>
      </w:r>
      <w:r w:rsidRPr="00556B9B">
        <w:rPr>
          <w:color w:val="000000"/>
          <w:lang w:val="hu-HU"/>
        </w:rPr>
        <w:t xml:space="preserve">dózis 100 mg, amelyet naponta </w:t>
      </w:r>
      <w:r w:rsidRPr="00556B9B">
        <w:rPr>
          <w:b/>
          <w:color w:val="000000"/>
          <w:lang w:val="hu-HU"/>
        </w:rPr>
        <w:t xml:space="preserve">egy alkalommal </w:t>
      </w:r>
      <w:r w:rsidRPr="00556B9B">
        <w:rPr>
          <w:color w:val="000000"/>
          <w:lang w:val="hu-HU"/>
        </w:rPr>
        <w:t>kell bevenni. Attól függően, hogy betegsége miként reagál a kezelésre, orvosa 400 mg</w:t>
      </w:r>
      <w:r w:rsidRPr="00556B9B">
        <w:rPr>
          <w:color w:val="000000"/>
          <w:lang w:val="hu-HU"/>
        </w:rPr>
        <w:noBreakHyphen/>
        <w:t>ra növelheti az adagot, melyet naponta egy alkalommal kell bevenni.</w:t>
      </w:r>
    </w:p>
    <w:p w14:paraId="3E5E2200" w14:textId="77777777" w:rsidR="005A78EA" w:rsidRPr="00556B9B" w:rsidRDefault="005A78EA" w:rsidP="005A78EA">
      <w:pPr>
        <w:spacing w:line="240" w:lineRule="auto"/>
        <w:ind w:right="-2"/>
        <w:rPr>
          <w:color w:val="000000"/>
          <w:lang w:val="hu-HU"/>
        </w:rPr>
      </w:pPr>
    </w:p>
    <w:p w14:paraId="3C4B25E7" w14:textId="77777777" w:rsidR="005A78EA" w:rsidRPr="00556B9B" w:rsidRDefault="005A78EA" w:rsidP="00226437">
      <w:pPr>
        <w:keepNext/>
        <w:numPr>
          <w:ilvl w:val="0"/>
          <w:numId w:val="31"/>
        </w:numPr>
        <w:spacing w:line="240" w:lineRule="auto"/>
        <w:ind w:right="-2"/>
        <w:rPr>
          <w:b/>
          <w:color w:val="000000"/>
          <w:lang w:val="hu-HU"/>
        </w:rPr>
      </w:pPr>
      <w:r w:rsidRPr="00556B9B">
        <w:rPr>
          <w:b/>
          <w:color w:val="000000"/>
          <w:lang w:val="hu-HU"/>
        </w:rPr>
        <w:t>Ha Önt DFSP miatt kezelik:</w:t>
      </w:r>
    </w:p>
    <w:p w14:paraId="29F9E8D5" w14:textId="542B68CA" w:rsidR="005A78EA" w:rsidRPr="00556B9B" w:rsidRDefault="005A78EA" w:rsidP="005A78EA">
      <w:pPr>
        <w:spacing w:line="240" w:lineRule="auto"/>
        <w:ind w:left="600" w:right="-2"/>
        <w:rPr>
          <w:color w:val="000000"/>
          <w:lang w:val="hu-HU"/>
        </w:rPr>
      </w:pPr>
      <w:r w:rsidRPr="00556B9B">
        <w:rPr>
          <w:color w:val="000000"/>
          <w:lang w:val="hu-HU"/>
        </w:rPr>
        <w:t xml:space="preserve">A dózis napi 800 mg, amelyet reggel </w:t>
      </w:r>
      <w:r w:rsidR="00D91E0B">
        <w:rPr>
          <w:color w:val="000000"/>
          <w:lang w:val="hu-HU"/>
        </w:rPr>
        <w:t>400 mg</w:t>
      </w:r>
      <w:r w:rsidRPr="00556B9B">
        <w:rPr>
          <w:color w:val="000000"/>
          <w:lang w:val="hu-HU"/>
        </w:rPr>
        <w:t xml:space="preserve"> és este </w:t>
      </w:r>
      <w:r w:rsidR="00D91E0B">
        <w:rPr>
          <w:color w:val="000000"/>
          <w:lang w:val="hu-HU"/>
        </w:rPr>
        <w:t>400 mg</w:t>
      </w:r>
      <w:r w:rsidRPr="00556B9B">
        <w:rPr>
          <w:color w:val="000000"/>
          <w:lang w:val="hu-HU"/>
        </w:rPr>
        <w:t xml:space="preserve"> formájában kell bevenni.</w:t>
      </w:r>
    </w:p>
    <w:p w14:paraId="1930E062" w14:textId="77777777" w:rsidR="00D91E0B" w:rsidRPr="00D847D4" w:rsidRDefault="00D91E0B" w:rsidP="00D91E0B">
      <w:pPr>
        <w:pStyle w:val="Listlevel1"/>
        <w:widowControl w:val="0"/>
        <w:spacing w:before="0" w:after="0"/>
        <w:rPr>
          <w:color w:val="000000"/>
          <w:sz w:val="22"/>
          <w:szCs w:val="22"/>
          <w:lang w:val="hu-HU"/>
        </w:rPr>
      </w:pPr>
    </w:p>
    <w:p w14:paraId="1798AA86" w14:textId="1497E815" w:rsidR="00D91E0B" w:rsidRPr="00D847D4" w:rsidRDefault="00D91E0B" w:rsidP="00D91E0B">
      <w:pPr>
        <w:pStyle w:val="Listlevel1"/>
        <w:widowControl w:val="0"/>
        <w:spacing w:before="0" w:after="0"/>
        <w:rPr>
          <w:color w:val="000000"/>
          <w:sz w:val="22"/>
          <w:szCs w:val="22"/>
          <w:lang w:val="es-ES"/>
        </w:rPr>
      </w:pPr>
      <w:r w:rsidRPr="00D847D4">
        <w:rPr>
          <w:color w:val="000000"/>
          <w:sz w:val="22"/>
          <w:szCs w:val="22"/>
          <w:lang w:val="es-ES"/>
        </w:rPr>
        <w:t>A 400 mg</w:t>
      </w:r>
      <w:r w:rsidRPr="00D847D4">
        <w:rPr>
          <w:color w:val="000000"/>
          <w:sz w:val="22"/>
          <w:szCs w:val="22"/>
          <w:lang w:val="es-ES"/>
        </w:rPr>
        <w:noBreakHyphen/>
        <w:t>os adagot 1 db 400 mg</w:t>
      </w:r>
      <w:r w:rsidRPr="00D847D4">
        <w:rPr>
          <w:color w:val="000000"/>
          <w:sz w:val="22"/>
          <w:szCs w:val="22"/>
          <w:lang w:val="es-ES"/>
        </w:rPr>
        <w:noBreakHyphen/>
        <w:t>os, vagy 4 db 100 mg</w:t>
      </w:r>
      <w:r w:rsidRPr="00D847D4">
        <w:rPr>
          <w:color w:val="000000"/>
          <w:sz w:val="22"/>
          <w:szCs w:val="22"/>
          <w:lang w:val="es-ES"/>
        </w:rPr>
        <w:noBreakHyphen/>
        <w:t>os tabletta formájában lehet bevenni.</w:t>
      </w:r>
    </w:p>
    <w:p w14:paraId="2125A721" w14:textId="6EAC9047" w:rsidR="00D91E0B" w:rsidRPr="00D847D4" w:rsidRDefault="00D91E0B" w:rsidP="00D91E0B">
      <w:pPr>
        <w:pStyle w:val="Listlevel1"/>
        <w:widowControl w:val="0"/>
        <w:spacing w:before="0" w:after="0"/>
        <w:rPr>
          <w:color w:val="000000"/>
          <w:sz w:val="22"/>
          <w:szCs w:val="22"/>
          <w:lang w:val="es-ES"/>
        </w:rPr>
      </w:pPr>
      <w:r w:rsidRPr="00D847D4">
        <w:rPr>
          <w:color w:val="000000"/>
          <w:sz w:val="22"/>
          <w:szCs w:val="22"/>
          <w:lang w:val="es-ES"/>
        </w:rPr>
        <w:t>A 600 mg</w:t>
      </w:r>
      <w:r w:rsidRPr="00D847D4">
        <w:rPr>
          <w:color w:val="000000"/>
          <w:sz w:val="22"/>
          <w:szCs w:val="22"/>
          <w:lang w:val="es-ES"/>
        </w:rPr>
        <w:noBreakHyphen/>
        <w:t>os adagot 1 db 400 mg</w:t>
      </w:r>
      <w:r w:rsidRPr="00D847D4">
        <w:rPr>
          <w:color w:val="000000"/>
          <w:sz w:val="22"/>
          <w:szCs w:val="22"/>
          <w:lang w:val="es-ES"/>
        </w:rPr>
        <w:noBreakHyphen/>
        <w:t>os plusz 2 db 100 mg</w:t>
      </w:r>
      <w:r w:rsidRPr="00D847D4">
        <w:rPr>
          <w:color w:val="000000"/>
          <w:sz w:val="22"/>
          <w:szCs w:val="22"/>
          <w:lang w:val="es-ES"/>
        </w:rPr>
        <w:noBreakHyphen/>
        <w:t>os tabletta formájában kell bevenni.</w:t>
      </w:r>
    </w:p>
    <w:p w14:paraId="067F8154" w14:textId="77777777" w:rsidR="00D91E0B" w:rsidRPr="00D847D4" w:rsidRDefault="00D91E0B" w:rsidP="00D91E0B">
      <w:pPr>
        <w:pStyle w:val="Text"/>
        <w:widowControl w:val="0"/>
        <w:spacing w:before="0"/>
        <w:jc w:val="left"/>
        <w:rPr>
          <w:color w:val="000000"/>
          <w:sz w:val="22"/>
          <w:szCs w:val="22"/>
          <w:lang w:val="es-ES"/>
        </w:rPr>
      </w:pPr>
    </w:p>
    <w:p w14:paraId="2CE7F116" w14:textId="77777777" w:rsidR="005A78EA" w:rsidRPr="009C21EB" w:rsidRDefault="005A78EA" w:rsidP="00226437">
      <w:pPr>
        <w:keepNext/>
        <w:spacing w:line="240" w:lineRule="auto"/>
        <w:ind w:right="-2"/>
        <w:rPr>
          <w:b/>
          <w:color w:val="000000"/>
          <w:lang w:val="hu-HU"/>
        </w:rPr>
      </w:pPr>
      <w:r w:rsidRPr="009C21EB">
        <w:rPr>
          <w:b/>
          <w:color w:val="000000"/>
          <w:lang w:val="hu-HU"/>
        </w:rPr>
        <w:t>Alkalmazása gyermekeknél</w:t>
      </w:r>
      <w:r w:rsidR="00731BCD" w:rsidRPr="009C21EB">
        <w:rPr>
          <w:b/>
          <w:color w:val="000000"/>
          <w:lang w:val="hu-HU"/>
        </w:rPr>
        <w:t xml:space="preserve"> és serdülőknél</w:t>
      </w:r>
    </w:p>
    <w:p w14:paraId="5918A7BE" w14:textId="615D6517" w:rsidR="005A78EA" w:rsidRPr="00556B9B" w:rsidRDefault="005A78EA" w:rsidP="005A78EA">
      <w:pPr>
        <w:spacing w:line="240" w:lineRule="auto"/>
        <w:ind w:right="-2"/>
        <w:rPr>
          <w:color w:val="000000"/>
          <w:lang w:val="hu-HU"/>
        </w:rPr>
      </w:pPr>
      <w:r w:rsidRPr="009C21EB">
        <w:rPr>
          <w:color w:val="000000"/>
          <w:lang w:val="hu-HU"/>
        </w:rPr>
        <w:t>A</w:t>
      </w:r>
      <w:r w:rsidR="00ED04A5" w:rsidRPr="009C21EB">
        <w:rPr>
          <w:color w:val="000000"/>
          <w:lang w:val="hu-HU"/>
        </w:rPr>
        <w:t xml:space="preserve"> kezelő</w:t>
      </w:r>
      <w:r w:rsidRPr="009C21EB">
        <w:rPr>
          <w:color w:val="000000"/>
          <w:lang w:val="hu-HU"/>
        </w:rPr>
        <w:t>orvos megmondja, hogy mennyi Glivec tablettát kell adnia gyermekének. Az alkalmazandó Glivec mennyiség gyermeke</w:t>
      </w:r>
      <w:r w:rsidRPr="00556B9B">
        <w:rPr>
          <w:color w:val="000000"/>
          <w:lang w:val="hu-HU"/>
        </w:rPr>
        <w:t xml:space="preserve"> állapotától, testsúlyától és testmagasságától függ. A gyermekeknek adandó összdózis nem lépheti túl a 800 mg</w:t>
      </w:r>
      <w:r w:rsidRPr="00556B9B">
        <w:rPr>
          <w:color w:val="000000"/>
          <w:lang w:val="hu-HU"/>
        </w:rPr>
        <w:noBreakHyphen/>
        <w:t>ot</w:t>
      </w:r>
      <w:r w:rsidR="00884DCA" w:rsidRPr="00556B9B">
        <w:rPr>
          <w:color w:val="000000"/>
          <w:lang w:val="hu-HU"/>
        </w:rPr>
        <w:t xml:space="preserve"> CML és 600</w:t>
      </w:r>
      <w:r w:rsidR="007B4F2D" w:rsidRPr="00556B9B">
        <w:rPr>
          <w:color w:val="000000"/>
          <w:lang w:val="hu-HU"/>
        </w:rPr>
        <w:t> </w:t>
      </w:r>
      <w:r w:rsidR="00884DCA" w:rsidRPr="00556B9B">
        <w:rPr>
          <w:color w:val="000000"/>
          <w:lang w:val="hu-HU"/>
        </w:rPr>
        <w:t>mg-ot Ph+ALL esetén</w:t>
      </w:r>
      <w:r w:rsidRPr="00556B9B">
        <w:rPr>
          <w:color w:val="000000"/>
          <w:lang w:val="hu-HU"/>
        </w:rPr>
        <w:t>. A napi adag egyszerre is, de két részre elosztva is bevehető (felét reggel, másik felét</w:t>
      </w:r>
      <w:r w:rsidRPr="00556B9B" w:rsidDel="00C34466">
        <w:rPr>
          <w:color w:val="000000"/>
          <w:lang w:val="hu-HU"/>
        </w:rPr>
        <w:t xml:space="preserve"> </w:t>
      </w:r>
      <w:r w:rsidRPr="00556B9B">
        <w:rPr>
          <w:color w:val="000000"/>
          <w:lang w:val="hu-HU"/>
        </w:rPr>
        <w:t>este).</w:t>
      </w:r>
    </w:p>
    <w:p w14:paraId="21E7FA31" w14:textId="77777777" w:rsidR="005A78EA" w:rsidRPr="00556B9B" w:rsidRDefault="005A78EA" w:rsidP="005A78EA">
      <w:pPr>
        <w:spacing w:line="240" w:lineRule="auto"/>
        <w:ind w:right="-2"/>
        <w:rPr>
          <w:color w:val="000000"/>
          <w:lang w:val="hu-HU"/>
        </w:rPr>
      </w:pPr>
    </w:p>
    <w:p w14:paraId="5B75FF4B" w14:textId="77777777" w:rsidR="005A78EA" w:rsidRPr="00556B9B" w:rsidRDefault="005A78EA" w:rsidP="00226437">
      <w:pPr>
        <w:keepNext/>
        <w:spacing w:line="240" w:lineRule="auto"/>
        <w:ind w:right="-2"/>
        <w:rPr>
          <w:b/>
          <w:color w:val="000000"/>
          <w:lang w:val="hu-HU"/>
        </w:rPr>
      </w:pPr>
      <w:r w:rsidRPr="00556B9B">
        <w:rPr>
          <w:b/>
          <w:color w:val="000000"/>
          <w:lang w:val="hu-HU"/>
        </w:rPr>
        <w:t>Mikor és hogyan kell szedni a Glivec</w:t>
      </w:r>
      <w:r w:rsidRPr="00556B9B">
        <w:rPr>
          <w:b/>
          <w:color w:val="000000"/>
          <w:lang w:val="hu-HU"/>
        </w:rPr>
        <w:noBreakHyphen/>
        <w:t>et?</w:t>
      </w:r>
    </w:p>
    <w:p w14:paraId="58CFC3C0" w14:textId="77777777" w:rsidR="005A78EA" w:rsidRPr="00556B9B" w:rsidRDefault="005A78EA" w:rsidP="00226437">
      <w:pPr>
        <w:keepNext/>
        <w:numPr>
          <w:ilvl w:val="0"/>
          <w:numId w:val="24"/>
        </w:numPr>
        <w:rPr>
          <w:color w:val="000000"/>
          <w:lang w:val="hu-HU"/>
        </w:rPr>
      </w:pPr>
      <w:r w:rsidRPr="00556B9B">
        <w:rPr>
          <w:b/>
          <w:color w:val="000000"/>
          <w:lang w:val="hu-HU"/>
        </w:rPr>
        <w:t>A Glivec</w:t>
      </w:r>
      <w:r w:rsidRPr="00556B9B">
        <w:rPr>
          <w:b/>
          <w:color w:val="000000"/>
          <w:lang w:val="hu-HU"/>
        </w:rPr>
        <w:noBreakHyphen/>
        <w:t xml:space="preserve">et étkezés közben vegye be. </w:t>
      </w:r>
      <w:r w:rsidRPr="00556B9B">
        <w:rPr>
          <w:color w:val="000000"/>
          <w:lang w:val="hu-HU"/>
        </w:rPr>
        <w:t>Ez segít elkerülni</w:t>
      </w:r>
      <w:r w:rsidRPr="00556B9B" w:rsidDel="00C34466">
        <w:rPr>
          <w:color w:val="000000"/>
          <w:lang w:val="hu-HU"/>
        </w:rPr>
        <w:t xml:space="preserve"> </w:t>
      </w:r>
      <w:r w:rsidRPr="00556B9B">
        <w:rPr>
          <w:color w:val="000000"/>
          <w:lang w:val="hu-HU"/>
        </w:rPr>
        <w:t>a Glivec szedése alatt jelentkező gyomorpanaszokat.</w:t>
      </w:r>
    </w:p>
    <w:p w14:paraId="35957EFB" w14:textId="77777777" w:rsidR="005A78EA" w:rsidRPr="00556B9B" w:rsidRDefault="005A78EA" w:rsidP="005A78EA">
      <w:pPr>
        <w:numPr>
          <w:ilvl w:val="0"/>
          <w:numId w:val="24"/>
        </w:numPr>
        <w:rPr>
          <w:color w:val="000000"/>
          <w:lang w:val="hu-HU"/>
        </w:rPr>
      </w:pPr>
      <w:r w:rsidRPr="00556B9B">
        <w:rPr>
          <w:b/>
          <w:color w:val="000000"/>
          <w:lang w:val="hu-HU"/>
        </w:rPr>
        <w:t>A tablettát egészben, egy nagy pohárnyi vízzel kell lenyelni</w:t>
      </w:r>
      <w:r w:rsidRPr="00556B9B">
        <w:rPr>
          <w:color w:val="000000"/>
          <w:lang w:val="hu-HU"/>
        </w:rPr>
        <w:t>.</w:t>
      </w:r>
    </w:p>
    <w:p w14:paraId="4335420B" w14:textId="77777777" w:rsidR="005A78EA" w:rsidRPr="00556B9B" w:rsidRDefault="005A78EA" w:rsidP="005A78EA">
      <w:pPr>
        <w:rPr>
          <w:b/>
          <w:color w:val="000000"/>
          <w:lang w:val="hu-HU"/>
        </w:rPr>
      </w:pPr>
    </w:p>
    <w:p w14:paraId="6D33782F" w14:textId="77777777" w:rsidR="005A78EA" w:rsidRPr="00556B9B" w:rsidRDefault="005A78EA" w:rsidP="00226437">
      <w:pPr>
        <w:keepNext/>
        <w:rPr>
          <w:color w:val="000000"/>
          <w:lang w:val="hu-HU"/>
        </w:rPr>
      </w:pPr>
      <w:r w:rsidRPr="00556B9B">
        <w:rPr>
          <w:color w:val="000000"/>
          <w:lang w:val="hu-HU"/>
        </w:rPr>
        <w:t>Ha nem képes lenyelni a tablettákat, feloldhatja azokat egy pohár tiszta vízben vagy almalében:</w:t>
      </w:r>
    </w:p>
    <w:p w14:paraId="6A969B42" w14:textId="2538BC94" w:rsidR="005A78EA" w:rsidRPr="00556B9B" w:rsidRDefault="005A78EA" w:rsidP="005A78EA">
      <w:pPr>
        <w:numPr>
          <w:ilvl w:val="0"/>
          <w:numId w:val="11"/>
        </w:numPr>
        <w:tabs>
          <w:tab w:val="clear" w:pos="360"/>
        </w:tabs>
        <w:ind w:left="567" w:hanging="567"/>
        <w:rPr>
          <w:color w:val="000000"/>
          <w:lang w:val="hu-HU"/>
        </w:rPr>
      </w:pPr>
      <w:r w:rsidRPr="00556B9B">
        <w:rPr>
          <w:color w:val="000000"/>
          <w:lang w:val="hu-HU"/>
        </w:rPr>
        <w:t>Használjon kb. 50 ml</w:t>
      </w:r>
      <w:r w:rsidRPr="00556B9B">
        <w:rPr>
          <w:color w:val="000000"/>
          <w:lang w:val="hu-HU"/>
        </w:rPr>
        <w:noBreakHyphen/>
        <w:t>t minden 100 mg</w:t>
      </w:r>
      <w:r w:rsidRPr="00556B9B">
        <w:rPr>
          <w:color w:val="000000"/>
          <w:lang w:val="hu-HU"/>
        </w:rPr>
        <w:noBreakHyphen/>
        <w:t>os tabletta</w:t>
      </w:r>
      <w:r w:rsidR="0047322C">
        <w:rPr>
          <w:color w:val="000000"/>
          <w:lang w:val="hu-HU"/>
        </w:rPr>
        <w:t>, illetve 200 ml</w:t>
      </w:r>
      <w:r w:rsidR="0047322C">
        <w:rPr>
          <w:color w:val="000000"/>
          <w:lang w:val="hu-HU"/>
        </w:rPr>
        <w:noBreakHyphen/>
        <w:t>t minden 4</w:t>
      </w:r>
      <w:r w:rsidR="0047322C" w:rsidRPr="00556B9B">
        <w:rPr>
          <w:color w:val="000000"/>
          <w:lang w:val="hu-HU"/>
        </w:rPr>
        <w:t>00 mg</w:t>
      </w:r>
      <w:r w:rsidR="0047322C" w:rsidRPr="00556B9B">
        <w:rPr>
          <w:color w:val="000000"/>
          <w:lang w:val="hu-HU"/>
        </w:rPr>
        <w:noBreakHyphen/>
        <w:t>os tabletta</w:t>
      </w:r>
      <w:r w:rsidRPr="00556B9B">
        <w:rPr>
          <w:color w:val="000000"/>
          <w:lang w:val="hu-HU"/>
        </w:rPr>
        <w:t xml:space="preserve"> esetében.</w:t>
      </w:r>
    </w:p>
    <w:p w14:paraId="2ECF1A4E" w14:textId="77777777" w:rsidR="005A78EA" w:rsidRPr="00556B9B" w:rsidRDefault="005A78EA" w:rsidP="005A78EA">
      <w:pPr>
        <w:numPr>
          <w:ilvl w:val="0"/>
          <w:numId w:val="11"/>
        </w:numPr>
        <w:tabs>
          <w:tab w:val="clear" w:pos="360"/>
        </w:tabs>
        <w:ind w:left="567" w:hanging="567"/>
        <w:rPr>
          <w:color w:val="000000"/>
          <w:lang w:val="hu-HU"/>
        </w:rPr>
      </w:pPr>
      <w:r w:rsidRPr="00556B9B">
        <w:rPr>
          <w:color w:val="000000"/>
          <w:lang w:val="hu-HU"/>
        </w:rPr>
        <w:t>Keverje meg egy kanállal, amíg a tabletták teljesen feloldódtak.</w:t>
      </w:r>
    </w:p>
    <w:p w14:paraId="5A30E851" w14:textId="77777777" w:rsidR="005A78EA" w:rsidRPr="00556B9B" w:rsidRDefault="005A78EA" w:rsidP="005A78EA">
      <w:pPr>
        <w:numPr>
          <w:ilvl w:val="0"/>
          <w:numId w:val="11"/>
        </w:numPr>
        <w:tabs>
          <w:tab w:val="clear" w:pos="360"/>
        </w:tabs>
        <w:ind w:left="567" w:hanging="567"/>
        <w:rPr>
          <w:color w:val="000000"/>
          <w:lang w:val="hu-HU"/>
        </w:rPr>
      </w:pPr>
      <w:r w:rsidRPr="00556B9B">
        <w:rPr>
          <w:color w:val="000000"/>
          <w:lang w:val="hu-HU"/>
        </w:rPr>
        <w:t>Amint a tabletta feloldódott, azonnal igya ki a pohár teljes tartalmát. A pohár falán feloldatlan tablettanyomok maradhatnak.</w:t>
      </w:r>
    </w:p>
    <w:p w14:paraId="214D5E4B" w14:textId="77777777" w:rsidR="005A78EA" w:rsidRPr="00556B9B" w:rsidRDefault="005A78EA" w:rsidP="005A78EA">
      <w:pPr>
        <w:spacing w:line="240" w:lineRule="auto"/>
        <w:ind w:right="-2"/>
        <w:rPr>
          <w:color w:val="000000"/>
          <w:lang w:val="hu-HU"/>
        </w:rPr>
      </w:pPr>
    </w:p>
    <w:p w14:paraId="3027282E" w14:textId="77777777" w:rsidR="005A78EA" w:rsidRPr="00556B9B" w:rsidRDefault="005A78EA" w:rsidP="00226437">
      <w:pPr>
        <w:keepNext/>
        <w:spacing w:line="240" w:lineRule="auto"/>
        <w:ind w:right="-2"/>
        <w:rPr>
          <w:b/>
          <w:color w:val="000000"/>
          <w:lang w:val="hu-HU"/>
        </w:rPr>
      </w:pPr>
      <w:r w:rsidRPr="00556B9B">
        <w:rPr>
          <w:b/>
          <w:color w:val="000000"/>
          <w:lang w:val="hu-HU"/>
        </w:rPr>
        <w:t>Mennyi ideig szedje a Glivec</w:t>
      </w:r>
      <w:r w:rsidRPr="00556B9B">
        <w:rPr>
          <w:b/>
          <w:color w:val="000000"/>
          <w:lang w:val="hu-HU"/>
        </w:rPr>
        <w:noBreakHyphen/>
        <w:t>et?</w:t>
      </w:r>
    </w:p>
    <w:p w14:paraId="693D4ABE" w14:textId="77777777" w:rsidR="005A78EA" w:rsidRPr="00556B9B" w:rsidRDefault="005A78EA" w:rsidP="005A78EA">
      <w:pPr>
        <w:ind w:right="-2"/>
        <w:rPr>
          <w:color w:val="000000"/>
          <w:lang w:val="hu-HU"/>
        </w:rPr>
      </w:pPr>
      <w:r w:rsidRPr="00556B9B">
        <w:rPr>
          <w:color w:val="000000"/>
          <w:lang w:val="hu-HU"/>
        </w:rPr>
        <w:t>A Glivec</w:t>
      </w:r>
      <w:r w:rsidRPr="00556B9B">
        <w:rPr>
          <w:color w:val="000000"/>
          <w:lang w:val="hu-HU"/>
        </w:rPr>
        <w:noBreakHyphen/>
        <w:t>et naponta szedje mindaddig, amíg kezelőorvosa előírja.</w:t>
      </w:r>
    </w:p>
    <w:p w14:paraId="6F6959A6" w14:textId="77777777" w:rsidR="005A78EA" w:rsidRPr="00556B9B" w:rsidRDefault="005A78EA" w:rsidP="005A78EA">
      <w:pPr>
        <w:spacing w:line="240" w:lineRule="auto"/>
        <w:ind w:right="-2"/>
        <w:rPr>
          <w:color w:val="000000"/>
          <w:lang w:val="hu-HU"/>
        </w:rPr>
      </w:pPr>
    </w:p>
    <w:p w14:paraId="37A13475" w14:textId="77777777" w:rsidR="005A78EA" w:rsidRPr="00556B9B" w:rsidRDefault="005A78EA" w:rsidP="00226437">
      <w:pPr>
        <w:keepNext/>
        <w:spacing w:line="240" w:lineRule="auto"/>
        <w:ind w:right="-2"/>
        <w:rPr>
          <w:b/>
          <w:color w:val="000000"/>
          <w:lang w:val="hu-HU"/>
        </w:rPr>
      </w:pPr>
      <w:r w:rsidRPr="00556B9B">
        <w:rPr>
          <w:b/>
          <w:color w:val="000000"/>
          <w:lang w:val="hu-HU"/>
        </w:rPr>
        <w:t>Ha az előírtnál több Glivec</w:t>
      </w:r>
      <w:r w:rsidRPr="00556B9B">
        <w:rPr>
          <w:b/>
          <w:color w:val="000000"/>
          <w:lang w:val="hu-HU"/>
        </w:rPr>
        <w:noBreakHyphen/>
        <w:t>et vett be</w:t>
      </w:r>
    </w:p>
    <w:p w14:paraId="3E664FC9" w14:textId="77777777" w:rsidR="005A78EA" w:rsidRPr="00556B9B" w:rsidRDefault="005A78EA" w:rsidP="005A78EA">
      <w:pPr>
        <w:spacing w:line="240" w:lineRule="auto"/>
        <w:ind w:right="-2"/>
        <w:rPr>
          <w:color w:val="000000"/>
          <w:lang w:val="hu-HU"/>
        </w:rPr>
      </w:pPr>
      <w:r w:rsidRPr="00556B9B">
        <w:rPr>
          <w:color w:val="000000"/>
          <w:lang w:val="hu-HU"/>
        </w:rPr>
        <w:t xml:space="preserve">Ha véletlenül az előírtnál több tablettát vett be, </w:t>
      </w:r>
      <w:r w:rsidRPr="00556B9B">
        <w:rPr>
          <w:b/>
          <w:color w:val="000000"/>
          <w:lang w:val="hu-HU"/>
        </w:rPr>
        <w:t>azonnal</w:t>
      </w:r>
      <w:r w:rsidRPr="00556B9B">
        <w:rPr>
          <w:color w:val="000000"/>
          <w:lang w:val="hu-HU"/>
        </w:rPr>
        <w:t xml:space="preserve"> forduljon kezelőorvosához. Orvosi megfigyelésre lehet szüksége. A gyógyszer csomagolását vigye magával.</w:t>
      </w:r>
    </w:p>
    <w:p w14:paraId="760F9F58" w14:textId="77777777" w:rsidR="005A78EA" w:rsidRPr="00556B9B" w:rsidRDefault="005A78EA" w:rsidP="005A78EA">
      <w:pPr>
        <w:spacing w:line="240" w:lineRule="auto"/>
        <w:ind w:right="-2"/>
        <w:rPr>
          <w:color w:val="000000"/>
          <w:lang w:val="hu-HU"/>
        </w:rPr>
      </w:pPr>
    </w:p>
    <w:p w14:paraId="5060DE31" w14:textId="77777777" w:rsidR="005A78EA" w:rsidRPr="00556B9B" w:rsidRDefault="005A78EA" w:rsidP="00226437">
      <w:pPr>
        <w:keepNext/>
        <w:spacing w:line="240" w:lineRule="auto"/>
        <w:ind w:right="-2"/>
        <w:rPr>
          <w:b/>
          <w:color w:val="000000"/>
          <w:lang w:val="hu-HU"/>
        </w:rPr>
      </w:pPr>
      <w:r w:rsidRPr="00556B9B">
        <w:rPr>
          <w:b/>
          <w:color w:val="000000"/>
          <w:lang w:val="hu-HU"/>
        </w:rPr>
        <w:t>Ha elfelejtette bevenni a Glivec</w:t>
      </w:r>
      <w:r w:rsidRPr="00556B9B">
        <w:rPr>
          <w:b/>
          <w:color w:val="000000"/>
          <w:lang w:val="hu-HU"/>
        </w:rPr>
        <w:noBreakHyphen/>
        <w:t>et</w:t>
      </w:r>
    </w:p>
    <w:p w14:paraId="2F38D4F2" w14:textId="77777777" w:rsidR="005A78EA" w:rsidRPr="00556B9B" w:rsidRDefault="005A78EA" w:rsidP="005A78EA">
      <w:pPr>
        <w:numPr>
          <w:ilvl w:val="0"/>
          <w:numId w:val="25"/>
        </w:numPr>
        <w:spacing w:line="240" w:lineRule="auto"/>
        <w:ind w:right="-2"/>
        <w:rPr>
          <w:color w:val="000000"/>
          <w:lang w:val="hu-HU"/>
        </w:rPr>
      </w:pPr>
      <w:r w:rsidRPr="00556B9B">
        <w:rPr>
          <w:color w:val="000000"/>
          <w:lang w:val="hu-HU"/>
        </w:rPr>
        <w:t>Ha elfelejtett egy adagot, vegye be amint eszébe jut. Azonban, ha ez már majdnem a következő esedékes adag idejében történik, hagyja ki az elfelejtett adagot.</w:t>
      </w:r>
    </w:p>
    <w:p w14:paraId="324E04E8" w14:textId="77777777" w:rsidR="005A78EA" w:rsidRPr="00556B9B" w:rsidRDefault="005A78EA" w:rsidP="005A78EA">
      <w:pPr>
        <w:numPr>
          <w:ilvl w:val="0"/>
          <w:numId w:val="25"/>
        </w:numPr>
        <w:spacing w:line="240" w:lineRule="auto"/>
        <w:ind w:right="-2"/>
        <w:rPr>
          <w:color w:val="000000"/>
          <w:lang w:val="hu-HU"/>
        </w:rPr>
      </w:pPr>
      <w:r w:rsidRPr="00556B9B">
        <w:rPr>
          <w:color w:val="000000"/>
          <w:lang w:val="hu-HU"/>
        </w:rPr>
        <w:t>Ezután folytassa a gyógyszer szedését</w:t>
      </w:r>
      <w:r w:rsidRPr="00556B9B" w:rsidDel="003509F8">
        <w:rPr>
          <w:color w:val="000000"/>
          <w:lang w:val="hu-HU"/>
        </w:rPr>
        <w:t xml:space="preserve"> </w:t>
      </w:r>
      <w:r w:rsidRPr="00556B9B">
        <w:rPr>
          <w:color w:val="000000"/>
          <w:lang w:val="hu-HU"/>
        </w:rPr>
        <w:t>a szokásos menetrend szerint.</w:t>
      </w:r>
    </w:p>
    <w:p w14:paraId="761F0C93" w14:textId="77777777" w:rsidR="005A78EA" w:rsidRPr="00556B9B" w:rsidRDefault="005A78EA" w:rsidP="005A78EA">
      <w:pPr>
        <w:numPr>
          <w:ilvl w:val="0"/>
          <w:numId w:val="25"/>
        </w:numPr>
        <w:spacing w:line="240" w:lineRule="auto"/>
        <w:ind w:right="-2"/>
        <w:rPr>
          <w:color w:val="000000"/>
          <w:lang w:val="hu-HU"/>
        </w:rPr>
      </w:pPr>
      <w:r w:rsidRPr="00556B9B">
        <w:rPr>
          <w:noProof/>
          <w:color w:val="000000"/>
          <w:lang w:val="hu-HU"/>
        </w:rPr>
        <w:t>Ne vegyen be kétszeres adagot a kihagyott adag pótlására.</w:t>
      </w:r>
    </w:p>
    <w:p w14:paraId="20324A82" w14:textId="77777777" w:rsidR="005A78EA" w:rsidRPr="00556B9B" w:rsidRDefault="005A78EA" w:rsidP="005A78EA">
      <w:pPr>
        <w:spacing w:line="240" w:lineRule="auto"/>
        <w:ind w:right="-2"/>
        <w:rPr>
          <w:color w:val="000000"/>
          <w:lang w:val="hu-HU"/>
        </w:rPr>
      </w:pPr>
    </w:p>
    <w:p w14:paraId="44610E4E" w14:textId="77777777" w:rsidR="005A78EA" w:rsidRPr="00556B9B" w:rsidRDefault="005A78EA" w:rsidP="005A78EA">
      <w:pPr>
        <w:spacing w:line="240" w:lineRule="auto"/>
        <w:ind w:right="-2"/>
        <w:rPr>
          <w:color w:val="000000"/>
          <w:lang w:val="hu-HU"/>
        </w:rPr>
      </w:pPr>
      <w:r w:rsidRPr="00556B9B">
        <w:rPr>
          <w:color w:val="000000"/>
          <w:lang w:val="hu-HU"/>
        </w:rPr>
        <w:t xml:space="preserve">Ha bármilyen további kérdése van a </w:t>
      </w:r>
      <w:r w:rsidR="00731BCD" w:rsidRPr="00556B9B">
        <w:rPr>
          <w:color w:val="000000"/>
          <w:lang w:val="hu-HU"/>
        </w:rPr>
        <w:t xml:space="preserve">gyógyszer </w:t>
      </w:r>
      <w:r w:rsidRPr="00556B9B">
        <w:rPr>
          <w:color w:val="000000"/>
          <w:lang w:val="hu-HU"/>
        </w:rPr>
        <w:t xml:space="preserve">alkalmazásával kapcsolatban, kérdezze meg </w:t>
      </w:r>
      <w:r w:rsidR="00731BCD" w:rsidRPr="00556B9B">
        <w:rPr>
          <w:color w:val="000000"/>
          <w:lang w:val="hu-HU"/>
        </w:rPr>
        <w:t>kezelő</w:t>
      </w:r>
      <w:r w:rsidRPr="00556B9B">
        <w:rPr>
          <w:color w:val="000000"/>
          <w:lang w:val="hu-HU"/>
        </w:rPr>
        <w:t>orvosát</w:t>
      </w:r>
      <w:r w:rsidR="00731BCD" w:rsidRPr="00556B9B">
        <w:rPr>
          <w:color w:val="000000"/>
          <w:lang w:val="hu-HU"/>
        </w:rPr>
        <w:t>,</w:t>
      </w:r>
      <w:r w:rsidRPr="00556B9B">
        <w:rPr>
          <w:color w:val="000000"/>
          <w:lang w:val="hu-HU"/>
        </w:rPr>
        <w:t xml:space="preserve"> gyógyszerészét</w:t>
      </w:r>
      <w:r w:rsidR="00731BCD" w:rsidRPr="00556B9B">
        <w:rPr>
          <w:color w:val="000000"/>
          <w:lang w:val="hu-HU"/>
        </w:rPr>
        <w:t xml:space="preserve"> vagy </w:t>
      </w:r>
      <w:r w:rsidR="00DB1479" w:rsidRPr="00556B9B">
        <w:rPr>
          <w:color w:val="000000"/>
          <w:lang w:val="hu-HU"/>
        </w:rPr>
        <w:t>a gondozását végző egészségügyi szakembert</w:t>
      </w:r>
      <w:r w:rsidRPr="00556B9B">
        <w:rPr>
          <w:color w:val="000000"/>
          <w:lang w:val="hu-HU"/>
        </w:rPr>
        <w:t>.</w:t>
      </w:r>
    </w:p>
    <w:p w14:paraId="5A6E9F33" w14:textId="77777777" w:rsidR="005A78EA" w:rsidRPr="00556B9B" w:rsidRDefault="005A78EA" w:rsidP="005A78EA">
      <w:pPr>
        <w:spacing w:line="240" w:lineRule="auto"/>
        <w:ind w:right="-2"/>
        <w:rPr>
          <w:color w:val="000000"/>
          <w:lang w:val="hu-HU"/>
        </w:rPr>
      </w:pPr>
    </w:p>
    <w:p w14:paraId="60DE51B3" w14:textId="77777777" w:rsidR="005A78EA" w:rsidRPr="00556B9B" w:rsidRDefault="005A78EA" w:rsidP="005A78EA">
      <w:pPr>
        <w:spacing w:line="240" w:lineRule="auto"/>
        <w:ind w:right="-2"/>
        <w:rPr>
          <w:color w:val="000000"/>
          <w:lang w:val="hu-HU"/>
        </w:rPr>
      </w:pPr>
    </w:p>
    <w:p w14:paraId="4BF128A0" w14:textId="77777777" w:rsidR="00153AD1" w:rsidRPr="00556B9B" w:rsidRDefault="00153AD1" w:rsidP="00226437">
      <w:pPr>
        <w:keepNext/>
        <w:spacing w:line="240" w:lineRule="auto"/>
        <w:ind w:left="567" w:right="-2" w:hanging="567"/>
        <w:rPr>
          <w:b/>
          <w:color w:val="000000"/>
          <w:lang w:val="hu-HU"/>
        </w:rPr>
      </w:pPr>
      <w:r w:rsidRPr="00556B9B">
        <w:rPr>
          <w:b/>
          <w:color w:val="000000"/>
          <w:lang w:val="hu-HU"/>
        </w:rPr>
        <w:t>4.</w:t>
      </w:r>
      <w:r w:rsidRPr="00556B9B">
        <w:rPr>
          <w:b/>
          <w:color w:val="000000"/>
          <w:lang w:val="hu-HU"/>
        </w:rPr>
        <w:tab/>
        <w:t>Lehetséges mellékhatások</w:t>
      </w:r>
    </w:p>
    <w:p w14:paraId="7DB071D7" w14:textId="77777777" w:rsidR="00153AD1" w:rsidRPr="00556B9B" w:rsidRDefault="00153AD1" w:rsidP="00226437">
      <w:pPr>
        <w:keepNext/>
        <w:spacing w:line="240" w:lineRule="auto"/>
        <w:ind w:right="-29"/>
        <w:rPr>
          <w:color w:val="000000"/>
          <w:lang w:val="hu-HU"/>
        </w:rPr>
      </w:pPr>
    </w:p>
    <w:p w14:paraId="750C3EA3" w14:textId="77777777" w:rsidR="00153AD1" w:rsidRPr="00556B9B" w:rsidRDefault="00153AD1" w:rsidP="00153AD1">
      <w:pPr>
        <w:ind w:right="-29"/>
        <w:rPr>
          <w:color w:val="000000"/>
          <w:lang w:val="hu-HU"/>
        </w:rPr>
      </w:pPr>
      <w:r w:rsidRPr="00556B9B">
        <w:rPr>
          <w:color w:val="000000"/>
          <w:lang w:val="hu-HU"/>
        </w:rPr>
        <w:t xml:space="preserve">Mint minden gyógyszer, így </w:t>
      </w:r>
      <w:r w:rsidRPr="00556B9B">
        <w:rPr>
          <w:noProof/>
          <w:szCs w:val="24"/>
          <w:lang w:val="hu-HU"/>
        </w:rPr>
        <w:t>ez a gyógyszer</w:t>
      </w:r>
      <w:r w:rsidRPr="00556B9B">
        <w:rPr>
          <w:lang w:val="hu-HU"/>
        </w:rPr>
        <w:t xml:space="preserve"> </w:t>
      </w:r>
      <w:r w:rsidRPr="00556B9B">
        <w:rPr>
          <w:color w:val="000000"/>
          <w:lang w:val="hu-HU"/>
        </w:rPr>
        <w:t>is okozhat mellékhatásokat, amelyek azonban nem mindenkinél jelentkeznek. Ezek rendszerint enyhék vagy mérsékeltek.</w:t>
      </w:r>
    </w:p>
    <w:p w14:paraId="71CBE507" w14:textId="77777777" w:rsidR="00153AD1" w:rsidRPr="00556B9B" w:rsidRDefault="00153AD1" w:rsidP="00153AD1">
      <w:pPr>
        <w:ind w:right="-29"/>
        <w:rPr>
          <w:color w:val="000000"/>
          <w:lang w:val="hu-HU"/>
        </w:rPr>
      </w:pPr>
    </w:p>
    <w:p w14:paraId="361E3A73" w14:textId="77777777" w:rsidR="00153AD1" w:rsidRPr="00556B9B" w:rsidRDefault="00153AD1" w:rsidP="00226437">
      <w:pPr>
        <w:keepNext/>
        <w:spacing w:line="240" w:lineRule="auto"/>
        <w:rPr>
          <w:b/>
          <w:color w:val="000000"/>
          <w:lang w:val="hu-HU"/>
        </w:rPr>
      </w:pPr>
      <w:r w:rsidRPr="00556B9B">
        <w:rPr>
          <w:b/>
          <w:color w:val="000000"/>
          <w:lang w:val="hu-HU"/>
        </w:rPr>
        <w:t>Néhány mellékhatás súlyos lehet. Azonnal forduljon kezelőorvosához, ha az alábbiak közül bármelyiket észleli:</w:t>
      </w:r>
    </w:p>
    <w:p w14:paraId="40B51FD3" w14:textId="77777777" w:rsidR="00153AD1" w:rsidRPr="00556B9B" w:rsidRDefault="00153AD1" w:rsidP="00226437">
      <w:pPr>
        <w:keepNext/>
        <w:spacing w:line="240" w:lineRule="auto"/>
        <w:rPr>
          <w:iCs/>
          <w:color w:val="000000"/>
          <w:lang w:val="hu-HU"/>
        </w:rPr>
      </w:pPr>
    </w:p>
    <w:p w14:paraId="7F92B784" w14:textId="77777777" w:rsidR="00153AD1" w:rsidRPr="00556B9B" w:rsidRDefault="00153AD1" w:rsidP="00226437">
      <w:pPr>
        <w:keepNext/>
        <w:spacing w:line="240" w:lineRule="auto"/>
        <w:rPr>
          <w:bCs/>
          <w:iCs/>
          <w:color w:val="000000"/>
          <w:lang w:val="hu-HU"/>
        </w:rPr>
      </w:pPr>
      <w:r w:rsidRPr="00556B9B">
        <w:rPr>
          <w:b/>
          <w:bCs/>
          <w:iCs/>
          <w:color w:val="000000"/>
          <w:lang w:val="hu-HU"/>
        </w:rPr>
        <w:t xml:space="preserve">Nagyon gyakori </w:t>
      </w:r>
      <w:r w:rsidRPr="00556B9B">
        <w:rPr>
          <w:bCs/>
          <w:iCs/>
          <w:color w:val="000000"/>
          <w:lang w:val="hu-HU"/>
        </w:rPr>
        <w:t>(</w:t>
      </w:r>
      <w:r w:rsidRPr="00556B9B">
        <w:rPr>
          <w:color w:val="000000"/>
          <w:szCs w:val="22"/>
          <w:lang w:val="hu-HU"/>
        </w:rPr>
        <w:t>10 beteg közül több mint 1 beteget érinthet</w:t>
      </w:r>
      <w:r w:rsidRPr="00556B9B">
        <w:rPr>
          <w:bCs/>
          <w:iCs/>
          <w:color w:val="000000"/>
          <w:lang w:val="hu-HU"/>
        </w:rPr>
        <w:t xml:space="preserve">) </w:t>
      </w:r>
      <w:r w:rsidRPr="00556B9B">
        <w:rPr>
          <w:b/>
          <w:bCs/>
          <w:iCs/>
          <w:color w:val="000000"/>
          <w:lang w:val="hu-HU"/>
        </w:rPr>
        <w:t xml:space="preserve">vagy gyakori </w:t>
      </w:r>
      <w:r w:rsidRPr="00556B9B">
        <w:rPr>
          <w:bCs/>
          <w:iCs/>
          <w:color w:val="000000"/>
          <w:lang w:val="hu-HU"/>
        </w:rPr>
        <w:t>(</w:t>
      </w:r>
      <w:r w:rsidRPr="00556B9B">
        <w:rPr>
          <w:color w:val="000000"/>
          <w:szCs w:val="22"/>
          <w:lang w:val="hu-HU"/>
        </w:rPr>
        <w:t>10 beteg közül legfeljebb 1 beteget érinthet)</w:t>
      </w:r>
      <w:r w:rsidRPr="00556B9B">
        <w:rPr>
          <w:b/>
          <w:bCs/>
          <w:iCs/>
          <w:color w:val="000000"/>
          <w:lang w:val="hu-HU"/>
        </w:rPr>
        <w:t xml:space="preserve"> mellékhatások:</w:t>
      </w:r>
    </w:p>
    <w:p w14:paraId="3A97494D"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Gyors testsúlygyarapodás. A Glivec hatására szervezete vizet tarthat vissza (súlyos folyadékretenció).</w:t>
      </w:r>
    </w:p>
    <w:p w14:paraId="58E3DCAC"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Fertőzésre utaló jelek, pl. láz, súlyos mérvű hidegrázás, torokfájás, szájfekélyek. A Glivec csökkentheti a vérben a fehérvérsejtek számát, ezáltal Ön könnyebben kapja el a fertőzéseket.</w:t>
      </w:r>
    </w:p>
    <w:p w14:paraId="38959A30"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Váratlan vérzés vagy véraláfutás (ha nem sértette meg magát).</w:t>
      </w:r>
    </w:p>
    <w:p w14:paraId="5E48E5E6" w14:textId="77777777" w:rsidR="00153AD1" w:rsidRPr="00556B9B" w:rsidRDefault="00153AD1" w:rsidP="00153AD1">
      <w:pPr>
        <w:spacing w:line="240" w:lineRule="auto"/>
        <w:rPr>
          <w:color w:val="000000"/>
          <w:lang w:val="hu-HU"/>
        </w:rPr>
      </w:pPr>
    </w:p>
    <w:p w14:paraId="2DA886D1" w14:textId="77777777" w:rsidR="00153AD1" w:rsidRPr="00556B9B" w:rsidRDefault="00153AD1" w:rsidP="00226437">
      <w:pPr>
        <w:keepNext/>
        <w:spacing w:line="240" w:lineRule="auto"/>
        <w:rPr>
          <w:bCs/>
          <w:iCs/>
          <w:color w:val="000000"/>
          <w:lang w:val="hu-HU"/>
        </w:rPr>
      </w:pPr>
      <w:r w:rsidRPr="00556B9B">
        <w:rPr>
          <w:b/>
          <w:bCs/>
          <w:iCs/>
          <w:color w:val="000000"/>
          <w:lang w:val="hu-HU"/>
        </w:rPr>
        <w:t>Nem gyakori (</w:t>
      </w:r>
      <w:r w:rsidRPr="00556B9B">
        <w:rPr>
          <w:color w:val="000000"/>
          <w:szCs w:val="22"/>
          <w:lang w:val="hu-HU"/>
        </w:rPr>
        <w:t>100 beteg közül legfeljebb 1 beteget érinthet)</w:t>
      </w:r>
      <w:r w:rsidRPr="00556B9B">
        <w:rPr>
          <w:b/>
          <w:bCs/>
          <w:iCs/>
          <w:color w:val="000000"/>
          <w:lang w:val="hu-HU"/>
        </w:rPr>
        <w:t xml:space="preserve"> vagy ritka (</w:t>
      </w:r>
      <w:r w:rsidRPr="00556B9B">
        <w:rPr>
          <w:color w:val="000000"/>
          <w:szCs w:val="22"/>
          <w:lang w:val="hu-HU"/>
        </w:rPr>
        <w:t>1000 beteg közül legfeljebb 1 beteget érinthet</w:t>
      </w:r>
      <w:r w:rsidRPr="00556B9B">
        <w:rPr>
          <w:b/>
          <w:bCs/>
          <w:iCs/>
          <w:color w:val="000000"/>
          <w:lang w:val="hu-HU"/>
        </w:rPr>
        <w:t xml:space="preserve"> ) mellékhatások:</w:t>
      </w:r>
    </w:p>
    <w:p w14:paraId="3548C6BC"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Mellkasi fájdalom, szabálytalan szívverés (szívrendellenességre utaló jelek).</w:t>
      </w:r>
    </w:p>
    <w:p w14:paraId="43FCE6B9"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Köhögés, légszomj vagy fájdalmas légzés (tüdőrendellenességre utaló jelek).</w:t>
      </w:r>
    </w:p>
    <w:p w14:paraId="582C2B89"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Kábultság, szédülés vagy ájulás közeli érzés (alacsony vérnyomásra utaló jelek).</w:t>
      </w:r>
    </w:p>
    <w:p w14:paraId="318F08ED"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Émelygés (hányinger) étvágytalansággal, sötét színű vizelettel vagy a bőr, illetve a szemfehérje besárgulásával (májrendellenességre utaló jelek).</w:t>
      </w:r>
    </w:p>
    <w:p w14:paraId="575643FD"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Kiütés, bőrpír, hólyagokkal az ajkakon, szemeken, bőrön vagy a szájban, a bőr hámlása, láz, a bőr felszínéből kiemelkedő vörös vagy lila foltok, viszketés, égő érzés, gennyes hólyagokkal jelentkező bőrkiütés (bőrrendellen</w:t>
      </w:r>
      <w:r w:rsidR="00A850DD">
        <w:rPr>
          <w:color w:val="000000"/>
          <w:lang w:val="hu-HU"/>
        </w:rPr>
        <w:t>e</w:t>
      </w:r>
      <w:r w:rsidRPr="00556B9B">
        <w:rPr>
          <w:color w:val="000000"/>
          <w:lang w:val="hu-HU"/>
        </w:rPr>
        <w:t>sségre utaló jelek).</w:t>
      </w:r>
    </w:p>
    <w:p w14:paraId="237B1D39"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Súlyos hasfájás, vér a hányadékban, a székletben vagy a vizeletben, fekete széklet (gyomor-bélrendszer rendellenességeire utaló jelek).</w:t>
      </w:r>
    </w:p>
    <w:p w14:paraId="451CE527"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A vizelet mennyiségének nagymértékű csökkenése, szomjúság érzés (veserendellenességre utaló jelek).</w:t>
      </w:r>
    </w:p>
    <w:p w14:paraId="008FF405" w14:textId="77777777" w:rsidR="00153AD1" w:rsidRPr="009C21EB" w:rsidRDefault="00153AD1" w:rsidP="00153AD1">
      <w:pPr>
        <w:numPr>
          <w:ilvl w:val="0"/>
          <w:numId w:val="9"/>
        </w:numPr>
        <w:tabs>
          <w:tab w:val="clear" w:pos="360"/>
          <w:tab w:val="num" w:pos="567"/>
        </w:tabs>
        <w:spacing w:line="240" w:lineRule="auto"/>
        <w:ind w:left="567" w:hanging="567"/>
        <w:rPr>
          <w:color w:val="000000"/>
          <w:lang w:val="hu-HU"/>
        </w:rPr>
      </w:pPr>
      <w:r w:rsidRPr="009C21EB">
        <w:rPr>
          <w:color w:val="000000"/>
          <w:lang w:val="hu-HU"/>
        </w:rPr>
        <w:t>Émelygés (hányinger) hasmenéssel és hányással, hasfájás vagy láz (bélrendellenességre utaló jelek).</w:t>
      </w:r>
    </w:p>
    <w:p w14:paraId="2D91180B" w14:textId="6E2CDC20" w:rsidR="00153AD1" w:rsidRPr="009C21EB" w:rsidRDefault="00153AD1" w:rsidP="00153AD1">
      <w:pPr>
        <w:numPr>
          <w:ilvl w:val="0"/>
          <w:numId w:val="9"/>
        </w:numPr>
        <w:tabs>
          <w:tab w:val="clear" w:pos="360"/>
        </w:tabs>
        <w:spacing w:line="240" w:lineRule="auto"/>
        <w:ind w:left="567" w:hanging="567"/>
        <w:rPr>
          <w:color w:val="000000"/>
          <w:lang w:val="hu-HU"/>
        </w:rPr>
      </w:pPr>
      <w:r w:rsidRPr="009C21EB">
        <w:rPr>
          <w:color w:val="000000"/>
          <w:lang w:val="hu-HU"/>
        </w:rPr>
        <w:t>Súlyos fejfájás, a végtagok vagy az arc</w:t>
      </w:r>
      <w:r w:rsidR="00ED04A5" w:rsidRPr="009C21EB">
        <w:rPr>
          <w:color w:val="000000"/>
          <w:lang w:val="hu-HU"/>
        </w:rPr>
        <w:t>izmok</w:t>
      </w:r>
      <w:r w:rsidRPr="009C21EB">
        <w:rPr>
          <w:color w:val="000000"/>
          <w:lang w:val="hu-HU"/>
        </w:rPr>
        <w:t xml:space="preserve"> gyengesége vagy bénulása, nehezített beszéd, hirtelen eszméletvesztés (idegrendszeri rendellenességre, mint például a koponyán belüli vagy az agyban kialakuló vérzésre vagy vizenyőre utaló jelek).</w:t>
      </w:r>
    </w:p>
    <w:p w14:paraId="325428A1" w14:textId="77777777" w:rsidR="00153AD1" w:rsidRPr="009C21EB" w:rsidRDefault="00153AD1" w:rsidP="00153AD1">
      <w:pPr>
        <w:numPr>
          <w:ilvl w:val="0"/>
          <w:numId w:val="9"/>
        </w:numPr>
        <w:tabs>
          <w:tab w:val="clear" w:pos="360"/>
          <w:tab w:val="num" w:pos="567"/>
        </w:tabs>
        <w:spacing w:line="240" w:lineRule="auto"/>
        <w:ind w:left="567" w:hanging="567"/>
        <w:rPr>
          <w:color w:val="000000"/>
          <w:lang w:val="hu-HU"/>
        </w:rPr>
      </w:pPr>
      <w:r w:rsidRPr="009C21EB">
        <w:rPr>
          <w:color w:val="000000"/>
          <w:lang w:val="hu-HU"/>
        </w:rPr>
        <w:t>Sápadt bőr, fáradtság és légszomj, valamint sötét vizelet (alacsony vörösvértestszámra utaló jelek).</w:t>
      </w:r>
    </w:p>
    <w:p w14:paraId="61A7642B"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Szemfájdalom vagy a látás romlása, vérzés a szemben.</w:t>
      </w:r>
    </w:p>
    <w:p w14:paraId="6DBAA63D"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Csípőfájdalom vagy a járás nehezítettsége.</w:t>
      </w:r>
    </w:p>
    <w:p w14:paraId="2C8867CD"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A láb- és kézujjak zsibbadása vagy hidegsége (Raynaud-szindrómára utaló jelek).</w:t>
      </w:r>
    </w:p>
    <w:p w14:paraId="0802DDD8" w14:textId="77777777" w:rsidR="00153AD1" w:rsidRPr="00556B9B" w:rsidRDefault="00153AD1" w:rsidP="00153AD1">
      <w:pPr>
        <w:numPr>
          <w:ilvl w:val="0"/>
          <w:numId w:val="9"/>
        </w:numPr>
        <w:tabs>
          <w:tab w:val="clear" w:pos="360"/>
        </w:tabs>
        <w:spacing w:line="240" w:lineRule="auto"/>
        <w:ind w:left="567" w:hanging="567"/>
        <w:rPr>
          <w:color w:val="000000"/>
          <w:lang w:val="hu-HU"/>
        </w:rPr>
      </w:pPr>
      <w:r w:rsidRPr="00556B9B">
        <w:rPr>
          <w:color w:val="000000"/>
          <w:lang w:val="hu-HU"/>
        </w:rPr>
        <w:t>A bőr hirtelen duzzadása és vörössége (cellulitisz nevű bőrfertőzésre utaló jelek).</w:t>
      </w:r>
    </w:p>
    <w:p w14:paraId="71056E0C"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Halláscsökkenés.</w:t>
      </w:r>
    </w:p>
    <w:p w14:paraId="785BC69B"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Izomgyengeség és izomgörcsök szívritmuszavarral (a vérben lévő kálium-mennyiség változásának jelei).</w:t>
      </w:r>
    </w:p>
    <w:p w14:paraId="73DF1913"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Véraláfutás.</w:t>
      </w:r>
    </w:p>
    <w:p w14:paraId="50D1D5FA"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Gyomorfájdalom émelygéssel (hányingerrel).</w:t>
      </w:r>
    </w:p>
    <w:p w14:paraId="1D0ABD33"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Izomgörcsök lázzal, vöröses-barna színű vizelettel, izomfájdalommal vagy izomgyengeséggel (izomrendellenességre utaló jelek).</w:t>
      </w:r>
    </w:p>
    <w:p w14:paraId="40091E27" w14:textId="77777777" w:rsidR="00153AD1" w:rsidRPr="00556B9B" w:rsidRDefault="00153AD1" w:rsidP="00153AD1">
      <w:pPr>
        <w:numPr>
          <w:ilvl w:val="0"/>
          <w:numId w:val="9"/>
        </w:numPr>
        <w:tabs>
          <w:tab w:val="clear" w:pos="360"/>
          <w:tab w:val="num" w:pos="567"/>
        </w:tabs>
        <w:spacing w:line="240" w:lineRule="auto"/>
        <w:ind w:left="567" w:hanging="567"/>
        <w:rPr>
          <w:color w:val="000000"/>
          <w:lang w:val="hu-HU"/>
        </w:rPr>
      </w:pPr>
      <w:r w:rsidRPr="00556B9B">
        <w:rPr>
          <w:color w:val="000000"/>
          <w:lang w:val="hu-HU"/>
        </w:rPr>
        <w:t>Kismedencei fájdalom, néha hányingerrel és hányással, váratlan hüvelyi vérzéssel, szédüléssel vagy ájulás közeli érzéssel, mely az alacsony vérnyomásnak tulajdonítható (petefészek- vagy méhrendellen</w:t>
      </w:r>
      <w:r w:rsidR="00A850DD">
        <w:rPr>
          <w:color w:val="000000"/>
          <w:lang w:val="hu-HU"/>
        </w:rPr>
        <w:t>e</w:t>
      </w:r>
      <w:r w:rsidRPr="00556B9B">
        <w:rPr>
          <w:color w:val="000000"/>
          <w:lang w:val="hu-HU"/>
        </w:rPr>
        <w:t>sségre utaló jelek).</w:t>
      </w:r>
    </w:p>
    <w:p w14:paraId="38D682BA" w14:textId="77777777" w:rsidR="00951E31" w:rsidRPr="00556B9B" w:rsidRDefault="00153AD1" w:rsidP="00951E31">
      <w:pPr>
        <w:numPr>
          <w:ilvl w:val="0"/>
          <w:numId w:val="9"/>
        </w:numPr>
        <w:tabs>
          <w:tab w:val="clear" w:pos="360"/>
          <w:tab w:val="num" w:pos="567"/>
        </w:tabs>
        <w:spacing w:line="240" w:lineRule="auto"/>
        <w:ind w:left="567" w:hanging="567"/>
        <w:rPr>
          <w:color w:val="000000"/>
          <w:lang w:val="hu-HU"/>
        </w:rPr>
      </w:pPr>
      <w:r w:rsidRPr="00556B9B">
        <w:rPr>
          <w:color w:val="000000"/>
          <w:lang w:val="hu-HU"/>
        </w:rPr>
        <w:t>Kóros laborat</w:t>
      </w:r>
      <w:r w:rsidR="001355AC" w:rsidRPr="00556B9B">
        <w:rPr>
          <w:color w:val="000000"/>
          <w:lang w:val="hu-HU"/>
        </w:rPr>
        <w:t>ó</w:t>
      </w:r>
      <w:r w:rsidRPr="00556B9B">
        <w:rPr>
          <w:color w:val="000000"/>
          <w:lang w:val="hu-HU"/>
        </w:rPr>
        <w:t xml:space="preserve">riumi teszt eredményekkel (pl. magas kálium-, húgysav- és </w:t>
      </w:r>
      <w:r w:rsidR="00F651E4" w:rsidRPr="00556B9B">
        <w:rPr>
          <w:color w:val="000000"/>
          <w:lang w:val="hu-HU"/>
        </w:rPr>
        <w:t>ka</w:t>
      </w:r>
      <w:r w:rsidR="003765B0" w:rsidRPr="00556B9B">
        <w:rPr>
          <w:color w:val="000000"/>
          <w:lang w:val="hu-HU"/>
        </w:rPr>
        <w:t>lcium</w:t>
      </w:r>
      <w:r w:rsidRPr="00556B9B">
        <w:rPr>
          <w:color w:val="000000"/>
          <w:lang w:val="hu-HU"/>
        </w:rPr>
        <w:t xml:space="preserve">szint, valamint alacsony </w:t>
      </w:r>
      <w:r w:rsidR="003765B0" w:rsidRPr="00556B9B">
        <w:rPr>
          <w:color w:val="000000"/>
          <w:lang w:val="hu-HU"/>
        </w:rPr>
        <w:t>foszfor</w:t>
      </w:r>
      <w:r w:rsidRPr="00556B9B">
        <w:rPr>
          <w:color w:val="000000"/>
          <w:lang w:val="hu-HU"/>
        </w:rPr>
        <w:t xml:space="preserve">szint a vérben) összefüggő hányinger, légszomj, rendszertelen </w:t>
      </w:r>
      <w:r w:rsidR="00951E31" w:rsidRPr="00556B9B">
        <w:rPr>
          <w:color w:val="000000"/>
          <w:lang w:val="hu-HU"/>
        </w:rPr>
        <w:t>szívverés, zavaros vizelet, fáradtság és/vagy ízületi fájdalom.</w:t>
      </w:r>
    </w:p>
    <w:p w14:paraId="1861FB21" w14:textId="77777777" w:rsidR="00951E31" w:rsidRPr="00556B9B" w:rsidRDefault="00951E31" w:rsidP="00951E31">
      <w:pPr>
        <w:numPr>
          <w:ilvl w:val="0"/>
          <w:numId w:val="9"/>
        </w:numPr>
        <w:tabs>
          <w:tab w:val="clear" w:pos="360"/>
          <w:tab w:val="num" w:pos="567"/>
        </w:tabs>
        <w:spacing w:line="240" w:lineRule="auto"/>
        <w:ind w:left="567" w:hanging="567"/>
        <w:rPr>
          <w:color w:val="000000"/>
          <w:lang w:val="hu-HU"/>
        </w:rPr>
      </w:pPr>
      <w:r w:rsidRPr="00556B9B">
        <w:rPr>
          <w:color w:val="000000"/>
          <w:lang w:val="hu-HU"/>
        </w:rPr>
        <w:lastRenderedPageBreak/>
        <w:t>Vérrögök a kis vérerekben (trombotikus mikroangiopátia).</w:t>
      </w:r>
    </w:p>
    <w:p w14:paraId="01EBE780" w14:textId="77777777" w:rsidR="00947003" w:rsidRPr="00556B9B" w:rsidRDefault="00947003" w:rsidP="00951E31">
      <w:pPr>
        <w:spacing w:line="240" w:lineRule="auto"/>
        <w:rPr>
          <w:color w:val="000000"/>
          <w:lang w:val="hu-HU"/>
        </w:rPr>
      </w:pPr>
    </w:p>
    <w:p w14:paraId="521CCA0E" w14:textId="77777777" w:rsidR="00F651E4" w:rsidRPr="00556B9B" w:rsidRDefault="00F651E4" w:rsidP="00226437">
      <w:pPr>
        <w:keepNext/>
        <w:spacing w:line="240" w:lineRule="auto"/>
        <w:ind w:left="567" w:hanging="567"/>
        <w:rPr>
          <w:color w:val="000000"/>
          <w:lang w:val="hu-HU"/>
        </w:rPr>
      </w:pPr>
      <w:r w:rsidRPr="00556B9B">
        <w:rPr>
          <w:b/>
          <w:color w:val="000000"/>
          <w:lang w:val="hu-HU"/>
        </w:rPr>
        <w:t xml:space="preserve">Nem ismert </w:t>
      </w:r>
      <w:r w:rsidRPr="00556B9B">
        <w:rPr>
          <w:color w:val="000000"/>
          <w:lang w:val="hu-HU"/>
        </w:rPr>
        <w:t>(a gyakoriság a rendelkezésre álló adatokból nem állapítható meg):</w:t>
      </w:r>
    </w:p>
    <w:p w14:paraId="3580498A" w14:textId="56FC13E6" w:rsidR="00F651E4" w:rsidRPr="00556B9B" w:rsidRDefault="00F651E4" w:rsidP="00226437">
      <w:pPr>
        <w:keepLines/>
        <w:numPr>
          <w:ilvl w:val="0"/>
          <w:numId w:val="38"/>
        </w:numPr>
        <w:tabs>
          <w:tab w:val="clear" w:pos="720"/>
        </w:tabs>
        <w:spacing w:line="240" w:lineRule="auto"/>
        <w:ind w:left="567" w:hanging="567"/>
        <w:rPr>
          <w:color w:val="000000"/>
          <w:lang w:val="hu-HU"/>
        </w:rPr>
      </w:pPr>
      <w:r w:rsidRPr="00556B9B">
        <w:rPr>
          <w:color w:val="000000"/>
          <w:lang w:val="hu-HU"/>
        </w:rPr>
        <w:t>Kiterjedt, súlyos bőrkiütés, hányinger, láz, bizonyos fehérvérsejtek magas száma vagy sárga bőr vagy szemfehérje (sárgaság tünetei) kombinációja, légszomjjal, mellkasi fájdalommal/ kellemetlen érzéssel, súlyosan csökkent vizeletürítéssel és szomjúsággal, stb. (ezek a kezeléssel összefüggő allergiás reakció jelei).</w:t>
      </w:r>
    </w:p>
    <w:p w14:paraId="1592046F" w14:textId="77777777" w:rsidR="00897F6C" w:rsidRPr="00556B9B" w:rsidRDefault="00897F6C" w:rsidP="00C806F6">
      <w:pPr>
        <w:numPr>
          <w:ilvl w:val="0"/>
          <w:numId w:val="38"/>
        </w:numPr>
        <w:tabs>
          <w:tab w:val="clear" w:pos="720"/>
        </w:tabs>
        <w:spacing w:line="240" w:lineRule="auto"/>
        <w:ind w:left="567" w:hanging="567"/>
        <w:rPr>
          <w:color w:val="000000"/>
          <w:lang w:val="hu-HU"/>
        </w:rPr>
      </w:pPr>
      <w:r w:rsidRPr="00556B9B">
        <w:rPr>
          <w:color w:val="000000"/>
          <w:lang w:val="hu-HU"/>
        </w:rPr>
        <w:t>Krónikus veseelégtelenség</w:t>
      </w:r>
      <w:r w:rsidR="000F1B06" w:rsidRPr="00556B9B">
        <w:rPr>
          <w:color w:val="000000"/>
          <w:lang w:val="hu-HU"/>
        </w:rPr>
        <w:t>.</w:t>
      </w:r>
    </w:p>
    <w:p w14:paraId="1DC0CCE0" w14:textId="77777777" w:rsidR="00E90E3E" w:rsidRPr="00556B9B" w:rsidRDefault="00E90E3E" w:rsidP="00E90E3E">
      <w:pPr>
        <w:numPr>
          <w:ilvl w:val="0"/>
          <w:numId w:val="38"/>
        </w:numPr>
        <w:tabs>
          <w:tab w:val="clear" w:pos="720"/>
        </w:tabs>
        <w:spacing w:line="240" w:lineRule="auto"/>
        <w:ind w:left="567" w:hanging="567"/>
        <w:rPr>
          <w:color w:val="000000"/>
          <w:lang w:val="hu-HU"/>
        </w:rPr>
      </w:pPr>
      <w:r w:rsidRPr="00556B9B">
        <w:rPr>
          <w:color w:val="000000"/>
          <w:lang w:val="hu-HU"/>
        </w:rPr>
        <w:t>A hepatitisz B fertőzés kiújulása (reaktiválódása), ha Önnek korábban hepatitisz B fertőzése (egy májfertőzés) volt.</w:t>
      </w:r>
    </w:p>
    <w:p w14:paraId="088069D9" w14:textId="77777777" w:rsidR="00947003" w:rsidRPr="00556B9B" w:rsidRDefault="00947003" w:rsidP="007B4F2D">
      <w:pPr>
        <w:spacing w:line="240" w:lineRule="auto"/>
        <w:ind w:left="567" w:hanging="567"/>
        <w:rPr>
          <w:color w:val="000000"/>
          <w:lang w:val="hu-HU"/>
        </w:rPr>
      </w:pPr>
    </w:p>
    <w:p w14:paraId="41694D59" w14:textId="77777777" w:rsidR="00153AD1" w:rsidRPr="00556B9B" w:rsidRDefault="00153AD1" w:rsidP="00153AD1">
      <w:pPr>
        <w:spacing w:line="240" w:lineRule="auto"/>
        <w:rPr>
          <w:color w:val="000000"/>
          <w:lang w:val="hu-HU"/>
        </w:rPr>
      </w:pPr>
      <w:r w:rsidRPr="00556B9B">
        <w:rPr>
          <w:b/>
          <w:color w:val="000000"/>
          <w:lang w:val="hu-HU"/>
        </w:rPr>
        <w:t xml:space="preserve">Azonnal forduljon kezelőorvosához, </w:t>
      </w:r>
      <w:r w:rsidRPr="00556B9B">
        <w:rPr>
          <w:color w:val="000000"/>
          <w:lang w:val="hu-HU"/>
        </w:rPr>
        <w:t>ha a fentiek közül bármelyiket észleli!</w:t>
      </w:r>
    </w:p>
    <w:p w14:paraId="7FC92CEA" w14:textId="77777777" w:rsidR="00153AD1" w:rsidRPr="00556B9B" w:rsidRDefault="00153AD1" w:rsidP="00153AD1">
      <w:pPr>
        <w:spacing w:line="240" w:lineRule="auto"/>
        <w:rPr>
          <w:color w:val="000000"/>
          <w:lang w:val="hu-HU"/>
        </w:rPr>
      </w:pPr>
    </w:p>
    <w:p w14:paraId="63CD0830" w14:textId="77777777" w:rsidR="00153AD1" w:rsidRPr="00556B9B" w:rsidRDefault="00153AD1" w:rsidP="00226437">
      <w:pPr>
        <w:keepNext/>
        <w:spacing w:line="240" w:lineRule="auto"/>
        <w:rPr>
          <w:b/>
          <w:color w:val="000000"/>
          <w:lang w:val="hu-HU"/>
        </w:rPr>
      </w:pPr>
      <w:r w:rsidRPr="00556B9B">
        <w:rPr>
          <w:b/>
          <w:color w:val="000000"/>
          <w:lang w:val="hu-HU"/>
        </w:rPr>
        <w:t>További lehetséges mellékhatások:</w:t>
      </w:r>
    </w:p>
    <w:p w14:paraId="4BC00AF4" w14:textId="77777777" w:rsidR="00153AD1" w:rsidRPr="00556B9B" w:rsidRDefault="00153AD1" w:rsidP="00226437">
      <w:pPr>
        <w:keepNext/>
        <w:widowControl w:val="0"/>
        <w:shd w:val="clear" w:color="auto" w:fill="FFFFFF"/>
        <w:tabs>
          <w:tab w:val="left" w:pos="677"/>
        </w:tabs>
        <w:suppressAutoHyphens w:val="0"/>
        <w:autoSpaceDE w:val="0"/>
        <w:autoSpaceDN w:val="0"/>
        <w:adjustRightInd w:val="0"/>
        <w:spacing w:line="240" w:lineRule="auto"/>
        <w:rPr>
          <w:color w:val="000000"/>
          <w:szCs w:val="22"/>
          <w:lang w:val="hu-HU"/>
        </w:rPr>
      </w:pPr>
      <w:r w:rsidRPr="00556B9B">
        <w:rPr>
          <w:b/>
          <w:color w:val="000000"/>
          <w:lang w:val="hu-HU"/>
        </w:rPr>
        <w:t>Nagyon gyakori (</w:t>
      </w:r>
      <w:r w:rsidRPr="00556B9B">
        <w:rPr>
          <w:color w:val="000000"/>
          <w:szCs w:val="22"/>
          <w:lang w:val="hu-HU"/>
        </w:rPr>
        <w:t>10 beteg közül több mint 1 beteget érinthet)</w:t>
      </w:r>
    </w:p>
    <w:p w14:paraId="2171139A" w14:textId="77777777" w:rsidR="00153AD1" w:rsidRPr="00556B9B" w:rsidRDefault="00153AD1" w:rsidP="00153AD1">
      <w:pPr>
        <w:numPr>
          <w:ilvl w:val="0"/>
          <w:numId w:val="27"/>
        </w:numPr>
        <w:tabs>
          <w:tab w:val="clear" w:pos="360"/>
          <w:tab w:val="num" w:pos="600"/>
        </w:tabs>
        <w:spacing w:line="240" w:lineRule="auto"/>
        <w:ind w:left="600" w:hanging="600"/>
        <w:rPr>
          <w:color w:val="000000"/>
          <w:lang w:val="hu-HU"/>
        </w:rPr>
      </w:pPr>
      <w:r w:rsidRPr="00556B9B">
        <w:rPr>
          <w:color w:val="000000"/>
          <w:lang w:val="hu-HU"/>
        </w:rPr>
        <w:t>Fejfájás vagy fáradtság.</w:t>
      </w:r>
    </w:p>
    <w:p w14:paraId="0A09B013" w14:textId="77777777" w:rsidR="00153AD1" w:rsidRPr="00556B9B" w:rsidRDefault="00153AD1" w:rsidP="00153AD1">
      <w:pPr>
        <w:numPr>
          <w:ilvl w:val="0"/>
          <w:numId w:val="27"/>
        </w:numPr>
        <w:tabs>
          <w:tab w:val="clear" w:pos="360"/>
          <w:tab w:val="num" w:pos="600"/>
        </w:tabs>
        <w:spacing w:line="240" w:lineRule="auto"/>
        <w:ind w:left="600" w:hanging="600"/>
        <w:rPr>
          <w:color w:val="000000"/>
          <w:lang w:val="hu-HU"/>
        </w:rPr>
      </w:pPr>
      <w:r w:rsidRPr="00556B9B">
        <w:rPr>
          <w:color w:val="000000"/>
          <w:lang w:val="hu-HU"/>
        </w:rPr>
        <w:t>Hányinger, hányás, hasmenés vagy emésztési zavarok.</w:t>
      </w:r>
    </w:p>
    <w:p w14:paraId="30B47410" w14:textId="77777777" w:rsidR="00153AD1" w:rsidRPr="00556B9B" w:rsidRDefault="00153AD1" w:rsidP="00153AD1">
      <w:pPr>
        <w:numPr>
          <w:ilvl w:val="0"/>
          <w:numId w:val="27"/>
        </w:numPr>
        <w:tabs>
          <w:tab w:val="clear" w:pos="360"/>
          <w:tab w:val="num" w:pos="600"/>
        </w:tabs>
        <w:spacing w:line="240" w:lineRule="auto"/>
        <w:ind w:left="600" w:hanging="600"/>
        <w:rPr>
          <w:color w:val="000000"/>
          <w:lang w:val="hu-HU"/>
        </w:rPr>
      </w:pPr>
      <w:r w:rsidRPr="00556B9B">
        <w:rPr>
          <w:color w:val="000000"/>
          <w:lang w:val="hu-HU"/>
        </w:rPr>
        <w:t>Bőrkiütés.</w:t>
      </w:r>
    </w:p>
    <w:p w14:paraId="15D55545" w14:textId="77777777" w:rsidR="00731E39" w:rsidRPr="009C21EB" w:rsidRDefault="00731E39" w:rsidP="00731E39">
      <w:pPr>
        <w:numPr>
          <w:ilvl w:val="0"/>
          <w:numId w:val="27"/>
        </w:numPr>
        <w:tabs>
          <w:tab w:val="clear" w:pos="360"/>
          <w:tab w:val="num" w:pos="600"/>
        </w:tabs>
        <w:spacing w:line="240" w:lineRule="auto"/>
        <w:ind w:left="600" w:hanging="600"/>
        <w:rPr>
          <w:color w:val="000000"/>
          <w:lang w:val="hu-HU"/>
        </w:rPr>
      </w:pPr>
      <w:r w:rsidRPr="00556B9B">
        <w:rPr>
          <w:color w:val="000000"/>
          <w:lang w:val="hu-HU"/>
        </w:rPr>
        <w:t>Izomgörcsök vagy ízületi-, izom</w:t>
      </w:r>
      <w:r w:rsidRPr="00556B9B">
        <w:rPr>
          <w:color w:val="000000"/>
          <w:lang w:val="hu-HU"/>
        </w:rPr>
        <w:noBreakHyphen/>
        <w:t xml:space="preserve"> vagy csontfájdalmak a </w:t>
      </w:r>
      <w:r w:rsidRPr="009C21EB">
        <w:rPr>
          <w:color w:val="000000"/>
          <w:lang w:val="hu-HU"/>
        </w:rPr>
        <w:t>Glivec</w:t>
      </w:r>
      <w:r w:rsidRPr="009C21EB">
        <w:rPr>
          <w:color w:val="000000"/>
          <w:lang w:val="hu-HU"/>
        </w:rPr>
        <w:noBreakHyphen/>
        <w:t>kezelés alatt, vagy a Glivec szedésének abbahagyását követően.</w:t>
      </w:r>
    </w:p>
    <w:p w14:paraId="3434E82C" w14:textId="1F9431A7" w:rsidR="00153AD1" w:rsidRPr="009C21EB" w:rsidRDefault="00153AD1" w:rsidP="00153AD1">
      <w:pPr>
        <w:numPr>
          <w:ilvl w:val="0"/>
          <w:numId w:val="27"/>
        </w:numPr>
        <w:tabs>
          <w:tab w:val="clear" w:pos="360"/>
          <w:tab w:val="num" w:pos="600"/>
        </w:tabs>
        <w:spacing w:line="240" w:lineRule="auto"/>
        <w:ind w:left="600" w:hanging="600"/>
        <w:rPr>
          <w:color w:val="000000"/>
          <w:lang w:val="hu-HU"/>
        </w:rPr>
      </w:pPr>
      <w:r w:rsidRPr="009C21EB">
        <w:rPr>
          <w:color w:val="000000"/>
          <w:lang w:val="hu-HU"/>
        </w:rPr>
        <w:t>Duzzanat, mint a bokaduzzanat és a szem</w:t>
      </w:r>
      <w:r w:rsidR="00ED04A5" w:rsidRPr="009C21EB">
        <w:rPr>
          <w:color w:val="000000"/>
          <w:lang w:val="hu-HU"/>
        </w:rPr>
        <w:t>tájék</w:t>
      </w:r>
      <w:r w:rsidRPr="009C21EB">
        <w:rPr>
          <w:color w:val="000000"/>
          <w:lang w:val="hu-HU"/>
        </w:rPr>
        <w:t xml:space="preserve"> duzzanata.</w:t>
      </w:r>
    </w:p>
    <w:p w14:paraId="6CBBAAFC" w14:textId="77777777" w:rsidR="00153AD1" w:rsidRPr="009C21EB" w:rsidRDefault="00153AD1" w:rsidP="00153AD1">
      <w:pPr>
        <w:numPr>
          <w:ilvl w:val="0"/>
          <w:numId w:val="27"/>
        </w:numPr>
        <w:tabs>
          <w:tab w:val="clear" w:pos="360"/>
          <w:tab w:val="num" w:pos="600"/>
        </w:tabs>
        <w:spacing w:line="240" w:lineRule="auto"/>
        <w:ind w:left="600" w:hanging="600"/>
        <w:rPr>
          <w:color w:val="000000"/>
          <w:lang w:val="hu-HU"/>
        </w:rPr>
      </w:pPr>
      <w:r w:rsidRPr="009C21EB">
        <w:rPr>
          <w:color w:val="000000"/>
          <w:lang w:val="hu-HU"/>
        </w:rPr>
        <w:t>Testsúlygyarapodás.</w:t>
      </w:r>
    </w:p>
    <w:p w14:paraId="769B7EED" w14:textId="77777777" w:rsidR="00153AD1" w:rsidRPr="00556B9B" w:rsidRDefault="00153AD1" w:rsidP="00153AD1">
      <w:pPr>
        <w:spacing w:line="240" w:lineRule="auto"/>
        <w:rPr>
          <w:color w:val="000000"/>
          <w:lang w:val="hu-HU"/>
        </w:rPr>
      </w:pPr>
      <w:r w:rsidRPr="009C21EB">
        <w:rPr>
          <w:b/>
          <w:color w:val="000000"/>
          <w:lang w:val="hu-HU"/>
        </w:rPr>
        <w:t>Forduljon kezelőorvosához</w:t>
      </w:r>
      <w:r w:rsidRPr="009C21EB">
        <w:rPr>
          <w:color w:val="000000"/>
          <w:lang w:val="hu-HU"/>
        </w:rPr>
        <w:t>, ha a fent felsorolt mellékhatások súlyos formában jelentkeznek.</w:t>
      </w:r>
    </w:p>
    <w:p w14:paraId="46615431" w14:textId="77777777" w:rsidR="00153AD1" w:rsidRPr="00556B9B" w:rsidRDefault="00153AD1" w:rsidP="00153AD1">
      <w:pPr>
        <w:spacing w:line="240" w:lineRule="auto"/>
        <w:rPr>
          <w:color w:val="000000"/>
          <w:lang w:val="hu-HU"/>
        </w:rPr>
      </w:pPr>
    </w:p>
    <w:p w14:paraId="1EE7ACA7" w14:textId="77777777" w:rsidR="00153AD1" w:rsidRPr="00556B9B" w:rsidRDefault="00153AD1" w:rsidP="00226437">
      <w:pPr>
        <w:keepNext/>
        <w:spacing w:line="240" w:lineRule="auto"/>
        <w:rPr>
          <w:color w:val="000000"/>
          <w:lang w:val="hu-HU"/>
        </w:rPr>
      </w:pPr>
      <w:r w:rsidRPr="00556B9B">
        <w:rPr>
          <w:b/>
          <w:color w:val="000000"/>
          <w:lang w:val="hu-HU"/>
        </w:rPr>
        <w:t>Gyakori (</w:t>
      </w:r>
      <w:r w:rsidRPr="00556B9B">
        <w:rPr>
          <w:color w:val="000000"/>
          <w:szCs w:val="22"/>
          <w:lang w:val="hu-HU"/>
        </w:rPr>
        <w:t>10 beteg közül legfeljebb 1 beteget érinthet):</w:t>
      </w:r>
    </w:p>
    <w:p w14:paraId="38D735C5" w14:textId="77777777" w:rsidR="00153AD1" w:rsidRPr="00556B9B" w:rsidRDefault="00153AD1" w:rsidP="00153AD1">
      <w:pPr>
        <w:numPr>
          <w:ilvl w:val="0"/>
          <w:numId w:val="29"/>
        </w:numPr>
        <w:tabs>
          <w:tab w:val="clear" w:pos="360"/>
          <w:tab w:val="num" w:pos="600"/>
        </w:tabs>
        <w:spacing w:line="240" w:lineRule="auto"/>
        <w:ind w:left="600" w:hanging="600"/>
        <w:rPr>
          <w:color w:val="000000"/>
          <w:lang w:val="hu-HU"/>
        </w:rPr>
      </w:pPr>
      <w:r w:rsidRPr="00556B9B">
        <w:rPr>
          <w:color w:val="000000"/>
          <w:lang w:val="hu-HU"/>
        </w:rPr>
        <w:t>Étvágytalanság, testsúlycsökkenés vagy ízérzési zavarok.</w:t>
      </w:r>
    </w:p>
    <w:p w14:paraId="33369BC3"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Szédülés vagy gyengeség.</w:t>
      </w:r>
    </w:p>
    <w:p w14:paraId="51024F78"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Álmatlanság (inszomnia).</w:t>
      </w:r>
    </w:p>
    <w:p w14:paraId="60AFA14F"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Szemváladékozás viszketéssel, vörösséggel és duzzanattal (kötőhártya</w:t>
      </w:r>
      <w:r w:rsidR="001355AC" w:rsidRPr="00556B9B">
        <w:rPr>
          <w:color w:val="000000"/>
          <w:lang w:val="hu-HU"/>
        </w:rPr>
        <w:t>-</w:t>
      </w:r>
      <w:r w:rsidRPr="00556B9B">
        <w:rPr>
          <w:color w:val="000000"/>
          <w:lang w:val="hu-HU"/>
        </w:rPr>
        <w:t>gyulladás), fokozott könnyfolyás vagy homályos látás.</w:t>
      </w:r>
    </w:p>
    <w:p w14:paraId="4CCC310F"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Orrvérzés.</w:t>
      </w:r>
    </w:p>
    <w:p w14:paraId="5082F2BA"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Hasi fájdalom vagy haspuffadás, fokozott bélgáztermelődés, gyomorégés vagy székrekedés.</w:t>
      </w:r>
    </w:p>
    <w:p w14:paraId="4AA6A116"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Viszketés.</w:t>
      </w:r>
    </w:p>
    <w:p w14:paraId="757EA8D3"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Szokatlan hajhullás vagy hajritkulás.</w:t>
      </w:r>
    </w:p>
    <w:p w14:paraId="171F8CB5"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Kéz</w:t>
      </w:r>
      <w:r w:rsidRPr="00556B9B">
        <w:rPr>
          <w:color w:val="000000"/>
          <w:lang w:val="hu-HU"/>
        </w:rPr>
        <w:noBreakHyphen/>
        <w:t xml:space="preserve"> és lábfejzsibbadás.</w:t>
      </w:r>
    </w:p>
    <w:p w14:paraId="3065BE84"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Szájfekély.</w:t>
      </w:r>
    </w:p>
    <w:p w14:paraId="4A4AA1B9"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Ízületi fájdalom duzzadással.</w:t>
      </w:r>
    </w:p>
    <w:p w14:paraId="2C2B12E5"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Szájszárazság, bőrszárazság vagy szemszárazság.</w:t>
      </w:r>
    </w:p>
    <w:p w14:paraId="0B80A91F"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A bőr érzékenységének csökkenése vagy fokozódása.</w:t>
      </w:r>
    </w:p>
    <w:p w14:paraId="61E4BA24" w14:textId="77777777" w:rsidR="00153AD1" w:rsidRPr="00556B9B" w:rsidRDefault="00153AD1" w:rsidP="00153AD1">
      <w:pPr>
        <w:numPr>
          <w:ilvl w:val="0"/>
          <w:numId w:val="28"/>
        </w:numPr>
        <w:tabs>
          <w:tab w:val="clear" w:pos="360"/>
          <w:tab w:val="num" w:pos="600"/>
        </w:tabs>
        <w:spacing w:line="240" w:lineRule="auto"/>
        <w:ind w:left="600" w:hanging="600"/>
        <w:rPr>
          <w:color w:val="000000"/>
          <w:lang w:val="hu-HU"/>
        </w:rPr>
      </w:pPr>
      <w:r w:rsidRPr="00556B9B">
        <w:rPr>
          <w:color w:val="000000"/>
          <w:lang w:val="hu-HU"/>
        </w:rPr>
        <w:t>Hőhullámok, hidegrázás vagy éjszakai izzadás.</w:t>
      </w:r>
    </w:p>
    <w:p w14:paraId="1EC5D38B" w14:textId="77777777" w:rsidR="00153AD1" w:rsidRPr="00556B9B" w:rsidRDefault="00153AD1" w:rsidP="00153AD1">
      <w:pPr>
        <w:spacing w:line="240" w:lineRule="auto"/>
        <w:rPr>
          <w:color w:val="000000"/>
          <w:lang w:val="hu-HU"/>
        </w:rPr>
      </w:pPr>
      <w:r w:rsidRPr="00556B9B">
        <w:rPr>
          <w:b/>
          <w:color w:val="000000"/>
          <w:lang w:val="hu-HU"/>
        </w:rPr>
        <w:t>Forduljon kezelőorvosához</w:t>
      </w:r>
      <w:r w:rsidRPr="00556B9B">
        <w:rPr>
          <w:color w:val="000000"/>
          <w:lang w:val="hu-HU"/>
        </w:rPr>
        <w:t>, ha a fent felsorolt mellékhatások súlyos formában jelentkeznek.</w:t>
      </w:r>
    </w:p>
    <w:p w14:paraId="26513485" w14:textId="77777777" w:rsidR="00153AD1" w:rsidRPr="00556B9B" w:rsidRDefault="00153AD1" w:rsidP="00153AD1">
      <w:pPr>
        <w:spacing w:line="240" w:lineRule="auto"/>
        <w:rPr>
          <w:color w:val="000000"/>
          <w:lang w:val="hu-HU"/>
        </w:rPr>
      </w:pPr>
    </w:p>
    <w:p w14:paraId="14588E90" w14:textId="77777777" w:rsidR="00153AD1" w:rsidRPr="00556B9B" w:rsidRDefault="00153AD1" w:rsidP="00226437">
      <w:pPr>
        <w:keepNext/>
        <w:spacing w:line="240" w:lineRule="auto"/>
        <w:rPr>
          <w:b/>
          <w:color w:val="000000"/>
          <w:lang w:val="hu-HU"/>
        </w:rPr>
      </w:pPr>
      <w:r w:rsidRPr="00556B9B">
        <w:rPr>
          <w:b/>
          <w:color w:val="000000"/>
          <w:lang w:val="hu-HU"/>
        </w:rPr>
        <w:t>Nem ismert</w:t>
      </w:r>
      <w:r w:rsidRPr="00556B9B">
        <w:rPr>
          <w:color w:val="000000"/>
          <w:szCs w:val="22"/>
          <w:lang w:val="hu-HU"/>
        </w:rPr>
        <w:t xml:space="preserve"> (a gyakoriság a rendelkezésre álló adatokból nem állapítható meg):</w:t>
      </w:r>
    </w:p>
    <w:p w14:paraId="2461DF4A" w14:textId="77777777" w:rsidR="00153AD1" w:rsidRPr="00556B9B" w:rsidRDefault="00153AD1" w:rsidP="00153AD1">
      <w:pPr>
        <w:numPr>
          <w:ilvl w:val="0"/>
          <w:numId w:val="30"/>
        </w:numPr>
        <w:tabs>
          <w:tab w:val="clear" w:pos="360"/>
          <w:tab w:val="num" w:pos="600"/>
        </w:tabs>
        <w:spacing w:line="240" w:lineRule="auto"/>
        <w:ind w:left="600" w:hanging="600"/>
        <w:rPr>
          <w:color w:val="000000"/>
          <w:lang w:val="hu-HU"/>
        </w:rPr>
      </w:pPr>
      <w:r w:rsidRPr="00556B9B">
        <w:rPr>
          <w:color w:val="000000"/>
          <w:lang w:val="hu-HU"/>
        </w:rPr>
        <w:t>A tenyér és a talp kivörösödése és/vagy duzzadása, mely zsibbadással és égő érzéssel járhat.</w:t>
      </w:r>
    </w:p>
    <w:p w14:paraId="59BFDD78" w14:textId="77777777" w:rsidR="00B4344B" w:rsidRPr="00556B9B" w:rsidRDefault="00B4344B" w:rsidP="00153AD1">
      <w:pPr>
        <w:numPr>
          <w:ilvl w:val="0"/>
          <w:numId w:val="30"/>
        </w:numPr>
        <w:tabs>
          <w:tab w:val="clear" w:pos="360"/>
          <w:tab w:val="num" w:pos="600"/>
        </w:tabs>
        <w:spacing w:line="240" w:lineRule="auto"/>
        <w:ind w:left="600" w:hanging="600"/>
        <w:rPr>
          <w:color w:val="000000"/>
          <w:lang w:val="hu-HU"/>
        </w:rPr>
      </w:pPr>
      <w:r w:rsidRPr="00556B9B">
        <w:rPr>
          <w:color w:val="000000"/>
          <w:lang w:val="hu-HU"/>
        </w:rPr>
        <w:t>Fájdalmas és/vagy hólyagos bőrelváltozások.</w:t>
      </w:r>
    </w:p>
    <w:p w14:paraId="30A0184A" w14:textId="77777777" w:rsidR="00153AD1" w:rsidRPr="00556B9B" w:rsidRDefault="00153AD1" w:rsidP="00153AD1">
      <w:pPr>
        <w:numPr>
          <w:ilvl w:val="0"/>
          <w:numId w:val="30"/>
        </w:numPr>
        <w:tabs>
          <w:tab w:val="clear" w:pos="360"/>
          <w:tab w:val="num" w:pos="600"/>
        </w:tabs>
        <w:spacing w:line="240" w:lineRule="auto"/>
        <w:ind w:left="600" w:hanging="600"/>
        <w:rPr>
          <w:color w:val="000000"/>
          <w:lang w:val="hu-HU"/>
        </w:rPr>
      </w:pPr>
      <w:r w:rsidRPr="00556B9B">
        <w:rPr>
          <w:color w:val="000000"/>
          <w:lang w:val="hu-HU"/>
        </w:rPr>
        <w:t>Lassabb növekedés gyermekeknél és serdülőkorúaknál.</w:t>
      </w:r>
    </w:p>
    <w:p w14:paraId="08D0A49B" w14:textId="77777777" w:rsidR="00153AD1" w:rsidRPr="00556B9B" w:rsidRDefault="00153AD1" w:rsidP="00153AD1">
      <w:pPr>
        <w:spacing w:line="240" w:lineRule="auto"/>
        <w:rPr>
          <w:color w:val="000000"/>
          <w:lang w:val="hu-HU"/>
        </w:rPr>
      </w:pPr>
      <w:r w:rsidRPr="00556B9B">
        <w:rPr>
          <w:b/>
          <w:color w:val="000000"/>
          <w:lang w:val="hu-HU"/>
        </w:rPr>
        <w:t>Forduljon kezelőorvosához</w:t>
      </w:r>
      <w:r w:rsidRPr="00556B9B">
        <w:rPr>
          <w:color w:val="000000"/>
          <w:lang w:val="hu-HU"/>
        </w:rPr>
        <w:t>, ha a fent felsorolt mellékhatások súlyosan érintik Önt.</w:t>
      </w:r>
    </w:p>
    <w:p w14:paraId="474779FE" w14:textId="77777777" w:rsidR="00153AD1" w:rsidRPr="00556B9B" w:rsidRDefault="00153AD1" w:rsidP="00153AD1">
      <w:pPr>
        <w:spacing w:line="240" w:lineRule="auto"/>
        <w:ind w:right="-2"/>
        <w:rPr>
          <w:color w:val="000000"/>
          <w:lang w:val="hu-HU"/>
        </w:rPr>
      </w:pPr>
    </w:p>
    <w:p w14:paraId="1C1FDB25" w14:textId="77777777" w:rsidR="00153AD1" w:rsidRPr="00556B9B" w:rsidRDefault="00153AD1" w:rsidP="00226437">
      <w:pPr>
        <w:keepNext/>
        <w:tabs>
          <w:tab w:val="left" w:pos="567"/>
        </w:tabs>
        <w:suppressAutoHyphens w:val="0"/>
        <w:spacing w:line="240" w:lineRule="auto"/>
        <w:ind w:right="-29"/>
        <w:rPr>
          <w:rFonts w:cs="Times New Roman"/>
          <w:b/>
          <w:bCs/>
          <w:szCs w:val="22"/>
          <w:lang w:val="hu-HU" w:eastAsia="en-US" w:bidi="ar-SA"/>
        </w:rPr>
      </w:pPr>
      <w:r w:rsidRPr="00556B9B">
        <w:rPr>
          <w:rFonts w:cs="Times New Roman"/>
          <w:b/>
          <w:bCs/>
          <w:szCs w:val="22"/>
          <w:lang w:val="hu-HU" w:eastAsia="en-US" w:bidi="ar-SA"/>
        </w:rPr>
        <w:t>Mellékhatások bejelentése</w:t>
      </w:r>
    </w:p>
    <w:p w14:paraId="0D26D411" w14:textId="77777777" w:rsidR="00153AD1" w:rsidRPr="00556B9B" w:rsidRDefault="00153AD1" w:rsidP="00153AD1">
      <w:pPr>
        <w:spacing w:line="240" w:lineRule="auto"/>
        <w:ind w:right="-2"/>
        <w:rPr>
          <w:lang w:val="hu-HU"/>
        </w:rPr>
      </w:pPr>
      <w:r w:rsidRPr="00556B9B">
        <w:rPr>
          <w:color w:val="000000"/>
          <w:lang w:val="hu-HU"/>
        </w:rPr>
        <w:t xml:space="preserve">Ha Önnél bármilyen mellékhatás jelentkezik, tájékoztassa kezelőorvosát, gyógyszerészét vagy </w:t>
      </w:r>
      <w:r w:rsidR="00DB1479" w:rsidRPr="00556B9B">
        <w:rPr>
          <w:color w:val="000000"/>
          <w:lang w:val="hu-HU"/>
        </w:rPr>
        <w:t>a gondozását végző egészségügyi szakembert</w:t>
      </w:r>
      <w:r w:rsidRPr="00556B9B">
        <w:rPr>
          <w:color w:val="000000"/>
          <w:lang w:val="hu-HU"/>
        </w:rPr>
        <w:t>. Ez a betegtájékoztatóban fel nem sorolt bármilyen lehetséges mellékhatásra is vonatkozik.</w:t>
      </w:r>
      <w:r w:rsidRPr="00556B9B">
        <w:rPr>
          <w:b/>
          <w:color w:val="000000"/>
          <w:lang w:val="hu-HU"/>
        </w:rPr>
        <w:t xml:space="preserve"> </w:t>
      </w:r>
      <w:r w:rsidRPr="00556B9B">
        <w:rPr>
          <w:lang w:val="hu-HU"/>
        </w:rPr>
        <w:t xml:space="preserve">A mellékhatásokat közvetlenül a hatóság részére is bejelentheti az </w:t>
      </w:r>
      <w:hyperlink r:id="rId17" w:history="1">
        <w:r w:rsidRPr="00556B9B">
          <w:rPr>
            <w:rStyle w:val="Hyperlink"/>
            <w:shd w:val="pct15" w:color="auto" w:fill="FFFFFF"/>
            <w:lang w:val="hu-HU"/>
          </w:rPr>
          <w:t>V. függelékben</w:t>
        </w:r>
      </w:hyperlink>
      <w:r w:rsidRPr="00556B9B">
        <w:rPr>
          <w:shd w:val="pct15" w:color="auto" w:fill="FFFFFF"/>
          <w:lang w:val="hu-HU"/>
        </w:rPr>
        <w:t xml:space="preserve"> található elérhetőségeken keresztül</w:t>
      </w:r>
      <w:r w:rsidRPr="00556B9B">
        <w:rPr>
          <w:lang w:val="hu-HU"/>
        </w:rPr>
        <w:t>. A mellékhatások bejelentésével Ön is hozzájárulhat ahhoz, hogy minél több információ álljon rendelkezésre a gyógyszer biztonságos alkalmazásával kapcsolatban.</w:t>
      </w:r>
    </w:p>
    <w:p w14:paraId="25A23771" w14:textId="77777777" w:rsidR="00153AD1" w:rsidRPr="00556B9B" w:rsidRDefault="00153AD1" w:rsidP="00153AD1">
      <w:pPr>
        <w:spacing w:line="240" w:lineRule="auto"/>
        <w:ind w:right="-2"/>
        <w:rPr>
          <w:color w:val="000000"/>
          <w:lang w:val="hu-HU"/>
        </w:rPr>
      </w:pPr>
    </w:p>
    <w:p w14:paraId="5B35A46B" w14:textId="77777777" w:rsidR="00153AD1" w:rsidRPr="00556B9B" w:rsidRDefault="00153AD1" w:rsidP="00153AD1">
      <w:pPr>
        <w:spacing w:line="240" w:lineRule="auto"/>
        <w:ind w:right="-2"/>
        <w:rPr>
          <w:color w:val="000000"/>
          <w:lang w:val="hu-HU"/>
        </w:rPr>
      </w:pPr>
    </w:p>
    <w:p w14:paraId="33F189D1" w14:textId="77777777" w:rsidR="00FE13F7" w:rsidRPr="00556B9B" w:rsidRDefault="00FE13F7" w:rsidP="00226437">
      <w:pPr>
        <w:keepNext/>
        <w:spacing w:line="240" w:lineRule="auto"/>
        <w:ind w:left="567" w:right="-2" w:hanging="567"/>
        <w:rPr>
          <w:b/>
          <w:color w:val="000000"/>
          <w:lang w:val="hu-HU"/>
        </w:rPr>
      </w:pPr>
      <w:r w:rsidRPr="00556B9B">
        <w:rPr>
          <w:b/>
          <w:color w:val="000000"/>
          <w:lang w:val="hu-HU"/>
        </w:rPr>
        <w:t>5.</w:t>
      </w:r>
      <w:r w:rsidRPr="00556B9B">
        <w:rPr>
          <w:b/>
          <w:color w:val="000000"/>
          <w:lang w:val="hu-HU"/>
        </w:rPr>
        <w:tab/>
        <w:t>Hogyan kell a Glivec</w:t>
      </w:r>
      <w:r w:rsidRPr="00556B9B">
        <w:rPr>
          <w:b/>
          <w:color w:val="000000"/>
          <w:lang w:val="hu-HU"/>
        </w:rPr>
        <w:noBreakHyphen/>
        <w:t>et tárolni?</w:t>
      </w:r>
    </w:p>
    <w:p w14:paraId="5440F4CF" w14:textId="77777777" w:rsidR="00FE13F7" w:rsidRPr="00556B9B" w:rsidRDefault="00FE13F7" w:rsidP="00226437">
      <w:pPr>
        <w:keepNext/>
        <w:spacing w:line="240" w:lineRule="auto"/>
        <w:ind w:right="-2"/>
        <w:rPr>
          <w:color w:val="000000"/>
          <w:lang w:val="hu-HU"/>
        </w:rPr>
      </w:pPr>
    </w:p>
    <w:p w14:paraId="5AFC99E4" w14:textId="77777777" w:rsidR="00FE13F7" w:rsidRPr="00556B9B" w:rsidRDefault="00FE13F7" w:rsidP="00FE13F7">
      <w:pPr>
        <w:numPr>
          <w:ilvl w:val="0"/>
          <w:numId w:val="8"/>
        </w:numPr>
        <w:tabs>
          <w:tab w:val="clear" w:pos="360"/>
        </w:tabs>
        <w:spacing w:line="240" w:lineRule="auto"/>
        <w:ind w:left="567" w:right="-2" w:hanging="567"/>
        <w:rPr>
          <w:color w:val="000000"/>
          <w:lang w:val="hu-HU"/>
        </w:rPr>
      </w:pPr>
      <w:r w:rsidRPr="00556B9B">
        <w:rPr>
          <w:color w:val="000000"/>
          <w:lang w:val="hu-HU"/>
        </w:rPr>
        <w:t>A gyógyszer gyermekektől elzárva tartandó!</w:t>
      </w:r>
    </w:p>
    <w:p w14:paraId="27A8A0DD" w14:textId="77777777" w:rsidR="00FE13F7" w:rsidRPr="00556B9B" w:rsidRDefault="00FE13F7" w:rsidP="00FE13F7">
      <w:pPr>
        <w:numPr>
          <w:ilvl w:val="0"/>
          <w:numId w:val="8"/>
        </w:numPr>
        <w:tabs>
          <w:tab w:val="clear" w:pos="360"/>
        </w:tabs>
        <w:spacing w:line="240" w:lineRule="auto"/>
        <w:ind w:left="567" w:right="-2" w:hanging="567"/>
        <w:rPr>
          <w:color w:val="000000"/>
          <w:lang w:val="hu-HU"/>
        </w:rPr>
      </w:pPr>
      <w:r w:rsidRPr="00556B9B">
        <w:rPr>
          <w:color w:val="000000"/>
          <w:lang w:val="hu-HU"/>
        </w:rPr>
        <w:t xml:space="preserve">A dobozon feltüntetett lejárati idő </w:t>
      </w:r>
      <w:r w:rsidR="006252B9" w:rsidRPr="00556B9B">
        <w:rPr>
          <w:color w:val="000000"/>
          <w:lang w:val="hu-HU"/>
        </w:rPr>
        <w:t xml:space="preserve">(Felhasználható:) </w:t>
      </w:r>
      <w:r w:rsidRPr="00556B9B">
        <w:rPr>
          <w:color w:val="000000"/>
          <w:lang w:val="hu-HU"/>
        </w:rPr>
        <w:t xml:space="preserve">után ne alkalmazza </w:t>
      </w:r>
      <w:r w:rsidR="00145E44" w:rsidRPr="00556B9B">
        <w:rPr>
          <w:color w:val="000000"/>
          <w:lang w:val="hu-HU"/>
        </w:rPr>
        <w:t xml:space="preserve">ezt </w:t>
      </w:r>
      <w:r w:rsidRPr="00556B9B">
        <w:rPr>
          <w:noProof/>
          <w:szCs w:val="24"/>
          <w:lang w:val="hu-HU"/>
        </w:rPr>
        <w:t>a gyógyszert</w:t>
      </w:r>
      <w:r w:rsidRPr="00556B9B">
        <w:rPr>
          <w:color w:val="000000"/>
          <w:lang w:val="hu-HU"/>
        </w:rPr>
        <w:t>.</w:t>
      </w:r>
    </w:p>
    <w:p w14:paraId="0B2FFA62" w14:textId="77777777" w:rsidR="00FE13F7" w:rsidRPr="00556B9B" w:rsidRDefault="00FE13F7" w:rsidP="00FE13F7">
      <w:pPr>
        <w:numPr>
          <w:ilvl w:val="0"/>
          <w:numId w:val="8"/>
        </w:numPr>
        <w:tabs>
          <w:tab w:val="clear" w:pos="360"/>
        </w:tabs>
        <w:ind w:left="567" w:right="-2" w:hanging="567"/>
        <w:rPr>
          <w:color w:val="000000"/>
          <w:lang w:val="hu-HU"/>
        </w:rPr>
      </w:pPr>
      <w:r w:rsidRPr="00556B9B">
        <w:rPr>
          <w:color w:val="000000"/>
          <w:lang w:val="hu-HU"/>
        </w:rPr>
        <w:t>Legfeljebb 30</w:t>
      </w:r>
      <w:r w:rsidRPr="00556B9B">
        <w:rPr>
          <w:color w:val="000000"/>
          <w:lang w:val="hu-HU"/>
        </w:rPr>
        <w:sym w:font="Symbol" w:char="F0B0"/>
      </w:r>
      <w:r w:rsidRPr="00556B9B">
        <w:rPr>
          <w:color w:val="000000"/>
          <w:lang w:val="hu-HU"/>
        </w:rPr>
        <w:t>C</w:t>
      </w:r>
      <w:r w:rsidRPr="00556B9B">
        <w:rPr>
          <w:color w:val="000000"/>
          <w:lang w:val="hu-HU"/>
        </w:rPr>
        <w:noBreakHyphen/>
        <w:t>on tárolandó.</w:t>
      </w:r>
    </w:p>
    <w:p w14:paraId="4AA528A4" w14:textId="77777777" w:rsidR="00FE13F7" w:rsidRPr="00556B9B" w:rsidRDefault="00FE13F7" w:rsidP="00FE13F7">
      <w:pPr>
        <w:numPr>
          <w:ilvl w:val="0"/>
          <w:numId w:val="8"/>
        </w:numPr>
        <w:tabs>
          <w:tab w:val="clear" w:pos="360"/>
        </w:tabs>
        <w:spacing w:line="240" w:lineRule="auto"/>
        <w:ind w:left="567" w:right="-2" w:hanging="567"/>
        <w:rPr>
          <w:color w:val="000000"/>
          <w:lang w:val="hu-HU"/>
        </w:rPr>
      </w:pPr>
      <w:r w:rsidRPr="00556B9B">
        <w:rPr>
          <w:color w:val="000000"/>
          <w:lang w:val="hu-HU"/>
        </w:rPr>
        <w:t>A nedvességtől való védelem érdekében az eredeti csomagolásban tárolandó.</w:t>
      </w:r>
    </w:p>
    <w:p w14:paraId="3D14E768" w14:textId="77777777" w:rsidR="00FE13F7" w:rsidRPr="00556B9B" w:rsidRDefault="00FE13F7" w:rsidP="00FE13F7">
      <w:pPr>
        <w:numPr>
          <w:ilvl w:val="0"/>
          <w:numId w:val="8"/>
        </w:numPr>
        <w:tabs>
          <w:tab w:val="clear" w:pos="360"/>
        </w:tabs>
        <w:spacing w:line="240" w:lineRule="auto"/>
        <w:ind w:left="567" w:right="-2" w:hanging="567"/>
        <w:rPr>
          <w:color w:val="000000"/>
          <w:lang w:val="hu-HU"/>
        </w:rPr>
      </w:pPr>
      <w:r w:rsidRPr="00556B9B">
        <w:rPr>
          <w:color w:val="000000"/>
          <w:lang w:val="hu-HU"/>
        </w:rPr>
        <w:t>Ne használjon olyan készítményt, melynek csomagolása sérült, vagy bármilyen előzetes felnyitásra utaló jelet észlel.</w:t>
      </w:r>
    </w:p>
    <w:p w14:paraId="65FE53BA" w14:textId="77777777" w:rsidR="00BE05A3" w:rsidRPr="00556B9B" w:rsidRDefault="00BE05A3" w:rsidP="00BE05A3">
      <w:pPr>
        <w:numPr>
          <w:ilvl w:val="0"/>
          <w:numId w:val="8"/>
        </w:numPr>
        <w:tabs>
          <w:tab w:val="clear" w:pos="360"/>
        </w:tabs>
        <w:spacing w:line="240" w:lineRule="auto"/>
        <w:ind w:left="567" w:right="-2" w:hanging="567"/>
        <w:rPr>
          <w:color w:val="000000"/>
          <w:lang w:val="hu-HU"/>
        </w:rPr>
      </w:pPr>
      <w:r w:rsidRPr="00556B9B">
        <w:rPr>
          <w:noProof/>
          <w:szCs w:val="24"/>
          <w:lang w:val="hu-HU"/>
        </w:rPr>
        <w:t xml:space="preserve">Semmilyen gyógyszert ne dobjon a szennyvízbe </w:t>
      </w:r>
      <w:r w:rsidRPr="00556B9B">
        <w:rPr>
          <w:szCs w:val="24"/>
          <w:lang w:val="hu-HU"/>
        </w:rPr>
        <w:t xml:space="preserve">vagy a háztartási </w:t>
      </w:r>
      <w:r w:rsidRPr="00556B9B">
        <w:rPr>
          <w:noProof/>
          <w:szCs w:val="24"/>
          <w:lang w:val="hu-HU"/>
        </w:rPr>
        <w:t>hulladékba.</w:t>
      </w:r>
      <w:r w:rsidRPr="00556B9B">
        <w:rPr>
          <w:szCs w:val="24"/>
          <w:lang w:val="hu-HU"/>
        </w:rPr>
        <w:t xml:space="preserve"> </w:t>
      </w:r>
      <w:r w:rsidRPr="00556B9B">
        <w:rPr>
          <w:lang w:val="hu-HU"/>
        </w:rPr>
        <w:t>Kérdezze meg gyógyszerészét, hogy mit tegyen a már nem használt gyógyszereivel</w:t>
      </w:r>
      <w:r w:rsidRPr="00556B9B">
        <w:rPr>
          <w:szCs w:val="24"/>
          <w:lang w:val="hu-HU"/>
        </w:rPr>
        <w:t>.</w:t>
      </w:r>
      <w:r w:rsidRPr="00556B9B">
        <w:rPr>
          <w:color w:val="FFFFFF"/>
          <w:szCs w:val="24"/>
          <w:lang w:val="hu-HU"/>
        </w:rPr>
        <w:t xml:space="preserve"> </w:t>
      </w:r>
      <w:r w:rsidRPr="00556B9B">
        <w:rPr>
          <w:noProof/>
          <w:szCs w:val="24"/>
          <w:lang w:val="hu-HU"/>
        </w:rPr>
        <w:t>Ezek az intézkedések elősegítik a környezet védelmét.</w:t>
      </w:r>
    </w:p>
    <w:p w14:paraId="68DEE354" w14:textId="77777777" w:rsidR="005A78EA" w:rsidRPr="00556B9B" w:rsidRDefault="005A78EA" w:rsidP="005A78EA">
      <w:pPr>
        <w:ind w:right="-2"/>
        <w:rPr>
          <w:color w:val="000000"/>
          <w:lang w:val="hu-HU"/>
        </w:rPr>
      </w:pPr>
    </w:p>
    <w:p w14:paraId="49C408C6" w14:textId="77777777" w:rsidR="005A78EA" w:rsidRPr="00556B9B" w:rsidRDefault="005A78EA" w:rsidP="005A78EA">
      <w:pPr>
        <w:ind w:right="-2"/>
        <w:rPr>
          <w:color w:val="000000"/>
          <w:lang w:val="hu-HU"/>
        </w:rPr>
      </w:pPr>
    </w:p>
    <w:p w14:paraId="0091660E" w14:textId="77777777" w:rsidR="005A78EA" w:rsidRPr="00556B9B" w:rsidRDefault="005A78EA" w:rsidP="000E0D19">
      <w:pPr>
        <w:keepNext/>
        <w:spacing w:line="240" w:lineRule="auto"/>
        <w:ind w:left="567" w:right="-2" w:hanging="567"/>
        <w:rPr>
          <w:b/>
          <w:color w:val="000000"/>
          <w:lang w:val="hu-HU"/>
        </w:rPr>
      </w:pPr>
      <w:r w:rsidRPr="00556B9B">
        <w:rPr>
          <w:b/>
          <w:color w:val="000000"/>
          <w:lang w:val="hu-HU"/>
        </w:rPr>
        <w:t>6.</w:t>
      </w:r>
      <w:r w:rsidRPr="00556B9B">
        <w:rPr>
          <w:b/>
          <w:color w:val="000000"/>
          <w:lang w:val="hu-HU"/>
        </w:rPr>
        <w:tab/>
      </w:r>
      <w:r w:rsidR="00731BCD" w:rsidRPr="00556B9B">
        <w:rPr>
          <w:b/>
          <w:noProof/>
          <w:szCs w:val="24"/>
          <w:lang w:val="hu-HU"/>
        </w:rPr>
        <w:t>A csomagolás tartalma és egyéb információk</w:t>
      </w:r>
    </w:p>
    <w:p w14:paraId="6504DD8F" w14:textId="77777777" w:rsidR="005A78EA" w:rsidRPr="00556B9B" w:rsidRDefault="005A78EA" w:rsidP="000E0D19">
      <w:pPr>
        <w:keepNext/>
        <w:spacing w:line="240" w:lineRule="auto"/>
        <w:ind w:left="567" w:right="-2" w:hanging="567"/>
        <w:rPr>
          <w:color w:val="000000"/>
          <w:lang w:val="hu-HU"/>
        </w:rPr>
      </w:pPr>
    </w:p>
    <w:p w14:paraId="06B492D1" w14:textId="77777777" w:rsidR="005A78EA" w:rsidRPr="00556B9B" w:rsidRDefault="005A78EA" w:rsidP="000E0D19">
      <w:pPr>
        <w:keepNext/>
        <w:spacing w:line="240" w:lineRule="auto"/>
        <w:rPr>
          <w:b/>
          <w:color w:val="000000"/>
          <w:lang w:val="hu-HU"/>
        </w:rPr>
      </w:pPr>
      <w:r w:rsidRPr="00556B9B">
        <w:rPr>
          <w:b/>
          <w:color w:val="000000"/>
          <w:lang w:val="hu-HU"/>
        </w:rPr>
        <w:t>Mit tartalmaz a Glivec</w:t>
      </w:r>
      <w:r w:rsidR="00B351B1" w:rsidRPr="00556B9B">
        <w:rPr>
          <w:b/>
          <w:color w:val="000000"/>
          <w:lang w:val="hu-HU"/>
        </w:rPr>
        <w:t>?</w:t>
      </w:r>
    </w:p>
    <w:p w14:paraId="0A7DAAFB" w14:textId="77777777" w:rsidR="0047322C" w:rsidRPr="0047322C" w:rsidRDefault="005A78EA" w:rsidP="005A78EA">
      <w:pPr>
        <w:numPr>
          <w:ilvl w:val="0"/>
          <w:numId w:val="13"/>
        </w:numPr>
        <w:spacing w:line="240" w:lineRule="auto"/>
        <w:ind w:right="-2"/>
        <w:rPr>
          <w:color w:val="000000"/>
          <w:lang w:val="hu-HU"/>
        </w:rPr>
      </w:pPr>
      <w:r w:rsidRPr="00556B9B">
        <w:rPr>
          <w:color w:val="000000"/>
          <w:lang w:val="hu-HU"/>
        </w:rPr>
        <w:t>A készítmény hatóanyaga az imatinib</w:t>
      </w:r>
      <w:r w:rsidRPr="00556B9B">
        <w:rPr>
          <w:color w:val="000000"/>
          <w:lang w:val="hu-HU"/>
        </w:rPr>
        <w:noBreakHyphen/>
        <w:t>mezilát.</w:t>
      </w:r>
    </w:p>
    <w:p w14:paraId="58710F07" w14:textId="205FFF0D" w:rsidR="005A78EA" w:rsidRPr="0047322C" w:rsidRDefault="005A78EA" w:rsidP="00D847D4">
      <w:pPr>
        <w:numPr>
          <w:ilvl w:val="1"/>
          <w:numId w:val="13"/>
        </w:numPr>
        <w:tabs>
          <w:tab w:val="clear" w:pos="1080"/>
        </w:tabs>
        <w:spacing w:line="240" w:lineRule="auto"/>
        <w:ind w:left="1134" w:right="-2" w:hanging="567"/>
        <w:rPr>
          <w:color w:val="000000"/>
          <w:lang w:val="hu-HU"/>
        </w:rPr>
      </w:pPr>
      <w:r w:rsidRPr="00556B9B">
        <w:rPr>
          <w:color w:val="000000"/>
          <w:szCs w:val="22"/>
          <w:lang w:val="hu-HU"/>
        </w:rPr>
        <w:t xml:space="preserve">Minden egyes </w:t>
      </w:r>
      <w:r w:rsidR="0047322C">
        <w:rPr>
          <w:color w:val="000000"/>
          <w:szCs w:val="22"/>
          <w:lang w:val="hu-HU"/>
        </w:rPr>
        <w:t>100 mg</w:t>
      </w:r>
      <w:r w:rsidR="0047322C">
        <w:rPr>
          <w:color w:val="000000"/>
          <w:szCs w:val="22"/>
          <w:lang w:val="hu-HU"/>
        </w:rPr>
        <w:noBreakHyphen/>
        <w:t xml:space="preserve">os </w:t>
      </w:r>
      <w:r w:rsidRPr="00556B9B">
        <w:rPr>
          <w:color w:val="000000"/>
          <w:szCs w:val="22"/>
          <w:lang w:val="hu-HU"/>
        </w:rPr>
        <w:t>Glivec tabletta 100 mg imatinib</w:t>
      </w:r>
      <w:r w:rsidRPr="00556B9B">
        <w:rPr>
          <w:color w:val="000000"/>
          <w:szCs w:val="22"/>
          <w:lang w:val="hu-HU"/>
        </w:rPr>
        <w:noBreakHyphen/>
        <w:t>mezilátot tartalmaz.</w:t>
      </w:r>
    </w:p>
    <w:p w14:paraId="35AC0E36" w14:textId="3FC0A5BB" w:rsidR="0047322C" w:rsidRPr="00556B9B" w:rsidRDefault="0047322C" w:rsidP="00D847D4">
      <w:pPr>
        <w:numPr>
          <w:ilvl w:val="1"/>
          <w:numId w:val="13"/>
        </w:numPr>
        <w:tabs>
          <w:tab w:val="clear" w:pos="1080"/>
        </w:tabs>
        <w:spacing w:line="240" w:lineRule="auto"/>
        <w:ind w:left="1134" w:right="-2" w:hanging="567"/>
        <w:rPr>
          <w:color w:val="000000"/>
          <w:lang w:val="hu-HU"/>
        </w:rPr>
      </w:pPr>
      <w:r w:rsidRPr="00556B9B">
        <w:rPr>
          <w:color w:val="000000"/>
          <w:szCs w:val="22"/>
          <w:lang w:val="hu-HU"/>
        </w:rPr>
        <w:t xml:space="preserve">Minden egyes </w:t>
      </w:r>
      <w:r>
        <w:rPr>
          <w:color w:val="000000"/>
          <w:szCs w:val="22"/>
          <w:lang w:val="hu-HU"/>
        </w:rPr>
        <w:t>400 mg</w:t>
      </w:r>
      <w:r>
        <w:rPr>
          <w:color w:val="000000"/>
          <w:szCs w:val="22"/>
          <w:lang w:val="hu-HU"/>
        </w:rPr>
        <w:noBreakHyphen/>
        <w:t>os Glivec tabletta 4</w:t>
      </w:r>
      <w:r w:rsidRPr="00556B9B">
        <w:rPr>
          <w:color w:val="000000"/>
          <w:szCs w:val="22"/>
          <w:lang w:val="hu-HU"/>
        </w:rPr>
        <w:t>00 mg imatinib</w:t>
      </w:r>
      <w:r w:rsidRPr="00556B9B">
        <w:rPr>
          <w:color w:val="000000"/>
          <w:szCs w:val="22"/>
          <w:lang w:val="hu-HU"/>
        </w:rPr>
        <w:noBreakHyphen/>
        <w:t>mezilátot tartalmaz.</w:t>
      </w:r>
    </w:p>
    <w:p w14:paraId="045A54BE" w14:textId="77777777" w:rsidR="005A78EA" w:rsidRPr="00556B9B" w:rsidRDefault="005A78EA" w:rsidP="005A78EA">
      <w:pPr>
        <w:numPr>
          <w:ilvl w:val="0"/>
          <w:numId w:val="13"/>
        </w:numPr>
        <w:spacing w:line="240" w:lineRule="auto"/>
        <w:rPr>
          <w:bCs/>
          <w:color w:val="000000"/>
          <w:lang w:val="hu-HU"/>
        </w:rPr>
      </w:pPr>
      <w:r w:rsidRPr="00556B9B">
        <w:rPr>
          <w:color w:val="000000"/>
          <w:lang w:val="hu-HU"/>
        </w:rPr>
        <w:t>Egyéb összetevők a mikrokristályos cellulóz, kroszpovidon, hipromellóz, magnézium</w:t>
      </w:r>
      <w:r w:rsidRPr="00556B9B">
        <w:rPr>
          <w:color w:val="000000"/>
          <w:lang w:val="hu-HU"/>
        </w:rPr>
        <w:noBreakHyphen/>
        <w:t>sztearát, vízmentes kolloid szilícium</w:t>
      </w:r>
      <w:r w:rsidRPr="00556B9B">
        <w:rPr>
          <w:color w:val="000000"/>
          <w:lang w:val="hu-HU"/>
        </w:rPr>
        <w:noBreakHyphen/>
        <w:t>dioxid.</w:t>
      </w:r>
    </w:p>
    <w:p w14:paraId="18719E4B" w14:textId="77777777" w:rsidR="005A78EA" w:rsidRPr="00556B9B" w:rsidRDefault="005A78EA" w:rsidP="005A78EA">
      <w:pPr>
        <w:numPr>
          <w:ilvl w:val="0"/>
          <w:numId w:val="13"/>
        </w:numPr>
        <w:spacing w:line="240" w:lineRule="auto"/>
        <w:rPr>
          <w:bCs/>
          <w:color w:val="000000"/>
          <w:lang w:val="hu-HU"/>
        </w:rPr>
      </w:pPr>
      <w:r w:rsidRPr="00556B9B">
        <w:rPr>
          <w:color w:val="000000"/>
          <w:lang w:val="hu-HU"/>
        </w:rPr>
        <w:t>A bevonat vörös vas</w:t>
      </w:r>
      <w:r w:rsidRPr="00556B9B">
        <w:rPr>
          <w:color w:val="000000"/>
          <w:lang w:val="hu-HU"/>
        </w:rPr>
        <w:noBreakHyphen/>
        <w:t>oxidot (E172), sárga vas</w:t>
      </w:r>
      <w:r w:rsidRPr="00556B9B">
        <w:rPr>
          <w:color w:val="000000"/>
          <w:lang w:val="hu-HU"/>
        </w:rPr>
        <w:noBreakHyphen/>
        <w:t>oxidot (E172), makrogolt, talkumot és hipromellózt tartalmaz.</w:t>
      </w:r>
    </w:p>
    <w:p w14:paraId="59D26F99" w14:textId="77777777" w:rsidR="005A78EA" w:rsidRPr="00556B9B" w:rsidRDefault="005A78EA" w:rsidP="005A78EA">
      <w:pPr>
        <w:spacing w:line="240" w:lineRule="auto"/>
        <w:rPr>
          <w:color w:val="000000"/>
          <w:lang w:val="hu-HU"/>
        </w:rPr>
      </w:pPr>
    </w:p>
    <w:p w14:paraId="79101DF1" w14:textId="77777777" w:rsidR="005A78EA" w:rsidRPr="00556B9B" w:rsidRDefault="005A78EA" w:rsidP="00226437">
      <w:pPr>
        <w:keepNext/>
        <w:spacing w:line="240" w:lineRule="auto"/>
        <w:ind w:right="-2"/>
        <w:rPr>
          <w:b/>
          <w:color w:val="000000"/>
          <w:lang w:val="hu-HU"/>
        </w:rPr>
      </w:pPr>
      <w:r w:rsidRPr="00556B9B">
        <w:rPr>
          <w:b/>
          <w:color w:val="000000"/>
          <w:lang w:val="hu-HU"/>
        </w:rPr>
        <w:t>Milyen a Glivec külleme és mit tartalmaz a csomagolás</w:t>
      </w:r>
      <w:r w:rsidR="00B351B1" w:rsidRPr="00556B9B">
        <w:rPr>
          <w:b/>
          <w:color w:val="000000"/>
          <w:lang w:val="hu-HU"/>
        </w:rPr>
        <w:t>?</w:t>
      </w:r>
    </w:p>
    <w:p w14:paraId="7A598CD3" w14:textId="26A1E0FA" w:rsidR="005A78EA" w:rsidRDefault="005A78EA" w:rsidP="005A78EA">
      <w:pPr>
        <w:spacing w:line="240" w:lineRule="auto"/>
        <w:rPr>
          <w:color w:val="000000"/>
          <w:lang w:val="hu-HU"/>
        </w:rPr>
      </w:pPr>
      <w:r w:rsidRPr="00556B9B">
        <w:rPr>
          <w:color w:val="000000"/>
          <w:lang w:val="hu-HU"/>
        </w:rPr>
        <w:t>A Glivec 100 mg filmtabletta nagyon sötét sárga </w:t>
      </w:r>
      <w:r w:rsidRPr="00556B9B">
        <w:rPr>
          <w:color w:val="000000"/>
          <w:lang w:val="hu-HU"/>
        </w:rPr>
        <w:noBreakHyphen/>
        <w:t> barnás</w:t>
      </w:r>
      <w:r w:rsidRPr="00556B9B">
        <w:rPr>
          <w:color w:val="000000"/>
          <w:lang w:val="hu-HU"/>
        </w:rPr>
        <w:noBreakHyphen/>
        <w:t>narancssárga kerek tabletta. Egyik oldalán „</w:t>
      </w:r>
      <w:smartTag w:uri="urn:schemas-microsoft-com:office:smarttags" w:element="stockticker">
        <w:r w:rsidRPr="00556B9B">
          <w:rPr>
            <w:color w:val="000000"/>
            <w:lang w:val="hu-HU"/>
          </w:rPr>
          <w:t>NVR</w:t>
        </w:r>
      </w:smartTag>
      <w:r w:rsidRPr="00556B9B">
        <w:rPr>
          <w:color w:val="000000"/>
          <w:lang w:val="hu-HU"/>
        </w:rPr>
        <w:t>” felirat, a másikon „SA” felirat és felezővonal található.</w:t>
      </w:r>
    </w:p>
    <w:p w14:paraId="2B40A0B4" w14:textId="4D3ECC4C" w:rsidR="0047322C" w:rsidRPr="00556B9B" w:rsidRDefault="0047322C" w:rsidP="005A78EA">
      <w:pPr>
        <w:spacing w:line="240" w:lineRule="auto"/>
        <w:rPr>
          <w:color w:val="000000"/>
          <w:lang w:val="hu-HU"/>
        </w:rPr>
      </w:pPr>
      <w:r w:rsidRPr="00556B9B">
        <w:rPr>
          <w:color w:val="000000"/>
          <w:lang w:val="hu-HU"/>
        </w:rPr>
        <w:t>A Glivec 400 mg filmtabletta nagyon sötét sárga </w:t>
      </w:r>
      <w:r w:rsidRPr="00556B9B">
        <w:rPr>
          <w:color w:val="000000"/>
          <w:lang w:val="hu-HU"/>
        </w:rPr>
        <w:noBreakHyphen/>
        <w:t> barnás</w:t>
      </w:r>
      <w:r w:rsidRPr="00556B9B">
        <w:rPr>
          <w:color w:val="000000"/>
          <w:lang w:val="hu-HU"/>
        </w:rPr>
        <w:noBreakHyphen/>
        <w:t>narancssárga ovális tabletta. Egyik oldalon „glivec” felirat található.</w:t>
      </w:r>
    </w:p>
    <w:p w14:paraId="587C789B" w14:textId="77777777" w:rsidR="005A78EA" w:rsidRPr="00556B9B" w:rsidRDefault="005A78EA" w:rsidP="005A78EA">
      <w:pPr>
        <w:spacing w:line="240" w:lineRule="auto"/>
        <w:rPr>
          <w:bCs/>
          <w:color w:val="000000"/>
          <w:lang w:val="hu-HU"/>
        </w:rPr>
      </w:pPr>
    </w:p>
    <w:p w14:paraId="3CE7DE04" w14:textId="75BB26ED" w:rsidR="0047322C" w:rsidRDefault="005A78EA" w:rsidP="005A78EA">
      <w:pPr>
        <w:spacing w:line="260" w:lineRule="atLeast"/>
        <w:rPr>
          <w:color w:val="000000"/>
          <w:lang w:val="hu-HU"/>
        </w:rPr>
      </w:pPr>
      <w:r w:rsidRPr="00556B9B">
        <w:rPr>
          <w:color w:val="000000"/>
          <w:lang w:val="hu-HU"/>
        </w:rPr>
        <w:t xml:space="preserve">A </w:t>
      </w:r>
      <w:r w:rsidR="0047322C">
        <w:rPr>
          <w:color w:val="000000"/>
          <w:lang w:val="hu-HU"/>
        </w:rPr>
        <w:t>Glivec 100 mg</w:t>
      </w:r>
      <w:r w:rsidR="0047322C">
        <w:rPr>
          <w:color w:val="000000"/>
          <w:lang w:val="hu-HU"/>
        </w:rPr>
        <w:noBreakHyphen/>
        <w:t xml:space="preserve">os filmtabletta </w:t>
      </w:r>
      <w:r w:rsidRPr="00556B9B">
        <w:rPr>
          <w:color w:val="000000"/>
          <w:lang w:val="hu-HU"/>
        </w:rPr>
        <w:t>csomagolások 20, 60, 120 vagy 180 tablettát tartalmaznak</w:t>
      </w:r>
      <w:r w:rsidR="0047322C">
        <w:rPr>
          <w:color w:val="000000"/>
          <w:lang w:val="hu-HU"/>
        </w:rPr>
        <w:t>.</w:t>
      </w:r>
    </w:p>
    <w:p w14:paraId="583BD74C" w14:textId="354EB9B3" w:rsidR="0047322C" w:rsidRDefault="0047322C" w:rsidP="005A78EA">
      <w:pPr>
        <w:spacing w:line="260" w:lineRule="atLeast"/>
        <w:rPr>
          <w:color w:val="000000"/>
          <w:lang w:val="hu-HU"/>
        </w:rPr>
      </w:pPr>
      <w:r w:rsidRPr="00556B9B">
        <w:rPr>
          <w:color w:val="000000"/>
          <w:lang w:val="hu-HU"/>
        </w:rPr>
        <w:t xml:space="preserve">A </w:t>
      </w:r>
      <w:r>
        <w:rPr>
          <w:color w:val="000000"/>
          <w:lang w:val="hu-HU"/>
        </w:rPr>
        <w:t>Glivec 400 mg</w:t>
      </w:r>
      <w:r>
        <w:rPr>
          <w:color w:val="000000"/>
          <w:lang w:val="hu-HU"/>
        </w:rPr>
        <w:noBreakHyphen/>
        <w:t>os filmtabletta csomagolások 10, 30 vagy 90</w:t>
      </w:r>
      <w:r w:rsidRPr="00556B9B">
        <w:rPr>
          <w:color w:val="000000"/>
          <w:lang w:val="hu-HU"/>
        </w:rPr>
        <w:t> tablettát tartalmaznak</w:t>
      </w:r>
      <w:r>
        <w:rPr>
          <w:color w:val="000000"/>
          <w:lang w:val="hu-HU"/>
        </w:rPr>
        <w:t>.</w:t>
      </w:r>
    </w:p>
    <w:p w14:paraId="3A2BB930" w14:textId="1DC85E41" w:rsidR="005A78EA" w:rsidRPr="00556B9B" w:rsidRDefault="0047322C" w:rsidP="005A78EA">
      <w:pPr>
        <w:spacing w:line="260" w:lineRule="atLeast"/>
        <w:rPr>
          <w:color w:val="000000"/>
          <w:lang w:val="hu-HU"/>
        </w:rPr>
      </w:pPr>
      <w:r>
        <w:rPr>
          <w:color w:val="000000"/>
          <w:lang w:val="hu-HU"/>
        </w:rPr>
        <w:t>N</w:t>
      </w:r>
      <w:r w:rsidR="005A78EA" w:rsidRPr="00556B9B">
        <w:rPr>
          <w:color w:val="000000"/>
          <w:lang w:val="hu-HU"/>
        </w:rPr>
        <w:t>em feltétlenül mindegyik kiszerelés kerül kereskedelmi forgalomba.</w:t>
      </w:r>
    </w:p>
    <w:p w14:paraId="3A6C28F9" w14:textId="77777777" w:rsidR="005A78EA" w:rsidRPr="00556B9B" w:rsidRDefault="005A78EA" w:rsidP="005A78EA">
      <w:pPr>
        <w:spacing w:line="240" w:lineRule="auto"/>
        <w:ind w:right="-2"/>
        <w:rPr>
          <w:color w:val="000000"/>
          <w:lang w:val="hu-HU"/>
        </w:rPr>
      </w:pPr>
    </w:p>
    <w:p w14:paraId="626CBDAF" w14:textId="77777777" w:rsidR="005A78EA" w:rsidRPr="00556B9B" w:rsidRDefault="005A78EA" w:rsidP="00226437">
      <w:pPr>
        <w:keepNext/>
        <w:spacing w:line="240" w:lineRule="auto"/>
        <w:ind w:right="-2"/>
        <w:rPr>
          <w:b/>
          <w:color w:val="000000"/>
          <w:lang w:val="hu-HU"/>
        </w:rPr>
      </w:pPr>
      <w:r w:rsidRPr="00556B9B">
        <w:rPr>
          <w:b/>
          <w:color w:val="000000"/>
          <w:lang w:val="hu-HU"/>
        </w:rPr>
        <w:t>A forgalomba hozatali engedély jogosultja</w:t>
      </w:r>
    </w:p>
    <w:p w14:paraId="00B5CBA1" w14:textId="77777777" w:rsidR="005A78EA" w:rsidRPr="00556B9B" w:rsidRDefault="005A78EA" w:rsidP="00226437">
      <w:pPr>
        <w:keepNext/>
        <w:spacing w:line="240" w:lineRule="auto"/>
        <w:rPr>
          <w:color w:val="000000"/>
          <w:lang w:val="hu-HU"/>
        </w:rPr>
      </w:pPr>
      <w:r w:rsidRPr="00556B9B">
        <w:rPr>
          <w:color w:val="000000"/>
          <w:lang w:val="hu-HU"/>
        </w:rPr>
        <w:t>Novartis Europharm Limited</w:t>
      </w:r>
    </w:p>
    <w:p w14:paraId="595185ED" w14:textId="77777777" w:rsidR="002000AC" w:rsidRPr="00556B9B" w:rsidRDefault="002000AC" w:rsidP="002000AC">
      <w:pPr>
        <w:keepNext/>
        <w:widowControl w:val="0"/>
        <w:spacing w:line="240" w:lineRule="auto"/>
        <w:rPr>
          <w:color w:val="000000"/>
        </w:rPr>
      </w:pPr>
      <w:r w:rsidRPr="00556B9B">
        <w:rPr>
          <w:color w:val="000000"/>
        </w:rPr>
        <w:t>Vista Building</w:t>
      </w:r>
    </w:p>
    <w:p w14:paraId="278BB5E8" w14:textId="77777777" w:rsidR="002000AC" w:rsidRPr="00556B9B" w:rsidRDefault="002000AC" w:rsidP="002000AC">
      <w:pPr>
        <w:keepNext/>
        <w:widowControl w:val="0"/>
        <w:spacing w:line="240" w:lineRule="auto"/>
        <w:rPr>
          <w:color w:val="000000"/>
        </w:rPr>
      </w:pPr>
      <w:r w:rsidRPr="00556B9B">
        <w:rPr>
          <w:color w:val="000000"/>
        </w:rPr>
        <w:t>Elm Park, Merrion Road</w:t>
      </w:r>
    </w:p>
    <w:p w14:paraId="35CE5E4C" w14:textId="77777777" w:rsidR="002000AC" w:rsidRPr="00556B9B" w:rsidRDefault="002000AC" w:rsidP="002000AC">
      <w:pPr>
        <w:keepNext/>
        <w:widowControl w:val="0"/>
        <w:spacing w:line="240" w:lineRule="auto"/>
        <w:rPr>
          <w:color w:val="000000"/>
        </w:rPr>
      </w:pPr>
      <w:r w:rsidRPr="00556B9B">
        <w:rPr>
          <w:color w:val="000000"/>
        </w:rPr>
        <w:t>Dublin 4</w:t>
      </w:r>
    </w:p>
    <w:p w14:paraId="49045B5B" w14:textId="77777777" w:rsidR="005A78EA" w:rsidRPr="00556B9B" w:rsidRDefault="002000AC" w:rsidP="005A78EA">
      <w:pPr>
        <w:spacing w:line="240" w:lineRule="auto"/>
        <w:rPr>
          <w:color w:val="000000"/>
          <w:lang w:val="hu-HU"/>
        </w:rPr>
      </w:pPr>
      <w:r w:rsidRPr="00556B9B">
        <w:rPr>
          <w:color w:val="000000"/>
        </w:rPr>
        <w:t>Írország</w:t>
      </w:r>
    </w:p>
    <w:p w14:paraId="4731926B" w14:textId="77777777" w:rsidR="005A78EA" w:rsidRPr="00556B9B" w:rsidRDefault="005A78EA" w:rsidP="005A78EA">
      <w:pPr>
        <w:spacing w:line="240" w:lineRule="auto"/>
        <w:ind w:right="-2"/>
        <w:rPr>
          <w:color w:val="000000"/>
          <w:lang w:val="hu-HU"/>
        </w:rPr>
      </w:pPr>
    </w:p>
    <w:p w14:paraId="53CADCF9" w14:textId="77777777" w:rsidR="005A78EA" w:rsidRPr="00556B9B" w:rsidRDefault="005A78EA" w:rsidP="00226437">
      <w:pPr>
        <w:keepNext/>
        <w:spacing w:line="240" w:lineRule="auto"/>
        <w:ind w:right="-2"/>
        <w:rPr>
          <w:b/>
          <w:color w:val="000000"/>
          <w:lang w:val="hu-HU"/>
        </w:rPr>
      </w:pPr>
      <w:r w:rsidRPr="00556B9B">
        <w:rPr>
          <w:b/>
          <w:color w:val="000000"/>
          <w:lang w:val="hu-HU"/>
        </w:rPr>
        <w:t>Gyártó</w:t>
      </w:r>
    </w:p>
    <w:p w14:paraId="288C2EF3" w14:textId="77777777" w:rsidR="006E577C" w:rsidRPr="00FE57F2" w:rsidRDefault="006E577C" w:rsidP="006E577C">
      <w:pPr>
        <w:keepNext/>
        <w:widowControl w:val="0"/>
        <w:tabs>
          <w:tab w:val="left" w:pos="7513"/>
        </w:tabs>
        <w:spacing w:line="240" w:lineRule="auto"/>
        <w:rPr>
          <w:szCs w:val="22"/>
        </w:rPr>
      </w:pPr>
      <w:r w:rsidRPr="00FE57F2">
        <w:rPr>
          <w:szCs w:val="22"/>
        </w:rPr>
        <w:t>Lek d.d, PE PROIZVODNJA LENDAVA</w:t>
      </w:r>
    </w:p>
    <w:p w14:paraId="24F1E8BC" w14:textId="77777777" w:rsidR="006E577C" w:rsidRPr="00D1632D" w:rsidRDefault="006E577C" w:rsidP="006E577C">
      <w:pPr>
        <w:keepNext/>
        <w:widowControl w:val="0"/>
        <w:tabs>
          <w:tab w:val="left" w:pos="7513"/>
        </w:tabs>
        <w:spacing w:line="240" w:lineRule="auto"/>
        <w:rPr>
          <w:szCs w:val="22"/>
          <w:lang w:val="fr-CH"/>
        </w:rPr>
      </w:pPr>
      <w:r w:rsidRPr="00D1632D">
        <w:rPr>
          <w:szCs w:val="22"/>
          <w:lang w:val="fr-CH"/>
        </w:rPr>
        <w:t>Trimlini 2D</w:t>
      </w:r>
    </w:p>
    <w:p w14:paraId="6F7A4092" w14:textId="77777777" w:rsidR="006E577C" w:rsidRPr="00D1632D" w:rsidRDefault="006E577C" w:rsidP="006E577C">
      <w:pPr>
        <w:keepNext/>
        <w:widowControl w:val="0"/>
        <w:tabs>
          <w:tab w:val="left" w:pos="7513"/>
        </w:tabs>
        <w:spacing w:line="240" w:lineRule="auto"/>
        <w:rPr>
          <w:szCs w:val="22"/>
          <w:lang w:val="fr-CH"/>
        </w:rPr>
      </w:pPr>
      <w:r w:rsidRPr="00D1632D">
        <w:rPr>
          <w:szCs w:val="22"/>
          <w:lang w:val="fr-CH"/>
        </w:rPr>
        <w:t>Lendava, 9220</w:t>
      </w:r>
    </w:p>
    <w:p w14:paraId="400C1DCC" w14:textId="77777777" w:rsidR="006E577C" w:rsidRPr="00D1632D" w:rsidRDefault="006E577C" w:rsidP="006E577C">
      <w:pPr>
        <w:widowControl w:val="0"/>
        <w:tabs>
          <w:tab w:val="left" w:pos="7513"/>
        </w:tabs>
        <w:spacing w:line="240" w:lineRule="auto"/>
        <w:rPr>
          <w:szCs w:val="22"/>
          <w:lang w:val="pt-BR"/>
        </w:rPr>
      </w:pPr>
      <w:r w:rsidRPr="00C30B97">
        <w:rPr>
          <w:szCs w:val="22"/>
          <w:lang w:val="fr-CH"/>
        </w:rPr>
        <w:t>Szlovénia</w:t>
      </w:r>
    </w:p>
    <w:p w14:paraId="2BDFDF39" w14:textId="77777777" w:rsidR="006E577C" w:rsidRPr="00D1632D" w:rsidRDefault="006E577C" w:rsidP="006E577C">
      <w:pPr>
        <w:widowControl w:val="0"/>
        <w:tabs>
          <w:tab w:val="left" w:pos="7513"/>
        </w:tabs>
        <w:spacing w:line="240" w:lineRule="auto"/>
        <w:rPr>
          <w:szCs w:val="22"/>
          <w:lang w:val="pt-BR"/>
        </w:rPr>
      </w:pPr>
    </w:p>
    <w:p w14:paraId="46834574" w14:textId="77777777" w:rsidR="005A78EA" w:rsidRPr="00C30B97" w:rsidRDefault="005A78EA" w:rsidP="00C30B97">
      <w:pPr>
        <w:keepNext/>
        <w:spacing w:line="240" w:lineRule="auto"/>
        <w:rPr>
          <w:color w:val="000000"/>
          <w:shd w:val="pct15" w:color="auto" w:fill="auto"/>
          <w:lang w:val="hu-HU"/>
        </w:rPr>
      </w:pPr>
      <w:r w:rsidRPr="00C30B97">
        <w:rPr>
          <w:color w:val="000000"/>
          <w:shd w:val="pct15" w:color="auto" w:fill="auto"/>
          <w:lang w:val="hu-HU"/>
        </w:rPr>
        <w:t>Novartis Pharma GmbH</w:t>
      </w:r>
    </w:p>
    <w:p w14:paraId="350C5260" w14:textId="77777777" w:rsidR="005A78EA" w:rsidRPr="00C30B97" w:rsidRDefault="005A78EA" w:rsidP="00C30B97">
      <w:pPr>
        <w:keepNext/>
        <w:spacing w:line="240" w:lineRule="auto"/>
        <w:rPr>
          <w:color w:val="000000"/>
          <w:shd w:val="pct15" w:color="auto" w:fill="auto"/>
          <w:lang w:val="hu-HU"/>
        </w:rPr>
      </w:pPr>
      <w:r w:rsidRPr="00C30B97">
        <w:rPr>
          <w:color w:val="000000"/>
          <w:shd w:val="pct15" w:color="auto" w:fill="auto"/>
          <w:lang w:val="hu-HU"/>
        </w:rPr>
        <w:t>Roonstrasse 25</w:t>
      </w:r>
    </w:p>
    <w:p w14:paraId="34C1018C" w14:textId="77777777" w:rsidR="005A78EA" w:rsidRPr="00C30B97" w:rsidRDefault="005A78EA" w:rsidP="00C30B97">
      <w:pPr>
        <w:keepNext/>
        <w:spacing w:line="240" w:lineRule="auto"/>
        <w:rPr>
          <w:color w:val="000000"/>
          <w:shd w:val="pct15" w:color="auto" w:fill="auto"/>
          <w:lang w:val="hu-HU"/>
        </w:rPr>
      </w:pPr>
      <w:r w:rsidRPr="00C30B97">
        <w:rPr>
          <w:color w:val="000000"/>
          <w:shd w:val="pct15" w:color="auto" w:fill="auto"/>
          <w:lang w:val="hu-HU"/>
        </w:rPr>
        <w:t>D</w:t>
      </w:r>
      <w:r w:rsidRPr="00C30B97">
        <w:rPr>
          <w:color w:val="000000"/>
          <w:shd w:val="pct15" w:color="auto" w:fill="auto"/>
          <w:lang w:val="hu-HU"/>
        </w:rPr>
        <w:noBreakHyphen/>
        <w:t>90429 Nürnberg</w:t>
      </w:r>
    </w:p>
    <w:p w14:paraId="6B651513" w14:textId="77777777" w:rsidR="005A78EA" w:rsidRPr="00C30B97" w:rsidRDefault="005A78EA" w:rsidP="005A78EA">
      <w:pPr>
        <w:spacing w:line="240" w:lineRule="auto"/>
        <w:ind w:right="-2"/>
        <w:rPr>
          <w:color w:val="000000"/>
          <w:shd w:val="pct15" w:color="auto" w:fill="auto"/>
          <w:lang w:val="hu-HU"/>
        </w:rPr>
      </w:pPr>
      <w:r w:rsidRPr="00C30B97">
        <w:rPr>
          <w:color w:val="000000"/>
          <w:shd w:val="pct15" w:color="auto" w:fill="auto"/>
          <w:lang w:val="hu-HU"/>
        </w:rPr>
        <w:t>Németország</w:t>
      </w:r>
    </w:p>
    <w:p w14:paraId="1FE6631B" w14:textId="77777777" w:rsidR="005A78EA" w:rsidRPr="00556B9B" w:rsidRDefault="005A78EA" w:rsidP="005A78EA">
      <w:pPr>
        <w:spacing w:line="240" w:lineRule="auto"/>
        <w:rPr>
          <w:color w:val="000000"/>
          <w:lang w:val="hu-HU"/>
        </w:rPr>
      </w:pPr>
    </w:p>
    <w:p w14:paraId="6474B72E" w14:textId="77777777" w:rsidR="005A78EA" w:rsidRPr="00556B9B" w:rsidRDefault="005A78EA" w:rsidP="00226437">
      <w:pPr>
        <w:keepNext/>
        <w:spacing w:line="240" w:lineRule="auto"/>
        <w:rPr>
          <w:color w:val="000000"/>
          <w:lang w:val="hu-HU"/>
        </w:rPr>
      </w:pPr>
      <w:r w:rsidRPr="00556B9B">
        <w:rPr>
          <w:color w:val="000000"/>
          <w:lang w:val="hu-HU"/>
        </w:rPr>
        <w:lastRenderedPageBreak/>
        <w:t>A készítményhez kapcsolódó további kérdéseivel forduljon a forgalomba hozatali engedély jogosultjának helyi képviseletéhez:</w:t>
      </w:r>
    </w:p>
    <w:p w14:paraId="6CA45EA3" w14:textId="77777777" w:rsidR="00D738CD" w:rsidRPr="00556B9B" w:rsidRDefault="00D738CD" w:rsidP="00226437">
      <w:pPr>
        <w:keepNext/>
        <w:widowControl w:val="0"/>
        <w:spacing w:line="240" w:lineRule="auto"/>
        <w:ind w:right="-449"/>
        <w:rPr>
          <w:rFonts w:cs="Times New Roman"/>
          <w:color w:val="000000"/>
          <w:szCs w:val="22"/>
          <w:lang w:val="hu-HU"/>
        </w:rPr>
      </w:pPr>
    </w:p>
    <w:tbl>
      <w:tblPr>
        <w:tblW w:w="9300" w:type="dxa"/>
        <w:tblLayout w:type="fixed"/>
        <w:tblLook w:val="0000" w:firstRow="0" w:lastRow="0" w:firstColumn="0" w:lastColumn="0" w:noHBand="0" w:noVBand="0"/>
      </w:tblPr>
      <w:tblGrid>
        <w:gridCol w:w="4650"/>
        <w:gridCol w:w="4650"/>
      </w:tblGrid>
      <w:tr w:rsidR="00D738CD" w:rsidRPr="00556B9B" w14:paraId="6070D2CC" w14:textId="77777777" w:rsidTr="002000AC">
        <w:trPr>
          <w:cantSplit/>
        </w:trPr>
        <w:tc>
          <w:tcPr>
            <w:tcW w:w="4650" w:type="dxa"/>
          </w:tcPr>
          <w:p w14:paraId="78CF87E0" w14:textId="77777777" w:rsidR="00D738CD" w:rsidRPr="00556B9B" w:rsidRDefault="00D738CD" w:rsidP="00480EDD">
            <w:pPr>
              <w:rPr>
                <w:rFonts w:cs="Times New Roman"/>
                <w:b/>
                <w:color w:val="000000"/>
                <w:szCs w:val="22"/>
                <w:lang w:val="fr-FR"/>
              </w:rPr>
            </w:pPr>
            <w:r w:rsidRPr="00556B9B">
              <w:rPr>
                <w:rFonts w:cs="Times New Roman"/>
                <w:b/>
                <w:color w:val="000000"/>
                <w:szCs w:val="22"/>
                <w:lang w:val="fr-FR"/>
              </w:rPr>
              <w:t>België/Belgique/Belgien</w:t>
            </w:r>
          </w:p>
          <w:p w14:paraId="4C9C9589"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Novartis Pharma N.V.</w:t>
            </w:r>
          </w:p>
          <w:p w14:paraId="2E2177AC" w14:textId="77777777" w:rsidR="00D738CD" w:rsidRPr="00556B9B" w:rsidRDefault="00D738CD" w:rsidP="00480EDD">
            <w:pPr>
              <w:rPr>
                <w:rFonts w:cs="Times New Roman"/>
                <w:color w:val="000000"/>
                <w:szCs w:val="22"/>
              </w:rPr>
            </w:pPr>
            <w:r w:rsidRPr="00556B9B">
              <w:rPr>
                <w:rFonts w:cs="Times New Roman"/>
                <w:color w:val="000000"/>
                <w:szCs w:val="22"/>
              </w:rPr>
              <w:t>Tél/Tel: +32 2 246 16 11</w:t>
            </w:r>
          </w:p>
          <w:p w14:paraId="54F8BF39" w14:textId="77777777" w:rsidR="00D738CD" w:rsidRPr="00556B9B" w:rsidRDefault="00D738CD" w:rsidP="00480EDD">
            <w:pPr>
              <w:rPr>
                <w:rFonts w:cs="Times New Roman"/>
                <w:b/>
                <w:color w:val="000000"/>
                <w:szCs w:val="22"/>
              </w:rPr>
            </w:pPr>
          </w:p>
        </w:tc>
        <w:tc>
          <w:tcPr>
            <w:tcW w:w="4650" w:type="dxa"/>
          </w:tcPr>
          <w:p w14:paraId="65CCE152" w14:textId="77777777" w:rsidR="00D738CD" w:rsidRPr="00556B9B" w:rsidRDefault="00D738CD" w:rsidP="00480EDD">
            <w:pPr>
              <w:rPr>
                <w:rFonts w:cs="Times New Roman"/>
                <w:b/>
                <w:color w:val="000000"/>
                <w:szCs w:val="22"/>
                <w:lang w:val="es-ES"/>
              </w:rPr>
            </w:pPr>
            <w:r w:rsidRPr="00556B9B">
              <w:rPr>
                <w:rFonts w:cs="Times New Roman"/>
                <w:b/>
                <w:color w:val="000000"/>
                <w:szCs w:val="22"/>
                <w:lang w:val="es-ES"/>
              </w:rPr>
              <w:t>Lietuva</w:t>
            </w:r>
          </w:p>
          <w:p w14:paraId="7FECEB0A" w14:textId="3D77E832" w:rsidR="00D738CD" w:rsidRPr="00556B9B" w:rsidRDefault="00FD611A" w:rsidP="00480EDD">
            <w:pPr>
              <w:rPr>
                <w:rFonts w:cs="Times New Roman"/>
                <w:color w:val="000000"/>
                <w:szCs w:val="22"/>
                <w:lang w:val="es-ES"/>
              </w:rPr>
            </w:pPr>
            <w:r w:rsidRPr="00556B9B">
              <w:rPr>
                <w:szCs w:val="22"/>
                <w:lang w:val="es-ES"/>
              </w:rPr>
              <w:t>SIA Novartis Baltics Lietuvos filialas</w:t>
            </w:r>
          </w:p>
          <w:p w14:paraId="3F01E02F" w14:textId="77777777" w:rsidR="00D738CD" w:rsidRPr="00556B9B" w:rsidRDefault="00D738CD" w:rsidP="00480EDD">
            <w:pPr>
              <w:rPr>
                <w:rFonts w:cs="Times New Roman"/>
                <w:color w:val="000000"/>
                <w:szCs w:val="22"/>
                <w:lang w:val="es-ES"/>
              </w:rPr>
            </w:pPr>
            <w:r w:rsidRPr="00556B9B">
              <w:rPr>
                <w:rFonts w:cs="Times New Roman"/>
                <w:color w:val="000000"/>
                <w:szCs w:val="22"/>
                <w:lang w:val="es-ES"/>
              </w:rPr>
              <w:t>Tel: +370 5 269 16 50</w:t>
            </w:r>
          </w:p>
          <w:p w14:paraId="46024729" w14:textId="77777777" w:rsidR="00D738CD" w:rsidRPr="00556B9B" w:rsidRDefault="00D738CD" w:rsidP="00480EDD">
            <w:pPr>
              <w:rPr>
                <w:rFonts w:cs="Times New Roman"/>
                <w:color w:val="000000"/>
                <w:szCs w:val="22"/>
                <w:lang w:val="es-ES"/>
              </w:rPr>
            </w:pPr>
          </w:p>
        </w:tc>
      </w:tr>
      <w:tr w:rsidR="00D738CD" w:rsidRPr="00556B9B" w14:paraId="03F01B00" w14:textId="77777777" w:rsidTr="002000AC">
        <w:trPr>
          <w:cantSplit/>
        </w:trPr>
        <w:tc>
          <w:tcPr>
            <w:tcW w:w="4650" w:type="dxa"/>
          </w:tcPr>
          <w:p w14:paraId="6353D352" w14:textId="77777777" w:rsidR="00D738CD" w:rsidRPr="00FE57F2" w:rsidRDefault="00D738CD" w:rsidP="00480EDD">
            <w:pPr>
              <w:rPr>
                <w:rFonts w:cs="Times New Roman"/>
                <w:b/>
                <w:noProof/>
                <w:color w:val="000000"/>
                <w:szCs w:val="22"/>
                <w:lang w:val="es-ES"/>
              </w:rPr>
            </w:pPr>
            <w:r w:rsidRPr="00556B9B">
              <w:rPr>
                <w:rFonts w:cs="Times New Roman"/>
                <w:b/>
                <w:noProof/>
                <w:color w:val="000000"/>
                <w:szCs w:val="22"/>
              </w:rPr>
              <w:t>България</w:t>
            </w:r>
          </w:p>
          <w:p w14:paraId="21DECA41" w14:textId="77777777" w:rsidR="00D738CD" w:rsidRPr="00FE57F2" w:rsidRDefault="00B4344B" w:rsidP="00480EDD">
            <w:pPr>
              <w:rPr>
                <w:rFonts w:cs="Times New Roman"/>
                <w:noProof/>
                <w:color w:val="000000"/>
                <w:szCs w:val="22"/>
                <w:lang w:val="es-ES"/>
              </w:rPr>
            </w:pPr>
            <w:r w:rsidRPr="00FE57F2">
              <w:rPr>
                <w:szCs w:val="22"/>
                <w:lang w:val="es-ES"/>
              </w:rPr>
              <w:t>Novartis Bulgaria EOOD</w:t>
            </w:r>
          </w:p>
          <w:p w14:paraId="7B01F4CE" w14:textId="77777777" w:rsidR="00D738CD" w:rsidRPr="00FE57F2" w:rsidRDefault="00D738CD" w:rsidP="00480EDD">
            <w:pPr>
              <w:rPr>
                <w:rFonts w:cs="Times New Roman"/>
                <w:noProof/>
                <w:color w:val="000000"/>
                <w:szCs w:val="22"/>
                <w:lang w:val="es-ES"/>
              </w:rPr>
            </w:pPr>
            <w:r w:rsidRPr="00556B9B">
              <w:rPr>
                <w:rFonts w:cs="Times New Roman"/>
                <w:noProof/>
                <w:color w:val="000000"/>
                <w:szCs w:val="22"/>
              </w:rPr>
              <w:t>Тел</w:t>
            </w:r>
            <w:r w:rsidRPr="00FE57F2">
              <w:rPr>
                <w:rFonts w:cs="Times New Roman"/>
                <w:noProof/>
                <w:color w:val="000000"/>
                <w:szCs w:val="22"/>
                <w:lang w:val="es-ES"/>
              </w:rPr>
              <w:t>.: +359 2 489 98 28</w:t>
            </w:r>
          </w:p>
          <w:p w14:paraId="151970D5" w14:textId="77777777" w:rsidR="00D738CD" w:rsidRPr="00556B9B" w:rsidRDefault="00D738CD" w:rsidP="00480EDD">
            <w:pPr>
              <w:rPr>
                <w:rFonts w:cs="Times New Roman"/>
                <w:b/>
                <w:color w:val="000000"/>
                <w:szCs w:val="22"/>
                <w:lang w:val="pt-BR"/>
              </w:rPr>
            </w:pPr>
          </w:p>
        </w:tc>
        <w:tc>
          <w:tcPr>
            <w:tcW w:w="4650" w:type="dxa"/>
          </w:tcPr>
          <w:p w14:paraId="0C0A67BC"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Luxembourg/Luxemburg</w:t>
            </w:r>
          </w:p>
          <w:p w14:paraId="063A4E4C"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Pharma N.V.</w:t>
            </w:r>
          </w:p>
          <w:p w14:paraId="05DA7987"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Tél/Tel: +32 2 246 16 11</w:t>
            </w:r>
          </w:p>
          <w:p w14:paraId="2974E133" w14:textId="77777777" w:rsidR="00D738CD" w:rsidRPr="00556B9B" w:rsidRDefault="00D738CD" w:rsidP="00480EDD">
            <w:pPr>
              <w:rPr>
                <w:rFonts w:cs="Times New Roman"/>
                <w:color w:val="000000"/>
                <w:szCs w:val="22"/>
                <w:lang w:val="de-CH"/>
              </w:rPr>
            </w:pPr>
          </w:p>
        </w:tc>
      </w:tr>
      <w:tr w:rsidR="00D738CD" w:rsidRPr="00556B9B" w14:paraId="032481C1" w14:textId="77777777" w:rsidTr="002000AC">
        <w:trPr>
          <w:cantSplit/>
        </w:trPr>
        <w:tc>
          <w:tcPr>
            <w:tcW w:w="4650" w:type="dxa"/>
          </w:tcPr>
          <w:p w14:paraId="2D488EB1"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Česká republika</w:t>
            </w:r>
          </w:p>
          <w:p w14:paraId="5396DEE9"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s.r.o.</w:t>
            </w:r>
          </w:p>
          <w:p w14:paraId="5DF27CD7" w14:textId="77777777" w:rsidR="00D738CD" w:rsidRPr="00556B9B" w:rsidRDefault="00D738CD" w:rsidP="00480EDD">
            <w:pPr>
              <w:rPr>
                <w:rFonts w:cs="Times New Roman"/>
                <w:color w:val="000000"/>
                <w:szCs w:val="22"/>
              </w:rPr>
            </w:pPr>
            <w:r w:rsidRPr="00556B9B">
              <w:rPr>
                <w:rFonts w:cs="Times New Roman"/>
                <w:color w:val="000000"/>
                <w:szCs w:val="22"/>
              </w:rPr>
              <w:t>Tel: +420 225 775 111</w:t>
            </w:r>
          </w:p>
          <w:p w14:paraId="3AAC2909" w14:textId="77777777" w:rsidR="00D738CD" w:rsidRPr="00556B9B" w:rsidRDefault="00D738CD" w:rsidP="00480EDD">
            <w:pPr>
              <w:rPr>
                <w:rFonts w:cs="Times New Roman"/>
                <w:b/>
                <w:color w:val="000000"/>
                <w:szCs w:val="22"/>
              </w:rPr>
            </w:pPr>
          </w:p>
        </w:tc>
        <w:tc>
          <w:tcPr>
            <w:tcW w:w="4650" w:type="dxa"/>
          </w:tcPr>
          <w:p w14:paraId="79AF0B71"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Magyarország</w:t>
            </w:r>
          </w:p>
          <w:p w14:paraId="4B56F1B3"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Hungária Kft.</w:t>
            </w:r>
          </w:p>
          <w:p w14:paraId="61833F69"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Tel.: +36 1 457 65 00</w:t>
            </w:r>
          </w:p>
        </w:tc>
      </w:tr>
      <w:tr w:rsidR="00D738CD" w:rsidRPr="00556B9B" w14:paraId="3A0F0DCF" w14:textId="77777777" w:rsidTr="002000AC">
        <w:trPr>
          <w:cantSplit/>
        </w:trPr>
        <w:tc>
          <w:tcPr>
            <w:tcW w:w="4650" w:type="dxa"/>
          </w:tcPr>
          <w:p w14:paraId="2A927E17" w14:textId="77777777" w:rsidR="00D738CD" w:rsidRPr="00556B9B" w:rsidRDefault="00D738CD" w:rsidP="00480EDD">
            <w:pPr>
              <w:rPr>
                <w:rFonts w:cs="Times New Roman"/>
                <w:b/>
                <w:color w:val="000000"/>
                <w:szCs w:val="22"/>
              </w:rPr>
            </w:pPr>
            <w:r w:rsidRPr="00556B9B">
              <w:rPr>
                <w:rFonts w:cs="Times New Roman"/>
                <w:b/>
                <w:color w:val="000000"/>
                <w:szCs w:val="22"/>
              </w:rPr>
              <w:t>Danmark</w:t>
            </w:r>
          </w:p>
          <w:p w14:paraId="50FBFBF1" w14:textId="77777777" w:rsidR="00D738CD" w:rsidRPr="00556B9B" w:rsidRDefault="00D738CD" w:rsidP="00480EDD">
            <w:pPr>
              <w:rPr>
                <w:rFonts w:cs="Times New Roman"/>
                <w:color w:val="000000"/>
                <w:szCs w:val="22"/>
              </w:rPr>
            </w:pPr>
            <w:r w:rsidRPr="00556B9B">
              <w:rPr>
                <w:rFonts w:cs="Times New Roman"/>
                <w:color w:val="000000"/>
                <w:szCs w:val="22"/>
              </w:rPr>
              <w:t>Novartis Healthcare A/S</w:t>
            </w:r>
          </w:p>
          <w:p w14:paraId="6DFD373F" w14:textId="77777777" w:rsidR="00D738CD" w:rsidRPr="00556B9B" w:rsidRDefault="00D738CD" w:rsidP="00480EDD">
            <w:pPr>
              <w:rPr>
                <w:rFonts w:cs="Times New Roman"/>
                <w:color w:val="000000"/>
                <w:szCs w:val="22"/>
              </w:rPr>
            </w:pPr>
            <w:r w:rsidRPr="00556B9B">
              <w:rPr>
                <w:rFonts w:cs="Times New Roman"/>
                <w:color w:val="000000"/>
                <w:szCs w:val="22"/>
              </w:rPr>
              <w:t>Tlf: +45 39 16 84 00</w:t>
            </w:r>
          </w:p>
          <w:p w14:paraId="263D5EE7" w14:textId="77777777" w:rsidR="00D738CD" w:rsidRPr="00556B9B" w:rsidRDefault="00D738CD" w:rsidP="00480EDD">
            <w:pPr>
              <w:rPr>
                <w:rFonts w:cs="Times New Roman"/>
                <w:b/>
                <w:color w:val="000000"/>
                <w:szCs w:val="22"/>
              </w:rPr>
            </w:pPr>
          </w:p>
        </w:tc>
        <w:tc>
          <w:tcPr>
            <w:tcW w:w="4650" w:type="dxa"/>
          </w:tcPr>
          <w:p w14:paraId="1B6E96DE"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Malta</w:t>
            </w:r>
          </w:p>
          <w:p w14:paraId="7C9E790B"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Pharma Services Inc.</w:t>
            </w:r>
          </w:p>
          <w:p w14:paraId="66969640" w14:textId="77777777" w:rsidR="00D738CD" w:rsidRPr="00556B9B" w:rsidRDefault="00D738CD" w:rsidP="00480EDD">
            <w:pPr>
              <w:rPr>
                <w:rFonts w:cs="Times New Roman"/>
                <w:color w:val="000000"/>
                <w:szCs w:val="22"/>
              </w:rPr>
            </w:pPr>
            <w:r w:rsidRPr="00556B9B">
              <w:rPr>
                <w:rFonts w:cs="Times New Roman"/>
                <w:color w:val="000000"/>
                <w:szCs w:val="22"/>
              </w:rPr>
              <w:t>Tel: +356 2122 2872</w:t>
            </w:r>
          </w:p>
        </w:tc>
      </w:tr>
      <w:tr w:rsidR="00D738CD" w:rsidRPr="00556B9B" w14:paraId="4057D5E8" w14:textId="77777777" w:rsidTr="002000AC">
        <w:trPr>
          <w:cantSplit/>
        </w:trPr>
        <w:tc>
          <w:tcPr>
            <w:tcW w:w="4650" w:type="dxa"/>
          </w:tcPr>
          <w:p w14:paraId="6E91A200"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Deutschland</w:t>
            </w:r>
          </w:p>
          <w:p w14:paraId="6400D81A"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Pharma GmbH</w:t>
            </w:r>
          </w:p>
          <w:p w14:paraId="0F6F5243"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Tel: +49 911 273 0</w:t>
            </w:r>
          </w:p>
          <w:p w14:paraId="3CB38EA2" w14:textId="77777777" w:rsidR="00D738CD" w:rsidRPr="00556B9B" w:rsidRDefault="00D738CD" w:rsidP="00480EDD">
            <w:pPr>
              <w:rPr>
                <w:rFonts w:cs="Times New Roman"/>
                <w:b/>
                <w:color w:val="000000"/>
                <w:szCs w:val="22"/>
                <w:lang w:val="de-CH"/>
              </w:rPr>
            </w:pPr>
          </w:p>
        </w:tc>
        <w:tc>
          <w:tcPr>
            <w:tcW w:w="4650" w:type="dxa"/>
          </w:tcPr>
          <w:p w14:paraId="4F73C2D4"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Nederland</w:t>
            </w:r>
          </w:p>
          <w:p w14:paraId="27062106"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Pharma B.V.</w:t>
            </w:r>
          </w:p>
          <w:p w14:paraId="312DAD23" w14:textId="3C138A93" w:rsidR="00D738CD" w:rsidRPr="00556B9B" w:rsidRDefault="00D738CD" w:rsidP="0047322C">
            <w:pPr>
              <w:rPr>
                <w:rFonts w:cs="Times New Roman"/>
                <w:color w:val="000000"/>
                <w:szCs w:val="22"/>
              </w:rPr>
            </w:pPr>
            <w:r w:rsidRPr="00556B9B">
              <w:rPr>
                <w:rFonts w:cs="Times New Roman"/>
                <w:color w:val="000000"/>
                <w:szCs w:val="22"/>
              </w:rPr>
              <w:t xml:space="preserve">Tel: +31 </w:t>
            </w:r>
            <w:r w:rsidR="0047322C">
              <w:rPr>
                <w:rFonts w:cs="Times New Roman"/>
                <w:color w:val="000000"/>
                <w:szCs w:val="22"/>
              </w:rPr>
              <w:t>88 04 52</w:t>
            </w:r>
            <w:r w:rsidRPr="00556B9B">
              <w:rPr>
                <w:rFonts w:cs="Times New Roman"/>
                <w:color w:val="000000"/>
                <w:szCs w:val="22"/>
              </w:rPr>
              <w:t xml:space="preserve"> </w:t>
            </w:r>
            <w:r w:rsidR="00145E44" w:rsidRPr="00556B9B">
              <w:rPr>
                <w:rFonts w:cs="Times New Roman"/>
                <w:color w:val="000000"/>
                <w:szCs w:val="22"/>
              </w:rPr>
              <w:t>555</w:t>
            </w:r>
          </w:p>
        </w:tc>
      </w:tr>
      <w:tr w:rsidR="00D738CD" w:rsidRPr="00556B9B" w14:paraId="27A04355" w14:textId="77777777" w:rsidTr="002000AC">
        <w:trPr>
          <w:cantSplit/>
        </w:trPr>
        <w:tc>
          <w:tcPr>
            <w:tcW w:w="4650" w:type="dxa"/>
          </w:tcPr>
          <w:p w14:paraId="04B5F5FC" w14:textId="77777777" w:rsidR="00D738CD" w:rsidRPr="00556B9B" w:rsidRDefault="00D738CD" w:rsidP="00480EDD">
            <w:pPr>
              <w:rPr>
                <w:rFonts w:cs="Times New Roman"/>
                <w:b/>
                <w:color w:val="000000"/>
                <w:szCs w:val="22"/>
                <w:lang w:val="it-IT"/>
              </w:rPr>
            </w:pPr>
            <w:r w:rsidRPr="00556B9B">
              <w:rPr>
                <w:rFonts w:cs="Times New Roman"/>
                <w:b/>
                <w:color w:val="000000"/>
                <w:szCs w:val="22"/>
                <w:lang w:val="it-IT"/>
              </w:rPr>
              <w:t>Eesti</w:t>
            </w:r>
          </w:p>
          <w:p w14:paraId="53AA69B6" w14:textId="77777777" w:rsidR="00D738CD" w:rsidRPr="00556B9B" w:rsidRDefault="00FD611A" w:rsidP="00480EDD">
            <w:pPr>
              <w:rPr>
                <w:rFonts w:cs="Times New Roman"/>
                <w:color w:val="000000"/>
                <w:szCs w:val="22"/>
                <w:lang w:val="it-IT"/>
              </w:rPr>
            </w:pPr>
            <w:r w:rsidRPr="00556B9B">
              <w:rPr>
                <w:szCs w:val="22"/>
                <w:lang w:val="it-IT"/>
              </w:rPr>
              <w:t>SIA Novartis Baltics Eesti filiaal</w:t>
            </w:r>
          </w:p>
          <w:p w14:paraId="4BA6488D" w14:textId="77777777" w:rsidR="00D738CD" w:rsidRPr="00556B9B" w:rsidRDefault="00D738CD" w:rsidP="00480EDD">
            <w:pPr>
              <w:rPr>
                <w:rFonts w:cs="Times New Roman"/>
                <w:color w:val="000000"/>
                <w:szCs w:val="22"/>
                <w:lang w:val="it-IT"/>
              </w:rPr>
            </w:pPr>
            <w:r w:rsidRPr="00556B9B">
              <w:rPr>
                <w:rFonts w:cs="Times New Roman"/>
                <w:color w:val="000000"/>
                <w:szCs w:val="22"/>
                <w:lang w:val="it-IT"/>
              </w:rPr>
              <w:t>Tel: +372 66 30 810</w:t>
            </w:r>
          </w:p>
          <w:p w14:paraId="453A3678" w14:textId="77777777" w:rsidR="00D738CD" w:rsidRPr="00556B9B" w:rsidRDefault="00D738CD" w:rsidP="00480EDD">
            <w:pPr>
              <w:rPr>
                <w:rFonts w:cs="Times New Roman"/>
                <w:b/>
                <w:color w:val="000000"/>
                <w:szCs w:val="22"/>
                <w:lang w:val="it-IT"/>
              </w:rPr>
            </w:pPr>
          </w:p>
        </w:tc>
        <w:tc>
          <w:tcPr>
            <w:tcW w:w="4650" w:type="dxa"/>
          </w:tcPr>
          <w:p w14:paraId="65486CFD"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Norge</w:t>
            </w:r>
          </w:p>
          <w:p w14:paraId="268A061F"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Norge AS</w:t>
            </w:r>
          </w:p>
          <w:p w14:paraId="18198F6F"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Tlf: +47 23 05 20 00</w:t>
            </w:r>
          </w:p>
        </w:tc>
      </w:tr>
      <w:tr w:rsidR="00D738CD" w:rsidRPr="00462020" w14:paraId="2F224762" w14:textId="77777777" w:rsidTr="002000AC">
        <w:trPr>
          <w:cantSplit/>
        </w:trPr>
        <w:tc>
          <w:tcPr>
            <w:tcW w:w="4650" w:type="dxa"/>
          </w:tcPr>
          <w:p w14:paraId="4A43DB96" w14:textId="77777777" w:rsidR="00D738CD" w:rsidRPr="00556B9B" w:rsidRDefault="00D738CD" w:rsidP="00480EDD">
            <w:pPr>
              <w:rPr>
                <w:rFonts w:cs="Times New Roman"/>
                <w:b/>
                <w:color w:val="000000"/>
                <w:szCs w:val="22"/>
                <w:lang w:val="pt-BR"/>
              </w:rPr>
            </w:pPr>
            <w:r w:rsidRPr="00556B9B">
              <w:rPr>
                <w:rFonts w:cs="Times New Roman"/>
                <w:b/>
                <w:color w:val="000000"/>
                <w:szCs w:val="22"/>
              </w:rPr>
              <w:t>Ελλάδα</w:t>
            </w:r>
          </w:p>
          <w:p w14:paraId="284BDCD0"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(Hellas) A.E.B.E.</w:t>
            </w:r>
          </w:p>
          <w:p w14:paraId="0162F0CE" w14:textId="77777777" w:rsidR="00D738CD" w:rsidRPr="00556B9B" w:rsidRDefault="00D738CD" w:rsidP="00480EDD">
            <w:pPr>
              <w:rPr>
                <w:rFonts w:cs="Times New Roman"/>
                <w:color w:val="000000"/>
                <w:szCs w:val="22"/>
                <w:lang w:val="pt-BR"/>
              </w:rPr>
            </w:pPr>
            <w:r w:rsidRPr="00556B9B">
              <w:rPr>
                <w:rFonts w:cs="Times New Roman"/>
                <w:color w:val="000000"/>
                <w:szCs w:val="22"/>
              </w:rPr>
              <w:t>Τηλ</w:t>
            </w:r>
            <w:r w:rsidRPr="00556B9B">
              <w:rPr>
                <w:rFonts w:cs="Times New Roman"/>
                <w:color w:val="000000"/>
                <w:szCs w:val="22"/>
                <w:lang w:val="pt-BR"/>
              </w:rPr>
              <w:t>: +30 210 281 17 12</w:t>
            </w:r>
          </w:p>
          <w:p w14:paraId="4BBCCF20" w14:textId="77777777" w:rsidR="00D738CD" w:rsidRPr="00556B9B" w:rsidRDefault="00D738CD" w:rsidP="00480EDD">
            <w:pPr>
              <w:rPr>
                <w:rFonts w:cs="Times New Roman"/>
                <w:b/>
                <w:color w:val="000000"/>
                <w:szCs w:val="22"/>
                <w:lang w:val="pt-BR"/>
              </w:rPr>
            </w:pPr>
          </w:p>
        </w:tc>
        <w:tc>
          <w:tcPr>
            <w:tcW w:w="4650" w:type="dxa"/>
          </w:tcPr>
          <w:p w14:paraId="2562D29F"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Österreich</w:t>
            </w:r>
          </w:p>
          <w:p w14:paraId="5B36F474"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Pharma GmbH</w:t>
            </w:r>
          </w:p>
          <w:p w14:paraId="664CE60C"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Tel: +43 1 86 6570</w:t>
            </w:r>
          </w:p>
        </w:tc>
      </w:tr>
      <w:tr w:rsidR="00D738CD" w:rsidRPr="00462020" w14:paraId="1E3C4C9E" w14:textId="77777777" w:rsidTr="002000AC">
        <w:trPr>
          <w:cantSplit/>
        </w:trPr>
        <w:tc>
          <w:tcPr>
            <w:tcW w:w="4650" w:type="dxa"/>
          </w:tcPr>
          <w:p w14:paraId="51193917"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España</w:t>
            </w:r>
          </w:p>
          <w:p w14:paraId="4FB013ED"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Farmacéutica, S.A.</w:t>
            </w:r>
          </w:p>
          <w:p w14:paraId="30F94C81" w14:textId="77777777" w:rsidR="00D738CD" w:rsidRPr="00556B9B" w:rsidRDefault="00D738CD" w:rsidP="00480EDD">
            <w:pPr>
              <w:rPr>
                <w:rFonts w:cs="Times New Roman"/>
                <w:color w:val="000000"/>
                <w:szCs w:val="22"/>
              </w:rPr>
            </w:pPr>
            <w:r w:rsidRPr="00556B9B">
              <w:rPr>
                <w:rFonts w:cs="Times New Roman"/>
                <w:color w:val="000000"/>
                <w:szCs w:val="22"/>
              </w:rPr>
              <w:t>Tel: +34 93 306 42 00</w:t>
            </w:r>
          </w:p>
          <w:p w14:paraId="66F8CFCC" w14:textId="77777777" w:rsidR="00D738CD" w:rsidRPr="00556B9B" w:rsidRDefault="00D738CD" w:rsidP="00480EDD">
            <w:pPr>
              <w:rPr>
                <w:rFonts w:cs="Times New Roman"/>
                <w:b/>
                <w:color w:val="000000"/>
                <w:szCs w:val="22"/>
              </w:rPr>
            </w:pPr>
          </w:p>
        </w:tc>
        <w:tc>
          <w:tcPr>
            <w:tcW w:w="4650" w:type="dxa"/>
          </w:tcPr>
          <w:p w14:paraId="7248A444"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Polska</w:t>
            </w:r>
          </w:p>
          <w:p w14:paraId="67D2B8C4"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Poland Sp. z o.o.</w:t>
            </w:r>
          </w:p>
          <w:p w14:paraId="1A071EFB"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 xml:space="preserve">Tel.: +48 22 </w:t>
            </w:r>
            <w:r w:rsidRPr="00FE57F2">
              <w:rPr>
                <w:rFonts w:cs="Times New Roman"/>
                <w:szCs w:val="22"/>
                <w:lang w:val="fr-CH"/>
              </w:rPr>
              <w:t>375 4888</w:t>
            </w:r>
          </w:p>
        </w:tc>
      </w:tr>
      <w:tr w:rsidR="00D738CD" w:rsidRPr="00556B9B" w14:paraId="1A1BCDF0" w14:textId="77777777" w:rsidTr="002000AC">
        <w:trPr>
          <w:cantSplit/>
        </w:trPr>
        <w:tc>
          <w:tcPr>
            <w:tcW w:w="4650" w:type="dxa"/>
          </w:tcPr>
          <w:p w14:paraId="0A53FD2D" w14:textId="77777777" w:rsidR="00D738CD" w:rsidRPr="00556B9B" w:rsidRDefault="00D738CD" w:rsidP="00480EDD">
            <w:pPr>
              <w:rPr>
                <w:rFonts w:cs="Times New Roman"/>
                <w:b/>
                <w:color w:val="000000"/>
                <w:szCs w:val="22"/>
                <w:lang w:val="fr-FR"/>
              </w:rPr>
            </w:pPr>
            <w:r w:rsidRPr="00556B9B">
              <w:rPr>
                <w:rFonts w:cs="Times New Roman"/>
                <w:b/>
                <w:color w:val="000000"/>
                <w:szCs w:val="22"/>
                <w:lang w:val="fr-FR"/>
              </w:rPr>
              <w:t>France</w:t>
            </w:r>
          </w:p>
          <w:p w14:paraId="53246E87"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Novartis Pharma S.A.S.</w:t>
            </w:r>
          </w:p>
          <w:p w14:paraId="37B12050"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Tél: +33 1 55 47 66 00</w:t>
            </w:r>
          </w:p>
          <w:p w14:paraId="21316CCA" w14:textId="77777777" w:rsidR="00D738CD" w:rsidRPr="00556B9B" w:rsidRDefault="00D738CD" w:rsidP="00480EDD">
            <w:pPr>
              <w:rPr>
                <w:rFonts w:cs="Times New Roman"/>
                <w:b/>
                <w:color w:val="000000"/>
                <w:szCs w:val="22"/>
                <w:lang w:val="fr-FR"/>
              </w:rPr>
            </w:pPr>
          </w:p>
        </w:tc>
        <w:tc>
          <w:tcPr>
            <w:tcW w:w="4650" w:type="dxa"/>
          </w:tcPr>
          <w:p w14:paraId="00273F0E"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Portugal</w:t>
            </w:r>
          </w:p>
          <w:p w14:paraId="7CAA9C01"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Farma - Produtos Farmacêuticos, S.A.</w:t>
            </w:r>
          </w:p>
          <w:p w14:paraId="382FBABE" w14:textId="77777777" w:rsidR="00D738CD" w:rsidRPr="00556B9B" w:rsidRDefault="00D738CD" w:rsidP="00480EDD">
            <w:pPr>
              <w:rPr>
                <w:rFonts w:cs="Times New Roman"/>
                <w:color w:val="000000"/>
                <w:szCs w:val="22"/>
              </w:rPr>
            </w:pPr>
            <w:r w:rsidRPr="00556B9B">
              <w:rPr>
                <w:rFonts w:cs="Times New Roman"/>
                <w:color w:val="000000"/>
                <w:szCs w:val="22"/>
              </w:rPr>
              <w:t>Tel: +351 21 000 8600</w:t>
            </w:r>
          </w:p>
        </w:tc>
      </w:tr>
      <w:tr w:rsidR="00D738CD" w:rsidRPr="00556B9B" w14:paraId="1985A5BE" w14:textId="77777777" w:rsidTr="002000AC">
        <w:trPr>
          <w:cantSplit/>
        </w:trPr>
        <w:tc>
          <w:tcPr>
            <w:tcW w:w="4650" w:type="dxa"/>
          </w:tcPr>
          <w:p w14:paraId="37B82B88" w14:textId="77777777" w:rsidR="00D738CD" w:rsidRPr="00556B9B" w:rsidRDefault="00D738CD" w:rsidP="00480EDD">
            <w:pPr>
              <w:rPr>
                <w:rFonts w:eastAsia="PMingLiU" w:cs="Times New Roman"/>
                <w:b/>
                <w:szCs w:val="22"/>
              </w:rPr>
            </w:pPr>
            <w:r w:rsidRPr="00556B9B">
              <w:rPr>
                <w:rFonts w:eastAsia="PMingLiU" w:cs="Times New Roman"/>
                <w:b/>
                <w:szCs w:val="22"/>
              </w:rPr>
              <w:t>Hrvatska</w:t>
            </w:r>
          </w:p>
          <w:p w14:paraId="2F6AD4DA" w14:textId="77777777" w:rsidR="00D738CD" w:rsidRPr="00556B9B" w:rsidRDefault="00D738CD" w:rsidP="00480EDD">
            <w:pPr>
              <w:rPr>
                <w:rFonts w:cs="Times New Roman"/>
                <w:szCs w:val="22"/>
              </w:rPr>
            </w:pPr>
            <w:r w:rsidRPr="00556B9B">
              <w:rPr>
                <w:rFonts w:cs="Times New Roman"/>
                <w:szCs w:val="22"/>
              </w:rPr>
              <w:t>Novartis Hrvatska d.o.o.</w:t>
            </w:r>
          </w:p>
          <w:p w14:paraId="30747DDF" w14:textId="77777777" w:rsidR="00D738CD" w:rsidRPr="00556B9B" w:rsidRDefault="00D738CD" w:rsidP="00480EDD">
            <w:pPr>
              <w:rPr>
                <w:rFonts w:cs="Times New Roman"/>
                <w:szCs w:val="22"/>
              </w:rPr>
            </w:pPr>
            <w:r w:rsidRPr="00556B9B">
              <w:rPr>
                <w:rFonts w:cs="Times New Roman"/>
                <w:szCs w:val="22"/>
              </w:rPr>
              <w:t>Tel. +385 1 6274 220</w:t>
            </w:r>
          </w:p>
          <w:p w14:paraId="000DA337" w14:textId="77777777" w:rsidR="00D738CD" w:rsidRPr="00556B9B" w:rsidRDefault="00D738CD" w:rsidP="00480EDD">
            <w:pPr>
              <w:rPr>
                <w:rFonts w:cs="Times New Roman"/>
                <w:b/>
                <w:color w:val="000000"/>
                <w:szCs w:val="22"/>
                <w:lang w:val="fr-FR"/>
              </w:rPr>
            </w:pPr>
          </w:p>
        </w:tc>
        <w:tc>
          <w:tcPr>
            <w:tcW w:w="4650" w:type="dxa"/>
          </w:tcPr>
          <w:p w14:paraId="263B283C" w14:textId="77777777" w:rsidR="00D738CD" w:rsidRPr="00556B9B" w:rsidRDefault="00D738CD" w:rsidP="00480EDD">
            <w:pPr>
              <w:rPr>
                <w:rFonts w:cs="Times New Roman"/>
                <w:b/>
                <w:noProof/>
                <w:color w:val="000000"/>
                <w:szCs w:val="22"/>
                <w:lang w:val="it-IT"/>
              </w:rPr>
            </w:pPr>
            <w:r w:rsidRPr="00556B9B">
              <w:rPr>
                <w:rFonts w:cs="Times New Roman"/>
                <w:b/>
                <w:noProof/>
                <w:color w:val="000000"/>
                <w:szCs w:val="22"/>
                <w:lang w:val="it-IT"/>
              </w:rPr>
              <w:t>România</w:t>
            </w:r>
          </w:p>
          <w:p w14:paraId="46834291" w14:textId="77777777" w:rsidR="00D738CD" w:rsidRPr="00556B9B" w:rsidRDefault="00D738CD" w:rsidP="00480EDD">
            <w:pPr>
              <w:rPr>
                <w:rFonts w:cs="Times New Roman"/>
                <w:noProof/>
                <w:color w:val="000000"/>
                <w:szCs w:val="22"/>
                <w:lang w:val="it-IT"/>
              </w:rPr>
            </w:pPr>
            <w:r w:rsidRPr="00556B9B">
              <w:rPr>
                <w:rFonts w:cs="Times New Roman"/>
                <w:noProof/>
                <w:color w:val="000000"/>
                <w:szCs w:val="22"/>
                <w:lang w:val="it-IT"/>
              </w:rPr>
              <w:t xml:space="preserve">Novartis Pharma Services </w:t>
            </w:r>
            <w:r w:rsidRPr="00556B9B">
              <w:rPr>
                <w:rFonts w:cs="Times New Roman"/>
                <w:color w:val="2F2F2F"/>
                <w:szCs w:val="22"/>
              </w:rPr>
              <w:t>Romania SRL</w:t>
            </w:r>
          </w:p>
          <w:p w14:paraId="349D81B4" w14:textId="77777777" w:rsidR="00D738CD" w:rsidRPr="00556B9B" w:rsidRDefault="00D738CD" w:rsidP="00480EDD">
            <w:pPr>
              <w:rPr>
                <w:rFonts w:cs="Times New Roman"/>
                <w:color w:val="000000"/>
                <w:szCs w:val="22"/>
              </w:rPr>
            </w:pPr>
            <w:r w:rsidRPr="00556B9B">
              <w:rPr>
                <w:rFonts w:cs="Times New Roman"/>
                <w:noProof/>
                <w:color w:val="000000"/>
                <w:szCs w:val="22"/>
                <w:lang w:val="it-IT"/>
              </w:rPr>
              <w:t>Tel: +40 21 31299 01</w:t>
            </w:r>
          </w:p>
        </w:tc>
      </w:tr>
      <w:tr w:rsidR="00D738CD" w:rsidRPr="00556B9B" w14:paraId="61D20609" w14:textId="77777777" w:rsidTr="002000AC">
        <w:trPr>
          <w:cantSplit/>
        </w:trPr>
        <w:tc>
          <w:tcPr>
            <w:tcW w:w="4650" w:type="dxa"/>
          </w:tcPr>
          <w:p w14:paraId="37342B36" w14:textId="77777777" w:rsidR="00D738CD" w:rsidRPr="00556B9B" w:rsidRDefault="00D738CD" w:rsidP="00480EDD">
            <w:pPr>
              <w:rPr>
                <w:rFonts w:cs="Times New Roman"/>
                <w:b/>
                <w:color w:val="000000"/>
                <w:szCs w:val="22"/>
              </w:rPr>
            </w:pPr>
            <w:r w:rsidRPr="00556B9B">
              <w:rPr>
                <w:rFonts w:cs="Times New Roman"/>
                <w:b/>
                <w:color w:val="000000"/>
                <w:szCs w:val="22"/>
              </w:rPr>
              <w:t>Ireland</w:t>
            </w:r>
          </w:p>
          <w:p w14:paraId="676A9181" w14:textId="77777777" w:rsidR="00D738CD" w:rsidRPr="00556B9B" w:rsidRDefault="00D738CD" w:rsidP="00480EDD">
            <w:pPr>
              <w:rPr>
                <w:rFonts w:cs="Times New Roman"/>
                <w:color w:val="000000"/>
                <w:szCs w:val="22"/>
              </w:rPr>
            </w:pPr>
            <w:r w:rsidRPr="00556B9B">
              <w:rPr>
                <w:rFonts w:cs="Times New Roman"/>
                <w:color w:val="000000"/>
                <w:szCs w:val="22"/>
              </w:rPr>
              <w:t>Novartis Ireland Limited</w:t>
            </w:r>
          </w:p>
          <w:p w14:paraId="7E5CE85D" w14:textId="77777777" w:rsidR="00D738CD" w:rsidRPr="00556B9B" w:rsidRDefault="00D738CD" w:rsidP="00480EDD">
            <w:pPr>
              <w:rPr>
                <w:rFonts w:cs="Times New Roman"/>
                <w:color w:val="000000"/>
                <w:szCs w:val="22"/>
              </w:rPr>
            </w:pPr>
            <w:r w:rsidRPr="00556B9B">
              <w:rPr>
                <w:rFonts w:cs="Times New Roman"/>
                <w:color w:val="000000"/>
                <w:szCs w:val="22"/>
              </w:rPr>
              <w:t>Tel: +353 1 260 12 55</w:t>
            </w:r>
          </w:p>
          <w:p w14:paraId="4D4B2435" w14:textId="77777777" w:rsidR="00D738CD" w:rsidRPr="00556B9B" w:rsidRDefault="00D738CD" w:rsidP="00480EDD">
            <w:pPr>
              <w:rPr>
                <w:rFonts w:cs="Times New Roman"/>
                <w:b/>
                <w:color w:val="000000"/>
                <w:szCs w:val="22"/>
              </w:rPr>
            </w:pPr>
          </w:p>
        </w:tc>
        <w:tc>
          <w:tcPr>
            <w:tcW w:w="4650" w:type="dxa"/>
          </w:tcPr>
          <w:p w14:paraId="56B8D8CC" w14:textId="77777777" w:rsidR="00D738CD" w:rsidRPr="00556B9B" w:rsidRDefault="00D738CD" w:rsidP="00480EDD">
            <w:pPr>
              <w:rPr>
                <w:rFonts w:cs="Times New Roman"/>
                <w:b/>
                <w:color w:val="000000"/>
                <w:szCs w:val="22"/>
                <w:lang w:val="fr-FR"/>
              </w:rPr>
            </w:pPr>
            <w:r w:rsidRPr="00556B9B">
              <w:rPr>
                <w:rFonts w:cs="Times New Roman"/>
                <w:b/>
                <w:color w:val="000000"/>
                <w:szCs w:val="22"/>
                <w:lang w:val="fr-FR"/>
              </w:rPr>
              <w:t>Slovenija</w:t>
            </w:r>
          </w:p>
          <w:p w14:paraId="0C61F842"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Novartis Pharma Services Inc.</w:t>
            </w:r>
          </w:p>
          <w:p w14:paraId="257DAFE7"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Tel: +386 1 300 75 50</w:t>
            </w:r>
          </w:p>
        </w:tc>
      </w:tr>
      <w:tr w:rsidR="00D738CD" w:rsidRPr="00556B9B" w14:paraId="6B5C473B" w14:textId="77777777" w:rsidTr="002000AC">
        <w:trPr>
          <w:cantSplit/>
        </w:trPr>
        <w:tc>
          <w:tcPr>
            <w:tcW w:w="4650" w:type="dxa"/>
          </w:tcPr>
          <w:p w14:paraId="513E6E4C" w14:textId="77777777" w:rsidR="00D738CD" w:rsidRPr="00556B9B" w:rsidRDefault="00D738CD" w:rsidP="00480EDD">
            <w:pPr>
              <w:rPr>
                <w:rFonts w:cs="Times New Roman"/>
                <w:b/>
                <w:color w:val="000000"/>
                <w:szCs w:val="22"/>
              </w:rPr>
            </w:pPr>
            <w:r w:rsidRPr="00556B9B">
              <w:rPr>
                <w:rFonts w:cs="Times New Roman"/>
                <w:b/>
                <w:color w:val="000000"/>
                <w:szCs w:val="22"/>
              </w:rPr>
              <w:t>Ísland</w:t>
            </w:r>
          </w:p>
          <w:p w14:paraId="631A2A15" w14:textId="77777777" w:rsidR="00D738CD" w:rsidRPr="00556B9B" w:rsidRDefault="00D738CD" w:rsidP="00480EDD">
            <w:pPr>
              <w:rPr>
                <w:rFonts w:cs="Times New Roman"/>
                <w:color w:val="000000"/>
                <w:szCs w:val="22"/>
              </w:rPr>
            </w:pPr>
            <w:r w:rsidRPr="00556B9B">
              <w:rPr>
                <w:rFonts w:cs="Times New Roman"/>
                <w:color w:val="000000"/>
                <w:szCs w:val="22"/>
              </w:rPr>
              <w:t>Vistor hf.</w:t>
            </w:r>
          </w:p>
          <w:p w14:paraId="7DCD449D" w14:textId="77777777" w:rsidR="00D738CD" w:rsidRPr="00556B9B" w:rsidRDefault="00D738CD" w:rsidP="00480EDD">
            <w:pPr>
              <w:rPr>
                <w:rFonts w:cs="Times New Roman"/>
                <w:color w:val="000000"/>
                <w:szCs w:val="22"/>
              </w:rPr>
            </w:pPr>
            <w:r w:rsidRPr="00556B9B">
              <w:rPr>
                <w:rFonts w:cs="Times New Roman"/>
                <w:noProof/>
                <w:color w:val="000000"/>
                <w:szCs w:val="22"/>
                <w:lang w:val="it-IT"/>
              </w:rPr>
              <w:t>S</w:t>
            </w:r>
            <w:r w:rsidRPr="00556B9B">
              <w:rPr>
                <w:rFonts w:cs="Times New Roman"/>
                <w:noProof/>
                <w:color w:val="000000"/>
                <w:szCs w:val="22"/>
                <w:lang w:val="cs-CZ"/>
              </w:rPr>
              <w:t>í</w:t>
            </w:r>
            <w:r w:rsidRPr="00556B9B">
              <w:rPr>
                <w:rFonts w:cs="Times New Roman"/>
                <w:noProof/>
                <w:color w:val="000000"/>
                <w:szCs w:val="22"/>
                <w:lang w:val="it-IT"/>
              </w:rPr>
              <w:t>mi</w:t>
            </w:r>
            <w:r w:rsidRPr="00556B9B">
              <w:rPr>
                <w:rFonts w:cs="Times New Roman"/>
                <w:color w:val="000000"/>
                <w:szCs w:val="22"/>
              </w:rPr>
              <w:t>: +354 535 7000</w:t>
            </w:r>
          </w:p>
          <w:p w14:paraId="46CE24D5" w14:textId="77777777" w:rsidR="00D738CD" w:rsidRPr="00556B9B" w:rsidRDefault="00D738CD" w:rsidP="00480EDD">
            <w:pPr>
              <w:rPr>
                <w:rFonts w:cs="Times New Roman"/>
                <w:b/>
                <w:color w:val="000000"/>
                <w:szCs w:val="22"/>
              </w:rPr>
            </w:pPr>
          </w:p>
        </w:tc>
        <w:tc>
          <w:tcPr>
            <w:tcW w:w="4650" w:type="dxa"/>
          </w:tcPr>
          <w:p w14:paraId="6D67EB7F"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Slovenská republika</w:t>
            </w:r>
          </w:p>
          <w:p w14:paraId="46C26B76"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Slovakia s.r.o.</w:t>
            </w:r>
          </w:p>
          <w:p w14:paraId="2BA15F51" w14:textId="77777777" w:rsidR="00D738CD" w:rsidRPr="00556B9B" w:rsidRDefault="00D738CD" w:rsidP="00480EDD">
            <w:pPr>
              <w:rPr>
                <w:rFonts w:cs="Times New Roman"/>
                <w:color w:val="000000"/>
                <w:szCs w:val="22"/>
              </w:rPr>
            </w:pPr>
            <w:r w:rsidRPr="00556B9B">
              <w:rPr>
                <w:rFonts w:cs="Times New Roman"/>
                <w:color w:val="000000"/>
                <w:szCs w:val="22"/>
              </w:rPr>
              <w:t>Tel: +421 2 5542 5439</w:t>
            </w:r>
          </w:p>
          <w:p w14:paraId="68D26AE8" w14:textId="77777777" w:rsidR="00D738CD" w:rsidRPr="00556B9B" w:rsidRDefault="00D738CD" w:rsidP="00480EDD">
            <w:pPr>
              <w:rPr>
                <w:rFonts w:cs="Times New Roman"/>
                <w:color w:val="000000"/>
                <w:szCs w:val="22"/>
              </w:rPr>
            </w:pPr>
          </w:p>
        </w:tc>
      </w:tr>
      <w:tr w:rsidR="00D738CD" w:rsidRPr="00556B9B" w14:paraId="4748B263" w14:textId="77777777" w:rsidTr="002000AC">
        <w:trPr>
          <w:cantSplit/>
        </w:trPr>
        <w:tc>
          <w:tcPr>
            <w:tcW w:w="4650" w:type="dxa"/>
          </w:tcPr>
          <w:p w14:paraId="4E25936D" w14:textId="77777777" w:rsidR="00D738CD" w:rsidRPr="00556B9B" w:rsidRDefault="00D738CD" w:rsidP="00480EDD">
            <w:pPr>
              <w:rPr>
                <w:rFonts w:cs="Times New Roman"/>
                <w:b/>
                <w:color w:val="000000"/>
                <w:szCs w:val="22"/>
                <w:lang w:val="pt-BR"/>
              </w:rPr>
            </w:pPr>
            <w:r w:rsidRPr="00556B9B">
              <w:rPr>
                <w:rFonts w:cs="Times New Roman"/>
                <w:b/>
                <w:color w:val="000000"/>
                <w:szCs w:val="22"/>
                <w:lang w:val="pt-BR"/>
              </w:rPr>
              <w:t>Italia</w:t>
            </w:r>
          </w:p>
          <w:p w14:paraId="12959325" w14:textId="77777777" w:rsidR="00D738CD" w:rsidRPr="00556B9B" w:rsidRDefault="00D738CD" w:rsidP="00480EDD">
            <w:pPr>
              <w:rPr>
                <w:rFonts w:cs="Times New Roman"/>
                <w:color w:val="000000"/>
                <w:szCs w:val="22"/>
                <w:lang w:val="pt-BR"/>
              </w:rPr>
            </w:pPr>
            <w:r w:rsidRPr="00556B9B">
              <w:rPr>
                <w:rFonts w:cs="Times New Roman"/>
                <w:color w:val="000000"/>
                <w:szCs w:val="22"/>
                <w:lang w:val="pt-BR"/>
              </w:rPr>
              <w:t>Novartis Farma S.p.A.</w:t>
            </w:r>
          </w:p>
          <w:p w14:paraId="0F3A9E0E" w14:textId="77777777" w:rsidR="00D738CD" w:rsidRPr="00556B9B" w:rsidRDefault="00D738CD" w:rsidP="00480EDD">
            <w:pPr>
              <w:rPr>
                <w:rFonts w:cs="Times New Roman"/>
                <w:b/>
                <w:color w:val="000000"/>
                <w:szCs w:val="22"/>
              </w:rPr>
            </w:pPr>
            <w:r w:rsidRPr="00556B9B">
              <w:rPr>
                <w:rFonts w:cs="Times New Roman"/>
                <w:color w:val="000000"/>
                <w:szCs w:val="22"/>
              </w:rPr>
              <w:t>Tel: +39 02 96 54 1</w:t>
            </w:r>
          </w:p>
        </w:tc>
        <w:tc>
          <w:tcPr>
            <w:tcW w:w="4650" w:type="dxa"/>
          </w:tcPr>
          <w:p w14:paraId="56CE279F" w14:textId="77777777" w:rsidR="00D738CD" w:rsidRPr="00556B9B" w:rsidRDefault="00D738CD" w:rsidP="00480EDD">
            <w:pPr>
              <w:rPr>
                <w:rFonts w:cs="Times New Roman"/>
                <w:b/>
                <w:color w:val="000000"/>
                <w:szCs w:val="22"/>
                <w:lang w:val="fr-FR"/>
              </w:rPr>
            </w:pPr>
            <w:r w:rsidRPr="00556B9B">
              <w:rPr>
                <w:rFonts w:cs="Times New Roman"/>
                <w:b/>
                <w:color w:val="000000"/>
                <w:szCs w:val="22"/>
                <w:lang w:val="fr-FR"/>
              </w:rPr>
              <w:t>Suomi/Finland</w:t>
            </w:r>
          </w:p>
          <w:p w14:paraId="3DD2E2DE"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Novartis Finland Oy</w:t>
            </w:r>
          </w:p>
          <w:p w14:paraId="5E562BE6"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rPr>
              <w:t xml:space="preserve">Puh/Tel: </w:t>
            </w:r>
            <w:r w:rsidRPr="00556B9B">
              <w:rPr>
                <w:rFonts w:cs="Times New Roman"/>
                <w:color w:val="000000"/>
                <w:szCs w:val="22"/>
                <w:lang w:val="de-CH" w:bidi="he-IL"/>
              </w:rPr>
              <w:t>+358 (0)10 6133 200</w:t>
            </w:r>
          </w:p>
          <w:p w14:paraId="2ADEFACF" w14:textId="77777777" w:rsidR="00D738CD" w:rsidRPr="00556B9B" w:rsidRDefault="00D738CD" w:rsidP="00480EDD">
            <w:pPr>
              <w:rPr>
                <w:rFonts w:cs="Times New Roman"/>
                <w:color w:val="000000"/>
                <w:szCs w:val="22"/>
                <w:lang w:val="fr-FR"/>
              </w:rPr>
            </w:pPr>
          </w:p>
        </w:tc>
      </w:tr>
      <w:tr w:rsidR="00D738CD" w:rsidRPr="00462020" w14:paraId="3AFF5D66" w14:textId="77777777" w:rsidTr="002000AC">
        <w:trPr>
          <w:cantSplit/>
        </w:trPr>
        <w:tc>
          <w:tcPr>
            <w:tcW w:w="4650" w:type="dxa"/>
          </w:tcPr>
          <w:p w14:paraId="4AF05BFA" w14:textId="77777777" w:rsidR="00D738CD" w:rsidRPr="00556B9B" w:rsidRDefault="00D738CD" w:rsidP="00480EDD">
            <w:pPr>
              <w:rPr>
                <w:rFonts w:cs="Times New Roman"/>
                <w:b/>
                <w:color w:val="000000"/>
                <w:szCs w:val="22"/>
                <w:lang w:val="fr-FR"/>
              </w:rPr>
            </w:pPr>
            <w:r w:rsidRPr="00556B9B">
              <w:rPr>
                <w:rFonts w:cs="Times New Roman"/>
                <w:b/>
                <w:color w:val="000000"/>
                <w:szCs w:val="22"/>
              </w:rPr>
              <w:lastRenderedPageBreak/>
              <w:t>Κύπρος</w:t>
            </w:r>
          </w:p>
          <w:p w14:paraId="020561C3" w14:textId="77777777" w:rsidR="00D738CD" w:rsidRPr="00556B9B" w:rsidRDefault="00D738CD" w:rsidP="00480EDD">
            <w:pPr>
              <w:rPr>
                <w:rFonts w:cs="Times New Roman"/>
                <w:color w:val="000000"/>
                <w:szCs w:val="22"/>
                <w:lang w:val="fr-FR"/>
              </w:rPr>
            </w:pPr>
            <w:r w:rsidRPr="00556B9B">
              <w:rPr>
                <w:rFonts w:cs="Times New Roman"/>
                <w:color w:val="000000"/>
                <w:szCs w:val="22"/>
                <w:lang w:val="fr-FR" w:bidi="he-IL"/>
              </w:rPr>
              <w:t>Novartis Pharma Services Inc.</w:t>
            </w:r>
          </w:p>
          <w:p w14:paraId="23842473" w14:textId="77777777" w:rsidR="00D738CD" w:rsidRPr="00556B9B" w:rsidRDefault="00D738CD" w:rsidP="00480EDD">
            <w:pPr>
              <w:rPr>
                <w:rFonts w:cs="Times New Roman"/>
                <w:color w:val="000000"/>
                <w:szCs w:val="22"/>
                <w:lang w:val="fr-FR"/>
              </w:rPr>
            </w:pPr>
            <w:r w:rsidRPr="00556B9B">
              <w:rPr>
                <w:rFonts w:cs="Times New Roman"/>
                <w:color w:val="000000"/>
                <w:szCs w:val="22"/>
              </w:rPr>
              <w:t>Τηλ</w:t>
            </w:r>
            <w:r w:rsidRPr="00556B9B">
              <w:rPr>
                <w:rFonts w:cs="Times New Roman"/>
                <w:color w:val="000000"/>
                <w:szCs w:val="22"/>
                <w:lang w:val="fr-FR"/>
              </w:rPr>
              <w:t>: +357 22 690 690</w:t>
            </w:r>
          </w:p>
          <w:p w14:paraId="1F770282" w14:textId="77777777" w:rsidR="00D738CD" w:rsidRPr="00556B9B" w:rsidRDefault="00D738CD" w:rsidP="00480EDD">
            <w:pPr>
              <w:rPr>
                <w:rFonts w:cs="Times New Roman"/>
                <w:b/>
                <w:color w:val="000000"/>
                <w:szCs w:val="22"/>
                <w:lang w:val="fr-FR"/>
              </w:rPr>
            </w:pPr>
          </w:p>
        </w:tc>
        <w:tc>
          <w:tcPr>
            <w:tcW w:w="4650" w:type="dxa"/>
          </w:tcPr>
          <w:p w14:paraId="33A7FE95" w14:textId="77777777" w:rsidR="00D738CD" w:rsidRPr="00556B9B" w:rsidRDefault="00D738CD" w:rsidP="00480EDD">
            <w:pPr>
              <w:rPr>
                <w:rFonts w:cs="Times New Roman"/>
                <w:b/>
                <w:color w:val="000000"/>
                <w:szCs w:val="22"/>
                <w:lang w:val="de-CH"/>
              </w:rPr>
            </w:pPr>
            <w:r w:rsidRPr="00556B9B">
              <w:rPr>
                <w:rFonts w:cs="Times New Roman"/>
                <w:b/>
                <w:color w:val="000000"/>
                <w:szCs w:val="22"/>
                <w:lang w:val="de-CH"/>
              </w:rPr>
              <w:t>Sverige</w:t>
            </w:r>
          </w:p>
          <w:p w14:paraId="4EDE6D4C"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Novartis Sverige AB</w:t>
            </w:r>
          </w:p>
          <w:p w14:paraId="4613EE47" w14:textId="77777777" w:rsidR="00D738CD" w:rsidRPr="00556B9B" w:rsidRDefault="00D738CD" w:rsidP="00480EDD">
            <w:pPr>
              <w:rPr>
                <w:rFonts w:cs="Times New Roman"/>
                <w:color w:val="000000"/>
                <w:szCs w:val="22"/>
                <w:lang w:val="de-CH"/>
              </w:rPr>
            </w:pPr>
            <w:r w:rsidRPr="00556B9B">
              <w:rPr>
                <w:rFonts w:cs="Times New Roman"/>
                <w:color w:val="000000"/>
                <w:szCs w:val="22"/>
                <w:lang w:val="de-CH"/>
              </w:rPr>
              <w:t>Tel: +46 8 732 32 00</w:t>
            </w:r>
          </w:p>
          <w:p w14:paraId="05A8E254" w14:textId="77777777" w:rsidR="00D738CD" w:rsidRPr="00556B9B" w:rsidRDefault="00D738CD" w:rsidP="00480EDD">
            <w:pPr>
              <w:rPr>
                <w:rFonts w:cs="Times New Roman"/>
                <w:color w:val="000000"/>
                <w:szCs w:val="22"/>
                <w:lang w:val="de-CH"/>
              </w:rPr>
            </w:pPr>
          </w:p>
        </w:tc>
      </w:tr>
      <w:tr w:rsidR="00D738CD" w:rsidRPr="00556B9B" w14:paraId="20244DE4" w14:textId="77777777" w:rsidTr="002000AC">
        <w:trPr>
          <w:cantSplit/>
        </w:trPr>
        <w:tc>
          <w:tcPr>
            <w:tcW w:w="4650" w:type="dxa"/>
          </w:tcPr>
          <w:p w14:paraId="71AEE453" w14:textId="77777777" w:rsidR="00D738CD" w:rsidRPr="00556B9B" w:rsidRDefault="00D738CD" w:rsidP="00480EDD">
            <w:pPr>
              <w:rPr>
                <w:rFonts w:cs="Times New Roman"/>
                <w:b/>
                <w:color w:val="000000"/>
                <w:szCs w:val="22"/>
                <w:lang w:val="it-IT"/>
              </w:rPr>
            </w:pPr>
            <w:r w:rsidRPr="00556B9B">
              <w:rPr>
                <w:rFonts w:cs="Times New Roman"/>
                <w:b/>
                <w:color w:val="000000"/>
                <w:szCs w:val="22"/>
                <w:lang w:val="it-IT"/>
              </w:rPr>
              <w:t>Latvija</w:t>
            </w:r>
          </w:p>
          <w:p w14:paraId="5D7A2EEC" w14:textId="31729DEE" w:rsidR="00D738CD" w:rsidRPr="00556B9B" w:rsidRDefault="00B4344B" w:rsidP="00480EDD">
            <w:pPr>
              <w:rPr>
                <w:rFonts w:cs="Times New Roman"/>
                <w:color w:val="000000"/>
                <w:szCs w:val="22"/>
                <w:lang w:val="it-IT"/>
              </w:rPr>
            </w:pPr>
            <w:r w:rsidRPr="00556B9B">
              <w:rPr>
                <w:szCs w:val="22"/>
                <w:lang w:val="it-IT"/>
              </w:rPr>
              <w:t>SIA Novartis Baltics</w:t>
            </w:r>
          </w:p>
          <w:p w14:paraId="33670DCB" w14:textId="77777777" w:rsidR="00D738CD" w:rsidRPr="00556B9B" w:rsidRDefault="00D738CD" w:rsidP="00480EDD">
            <w:pPr>
              <w:rPr>
                <w:rFonts w:cs="Times New Roman"/>
                <w:color w:val="000000"/>
                <w:szCs w:val="22"/>
                <w:lang w:val="it-IT"/>
              </w:rPr>
            </w:pPr>
            <w:r w:rsidRPr="00556B9B">
              <w:rPr>
                <w:rFonts w:cs="Times New Roman"/>
                <w:color w:val="000000"/>
                <w:szCs w:val="22"/>
                <w:lang w:val="it-IT"/>
              </w:rPr>
              <w:t>Tel: +371 67 887 070</w:t>
            </w:r>
          </w:p>
          <w:p w14:paraId="1388FA78" w14:textId="77777777" w:rsidR="00D738CD" w:rsidRPr="00556B9B" w:rsidRDefault="00D738CD" w:rsidP="00480EDD">
            <w:pPr>
              <w:rPr>
                <w:rFonts w:cs="Times New Roman"/>
                <w:b/>
                <w:color w:val="000000"/>
                <w:szCs w:val="22"/>
                <w:lang w:val="it-IT"/>
              </w:rPr>
            </w:pPr>
          </w:p>
        </w:tc>
        <w:tc>
          <w:tcPr>
            <w:tcW w:w="4650" w:type="dxa"/>
          </w:tcPr>
          <w:p w14:paraId="08FD7948" w14:textId="77777777" w:rsidR="00D738CD" w:rsidRPr="00556B9B" w:rsidRDefault="00D738CD" w:rsidP="00480EDD">
            <w:pPr>
              <w:rPr>
                <w:rFonts w:cs="Times New Roman"/>
                <w:b/>
                <w:color w:val="000000"/>
                <w:szCs w:val="22"/>
              </w:rPr>
            </w:pPr>
            <w:r w:rsidRPr="00556B9B">
              <w:rPr>
                <w:rFonts w:cs="Times New Roman"/>
                <w:b/>
                <w:color w:val="000000"/>
                <w:szCs w:val="22"/>
              </w:rPr>
              <w:t>United Kingdom</w:t>
            </w:r>
          </w:p>
          <w:p w14:paraId="7F226EA8" w14:textId="77777777" w:rsidR="00D738CD" w:rsidRPr="00556B9B" w:rsidRDefault="00D738CD" w:rsidP="00480EDD">
            <w:pPr>
              <w:rPr>
                <w:rFonts w:cs="Times New Roman"/>
                <w:color w:val="000000"/>
                <w:szCs w:val="22"/>
              </w:rPr>
            </w:pPr>
            <w:r w:rsidRPr="00556B9B">
              <w:rPr>
                <w:rFonts w:cs="Times New Roman"/>
                <w:color w:val="000000"/>
                <w:szCs w:val="22"/>
              </w:rPr>
              <w:t>Novartis Pharmaceuticals UK Ltd.</w:t>
            </w:r>
          </w:p>
          <w:p w14:paraId="66FC2960" w14:textId="77777777" w:rsidR="00D738CD" w:rsidRPr="00556B9B" w:rsidRDefault="00D738CD" w:rsidP="00480EDD">
            <w:pPr>
              <w:rPr>
                <w:rFonts w:cs="Times New Roman"/>
                <w:color w:val="000000"/>
                <w:szCs w:val="22"/>
              </w:rPr>
            </w:pPr>
            <w:r w:rsidRPr="00556B9B">
              <w:rPr>
                <w:rFonts w:cs="Times New Roman"/>
                <w:color w:val="000000"/>
                <w:szCs w:val="22"/>
              </w:rPr>
              <w:t>Tel: +44 1276 698370</w:t>
            </w:r>
          </w:p>
          <w:p w14:paraId="72CC3BF0" w14:textId="77777777" w:rsidR="00D738CD" w:rsidRPr="00556B9B" w:rsidRDefault="00D738CD" w:rsidP="00480EDD">
            <w:pPr>
              <w:rPr>
                <w:rFonts w:cs="Times New Roman"/>
                <w:color w:val="000000"/>
                <w:szCs w:val="22"/>
              </w:rPr>
            </w:pPr>
          </w:p>
        </w:tc>
      </w:tr>
    </w:tbl>
    <w:p w14:paraId="2BCCE64B" w14:textId="77777777" w:rsidR="00D738CD" w:rsidRPr="00556B9B" w:rsidRDefault="00D738CD" w:rsidP="00D738CD">
      <w:pPr>
        <w:widowControl w:val="0"/>
        <w:spacing w:line="240" w:lineRule="auto"/>
        <w:ind w:right="-449"/>
        <w:rPr>
          <w:rFonts w:cs="Times New Roman"/>
          <w:color w:val="000000"/>
          <w:szCs w:val="22"/>
        </w:rPr>
      </w:pPr>
    </w:p>
    <w:p w14:paraId="6EAB8324" w14:textId="77777777" w:rsidR="005A78EA" w:rsidRPr="00556B9B" w:rsidRDefault="005A78EA" w:rsidP="005A78EA">
      <w:pPr>
        <w:spacing w:line="240" w:lineRule="auto"/>
        <w:ind w:right="-2"/>
        <w:rPr>
          <w:color w:val="000000"/>
          <w:lang w:val="hu-HU"/>
        </w:rPr>
      </w:pPr>
      <w:r w:rsidRPr="00556B9B">
        <w:rPr>
          <w:b/>
          <w:color w:val="000000"/>
          <w:lang w:val="hu-HU"/>
        </w:rPr>
        <w:t xml:space="preserve">A betegtájékoztató </w:t>
      </w:r>
      <w:r w:rsidR="00731BCD" w:rsidRPr="00556B9B">
        <w:rPr>
          <w:b/>
          <w:color w:val="000000"/>
          <w:lang w:val="hu-HU"/>
        </w:rPr>
        <w:t xml:space="preserve">legutóbbi felülvizsgálatának </w:t>
      </w:r>
      <w:r w:rsidRPr="00556B9B">
        <w:rPr>
          <w:b/>
          <w:color w:val="000000"/>
          <w:lang w:val="hu-HU"/>
        </w:rPr>
        <w:t>dátuma</w:t>
      </w:r>
    </w:p>
    <w:p w14:paraId="44D2E940" w14:textId="77777777" w:rsidR="005A78EA" w:rsidRPr="00556B9B" w:rsidRDefault="005A78EA" w:rsidP="005A78EA">
      <w:pPr>
        <w:spacing w:line="240" w:lineRule="auto"/>
        <w:ind w:right="-2"/>
        <w:rPr>
          <w:color w:val="000000"/>
          <w:lang w:val="hu-HU"/>
        </w:rPr>
      </w:pPr>
    </w:p>
    <w:p w14:paraId="6A4B08C0" w14:textId="77777777" w:rsidR="00731BCD" w:rsidRPr="00556B9B" w:rsidRDefault="00731BCD" w:rsidP="00226437">
      <w:pPr>
        <w:keepNext/>
        <w:rPr>
          <w:b/>
          <w:lang w:val="hu-HU"/>
        </w:rPr>
      </w:pPr>
      <w:r w:rsidRPr="00556B9B">
        <w:rPr>
          <w:b/>
          <w:lang w:val="hu-HU"/>
        </w:rPr>
        <w:t>Egyéb információforrások</w:t>
      </w:r>
    </w:p>
    <w:p w14:paraId="5B9B990C" w14:textId="77777777" w:rsidR="005A78EA" w:rsidRPr="00556B9B" w:rsidRDefault="005A78EA" w:rsidP="005A78EA">
      <w:pPr>
        <w:spacing w:line="240" w:lineRule="auto"/>
        <w:ind w:right="-2"/>
        <w:rPr>
          <w:color w:val="000000"/>
          <w:lang w:val="hu-HU"/>
        </w:rPr>
      </w:pPr>
      <w:r w:rsidRPr="00556B9B">
        <w:rPr>
          <w:noProof/>
          <w:color w:val="000000"/>
          <w:lang w:val="hu-HU"/>
        </w:rPr>
        <w:t>A gyógyszerről részletes információ az Európai Gyógyszerügynökség internetes honlapján (http://www.ema.europa.eu</w:t>
      </w:r>
      <w:r w:rsidRPr="00556B9B">
        <w:rPr>
          <w:iCs/>
          <w:noProof/>
          <w:color w:val="000000"/>
          <w:lang w:val="hu-HU"/>
        </w:rPr>
        <w:t>) található.</w:t>
      </w:r>
    </w:p>
    <w:p w14:paraId="1022E914" w14:textId="77777777" w:rsidR="005552EB" w:rsidRPr="00FB2BD1" w:rsidRDefault="005552EB" w:rsidP="001D3D33">
      <w:pPr>
        <w:spacing w:line="240" w:lineRule="auto"/>
        <w:rPr>
          <w:color w:val="000000"/>
          <w:lang w:val="hu-HU"/>
        </w:rPr>
      </w:pPr>
      <w:bookmarkStart w:id="1" w:name="_GoBack"/>
      <w:bookmarkEnd w:id="1"/>
    </w:p>
    <w:sectPr w:rsidR="005552EB" w:rsidRPr="00FB2BD1" w:rsidSect="000B2F37">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824E" w14:textId="77777777" w:rsidR="009E303A" w:rsidRDefault="009E303A">
      <w:r>
        <w:separator/>
      </w:r>
    </w:p>
  </w:endnote>
  <w:endnote w:type="continuationSeparator" w:id="0">
    <w:p w14:paraId="176CA0CA" w14:textId="77777777" w:rsidR="009E303A" w:rsidRDefault="009E3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orndale">
    <w:altName w:val="Times New Roman"/>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Albany">
    <w:altName w:val="Arial"/>
    <w:charset w:val="00"/>
    <w:family w:val="swiss"/>
    <w:pitch w:val="variable"/>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10D8C" w14:textId="77777777" w:rsidR="009E303A" w:rsidRDefault="009E303A" w:rsidP="008E32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319AA9" w14:textId="77777777" w:rsidR="009E303A" w:rsidRDefault="009E3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C8480" w14:textId="447B5CD7" w:rsidR="009E303A" w:rsidRPr="00EF27E5" w:rsidRDefault="009E303A" w:rsidP="00102042">
    <w:pPr>
      <w:pStyle w:val="Footer"/>
      <w:jc w:val="center"/>
      <w:rPr>
        <w:rFonts w:ascii="Arial" w:hAnsi="Arial" w:cs="Arial"/>
      </w:rPr>
    </w:pPr>
    <w:r w:rsidRPr="00EF27E5">
      <w:rPr>
        <w:rFonts w:ascii="Arial" w:hAnsi="Arial" w:cs="Arial"/>
      </w:rPr>
      <w:fldChar w:fldCharType="begin"/>
    </w:r>
    <w:r w:rsidRPr="00EF27E5">
      <w:rPr>
        <w:rFonts w:ascii="Arial" w:hAnsi="Arial" w:cs="Arial"/>
      </w:rPr>
      <w:instrText xml:space="preserve"> PAGE   \* MERGEFORMAT </w:instrText>
    </w:r>
    <w:r w:rsidRPr="00EF27E5">
      <w:rPr>
        <w:rFonts w:ascii="Arial" w:hAnsi="Arial" w:cs="Arial"/>
      </w:rPr>
      <w:fldChar w:fldCharType="separate"/>
    </w:r>
    <w:r w:rsidR="00221350">
      <w:rPr>
        <w:rFonts w:ascii="Arial" w:hAnsi="Arial" w:cs="Arial"/>
        <w:noProof/>
      </w:rPr>
      <w:t>101</w:t>
    </w:r>
    <w:r w:rsidRPr="00EF27E5">
      <w:rPr>
        <w:rFonts w:ascii="Arial" w:hAnsi="Arial" w:cs="Arial"/>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1E901" w14:textId="77777777" w:rsidR="009E303A" w:rsidRDefault="009E3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6813E" w14:textId="77777777" w:rsidR="009E303A" w:rsidRDefault="009E303A">
      <w:r>
        <w:separator/>
      </w:r>
    </w:p>
  </w:footnote>
  <w:footnote w:type="continuationSeparator" w:id="0">
    <w:p w14:paraId="248EE021" w14:textId="77777777" w:rsidR="009E303A" w:rsidRDefault="009E3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96506" w14:textId="77777777" w:rsidR="009E303A" w:rsidRDefault="009E3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8B226" w14:textId="77777777" w:rsidR="009E303A" w:rsidRDefault="009E30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799E" w14:textId="77777777" w:rsidR="009E303A" w:rsidRDefault="009E3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8Num1"/>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2" w15:restartNumberingAfterBreak="0">
    <w:nsid w:val="00000002"/>
    <w:multiLevelType w:val="multilevel"/>
    <w:tmpl w:val="00000002"/>
    <w:name w:val="WW8Num2"/>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3" w15:restartNumberingAfterBreak="0">
    <w:nsid w:val="00000003"/>
    <w:multiLevelType w:val="multilevel"/>
    <w:tmpl w:val="00000003"/>
    <w:name w:val="WW8Num3"/>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4" w15:restartNumberingAfterBreak="0">
    <w:nsid w:val="00000004"/>
    <w:multiLevelType w:val="multilevel"/>
    <w:tmpl w:val="00000004"/>
    <w:name w:val="WW8Num4"/>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5" w15:restartNumberingAfterBreak="0">
    <w:nsid w:val="00000005"/>
    <w:multiLevelType w:val="multilevel"/>
    <w:tmpl w:val="00000005"/>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6" w15:restartNumberingAfterBreak="0">
    <w:nsid w:val="00000006"/>
    <w:multiLevelType w:val="multilevel"/>
    <w:tmpl w:val="00000006"/>
    <w:name w:val="WW8Num6"/>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7" w15:restartNumberingAfterBreak="0">
    <w:nsid w:val="00000007"/>
    <w:multiLevelType w:val="multilevel"/>
    <w:tmpl w:val="00000007"/>
    <w:name w:val="WW8Num7"/>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8" w15:restartNumberingAfterBreak="0">
    <w:nsid w:val="00000008"/>
    <w:multiLevelType w:val="multilevel"/>
    <w:tmpl w:val="00000008"/>
    <w:name w:val="WW8Num8"/>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9" w15:restartNumberingAfterBreak="0">
    <w:nsid w:val="00000009"/>
    <w:multiLevelType w:val="multilevel"/>
    <w:tmpl w:val="00000009"/>
    <w:name w:val="WW8Num9"/>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10" w15:restartNumberingAfterBreak="0">
    <w:nsid w:val="0000000A"/>
    <w:multiLevelType w:val="multilevel"/>
    <w:tmpl w:val="0000000A"/>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pStyle w:val="Heading3"/>
      <w:lvlText w:val=""/>
      <w:lvlJc w:val="left"/>
      <w:pPr>
        <w:tabs>
          <w:tab w:val="num" w:pos="0"/>
        </w:tabs>
      </w:pPr>
    </w:lvl>
    <w:lvl w:ilvl="3">
      <w:start w:val="1"/>
      <w:numFmt w:val="none"/>
      <w:pStyle w:val="Heading4"/>
      <w:lvlText w:val=""/>
      <w:lvlJc w:val="left"/>
      <w:pPr>
        <w:tabs>
          <w:tab w:val="num" w:pos="0"/>
        </w:tabs>
      </w:pPr>
    </w:lvl>
    <w:lvl w:ilvl="4">
      <w:start w:val="1"/>
      <w:numFmt w:val="none"/>
      <w:pStyle w:val="Heading5"/>
      <w:lvlText w:val=""/>
      <w:lvlJc w:val="left"/>
      <w:pPr>
        <w:tabs>
          <w:tab w:val="num" w:pos="0"/>
        </w:tabs>
      </w:pPr>
    </w:lvl>
    <w:lvl w:ilvl="5">
      <w:start w:val="1"/>
      <w:numFmt w:val="none"/>
      <w:pStyle w:val="Heading6"/>
      <w:lvlText w:val=""/>
      <w:lvlJc w:val="left"/>
      <w:pPr>
        <w:tabs>
          <w:tab w:val="num" w:pos="0"/>
        </w:tabs>
      </w:pPr>
    </w:lvl>
    <w:lvl w:ilvl="6">
      <w:start w:val="1"/>
      <w:numFmt w:val="none"/>
      <w:pStyle w:val="Heading7"/>
      <w:lvlText w:val=""/>
      <w:lvlJc w:val="left"/>
      <w:pPr>
        <w:tabs>
          <w:tab w:val="num" w:pos="0"/>
        </w:tabs>
      </w:pPr>
    </w:lvl>
    <w:lvl w:ilvl="7">
      <w:start w:val="1"/>
      <w:numFmt w:val="none"/>
      <w:pStyle w:val="Heading8"/>
      <w:lvlText w:val=""/>
      <w:lvlJc w:val="left"/>
      <w:pPr>
        <w:tabs>
          <w:tab w:val="num" w:pos="0"/>
        </w:tabs>
      </w:pPr>
    </w:lvl>
    <w:lvl w:ilvl="8">
      <w:start w:val="1"/>
      <w:numFmt w:val="none"/>
      <w:pStyle w:val="Heading9"/>
      <w:lvlText w:val=""/>
      <w:lvlJc w:val="left"/>
      <w:pPr>
        <w:tabs>
          <w:tab w:val="num" w:pos="0"/>
        </w:tabs>
      </w:pPr>
    </w:lvl>
  </w:abstractNum>
  <w:abstractNum w:abstractNumId="11" w15:restartNumberingAfterBreak="0">
    <w:nsid w:val="009E4F06"/>
    <w:multiLevelType w:val="hybridMultilevel"/>
    <w:tmpl w:val="C010B570"/>
    <w:lvl w:ilvl="0" w:tplc="F24C0F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874684"/>
    <w:multiLevelType w:val="hybridMultilevel"/>
    <w:tmpl w:val="789C5BEC"/>
    <w:lvl w:ilvl="0" w:tplc="30A23396">
      <w:start w:val="1"/>
      <w:numFmt w:val="bullet"/>
      <w:lvlText w:val=""/>
      <w:lvlJc w:val="left"/>
      <w:pPr>
        <w:tabs>
          <w:tab w:val="num" w:pos="567"/>
        </w:tabs>
        <w:ind w:left="567" w:hanging="567"/>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F31FC"/>
    <w:multiLevelType w:val="hybridMultilevel"/>
    <w:tmpl w:val="B96C05E4"/>
    <w:lvl w:ilvl="0" w:tplc="75F0055A">
      <w:start w:val="1"/>
      <w:numFmt w:val="bullet"/>
      <w:lvlText w:val="-"/>
      <w:lvlJc w:val="left"/>
      <w:pPr>
        <w:tabs>
          <w:tab w:val="num" w:pos="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8014EC"/>
    <w:multiLevelType w:val="hybridMultilevel"/>
    <w:tmpl w:val="8BE40DF0"/>
    <w:lvl w:ilvl="0" w:tplc="AC7A3A0C">
      <w:start w:val="1"/>
      <w:numFmt w:val="bullet"/>
      <w:lvlText w:val=""/>
      <w:lvlJc w:val="left"/>
      <w:pPr>
        <w:tabs>
          <w:tab w:val="num" w:pos="360"/>
        </w:tabs>
        <w:ind w:left="360" w:hanging="360"/>
      </w:pPr>
      <w:rPr>
        <w:rFonts w:ascii="Symbol" w:hAnsi="Symbol"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9E64BB"/>
    <w:multiLevelType w:val="hybridMultilevel"/>
    <w:tmpl w:val="D578F524"/>
    <w:lvl w:ilvl="0" w:tplc="08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240D95"/>
    <w:multiLevelType w:val="hybridMultilevel"/>
    <w:tmpl w:val="A3A2FD5E"/>
    <w:lvl w:ilvl="0" w:tplc="75F0055A">
      <w:start w:val="1"/>
      <w:numFmt w:val="bullet"/>
      <w:lvlText w:val="-"/>
      <w:lvlJc w:val="left"/>
      <w:pPr>
        <w:tabs>
          <w:tab w:val="num" w:pos="0"/>
        </w:tabs>
        <w:ind w:left="360" w:hanging="360"/>
      </w:pPr>
      <w:rPr>
        <w:rFonts w:hint="default"/>
      </w:rPr>
    </w:lvl>
    <w:lvl w:ilvl="1" w:tplc="7E2A8558">
      <w:start w:val="2"/>
      <w:numFmt w:val="bullet"/>
      <w:lvlText w:val="-"/>
      <w:lvlJc w:val="left"/>
      <w:pPr>
        <w:tabs>
          <w:tab w:val="num" w:pos="1650"/>
        </w:tabs>
        <w:ind w:left="1650" w:hanging="570"/>
      </w:pPr>
      <w:rPr>
        <w:rFonts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7E19A8"/>
    <w:multiLevelType w:val="hybridMultilevel"/>
    <w:tmpl w:val="75328FA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8024C5"/>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D66699"/>
    <w:multiLevelType w:val="hybridMultilevel"/>
    <w:tmpl w:val="A2006B86"/>
    <w:lvl w:ilvl="0" w:tplc="7E2A8558">
      <w:start w:val="2"/>
      <w:numFmt w:val="bullet"/>
      <w:lvlText w:val="-"/>
      <w:lvlJc w:val="left"/>
      <w:pPr>
        <w:tabs>
          <w:tab w:val="num" w:pos="576"/>
        </w:tabs>
        <w:ind w:left="576" w:hanging="57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834E58"/>
    <w:multiLevelType w:val="hybridMultilevel"/>
    <w:tmpl w:val="3B6CEC0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1D3C57"/>
    <w:multiLevelType w:val="hybridMultilevel"/>
    <w:tmpl w:val="4E30054A"/>
    <w:lvl w:ilvl="0" w:tplc="7E2A8558">
      <w:start w:val="2"/>
      <w:numFmt w:val="bullet"/>
      <w:lvlText w:val="-"/>
      <w:lvlJc w:val="left"/>
      <w:pPr>
        <w:tabs>
          <w:tab w:val="num" w:pos="576"/>
        </w:tabs>
        <w:ind w:left="576" w:hanging="57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3F4C45"/>
    <w:multiLevelType w:val="hybridMultilevel"/>
    <w:tmpl w:val="12ACD3D8"/>
    <w:lvl w:ilvl="0" w:tplc="7E2A8558">
      <w:start w:val="2"/>
      <w:numFmt w:val="bullet"/>
      <w:lvlText w:val="-"/>
      <w:lvlJc w:val="left"/>
      <w:pPr>
        <w:tabs>
          <w:tab w:val="num" w:pos="576"/>
        </w:tabs>
        <w:ind w:left="576" w:hanging="57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13348A"/>
    <w:multiLevelType w:val="hybridMultilevel"/>
    <w:tmpl w:val="16121F60"/>
    <w:lvl w:ilvl="0" w:tplc="19AA1094">
      <w:start w:val="2000"/>
      <w:numFmt w:val="bullet"/>
      <w:lvlText w:val="-"/>
      <w:lvlJc w:val="left"/>
      <w:pPr>
        <w:tabs>
          <w:tab w:val="num" w:pos="360"/>
        </w:tabs>
        <w:ind w:left="360" w:hanging="360"/>
      </w:pPr>
      <w:rPr>
        <w:rFonts w:ascii="Times New Roman" w:hAnsi="Times New Roman" w:hint="default"/>
      </w:rPr>
    </w:lvl>
    <w:lvl w:ilvl="1" w:tplc="75025E08">
      <w:start w:val="1"/>
      <w:numFmt w:val="decimal"/>
      <w:lvlText w:val="%2."/>
      <w:lvlJc w:val="left"/>
      <w:pPr>
        <w:tabs>
          <w:tab w:val="num" w:pos="1440"/>
        </w:tabs>
        <w:ind w:left="1440" w:hanging="360"/>
      </w:pPr>
      <w:rPr>
        <w:rFonts w:hint="default"/>
      </w:rPr>
    </w:lvl>
    <w:lvl w:ilvl="2" w:tplc="C75EEDC8">
      <w:start w:val="5"/>
      <w:numFmt w:val="decimal"/>
      <w:lvlText w:val="%3"/>
      <w:lvlJc w:val="left"/>
      <w:pPr>
        <w:tabs>
          <w:tab w:val="num" w:pos="2370"/>
        </w:tabs>
        <w:ind w:left="2370" w:hanging="570"/>
      </w:pPr>
      <w:rPr>
        <w:rFonts w:hint="default"/>
      </w:rPr>
    </w:lvl>
    <w:lvl w:ilvl="3" w:tplc="C16CFF20" w:tentative="1">
      <w:start w:val="1"/>
      <w:numFmt w:val="bullet"/>
      <w:lvlText w:val=""/>
      <w:lvlJc w:val="left"/>
      <w:pPr>
        <w:tabs>
          <w:tab w:val="num" w:pos="2880"/>
        </w:tabs>
        <w:ind w:left="2880" w:hanging="360"/>
      </w:pPr>
      <w:rPr>
        <w:rFonts w:ascii="Symbol" w:hAnsi="Symbol" w:hint="default"/>
      </w:rPr>
    </w:lvl>
    <w:lvl w:ilvl="4" w:tplc="35043A46" w:tentative="1">
      <w:start w:val="1"/>
      <w:numFmt w:val="bullet"/>
      <w:lvlText w:val="o"/>
      <w:lvlJc w:val="left"/>
      <w:pPr>
        <w:tabs>
          <w:tab w:val="num" w:pos="3600"/>
        </w:tabs>
        <w:ind w:left="3600" w:hanging="360"/>
      </w:pPr>
      <w:rPr>
        <w:rFonts w:ascii="Courier New" w:hAnsi="Courier New" w:cs="Courier New" w:hint="default"/>
      </w:rPr>
    </w:lvl>
    <w:lvl w:ilvl="5" w:tplc="E3A249EC" w:tentative="1">
      <w:start w:val="1"/>
      <w:numFmt w:val="bullet"/>
      <w:lvlText w:val=""/>
      <w:lvlJc w:val="left"/>
      <w:pPr>
        <w:tabs>
          <w:tab w:val="num" w:pos="4320"/>
        </w:tabs>
        <w:ind w:left="4320" w:hanging="360"/>
      </w:pPr>
      <w:rPr>
        <w:rFonts w:ascii="Wingdings" w:hAnsi="Wingdings" w:hint="default"/>
      </w:rPr>
    </w:lvl>
    <w:lvl w:ilvl="6" w:tplc="68EC923A" w:tentative="1">
      <w:start w:val="1"/>
      <w:numFmt w:val="bullet"/>
      <w:lvlText w:val=""/>
      <w:lvlJc w:val="left"/>
      <w:pPr>
        <w:tabs>
          <w:tab w:val="num" w:pos="5040"/>
        </w:tabs>
        <w:ind w:left="5040" w:hanging="360"/>
      </w:pPr>
      <w:rPr>
        <w:rFonts w:ascii="Symbol" w:hAnsi="Symbol" w:hint="default"/>
      </w:rPr>
    </w:lvl>
    <w:lvl w:ilvl="7" w:tplc="61461D8A" w:tentative="1">
      <w:start w:val="1"/>
      <w:numFmt w:val="bullet"/>
      <w:lvlText w:val="o"/>
      <w:lvlJc w:val="left"/>
      <w:pPr>
        <w:tabs>
          <w:tab w:val="num" w:pos="5760"/>
        </w:tabs>
        <w:ind w:left="5760" w:hanging="360"/>
      </w:pPr>
      <w:rPr>
        <w:rFonts w:ascii="Courier New" w:hAnsi="Courier New" w:cs="Courier New" w:hint="default"/>
      </w:rPr>
    </w:lvl>
    <w:lvl w:ilvl="8" w:tplc="83C0F47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407C81"/>
    <w:multiLevelType w:val="hybridMultilevel"/>
    <w:tmpl w:val="A236952C"/>
    <w:lvl w:ilvl="0" w:tplc="E3608AC0">
      <w:start w:val="2"/>
      <w:numFmt w:val="bullet"/>
      <w:lvlText w:val="-"/>
      <w:lvlJc w:val="left"/>
      <w:pPr>
        <w:tabs>
          <w:tab w:val="num" w:pos="576"/>
        </w:tabs>
        <w:ind w:left="576" w:hanging="570"/>
      </w:pPr>
      <w:rPr>
        <w:rFonts w:hint="default"/>
        <w:b w:val="0"/>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A7C6E"/>
    <w:multiLevelType w:val="hybridMultilevel"/>
    <w:tmpl w:val="A58699F6"/>
    <w:lvl w:ilvl="0" w:tplc="75F0055A">
      <w:start w:val="1"/>
      <w:numFmt w:val="bullet"/>
      <w:lvlText w:val="-"/>
      <w:lvlJc w:val="left"/>
      <w:pPr>
        <w:tabs>
          <w:tab w:val="num" w:pos="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C864A8"/>
    <w:multiLevelType w:val="hybridMultilevel"/>
    <w:tmpl w:val="9A623EB0"/>
    <w:lvl w:ilvl="0" w:tplc="AC7A3A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63F08"/>
    <w:multiLevelType w:val="hybridMultilevel"/>
    <w:tmpl w:val="1D4C591E"/>
    <w:lvl w:ilvl="0" w:tplc="AC7A3A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2D300F"/>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7602809"/>
    <w:multiLevelType w:val="hybridMultilevel"/>
    <w:tmpl w:val="06DA326E"/>
    <w:lvl w:ilvl="0" w:tplc="82DA7DD0">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6B5803"/>
    <w:multiLevelType w:val="hybridMultilevel"/>
    <w:tmpl w:val="8EB2A958"/>
    <w:lvl w:ilvl="0" w:tplc="75F0055A">
      <w:start w:val="1"/>
      <w:numFmt w:val="bullet"/>
      <w:lvlText w:val="-"/>
      <w:lvlJc w:val="left"/>
      <w:pPr>
        <w:tabs>
          <w:tab w:val="num" w:pos="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287915"/>
    <w:multiLevelType w:val="hybridMultilevel"/>
    <w:tmpl w:val="452AAF28"/>
    <w:lvl w:ilvl="0" w:tplc="E3608AC0">
      <w:start w:val="2"/>
      <w:numFmt w:val="bullet"/>
      <w:lvlText w:val="-"/>
      <w:lvlJc w:val="left"/>
      <w:pPr>
        <w:tabs>
          <w:tab w:val="num" w:pos="576"/>
        </w:tabs>
        <w:ind w:left="576" w:hanging="57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3A07ED"/>
    <w:multiLevelType w:val="hybridMultilevel"/>
    <w:tmpl w:val="F364CB1A"/>
    <w:lvl w:ilvl="0" w:tplc="75F0055A">
      <w:start w:val="1"/>
      <w:numFmt w:val="bullet"/>
      <w:lvlText w:val="-"/>
      <w:lvlJc w:val="left"/>
      <w:pPr>
        <w:tabs>
          <w:tab w:val="num" w:pos="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8D729F"/>
    <w:multiLevelType w:val="hybridMultilevel"/>
    <w:tmpl w:val="0016C748"/>
    <w:lvl w:ilvl="0" w:tplc="AC7A3A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337D0"/>
    <w:multiLevelType w:val="hybridMultilevel"/>
    <w:tmpl w:val="00D65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A13D0C"/>
    <w:multiLevelType w:val="hybridMultilevel"/>
    <w:tmpl w:val="C9E62438"/>
    <w:lvl w:ilvl="0" w:tplc="FFFFFFFF">
      <w:start w:val="1"/>
      <w:numFmt w:val="bullet"/>
      <w:lvlText w:val="-"/>
      <w:legacy w:legacy="1" w:legacySpace="0" w:legacyIndent="360"/>
      <w:lvlJc w:val="left"/>
      <w:pPr>
        <w:ind w:left="36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5265A3"/>
    <w:multiLevelType w:val="hybridMultilevel"/>
    <w:tmpl w:val="B198989C"/>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0C7090"/>
    <w:multiLevelType w:val="hybridMultilevel"/>
    <w:tmpl w:val="55D8AD52"/>
    <w:lvl w:ilvl="0" w:tplc="E3608AC0">
      <w:start w:val="2"/>
      <w:numFmt w:val="bullet"/>
      <w:lvlText w:val="-"/>
      <w:lvlJc w:val="left"/>
      <w:pPr>
        <w:tabs>
          <w:tab w:val="num" w:pos="576"/>
        </w:tabs>
        <w:ind w:left="576" w:hanging="570"/>
      </w:pPr>
      <w:rPr>
        <w:rFonts w:hint="default"/>
        <w:b w:val="0"/>
        <w:i w:val="0"/>
      </w:rPr>
    </w:lvl>
    <w:lvl w:ilvl="1" w:tplc="FFFFFFFF">
      <w:start w:val="1"/>
      <w:numFmt w:val="bullet"/>
      <w:lvlText w:val="-"/>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8"/>
  </w:num>
  <w:num w:numId="6">
    <w:abstractNumId w:val="9"/>
  </w:num>
  <w:num w:numId="7">
    <w:abstractNumId w:val="10"/>
  </w:num>
  <w:num w:numId="8">
    <w:abstractNumId w:val="20"/>
  </w:num>
  <w:num w:numId="9">
    <w:abstractNumId w:val="19"/>
  </w:num>
  <w:num w:numId="10">
    <w:abstractNumId w:val="25"/>
  </w:num>
  <w:num w:numId="11">
    <w:abstractNumId w:val="30"/>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39"/>
  </w:num>
  <w:num w:numId="14">
    <w:abstractNumId w:val="17"/>
  </w:num>
  <w:num w:numId="15">
    <w:abstractNumId w:val="26"/>
  </w:num>
  <w:num w:numId="16">
    <w:abstractNumId w:val="38"/>
  </w:num>
  <w:num w:numId="17">
    <w:abstractNumId w:val="11"/>
  </w:num>
  <w:num w:numId="18">
    <w:abstractNumId w:val="12"/>
  </w:num>
  <w:num w:numId="19">
    <w:abstractNumId w:val="32"/>
  </w:num>
  <w:num w:numId="20">
    <w:abstractNumId w:val="15"/>
  </w:num>
  <w:num w:numId="21">
    <w:abstractNumId w:val="27"/>
  </w:num>
  <w:num w:numId="22">
    <w:abstractNumId w:val="34"/>
  </w:num>
  <w:num w:numId="23">
    <w:abstractNumId w:val="18"/>
  </w:num>
  <w:num w:numId="24">
    <w:abstractNumId w:val="24"/>
  </w:num>
  <w:num w:numId="25">
    <w:abstractNumId w:val="23"/>
  </w:num>
  <w:num w:numId="26">
    <w:abstractNumId w:val="21"/>
  </w:num>
  <w:num w:numId="27">
    <w:abstractNumId w:val="16"/>
  </w:num>
  <w:num w:numId="28">
    <w:abstractNumId w:val="35"/>
  </w:num>
  <w:num w:numId="29">
    <w:abstractNumId w:val="28"/>
  </w:num>
  <w:num w:numId="30">
    <w:abstractNumId w:val="29"/>
  </w:num>
  <w:num w:numId="31">
    <w:abstractNumId w:val="33"/>
  </w:num>
  <w:num w:numId="32">
    <w:abstractNumId w:val="13"/>
  </w:num>
  <w:num w:numId="33">
    <w:abstractNumId w:val="0"/>
    <w:lvlOverride w:ilvl="0">
      <w:lvl w:ilvl="0">
        <w:start w:val="1"/>
        <w:numFmt w:val="bullet"/>
        <w:lvlText w:val="-"/>
        <w:legacy w:legacy="1" w:legacySpace="0" w:legacyIndent="360"/>
        <w:lvlJc w:val="left"/>
        <w:pPr>
          <w:ind w:left="360" w:hanging="360"/>
        </w:pPr>
      </w:lvl>
    </w:lvlOverride>
  </w:num>
  <w:num w:numId="34">
    <w:abstractNumId w:val="37"/>
  </w:num>
  <w:num w:numId="35">
    <w:abstractNumId w:val="22"/>
  </w:num>
  <w:num w:numId="36">
    <w:abstractNumId w:val="14"/>
  </w:num>
  <w:num w:numId="3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pt-BR" w:vendorID="64" w:dllVersion="6" w:nlCheck="1" w:checkStyle="0"/>
  <w:activeWritingStyle w:appName="MSWord" w:lang="es-ES" w:vendorID="64" w:dllVersion="6" w:nlCheck="1" w:checkStyle="0"/>
  <w:activeWritingStyle w:appName="MSWord" w:lang="de-DE" w:vendorID="64" w:dllVersion="6" w:nlCheck="1" w:checkStyle="0"/>
  <w:activeWritingStyle w:appName="MSWord" w:lang="pt-PT" w:vendorID="64" w:dllVersion="6" w:nlCheck="1" w:checkStyle="0"/>
  <w:activeWritingStyle w:appName="MSWord" w:lang="fr-CH"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860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910FC8"/>
    <w:rsid w:val="000004CA"/>
    <w:rsid w:val="0000287A"/>
    <w:rsid w:val="0000570D"/>
    <w:rsid w:val="00006769"/>
    <w:rsid w:val="00010C1A"/>
    <w:rsid w:val="00011D9B"/>
    <w:rsid w:val="00014D74"/>
    <w:rsid w:val="00015826"/>
    <w:rsid w:val="00016A9D"/>
    <w:rsid w:val="00017320"/>
    <w:rsid w:val="0001742E"/>
    <w:rsid w:val="00017FB0"/>
    <w:rsid w:val="00020DBC"/>
    <w:rsid w:val="00020F65"/>
    <w:rsid w:val="00023170"/>
    <w:rsid w:val="0002466E"/>
    <w:rsid w:val="000273A2"/>
    <w:rsid w:val="00027FB3"/>
    <w:rsid w:val="0003042A"/>
    <w:rsid w:val="00030723"/>
    <w:rsid w:val="00033C8A"/>
    <w:rsid w:val="00034816"/>
    <w:rsid w:val="00034A6E"/>
    <w:rsid w:val="00036C60"/>
    <w:rsid w:val="0004394C"/>
    <w:rsid w:val="00045297"/>
    <w:rsid w:val="00045AFC"/>
    <w:rsid w:val="00046CCB"/>
    <w:rsid w:val="000474CA"/>
    <w:rsid w:val="00050A52"/>
    <w:rsid w:val="0005125F"/>
    <w:rsid w:val="00053923"/>
    <w:rsid w:val="00053E70"/>
    <w:rsid w:val="00053FF7"/>
    <w:rsid w:val="00054F86"/>
    <w:rsid w:val="00055379"/>
    <w:rsid w:val="00055826"/>
    <w:rsid w:val="00056D08"/>
    <w:rsid w:val="00057F96"/>
    <w:rsid w:val="00062F3F"/>
    <w:rsid w:val="00063A49"/>
    <w:rsid w:val="00064E72"/>
    <w:rsid w:val="000650A8"/>
    <w:rsid w:val="000657A7"/>
    <w:rsid w:val="000701E5"/>
    <w:rsid w:val="00070992"/>
    <w:rsid w:val="00070B2B"/>
    <w:rsid w:val="0007178E"/>
    <w:rsid w:val="00072FB3"/>
    <w:rsid w:val="00073181"/>
    <w:rsid w:val="00075A94"/>
    <w:rsid w:val="00075CD2"/>
    <w:rsid w:val="0007763C"/>
    <w:rsid w:val="00077D15"/>
    <w:rsid w:val="000809DC"/>
    <w:rsid w:val="00081BF8"/>
    <w:rsid w:val="0008425A"/>
    <w:rsid w:val="00085B91"/>
    <w:rsid w:val="000901C9"/>
    <w:rsid w:val="0009057D"/>
    <w:rsid w:val="000906CD"/>
    <w:rsid w:val="00090F8A"/>
    <w:rsid w:val="0009141D"/>
    <w:rsid w:val="00092896"/>
    <w:rsid w:val="00097285"/>
    <w:rsid w:val="0009774B"/>
    <w:rsid w:val="000A0AC3"/>
    <w:rsid w:val="000A18B1"/>
    <w:rsid w:val="000A1D46"/>
    <w:rsid w:val="000A3BB1"/>
    <w:rsid w:val="000A3E39"/>
    <w:rsid w:val="000A4928"/>
    <w:rsid w:val="000A5E5A"/>
    <w:rsid w:val="000B2EBD"/>
    <w:rsid w:val="000B2F37"/>
    <w:rsid w:val="000B3FC9"/>
    <w:rsid w:val="000B5940"/>
    <w:rsid w:val="000C14BC"/>
    <w:rsid w:val="000C1DF8"/>
    <w:rsid w:val="000C2D4F"/>
    <w:rsid w:val="000C543E"/>
    <w:rsid w:val="000C7192"/>
    <w:rsid w:val="000D035E"/>
    <w:rsid w:val="000D629D"/>
    <w:rsid w:val="000D6DF8"/>
    <w:rsid w:val="000E02D3"/>
    <w:rsid w:val="000E0D19"/>
    <w:rsid w:val="000E25E7"/>
    <w:rsid w:val="000E3A3B"/>
    <w:rsid w:val="000E3FB4"/>
    <w:rsid w:val="000E49A9"/>
    <w:rsid w:val="000E6418"/>
    <w:rsid w:val="000E646B"/>
    <w:rsid w:val="000E7662"/>
    <w:rsid w:val="000F142E"/>
    <w:rsid w:val="000F1AF8"/>
    <w:rsid w:val="000F1B06"/>
    <w:rsid w:val="000F20ED"/>
    <w:rsid w:val="000F2235"/>
    <w:rsid w:val="000F44E6"/>
    <w:rsid w:val="000F4FCB"/>
    <w:rsid w:val="000F579D"/>
    <w:rsid w:val="000F678F"/>
    <w:rsid w:val="000F68DC"/>
    <w:rsid w:val="000F6D8C"/>
    <w:rsid w:val="00102042"/>
    <w:rsid w:val="00110DBA"/>
    <w:rsid w:val="001110F6"/>
    <w:rsid w:val="001117D0"/>
    <w:rsid w:val="00111B0D"/>
    <w:rsid w:val="001122C6"/>
    <w:rsid w:val="001125EE"/>
    <w:rsid w:val="00113DF5"/>
    <w:rsid w:val="00114291"/>
    <w:rsid w:val="001146D8"/>
    <w:rsid w:val="0012071F"/>
    <w:rsid w:val="00120AEB"/>
    <w:rsid w:val="00120E52"/>
    <w:rsid w:val="00123CF2"/>
    <w:rsid w:val="0012424A"/>
    <w:rsid w:val="00125791"/>
    <w:rsid w:val="00135313"/>
    <w:rsid w:val="001355AC"/>
    <w:rsid w:val="00140E42"/>
    <w:rsid w:val="00142C58"/>
    <w:rsid w:val="00143ED7"/>
    <w:rsid w:val="0014414A"/>
    <w:rsid w:val="001444DC"/>
    <w:rsid w:val="00145E44"/>
    <w:rsid w:val="001477E0"/>
    <w:rsid w:val="0014796E"/>
    <w:rsid w:val="00150AF3"/>
    <w:rsid w:val="00151834"/>
    <w:rsid w:val="00151EE4"/>
    <w:rsid w:val="001524EF"/>
    <w:rsid w:val="00153AD1"/>
    <w:rsid w:val="00153C80"/>
    <w:rsid w:val="00154A31"/>
    <w:rsid w:val="00154ED4"/>
    <w:rsid w:val="00156BF7"/>
    <w:rsid w:val="00160510"/>
    <w:rsid w:val="001616FB"/>
    <w:rsid w:val="00163DE2"/>
    <w:rsid w:val="00164D15"/>
    <w:rsid w:val="00167323"/>
    <w:rsid w:val="00170091"/>
    <w:rsid w:val="0017031C"/>
    <w:rsid w:val="00170F8C"/>
    <w:rsid w:val="00172A4F"/>
    <w:rsid w:val="00172F84"/>
    <w:rsid w:val="001736B2"/>
    <w:rsid w:val="00177B91"/>
    <w:rsid w:val="00181494"/>
    <w:rsid w:val="00181B4E"/>
    <w:rsid w:val="00183125"/>
    <w:rsid w:val="00184427"/>
    <w:rsid w:val="001864B6"/>
    <w:rsid w:val="0018705A"/>
    <w:rsid w:val="00187CB0"/>
    <w:rsid w:val="0019016C"/>
    <w:rsid w:val="0019063C"/>
    <w:rsid w:val="0019126F"/>
    <w:rsid w:val="001913FA"/>
    <w:rsid w:val="00193A7C"/>
    <w:rsid w:val="00193EBE"/>
    <w:rsid w:val="00194602"/>
    <w:rsid w:val="00194662"/>
    <w:rsid w:val="00195DE5"/>
    <w:rsid w:val="001A0ED7"/>
    <w:rsid w:val="001A122E"/>
    <w:rsid w:val="001A5493"/>
    <w:rsid w:val="001A6FAE"/>
    <w:rsid w:val="001B1CF6"/>
    <w:rsid w:val="001B3CCE"/>
    <w:rsid w:val="001B3DD4"/>
    <w:rsid w:val="001C198D"/>
    <w:rsid w:val="001C2432"/>
    <w:rsid w:val="001C2770"/>
    <w:rsid w:val="001C3FBD"/>
    <w:rsid w:val="001C49DE"/>
    <w:rsid w:val="001C5E72"/>
    <w:rsid w:val="001C7F05"/>
    <w:rsid w:val="001D0956"/>
    <w:rsid w:val="001D323E"/>
    <w:rsid w:val="001D3D33"/>
    <w:rsid w:val="001D4A75"/>
    <w:rsid w:val="001D5394"/>
    <w:rsid w:val="001D653D"/>
    <w:rsid w:val="001E0016"/>
    <w:rsid w:val="001E01CA"/>
    <w:rsid w:val="001E4A6E"/>
    <w:rsid w:val="001E7E44"/>
    <w:rsid w:val="001F28E5"/>
    <w:rsid w:val="001F4118"/>
    <w:rsid w:val="001F4BCC"/>
    <w:rsid w:val="001F4DCD"/>
    <w:rsid w:val="001F52CF"/>
    <w:rsid w:val="001F5EE1"/>
    <w:rsid w:val="001F705D"/>
    <w:rsid w:val="002000AC"/>
    <w:rsid w:val="00200A9A"/>
    <w:rsid w:val="00200C0B"/>
    <w:rsid w:val="00200D6B"/>
    <w:rsid w:val="0020528F"/>
    <w:rsid w:val="00206DAB"/>
    <w:rsid w:val="002118AC"/>
    <w:rsid w:val="0021254E"/>
    <w:rsid w:val="00212FCB"/>
    <w:rsid w:val="00213B2B"/>
    <w:rsid w:val="00217583"/>
    <w:rsid w:val="0022017A"/>
    <w:rsid w:val="00221350"/>
    <w:rsid w:val="00221673"/>
    <w:rsid w:val="00221A73"/>
    <w:rsid w:val="00222C53"/>
    <w:rsid w:val="002237B3"/>
    <w:rsid w:val="00226437"/>
    <w:rsid w:val="00226544"/>
    <w:rsid w:val="002308BC"/>
    <w:rsid w:val="00232C56"/>
    <w:rsid w:val="00234233"/>
    <w:rsid w:val="00235065"/>
    <w:rsid w:val="002350DE"/>
    <w:rsid w:val="002352AA"/>
    <w:rsid w:val="0023662A"/>
    <w:rsid w:val="00236BC2"/>
    <w:rsid w:val="00237103"/>
    <w:rsid w:val="00237387"/>
    <w:rsid w:val="00244AC6"/>
    <w:rsid w:val="00244C9E"/>
    <w:rsid w:val="002454DA"/>
    <w:rsid w:val="002458F5"/>
    <w:rsid w:val="00245C2A"/>
    <w:rsid w:val="0025017F"/>
    <w:rsid w:val="00251472"/>
    <w:rsid w:val="0025148F"/>
    <w:rsid w:val="002521F0"/>
    <w:rsid w:val="00252D3F"/>
    <w:rsid w:val="00254075"/>
    <w:rsid w:val="0025514F"/>
    <w:rsid w:val="00256B32"/>
    <w:rsid w:val="00256C73"/>
    <w:rsid w:val="00261250"/>
    <w:rsid w:val="002618E8"/>
    <w:rsid w:val="00263864"/>
    <w:rsid w:val="00266C93"/>
    <w:rsid w:val="00266E35"/>
    <w:rsid w:val="00270DE1"/>
    <w:rsid w:val="00270F4D"/>
    <w:rsid w:val="00271013"/>
    <w:rsid w:val="00271CB4"/>
    <w:rsid w:val="00273717"/>
    <w:rsid w:val="00274BF6"/>
    <w:rsid w:val="00277800"/>
    <w:rsid w:val="00277E7F"/>
    <w:rsid w:val="002813D2"/>
    <w:rsid w:val="002816B2"/>
    <w:rsid w:val="0028191C"/>
    <w:rsid w:val="00281F75"/>
    <w:rsid w:val="002827E0"/>
    <w:rsid w:val="00282B06"/>
    <w:rsid w:val="00283615"/>
    <w:rsid w:val="00286832"/>
    <w:rsid w:val="00290408"/>
    <w:rsid w:val="00290B33"/>
    <w:rsid w:val="002923F6"/>
    <w:rsid w:val="00292471"/>
    <w:rsid w:val="00295754"/>
    <w:rsid w:val="00295904"/>
    <w:rsid w:val="00297186"/>
    <w:rsid w:val="002975BE"/>
    <w:rsid w:val="00297E10"/>
    <w:rsid w:val="002A0602"/>
    <w:rsid w:val="002A0EDB"/>
    <w:rsid w:val="002A5473"/>
    <w:rsid w:val="002B01CA"/>
    <w:rsid w:val="002B03AF"/>
    <w:rsid w:val="002B1D82"/>
    <w:rsid w:val="002B2068"/>
    <w:rsid w:val="002B26B7"/>
    <w:rsid w:val="002B64D1"/>
    <w:rsid w:val="002B7222"/>
    <w:rsid w:val="002C14F7"/>
    <w:rsid w:val="002C1CAF"/>
    <w:rsid w:val="002C2843"/>
    <w:rsid w:val="002C2B6A"/>
    <w:rsid w:val="002C5CDF"/>
    <w:rsid w:val="002C5DE8"/>
    <w:rsid w:val="002C655D"/>
    <w:rsid w:val="002C6B17"/>
    <w:rsid w:val="002C78F4"/>
    <w:rsid w:val="002D0607"/>
    <w:rsid w:val="002D57A7"/>
    <w:rsid w:val="002D70A1"/>
    <w:rsid w:val="002E1205"/>
    <w:rsid w:val="002E412E"/>
    <w:rsid w:val="002E499C"/>
    <w:rsid w:val="002E578F"/>
    <w:rsid w:val="002E66B4"/>
    <w:rsid w:val="002E72A4"/>
    <w:rsid w:val="002E72AD"/>
    <w:rsid w:val="002E7678"/>
    <w:rsid w:val="002F67E0"/>
    <w:rsid w:val="002F6CF2"/>
    <w:rsid w:val="002F7017"/>
    <w:rsid w:val="00300C9C"/>
    <w:rsid w:val="003014F5"/>
    <w:rsid w:val="00303861"/>
    <w:rsid w:val="00305CC7"/>
    <w:rsid w:val="00310ADE"/>
    <w:rsid w:val="00312AF1"/>
    <w:rsid w:val="00312BDE"/>
    <w:rsid w:val="00312E6C"/>
    <w:rsid w:val="00315102"/>
    <w:rsid w:val="0031589B"/>
    <w:rsid w:val="00316226"/>
    <w:rsid w:val="00316CFE"/>
    <w:rsid w:val="00316D79"/>
    <w:rsid w:val="00317EE8"/>
    <w:rsid w:val="00326CFC"/>
    <w:rsid w:val="00330E39"/>
    <w:rsid w:val="003316DE"/>
    <w:rsid w:val="00331B30"/>
    <w:rsid w:val="003321B4"/>
    <w:rsid w:val="00333D8E"/>
    <w:rsid w:val="0033506C"/>
    <w:rsid w:val="0033560E"/>
    <w:rsid w:val="003375EE"/>
    <w:rsid w:val="00341D2E"/>
    <w:rsid w:val="00342632"/>
    <w:rsid w:val="00342FD3"/>
    <w:rsid w:val="00344131"/>
    <w:rsid w:val="00344C3F"/>
    <w:rsid w:val="0034628D"/>
    <w:rsid w:val="00346ABB"/>
    <w:rsid w:val="00347A1E"/>
    <w:rsid w:val="003509F8"/>
    <w:rsid w:val="00350EE8"/>
    <w:rsid w:val="00351868"/>
    <w:rsid w:val="00353CD3"/>
    <w:rsid w:val="00356BCE"/>
    <w:rsid w:val="00361038"/>
    <w:rsid w:val="00361667"/>
    <w:rsid w:val="00362C06"/>
    <w:rsid w:val="003639E2"/>
    <w:rsid w:val="003648E2"/>
    <w:rsid w:val="0036505C"/>
    <w:rsid w:val="003659A5"/>
    <w:rsid w:val="003664B3"/>
    <w:rsid w:val="00367EFF"/>
    <w:rsid w:val="0037027F"/>
    <w:rsid w:val="0037072C"/>
    <w:rsid w:val="00371AC4"/>
    <w:rsid w:val="0037212A"/>
    <w:rsid w:val="00374667"/>
    <w:rsid w:val="00374A79"/>
    <w:rsid w:val="003755E2"/>
    <w:rsid w:val="003765B0"/>
    <w:rsid w:val="00376EA8"/>
    <w:rsid w:val="00377ADC"/>
    <w:rsid w:val="003801A8"/>
    <w:rsid w:val="003820A7"/>
    <w:rsid w:val="00386725"/>
    <w:rsid w:val="00386936"/>
    <w:rsid w:val="00387103"/>
    <w:rsid w:val="00392199"/>
    <w:rsid w:val="003A1A38"/>
    <w:rsid w:val="003A3313"/>
    <w:rsid w:val="003A380E"/>
    <w:rsid w:val="003A722B"/>
    <w:rsid w:val="003B0520"/>
    <w:rsid w:val="003B1DC2"/>
    <w:rsid w:val="003B255D"/>
    <w:rsid w:val="003B48EB"/>
    <w:rsid w:val="003B5665"/>
    <w:rsid w:val="003B5CB3"/>
    <w:rsid w:val="003B69A1"/>
    <w:rsid w:val="003C1BB2"/>
    <w:rsid w:val="003D1803"/>
    <w:rsid w:val="003D2806"/>
    <w:rsid w:val="003D4AA3"/>
    <w:rsid w:val="003D4BC5"/>
    <w:rsid w:val="003D5BDB"/>
    <w:rsid w:val="003D5D54"/>
    <w:rsid w:val="003D5D56"/>
    <w:rsid w:val="003D6257"/>
    <w:rsid w:val="003E0C37"/>
    <w:rsid w:val="003E2A23"/>
    <w:rsid w:val="003E472C"/>
    <w:rsid w:val="003E47D6"/>
    <w:rsid w:val="003E4E14"/>
    <w:rsid w:val="003E6147"/>
    <w:rsid w:val="003E7428"/>
    <w:rsid w:val="003E7A7F"/>
    <w:rsid w:val="003F1B90"/>
    <w:rsid w:val="003F6702"/>
    <w:rsid w:val="003F786C"/>
    <w:rsid w:val="0040035F"/>
    <w:rsid w:val="00401FC6"/>
    <w:rsid w:val="00404298"/>
    <w:rsid w:val="00404CD2"/>
    <w:rsid w:val="00405E73"/>
    <w:rsid w:val="00406A10"/>
    <w:rsid w:val="00407187"/>
    <w:rsid w:val="0041137A"/>
    <w:rsid w:val="0041183D"/>
    <w:rsid w:val="0041250E"/>
    <w:rsid w:val="00412F60"/>
    <w:rsid w:val="00413B6E"/>
    <w:rsid w:val="00414456"/>
    <w:rsid w:val="00415B7A"/>
    <w:rsid w:val="00416328"/>
    <w:rsid w:val="00416A7C"/>
    <w:rsid w:val="004175BC"/>
    <w:rsid w:val="00417AC2"/>
    <w:rsid w:val="00420183"/>
    <w:rsid w:val="00420F9E"/>
    <w:rsid w:val="00422E2D"/>
    <w:rsid w:val="004258C0"/>
    <w:rsid w:val="0043031D"/>
    <w:rsid w:val="00430D33"/>
    <w:rsid w:val="00431596"/>
    <w:rsid w:val="00431A14"/>
    <w:rsid w:val="0043299F"/>
    <w:rsid w:val="00434DBC"/>
    <w:rsid w:val="0043553D"/>
    <w:rsid w:val="00435DED"/>
    <w:rsid w:val="00437484"/>
    <w:rsid w:val="00437571"/>
    <w:rsid w:val="00437E63"/>
    <w:rsid w:val="00437EC1"/>
    <w:rsid w:val="00441442"/>
    <w:rsid w:val="0044204C"/>
    <w:rsid w:val="004436E5"/>
    <w:rsid w:val="00446575"/>
    <w:rsid w:val="0045121B"/>
    <w:rsid w:val="00451A6B"/>
    <w:rsid w:val="00453141"/>
    <w:rsid w:val="00453F31"/>
    <w:rsid w:val="004559F0"/>
    <w:rsid w:val="00457AFE"/>
    <w:rsid w:val="00460807"/>
    <w:rsid w:val="00462020"/>
    <w:rsid w:val="0046315C"/>
    <w:rsid w:val="00464CDD"/>
    <w:rsid w:val="004652A2"/>
    <w:rsid w:val="004665AA"/>
    <w:rsid w:val="004707DC"/>
    <w:rsid w:val="00471184"/>
    <w:rsid w:val="004724A2"/>
    <w:rsid w:val="0047322C"/>
    <w:rsid w:val="004744DD"/>
    <w:rsid w:val="004753D8"/>
    <w:rsid w:val="00480EDD"/>
    <w:rsid w:val="0048423F"/>
    <w:rsid w:val="00484B84"/>
    <w:rsid w:val="00491501"/>
    <w:rsid w:val="00491530"/>
    <w:rsid w:val="00492A5A"/>
    <w:rsid w:val="004953E8"/>
    <w:rsid w:val="00495B3A"/>
    <w:rsid w:val="00497576"/>
    <w:rsid w:val="004A02BD"/>
    <w:rsid w:val="004A0FAA"/>
    <w:rsid w:val="004A61F1"/>
    <w:rsid w:val="004B1059"/>
    <w:rsid w:val="004B1282"/>
    <w:rsid w:val="004B3E01"/>
    <w:rsid w:val="004B4421"/>
    <w:rsid w:val="004B609B"/>
    <w:rsid w:val="004C120A"/>
    <w:rsid w:val="004C158A"/>
    <w:rsid w:val="004C3718"/>
    <w:rsid w:val="004C4F7F"/>
    <w:rsid w:val="004C55F5"/>
    <w:rsid w:val="004C7DF3"/>
    <w:rsid w:val="004D12FC"/>
    <w:rsid w:val="004D3EDA"/>
    <w:rsid w:val="004D531C"/>
    <w:rsid w:val="004D7429"/>
    <w:rsid w:val="004E1542"/>
    <w:rsid w:val="004E184B"/>
    <w:rsid w:val="004E270B"/>
    <w:rsid w:val="004E3683"/>
    <w:rsid w:val="004E6698"/>
    <w:rsid w:val="004E6BE2"/>
    <w:rsid w:val="004F27FD"/>
    <w:rsid w:val="004F2CBE"/>
    <w:rsid w:val="004F493E"/>
    <w:rsid w:val="004F4A33"/>
    <w:rsid w:val="004F5EB8"/>
    <w:rsid w:val="004F72FB"/>
    <w:rsid w:val="005012CC"/>
    <w:rsid w:val="00501A02"/>
    <w:rsid w:val="005028AD"/>
    <w:rsid w:val="0050335D"/>
    <w:rsid w:val="005051B9"/>
    <w:rsid w:val="00506055"/>
    <w:rsid w:val="00506BEC"/>
    <w:rsid w:val="005077B2"/>
    <w:rsid w:val="00510D23"/>
    <w:rsid w:val="005116D0"/>
    <w:rsid w:val="0051207B"/>
    <w:rsid w:val="00513CB8"/>
    <w:rsid w:val="00514B02"/>
    <w:rsid w:val="00515197"/>
    <w:rsid w:val="00515332"/>
    <w:rsid w:val="005161B7"/>
    <w:rsid w:val="005168AB"/>
    <w:rsid w:val="005201BC"/>
    <w:rsid w:val="00520576"/>
    <w:rsid w:val="00521478"/>
    <w:rsid w:val="00523557"/>
    <w:rsid w:val="005235F2"/>
    <w:rsid w:val="00531028"/>
    <w:rsid w:val="00531C9D"/>
    <w:rsid w:val="00532247"/>
    <w:rsid w:val="0053490F"/>
    <w:rsid w:val="00535318"/>
    <w:rsid w:val="00536065"/>
    <w:rsid w:val="00542731"/>
    <w:rsid w:val="00545300"/>
    <w:rsid w:val="0054540C"/>
    <w:rsid w:val="00545C0D"/>
    <w:rsid w:val="00545EAE"/>
    <w:rsid w:val="005466A1"/>
    <w:rsid w:val="00546B6E"/>
    <w:rsid w:val="00546D43"/>
    <w:rsid w:val="00547C01"/>
    <w:rsid w:val="0055119D"/>
    <w:rsid w:val="005531DA"/>
    <w:rsid w:val="005544FB"/>
    <w:rsid w:val="005546AF"/>
    <w:rsid w:val="005552EB"/>
    <w:rsid w:val="00556B9B"/>
    <w:rsid w:val="0056009B"/>
    <w:rsid w:val="00562988"/>
    <w:rsid w:val="00565A91"/>
    <w:rsid w:val="00565D2D"/>
    <w:rsid w:val="00565E5E"/>
    <w:rsid w:val="00567AC7"/>
    <w:rsid w:val="005709E4"/>
    <w:rsid w:val="00571474"/>
    <w:rsid w:val="005722E2"/>
    <w:rsid w:val="0057321F"/>
    <w:rsid w:val="00574472"/>
    <w:rsid w:val="0057469B"/>
    <w:rsid w:val="00575D84"/>
    <w:rsid w:val="0057612B"/>
    <w:rsid w:val="00577686"/>
    <w:rsid w:val="00580342"/>
    <w:rsid w:val="0058295F"/>
    <w:rsid w:val="005829A9"/>
    <w:rsid w:val="00583236"/>
    <w:rsid w:val="00584A58"/>
    <w:rsid w:val="0058649C"/>
    <w:rsid w:val="005938CD"/>
    <w:rsid w:val="005939C3"/>
    <w:rsid w:val="005960F9"/>
    <w:rsid w:val="00596756"/>
    <w:rsid w:val="00596FD5"/>
    <w:rsid w:val="00597A5B"/>
    <w:rsid w:val="00597C7D"/>
    <w:rsid w:val="005A3874"/>
    <w:rsid w:val="005A6AE7"/>
    <w:rsid w:val="005A78EA"/>
    <w:rsid w:val="005B0CAE"/>
    <w:rsid w:val="005B325E"/>
    <w:rsid w:val="005B33F6"/>
    <w:rsid w:val="005B5424"/>
    <w:rsid w:val="005B6CF6"/>
    <w:rsid w:val="005C14DC"/>
    <w:rsid w:val="005C3CA8"/>
    <w:rsid w:val="005C43DA"/>
    <w:rsid w:val="005C6CAA"/>
    <w:rsid w:val="005C6E7A"/>
    <w:rsid w:val="005D0266"/>
    <w:rsid w:val="005D0736"/>
    <w:rsid w:val="005D0ED4"/>
    <w:rsid w:val="005D2C5E"/>
    <w:rsid w:val="005D5ADA"/>
    <w:rsid w:val="005D661F"/>
    <w:rsid w:val="005D798D"/>
    <w:rsid w:val="005D7B51"/>
    <w:rsid w:val="005E0389"/>
    <w:rsid w:val="005E15AC"/>
    <w:rsid w:val="005E2295"/>
    <w:rsid w:val="005E2843"/>
    <w:rsid w:val="005E28EC"/>
    <w:rsid w:val="005E3FE6"/>
    <w:rsid w:val="005E5CC8"/>
    <w:rsid w:val="005E6013"/>
    <w:rsid w:val="005E6043"/>
    <w:rsid w:val="005F0E77"/>
    <w:rsid w:val="005F10E6"/>
    <w:rsid w:val="005F1843"/>
    <w:rsid w:val="005F1E70"/>
    <w:rsid w:val="005F22EB"/>
    <w:rsid w:val="005F28EB"/>
    <w:rsid w:val="005F628A"/>
    <w:rsid w:val="005F6E92"/>
    <w:rsid w:val="005F7168"/>
    <w:rsid w:val="00602B9A"/>
    <w:rsid w:val="00603E02"/>
    <w:rsid w:val="0060417E"/>
    <w:rsid w:val="00606A25"/>
    <w:rsid w:val="0061017A"/>
    <w:rsid w:val="00610CDF"/>
    <w:rsid w:val="006138E1"/>
    <w:rsid w:val="00613D9A"/>
    <w:rsid w:val="006144A3"/>
    <w:rsid w:val="00620759"/>
    <w:rsid w:val="00620F0D"/>
    <w:rsid w:val="006219A1"/>
    <w:rsid w:val="00622B4F"/>
    <w:rsid w:val="006252B9"/>
    <w:rsid w:val="00626C78"/>
    <w:rsid w:val="00627276"/>
    <w:rsid w:val="00630C74"/>
    <w:rsid w:val="0063210C"/>
    <w:rsid w:val="006351D8"/>
    <w:rsid w:val="00635BEA"/>
    <w:rsid w:val="00636A31"/>
    <w:rsid w:val="00637A83"/>
    <w:rsid w:val="00640442"/>
    <w:rsid w:val="00640C47"/>
    <w:rsid w:val="006425BE"/>
    <w:rsid w:val="00643B68"/>
    <w:rsid w:val="00643E04"/>
    <w:rsid w:val="0064638B"/>
    <w:rsid w:val="00651256"/>
    <w:rsid w:val="00651782"/>
    <w:rsid w:val="006525BB"/>
    <w:rsid w:val="00654EEB"/>
    <w:rsid w:val="006558FB"/>
    <w:rsid w:val="00657566"/>
    <w:rsid w:val="00660320"/>
    <w:rsid w:val="0066088E"/>
    <w:rsid w:val="00660EA0"/>
    <w:rsid w:val="006645B1"/>
    <w:rsid w:val="00665DEF"/>
    <w:rsid w:val="00667373"/>
    <w:rsid w:val="0066782E"/>
    <w:rsid w:val="00667E80"/>
    <w:rsid w:val="006715AC"/>
    <w:rsid w:val="00671959"/>
    <w:rsid w:val="0067243D"/>
    <w:rsid w:val="00674177"/>
    <w:rsid w:val="00676670"/>
    <w:rsid w:val="0067669C"/>
    <w:rsid w:val="00677EE8"/>
    <w:rsid w:val="00680452"/>
    <w:rsid w:val="00680CF0"/>
    <w:rsid w:val="006825E4"/>
    <w:rsid w:val="00682889"/>
    <w:rsid w:val="006845F7"/>
    <w:rsid w:val="00685E29"/>
    <w:rsid w:val="0068648E"/>
    <w:rsid w:val="00686B13"/>
    <w:rsid w:val="00686FA8"/>
    <w:rsid w:val="00693E70"/>
    <w:rsid w:val="00694633"/>
    <w:rsid w:val="00694BDD"/>
    <w:rsid w:val="006963E4"/>
    <w:rsid w:val="00696AC2"/>
    <w:rsid w:val="00696E01"/>
    <w:rsid w:val="006977BB"/>
    <w:rsid w:val="006A2943"/>
    <w:rsid w:val="006A3803"/>
    <w:rsid w:val="006A6175"/>
    <w:rsid w:val="006A6277"/>
    <w:rsid w:val="006A71C4"/>
    <w:rsid w:val="006A7B12"/>
    <w:rsid w:val="006B087A"/>
    <w:rsid w:val="006B29EF"/>
    <w:rsid w:val="006B3909"/>
    <w:rsid w:val="006B5BA5"/>
    <w:rsid w:val="006B682C"/>
    <w:rsid w:val="006B6B3C"/>
    <w:rsid w:val="006B74AF"/>
    <w:rsid w:val="006B7D1F"/>
    <w:rsid w:val="006C1C5A"/>
    <w:rsid w:val="006C22DF"/>
    <w:rsid w:val="006C33BB"/>
    <w:rsid w:val="006C6C25"/>
    <w:rsid w:val="006C7355"/>
    <w:rsid w:val="006C7652"/>
    <w:rsid w:val="006D00C7"/>
    <w:rsid w:val="006D02D9"/>
    <w:rsid w:val="006D0993"/>
    <w:rsid w:val="006D0F5F"/>
    <w:rsid w:val="006D616E"/>
    <w:rsid w:val="006E035D"/>
    <w:rsid w:val="006E1A59"/>
    <w:rsid w:val="006E1F8B"/>
    <w:rsid w:val="006E495C"/>
    <w:rsid w:val="006E4E80"/>
    <w:rsid w:val="006E577C"/>
    <w:rsid w:val="006E5CD1"/>
    <w:rsid w:val="006F0267"/>
    <w:rsid w:val="006F5207"/>
    <w:rsid w:val="006F7825"/>
    <w:rsid w:val="007006AF"/>
    <w:rsid w:val="00702DD3"/>
    <w:rsid w:val="00702FC0"/>
    <w:rsid w:val="00704C06"/>
    <w:rsid w:val="00706670"/>
    <w:rsid w:val="00707244"/>
    <w:rsid w:val="007118CB"/>
    <w:rsid w:val="00712E1C"/>
    <w:rsid w:val="00713460"/>
    <w:rsid w:val="00714221"/>
    <w:rsid w:val="007143A2"/>
    <w:rsid w:val="0071645C"/>
    <w:rsid w:val="00717370"/>
    <w:rsid w:val="00722750"/>
    <w:rsid w:val="007261F0"/>
    <w:rsid w:val="00726E29"/>
    <w:rsid w:val="00731BCD"/>
    <w:rsid w:val="00731D33"/>
    <w:rsid w:val="00731E39"/>
    <w:rsid w:val="0073294E"/>
    <w:rsid w:val="00732E4B"/>
    <w:rsid w:val="00734D41"/>
    <w:rsid w:val="0073531C"/>
    <w:rsid w:val="007361FF"/>
    <w:rsid w:val="0073674D"/>
    <w:rsid w:val="00737AF2"/>
    <w:rsid w:val="00737CD6"/>
    <w:rsid w:val="00743067"/>
    <w:rsid w:val="00744B75"/>
    <w:rsid w:val="00745D6A"/>
    <w:rsid w:val="00746382"/>
    <w:rsid w:val="0075076B"/>
    <w:rsid w:val="00750BBF"/>
    <w:rsid w:val="00750F0E"/>
    <w:rsid w:val="007510C9"/>
    <w:rsid w:val="007518BF"/>
    <w:rsid w:val="007542BF"/>
    <w:rsid w:val="00755E9C"/>
    <w:rsid w:val="00756C88"/>
    <w:rsid w:val="00761A08"/>
    <w:rsid w:val="00761F04"/>
    <w:rsid w:val="00762262"/>
    <w:rsid w:val="00763126"/>
    <w:rsid w:val="0076357D"/>
    <w:rsid w:val="00763941"/>
    <w:rsid w:val="00763DA6"/>
    <w:rsid w:val="0076441B"/>
    <w:rsid w:val="00764A01"/>
    <w:rsid w:val="00765D77"/>
    <w:rsid w:val="00767C14"/>
    <w:rsid w:val="00770541"/>
    <w:rsid w:val="0077096D"/>
    <w:rsid w:val="00774623"/>
    <w:rsid w:val="00775851"/>
    <w:rsid w:val="007801CE"/>
    <w:rsid w:val="0078099B"/>
    <w:rsid w:val="00780B9D"/>
    <w:rsid w:val="00781400"/>
    <w:rsid w:val="00781733"/>
    <w:rsid w:val="0078173C"/>
    <w:rsid w:val="00781B80"/>
    <w:rsid w:val="00784F23"/>
    <w:rsid w:val="00785B50"/>
    <w:rsid w:val="00785C2E"/>
    <w:rsid w:val="00786A6C"/>
    <w:rsid w:val="00792B91"/>
    <w:rsid w:val="00793411"/>
    <w:rsid w:val="00793BFB"/>
    <w:rsid w:val="0079473D"/>
    <w:rsid w:val="007948FC"/>
    <w:rsid w:val="00796AA2"/>
    <w:rsid w:val="007977E4"/>
    <w:rsid w:val="007A181F"/>
    <w:rsid w:val="007A1B69"/>
    <w:rsid w:val="007B18BA"/>
    <w:rsid w:val="007B214E"/>
    <w:rsid w:val="007B2D30"/>
    <w:rsid w:val="007B2FB9"/>
    <w:rsid w:val="007B32C6"/>
    <w:rsid w:val="007B3A0D"/>
    <w:rsid w:val="007B41FB"/>
    <w:rsid w:val="007B4F2D"/>
    <w:rsid w:val="007B6D0C"/>
    <w:rsid w:val="007B7CDC"/>
    <w:rsid w:val="007C0696"/>
    <w:rsid w:val="007C088D"/>
    <w:rsid w:val="007C1956"/>
    <w:rsid w:val="007C2857"/>
    <w:rsid w:val="007C3303"/>
    <w:rsid w:val="007C3BCA"/>
    <w:rsid w:val="007C3E20"/>
    <w:rsid w:val="007C4AF2"/>
    <w:rsid w:val="007D0DE9"/>
    <w:rsid w:val="007D175B"/>
    <w:rsid w:val="007D6607"/>
    <w:rsid w:val="007D7AA3"/>
    <w:rsid w:val="007E1021"/>
    <w:rsid w:val="007E1281"/>
    <w:rsid w:val="007E27B1"/>
    <w:rsid w:val="007E3C6D"/>
    <w:rsid w:val="007E4D98"/>
    <w:rsid w:val="007E741D"/>
    <w:rsid w:val="007E7CC0"/>
    <w:rsid w:val="007F03A1"/>
    <w:rsid w:val="007F15B3"/>
    <w:rsid w:val="007F33C9"/>
    <w:rsid w:val="007F4266"/>
    <w:rsid w:val="007F48DC"/>
    <w:rsid w:val="007F5795"/>
    <w:rsid w:val="007F6AA9"/>
    <w:rsid w:val="007F7305"/>
    <w:rsid w:val="00800C7B"/>
    <w:rsid w:val="00801286"/>
    <w:rsid w:val="00801AB5"/>
    <w:rsid w:val="0080254A"/>
    <w:rsid w:val="00806AF5"/>
    <w:rsid w:val="00807B17"/>
    <w:rsid w:val="00813F8D"/>
    <w:rsid w:val="008142A8"/>
    <w:rsid w:val="008154D2"/>
    <w:rsid w:val="00815D34"/>
    <w:rsid w:val="0081682A"/>
    <w:rsid w:val="00821127"/>
    <w:rsid w:val="008253B8"/>
    <w:rsid w:val="00825E6A"/>
    <w:rsid w:val="00826797"/>
    <w:rsid w:val="00831536"/>
    <w:rsid w:val="00832804"/>
    <w:rsid w:val="00832EC7"/>
    <w:rsid w:val="00832F28"/>
    <w:rsid w:val="00835726"/>
    <w:rsid w:val="00842204"/>
    <w:rsid w:val="008425E8"/>
    <w:rsid w:val="008431BB"/>
    <w:rsid w:val="0084335C"/>
    <w:rsid w:val="0084606B"/>
    <w:rsid w:val="00847134"/>
    <w:rsid w:val="008517BC"/>
    <w:rsid w:val="00853109"/>
    <w:rsid w:val="008535D6"/>
    <w:rsid w:val="00855A99"/>
    <w:rsid w:val="00857B13"/>
    <w:rsid w:val="008655D0"/>
    <w:rsid w:val="00865904"/>
    <w:rsid w:val="0087184D"/>
    <w:rsid w:val="00871AAD"/>
    <w:rsid w:val="00874843"/>
    <w:rsid w:val="008760E7"/>
    <w:rsid w:val="00877F3A"/>
    <w:rsid w:val="00877FC0"/>
    <w:rsid w:val="00880375"/>
    <w:rsid w:val="00884DCA"/>
    <w:rsid w:val="008878B9"/>
    <w:rsid w:val="00890ABE"/>
    <w:rsid w:val="00892696"/>
    <w:rsid w:val="00892724"/>
    <w:rsid w:val="00894BA2"/>
    <w:rsid w:val="00897F6C"/>
    <w:rsid w:val="008A051B"/>
    <w:rsid w:val="008A28B1"/>
    <w:rsid w:val="008B0F87"/>
    <w:rsid w:val="008B2501"/>
    <w:rsid w:val="008B25B9"/>
    <w:rsid w:val="008B3C7C"/>
    <w:rsid w:val="008B6EFB"/>
    <w:rsid w:val="008C1508"/>
    <w:rsid w:val="008C1E11"/>
    <w:rsid w:val="008C2353"/>
    <w:rsid w:val="008C2A61"/>
    <w:rsid w:val="008C2D79"/>
    <w:rsid w:val="008C3F7F"/>
    <w:rsid w:val="008C474A"/>
    <w:rsid w:val="008D3BAD"/>
    <w:rsid w:val="008D3EB1"/>
    <w:rsid w:val="008D4936"/>
    <w:rsid w:val="008D4AF6"/>
    <w:rsid w:val="008D7825"/>
    <w:rsid w:val="008E0258"/>
    <w:rsid w:val="008E1DEC"/>
    <w:rsid w:val="008E32A5"/>
    <w:rsid w:val="008E33C7"/>
    <w:rsid w:val="008E41FF"/>
    <w:rsid w:val="008E4ABC"/>
    <w:rsid w:val="008E7DF7"/>
    <w:rsid w:val="008F1613"/>
    <w:rsid w:val="008F3238"/>
    <w:rsid w:val="008F60D1"/>
    <w:rsid w:val="008F769F"/>
    <w:rsid w:val="00901AD7"/>
    <w:rsid w:val="009041A6"/>
    <w:rsid w:val="00904B01"/>
    <w:rsid w:val="0090526B"/>
    <w:rsid w:val="009060DC"/>
    <w:rsid w:val="00906D26"/>
    <w:rsid w:val="00907A3B"/>
    <w:rsid w:val="00910FC8"/>
    <w:rsid w:val="00912E32"/>
    <w:rsid w:val="009169AF"/>
    <w:rsid w:val="009170ED"/>
    <w:rsid w:val="0091747B"/>
    <w:rsid w:val="009176C2"/>
    <w:rsid w:val="00920BA2"/>
    <w:rsid w:val="00920D93"/>
    <w:rsid w:val="00921358"/>
    <w:rsid w:val="00924498"/>
    <w:rsid w:val="00925FD7"/>
    <w:rsid w:val="00930F69"/>
    <w:rsid w:val="009342E5"/>
    <w:rsid w:val="009345AB"/>
    <w:rsid w:val="0093561C"/>
    <w:rsid w:val="0093584B"/>
    <w:rsid w:val="00935F2D"/>
    <w:rsid w:val="0093623F"/>
    <w:rsid w:val="009369E8"/>
    <w:rsid w:val="009403F1"/>
    <w:rsid w:val="00940F2C"/>
    <w:rsid w:val="009423B2"/>
    <w:rsid w:val="00943633"/>
    <w:rsid w:val="00944FBB"/>
    <w:rsid w:val="009454B1"/>
    <w:rsid w:val="00946117"/>
    <w:rsid w:val="0094660A"/>
    <w:rsid w:val="00946EFF"/>
    <w:rsid w:val="00946FA5"/>
    <w:rsid w:val="00947003"/>
    <w:rsid w:val="00947F74"/>
    <w:rsid w:val="00951752"/>
    <w:rsid w:val="00951E31"/>
    <w:rsid w:val="009522B6"/>
    <w:rsid w:val="0095356F"/>
    <w:rsid w:val="00953735"/>
    <w:rsid w:val="009537CF"/>
    <w:rsid w:val="00953AB8"/>
    <w:rsid w:val="009540A6"/>
    <w:rsid w:val="00956855"/>
    <w:rsid w:val="009609DE"/>
    <w:rsid w:val="009628AE"/>
    <w:rsid w:val="00963065"/>
    <w:rsid w:val="009637AF"/>
    <w:rsid w:val="00967A27"/>
    <w:rsid w:val="009721BC"/>
    <w:rsid w:val="00972ED1"/>
    <w:rsid w:val="00973424"/>
    <w:rsid w:val="0097349D"/>
    <w:rsid w:val="00973FAB"/>
    <w:rsid w:val="00974495"/>
    <w:rsid w:val="0097532D"/>
    <w:rsid w:val="00977813"/>
    <w:rsid w:val="0098084E"/>
    <w:rsid w:val="00982381"/>
    <w:rsid w:val="009830F4"/>
    <w:rsid w:val="009837D4"/>
    <w:rsid w:val="00984823"/>
    <w:rsid w:val="00984CE9"/>
    <w:rsid w:val="009858F7"/>
    <w:rsid w:val="009861F7"/>
    <w:rsid w:val="00986786"/>
    <w:rsid w:val="0098716C"/>
    <w:rsid w:val="00990649"/>
    <w:rsid w:val="00991D04"/>
    <w:rsid w:val="00993148"/>
    <w:rsid w:val="00995994"/>
    <w:rsid w:val="00996163"/>
    <w:rsid w:val="009A048F"/>
    <w:rsid w:val="009A052B"/>
    <w:rsid w:val="009A10DF"/>
    <w:rsid w:val="009A128B"/>
    <w:rsid w:val="009A210D"/>
    <w:rsid w:val="009A227B"/>
    <w:rsid w:val="009A4215"/>
    <w:rsid w:val="009A5363"/>
    <w:rsid w:val="009A54D2"/>
    <w:rsid w:val="009A6A4F"/>
    <w:rsid w:val="009B0927"/>
    <w:rsid w:val="009B15DE"/>
    <w:rsid w:val="009B1A0F"/>
    <w:rsid w:val="009B2A9C"/>
    <w:rsid w:val="009B66DB"/>
    <w:rsid w:val="009B678F"/>
    <w:rsid w:val="009B75A8"/>
    <w:rsid w:val="009C0236"/>
    <w:rsid w:val="009C09E1"/>
    <w:rsid w:val="009C0FC8"/>
    <w:rsid w:val="009C21EB"/>
    <w:rsid w:val="009C5C52"/>
    <w:rsid w:val="009C601A"/>
    <w:rsid w:val="009D0E03"/>
    <w:rsid w:val="009D18DC"/>
    <w:rsid w:val="009E054E"/>
    <w:rsid w:val="009E10F3"/>
    <w:rsid w:val="009E303A"/>
    <w:rsid w:val="009E3D4A"/>
    <w:rsid w:val="009E7D59"/>
    <w:rsid w:val="009F08A9"/>
    <w:rsid w:val="009F3BD3"/>
    <w:rsid w:val="00A01D41"/>
    <w:rsid w:val="00A03C14"/>
    <w:rsid w:val="00A04351"/>
    <w:rsid w:val="00A04F6E"/>
    <w:rsid w:val="00A050C0"/>
    <w:rsid w:val="00A05B34"/>
    <w:rsid w:val="00A05E92"/>
    <w:rsid w:val="00A06EF4"/>
    <w:rsid w:val="00A07FAA"/>
    <w:rsid w:val="00A1126E"/>
    <w:rsid w:val="00A11415"/>
    <w:rsid w:val="00A11C8D"/>
    <w:rsid w:val="00A156F3"/>
    <w:rsid w:val="00A225A1"/>
    <w:rsid w:val="00A232F1"/>
    <w:rsid w:val="00A30D58"/>
    <w:rsid w:val="00A32498"/>
    <w:rsid w:val="00A35A16"/>
    <w:rsid w:val="00A3619B"/>
    <w:rsid w:val="00A370D9"/>
    <w:rsid w:val="00A3743A"/>
    <w:rsid w:val="00A378C0"/>
    <w:rsid w:val="00A40428"/>
    <w:rsid w:val="00A4314C"/>
    <w:rsid w:val="00A436BA"/>
    <w:rsid w:val="00A4393D"/>
    <w:rsid w:val="00A452A8"/>
    <w:rsid w:val="00A45D59"/>
    <w:rsid w:val="00A51645"/>
    <w:rsid w:val="00A535D4"/>
    <w:rsid w:val="00A53E6F"/>
    <w:rsid w:val="00A549BD"/>
    <w:rsid w:val="00A56A6C"/>
    <w:rsid w:val="00A634EB"/>
    <w:rsid w:val="00A639D2"/>
    <w:rsid w:val="00A656A0"/>
    <w:rsid w:val="00A6577B"/>
    <w:rsid w:val="00A70B15"/>
    <w:rsid w:val="00A72D34"/>
    <w:rsid w:val="00A72ECC"/>
    <w:rsid w:val="00A75DE0"/>
    <w:rsid w:val="00A76044"/>
    <w:rsid w:val="00A77270"/>
    <w:rsid w:val="00A77F22"/>
    <w:rsid w:val="00A83F73"/>
    <w:rsid w:val="00A8412F"/>
    <w:rsid w:val="00A841F1"/>
    <w:rsid w:val="00A850DD"/>
    <w:rsid w:val="00A87155"/>
    <w:rsid w:val="00A87D5A"/>
    <w:rsid w:val="00A9040A"/>
    <w:rsid w:val="00A9289B"/>
    <w:rsid w:val="00A92E8A"/>
    <w:rsid w:val="00A94A1F"/>
    <w:rsid w:val="00A95122"/>
    <w:rsid w:val="00A96450"/>
    <w:rsid w:val="00A971CA"/>
    <w:rsid w:val="00AA09C1"/>
    <w:rsid w:val="00AA1F7F"/>
    <w:rsid w:val="00AA1FF1"/>
    <w:rsid w:val="00AA28E9"/>
    <w:rsid w:val="00AA297A"/>
    <w:rsid w:val="00AA2CF2"/>
    <w:rsid w:val="00AA3C29"/>
    <w:rsid w:val="00AA3F48"/>
    <w:rsid w:val="00AA462A"/>
    <w:rsid w:val="00AA5FC6"/>
    <w:rsid w:val="00AA6CA1"/>
    <w:rsid w:val="00AB0878"/>
    <w:rsid w:val="00AB0CC4"/>
    <w:rsid w:val="00AB1F22"/>
    <w:rsid w:val="00AB5AC9"/>
    <w:rsid w:val="00AC041A"/>
    <w:rsid w:val="00AC2C22"/>
    <w:rsid w:val="00AC3985"/>
    <w:rsid w:val="00AC4E1C"/>
    <w:rsid w:val="00AC5AC0"/>
    <w:rsid w:val="00AD105D"/>
    <w:rsid w:val="00AD1E0F"/>
    <w:rsid w:val="00AD3F1A"/>
    <w:rsid w:val="00AD5138"/>
    <w:rsid w:val="00AD6649"/>
    <w:rsid w:val="00AD7AE2"/>
    <w:rsid w:val="00AD7DD6"/>
    <w:rsid w:val="00AE0C24"/>
    <w:rsid w:val="00AE391D"/>
    <w:rsid w:val="00AE6CA8"/>
    <w:rsid w:val="00AE73A5"/>
    <w:rsid w:val="00AE79BB"/>
    <w:rsid w:val="00AE79CC"/>
    <w:rsid w:val="00AE7EAD"/>
    <w:rsid w:val="00AF2237"/>
    <w:rsid w:val="00AF2934"/>
    <w:rsid w:val="00AF2BEE"/>
    <w:rsid w:val="00AF7405"/>
    <w:rsid w:val="00AF7D06"/>
    <w:rsid w:val="00B006AE"/>
    <w:rsid w:val="00B03625"/>
    <w:rsid w:val="00B05094"/>
    <w:rsid w:val="00B056D3"/>
    <w:rsid w:val="00B06CD4"/>
    <w:rsid w:val="00B100B5"/>
    <w:rsid w:val="00B1168C"/>
    <w:rsid w:val="00B11E89"/>
    <w:rsid w:val="00B13AD8"/>
    <w:rsid w:val="00B14221"/>
    <w:rsid w:val="00B17111"/>
    <w:rsid w:val="00B17F9E"/>
    <w:rsid w:val="00B204A1"/>
    <w:rsid w:val="00B2079A"/>
    <w:rsid w:val="00B2101D"/>
    <w:rsid w:val="00B2334D"/>
    <w:rsid w:val="00B242DC"/>
    <w:rsid w:val="00B25983"/>
    <w:rsid w:val="00B25EEC"/>
    <w:rsid w:val="00B26376"/>
    <w:rsid w:val="00B26501"/>
    <w:rsid w:val="00B26FE9"/>
    <w:rsid w:val="00B27B6E"/>
    <w:rsid w:val="00B32BD6"/>
    <w:rsid w:val="00B33C67"/>
    <w:rsid w:val="00B351B1"/>
    <w:rsid w:val="00B351EF"/>
    <w:rsid w:val="00B3525B"/>
    <w:rsid w:val="00B354E9"/>
    <w:rsid w:val="00B35E0A"/>
    <w:rsid w:val="00B35E17"/>
    <w:rsid w:val="00B41051"/>
    <w:rsid w:val="00B411DC"/>
    <w:rsid w:val="00B42FC3"/>
    <w:rsid w:val="00B4344B"/>
    <w:rsid w:val="00B44B7A"/>
    <w:rsid w:val="00B45FE1"/>
    <w:rsid w:val="00B466AB"/>
    <w:rsid w:val="00B4725D"/>
    <w:rsid w:val="00B50709"/>
    <w:rsid w:val="00B52F69"/>
    <w:rsid w:val="00B53142"/>
    <w:rsid w:val="00B54EED"/>
    <w:rsid w:val="00B55571"/>
    <w:rsid w:val="00B576BD"/>
    <w:rsid w:val="00B607B0"/>
    <w:rsid w:val="00B607C3"/>
    <w:rsid w:val="00B61F0D"/>
    <w:rsid w:val="00B63525"/>
    <w:rsid w:val="00B64325"/>
    <w:rsid w:val="00B65ABE"/>
    <w:rsid w:val="00B736A7"/>
    <w:rsid w:val="00B74C90"/>
    <w:rsid w:val="00B802C5"/>
    <w:rsid w:val="00B8076A"/>
    <w:rsid w:val="00B82779"/>
    <w:rsid w:val="00B8382A"/>
    <w:rsid w:val="00B8469C"/>
    <w:rsid w:val="00B91C98"/>
    <w:rsid w:val="00B91F8A"/>
    <w:rsid w:val="00B97C09"/>
    <w:rsid w:val="00BA141A"/>
    <w:rsid w:val="00BA29D5"/>
    <w:rsid w:val="00BA3301"/>
    <w:rsid w:val="00BA3C9C"/>
    <w:rsid w:val="00BA4CB1"/>
    <w:rsid w:val="00BA4D9A"/>
    <w:rsid w:val="00BA62A7"/>
    <w:rsid w:val="00BA6C1B"/>
    <w:rsid w:val="00BB2A70"/>
    <w:rsid w:val="00BB496D"/>
    <w:rsid w:val="00BB6AA0"/>
    <w:rsid w:val="00BB770A"/>
    <w:rsid w:val="00BC2079"/>
    <w:rsid w:val="00BC6FBC"/>
    <w:rsid w:val="00BD0E9A"/>
    <w:rsid w:val="00BD3608"/>
    <w:rsid w:val="00BD3A15"/>
    <w:rsid w:val="00BD4EA5"/>
    <w:rsid w:val="00BD5E69"/>
    <w:rsid w:val="00BD6F79"/>
    <w:rsid w:val="00BE05A3"/>
    <w:rsid w:val="00BE2749"/>
    <w:rsid w:val="00BE3A4D"/>
    <w:rsid w:val="00BE5779"/>
    <w:rsid w:val="00BE6F1C"/>
    <w:rsid w:val="00BE798A"/>
    <w:rsid w:val="00BF03D4"/>
    <w:rsid w:val="00BF07B7"/>
    <w:rsid w:val="00BF25B9"/>
    <w:rsid w:val="00BF2947"/>
    <w:rsid w:val="00BF2A89"/>
    <w:rsid w:val="00BF2B75"/>
    <w:rsid w:val="00BF3102"/>
    <w:rsid w:val="00BF3AFC"/>
    <w:rsid w:val="00BF3D9F"/>
    <w:rsid w:val="00BF46EE"/>
    <w:rsid w:val="00BF4E6A"/>
    <w:rsid w:val="00BF54AC"/>
    <w:rsid w:val="00BF7537"/>
    <w:rsid w:val="00BF76AF"/>
    <w:rsid w:val="00C018FA"/>
    <w:rsid w:val="00C01D2D"/>
    <w:rsid w:val="00C02232"/>
    <w:rsid w:val="00C02A3A"/>
    <w:rsid w:val="00C04F03"/>
    <w:rsid w:val="00C05815"/>
    <w:rsid w:val="00C060BF"/>
    <w:rsid w:val="00C064DB"/>
    <w:rsid w:val="00C076C5"/>
    <w:rsid w:val="00C1441E"/>
    <w:rsid w:val="00C14950"/>
    <w:rsid w:val="00C157BC"/>
    <w:rsid w:val="00C209C3"/>
    <w:rsid w:val="00C22D87"/>
    <w:rsid w:val="00C23882"/>
    <w:rsid w:val="00C300EA"/>
    <w:rsid w:val="00C308C3"/>
    <w:rsid w:val="00C30B97"/>
    <w:rsid w:val="00C34466"/>
    <w:rsid w:val="00C34D8F"/>
    <w:rsid w:val="00C41AF8"/>
    <w:rsid w:val="00C41EAE"/>
    <w:rsid w:val="00C43235"/>
    <w:rsid w:val="00C44F9B"/>
    <w:rsid w:val="00C45EB0"/>
    <w:rsid w:val="00C45FEB"/>
    <w:rsid w:val="00C50BE5"/>
    <w:rsid w:val="00C51403"/>
    <w:rsid w:val="00C53449"/>
    <w:rsid w:val="00C54823"/>
    <w:rsid w:val="00C578D5"/>
    <w:rsid w:val="00C601C0"/>
    <w:rsid w:val="00C621CA"/>
    <w:rsid w:val="00C63EC4"/>
    <w:rsid w:val="00C6557A"/>
    <w:rsid w:val="00C656ED"/>
    <w:rsid w:val="00C72701"/>
    <w:rsid w:val="00C72947"/>
    <w:rsid w:val="00C72DB6"/>
    <w:rsid w:val="00C73280"/>
    <w:rsid w:val="00C74220"/>
    <w:rsid w:val="00C748C0"/>
    <w:rsid w:val="00C806F6"/>
    <w:rsid w:val="00C8136B"/>
    <w:rsid w:val="00C81858"/>
    <w:rsid w:val="00C8239C"/>
    <w:rsid w:val="00C83505"/>
    <w:rsid w:val="00C85981"/>
    <w:rsid w:val="00C85A02"/>
    <w:rsid w:val="00C85B12"/>
    <w:rsid w:val="00C871EE"/>
    <w:rsid w:val="00C914D0"/>
    <w:rsid w:val="00C94686"/>
    <w:rsid w:val="00C97183"/>
    <w:rsid w:val="00C97C3F"/>
    <w:rsid w:val="00CA029A"/>
    <w:rsid w:val="00CA17E1"/>
    <w:rsid w:val="00CA180F"/>
    <w:rsid w:val="00CA273B"/>
    <w:rsid w:val="00CA2828"/>
    <w:rsid w:val="00CA37FA"/>
    <w:rsid w:val="00CA3851"/>
    <w:rsid w:val="00CA3FF0"/>
    <w:rsid w:val="00CA44B7"/>
    <w:rsid w:val="00CA49DE"/>
    <w:rsid w:val="00CB0F32"/>
    <w:rsid w:val="00CB2559"/>
    <w:rsid w:val="00CB4EC8"/>
    <w:rsid w:val="00CB7AF2"/>
    <w:rsid w:val="00CC39DF"/>
    <w:rsid w:val="00CC60EF"/>
    <w:rsid w:val="00CD0C12"/>
    <w:rsid w:val="00CD205A"/>
    <w:rsid w:val="00CD28C7"/>
    <w:rsid w:val="00CD2D43"/>
    <w:rsid w:val="00CD51AD"/>
    <w:rsid w:val="00CD6096"/>
    <w:rsid w:val="00CE0733"/>
    <w:rsid w:val="00CE161F"/>
    <w:rsid w:val="00CE6612"/>
    <w:rsid w:val="00CE7C15"/>
    <w:rsid w:val="00CF1345"/>
    <w:rsid w:val="00CF4231"/>
    <w:rsid w:val="00CF7120"/>
    <w:rsid w:val="00CF773B"/>
    <w:rsid w:val="00CF7D51"/>
    <w:rsid w:val="00CF7D85"/>
    <w:rsid w:val="00D01FA7"/>
    <w:rsid w:val="00D02864"/>
    <w:rsid w:val="00D02884"/>
    <w:rsid w:val="00D04C75"/>
    <w:rsid w:val="00D0501D"/>
    <w:rsid w:val="00D053F4"/>
    <w:rsid w:val="00D05D6E"/>
    <w:rsid w:val="00D10ABF"/>
    <w:rsid w:val="00D118ED"/>
    <w:rsid w:val="00D11F30"/>
    <w:rsid w:val="00D15730"/>
    <w:rsid w:val="00D17073"/>
    <w:rsid w:val="00D2457A"/>
    <w:rsid w:val="00D26200"/>
    <w:rsid w:val="00D26352"/>
    <w:rsid w:val="00D27661"/>
    <w:rsid w:val="00D27999"/>
    <w:rsid w:val="00D27B11"/>
    <w:rsid w:val="00D30E06"/>
    <w:rsid w:val="00D33F05"/>
    <w:rsid w:val="00D34CEB"/>
    <w:rsid w:val="00D35D0D"/>
    <w:rsid w:val="00D35F7C"/>
    <w:rsid w:val="00D36C5A"/>
    <w:rsid w:val="00D37669"/>
    <w:rsid w:val="00D37E84"/>
    <w:rsid w:val="00D42AF1"/>
    <w:rsid w:val="00D50A89"/>
    <w:rsid w:val="00D525C2"/>
    <w:rsid w:val="00D5561F"/>
    <w:rsid w:val="00D55C4F"/>
    <w:rsid w:val="00D62841"/>
    <w:rsid w:val="00D62A33"/>
    <w:rsid w:val="00D65455"/>
    <w:rsid w:val="00D6616C"/>
    <w:rsid w:val="00D6683B"/>
    <w:rsid w:val="00D66A2F"/>
    <w:rsid w:val="00D6719E"/>
    <w:rsid w:val="00D6722F"/>
    <w:rsid w:val="00D678EF"/>
    <w:rsid w:val="00D67AA9"/>
    <w:rsid w:val="00D71549"/>
    <w:rsid w:val="00D71DB3"/>
    <w:rsid w:val="00D73148"/>
    <w:rsid w:val="00D738CD"/>
    <w:rsid w:val="00D74D78"/>
    <w:rsid w:val="00D76565"/>
    <w:rsid w:val="00D76B80"/>
    <w:rsid w:val="00D8060A"/>
    <w:rsid w:val="00D80E05"/>
    <w:rsid w:val="00D830DE"/>
    <w:rsid w:val="00D836DD"/>
    <w:rsid w:val="00D847D4"/>
    <w:rsid w:val="00D87659"/>
    <w:rsid w:val="00D905DA"/>
    <w:rsid w:val="00D90D08"/>
    <w:rsid w:val="00D91E0B"/>
    <w:rsid w:val="00D91F02"/>
    <w:rsid w:val="00D94891"/>
    <w:rsid w:val="00D9639D"/>
    <w:rsid w:val="00D96C90"/>
    <w:rsid w:val="00D96DDD"/>
    <w:rsid w:val="00D97EAA"/>
    <w:rsid w:val="00DA0F7A"/>
    <w:rsid w:val="00DA1F2F"/>
    <w:rsid w:val="00DA20B3"/>
    <w:rsid w:val="00DA2B35"/>
    <w:rsid w:val="00DA5007"/>
    <w:rsid w:val="00DA7BA4"/>
    <w:rsid w:val="00DB1479"/>
    <w:rsid w:val="00DB2200"/>
    <w:rsid w:val="00DB26F5"/>
    <w:rsid w:val="00DB271D"/>
    <w:rsid w:val="00DB5117"/>
    <w:rsid w:val="00DB577D"/>
    <w:rsid w:val="00DC0670"/>
    <w:rsid w:val="00DC1F5C"/>
    <w:rsid w:val="00DC211C"/>
    <w:rsid w:val="00DC2FDA"/>
    <w:rsid w:val="00DC6FD1"/>
    <w:rsid w:val="00DC7A28"/>
    <w:rsid w:val="00DD1D31"/>
    <w:rsid w:val="00DD3222"/>
    <w:rsid w:val="00DD66FB"/>
    <w:rsid w:val="00DD734D"/>
    <w:rsid w:val="00DD744F"/>
    <w:rsid w:val="00DD79E9"/>
    <w:rsid w:val="00DE1E04"/>
    <w:rsid w:val="00DE3445"/>
    <w:rsid w:val="00DE4CF9"/>
    <w:rsid w:val="00DE5CC2"/>
    <w:rsid w:val="00DE69C7"/>
    <w:rsid w:val="00DE6BBA"/>
    <w:rsid w:val="00DF09F3"/>
    <w:rsid w:val="00DF1570"/>
    <w:rsid w:val="00DF2510"/>
    <w:rsid w:val="00DF3805"/>
    <w:rsid w:val="00DF3D84"/>
    <w:rsid w:val="00DF448D"/>
    <w:rsid w:val="00DF4E9C"/>
    <w:rsid w:val="00DF5B71"/>
    <w:rsid w:val="00DF7747"/>
    <w:rsid w:val="00E00E44"/>
    <w:rsid w:val="00E00F08"/>
    <w:rsid w:val="00E014DC"/>
    <w:rsid w:val="00E01562"/>
    <w:rsid w:val="00E117F4"/>
    <w:rsid w:val="00E11E8F"/>
    <w:rsid w:val="00E121BA"/>
    <w:rsid w:val="00E16B90"/>
    <w:rsid w:val="00E16E35"/>
    <w:rsid w:val="00E21768"/>
    <w:rsid w:val="00E254BA"/>
    <w:rsid w:val="00E25F21"/>
    <w:rsid w:val="00E27D8F"/>
    <w:rsid w:val="00E3191C"/>
    <w:rsid w:val="00E377D0"/>
    <w:rsid w:val="00E4015F"/>
    <w:rsid w:val="00E416BE"/>
    <w:rsid w:val="00E439D9"/>
    <w:rsid w:val="00E43AFB"/>
    <w:rsid w:val="00E43D1C"/>
    <w:rsid w:val="00E44850"/>
    <w:rsid w:val="00E449FA"/>
    <w:rsid w:val="00E457C5"/>
    <w:rsid w:val="00E47F3B"/>
    <w:rsid w:val="00E5165B"/>
    <w:rsid w:val="00E53C29"/>
    <w:rsid w:val="00E543EF"/>
    <w:rsid w:val="00E54C1E"/>
    <w:rsid w:val="00E57A82"/>
    <w:rsid w:val="00E60F92"/>
    <w:rsid w:val="00E61240"/>
    <w:rsid w:val="00E6171E"/>
    <w:rsid w:val="00E653DE"/>
    <w:rsid w:val="00E6775B"/>
    <w:rsid w:val="00E67A7A"/>
    <w:rsid w:val="00E70CBF"/>
    <w:rsid w:val="00E71A02"/>
    <w:rsid w:val="00E72676"/>
    <w:rsid w:val="00E72BFA"/>
    <w:rsid w:val="00E763AC"/>
    <w:rsid w:val="00E83E37"/>
    <w:rsid w:val="00E85080"/>
    <w:rsid w:val="00E85F28"/>
    <w:rsid w:val="00E87DE6"/>
    <w:rsid w:val="00E90092"/>
    <w:rsid w:val="00E90E3E"/>
    <w:rsid w:val="00E90FD9"/>
    <w:rsid w:val="00E91021"/>
    <w:rsid w:val="00E949FD"/>
    <w:rsid w:val="00E94F2D"/>
    <w:rsid w:val="00E95902"/>
    <w:rsid w:val="00E96A76"/>
    <w:rsid w:val="00E97395"/>
    <w:rsid w:val="00E97557"/>
    <w:rsid w:val="00EA0F31"/>
    <w:rsid w:val="00EA1289"/>
    <w:rsid w:val="00EA3518"/>
    <w:rsid w:val="00EA4141"/>
    <w:rsid w:val="00EA74D9"/>
    <w:rsid w:val="00EB0A12"/>
    <w:rsid w:val="00EB2E61"/>
    <w:rsid w:val="00EB54F5"/>
    <w:rsid w:val="00EB71B5"/>
    <w:rsid w:val="00EB7247"/>
    <w:rsid w:val="00EB7B92"/>
    <w:rsid w:val="00EC3D42"/>
    <w:rsid w:val="00EC4424"/>
    <w:rsid w:val="00EC45F4"/>
    <w:rsid w:val="00EC4883"/>
    <w:rsid w:val="00EC7EA0"/>
    <w:rsid w:val="00ED0307"/>
    <w:rsid w:val="00ED04A5"/>
    <w:rsid w:val="00ED2099"/>
    <w:rsid w:val="00ED23E9"/>
    <w:rsid w:val="00ED2D0E"/>
    <w:rsid w:val="00ED31EC"/>
    <w:rsid w:val="00ED58F7"/>
    <w:rsid w:val="00ED5DC7"/>
    <w:rsid w:val="00ED5E5D"/>
    <w:rsid w:val="00ED7346"/>
    <w:rsid w:val="00EE1346"/>
    <w:rsid w:val="00EE673F"/>
    <w:rsid w:val="00EF27E5"/>
    <w:rsid w:val="00EF351E"/>
    <w:rsid w:val="00EF353C"/>
    <w:rsid w:val="00EF548C"/>
    <w:rsid w:val="00EF7533"/>
    <w:rsid w:val="00F01E67"/>
    <w:rsid w:val="00F02A51"/>
    <w:rsid w:val="00F07487"/>
    <w:rsid w:val="00F0785B"/>
    <w:rsid w:val="00F101A3"/>
    <w:rsid w:val="00F10932"/>
    <w:rsid w:val="00F10A1A"/>
    <w:rsid w:val="00F10EA5"/>
    <w:rsid w:val="00F113EA"/>
    <w:rsid w:val="00F1507F"/>
    <w:rsid w:val="00F16C10"/>
    <w:rsid w:val="00F17E9B"/>
    <w:rsid w:val="00F23918"/>
    <w:rsid w:val="00F23DCC"/>
    <w:rsid w:val="00F24317"/>
    <w:rsid w:val="00F32B1E"/>
    <w:rsid w:val="00F34915"/>
    <w:rsid w:val="00F352C9"/>
    <w:rsid w:val="00F35824"/>
    <w:rsid w:val="00F35C75"/>
    <w:rsid w:val="00F36EF0"/>
    <w:rsid w:val="00F37C31"/>
    <w:rsid w:val="00F406B7"/>
    <w:rsid w:val="00F42E91"/>
    <w:rsid w:val="00F43D2C"/>
    <w:rsid w:val="00F44956"/>
    <w:rsid w:val="00F5028C"/>
    <w:rsid w:val="00F512F5"/>
    <w:rsid w:val="00F53536"/>
    <w:rsid w:val="00F5462D"/>
    <w:rsid w:val="00F54C6D"/>
    <w:rsid w:val="00F56316"/>
    <w:rsid w:val="00F5672A"/>
    <w:rsid w:val="00F62E7C"/>
    <w:rsid w:val="00F6321D"/>
    <w:rsid w:val="00F63C0E"/>
    <w:rsid w:val="00F651E4"/>
    <w:rsid w:val="00F66115"/>
    <w:rsid w:val="00F66927"/>
    <w:rsid w:val="00F66FC5"/>
    <w:rsid w:val="00F704EB"/>
    <w:rsid w:val="00F710C5"/>
    <w:rsid w:val="00F77033"/>
    <w:rsid w:val="00F80B67"/>
    <w:rsid w:val="00F819AE"/>
    <w:rsid w:val="00F83836"/>
    <w:rsid w:val="00F84606"/>
    <w:rsid w:val="00F926B9"/>
    <w:rsid w:val="00F927FA"/>
    <w:rsid w:val="00F94911"/>
    <w:rsid w:val="00F9665F"/>
    <w:rsid w:val="00F96EA2"/>
    <w:rsid w:val="00F975FD"/>
    <w:rsid w:val="00FA0A70"/>
    <w:rsid w:val="00FA0FDF"/>
    <w:rsid w:val="00FA1862"/>
    <w:rsid w:val="00FA3D17"/>
    <w:rsid w:val="00FA5798"/>
    <w:rsid w:val="00FA6320"/>
    <w:rsid w:val="00FA6E51"/>
    <w:rsid w:val="00FA7A2E"/>
    <w:rsid w:val="00FB049B"/>
    <w:rsid w:val="00FB2BD1"/>
    <w:rsid w:val="00FB504B"/>
    <w:rsid w:val="00FB5247"/>
    <w:rsid w:val="00FB55AD"/>
    <w:rsid w:val="00FB77C6"/>
    <w:rsid w:val="00FC05FD"/>
    <w:rsid w:val="00FC0DA2"/>
    <w:rsid w:val="00FC1E54"/>
    <w:rsid w:val="00FC2675"/>
    <w:rsid w:val="00FC2C3B"/>
    <w:rsid w:val="00FC4997"/>
    <w:rsid w:val="00FC52A0"/>
    <w:rsid w:val="00FC56A5"/>
    <w:rsid w:val="00FC757B"/>
    <w:rsid w:val="00FC7949"/>
    <w:rsid w:val="00FC7E87"/>
    <w:rsid w:val="00FD0E9F"/>
    <w:rsid w:val="00FD2181"/>
    <w:rsid w:val="00FD21E8"/>
    <w:rsid w:val="00FD46B8"/>
    <w:rsid w:val="00FD611A"/>
    <w:rsid w:val="00FD6BF6"/>
    <w:rsid w:val="00FD7968"/>
    <w:rsid w:val="00FE0122"/>
    <w:rsid w:val="00FE13F7"/>
    <w:rsid w:val="00FE35A9"/>
    <w:rsid w:val="00FE450F"/>
    <w:rsid w:val="00FE463E"/>
    <w:rsid w:val="00FE57F2"/>
    <w:rsid w:val="00FE771E"/>
    <w:rsid w:val="00FE7919"/>
    <w:rsid w:val="00FE7BE7"/>
    <w:rsid w:val="00FF0F7D"/>
    <w:rsid w:val="00FF18D7"/>
    <w:rsid w:val="00FF194C"/>
    <w:rsid w:val="00FF4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stockticker"/>
  <w:shapeDefaults>
    <o:shapedefaults v:ext="edit" spidmax="68609"/>
    <o:shapelayout v:ext="edit">
      <o:idmap v:ext="edit" data="1"/>
    </o:shapelayout>
  </w:shapeDefaults>
  <w:decimalSymbol w:val="."/>
  <w:listSeparator w:val=","/>
  <w14:docId w14:val="1FBC4EEC"/>
  <w15:chartTrackingRefBased/>
  <w15:docId w15:val="{9C4EDFA2-20BA-4A11-AB23-450BDB15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B0"/>
    <w:pPr>
      <w:suppressAutoHyphens/>
      <w:spacing w:line="260" w:lineRule="exact"/>
    </w:pPr>
    <w:rPr>
      <w:rFonts w:cs="Angsana New"/>
      <w:sz w:val="22"/>
      <w:lang w:bidi="th-TH"/>
    </w:rPr>
  </w:style>
  <w:style w:type="paragraph" w:styleId="Heading1">
    <w:name w:val="heading 1"/>
    <w:basedOn w:val="Normal"/>
    <w:next w:val="Normal"/>
    <w:qFormat/>
    <w:pPr>
      <w:numPr>
        <w:numId w:val="7"/>
      </w:numPr>
      <w:spacing w:before="240" w:after="120"/>
      <w:outlineLvl w:val="0"/>
    </w:pPr>
    <w:rPr>
      <w:b/>
      <w:caps/>
      <w:sz w:val="26"/>
      <w:lang w:val="en-US"/>
    </w:rPr>
  </w:style>
  <w:style w:type="paragraph" w:styleId="Heading2">
    <w:name w:val="heading 2"/>
    <w:basedOn w:val="Normal"/>
    <w:next w:val="Normal"/>
    <w:qFormat/>
    <w:pPr>
      <w:keepNext/>
      <w:numPr>
        <w:ilvl w:val="1"/>
        <w:numId w:val="7"/>
      </w:numPr>
      <w:spacing w:before="240" w:after="60"/>
      <w:outlineLvl w:val="1"/>
    </w:pPr>
    <w:rPr>
      <w:rFonts w:ascii="Helvetica" w:hAnsi="Helvetica"/>
      <w:b/>
      <w:i/>
      <w:sz w:val="24"/>
    </w:rPr>
  </w:style>
  <w:style w:type="paragraph" w:styleId="Heading3">
    <w:name w:val="heading 3"/>
    <w:basedOn w:val="Normal"/>
    <w:next w:val="Normal"/>
    <w:qFormat/>
    <w:pPr>
      <w:keepNext/>
      <w:keepLines/>
      <w:numPr>
        <w:ilvl w:val="2"/>
        <w:numId w:val="7"/>
      </w:numPr>
      <w:spacing w:before="120" w:after="80"/>
      <w:outlineLvl w:val="2"/>
    </w:pPr>
    <w:rPr>
      <w:b/>
      <w:kern w:val="1"/>
      <w:sz w:val="24"/>
      <w:lang w:val="en-US"/>
    </w:rPr>
  </w:style>
  <w:style w:type="paragraph" w:styleId="Heading4">
    <w:name w:val="heading 4"/>
    <w:basedOn w:val="Normal"/>
    <w:next w:val="Normal"/>
    <w:qFormat/>
    <w:pPr>
      <w:keepNext/>
      <w:numPr>
        <w:ilvl w:val="3"/>
        <w:numId w:val="7"/>
      </w:numPr>
      <w:jc w:val="both"/>
      <w:outlineLvl w:val="3"/>
    </w:pPr>
    <w:rPr>
      <w:b/>
    </w:rPr>
  </w:style>
  <w:style w:type="paragraph" w:styleId="Heading5">
    <w:name w:val="heading 5"/>
    <w:basedOn w:val="Normal"/>
    <w:next w:val="Normal"/>
    <w:qFormat/>
    <w:pPr>
      <w:keepNext/>
      <w:numPr>
        <w:ilvl w:val="4"/>
        <w:numId w:val="7"/>
      </w:numPr>
      <w:jc w:val="both"/>
      <w:outlineLvl w:val="4"/>
    </w:pPr>
  </w:style>
  <w:style w:type="paragraph" w:styleId="Heading6">
    <w:name w:val="heading 6"/>
    <w:basedOn w:val="Normal"/>
    <w:next w:val="Normal"/>
    <w:qFormat/>
    <w:pPr>
      <w:keepNext/>
      <w:numPr>
        <w:ilvl w:val="5"/>
        <w:numId w:val="7"/>
      </w:numPr>
      <w:tabs>
        <w:tab w:val="left" w:pos="567"/>
        <w:tab w:val="left" w:pos="4536"/>
      </w:tabs>
      <w:outlineLvl w:val="5"/>
    </w:pPr>
    <w:rPr>
      <w:i/>
    </w:rPr>
  </w:style>
  <w:style w:type="paragraph" w:styleId="Heading7">
    <w:name w:val="heading 7"/>
    <w:basedOn w:val="Normal"/>
    <w:next w:val="Normal"/>
    <w:qFormat/>
    <w:pPr>
      <w:keepNext/>
      <w:numPr>
        <w:ilvl w:val="6"/>
        <w:numId w:val="7"/>
      </w:numPr>
      <w:tabs>
        <w:tab w:val="left" w:pos="567"/>
        <w:tab w:val="left" w:pos="4536"/>
      </w:tabs>
      <w:jc w:val="both"/>
      <w:outlineLvl w:val="6"/>
    </w:pPr>
    <w:rPr>
      <w:i/>
    </w:rPr>
  </w:style>
  <w:style w:type="paragraph" w:styleId="Heading8">
    <w:name w:val="heading 8"/>
    <w:basedOn w:val="Normal"/>
    <w:next w:val="Normal"/>
    <w:qFormat/>
    <w:pPr>
      <w:keepNext/>
      <w:numPr>
        <w:ilvl w:val="7"/>
        <w:numId w:val="7"/>
      </w:numPr>
      <w:jc w:val="both"/>
      <w:outlineLvl w:val="7"/>
    </w:pPr>
    <w:rPr>
      <w:b/>
      <w:i/>
    </w:rPr>
  </w:style>
  <w:style w:type="paragraph" w:styleId="Heading9">
    <w:name w:val="heading 9"/>
    <w:basedOn w:val="Normal"/>
    <w:next w:val="Normal"/>
    <w:qFormat/>
    <w:pPr>
      <w:keepNext/>
      <w:numPr>
        <w:ilvl w:val="8"/>
        <w:numId w:val="7"/>
      </w:numPr>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horndale" w:hAnsi="Thorndale" w:cs="Times New Roman"/>
    </w:rPr>
  </w:style>
  <w:style w:type="character" w:customStyle="1" w:styleId="WW8Num2z0">
    <w:name w:val="WW8Num2z0"/>
    <w:rPr>
      <w:rFonts w:ascii="Thorndale" w:hAnsi="Thorndale" w:cs="Times New Roman"/>
    </w:rPr>
  </w:style>
  <w:style w:type="character" w:customStyle="1" w:styleId="WW8Num3z0">
    <w:name w:val="WW8Num3z0"/>
    <w:rPr>
      <w:rFonts w:ascii="Thorndale" w:hAnsi="Thorndale" w:cs="Times New Roman"/>
    </w:rPr>
  </w:style>
  <w:style w:type="character" w:customStyle="1" w:styleId="WW8Num4z0">
    <w:name w:val="WW8Num4z0"/>
    <w:rPr>
      <w:rFonts w:ascii="Thorndale" w:hAnsi="Thorndale" w:cs="Times New Roman"/>
    </w:rPr>
  </w:style>
  <w:style w:type="character" w:customStyle="1" w:styleId="WW8Num5z0">
    <w:name w:val="WW8Num5z0"/>
    <w:rPr>
      <w:rFonts w:ascii="Thorndale" w:hAnsi="Thorndale" w:cs="Times New Roman"/>
    </w:rPr>
  </w:style>
  <w:style w:type="character" w:customStyle="1" w:styleId="WW8Num6z0">
    <w:name w:val="WW8Num6z0"/>
    <w:rPr>
      <w:rFonts w:ascii="Thorndale" w:hAnsi="Thorndale" w:cs="Times New Roman"/>
    </w:rPr>
  </w:style>
  <w:style w:type="character" w:customStyle="1" w:styleId="WW8Num7z0">
    <w:name w:val="WW8Num7z0"/>
    <w:rPr>
      <w:rFonts w:ascii="Thorndale" w:hAnsi="Thorndale" w:cs="Times New Roman"/>
    </w:rPr>
  </w:style>
  <w:style w:type="character" w:customStyle="1" w:styleId="WW8Num8z0">
    <w:name w:val="WW8Num8z0"/>
    <w:rPr>
      <w:rFonts w:ascii="Thorndale" w:hAnsi="Thorndale" w:cs="Times New Roman"/>
    </w:rPr>
  </w:style>
  <w:style w:type="character" w:customStyle="1" w:styleId="WW8Num8z1">
    <w:name w:val="WW8Num8z1"/>
    <w:rPr>
      <w:rFonts w:ascii="StarSymbol" w:hAnsi="StarSymbol"/>
      <w:sz w:val="18"/>
    </w:rPr>
  </w:style>
  <w:style w:type="character" w:customStyle="1" w:styleId="WW8Num9z0">
    <w:name w:val="WW8Num9z0"/>
    <w:rPr>
      <w:rFonts w:ascii="Thorndale" w:hAnsi="Thorndale" w:cs="Times New Roman"/>
    </w:rPr>
  </w:style>
  <w:style w:type="character" w:customStyle="1" w:styleId="WW8Num9z1">
    <w:name w:val="WW8Num9z1"/>
    <w:rPr>
      <w:rFonts w:ascii="StarSymbol" w:hAnsi="StarSymbol"/>
      <w:sz w:val="18"/>
    </w:rPr>
  </w:style>
  <w:style w:type="character" w:customStyle="1" w:styleId="WW-Absatz-Standardschriftart">
    <w:name w:val="WW-Absatz-Standardschriftart"/>
  </w:style>
  <w:style w:type="character" w:customStyle="1" w:styleId="WW-WW8Num1z0">
    <w:name w:val="WW-WW8Num1z0"/>
    <w:rPr>
      <w:rFonts w:ascii="Thorndale" w:hAnsi="Thorndale" w:cs="Times New Roman"/>
    </w:rPr>
  </w:style>
  <w:style w:type="character" w:customStyle="1" w:styleId="WW-WW8Num2z0">
    <w:name w:val="WW-WW8Num2z0"/>
    <w:rPr>
      <w:rFonts w:ascii="Thorndale" w:hAnsi="Thorndale" w:cs="Times New Roman"/>
    </w:rPr>
  </w:style>
  <w:style w:type="character" w:customStyle="1" w:styleId="WW-WW8Num3z0">
    <w:name w:val="WW-WW8Num3z0"/>
    <w:rPr>
      <w:rFonts w:ascii="Thorndale" w:hAnsi="Thorndale" w:cs="Times New Roman"/>
    </w:rPr>
  </w:style>
  <w:style w:type="character" w:customStyle="1" w:styleId="WW-WW8Num4z0">
    <w:name w:val="WW-WW8Num4z0"/>
    <w:rPr>
      <w:rFonts w:ascii="Thorndale" w:hAnsi="Thorndale" w:cs="Times New Roman"/>
    </w:rPr>
  </w:style>
  <w:style w:type="character" w:customStyle="1" w:styleId="WW-WW8Num5z0">
    <w:name w:val="WW-WW8Num5z0"/>
    <w:rPr>
      <w:rFonts w:ascii="Thorndale" w:hAnsi="Thorndale" w:cs="Times New Roman"/>
    </w:rPr>
  </w:style>
  <w:style w:type="character" w:customStyle="1" w:styleId="WW-WW8Num6z0">
    <w:name w:val="WW-WW8Num6z0"/>
    <w:rPr>
      <w:rFonts w:ascii="Thorndale" w:hAnsi="Thorndale" w:cs="Times New Roman"/>
    </w:rPr>
  </w:style>
  <w:style w:type="character" w:customStyle="1" w:styleId="WW-WW8Num7z0">
    <w:name w:val="WW-WW8Num7z0"/>
    <w:rPr>
      <w:rFonts w:ascii="Thorndale" w:hAnsi="Thorndale" w:cs="Times New Roman"/>
    </w:rPr>
  </w:style>
  <w:style w:type="character" w:customStyle="1" w:styleId="WW-WW8Num8z0">
    <w:name w:val="WW-WW8Num8z0"/>
    <w:rPr>
      <w:rFonts w:ascii="Thorndale" w:hAnsi="Thorndale" w:cs="Times New Roman"/>
    </w:rPr>
  </w:style>
  <w:style w:type="character" w:customStyle="1" w:styleId="WW-WW8Num8z1">
    <w:name w:val="WW-WW8Num8z1"/>
    <w:rPr>
      <w:rFonts w:ascii="StarSymbol" w:hAnsi="StarSymbol"/>
      <w:sz w:val="18"/>
    </w:rPr>
  </w:style>
  <w:style w:type="character" w:customStyle="1" w:styleId="WW-WW8Num9z0">
    <w:name w:val="WW-WW8Num9z0"/>
    <w:rPr>
      <w:rFonts w:ascii="Thorndale" w:hAnsi="Thorndale" w:cs="Times New Roman"/>
    </w:rPr>
  </w:style>
  <w:style w:type="character" w:customStyle="1" w:styleId="WW-WW8Num9z1">
    <w:name w:val="WW-WW8Num9z1"/>
    <w:rPr>
      <w:rFonts w:ascii="StarSymbol" w:hAnsi="StarSymbol"/>
      <w:sz w:val="18"/>
    </w:rPr>
  </w:style>
  <w:style w:type="character" w:customStyle="1" w:styleId="WW-Absatz-Standardschriftart1">
    <w:name w:val="WW-Absatz-Standardschriftart1"/>
  </w:style>
  <w:style w:type="character" w:customStyle="1" w:styleId="WW-WW8Num1z01">
    <w:name w:val="WW-WW8Num1z01"/>
    <w:rPr>
      <w:rFonts w:ascii="Thorndale" w:hAnsi="Thorndale" w:cs="Times New Roman"/>
    </w:rPr>
  </w:style>
  <w:style w:type="character" w:customStyle="1" w:styleId="WW-WW8Num2z01">
    <w:name w:val="WW-WW8Num2z01"/>
    <w:rPr>
      <w:rFonts w:ascii="Thorndale" w:hAnsi="Thorndale" w:cs="Times New Roman"/>
    </w:rPr>
  </w:style>
  <w:style w:type="character" w:customStyle="1" w:styleId="WW-WW8Num3z01">
    <w:name w:val="WW-WW8Num3z01"/>
    <w:rPr>
      <w:rFonts w:ascii="Thorndale" w:hAnsi="Thorndale" w:cs="Times New Roman"/>
    </w:rPr>
  </w:style>
  <w:style w:type="character" w:customStyle="1" w:styleId="WW-WW8Num4z01">
    <w:name w:val="WW-WW8Num4z01"/>
    <w:rPr>
      <w:rFonts w:ascii="Thorndale" w:hAnsi="Thorndale" w:cs="Times New Roman"/>
    </w:rPr>
  </w:style>
  <w:style w:type="character" w:customStyle="1" w:styleId="WW-WW8Num5z01">
    <w:name w:val="WW-WW8Num5z01"/>
    <w:rPr>
      <w:rFonts w:ascii="Thorndale" w:hAnsi="Thorndale" w:cs="Times New Roman"/>
    </w:rPr>
  </w:style>
  <w:style w:type="character" w:customStyle="1" w:styleId="WW-WW8Num6z01">
    <w:name w:val="WW-WW8Num6z01"/>
    <w:rPr>
      <w:rFonts w:ascii="Thorndale" w:hAnsi="Thorndale" w:cs="Times New Roman"/>
    </w:rPr>
  </w:style>
  <w:style w:type="character" w:customStyle="1" w:styleId="WW-WW8Num7z01">
    <w:name w:val="WW-WW8Num7z01"/>
    <w:rPr>
      <w:rFonts w:ascii="Thorndale" w:hAnsi="Thorndale" w:cs="Times New Roman"/>
    </w:rPr>
  </w:style>
  <w:style w:type="character" w:customStyle="1" w:styleId="WW-WW8Num8z01">
    <w:name w:val="WW-WW8Num8z01"/>
    <w:rPr>
      <w:rFonts w:ascii="Thorndale" w:hAnsi="Thorndale" w:cs="Times New Roman"/>
    </w:rPr>
  </w:style>
  <w:style w:type="character" w:customStyle="1" w:styleId="WW-WW8Num8z11">
    <w:name w:val="WW-WW8Num8z11"/>
    <w:rPr>
      <w:rFonts w:ascii="StarSymbol" w:hAnsi="StarSymbol"/>
      <w:sz w:val="18"/>
    </w:rPr>
  </w:style>
  <w:style w:type="character" w:customStyle="1" w:styleId="WW-WW8Num9z01">
    <w:name w:val="WW-WW8Num9z01"/>
    <w:rPr>
      <w:rFonts w:ascii="Thorndale" w:hAnsi="Thorndale" w:cs="Times New Roman"/>
    </w:rPr>
  </w:style>
  <w:style w:type="character" w:customStyle="1" w:styleId="WW-WW8Num9z11">
    <w:name w:val="WW-WW8Num9z11"/>
    <w:rPr>
      <w:rFonts w:ascii="StarSymbol" w:hAnsi="StarSymbol"/>
      <w:sz w:val="18"/>
    </w:rPr>
  </w:style>
  <w:style w:type="character" w:customStyle="1" w:styleId="WW-Absatz-Standardschriftart11">
    <w:name w:val="WW-Absatz-Standardschriftart11"/>
  </w:style>
  <w:style w:type="character" w:customStyle="1" w:styleId="WW-WW8Num1z011">
    <w:name w:val="WW-WW8Num1z011"/>
    <w:rPr>
      <w:rFonts w:ascii="StarSymbol" w:hAnsi="StarSymbol"/>
    </w:rPr>
  </w:style>
  <w:style w:type="character" w:customStyle="1" w:styleId="WW-WW8Num2z011">
    <w:name w:val="WW-WW8Num2z011"/>
    <w:rPr>
      <w:rFonts w:ascii="StarSymbol" w:eastAsia="StarSymbol" w:hAnsi="StarSymbol"/>
      <w:sz w:val="18"/>
    </w:rPr>
  </w:style>
  <w:style w:type="character" w:customStyle="1" w:styleId="WW-WW8Num3z011">
    <w:name w:val="WW-WW8Num3z011"/>
    <w:rPr>
      <w:rFonts w:ascii="StarSymbol" w:eastAsia="StarSymbol" w:hAnsi="StarSymbol"/>
      <w:sz w:val="18"/>
    </w:rPr>
  </w:style>
  <w:style w:type="character" w:customStyle="1" w:styleId="WW-WW8Num5z011">
    <w:name w:val="WW-WW8Num5z011"/>
    <w:rPr>
      <w:rFonts w:ascii="Thorndale" w:eastAsia="Times New Roman" w:hAnsi="Thorndale" w:cs="Times New Roman"/>
    </w:rPr>
  </w:style>
  <w:style w:type="character" w:customStyle="1" w:styleId="WW-WW8Num6z011">
    <w:name w:val="WW-WW8Num6z011"/>
    <w:rPr>
      <w:rFonts w:ascii="Thorndale" w:eastAsia="Times New Roman" w:hAnsi="Thorndale" w:cs="Times New Roman"/>
    </w:rPr>
  </w:style>
  <w:style w:type="character" w:customStyle="1" w:styleId="WW-WW8Num7z011">
    <w:name w:val="WW-WW8Num7z011"/>
    <w:rPr>
      <w:rFonts w:ascii="Thorndale" w:eastAsia="Times New Roman" w:hAnsi="Thorndale" w:cs="Times New Roman"/>
    </w:rPr>
  </w:style>
  <w:style w:type="character" w:customStyle="1" w:styleId="WW-WW8Num8z011">
    <w:name w:val="WW-WW8Num8z011"/>
    <w:rPr>
      <w:rFonts w:ascii="Thorndale" w:eastAsia="Times New Roman" w:hAnsi="Thorndale" w:cs="Times New Roman"/>
    </w:rPr>
  </w:style>
  <w:style w:type="character" w:customStyle="1" w:styleId="WW-WW8Num9z011">
    <w:name w:val="WW-WW8Num9z011"/>
    <w:rPr>
      <w:rFonts w:ascii="Thorndale" w:eastAsia="Times New Roman" w:hAnsi="Thorndale" w:cs="Times New Roman"/>
    </w:rPr>
  </w:style>
  <w:style w:type="character" w:customStyle="1" w:styleId="WW8Num10z0">
    <w:name w:val="WW8Num10z0"/>
    <w:rPr>
      <w:rFonts w:ascii="Thorndale" w:eastAsia="Times New Roman" w:hAnsi="Thorndale" w:cs="Times New Roman"/>
    </w:rPr>
  </w:style>
  <w:style w:type="character" w:customStyle="1" w:styleId="WW8Num11z0">
    <w:name w:val="WW8Num11z0"/>
    <w:rPr>
      <w:rFonts w:ascii="Thorndale" w:eastAsia="Times New Roman" w:hAnsi="Thorndale" w:cs="Times New Roman"/>
    </w:rPr>
  </w:style>
  <w:style w:type="character" w:customStyle="1" w:styleId="WW8Num12z0">
    <w:name w:val="WW8Num12z0"/>
    <w:rPr>
      <w:rFonts w:ascii="Thorndale" w:eastAsia="Times New Roman" w:hAnsi="Thorndale" w:cs="Times New Roman"/>
    </w:rPr>
  </w:style>
  <w:style w:type="character" w:customStyle="1" w:styleId="WW8Num13z0">
    <w:name w:val="WW8Num13z0"/>
    <w:rPr>
      <w:rFonts w:ascii="Thorndale" w:eastAsia="Times New Roman" w:hAnsi="Thorndale" w:cs="Times New Roman"/>
    </w:rPr>
  </w:style>
  <w:style w:type="character" w:customStyle="1" w:styleId="WW8Num13z1">
    <w:name w:val="WW8Num13z1"/>
    <w:rPr>
      <w:rFonts w:ascii="StarSymbol" w:eastAsia="StarSymbol" w:hAnsi="StarSymbol"/>
      <w:sz w:val="18"/>
    </w:rPr>
  </w:style>
  <w:style w:type="character" w:customStyle="1" w:styleId="WW8Num14z0">
    <w:name w:val="WW8Num14z0"/>
    <w:rPr>
      <w:rFonts w:ascii="Thorndale" w:eastAsia="Times New Roman" w:hAnsi="Thorndale" w:cs="Times New Roman"/>
    </w:rPr>
  </w:style>
  <w:style w:type="character" w:customStyle="1" w:styleId="WW8Num14z1">
    <w:name w:val="WW8Num14z1"/>
    <w:rPr>
      <w:rFonts w:ascii="StarSymbol" w:eastAsia="StarSymbol" w:hAnsi="StarSymbol"/>
      <w:sz w:val="18"/>
    </w:rPr>
  </w:style>
  <w:style w:type="character" w:customStyle="1" w:styleId="WW-Bekezdsalap-bettpusa">
    <w:name w:val="WW-Bekezdés alap-betűtípusa"/>
  </w:style>
  <w:style w:type="character" w:customStyle="1" w:styleId="Lbjegyzet-karakterek">
    <w:name w:val="Lábjegyzet-karakterek"/>
  </w:style>
  <w:style w:type="character" w:customStyle="1" w:styleId="WW-Lbjegyzet-karakterek">
    <w:name w:val="WW-Lábjegyzet-karakterek"/>
  </w:style>
  <w:style w:type="character" w:customStyle="1" w:styleId="WW-Lbjegyzet-karakterek1">
    <w:name w:val="WW-Lábjegyzet-karakterek1"/>
  </w:style>
  <w:style w:type="character" w:customStyle="1" w:styleId="WW-Lbjegyzet-karakterek11">
    <w:name w:val="WW-Lábjegyzet-karakterek11"/>
  </w:style>
  <w:style w:type="character" w:customStyle="1" w:styleId="WW-Lbjegyzet-karakterek111">
    <w:name w:val="WW-Lábjegyzet-karakterek111"/>
  </w:style>
  <w:style w:type="character" w:customStyle="1" w:styleId="WW-Bekezdsalap-bettpusa1">
    <w:name w:val="WW-Bekezdés alap-betűtípusa1"/>
  </w:style>
  <w:style w:type="character" w:styleId="PageNumber">
    <w:name w:val="page number"/>
    <w:basedOn w:val="WW-Bekezdsalap-bettpusa1"/>
  </w:style>
  <w:style w:type="character" w:customStyle="1" w:styleId="Felsorolsjelek">
    <w:name w:val="Felsorolásjelek"/>
    <w:rPr>
      <w:rFonts w:ascii="StarSymbol" w:eastAsia="StarSymbol" w:hAnsi="StarSymbol" w:cs="StarSymbol"/>
      <w:sz w:val="18"/>
      <w:szCs w:val="18"/>
    </w:rPr>
  </w:style>
  <w:style w:type="character" w:customStyle="1" w:styleId="WW-Felsorolsjelek">
    <w:name w:val="WW-Felsorolásjelek"/>
    <w:rPr>
      <w:rFonts w:ascii="StarSymbol" w:eastAsia="StarSymbol" w:hAnsi="StarSymbol" w:cs="StarSymbol"/>
      <w:sz w:val="18"/>
      <w:szCs w:val="18"/>
    </w:rPr>
  </w:style>
  <w:style w:type="character" w:customStyle="1" w:styleId="WW-Felsorolsjelek1">
    <w:name w:val="WW-Felsorolásjelek1"/>
    <w:rPr>
      <w:rFonts w:ascii="StarSymbol" w:eastAsia="StarSymbol" w:hAnsi="StarSymbol" w:cs="StarSymbol"/>
      <w:sz w:val="18"/>
      <w:szCs w:val="18"/>
    </w:rPr>
  </w:style>
  <w:style w:type="character" w:customStyle="1" w:styleId="WW-Felsorolsjelek11">
    <w:name w:val="WW-Felsorolásjelek11"/>
    <w:rPr>
      <w:rFonts w:ascii="StarSymbol" w:eastAsia="StarSymbol" w:hAnsi="StarSymbol" w:cs="StarSymbol"/>
      <w:sz w:val="18"/>
      <w:szCs w:val="18"/>
    </w:rPr>
  </w:style>
  <w:style w:type="character" w:customStyle="1" w:styleId="WW-Felsorolsjelek111">
    <w:name w:val="WW-Felsorolásjelek111"/>
    <w:rPr>
      <w:rFonts w:ascii="StarSymbol" w:eastAsia="StarSymbol" w:hAnsi="StarSymbol"/>
      <w:sz w:val="18"/>
    </w:rPr>
  </w:style>
  <w:style w:type="character" w:styleId="Hyperlink">
    <w:name w:val="Hyperlink"/>
    <w:aliases w:val="Footer Char2,Footer Char1 Char,Footer Char2 Char Char1,Footer Char1 Char Char Char,Footer Char2 Char Char1 Char Char,Footer Char1 Char Char Char Char1 Char,Footer Char1 Char Char Char Char1 Char Char Char"/>
    <w:uiPriority w:val="99"/>
    <w:rPr>
      <w:color w:val="0000FF"/>
      <w:u w:val="single"/>
    </w:rPr>
  </w:style>
  <w:style w:type="character" w:styleId="FollowedHyperlink">
    <w:name w:val="FollowedHyperlink"/>
    <w:rPr>
      <w:color w:val="800080"/>
      <w:u w:val="single"/>
    </w:rPr>
  </w:style>
  <w:style w:type="character" w:customStyle="1" w:styleId="Vgjegyzet-karakterek">
    <w:name w:val="Végjegyzet-karakterek"/>
  </w:style>
  <w:style w:type="character" w:customStyle="1" w:styleId="WW-Vgjegyzet-karakterek">
    <w:name w:val="WW-Végjegyzet-karakterek"/>
  </w:style>
  <w:style w:type="character" w:customStyle="1" w:styleId="WW-Vgjegyzet-karakterek1">
    <w:name w:val="WW-Végjegyzet-karakterek1"/>
  </w:style>
  <w:style w:type="character" w:customStyle="1" w:styleId="WW-Vgjegyzet-karakterek11">
    <w:name w:val="WW-Végjegyzet-karakterek11"/>
  </w:style>
  <w:style w:type="character" w:customStyle="1" w:styleId="WW-Vgjegyzet-karakterek111">
    <w:name w:val="WW-Végjegyzet-karakterek111"/>
  </w:style>
  <w:style w:type="character" w:customStyle="1" w:styleId="WW-Bekezdsalap-bettpusa2">
    <w:name w:val="WW-Bekezdés alap-betűtípusa2"/>
  </w:style>
  <w:style w:type="character" w:customStyle="1" w:styleId="WW-Vgjegyzet-karakterek1111">
    <w:name w:val="WW-Végjegyzet-karakterek1111"/>
    <w:rPr>
      <w:vertAlign w:val="superscript"/>
    </w:rPr>
  </w:style>
  <w:style w:type="character" w:customStyle="1" w:styleId="WW-Jegyzethivatkozs">
    <w:name w:val="WW-Jegyzethivatkozás"/>
    <w:rPr>
      <w:sz w:val="16"/>
    </w:rPr>
  </w:style>
  <w:style w:type="character" w:customStyle="1" w:styleId="WW-Lbjegyzet-karakterek1111">
    <w:name w:val="WW-Lábjegyzet-karakterek1111"/>
    <w:rPr>
      <w:vertAlign w:val="superscript"/>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WW8Num4z011">
    <w:name w:val="WW-WW8Num4z011"/>
    <w:rPr>
      <w:rFonts w:ascii="Symbol" w:hAnsi="Symbol"/>
    </w:rPr>
  </w:style>
  <w:style w:type="character" w:customStyle="1" w:styleId="WW-WW8Num5z0111">
    <w:name w:val="WW-WW8Num5z0111"/>
    <w:rPr>
      <w:rFonts w:ascii="Times New Roman" w:hAnsi="Times New Roman"/>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WW8Num6z0111">
    <w:name w:val="WW-WW8Num6z0111"/>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WW8Num11z0">
    <w:name w:val="WW-WW8Num11z0"/>
    <w:rPr>
      <w:rFonts w:ascii="Symbol" w:hAnsi="Symbol"/>
    </w:rPr>
  </w:style>
  <w:style w:type="character" w:customStyle="1" w:styleId="WW-WW8Num12z0">
    <w:name w:val="WW-WW8Num12z0"/>
    <w:rPr>
      <w:b/>
    </w:rPr>
  </w:style>
  <w:style w:type="character" w:customStyle="1" w:styleId="WW8NumSt2z0">
    <w:name w:val="WW8NumSt2z0"/>
    <w:rPr>
      <w:rFonts w:ascii="Symbol" w:hAnsi="Symbol"/>
    </w:rPr>
  </w:style>
  <w:style w:type="character" w:customStyle="1" w:styleId="WW-WW8Num1z0111">
    <w:name w:val="WW-WW8Num1z0111"/>
    <w:rPr>
      <w:rFonts w:ascii="StarSymbol" w:hAnsi="StarSymbol"/>
    </w:rPr>
  </w:style>
  <w:style w:type="character" w:customStyle="1" w:styleId="WW-WW8Num2z0111">
    <w:name w:val="WW-WW8Num2z0111"/>
    <w:rPr>
      <w:rFonts w:ascii="StarSymbol" w:hAnsi="Star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WW8Num7z0111">
    <w:name w:val="WW-WW8Num7z0111"/>
    <w:rPr>
      <w:rFonts w:ascii="Thorndale" w:eastAsia="Times New Roman" w:hAnsi="Thorndale"/>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WW8Num8z0111">
    <w:name w:val="WW-WW8Num8z0111"/>
    <w:rPr>
      <w:rFonts w:ascii="Thorndale" w:eastAsia="Times New Roman" w:hAnsi="Thorndale"/>
    </w:rPr>
  </w:style>
  <w:style w:type="character" w:customStyle="1" w:styleId="WW-WW8Num8z111">
    <w:name w:val="WW-WW8Num8z11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WW8Num9z0111">
    <w:name w:val="WW-WW8Num9z0111"/>
    <w:rPr>
      <w:rFonts w:ascii="Thorndale" w:eastAsia="Times New Roman" w:hAnsi="Thorndale"/>
    </w:rPr>
  </w:style>
  <w:style w:type="character" w:customStyle="1" w:styleId="WW-WW8Num9z111">
    <w:name w:val="WW-WW8Num9z11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paragraph" w:styleId="BodyText">
    <w:name w:val="Body Text"/>
    <w:basedOn w:val="Normal"/>
    <w:rPr>
      <w:b/>
      <w:i/>
    </w:rPr>
  </w:style>
  <w:style w:type="paragraph" w:styleId="List">
    <w:name w:val="List"/>
    <w:basedOn w:val="BodyText"/>
    <w:rPr>
      <w:rFonts w:cs="Albany"/>
    </w:rPr>
  </w:style>
  <w:style w:type="paragraph" w:customStyle="1" w:styleId="Felirat">
    <w:name w:val="Felirat"/>
    <w:basedOn w:val="Normal"/>
    <w:pPr>
      <w:suppressLineNumbers/>
      <w:spacing w:before="120" w:after="120"/>
    </w:pPr>
    <w:rPr>
      <w:rFonts w:cs="Albany"/>
      <w:i/>
      <w:iCs/>
      <w:sz w:val="20"/>
    </w:rPr>
  </w:style>
  <w:style w:type="paragraph" w:customStyle="1" w:styleId="Trgymutat">
    <w:name w:val="Tárgymutató"/>
    <w:basedOn w:val="Normal"/>
    <w:pPr>
      <w:suppressLineNumbers/>
    </w:pPr>
    <w:rPr>
      <w:rFonts w:cs="Albany"/>
    </w:rPr>
  </w:style>
  <w:style w:type="paragraph" w:customStyle="1" w:styleId="Cmsor">
    <w:name w:val="Címsor"/>
    <w:basedOn w:val="Normal"/>
    <w:next w:val="BodyText"/>
    <w:pPr>
      <w:keepNext/>
      <w:spacing w:before="240" w:after="120"/>
    </w:pPr>
    <w:rPr>
      <w:rFonts w:ascii="Albany" w:eastAsia="HG Mincho Light J" w:hAnsi="Albany"/>
      <w:sz w:val="28"/>
    </w:rPr>
  </w:style>
  <w:style w:type="paragraph" w:styleId="BodyTextIndent">
    <w:name w:val="Body Text Indent"/>
    <w:basedOn w:val="Normal"/>
    <w:pPr>
      <w:spacing w:line="260" w:lineRule="atLeast"/>
      <w:ind w:left="567" w:hanging="567"/>
    </w:pPr>
    <w:rPr>
      <w:b/>
      <w:color w:val="808080"/>
    </w:rPr>
  </w:style>
  <w:style w:type="paragraph" w:styleId="EnvelopeAddress">
    <w:name w:val="envelope address"/>
    <w:basedOn w:val="Normal"/>
    <w:next w:val="BodyText"/>
    <w:pPr>
      <w:keepNext/>
      <w:spacing w:before="240" w:after="120"/>
    </w:pPr>
    <w:rPr>
      <w:rFonts w:ascii="Albany" w:eastAsia="HG Mincho Light J" w:hAnsi="Albany"/>
      <w:sz w:val="28"/>
    </w:rPr>
  </w:style>
  <w:style w:type="paragraph" w:styleId="Header">
    <w:name w:val="header"/>
    <w:basedOn w:val="Normal"/>
    <w:pPr>
      <w:tabs>
        <w:tab w:val="left" w:pos="567"/>
        <w:tab w:val="center" w:pos="4153"/>
        <w:tab w:val="right" w:pos="8306"/>
      </w:tabs>
      <w:spacing w:line="260" w:lineRule="atLeast"/>
    </w:pPr>
    <w:rPr>
      <w:rFonts w:ascii="Helvetica" w:hAnsi="Helvetica"/>
      <w:sz w:val="20"/>
    </w:rPr>
  </w:style>
  <w:style w:type="paragraph" w:styleId="Footer">
    <w:name w:val="footer"/>
    <w:basedOn w:val="Normal"/>
    <w:link w:val="FooterChar"/>
    <w:uiPriority w:val="99"/>
    <w:pPr>
      <w:tabs>
        <w:tab w:val="left" w:pos="567"/>
        <w:tab w:val="center" w:pos="4536"/>
        <w:tab w:val="center" w:pos="8930"/>
      </w:tabs>
      <w:spacing w:line="260" w:lineRule="atLeast"/>
    </w:pPr>
    <w:rPr>
      <w:rFonts w:ascii="Helvetica" w:hAnsi="Helvetica"/>
      <w:sz w:val="16"/>
    </w:rPr>
  </w:style>
  <w:style w:type="paragraph" w:customStyle="1" w:styleId="Tblzattartalom">
    <w:name w:val="Táblázattartalom"/>
    <w:basedOn w:val="BodyText"/>
    <w:pPr>
      <w:suppressLineNumbers/>
    </w:pPr>
  </w:style>
  <w:style w:type="paragraph" w:customStyle="1" w:styleId="Tblzatfejlc">
    <w:name w:val="Táblázatfejléc"/>
    <w:basedOn w:val="Tblzattartalom"/>
    <w:pPr>
      <w:jc w:val="center"/>
    </w:pPr>
  </w:style>
  <w:style w:type="paragraph" w:styleId="FootnoteText">
    <w:name w:val="footnote text"/>
    <w:basedOn w:val="Normal"/>
    <w:semiHidden/>
    <w:rPr>
      <w:sz w:val="20"/>
    </w:rPr>
  </w:style>
  <w:style w:type="paragraph" w:styleId="EndnoteText">
    <w:name w:val="endnote text"/>
    <w:basedOn w:val="Normal"/>
    <w:next w:val="Normal"/>
    <w:link w:val="EndnoteTextChar1"/>
    <w:semiHidden/>
    <w:pPr>
      <w:spacing w:line="260" w:lineRule="atLeast"/>
    </w:pPr>
  </w:style>
  <w:style w:type="paragraph" w:customStyle="1" w:styleId="WW-Jegyzetszveg">
    <w:name w:val="WW-Jegyzetszöveg"/>
    <w:basedOn w:val="Normal"/>
    <w:rPr>
      <w:sz w:val="20"/>
    </w:rPr>
  </w:style>
  <w:style w:type="paragraph" w:customStyle="1" w:styleId="WW-Szvegtrzs2">
    <w:name w:val="WW-Szövegtörzs 2"/>
    <w:basedOn w:val="Normal"/>
    <w:pPr>
      <w:tabs>
        <w:tab w:val="left" w:pos="567"/>
        <w:tab w:val="left" w:pos="4536"/>
      </w:tabs>
      <w:jc w:val="both"/>
    </w:pPr>
    <w:rPr>
      <w:b/>
    </w:rPr>
  </w:style>
  <w:style w:type="paragraph" w:customStyle="1" w:styleId="WW-Szvegtrzs3">
    <w:name w:val="WW-Szövegtörzs 3"/>
    <w:basedOn w:val="Normal"/>
    <w:pPr>
      <w:spacing w:line="260" w:lineRule="atLeast"/>
    </w:pPr>
    <w:rPr>
      <w:i/>
      <w:sz w:val="24"/>
      <w:lang w:val="hu-HU"/>
    </w:rPr>
  </w:style>
  <w:style w:type="paragraph" w:customStyle="1" w:styleId="WW-Szvegtrzsbehzssal2">
    <w:name w:val="WW-Szövegtörzs behúzással 2"/>
    <w:basedOn w:val="Normal"/>
    <w:pPr>
      <w:ind w:left="567" w:hanging="567"/>
      <w:jc w:val="both"/>
    </w:pPr>
    <w:rPr>
      <w:b/>
    </w:rPr>
  </w:style>
  <w:style w:type="paragraph" w:customStyle="1" w:styleId="WW-Szvegtrzs21">
    <w:name w:val="WW-Szövegtörzs 21"/>
    <w:basedOn w:val="Normal"/>
    <w:pPr>
      <w:tabs>
        <w:tab w:val="left" w:pos="567"/>
        <w:tab w:val="left" w:pos="4536"/>
      </w:tabs>
      <w:jc w:val="both"/>
    </w:pPr>
    <w:rPr>
      <w:b/>
    </w:rPr>
  </w:style>
  <w:style w:type="paragraph" w:customStyle="1" w:styleId="WW-Szvegtrzsbehzssal3">
    <w:name w:val="WW-Szövegtörzs behúzással 3"/>
    <w:basedOn w:val="Normal"/>
    <w:pPr>
      <w:ind w:left="567" w:hanging="567"/>
    </w:pPr>
    <w:rPr>
      <w:i/>
      <w:color w:val="008000"/>
    </w:rPr>
  </w:style>
  <w:style w:type="paragraph" w:customStyle="1" w:styleId="WW-Szvegtrzs212">
    <w:name w:val="WW-Szövegtörzs 212"/>
    <w:basedOn w:val="Normal"/>
    <w:pPr>
      <w:spacing w:line="260" w:lineRule="atLeast"/>
      <w:ind w:left="567" w:hanging="567"/>
    </w:pPr>
    <w:rPr>
      <w:b/>
    </w:rPr>
  </w:style>
  <w:style w:type="paragraph" w:customStyle="1" w:styleId="WW-Szvegblokk">
    <w:name w:val="WW-Szövegblokk"/>
    <w:basedOn w:val="Normal"/>
    <w:pPr>
      <w:tabs>
        <w:tab w:val="left" w:pos="530"/>
        <w:tab w:val="left" w:pos="2620"/>
      </w:tabs>
      <w:spacing w:before="120" w:line="260" w:lineRule="atLeast"/>
      <w:ind w:left="-37" w:right="-28" w:firstLine="1"/>
    </w:pPr>
  </w:style>
  <w:style w:type="paragraph" w:customStyle="1" w:styleId="WW-Dokumentumtrkp">
    <w:name w:val="WW-Dokumentumtérkép"/>
    <w:basedOn w:val="Normal"/>
    <w:pPr>
      <w:shd w:val="clear" w:color="auto" w:fill="000080"/>
    </w:pPr>
    <w:rPr>
      <w:rFonts w:ascii="Tahoma" w:hAnsi="Tahoma"/>
    </w:rPr>
  </w:style>
  <w:style w:type="paragraph" w:customStyle="1" w:styleId="WW-NormlWeb">
    <w:name w:val="WW-Normál (Web)"/>
    <w:basedOn w:val="Normal"/>
    <w:pPr>
      <w:spacing w:before="100" w:after="119" w:line="260" w:lineRule="atLeast"/>
    </w:pPr>
    <w:rPr>
      <w:rFonts w:ascii="Arial Unicode MS" w:eastAsia="Arial Unicode MS" w:hAnsi="Arial Unicode MS"/>
      <w:sz w:val="24"/>
      <w:lang w:val="hu-HU"/>
    </w:rPr>
  </w:style>
  <w:style w:type="paragraph" w:customStyle="1" w:styleId="western">
    <w:name w:val="western"/>
    <w:basedOn w:val="Normal"/>
    <w:pPr>
      <w:spacing w:before="100" w:after="100" w:line="260" w:lineRule="atLeast"/>
      <w:jc w:val="both"/>
    </w:pPr>
    <w:rPr>
      <w:rFonts w:ascii="Bookman Old Style" w:eastAsia="Arial Unicode MS" w:hAnsi="Bookman Old Style"/>
      <w:b/>
    </w:rPr>
  </w:style>
  <w:style w:type="paragraph" w:customStyle="1" w:styleId="BalloonText1">
    <w:name w:val="Balloon Text1"/>
    <w:basedOn w:val="Normal"/>
    <w:semiHidden/>
    <w:rPr>
      <w:rFonts w:ascii="Tahoma" w:hAnsi="Tahoma" w:cs="Albany"/>
      <w:sz w:val="16"/>
      <w:szCs w:val="16"/>
    </w:rPr>
  </w:style>
  <w:style w:type="paragraph" w:customStyle="1" w:styleId="WW-BodyText2">
    <w:name w:val="WW-Body Text 2"/>
    <w:basedOn w:val="Normal"/>
    <w:pPr>
      <w:spacing w:line="240" w:lineRule="auto"/>
    </w:pPr>
    <w:rPr>
      <w:sz w:val="24"/>
      <w:lang w:val="hu-HU"/>
    </w:rPr>
  </w:style>
  <w:style w:type="paragraph" w:styleId="BodyText2">
    <w:name w:val="Body Text 2"/>
    <w:basedOn w:val="Normal"/>
    <w:pPr>
      <w:spacing w:line="260" w:lineRule="atLeast"/>
      <w:ind w:right="-2"/>
    </w:pPr>
    <w:rPr>
      <w:lang w:val="hu-HU"/>
    </w:rPr>
  </w:style>
  <w:style w:type="paragraph" w:customStyle="1" w:styleId="WfxFaxNum">
    <w:name w:val="WfxFaxNum"/>
    <w:basedOn w:val="Normal"/>
    <w:pPr>
      <w:suppressAutoHyphens w:val="0"/>
      <w:spacing w:line="240" w:lineRule="auto"/>
    </w:pPr>
    <w:rPr>
      <w:sz w:val="20"/>
    </w:rPr>
  </w:style>
  <w:style w:type="paragraph" w:customStyle="1" w:styleId="Text">
    <w:name w:val="Text"/>
    <w:basedOn w:val="Normal"/>
    <w:link w:val="TextChar"/>
    <w:pPr>
      <w:suppressAutoHyphens w:val="0"/>
      <w:spacing w:before="120" w:line="240" w:lineRule="auto"/>
      <w:jc w:val="both"/>
    </w:pPr>
    <w:rPr>
      <w:sz w:val="24"/>
      <w:lang w:val="en-US"/>
    </w:rPr>
  </w:style>
  <w:style w:type="paragraph" w:customStyle="1" w:styleId="Table">
    <w:name w:val="Table"/>
    <w:basedOn w:val="Normal"/>
    <w:link w:val="TableChar"/>
    <w:pPr>
      <w:keepNext/>
      <w:keepLines/>
      <w:tabs>
        <w:tab w:val="left" w:pos="284"/>
      </w:tabs>
      <w:suppressAutoHyphens w:val="0"/>
      <w:spacing w:before="40" w:after="20" w:line="240" w:lineRule="auto"/>
    </w:pPr>
    <w:rPr>
      <w:rFonts w:ascii="Arial" w:hAnsi="Arial"/>
      <w:sz w:val="20"/>
      <w:lang w:val="en-US" w:eastAsia="en-US"/>
    </w:rPr>
  </w:style>
  <w:style w:type="character" w:styleId="CommentReference">
    <w:name w:val="annotation reference"/>
    <w:semiHidden/>
    <w:rPr>
      <w:sz w:val="16"/>
      <w:szCs w:val="16"/>
    </w:rPr>
  </w:style>
  <w:style w:type="paragraph" w:styleId="CommentText">
    <w:name w:val="annotation text"/>
    <w:basedOn w:val="Normal"/>
    <w:link w:val="CommentTextChar"/>
    <w:uiPriority w:val="99"/>
    <w:rPr>
      <w:sz w:val="20"/>
    </w:rPr>
  </w:style>
  <w:style w:type="paragraph" w:customStyle="1" w:styleId="CommentSubject1">
    <w:name w:val="Comment Subject1"/>
    <w:basedOn w:val="CommentText"/>
    <w:next w:val="CommentText"/>
    <w:semiHidden/>
    <w:rPr>
      <w:b/>
      <w:bCs/>
    </w:rPr>
  </w:style>
  <w:style w:type="paragraph" w:customStyle="1" w:styleId="WW-BodyText3">
    <w:name w:val="WW-Body Text 3"/>
    <w:basedOn w:val="Normal"/>
    <w:pPr>
      <w:spacing w:line="240" w:lineRule="auto"/>
    </w:pPr>
    <w:rPr>
      <w:sz w:val="24"/>
      <w:lang w:val="hu-HU"/>
    </w:rPr>
  </w:style>
  <w:style w:type="paragraph" w:customStyle="1" w:styleId="Buborkszveg1">
    <w:name w:val="Buborékszöveg1"/>
    <w:basedOn w:val="Normal"/>
    <w:semiHidden/>
    <w:rPr>
      <w:rFonts w:ascii="Tahoma" w:hAnsi="Tahoma" w:cs="Tahoma"/>
      <w:sz w:val="16"/>
      <w:szCs w:val="16"/>
    </w:rPr>
  </w:style>
  <w:style w:type="paragraph" w:customStyle="1" w:styleId="Megjegyzstrgya1">
    <w:name w:val="Megjegyzés tárgya1"/>
    <w:basedOn w:val="CommentText"/>
    <w:next w:val="CommentText"/>
    <w:semiHidden/>
    <w:rPr>
      <w:b/>
      <w:bCs/>
    </w:rPr>
  </w:style>
  <w:style w:type="paragraph" w:customStyle="1" w:styleId="Buborkszveg2">
    <w:name w:val="Buborékszöveg2"/>
    <w:basedOn w:val="Normal"/>
    <w:semiHidden/>
    <w:rPr>
      <w:rFonts w:ascii="Tahoma" w:hAnsi="Tahoma" w:cs="Tahoma"/>
      <w:sz w:val="16"/>
      <w:szCs w:val="16"/>
    </w:rPr>
  </w:style>
  <w:style w:type="paragraph" w:customStyle="1" w:styleId="Megjegyzstrgya2">
    <w:name w:val="Megjegyzés tárgya2"/>
    <w:basedOn w:val="CommentText"/>
    <w:next w:val="CommentText"/>
    <w:semiHidden/>
    <w:rPr>
      <w:b/>
      <w:bCs/>
    </w:rPr>
  </w:style>
  <w:style w:type="paragraph" w:styleId="BalloonText">
    <w:name w:val="Balloon Text"/>
    <w:basedOn w:val="Normal"/>
    <w:link w:val="BalloonTextChar"/>
    <w:uiPriority w:val="99"/>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TableChar">
    <w:name w:val="Table Char"/>
    <w:link w:val="Table"/>
    <w:rPr>
      <w:rFonts w:ascii="Arial" w:hAnsi="Arial" w:cs="Angsana New"/>
      <w:lang w:val="en-US" w:eastAsia="en-US" w:bidi="th-TH"/>
    </w:rPr>
  </w:style>
  <w:style w:type="paragraph" w:customStyle="1" w:styleId="Listlevel2">
    <w:name w:val="List level 2"/>
    <w:basedOn w:val="Normal"/>
    <w:pPr>
      <w:suppressAutoHyphens w:val="0"/>
      <w:spacing w:before="40" w:after="20" w:line="240" w:lineRule="auto"/>
      <w:ind w:left="850" w:hanging="425"/>
    </w:pPr>
    <w:rPr>
      <w:sz w:val="24"/>
      <w:lang w:val="en-US" w:eastAsia="en-US"/>
    </w:rPr>
  </w:style>
  <w:style w:type="table" w:styleId="TableGrid">
    <w:name w:val="Table Grid"/>
    <w:basedOn w:val="TableNormal"/>
    <w:pPr>
      <w:suppressAutoHyphen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1">
    <w:name w:val="Endnote Text Char1"/>
    <w:link w:val="EndnoteText"/>
    <w:rPr>
      <w:rFonts w:cs="Angsana New"/>
      <w:sz w:val="22"/>
      <w:lang w:val="en-GB" w:bidi="th-TH"/>
    </w:rPr>
  </w:style>
  <w:style w:type="character" w:customStyle="1" w:styleId="TextChar">
    <w:name w:val="Text Char"/>
    <w:link w:val="Text"/>
    <w:rPr>
      <w:rFonts w:cs="Angsana New"/>
      <w:sz w:val="24"/>
      <w:lang w:val="en-US" w:bidi="th-TH"/>
    </w:rPr>
  </w:style>
  <w:style w:type="paragraph" w:customStyle="1" w:styleId="Nottoc-headings">
    <w:name w:val="Not toc-headings"/>
    <w:basedOn w:val="Normal"/>
    <w:next w:val="Text"/>
    <w:link w:val="Nottoc-headingsChar"/>
    <w:rsid w:val="00D37E84"/>
    <w:pPr>
      <w:keepNext/>
      <w:keepLines/>
      <w:suppressAutoHyphens w:val="0"/>
      <w:spacing w:before="240" w:after="60" w:line="240" w:lineRule="auto"/>
      <w:ind w:left="1701" w:hanging="1701"/>
    </w:pPr>
    <w:rPr>
      <w:rFonts w:ascii="Arial" w:hAnsi="Arial"/>
      <w:b/>
      <w:sz w:val="24"/>
      <w:lang w:val="en-US" w:eastAsia="en-US"/>
    </w:rPr>
  </w:style>
  <w:style w:type="character" w:customStyle="1" w:styleId="Nottoc-headingsChar">
    <w:name w:val="Not toc-headings Char"/>
    <w:link w:val="Nottoc-headings"/>
    <w:rsid w:val="00D37E84"/>
    <w:rPr>
      <w:rFonts w:ascii="Arial" w:hAnsi="Arial" w:cs="Angsana New"/>
      <w:b/>
      <w:sz w:val="24"/>
      <w:lang w:val="en-US" w:eastAsia="en-US" w:bidi="th-TH"/>
    </w:rPr>
  </w:style>
  <w:style w:type="paragraph" w:customStyle="1" w:styleId="CharChar2CharCharChar">
    <w:name w:val="Char Char2 Char Char Char"/>
    <w:basedOn w:val="Normal"/>
    <w:rsid w:val="007B18BA"/>
    <w:pPr>
      <w:suppressAutoHyphens w:val="0"/>
      <w:spacing w:after="160" w:line="240" w:lineRule="exact"/>
    </w:pPr>
    <w:rPr>
      <w:rFonts w:ascii="Verdana" w:hAnsi="Verdana" w:cs="Verdana"/>
      <w:sz w:val="20"/>
      <w:lang w:eastAsia="en-US" w:bidi="ar-SA"/>
    </w:rPr>
  </w:style>
  <w:style w:type="paragraph" w:customStyle="1" w:styleId="CharChar1">
    <w:name w:val="Char Char1"/>
    <w:basedOn w:val="Normal"/>
    <w:rsid w:val="00702DD3"/>
    <w:pPr>
      <w:suppressAutoHyphens w:val="0"/>
      <w:spacing w:after="160" w:line="240" w:lineRule="exact"/>
    </w:pPr>
    <w:rPr>
      <w:rFonts w:ascii="Tahoma" w:hAnsi="Tahoma" w:cs="Times New Roman"/>
      <w:sz w:val="20"/>
      <w:lang w:val="en-US" w:eastAsia="en-US" w:bidi="ar-SA"/>
    </w:rPr>
  </w:style>
  <w:style w:type="paragraph" w:customStyle="1" w:styleId="Style">
    <w:name w:val="Style"/>
    <w:basedOn w:val="Normal"/>
    <w:rsid w:val="004E1542"/>
    <w:pPr>
      <w:suppressAutoHyphens w:val="0"/>
      <w:spacing w:after="160" w:line="240" w:lineRule="exact"/>
    </w:pPr>
    <w:rPr>
      <w:rFonts w:ascii="Verdana" w:hAnsi="Verdana" w:cs="Verdana"/>
      <w:sz w:val="20"/>
      <w:lang w:eastAsia="en-US" w:bidi="ar-SA"/>
    </w:rPr>
  </w:style>
  <w:style w:type="paragraph" w:customStyle="1" w:styleId="CharChar2">
    <w:name w:val="Char Char2"/>
    <w:basedOn w:val="Normal"/>
    <w:rsid w:val="00193A7C"/>
    <w:pPr>
      <w:suppressAutoHyphens w:val="0"/>
      <w:spacing w:after="160" w:line="240" w:lineRule="exact"/>
    </w:pPr>
    <w:rPr>
      <w:rFonts w:ascii="Verdana" w:hAnsi="Verdana" w:cs="Verdana"/>
      <w:sz w:val="20"/>
      <w:lang w:eastAsia="en-US" w:bidi="ar-SA"/>
    </w:rPr>
  </w:style>
  <w:style w:type="character" w:customStyle="1" w:styleId="EndnoteTextChar">
    <w:name w:val="Endnote Text Char"/>
    <w:rsid w:val="00977813"/>
    <w:rPr>
      <w:sz w:val="22"/>
      <w:lang w:val="en-GB" w:eastAsia="en-US" w:bidi="ar-SA"/>
    </w:rPr>
  </w:style>
  <w:style w:type="paragraph" w:styleId="Revision">
    <w:name w:val="Revision"/>
    <w:hidden/>
    <w:uiPriority w:val="99"/>
    <w:semiHidden/>
    <w:rsid w:val="00A03C14"/>
    <w:rPr>
      <w:rFonts w:cs="Angsana New"/>
      <w:sz w:val="22"/>
      <w:lang w:bidi="th-TH"/>
    </w:rPr>
  </w:style>
  <w:style w:type="character" w:customStyle="1" w:styleId="CommentTextChar">
    <w:name w:val="Comment Text Char"/>
    <w:link w:val="CommentText"/>
    <w:uiPriority w:val="99"/>
    <w:rsid w:val="006F5207"/>
    <w:rPr>
      <w:rFonts w:cs="Angsana New"/>
      <w:lang w:val="en-GB" w:bidi="th-TH"/>
    </w:rPr>
  </w:style>
  <w:style w:type="character" w:customStyle="1" w:styleId="BalloonTextChar">
    <w:name w:val="Balloon Text Char"/>
    <w:link w:val="BalloonText"/>
    <w:uiPriority w:val="99"/>
    <w:semiHidden/>
    <w:rsid w:val="001D323E"/>
    <w:rPr>
      <w:rFonts w:ascii="Tahoma" w:hAnsi="Tahoma" w:cs="Tahoma"/>
      <w:sz w:val="16"/>
      <w:szCs w:val="16"/>
      <w:lang w:val="en-GB" w:bidi="th-TH"/>
    </w:rPr>
  </w:style>
  <w:style w:type="character" w:customStyle="1" w:styleId="NormalAgencyChar">
    <w:name w:val="Normal (Agency) Char"/>
    <w:link w:val="NormalAgency"/>
    <w:locked/>
    <w:rsid w:val="00B03625"/>
    <w:rPr>
      <w:rFonts w:ascii="Verdana" w:hAnsi="Verdana"/>
    </w:rPr>
  </w:style>
  <w:style w:type="paragraph" w:customStyle="1" w:styleId="NormalAgency">
    <w:name w:val="Normal (Agency)"/>
    <w:basedOn w:val="Normal"/>
    <w:link w:val="NormalAgencyChar"/>
    <w:rsid w:val="00B03625"/>
    <w:pPr>
      <w:suppressAutoHyphens w:val="0"/>
      <w:spacing w:line="240" w:lineRule="auto"/>
    </w:pPr>
    <w:rPr>
      <w:rFonts w:ascii="Verdana" w:hAnsi="Verdana" w:cs="Times New Roman"/>
      <w:sz w:val="20"/>
      <w:lang w:val="x-none" w:eastAsia="x-none" w:bidi="ar-SA"/>
    </w:rPr>
  </w:style>
  <w:style w:type="character" w:customStyle="1" w:styleId="FooterChar">
    <w:name w:val="Footer Char"/>
    <w:link w:val="Footer"/>
    <w:uiPriority w:val="99"/>
    <w:rsid w:val="00102042"/>
    <w:rPr>
      <w:rFonts w:ascii="Helvetica" w:hAnsi="Helvetica" w:cs="Angsana New"/>
      <w:sz w:val="16"/>
      <w:lang w:val="en-GB" w:bidi="th-TH"/>
    </w:rPr>
  </w:style>
  <w:style w:type="paragraph" w:customStyle="1" w:styleId="Default">
    <w:name w:val="Default"/>
    <w:rsid w:val="00E6171E"/>
    <w:pPr>
      <w:autoSpaceDE w:val="0"/>
      <w:autoSpaceDN w:val="0"/>
      <w:adjustRightInd w:val="0"/>
    </w:pPr>
    <w:rPr>
      <w:rFonts w:ascii="Verdana" w:hAnsi="Verdana" w:cs="Verdana"/>
      <w:color w:val="000000"/>
      <w:sz w:val="24"/>
      <w:szCs w:val="24"/>
      <w:lang w:val="en-US" w:eastAsia="en-US"/>
    </w:rPr>
  </w:style>
  <w:style w:type="paragraph" w:customStyle="1" w:styleId="BodytextAgency">
    <w:name w:val="Body text (Agency)"/>
    <w:basedOn w:val="Normal"/>
    <w:link w:val="BodytextAgencyChar"/>
    <w:qFormat/>
    <w:rsid w:val="005552EB"/>
    <w:pPr>
      <w:suppressAutoHyphens w:val="0"/>
      <w:spacing w:after="140" w:line="280" w:lineRule="atLeast"/>
    </w:pPr>
    <w:rPr>
      <w:rFonts w:ascii="Verdana" w:eastAsia="Verdana" w:hAnsi="Verdana" w:cs="Times New Roman"/>
      <w:sz w:val="18"/>
      <w:szCs w:val="18"/>
      <w:lang w:val="hu-HU" w:eastAsia="hu-HU" w:bidi="hu-HU"/>
    </w:rPr>
  </w:style>
  <w:style w:type="paragraph" w:customStyle="1" w:styleId="No-numheading3Agency">
    <w:name w:val="No-num heading 3 (Agency)"/>
    <w:basedOn w:val="Normal"/>
    <w:next w:val="BodytextAgency"/>
    <w:link w:val="No-numheading3AgencyChar"/>
    <w:rsid w:val="005552EB"/>
    <w:pPr>
      <w:keepNext/>
      <w:suppressAutoHyphens w:val="0"/>
      <w:spacing w:before="280" w:after="220" w:line="240" w:lineRule="auto"/>
      <w:outlineLvl w:val="2"/>
    </w:pPr>
    <w:rPr>
      <w:rFonts w:ascii="Verdana" w:eastAsia="Verdana" w:hAnsi="Verdana" w:cs="Times New Roman"/>
      <w:b/>
      <w:bCs/>
      <w:kern w:val="32"/>
      <w:szCs w:val="22"/>
      <w:lang w:val="hu-HU" w:eastAsia="hu-HU" w:bidi="hu-HU"/>
    </w:rPr>
  </w:style>
  <w:style w:type="character" w:customStyle="1" w:styleId="BodytextAgencyChar">
    <w:name w:val="Body text (Agency) Char"/>
    <w:link w:val="BodytextAgency"/>
    <w:qFormat/>
    <w:rsid w:val="005552EB"/>
    <w:rPr>
      <w:rFonts w:ascii="Verdana" w:eastAsia="Verdana" w:hAnsi="Verdana"/>
      <w:sz w:val="18"/>
      <w:szCs w:val="18"/>
      <w:lang w:val="hu-HU" w:eastAsia="hu-HU" w:bidi="hu-HU"/>
    </w:rPr>
  </w:style>
  <w:style w:type="character" w:customStyle="1" w:styleId="No-numheading3AgencyChar">
    <w:name w:val="No-num heading 3 (Agency) Char"/>
    <w:link w:val="No-numheading3Agency"/>
    <w:rsid w:val="005552EB"/>
    <w:rPr>
      <w:rFonts w:ascii="Verdana" w:eastAsia="Verdana" w:hAnsi="Verdana"/>
      <w:b/>
      <w:bCs/>
      <w:kern w:val="32"/>
      <w:sz w:val="22"/>
      <w:szCs w:val="22"/>
      <w:lang w:val="hu-HU" w:eastAsia="hu-HU" w:bidi="hu-HU"/>
    </w:rPr>
  </w:style>
  <w:style w:type="paragraph" w:customStyle="1" w:styleId="DraftingNotesAgency">
    <w:name w:val="Drafting Notes (Agency)"/>
    <w:basedOn w:val="Normal"/>
    <w:next w:val="BodytextAgency"/>
    <w:link w:val="DraftingNotesAgencyChar"/>
    <w:rsid w:val="005552EB"/>
    <w:pPr>
      <w:suppressAutoHyphens w:val="0"/>
      <w:spacing w:after="140" w:line="280" w:lineRule="atLeast"/>
    </w:pPr>
    <w:rPr>
      <w:rFonts w:ascii="Courier New" w:eastAsia="Verdana" w:hAnsi="Courier New" w:cs="Times New Roman"/>
      <w:i/>
      <w:color w:val="339966"/>
      <w:szCs w:val="18"/>
      <w:lang w:val="hu-HU" w:eastAsia="hu-HU" w:bidi="hu-HU"/>
    </w:rPr>
  </w:style>
  <w:style w:type="character" w:customStyle="1" w:styleId="DraftingNotesAgencyChar">
    <w:name w:val="Drafting Notes (Agency) Char"/>
    <w:link w:val="DraftingNotesAgency"/>
    <w:rsid w:val="005552EB"/>
    <w:rPr>
      <w:rFonts w:ascii="Courier New" w:eastAsia="Verdana" w:hAnsi="Courier New"/>
      <w:i/>
      <w:color w:val="339966"/>
      <w:sz w:val="22"/>
      <w:szCs w:val="18"/>
      <w:lang w:val="hu-HU" w:eastAsia="hu-HU" w:bidi="hu-HU"/>
    </w:rPr>
  </w:style>
  <w:style w:type="paragraph" w:customStyle="1" w:styleId="Listlevel1">
    <w:name w:val="List level 1"/>
    <w:basedOn w:val="Normal"/>
    <w:rsid w:val="00D91E0B"/>
    <w:pPr>
      <w:suppressAutoHyphens w:val="0"/>
      <w:spacing w:before="40" w:after="20" w:line="240" w:lineRule="auto"/>
      <w:ind w:left="425" w:hanging="425"/>
    </w:pPr>
    <w:rPr>
      <w:rFonts w:cs="Times New Roman"/>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168147">
      <w:bodyDiv w:val="1"/>
      <w:marLeft w:val="0"/>
      <w:marRight w:val="0"/>
      <w:marTop w:val="0"/>
      <w:marBottom w:val="0"/>
      <w:divBdr>
        <w:top w:val="none" w:sz="0" w:space="0" w:color="auto"/>
        <w:left w:val="none" w:sz="0" w:space="0" w:color="auto"/>
        <w:bottom w:val="none" w:sz="0" w:space="0" w:color="auto"/>
        <w:right w:val="none" w:sz="0" w:space="0" w:color="auto"/>
      </w:divBdr>
    </w:div>
    <w:div w:id="208544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72F5F-B26A-4F66-BBFD-B25EB4FBD06C}">
  <ds:schemaRefs>
    <ds:schemaRef ds:uri="http://schemas.microsoft.com/sharepoint/v3/contenttype/forms"/>
  </ds:schemaRefs>
</ds:datastoreItem>
</file>

<file path=customXml/itemProps2.xml><?xml version="1.0" encoding="utf-8"?>
<ds:datastoreItem xmlns:ds="http://schemas.openxmlformats.org/officeDocument/2006/customXml" ds:itemID="{2EEE29EE-5E15-4686-B0D1-666E8DF1E203}"/>
</file>

<file path=customXml/itemProps3.xml><?xml version="1.0" encoding="utf-8"?>
<ds:datastoreItem xmlns:ds="http://schemas.openxmlformats.org/officeDocument/2006/customXml" ds:itemID="{ADCD4982-676B-45CC-800E-0E8224904BE4}">
  <ds:schemaRefs>
    <ds:schemaRef ds:uri="http://purl.org/dc/terms/"/>
    <ds:schemaRef ds:uri="08c21c09-beba-4072-8000-1dca26330969"/>
    <ds:schemaRef ds:uri="http://schemas.microsoft.com/office/2006/documentManagement/types"/>
    <ds:schemaRef ds:uri="http://schemas.openxmlformats.org/package/2006/metadata/core-properties"/>
    <ds:schemaRef ds:uri="http://purl.org/dc/elements/1.1/"/>
    <ds:schemaRef ds:uri="e84aa060-13d4-4ddd-8d65-c3aafff2663b"/>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35978769-CC4B-4B72-A9CA-763EFAFA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41757</Words>
  <Characters>238017</Characters>
  <Application>Microsoft Office Word</Application>
  <DocSecurity>0</DocSecurity>
  <Lines>1983</Lines>
  <Paragraphs>558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Glivec, INN-imatinib</vt:lpstr>
      <vt:lpstr>Glivec, INN-imatinib</vt:lpstr>
    </vt:vector>
  </TitlesOfParts>
  <Company>Novartis</Company>
  <LinksUpToDate>false</LinksUpToDate>
  <CharactersWithSpaces>279216</CharactersWithSpaces>
  <SharedDoc>false</SharedDoc>
  <HLinks>
    <vt:vector size="36" baseType="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7</cp:revision>
  <cp:lastPrinted>2011-05-05T08:06:00Z</cp:lastPrinted>
  <dcterms:created xsi:type="dcterms:W3CDTF">2021-02-02T10:14:00Z</dcterms:created>
  <dcterms:modified xsi:type="dcterms:W3CDTF">2021-05-21T16:03:00Z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2019-01-22T10:49:16.0375120Z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2021-05-21T16:03:25Z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c1ff71b2-334f-4e6a-9c03-da55e5ffdc60</vt:lpwstr>
  </property>
  <property fmtid="{D5CDD505-2E9C-101B-9397-08002B2CF9AE}" pid="15" name="MSIP_Label_0eea11ca-d417-4147-80ed-01a58412c458_ContentBits">
    <vt:lpwstr>2</vt:lpwstr>
  </property>
</Properties>
</file>